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947A3" w14:textId="74979DC5" w:rsidR="00BD7A20" w:rsidRPr="00BD7A20" w:rsidRDefault="00BD7A20">
      <w:pPr>
        <w:rPr>
          <w:b/>
          <w:bCs/>
        </w:rPr>
      </w:pPr>
      <w:r w:rsidRPr="00BD7A20">
        <w:rPr>
          <w:b/>
          <w:bCs/>
        </w:rPr>
        <w:t>U</w:t>
      </w:r>
      <w:bookmarkStart w:id="0" w:name="_GoBack"/>
      <w:bookmarkEnd w:id="0"/>
      <w:r w:rsidRPr="00BD7A20">
        <w:rPr>
          <w:b/>
          <w:bCs/>
        </w:rPr>
        <w:t>nofficial English Translation of the Judgment of the Court</w:t>
      </w:r>
    </w:p>
    <w:p w14:paraId="0A26507E" w14:textId="77777777" w:rsidR="00BD7A20" w:rsidRDefault="00BD7A20"/>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535286" w:rsidRPr="00C7759B" w14:paraId="0D99BDEC" w14:textId="77777777" w:rsidTr="008D18FC">
        <w:trPr>
          <w:trHeight w:val="248"/>
        </w:trPr>
        <w:tc>
          <w:tcPr>
            <w:tcW w:w="7372" w:type="dxa"/>
            <w:gridSpan w:val="5"/>
          </w:tcPr>
          <w:p w14:paraId="4DF95CBD" w14:textId="77777777" w:rsidR="008F364A" w:rsidRPr="00C7759B" w:rsidRDefault="00B409EE" w:rsidP="00526AB1">
            <w:pPr>
              <w:pStyle w:val="zSoquijdatRepertorie"/>
              <w:jc w:val="both"/>
              <w:rPr>
                <w:rFonts w:cs="Arial"/>
                <w:lang w:val="en-CA"/>
              </w:rPr>
            </w:pPr>
            <w:r w:rsidRPr="00C7759B">
              <w:rPr>
                <w:rFonts w:cs="Arial"/>
                <w:bCs/>
                <w:lang w:val="en-CA"/>
              </w:rPr>
              <w:t>Vernelus c. R.</w:t>
            </w:r>
          </w:p>
        </w:tc>
        <w:tc>
          <w:tcPr>
            <w:tcW w:w="1988" w:type="dxa"/>
          </w:tcPr>
          <w:p w14:paraId="7267A7B5" w14:textId="77777777" w:rsidR="008F364A" w:rsidRPr="00C7759B" w:rsidRDefault="00B409EE" w:rsidP="00F26274">
            <w:pPr>
              <w:pStyle w:val="zSoquijdatRefNeutre"/>
              <w:jc w:val="right"/>
              <w:rPr>
                <w:rFonts w:cs="Arial"/>
                <w:lang w:val="en-CA"/>
              </w:rPr>
            </w:pPr>
            <w:r w:rsidRPr="00C7759B">
              <w:rPr>
                <w:rFonts w:cs="Arial"/>
                <w:bCs/>
                <w:lang w:val="en-CA"/>
              </w:rPr>
              <w:t>2022 QCCA 138</w:t>
            </w:r>
          </w:p>
        </w:tc>
      </w:tr>
      <w:tr w:rsidR="00535286" w:rsidRPr="00C7759B" w14:paraId="505DAF22" w14:textId="77777777" w:rsidTr="008D18FC">
        <w:trPr>
          <w:trHeight w:val="247"/>
        </w:trPr>
        <w:tc>
          <w:tcPr>
            <w:tcW w:w="9360" w:type="dxa"/>
            <w:gridSpan w:val="6"/>
          </w:tcPr>
          <w:p w14:paraId="5E17C140" w14:textId="42D7C54E" w:rsidR="008F364A" w:rsidRPr="00C7759B" w:rsidRDefault="00B409EE">
            <w:pPr>
              <w:pStyle w:val="zSoquijlblCour"/>
              <w:rPr>
                <w:lang w:val="en-CA"/>
              </w:rPr>
            </w:pPr>
            <w:r w:rsidRPr="00C7759B">
              <w:rPr>
                <w:bCs/>
                <w:lang w:val="en-CA"/>
              </w:rPr>
              <w:t>COURT OF APPEAL</w:t>
            </w:r>
          </w:p>
        </w:tc>
      </w:tr>
      <w:tr w:rsidR="00535286" w:rsidRPr="00C7759B" w14:paraId="6EA581B6" w14:textId="77777777" w:rsidTr="008D18FC">
        <w:trPr>
          <w:trHeight w:val="540"/>
        </w:trPr>
        <w:tc>
          <w:tcPr>
            <w:tcW w:w="9360" w:type="dxa"/>
            <w:gridSpan w:val="6"/>
          </w:tcPr>
          <w:p w14:paraId="351480FF" w14:textId="77777777" w:rsidR="008F364A" w:rsidRPr="00C7759B" w:rsidRDefault="008F364A">
            <w:pPr>
              <w:pStyle w:val="zSoquijdatDivision"/>
              <w:rPr>
                <w:lang w:val="en-CA"/>
              </w:rPr>
            </w:pPr>
          </w:p>
        </w:tc>
      </w:tr>
      <w:tr w:rsidR="00535286" w:rsidRPr="00C7759B" w14:paraId="42539247" w14:textId="77777777" w:rsidTr="008D18FC">
        <w:tc>
          <w:tcPr>
            <w:tcW w:w="9360" w:type="dxa"/>
            <w:gridSpan w:val="6"/>
          </w:tcPr>
          <w:p w14:paraId="5E6E2378" w14:textId="77777777" w:rsidR="008F364A" w:rsidRPr="00C7759B" w:rsidRDefault="00B409EE">
            <w:pPr>
              <w:pStyle w:val="zSoquijlblPays"/>
              <w:rPr>
                <w:lang w:val="en-CA"/>
              </w:rPr>
            </w:pPr>
            <w:r w:rsidRPr="00C7759B">
              <w:rPr>
                <w:lang w:val="en-CA"/>
              </w:rPr>
              <w:t>CANADA</w:t>
            </w:r>
          </w:p>
        </w:tc>
      </w:tr>
      <w:tr w:rsidR="00535286" w:rsidRPr="00C7759B" w14:paraId="23610680" w14:textId="77777777" w:rsidTr="008D18FC">
        <w:tc>
          <w:tcPr>
            <w:tcW w:w="9360" w:type="dxa"/>
            <w:gridSpan w:val="6"/>
          </w:tcPr>
          <w:p w14:paraId="1B1F85E9" w14:textId="77777777" w:rsidR="008F364A" w:rsidRPr="00C7759B" w:rsidRDefault="00B409EE">
            <w:pPr>
              <w:pStyle w:val="zSoquijlblProvince"/>
              <w:rPr>
                <w:lang w:val="en-CA"/>
              </w:rPr>
            </w:pPr>
            <w:r w:rsidRPr="00C7759B">
              <w:rPr>
                <w:lang w:val="en-CA"/>
              </w:rPr>
              <w:t>PROVINCE OF QUEBEC</w:t>
            </w:r>
          </w:p>
        </w:tc>
      </w:tr>
      <w:tr w:rsidR="00535286" w:rsidRPr="004168DD" w14:paraId="72137B21" w14:textId="77777777" w:rsidTr="005F07CF">
        <w:tc>
          <w:tcPr>
            <w:tcW w:w="1701" w:type="dxa"/>
            <w:gridSpan w:val="3"/>
          </w:tcPr>
          <w:p w14:paraId="5C432195" w14:textId="77777777" w:rsidR="008F364A" w:rsidRPr="004168DD" w:rsidRDefault="00B409EE">
            <w:pPr>
              <w:pStyle w:val="zSoquijlblGreffe"/>
              <w:rPr>
                <w:lang w:val="en-CA"/>
              </w:rPr>
            </w:pPr>
            <w:r w:rsidRPr="004168DD">
              <w:rPr>
                <w:lang w:val="en-CA"/>
              </w:rPr>
              <w:t>REGISTRY OF</w:t>
            </w:r>
          </w:p>
          <w:p w14:paraId="166C3D1A" w14:textId="77777777" w:rsidR="008F364A" w:rsidRPr="004168DD" w:rsidRDefault="008F364A">
            <w:pPr>
              <w:pStyle w:val="zSoquijlblGreffe"/>
              <w:rPr>
                <w:lang w:val="en-CA"/>
              </w:rPr>
            </w:pPr>
          </w:p>
        </w:tc>
        <w:tc>
          <w:tcPr>
            <w:tcW w:w="7659" w:type="dxa"/>
            <w:gridSpan w:val="3"/>
          </w:tcPr>
          <w:p w14:paraId="5170DE78" w14:textId="77777777" w:rsidR="008F364A" w:rsidRPr="004168DD" w:rsidRDefault="00B409EE">
            <w:pPr>
              <w:pStyle w:val="zSoquijdatGreffe"/>
              <w:rPr>
                <w:lang w:val="en-CA"/>
              </w:rPr>
            </w:pPr>
            <w:bookmarkStart w:id="1" w:name="NomGreffe"/>
            <w:r w:rsidRPr="004168DD">
              <w:rPr>
                <w:lang w:val="en-CA"/>
              </w:rPr>
              <w:t>MONTREAL</w:t>
            </w:r>
            <w:bookmarkEnd w:id="1"/>
          </w:p>
        </w:tc>
      </w:tr>
      <w:tr w:rsidR="00535286" w:rsidRPr="004168DD" w14:paraId="2C4EDBC6" w14:textId="77777777" w:rsidTr="008D18FC">
        <w:tc>
          <w:tcPr>
            <w:tcW w:w="1030" w:type="dxa"/>
          </w:tcPr>
          <w:p w14:paraId="7067A383" w14:textId="77777777" w:rsidR="008F364A" w:rsidRPr="004168DD" w:rsidRDefault="00B409EE">
            <w:pPr>
              <w:pStyle w:val="zSoquijlblNoDossier"/>
              <w:rPr>
                <w:lang w:val="en-CA"/>
              </w:rPr>
            </w:pPr>
            <w:r w:rsidRPr="004168DD">
              <w:rPr>
                <w:lang w:val="en-CA"/>
              </w:rPr>
              <w:t>No.:</w:t>
            </w:r>
          </w:p>
        </w:tc>
        <w:tc>
          <w:tcPr>
            <w:tcW w:w="8330" w:type="dxa"/>
            <w:gridSpan w:val="5"/>
          </w:tcPr>
          <w:p w14:paraId="52F8C29D" w14:textId="53FDA549" w:rsidR="008F364A" w:rsidRPr="004168DD" w:rsidRDefault="00B409EE">
            <w:pPr>
              <w:pStyle w:val="zSoquijdatNoDossier"/>
              <w:rPr>
                <w:lang w:val="en-CA"/>
              </w:rPr>
            </w:pPr>
            <w:bookmarkStart w:id="2" w:name="NoDossier"/>
            <w:r w:rsidRPr="004168DD">
              <w:rPr>
                <w:lang w:val="en-CA"/>
              </w:rPr>
              <w:t>500-10-006907-180</w:t>
            </w:r>
            <w:bookmarkEnd w:id="2"/>
          </w:p>
        </w:tc>
      </w:tr>
      <w:tr w:rsidR="00535286" w:rsidRPr="004168DD" w14:paraId="2FC2BD70" w14:textId="77777777" w:rsidTr="008D18FC">
        <w:tc>
          <w:tcPr>
            <w:tcW w:w="9360" w:type="dxa"/>
            <w:gridSpan w:val="6"/>
          </w:tcPr>
          <w:p w14:paraId="6852137E" w14:textId="7669397C" w:rsidR="00985926" w:rsidRPr="004168DD" w:rsidRDefault="00B409EE" w:rsidP="00985926">
            <w:pPr>
              <w:pStyle w:val="zSoquijdatNoDossierAnt"/>
              <w:rPr>
                <w:lang w:val="en-CA"/>
              </w:rPr>
            </w:pPr>
            <w:r w:rsidRPr="004168DD">
              <w:rPr>
                <w:lang w:val="en-CA"/>
              </w:rPr>
              <w:t>(500-01-164847-177)(500-01-164848-175)(500-01-164849-173)</w:t>
            </w:r>
          </w:p>
        </w:tc>
      </w:tr>
      <w:tr w:rsidR="00535286" w:rsidRPr="004168DD" w14:paraId="224F3801" w14:textId="77777777" w:rsidTr="008D18FC">
        <w:tc>
          <w:tcPr>
            <w:tcW w:w="9360" w:type="dxa"/>
            <w:gridSpan w:val="6"/>
          </w:tcPr>
          <w:p w14:paraId="5CEA4468" w14:textId="77777777" w:rsidR="008F364A" w:rsidRPr="004168DD" w:rsidRDefault="008F364A">
            <w:pPr>
              <w:rPr>
                <w:lang w:val="en-CA"/>
              </w:rPr>
            </w:pPr>
          </w:p>
        </w:tc>
      </w:tr>
      <w:tr w:rsidR="00535286" w:rsidRPr="004168DD" w14:paraId="26AF5CDC" w14:textId="77777777" w:rsidTr="008D18FC">
        <w:tc>
          <w:tcPr>
            <w:tcW w:w="1030" w:type="dxa"/>
          </w:tcPr>
          <w:p w14:paraId="54243942" w14:textId="77777777" w:rsidR="008F364A" w:rsidRPr="004168DD" w:rsidRDefault="00B409EE">
            <w:pPr>
              <w:pStyle w:val="zSoquijlblDateJugement"/>
              <w:rPr>
                <w:lang w:val="en-CA"/>
              </w:rPr>
            </w:pPr>
            <w:r w:rsidRPr="004168DD">
              <w:rPr>
                <w:lang w:val="en-CA"/>
              </w:rPr>
              <w:t>DATE:</w:t>
            </w:r>
          </w:p>
        </w:tc>
        <w:tc>
          <w:tcPr>
            <w:tcW w:w="8330" w:type="dxa"/>
            <w:gridSpan w:val="5"/>
          </w:tcPr>
          <w:p w14:paraId="0CB569FA" w14:textId="77777777" w:rsidR="008F364A" w:rsidRPr="004168DD" w:rsidRDefault="00B409EE" w:rsidP="008E1B7C">
            <w:pPr>
              <w:pStyle w:val="zSoquijdatDateJugement"/>
              <w:rPr>
                <w:lang w:val="en-CA"/>
              </w:rPr>
            </w:pPr>
            <w:r w:rsidRPr="004168DD">
              <w:rPr>
                <w:lang w:val="en-CA"/>
              </w:rPr>
              <w:t>January 31, 2022</w:t>
            </w:r>
          </w:p>
        </w:tc>
      </w:tr>
      <w:tr w:rsidR="00535286" w:rsidRPr="004168DD" w14:paraId="4081C9C2" w14:textId="77777777" w:rsidTr="008D18FC">
        <w:tc>
          <w:tcPr>
            <w:tcW w:w="9360" w:type="dxa"/>
            <w:gridSpan w:val="6"/>
            <w:tcBorders>
              <w:bottom w:val="single" w:sz="8" w:space="0" w:color="auto"/>
            </w:tcBorders>
          </w:tcPr>
          <w:p w14:paraId="308A30E0" w14:textId="77777777" w:rsidR="008F364A" w:rsidRPr="004168DD" w:rsidRDefault="008F364A">
            <w:pPr>
              <w:rPr>
                <w:lang w:val="en-CA"/>
              </w:rPr>
            </w:pPr>
          </w:p>
        </w:tc>
      </w:tr>
      <w:tr w:rsidR="00535286" w:rsidRPr="004168DD" w14:paraId="1D93E589" w14:textId="77777777" w:rsidTr="008D18FC">
        <w:tc>
          <w:tcPr>
            <w:tcW w:w="9360" w:type="dxa"/>
            <w:gridSpan w:val="6"/>
            <w:tcBorders>
              <w:top w:val="single" w:sz="8" w:space="0" w:color="auto"/>
            </w:tcBorders>
          </w:tcPr>
          <w:p w14:paraId="4E25DCC9" w14:textId="77777777" w:rsidR="008F364A" w:rsidRPr="004168DD" w:rsidRDefault="008F364A">
            <w:pPr>
              <w:rPr>
                <w:lang w:val="en-CA"/>
              </w:rPr>
            </w:pPr>
          </w:p>
        </w:tc>
      </w:tr>
      <w:tr w:rsidR="00535286" w:rsidRPr="004168DD" w14:paraId="433DE31F" w14:textId="77777777" w:rsidTr="008D18FC">
        <w:tc>
          <w:tcPr>
            <w:tcW w:w="1620" w:type="dxa"/>
            <w:gridSpan w:val="2"/>
          </w:tcPr>
          <w:p w14:paraId="4DD97C6E" w14:textId="77777777" w:rsidR="008F364A" w:rsidRPr="004168DD" w:rsidRDefault="00B409EE" w:rsidP="00423DF1">
            <w:pPr>
              <w:pStyle w:val="zSoquijlblJuge"/>
              <w:ind w:right="-142"/>
              <w:rPr>
                <w:lang w:val="en-CA"/>
              </w:rPr>
            </w:pPr>
            <w:bookmarkStart w:id="3" w:name="FORMATION"/>
            <w:r w:rsidRPr="004168DD">
              <w:rPr>
                <w:bCs/>
                <w:lang w:val="en-CA"/>
              </w:rPr>
              <w:t>CORAM:</w:t>
            </w:r>
            <w:bookmarkEnd w:id="3"/>
          </w:p>
        </w:tc>
        <w:tc>
          <w:tcPr>
            <w:tcW w:w="2350" w:type="dxa"/>
            <w:gridSpan w:val="2"/>
          </w:tcPr>
          <w:p w14:paraId="2B8762A0" w14:textId="77777777" w:rsidR="008F364A" w:rsidRPr="004168DD" w:rsidRDefault="00B409EE">
            <w:pPr>
              <w:pStyle w:val="zSoquijdatQteJuge"/>
              <w:rPr>
                <w:lang w:val="en-CA"/>
              </w:rPr>
            </w:pPr>
            <w:bookmarkStart w:id="4" w:name="Honorables"/>
            <w:r w:rsidRPr="004168DD">
              <w:rPr>
                <w:bCs/>
                <w:lang w:val="en-CA"/>
              </w:rPr>
              <w:t>THE HONOURABLE</w:t>
            </w:r>
            <w:bookmarkEnd w:id="4"/>
          </w:p>
        </w:tc>
        <w:tc>
          <w:tcPr>
            <w:tcW w:w="5390" w:type="dxa"/>
            <w:gridSpan w:val="2"/>
          </w:tcPr>
          <w:p w14:paraId="03DF65BA" w14:textId="77777777" w:rsidR="008F364A" w:rsidRPr="004168DD" w:rsidRDefault="00B409EE">
            <w:pPr>
              <w:pStyle w:val="zSoquijdatJuge"/>
              <w:rPr>
                <w:lang w:val="en-CA"/>
              </w:rPr>
            </w:pPr>
            <w:bookmarkStart w:id="5" w:name="NomJuge1"/>
            <w:r w:rsidRPr="004168DD">
              <w:rPr>
                <w:bCs/>
                <w:lang w:val="en-CA"/>
              </w:rPr>
              <w:t>FRANÇOIS PELLETIER, J.A.</w:t>
            </w:r>
            <w:bookmarkEnd w:id="5"/>
          </w:p>
          <w:p w14:paraId="2C4E3CA1" w14:textId="77777777" w:rsidR="008F364A" w:rsidRPr="004168DD" w:rsidRDefault="00B409EE">
            <w:pPr>
              <w:pStyle w:val="zSoquijdatJuge"/>
              <w:rPr>
                <w:lang w:val="en-CA"/>
              </w:rPr>
            </w:pPr>
            <w:bookmarkStart w:id="6" w:name="NomJuge2"/>
            <w:r w:rsidRPr="004168DD">
              <w:rPr>
                <w:bCs/>
                <w:lang w:val="en-CA"/>
              </w:rPr>
              <w:t xml:space="preserve">MARK SCHRAGER, J.A. </w:t>
            </w:r>
            <w:bookmarkEnd w:id="6"/>
          </w:p>
          <w:p w14:paraId="5078BED5" w14:textId="77777777" w:rsidR="005A78BF" w:rsidRPr="004168DD" w:rsidRDefault="00B409EE" w:rsidP="00985926">
            <w:pPr>
              <w:pStyle w:val="zSoquijdatJuge"/>
              <w:rPr>
                <w:lang w:val="en-CA"/>
              </w:rPr>
            </w:pPr>
            <w:bookmarkStart w:id="7" w:name="_Hlt520513784"/>
            <w:bookmarkStart w:id="8" w:name="NomJuge3"/>
            <w:bookmarkEnd w:id="7"/>
            <w:r w:rsidRPr="004168DD">
              <w:rPr>
                <w:bCs/>
                <w:lang w:val="en-CA"/>
              </w:rPr>
              <w:t>BENOÎT MOORE, J.A.</w:t>
            </w:r>
            <w:bookmarkEnd w:id="8"/>
          </w:p>
        </w:tc>
      </w:tr>
      <w:tr w:rsidR="00535286" w:rsidRPr="004168DD" w14:paraId="60E766F6" w14:textId="77777777" w:rsidTr="008D18FC">
        <w:tc>
          <w:tcPr>
            <w:tcW w:w="9360" w:type="dxa"/>
            <w:gridSpan w:val="6"/>
            <w:tcBorders>
              <w:bottom w:val="single" w:sz="8" w:space="0" w:color="auto"/>
            </w:tcBorders>
          </w:tcPr>
          <w:p w14:paraId="383EEBC3" w14:textId="77777777" w:rsidR="008F364A" w:rsidRPr="004168DD" w:rsidRDefault="008F364A">
            <w:pPr>
              <w:rPr>
                <w:lang w:val="en-CA"/>
              </w:rPr>
            </w:pPr>
          </w:p>
        </w:tc>
      </w:tr>
      <w:tr w:rsidR="00535286" w:rsidRPr="004168DD" w14:paraId="67F71E20" w14:textId="77777777" w:rsidTr="008D18FC">
        <w:tc>
          <w:tcPr>
            <w:tcW w:w="9360" w:type="dxa"/>
            <w:gridSpan w:val="6"/>
          </w:tcPr>
          <w:p w14:paraId="2865E461" w14:textId="77777777" w:rsidR="008F364A" w:rsidRPr="004168DD" w:rsidRDefault="008F364A">
            <w:pPr>
              <w:pStyle w:val="zSoquijlblTitrePartie"/>
              <w:rPr>
                <w:lang w:val="en-CA"/>
              </w:rPr>
            </w:pPr>
          </w:p>
        </w:tc>
      </w:tr>
      <w:tr w:rsidR="00535286" w:rsidRPr="004168DD" w14:paraId="04ECD1FD" w14:textId="77777777" w:rsidTr="008D18FC">
        <w:tc>
          <w:tcPr>
            <w:tcW w:w="9360" w:type="dxa"/>
            <w:gridSpan w:val="6"/>
          </w:tcPr>
          <w:p w14:paraId="0E4B9702" w14:textId="77777777" w:rsidR="008F364A" w:rsidRPr="004168DD" w:rsidRDefault="00B409EE">
            <w:pPr>
              <w:pStyle w:val="zSoquijdatNomPartieDem"/>
              <w:rPr>
                <w:lang w:val="en-CA"/>
              </w:rPr>
            </w:pPr>
            <w:r w:rsidRPr="004168DD">
              <w:rPr>
                <w:lang w:val="en-CA"/>
              </w:rPr>
              <w:t>MIKERLSON VERNELUS</w:t>
            </w:r>
          </w:p>
        </w:tc>
      </w:tr>
      <w:tr w:rsidR="00535286" w:rsidRPr="004168DD" w14:paraId="25992C27" w14:textId="77777777" w:rsidTr="008D18FC">
        <w:tc>
          <w:tcPr>
            <w:tcW w:w="9360" w:type="dxa"/>
            <w:gridSpan w:val="6"/>
          </w:tcPr>
          <w:p w14:paraId="0C409B79" w14:textId="77777777" w:rsidR="008F364A" w:rsidRPr="004168DD" w:rsidRDefault="00B409EE">
            <w:pPr>
              <w:pStyle w:val="zSoquijdatQtePartieDem"/>
              <w:rPr>
                <w:lang w:val="en-CA"/>
              </w:rPr>
            </w:pPr>
            <w:r w:rsidRPr="004168DD">
              <w:rPr>
                <w:lang w:val="en-CA"/>
              </w:rPr>
              <w:t>APPELLANT – Accused</w:t>
            </w:r>
          </w:p>
        </w:tc>
      </w:tr>
      <w:tr w:rsidR="00535286" w:rsidRPr="004168DD" w14:paraId="231DB5C4" w14:textId="77777777" w:rsidTr="008D18FC">
        <w:tc>
          <w:tcPr>
            <w:tcW w:w="9360" w:type="dxa"/>
            <w:gridSpan w:val="6"/>
          </w:tcPr>
          <w:p w14:paraId="003F9AAE" w14:textId="77777777" w:rsidR="008F364A" w:rsidRPr="004168DD" w:rsidRDefault="00B409EE">
            <w:pPr>
              <w:pStyle w:val="zSoquijlblLienParties"/>
              <w:rPr>
                <w:lang w:val="en-CA"/>
              </w:rPr>
            </w:pPr>
            <w:r w:rsidRPr="004168DD">
              <w:rPr>
                <w:lang w:val="en-CA"/>
              </w:rPr>
              <w:t>v.</w:t>
            </w:r>
          </w:p>
        </w:tc>
      </w:tr>
      <w:tr w:rsidR="00535286" w:rsidRPr="004168DD" w14:paraId="481A6BB6" w14:textId="77777777" w:rsidTr="008D18FC">
        <w:tc>
          <w:tcPr>
            <w:tcW w:w="9360" w:type="dxa"/>
            <w:gridSpan w:val="6"/>
          </w:tcPr>
          <w:p w14:paraId="45D2EEA8" w14:textId="77777777" w:rsidR="008F364A" w:rsidRPr="004168DD" w:rsidRDefault="008F364A">
            <w:pPr>
              <w:rPr>
                <w:lang w:val="en-CA"/>
              </w:rPr>
            </w:pPr>
          </w:p>
        </w:tc>
      </w:tr>
      <w:tr w:rsidR="00535286" w:rsidRPr="004168DD" w14:paraId="61358200" w14:textId="77777777" w:rsidTr="008D18FC">
        <w:tc>
          <w:tcPr>
            <w:tcW w:w="9360" w:type="dxa"/>
            <w:gridSpan w:val="6"/>
          </w:tcPr>
          <w:p w14:paraId="38A3064D" w14:textId="77777777" w:rsidR="008F364A" w:rsidRPr="004168DD" w:rsidRDefault="00B409EE">
            <w:pPr>
              <w:pStyle w:val="zSoquijdatNomPartieDef"/>
              <w:rPr>
                <w:lang w:val="en-CA"/>
              </w:rPr>
            </w:pPr>
            <w:r w:rsidRPr="004168DD">
              <w:rPr>
                <w:lang w:val="en-CA"/>
              </w:rPr>
              <w:t>HER MAJESTY THE QUEEN</w:t>
            </w:r>
          </w:p>
        </w:tc>
      </w:tr>
      <w:tr w:rsidR="00535286" w:rsidRPr="004168DD" w14:paraId="2BB15242" w14:textId="77777777" w:rsidTr="008D18FC">
        <w:tc>
          <w:tcPr>
            <w:tcW w:w="9360" w:type="dxa"/>
            <w:gridSpan w:val="6"/>
          </w:tcPr>
          <w:p w14:paraId="5CC92585" w14:textId="77777777" w:rsidR="008F364A" w:rsidRPr="004168DD" w:rsidRDefault="00B409EE">
            <w:pPr>
              <w:pStyle w:val="zSoquijdatQtePartieDef"/>
              <w:rPr>
                <w:lang w:val="en-CA"/>
              </w:rPr>
            </w:pPr>
            <w:r w:rsidRPr="004168DD">
              <w:rPr>
                <w:lang w:val="en-CA"/>
              </w:rPr>
              <w:t>RESPONDENT – Prosecutor</w:t>
            </w:r>
          </w:p>
        </w:tc>
      </w:tr>
      <w:tr w:rsidR="00535286" w:rsidRPr="004168DD" w14:paraId="362986A7" w14:textId="77777777" w:rsidTr="008D18FC">
        <w:tc>
          <w:tcPr>
            <w:tcW w:w="9360" w:type="dxa"/>
            <w:gridSpan w:val="6"/>
          </w:tcPr>
          <w:p w14:paraId="4CAD79E1" w14:textId="77777777" w:rsidR="008F364A" w:rsidRPr="004168DD" w:rsidRDefault="008F364A">
            <w:pPr>
              <w:rPr>
                <w:lang w:val="en-CA"/>
              </w:rPr>
            </w:pPr>
          </w:p>
        </w:tc>
      </w:tr>
      <w:tr w:rsidR="00535286" w:rsidRPr="004168DD" w14:paraId="3F7CE4F8" w14:textId="77777777" w:rsidTr="008D18FC">
        <w:tc>
          <w:tcPr>
            <w:tcW w:w="9360" w:type="dxa"/>
            <w:gridSpan w:val="6"/>
            <w:tcBorders>
              <w:top w:val="single" w:sz="8" w:space="0" w:color="auto"/>
            </w:tcBorders>
          </w:tcPr>
          <w:p w14:paraId="721F8D4E" w14:textId="77777777" w:rsidR="008F364A" w:rsidRPr="004168DD" w:rsidRDefault="008F364A">
            <w:pPr>
              <w:rPr>
                <w:lang w:val="en-CA"/>
              </w:rPr>
            </w:pPr>
            <w:bookmarkStart w:id="9" w:name="Arret"/>
          </w:p>
        </w:tc>
      </w:tr>
      <w:tr w:rsidR="00535286" w:rsidRPr="004168DD" w14:paraId="108750A4" w14:textId="77777777" w:rsidTr="008D18FC">
        <w:tc>
          <w:tcPr>
            <w:tcW w:w="9360" w:type="dxa"/>
            <w:gridSpan w:val="6"/>
          </w:tcPr>
          <w:p w14:paraId="3568CCD8" w14:textId="77777777" w:rsidR="008F364A" w:rsidRPr="004168DD" w:rsidRDefault="00B409EE">
            <w:pPr>
              <w:pStyle w:val="zSoquijlblTypeDocument"/>
              <w:rPr>
                <w:lang w:val="en-CA"/>
              </w:rPr>
            </w:pPr>
            <w:bookmarkStart w:id="10" w:name="TitreDocument"/>
            <w:r w:rsidRPr="004168DD">
              <w:rPr>
                <w:lang w:val="en-CA"/>
              </w:rPr>
              <w:t>JUDGMENT</w:t>
            </w:r>
            <w:bookmarkEnd w:id="10"/>
          </w:p>
        </w:tc>
      </w:tr>
      <w:tr w:rsidR="00535286" w:rsidRPr="004168DD" w14:paraId="0FCACD43" w14:textId="77777777" w:rsidTr="008D18FC">
        <w:tc>
          <w:tcPr>
            <w:tcW w:w="9360" w:type="dxa"/>
            <w:gridSpan w:val="6"/>
            <w:tcBorders>
              <w:bottom w:val="single" w:sz="8" w:space="0" w:color="auto"/>
            </w:tcBorders>
          </w:tcPr>
          <w:p w14:paraId="322D52B6" w14:textId="77777777" w:rsidR="008F364A" w:rsidRPr="004168DD" w:rsidRDefault="008F364A">
            <w:pPr>
              <w:rPr>
                <w:lang w:val="en-CA"/>
              </w:rPr>
            </w:pPr>
          </w:p>
        </w:tc>
      </w:tr>
      <w:tr w:rsidR="00535286" w:rsidRPr="004168DD" w14:paraId="6652B31C" w14:textId="77777777" w:rsidTr="008D18FC">
        <w:tc>
          <w:tcPr>
            <w:tcW w:w="9360" w:type="dxa"/>
            <w:gridSpan w:val="6"/>
            <w:tcBorders>
              <w:top w:val="single" w:sz="8" w:space="0" w:color="auto"/>
            </w:tcBorders>
          </w:tcPr>
          <w:p w14:paraId="72313F34" w14:textId="77777777" w:rsidR="008F364A" w:rsidRPr="004168DD" w:rsidRDefault="008F364A">
            <w:pPr>
              <w:rPr>
                <w:lang w:val="en-CA"/>
              </w:rPr>
            </w:pPr>
          </w:p>
        </w:tc>
      </w:tr>
    </w:tbl>
    <w:p w14:paraId="0DAE37E1" w14:textId="3F98F4D6" w:rsidR="008F364A" w:rsidRPr="004168DD" w:rsidRDefault="00B409EE" w:rsidP="008B5050">
      <w:pPr>
        <w:pStyle w:val="Paragraphe"/>
        <w:spacing w:before="240" w:after="180" w:line="240" w:lineRule="auto"/>
        <w:rPr>
          <w:lang w:val="en-CA"/>
        </w:rPr>
      </w:pPr>
      <w:r w:rsidRPr="004168DD">
        <w:rPr>
          <w:lang w:val="en-CA"/>
        </w:rPr>
        <w:t>The appellant appeals against a verdict rendered orally on October 17, 2018, by the Court of Québec, Criminal and Penal Division (the Honourable Louise Provost), which found the appellant guilty of possession of a firearm and breach of his recognizance after a two-day trial held on September 6 and 7, 2018.</w:t>
      </w:r>
    </w:p>
    <w:p w14:paraId="15DCA51C" w14:textId="77777777" w:rsidR="00FA47D5" w:rsidRPr="004168DD" w:rsidRDefault="00B409EE" w:rsidP="008B5050">
      <w:pPr>
        <w:pStyle w:val="Paragraphe"/>
        <w:spacing w:before="180" w:after="180" w:line="240" w:lineRule="auto"/>
        <w:rPr>
          <w:lang w:val="en-CA"/>
        </w:rPr>
      </w:pPr>
      <w:r w:rsidRPr="004168DD">
        <w:rPr>
          <w:lang w:val="en-CA"/>
        </w:rPr>
        <w:t>For the reasons of Moore, J.A., with which Pelletier, J.A. concurs</w:t>
      </w:r>
      <w:r w:rsidR="00FA47D5" w:rsidRPr="004168DD">
        <w:rPr>
          <w:lang w:val="en-CA"/>
        </w:rPr>
        <w:t>;</w:t>
      </w:r>
    </w:p>
    <w:p w14:paraId="6FA26C21" w14:textId="7AD9F017" w:rsidR="002205DD" w:rsidRPr="004168DD" w:rsidRDefault="00B409EE" w:rsidP="00FA47D5">
      <w:pPr>
        <w:pStyle w:val="Paragraphe"/>
        <w:numPr>
          <w:ilvl w:val="0"/>
          <w:numId w:val="0"/>
        </w:numPr>
        <w:spacing w:before="180" w:after="180" w:line="240" w:lineRule="auto"/>
        <w:rPr>
          <w:lang w:val="en-CA"/>
        </w:rPr>
      </w:pPr>
      <w:r w:rsidRPr="004168DD">
        <w:rPr>
          <w:b/>
          <w:bCs/>
          <w:lang w:val="en-CA"/>
        </w:rPr>
        <w:t>THE COURT</w:t>
      </w:r>
      <w:r w:rsidRPr="004168DD">
        <w:rPr>
          <w:lang w:val="en-CA"/>
        </w:rPr>
        <w:t>:</w:t>
      </w:r>
    </w:p>
    <w:p w14:paraId="3C18D290" w14:textId="0D45BFB9" w:rsidR="00A9415B" w:rsidRPr="00404996" w:rsidRDefault="00B409EE" w:rsidP="00404996">
      <w:pPr>
        <w:pStyle w:val="Paragraphe"/>
        <w:spacing w:before="180" w:after="180" w:line="240" w:lineRule="auto"/>
        <w:rPr>
          <w:lang w:val="en-CA"/>
        </w:rPr>
      </w:pPr>
      <w:r w:rsidRPr="00404996">
        <w:rPr>
          <w:b/>
          <w:bCs/>
          <w:lang w:val="en-CA"/>
        </w:rPr>
        <w:t>DISMISSES</w:t>
      </w:r>
      <w:r w:rsidRPr="00404996">
        <w:rPr>
          <w:lang w:val="en-CA"/>
        </w:rPr>
        <w:t xml:space="preserve"> the appeal;</w:t>
      </w:r>
      <w:r w:rsidRPr="00404996">
        <w:rPr>
          <w:lang w:val="en-CA"/>
        </w:rPr>
        <w:br w:type="page"/>
      </w:r>
    </w:p>
    <w:p w14:paraId="1F52C2A5" w14:textId="77777777" w:rsidR="00A9415B" w:rsidRPr="004168DD" w:rsidRDefault="00A9415B">
      <w:pPr>
        <w:spacing w:line="240" w:lineRule="auto"/>
        <w:rPr>
          <w:lang w:val="en-CA"/>
        </w:rPr>
      </w:pPr>
    </w:p>
    <w:p w14:paraId="4501EFBC" w14:textId="2446C9DD" w:rsidR="002205DD" w:rsidRPr="004168DD" w:rsidRDefault="00B409EE" w:rsidP="008B5050">
      <w:pPr>
        <w:pStyle w:val="Paragraphe"/>
        <w:spacing w:before="180" w:after="180" w:line="240" w:lineRule="auto"/>
        <w:rPr>
          <w:lang w:val="en-CA"/>
        </w:rPr>
      </w:pPr>
      <w:r w:rsidRPr="004168DD">
        <w:rPr>
          <w:lang w:val="en-CA"/>
        </w:rPr>
        <w:t>For other reasons, Schrager, J.A. would have reversed the judgment and substituted acquittals.</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1997"/>
        <w:gridCol w:w="2685"/>
        <w:gridCol w:w="4680"/>
      </w:tblGrid>
      <w:tr w:rsidR="00535286" w:rsidRPr="004168DD" w14:paraId="7C8A28BF" w14:textId="77777777" w:rsidTr="003E3239">
        <w:trPr>
          <w:trHeight w:val="576"/>
        </w:trPr>
        <w:tc>
          <w:tcPr>
            <w:tcW w:w="9362" w:type="dxa"/>
            <w:gridSpan w:val="3"/>
            <w:tcBorders>
              <w:top w:val="nil"/>
              <w:bottom w:val="nil"/>
            </w:tcBorders>
          </w:tcPr>
          <w:p w14:paraId="7656D72F" w14:textId="77777777" w:rsidR="008F364A" w:rsidRPr="004168DD" w:rsidRDefault="008F364A" w:rsidP="00685567">
            <w:pPr>
              <w:keepNext/>
              <w:spacing w:line="240" w:lineRule="auto"/>
              <w:rPr>
                <w:lang w:val="en-CA"/>
              </w:rPr>
            </w:pPr>
          </w:p>
        </w:tc>
      </w:tr>
      <w:tr w:rsidR="00535286" w:rsidRPr="004168DD" w14:paraId="0025A98E" w14:textId="77777777" w:rsidTr="00117914">
        <w:trPr>
          <w:trHeight w:val="283"/>
        </w:trPr>
        <w:tc>
          <w:tcPr>
            <w:tcW w:w="4682" w:type="dxa"/>
            <w:gridSpan w:val="2"/>
            <w:tcBorders>
              <w:top w:val="nil"/>
              <w:bottom w:val="nil"/>
            </w:tcBorders>
          </w:tcPr>
          <w:p w14:paraId="5B4A1F32" w14:textId="77777777" w:rsidR="008F364A" w:rsidRPr="004168DD" w:rsidRDefault="008F364A" w:rsidP="00685567">
            <w:pPr>
              <w:keepNext/>
              <w:spacing w:line="240" w:lineRule="auto"/>
              <w:rPr>
                <w:lang w:val="en-CA"/>
              </w:rPr>
            </w:pPr>
          </w:p>
        </w:tc>
        <w:tc>
          <w:tcPr>
            <w:tcW w:w="4680" w:type="dxa"/>
            <w:tcBorders>
              <w:top w:val="nil"/>
              <w:bottom w:val="single" w:sz="8" w:space="0" w:color="auto"/>
            </w:tcBorders>
          </w:tcPr>
          <w:p w14:paraId="459BAC16" w14:textId="77777777" w:rsidR="008F364A" w:rsidRPr="004168DD" w:rsidRDefault="008F364A" w:rsidP="00685567">
            <w:pPr>
              <w:keepNext/>
              <w:spacing w:line="240" w:lineRule="auto"/>
              <w:rPr>
                <w:lang w:val="en-CA"/>
              </w:rPr>
            </w:pPr>
          </w:p>
        </w:tc>
      </w:tr>
      <w:tr w:rsidR="00535286" w:rsidRPr="004168DD" w14:paraId="6F9B2007" w14:textId="77777777" w:rsidTr="00117914">
        <w:trPr>
          <w:trHeight w:val="283"/>
        </w:trPr>
        <w:tc>
          <w:tcPr>
            <w:tcW w:w="4682" w:type="dxa"/>
            <w:gridSpan w:val="2"/>
            <w:tcBorders>
              <w:top w:val="nil"/>
            </w:tcBorders>
          </w:tcPr>
          <w:p w14:paraId="3FE64CBB" w14:textId="77777777" w:rsidR="008F364A" w:rsidRPr="004168DD" w:rsidRDefault="008F364A" w:rsidP="00685567">
            <w:pPr>
              <w:keepNext/>
              <w:spacing w:line="240" w:lineRule="auto"/>
              <w:rPr>
                <w:lang w:val="en-CA"/>
              </w:rPr>
            </w:pPr>
          </w:p>
        </w:tc>
        <w:tc>
          <w:tcPr>
            <w:tcW w:w="4680" w:type="dxa"/>
            <w:tcBorders>
              <w:top w:val="single" w:sz="8" w:space="0" w:color="auto"/>
            </w:tcBorders>
          </w:tcPr>
          <w:p w14:paraId="011A78DB" w14:textId="77777777" w:rsidR="008F364A" w:rsidRPr="004168DD" w:rsidRDefault="00B409EE" w:rsidP="00685567">
            <w:pPr>
              <w:spacing w:line="240" w:lineRule="auto"/>
              <w:rPr>
                <w:lang w:val="en-CA"/>
              </w:rPr>
            </w:pPr>
            <w:r w:rsidRPr="004168DD">
              <w:rPr>
                <w:lang w:val="en-CA"/>
              </w:rPr>
              <w:t>FRANÇOIS PELLETIER, J.A.</w:t>
            </w:r>
          </w:p>
        </w:tc>
      </w:tr>
      <w:tr w:rsidR="00535286" w:rsidRPr="004168DD" w14:paraId="12F608F9" w14:textId="77777777" w:rsidTr="00117914">
        <w:trPr>
          <w:trHeight w:val="283"/>
        </w:trPr>
        <w:tc>
          <w:tcPr>
            <w:tcW w:w="4682" w:type="dxa"/>
            <w:gridSpan w:val="2"/>
            <w:tcBorders>
              <w:top w:val="nil"/>
            </w:tcBorders>
          </w:tcPr>
          <w:p w14:paraId="2D28AEC5" w14:textId="77777777" w:rsidR="008F364A" w:rsidRPr="004168DD" w:rsidRDefault="008F364A" w:rsidP="00685567">
            <w:pPr>
              <w:keepNext/>
              <w:spacing w:line="240" w:lineRule="auto"/>
              <w:rPr>
                <w:lang w:val="en-CA"/>
              </w:rPr>
            </w:pPr>
            <w:bookmarkStart w:id="11" w:name="Signature2"/>
          </w:p>
        </w:tc>
        <w:tc>
          <w:tcPr>
            <w:tcW w:w="4680" w:type="dxa"/>
            <w:tcBorders>
              <w:top w:val="nil"/>
            </w:tcBorders>
          </w:tcPr>
          <w:p w14:paraId="0CC5951C" w14:textId="77777777" w:rsidR="008F364A" w:rsidRPr="004168DD" w:rsidRDefault="008F364A" w:rsidP="00685567">
            <w:pPr>
              <w:keepNext/>
              <w:spacing w:line="240" w:lineRule="auto"/>
              <w:rPr>
                <w:lang w:val="en-CA"/>
              </w:rPr>
            </w:pPr>
          </w:p>
        </w:tc>
      </w:tr>
      <w:tr w:rsidR="00535286" w:rsidRPr="004168DD" w14:paraId="133CC322" w14:textId="77777777" w:rsidTr="00117914">
        <w:trPr>
          <w:trHeight w:val="283"/>
        </w:trPr>
        <w:tc>
          <w:tcPr>
            <w:tcW w:w="4682" w:type="dxa"/>
            <w:gridSpan w:val="2"/>
            <w:tcBorders>
              <w:top w:val="nil"/>
              <w:bottom w:val="nil"/>
            </w:tcBorders>
          </w:tcPr>
          <w:p w14:paraId="03C2FBF9" w14:textId="77777777" w:rsidR="008F364A" w:rsidRPr="004168DD" w:rsidRDefault="008F364A" w:rsidP="00685567">
            <w:pPr>
              <w:keepNext/>
              <w:spacing w:line="240" w:lineRule="auto"/>
              <w:rPr>
                <w:lang w:val="en-CA"/>
              </w:rPr>
            </w:pPr>
          </w:p>
        </w:tc>
        <w:tc>
          <w:tcPr>
            <w:tcW w:w="4680" w:type="dxa"/>
            <w:tcBorders>
              <w:top w:val="nil"/>
              <w:bottom w:val="single" w:sz="8" w:space="0" w:color="auto"/>
            </w:tcBorders>
          </w:tcPr>
          <w:p w14:paraId="6A4925D1" w14:textId="77777777" w:rsidR="008F364A" w:rsidRPr="004168DD" w:rsidRDefault="008F364A" w:rsidP="00685567">
            <w:pPr>
              <w:keepNext/>
              <w:spacing w:line="240" w:lineRule="auto"/>
              <w:rPr>
                <w:lang w:val="en-CA"/>
              </w:rPr>
            </w:pPr>
          </w:p>
        </w:tc>
      </w:tr>
      <w:tr w:rsidR="00535286" w:rsidRPr="004168DD" w14:paraId="0F01D33F" w14:textId="77777777" w:rsidTr="00117914">
        <w:trPr>
          <w:trHeight w:val="283"/>
        </w:trPr>
        <w:tc>
          <w:tcPr>
            <w:tcW w:w="4682" w:type="dxa"/>
            <w:gridSpan w:val="2"/>
            <w:tcBorders>
              <w:top w:val="nil"/>
            </w:tcBorders>
          </w:tcPr>
          <w:p w14:paraId="1D169AAA" w14:textId="77777777" w:rsidR="008F364A" w:rsidRPr="004168DD" w:rsidRDefault="008F364A" w:rsidP="00685567">
            <w:pPr>
              <w:keepNext/>
              <w:spacing w:line="240" w:lineRule="auto"/>
              <w:rPr>
                <w:lang w:val="en-CA"/>
              </w:rPr>
            </w:pPr>
          </w:p>
        </w:tc>
        <w:tc>
          <w:tcPr>
            <w:tcW w:w="4680" w:type="dxa"/>
            <w:tcBorders>
              <w:top w:val="single" w:sz="8" w:space="0" w:color="auto"/>
            </w:tcBorders>
          </w:tcPr>
          <w:p w14:paraId="07381ECA" w14:textId="77777777" w:rsidR="008F364A" w:rsidRPr="004168DD" w:rsidRDefault="00B409EE" w:rsidP="00685567">
            <w:pPr>
              <w:keepNext/>
              <w:spacing w:line="240" w:lineRule="auto"/>
              <w:rPr>
                <w:lang w:val="en-CA"/>
              </w:rPr>
            </w:pPr>
            <w:r w:rsidRPr="004168DD">
              <w:rPr>
                <w:lang w:val="en-CA"/>
              </w:rPr>
              <w:t>MARK SCHRAGER, J.A.</w:t>
            </w:r>
          </w:p>
        </w:tc>
      </w:tr>
      <w:tr w:rsidR="00535286" w:rsidRPr="004168DD" w14:paraId="1771E679" w14:textId="77777777" w:rsidTr="00117914">
        <w:trPr>
          <w:trHeight w:val="283"/>
        </w:trPr>
        <w:tc>
          <w:tcPr>
            <w:tcW w:w="4682" w:type="dxa"/>
            <w:gridSpan w:val="2"/>
            <w:tcBorders>
              <w:top w:val="nil"/>
            </w:tcBorders>
          </w:tcPr>
          <w:p w14:paraId="5411E3A3" w14:textId="77777777" w:rsidR="008F364A" w:rsidRPr="004168DD" w:rsidRDefault="008F364A" w:rsidP="00685567">
            <w:pPr>
              <w:keepNext/>
              <w:spacing w:line="240" w:lineRule="auto"/>
              <w:rPr>
                <w:lang w:val="en-CA"/>
              </w:rPr>
            </w:pPr>
            <w:bookmarkStart w:id="12" w:name="Signature3"/>
            <w:bookmarkEnd w:id="11"/>
          </w:p>
        </w:tc>
        <w:tc>
          <w:tcPr>
            <w:tcW w:w="4680" w:type="dxa"/>
            <w:tcBorders>
              <w:top w:val="nil"/>
            </w:tcBorders>
          </w:tcPr>
          <w:p w14:paraId="4D56D68E" w14:textId="77777777" w:rsidR="008F364A" w:rsidRPr="004168DD" w:rsidRDefault="008F364A" w:rsidP="00685567">
            <w:pPr>
              <w:keepNext/>
              <w:spacing w:line="240" w:lineRule="auto"/>
              <w:rPr>
                <w:lang w:val="en-CA"/>
              </w:rPr>
            </w:pPr>
          </w:p>
        </w:tc>
      </w:tr>
      <w:tr w:rsidR="00535286" w:rsidRPr="004168DD" w14:paraId="3AD033CA" w14:textId="77777777" w:rsidTr="00117914">
        <w:trPr>
          <w:trHeight w:val="283"/>
        </w:trPr>
        <w:tc>
          <w:tcPr>
            <w:tcW w:w="4682" w:type="dxa"/>
            <w:gridSpan w:val="2"/>
            <w:tcBorders>
              <w:top w:val="nil"/>
              <w:bottom w:val="nil"/>
            </w:tcBorders>
          </w:tcPr>
          <w:p w14:paraId="07A35E1E" w14:textId="77777777" w:rsidR="008F364A" w:rsidRPr="004168DD" w:rsidRDefault="008F364A" w:rsidP="00685567">
            <w:pPr>
              <w:keepNext/>
              <w:spacing w:line="240" w:lineRule="auto"/>
              <w:rPr>
                <w:lang w:val="en-CA"/>
              </w:rPr>
            </w:pPr>
          </w:p>
        </w:tc>
        <w:tc>
          <w:tcPr>
            <w:tcW w:w="4680" w:type="dxa"/>
            <w:tcBorders>
              <w:top w:val="nil"/>
              <w:bottom w:val="single" w:sz="8" w:space="0" w:color="auto"/>
            </w:tcBorders>
          </w:tcPr>
          <w:p w14:paraId="215E542E" w14:textId="77777777" w:rsidR="008F364A" w:rsidRPr="004168DD" w:rsidRDefault="008F364A" w:rsidP="00685567">
            <w:pPr>
              <w:keepNext/>
              <w:spacing w:line="240" w:lineRule="auto"/>
              <w:rPr>
                <w:lang w:val="en-CA"/>
              </w:rPr>
            </w:pPr>
          </w:p>
        </w:tc>
      </w:tr>
      <w:tr w:rsidR="00535286" w:rsidRPr="004168DD" w14:paraId="1CB9F869" w14:textId="77777777" w:rsidTr="00117914">
        <w:trPr>
          <w:trHeight w:val="283"/>
        </w:trPr>
        <w:tc>
          <w:tcPr>
            <w:tcW w:w="4682" w:type="dxa"/>
            <w:gridSpan w:val="2"/>
            <w:tcBorders>
              <w:top w:val="nil"/>
            </w:tcBorders>
          </w:tcPr>
          <w:p w14:paraId="605FA65F" w14:textId="77777777" w:rsidR="008F364A" w:rsidRPr="004168DD" w:rsidRDefault="008F364A" w:rsidP="00685567">
            <w:pPr>
              <w:keepNext/>
              <w:spacing w:line="240" w:lineRule="auto"/>
              <w:rPr>
                <w:lang w:val="en-CA"/>
              </w:rPr>
            </w:pPr>
          </w:p>
        </w:tc>
        <w:tc>
          <w:tcPr>
            <w:tcW w:w="4680" w:type="dxa"/>
            <w:tcBorders>
              <w:top w:val="single" w:sz="8" w:space="0" w:color="auto"/>
            </w:tcBorders>
          </w:tcPr>
          <w:p w14:paraId="507E6A1F" w14:textId="77777777" w:rsidR="008F364A" w:rsidRPr="004168DD" w:rsidRDefault="00B409EE" w:rsidP="00685567">
            <w:pPr>
              <w:keepNext/>
              <w:spacing w:line="240" w:lineRule="auto"/>
              <w:rPr>
                <w:lang w:val="en-CA"/>
              </w:rPr>
            </w:pPr>
            <w:r w:rsidRPr="004168DD">
              <w:rPr>
                <w:lang w:val="en-CA"/>
              </w:rPr>
              <w:t>BENOÎT MOORE, J.A.</w:t>
            </w:r>
          </w:p>
        </w:tc>
      </w:tr>
      <w:bookmarkEnd w:id="12"/>
      <w:tr w:rsidR="00535286" w:rsidRPr="004168DD" w14:paraId="132DA0F9" w14:textId="77777777" w:rsidTr="00985926">
        <w:tc>
          <w:tcPr>
            <w:tcW w:w="9362" w:type="dxa"/>
            <w:gridSpan w:val="3"/>
            <w:tcBorders>
              <w:bottom w:val="nil"/>
            </w:tcBorders>
          </w:tcPr>
          <w:p w14:paraId="257BA31F" w14:textId="77777777" w:rsidR="005A78BF" w:rsidRPr="004168DD" w:rsidRDefault="005A78BF" w:rsidP="00685567">
            <w:pPr>
              <w:spacing w:line="240" w:lineRule="auto"/>
              <w:rPr>
                <w:lang w:val="en-CA"/>
              </w:rPr>
            </w:pPr>
          </w:p>
        </w:tc>
      </w:tr>
      <w:tr w:rsidR="00535286" w:rsidRPr="004168DD" w14:paraId="09FF1420" w14:textId="77777777" w:rsidTr="00985926">
        <w:tc>
          <w:tcPr>
            <w:tcW w:w="9362" w:type="dxa"/>
            <w:gridSpan w:val="3"/>
            <w:tcBorders>
              <w:top w:val="nil"/>
            </w:tcBorders>
          </w:tcPr>
          <w:p w14:paraId="58853996" w14:textId="77777777" w:rsidR="005A78BF" w:rsidRPr="004168DD" w:rsidRDefault="00B409EE" w:rsidP="00685567">
            <w:pPr>
              <w:pStyle w:val="zSoquijdatNomProcureurDem"/>
              <w:spacing w:line="240" w:lineRule="auto"/>
              <w:rPr>
                <w:lang w:val="en-CA"/>
              </w:rPr>
            </w:pPr>
            <w:r w:rsidRPr="004168DD">
              <w:rPr>
                <w:lang w:val="en-CA"/>
              </w:rPr>
              <w:t>Mtre David Leclair</w:t>
            </w:r>
          </w:p>
        </w:tc>
      </w:tr>
      <w:tr w:rsidR="00535286" w:rsidRPr="004168DD" w14:paraId="1FFD31DF" w14:textId="77777777" w:rsidTr="00423DF1">
        <w:tc>
          <w:tcPr>
            <w:tcW w:w="9362" w:type="dxa"/>
            <w:gridSpan w:val="3"/>
          </w:tcPr>
          <w:p w14:paraId="19B3C0EE" w14:textId="77777777" w:rsidR="005A78BF" w:rsidRPr="004168DD" w:rsidRDefault="00B409EE" w:rsidP="00685567">
            <w:pPr>
              <w:pStyle w:val="zSoquijdatCabinetProcureurDem"/>
              <w:spacing w:line="240" w:lineRule="auto"/>
              <w:rPr>
                <w:lang w:val="en-CA"/>
              </w:rPr>
            </w:pPr>
            <w:r w:rsidRPr="004168DD">
              <w:rPr>
                <w:lang w:val="en-CA"/>
              </w:rPr>
              <w:t>DAVID LECLAIR, AVOCAT</w:t>
            </w:r>
          </w:p>
        </w:tc>
      </w:tr>
      <w:tr w:rsidR="00535286" w:rsidRPr="004168DD" w14:paraId="6DE5453A" w14:textId="77777777" w:rsidTr="00423DF1">
        <w:tc>
          <w:tcPr>
            <w:tcW w:w="9362" w:type="dxa"/>
            <w:gridSpan w:val="3"/>
          </w:tcPr>
          <w:p w14:paraId="4F6EEF75" w14:textId="7EE75053" w:rsidR="005A78BF" w:rsidRPr="004168DD" w:rsidRDefault="00B409EE" w:rsidP="00685567">
            <w:pPr>
              <w:pStyle w:val="zSoquijlblProcureurDem"/>
              <w:spacing w:line="240" w:lineRule="auto"/>
              <w:rPr>
                <w:lang w:val="en-CA"/>
              </w:rPr>
            </w:pPr>
            <w:r w:rsidRPr="004168DD">
              <w:rPr>
                <w:lang w:val="en-CA"/>
              </w:rPr>
              <w:t>For the appellant</w:t>
            </w:r>
          </w:p>
        </w:tc>
      </w:tr>
      <w:tr w:rsidR="00535286" w:rsidRPr="004168DD" w14:paraId="2E2517F0" w14:textId="77777777" w:rsidTr="00423DF1">
        <w:tc>
          <w:tcPr>
            <w:tcW w:w="9362" w:type="dxa"/>
            <w:gridSpan w:val="3"/>
          </w:tcPr>
          <w:p w14:paraId="0F9DA73A" w14:textId="77777777" w:rsidR="005A78BF" w:rsidRPr="004168DD" w:rsidRDefault="005A78BF" w:rsidP="00685567">
            <w:pPr>
              <w:spacing w:line="240" w:lineRule="auto"/>
              <w:rPr>
                <w:lang w:val="en-CA"/>
              </w:rPr>
            </w:pPr>
          </w:p>
        </w:tc>
      </w:tr>
      <w:tr w:rsidR="00535286" w:rsidRPr="004168DD" w14:paraId="01AA718E" w14:textId="77777777" w:rsidTr="00423DF1">
        <w:tc>
          <w:tcPr>
            <w:tcW w:w="9362" w:type="dxa"/>
            <w:gridSpan w:val="3"/>
          </w:tcPr>
          <w:p w14:paraId="6014310C" w14:textId="50D3F3DD" w:rsidR="005A78BF" w:rsidRPr="004168DD" w:rsidRDefault="00B409EE" w:rsidP="00685567">
            <w:pPr>
              <w:pStyle w:val="zSoquijdatNomProcureurDef"/>
              <w:spacing w:line="240" w:lineRule="auto"/>
              <w:rPr>
                <w:lang w:val="en-CA"/>
              </w:rPr>
            </w:pPr>
            <w:r w:rsidRPr="004168DD">
              <w:rPr>
                <w:lang w:val="en-CA"/>
              </w:rPr>
              <w:t>Mtre Jean-Philippe Mackay</w:t>
            </w:r>
          </w:p>
        </w:tc>
      </w:tr>
      <w:tr w:rsidR="00535286" w:rsidRPr="004168DD" w14:paraId="73B58D52" w14:textId="77777777" w:rsidTr="00423DF1">
        <w:tc>
          <w:tcPr>
            <w:tcW w:w="9362" w:type="dxa"/>
            <w:gridSpan w:val="3"/>
          </w:tcPr>
          <w:p w14:paraId="02D3000C" w14:textId="77777777" w:rsidR="005A78BF" w:rsidRPr="004168DD" w:rsidRDefault="00B409EE" w:rsidP="00685567">
            <w:pPr>
              <w:pStyle w:val="zSoquijdatCabinetProcureurDef"/>
              <w:spacing w:line="240" w:lineRule="auto"/>
              <w:rPr>
                <w:lang w:val="en-CA"/>
              </w:rPr>
            </w:pPr>
            <w:r w:rsidRPr="004168DD">
              <w:rPr>
                <w:lang w:val="en-CA"/>
              </w:rPr>
              <w:t>DIRECTOR OF CRIMINAL AND PENAL PROSECUTIONS</w:t>
            </w:r>
          </w:p>
        </w:tc>
      </w:tr>
      <w:tr w:rsidR="00535286" w:rsidRPr="004168DD" w14:paraId="4A55A895" w14:textId="77777777" w:rsidTr="00423DF1">
        <w:tc>
          <w:tcPr>
            <w:tcW w:w="9362" w:type="dxa"/>
            <w:gridSpan w:val="3"/>
          </w:tcPr>
          <w:p w14:paraId="16FB8623" w14:textId="53135B53" w:rsidR="005A78BF" w:rsidRPr="004168DD" w:rsidRDefault="00B409EE" w:rsidP="00685567">
            <w:pPr>
              <w:pStyle w:val="zSoquijlblProcureurDef"/>
              <w:spacing w:line="240" w:lineRule="auto"/>
              <w:rPr>
                <w:lang w:val="en-CA"/>
              </w:rPr>
            </w:pPr>
            <w:r w:rsidRPr="004168DD">
              <w:rPr>
                <w:lang w:val="en-CA"/>
              </w:rPr>
              <w:t>For the respondent</w:t>
            </w:r>
          </w:p>
        </w:tc>
      </w:tr>
      <w:tr w:rsidR="00535286" w:rsidRPr="004168DD" w14:paraId="22B0D41A" w14:textId="77777777" w:rsidTr="00423DF1">
        <w:tc>
          <w:tcPr>
            <w:tcW w:w="9362" w:type="dxa"/>
            <w:gridSpan w:val="3"/>
          </w:tcPr>
          <w:p w14:paraId="53313AFD" w14:textId="77777777" w:rsidR="005A78BF" w:rsidRPr="004168DD" w:rsidRDefault="005A78BF" w:rsidP="00685567">
            <w:pPr>
              <w:spacing w:line="240" w:lineRule="auto"/>
              <w:rPr>
                <w:lang w:val="en-CA"/>
              </w:rPr>
            </w:pPr>
          </w:p>
        </w:tc>
      </w:tr>
      <w:tr w:rsidR="00535286" w:rsidRPr="004168DD" w14:paraId="0F5083F8" w14:textId="77777777" w:rsidTr="00423DF1">
        <w:tc>
          <w:tcPr>
            <w:tcW w:w="1997" w:type="dxa"/>
          </w:tcPr>
          <w:p w14:paraId="74C5BB44" w14:textId="2048DB0A" w:rsidR="005A78BF" w:rsidRPr="004168DD" w:rsidRDefault="00B409EE" w:rsidP="00685567">
            <w:pPr>
              <w:pStyle w:val="zSoquijlblDateAudience"/>
              <w:spacing w:line="240" w:lineRule="auto"/>
              <w:rPr>
                <w:lang w:val="en-CA"/>
              </w:rPr>
            </w:pPr>
            <w:r w:rsidRPr="004168DD">
              <w:rPr>
                <w:lang w:val="en-CA"/>
              </w:rPr>
              <w:t>Date of hearing:</w:t>
            </w:r>
          </w:p>
        </w:tc>
        <w:tc>
          <w:tcPr>
            <w:tcW w:w="7365" w:type="dxa"/>
            <w:gridSpan w:val="2"/>
          </w:tcPr>
          <w:p w14:paraId="60AE0707" w14:textId="77777777" w:rsidR="005A78BF" w:rsidRPr="004168DD" w:rsidRDefault="00B409EE" w:rsidP="00685567">
            <w:pPr>
              <w:pStyle w:val="zSoquijdatDateAudience"/>
              <w:spacing w:line="240" w:lineRule="auto"/>
              <w:rPr>
                <w:lang w:val="en-CA"/>
              </w:rPr>
            </w:pPr>
            <w:r w:rsidRPr="004168DD">
              <w:rPr>
                <w:lang w:val="en-CA"/>
              </w:rPr>
              <w:t>December 8, 2021</w:t>
            </w:r>
          </w:p>
        </w:tc>
      </w:tr>
    </w:tbl>
    <w:p w14:paraId="1EE36E34" w14:textId="77777777" w:rsidR="008A2CE7" w:rsidRPr="004168DD" w:rsidRDefault="008A2CE7" w:rsidP="00685567">
      <w:pPr>
        <w:spacing w:line="240" w:lineRule="auto"/>
        <w:rPr>
          <w:lang w:val="en-CA"/>
        </w:rPr>
        <w:sectPr w:rsidR="008A2CE7" w:rsidRPr="004168DD" w:rsidSect="00874167">
          <w:headerReference w:type="default" r:id="rId8"/>
          <w:footnotePr>
            <w:numRestart w:val="eachSect"/>
          </w:footnotePr>
          <w:pgSz w:w="12242" w:h="15842" w:code="1"/>
          <w:pgMar w:top="1440" w:right="1008" w:bottom="1440" w:left="1872" w:header="1440" w:footer="792" w:gutter="0"/>
          <w:cols w:space="720"/>
          <w:formProt w:val="0"/>
          <w:titlePg/>
          <w:docGrid w:linePitch="326"/>
        </w:sectPr>
      </w:pPr>
      <w:bookmarkStart w:id="13" w:name="Opinion"/>
      <w:bookmarkEnd w:id="9"/>
    </w:p>
    <w:tbl>
      <w:tblPr>
        <w:tblW w:w="0" w:type="auto"/>
        <w:tblLayout w:type="fixed"/>
        <w:tblCellMar>
          <w:left w:w="0" w:type="dxa"/>
          <w:right w:w="0" w:type="dxa"/>
        </w:tblCellMar>
        <w:tblLook w:val="0000" w:firstRow="0" w:lastRow="0" w:firstColumn="0" w:lastColumn="0" w:noHBand="0" w:noVBand="0"/>
      </w:tblPr>
      <w:tblGrid>
        <w:gridCol w:w="9360"/>
      </w:tblGrid>
      <w:tr w:rsidR="00535286" w:rsidRPr="004168DD" w14:paraId="3907B4CD" w14:textId="77777777" w:rsidTr="00F26CDA">
        <w:tc>
          <w:tcPr>
            <w:tcW w:w="9360" w:type="dxa"/>
            <w:tcBorders>
              <w:bottom w:val="single" w:sz="8" w:space="0" w:color="auto"/>
            </w:tcBorders>
          </w:tcPr>
          <w:p w14:paraId="160781B5" w14:textId="77777777" w:rsidR="008A2CE7" w:rsidRPr="004168DD" w:rsidRDefault="008A2CE7" w:rsidP="00685567">
            <w:pPr>
              <w:spacing w:line="240" w:lineRule="auto"/>
              <w:rPr>
                <w:lang w:val="en-CA"/>
              </w:rPr>
            </w:pPr>
          </w:p>
        </w:tc>
      </w:tr>
      <w:tr w:rsidR="00535286" w:rsidRPr="004168DD" w14:paraId="33C5B588" w14:textId="77777777" w:rsidTr="00F26CDA">
        <w:tc>
          <w:tcPr>
            <w:tcW w:w="9360" w:type="dxa"/>
            <w:tcBorders>
              <w:top w:val="single" w:sz="8" w:space="0" w:color="auto"/>
            </w:tcBorders>
          </w:tcPr>
          <w:p w14:paraId="77AFF137" w14:textId="77777777" w:rsidR="008A2CE7" w:rsidRPr="004168DD" w:rsidRDefault="008A2CE7" w:rsidP="00685567">
            <w:pPr>
              <w:spacing w:line="240" w:lineRule="auto"/>
              <w:rPr>
                <w:lang w:val="en-CA"/>
              </w:rPr>
            </w:pPr>
          </w:p>
        </w:tc>
      </w:tr>
      <w:tr w:rsidR="00535286" w:rsidRPr="004168DD" w14:paraId="08BBFD1F" w14:textId="77777777" w:rsidTr="00F26CDA">
        <w:tc>
          <w:tcPr>
            <w:tcW w:w="9360" w:type="dxa"/>
          </w:tcPr>
          <w:p w14:paraId="42D1E145" w14:textId="77777777" w:rsidR="008A2CE7" w:rsidRPr="004168DD" w:rsidRDefault="00B409EE" w:rsidP="00685567">
            <w:pPr>
              <w:pStyle w:val="zSoquijlblOpinionJuge"/>
              <w:spacing w:line="240" w:lineRule="auto"/>
              <w:rPr>
                <w:lang w:val="en-CA"/>
              </w:rPr>
            </w:pPr>
            <w:bookmarkStart w:id="14" w:name="MotifJuge2"/>
            <w:r w:rsidRPr="004168DD">
              <w:rPr>
                <w:lang w:val="en-CA"/>
              </w:rPr>
              <w:t>REASONS OF</w:t>
            </w:r>
            <w:bookmarkEnd w:id="14"/>
            <w:r w:rsidRPr="004168DD">
              <w:rPr>
                <w:lang w:val="en-CA"/>
              </w:rPr>
              <w:t xml:space="preserve"> SCHRAGER, J.A.</w:t>
            </w:r>
          </w:p>
        </w:tc>
      </w:tr>
      <w:tr w:rsidR="00535286" w:rsidRPr="004168DD" w14:paraId="69F497D5" w14:textId="77777777" w:rsidTr="00F26CDA">
        <w:tc>
          <w:tcPr>
            <w:tcW w:w="9360" w:type="dxa"/>
            <w:tcBorders>
              <w:bottom w:val="single" w:sz="8" w:space="0" w:color="auto"/>
            </w:tcBorders>
          </w:tcPr>
          <w:p w14:paraId="2EEA34B4" w14:textId="77777777" w:rsidR="008A2CE7" w:rsidRPr="004168DD" w:rsidRDefault="008A2CE7" w:rsidP="00685567">
            <w:pPr>
              <w:spacing w:line="240" w:lineRule="auto"/>
              <w:rPr>
                <w:lang w:val="en-CA"/>
              </w:rPr>
            </w:pPr>
          </w:p>
        </w:tc>
      </w:tr>
      <w:tr w:rsidR="00535286" w:rsidRPr="004168DD" w14:paraId="1104A903" w14:textId="77777777" w:rsidTr="00F26CDA">
        <w:tc>
          <w:tcPr>
            <w:tcW w:w="9360" w:type="dxa"/>
            <w:tcBorders>
              <w:top w:val="single" w:sz="8" w:space="0" w:color="auto"/>
            </w:tcBorders>
          </w:tcPr>
          <w:p w14:paraId="6771BA4A" w14:textId="77777777" w:rsidR="008A2CE7" w:rsidRPr="004168DD" w:rsidRDefault="008A2CE7" w:rsidP="00685567">
            <w:pPr>
              <w:spacing w:line="240" w:lineRule="auto"/>
              <w:rPr>
                <w:lang w:val="en-CA"/>
              </w:rPr>
            </w:pPr>
          </w:p>
        </w:tc>
      </w:tr>
    </w:tbl>
    <w:p w14:paraId="7AD4A2CA" w14:textId="24CEBD44" w:rsidR="008A2CE7" w:rsidRPr="004168DD" w:rsidRDefault="00B409EE" w:rsidP="00685567">
      <w:pPr>
        <w:pStyle w:val="Paragraphe"/>
        <w:spacing w:line="240" w:lineRule="auto"/>
        <w:rPr>
          <w:lang w:val="en-CA"/>
        </w:rPr>
      </w:pPr>
      <w:r w:rsidRPr="004168DD">
        <w:rPr>
          <w:lang w:val="en-CA"/>
        </w:rPr>
        <w:t>The appellant appeals against a verdict rendered orally on October 17, 2018, by the Court of Québec, Criminal and Penal Division (the Honourable Louise Provost), which found the appellant guilty of possession of a firearm and breach of his recognizance after a two-day trial held on September 6 and 7, 2018.</w:t>
      </w:r>
      <w:r w:rsidRPr="004168DD">
        <w:rPr>
          <w:rStyle w:val="Appelnotedebasdep"/>
          <w:lang w:val="en-CA"/>
        </w:rPr>
        <w:footnoteReference w:id="1"/>
      </w:r>
    </w:p>
    <w:p w14:paraId="4A762342" w14:textId="6B529813" w:rsidR="008A2CE7" w:rsidRPr="004168DD" w:rsidRDefault="00B409EE" w:rsidP="00685567">
      <w:pPr>
        <w:pStyle w:val="Paragraphe"/>
        <w:spacing w:line="240" w:lineRule="auto"/>
        <w:rPr>
          <w:lang w:val="en-CA"/>
        </w:rPr>
      </w:pPr>
      <w:r w:rsidRPr="004168DD">
        <w:rPr>
          <w:lang w:val="en-CA"/>
        </w:rPr>
        <w:t>The only issue raised by this appeal is whether the trial judge could conclude from the evidence before her that the only possible inference, in the circumstances, was that the appellant was in possession of a firearm, that is,</w:t>
      </w:r>
      <w:r w:rsidR="003826E1">
        <w:rPr>
          <w:lang w:val="en-CA"/>
        </w:rPr>
        <w:t xml:space="preserve"> that</w:t>
      </w:r>
      <w:r w:rsidRPr="004168DD">
        <w:rPr>
          <w:lang w:val="en-CA"/>
        </w:rPr>
        <w:t xml:space="preserve"> he had control of the gun and knew it was in his bag.</w:t>
      </w:r>
    </w:p>
    <w:p w14:paraId="313368D4" w14:textId="77777777" w:rsidR="008A2CE7" w:rsidRPr="004168DD" w:rsidRDefault="00B409EE" w:rsidP="00685567">
      <w:pPr>
        <w:pStyle w:val="Titre1"/>
        <w:keepNext w:val="0"/>
        <w:numPr>
          <w:ilvl w:val="0"/>
          <w:numId w:val="19"/>
        </w:numPr>
        <w:spacing w:before="120" w:after="120" w:line="240" w:lineRule="auto"/>
        <w:ind w:hanging="720"/>
        <w:jc w:val="both"/>
        <w:rPr>
          <w:lang w:val="en-CA"/>
        </w:rPr>
      </w:pPr>
      <w:r w:rsidRPr="004168DD">
        <w:rPr>
          <w:bCs/>
          <w:lang w:val="en-CA"/>
        </w:rPr>
        <w:t>FACTS</w:t>
      </w:r>
    </w:p>
    <w:p w14:paraId="1C495C4B" w14:textId="2586256A" w:rsidR="008A2CE7" w:rsidRPr="004168DD" w:rsidRDefault="00B409EE" w:rsidP="00685567">
      <w:pPr>
        <w:pStyle w:val="Paragraphe"/>
        <w:spacing w:line="240" w:lineRule="auto"/>
        <w:rPr>
          <w:lang w:val="en-CA"/>
        </w:rPr>
      </w:pPr>
      <w:r w:rsidRPr="004168DD">
        <w:rPr>
          <w:lang w:val="en-CA"/>
        </w:rPr>
        <w:t xml:space="preserve">At approximately 1:30 a.m. on December 5, 2017, officer Perreault-Bolduc and his colleague officer Crête-Poudrier were patrolling the Notre-Dame-de-Grâce neighbourhood, in Montreal, and performed an initial check of the licence plates of the various vehicles at the </w:t>
      </w:r>
      <w:r w:rsidR="00B2052D" w:rsidRPr="004168DD">
        <w:rPr>
          <w:lang w:val="en-CA"/>
        </w:rPr>
        <w:t>“</w:t>
      </w:r>
      <w:r w:rsidRPr="004168DD">
        <w:rPr>
          <w:lang w:val="en-CA"/>
        </w:rPr>
        <w:t>Les Amazones</w:t>
      </w:r>
      <w:r w:rsidR="00B2052D" w:rsidRPr="004168DD">
        <w:rPr>
          <w:lang w:val="en-CA"/>
        </w:rPr>
        <w:t>”</w:t>
      </w:r>
      <w:r w:rsidRPr="004168DD">
        <w:rPr>
          <w:lang w:val="en-CA"/>
        </w:rPr>
        <w:t xml:space="preserve"> bar. At that time, th</w:t>
      </w:r>
      <w:r w:rsidR="00A96CB2">
        <w:rPr>
          <w:lang w:val="en-CA"/>
        </w:rPr>
        <w:t>e</w:t>
      </w:r>
      <w:r w:rsidRPr="004168DD">
        <w:rPr>
          <w:lang w:val="en-CA"/>
        </w:rPr>
        <w:t xml:space="preserve"> two officers noted the presence of a grey Kia Sportage car whose owner had not paid his driver</w:t>
      </w:r>
      <w:r w:rsidR="00B2052D" w:rsidRPr="004168DD">
        <w:rPr>
          <w:lang w:val="en-CA"/>
        </w:rPr>
        <w:t>’</w:t>
      </w:r>
      <w:r w:rsidRPr="004168DD">
        <w:rPr>
          <w:lang w:val="en-CA"/>
        </w:rPr>
        <w:t xml:space="preserve">s licence fees. </w:t>
      </w:r>
    </w:p>
    <w:p w14:paraId="45666377" w14:textId="02D84EE4" w:rsidR="008A2CE7" w:rsidRPr="004168DD" w:rsidRDefault="00B409EE" w:rsidP="00685567">
      <w:pPr>
        <w:pStyle w:val="Paragraphe"/>
        <w:spacing w:line="240" w:lineRule="auto"/>
        <w:rPr>
          <w:lang w:val="en-CA"/>
        </w:rPr>
      </w:pPr>
      <w:r w:rsidRPr="004168DD">
        <w:rPr>
          <w:lang w:val="en-CA"/>
        </w:rPr>
        <w:t>The police officers returned from their break at approximately 3:00 a.m. and saw the Kia vehicle, which they had identified earlier, leaving the bar</w:t>
      </w:r>
      <w:r w:rsidR="00B2052D" w:rsidRPr="004168DD">
        <w:rPr>
          <w:lang w:val="en-CA"/>
        </w:rPr>
        <w:t>’</w:t>
      </w:r>
      <w:r w:rsidRPr="004168DD">
        <w:rPr>
          <w:lang w:val="en-CA"/>
        </w:rPr>
        <w:t>s parking lot. They decided to intercept it in order to check the validity of the driver</w:t>
      </w:r>
      <w:r w:rsidR="00B2052D" w:rsidRPr="004168DD">
        <w:rPr>
          <w:lang w:val="en-CA"/>
        </w:rPr>
        <w:t>’</w:t>
      </w:r>
      <w:r w:rsidRPr="004168DD">
        <w:rPr>
          <w:lang w:val="en-CA"/>
        </w:rPr>
        <w:t>s driving licence. Because of the tinted windows in the rear of the vehicle, it was only when the police officers approached the vehicle that they saw, in the back seat, Kevinson Daniel, who was seated on the passenger side, and the appellant, who was seated on the driver</w:t>
      </w:r>
      <w:r w:rsidR="00B2052D" w:rsidRPr="004168DD">
        <w:rPr>
          <w:lang w:val="en-CA"/>
        </w:rPr>
        <w:t>’</w:t>
      </w:r>
      <w:r w:rsidRPr="004168DD">
        <w:rPr>
          <w:lang w:val="en-CA"/>
        </w:rPr>
        <w:t>s side. Dave Gilbert was the driver of the vehicle.</w:t>
      </w:r>
    </w:p>
    <w:p w14:paraId="0402AB3E" w14:textId="26562D20" w:rsidR="008A2CE7" w:rsidRPr="004168DD" w:rsidRDefault="00B409EE" w:rsidP="00DD236B">
      <w:pPr>
        <w:pStyle w:val="Paragraphe"/>
        <w:spacing w:line="240" w:lineRule="auto"/>
        <w:rPr>
          <w:lang w:val="en-CA"/>
        </w:rPr>
      </w:pPr>
      <w:r w:rsidRPr="004168DD">
        <w:rPr>
          <w:lang w:val="en-CA"/>
        </w:rPr>
        <w:t>Neither individual was wearing a seat belt and, for that reason, officer Perreault</w:t>
      </w:r>
      <w:r w:rsidR="00A96CB2">
        <w:rPr>
          <w:lang w:val="en-CA"/>
        </w:rPr>
        <w:noBreakHyphen/>
      </w:r>
      <w:r w:rsidRPr="004168DD">
        <w:rPr>
          <w:lang w:val="en-CA"/>
        </w:rPr>
        <w:t>Bolduc asked them to identify themselves. Kevinson Daniel asked several questions and was uncooperative. To identify himself, the appellant unhesitatingly took an envelope from the bag at his feet and identified himself by means of the papers in it, specifying to the police officer that he had just been released from prison. The bag, described as brown, with cardboard handles, and approximately 6 inches by 12 inches, contained some of the appellant</w:t>
      </w:r>
      <w:r w:rsidR="00B2052D" w:rsidRPr="004168DD">
        <w:rPr>
          <w:lang w:val="en-CA"/>
        </w:rPr>
        <w:t>’</w:t>
      </w:r>
      <w:r w:rsidRPr="004168DD">
        <w:rPr>
          <w:lang w:val="en-CA"/>
        </w:rPr>
        <w:t xml:space="preserve">s personal belongings. </w:t>
      </w:r>
    </w:p>
    <w:p w14:paraId="75702949" w14:textId="6568C855" w:rsidR="008A2CE7" w:rsidRPr="004168DD" w:rsidRDefault="00B409EE" w:rsidP="00685567">
      <w:pPr>
        <w:pStyle w:val="Paragraphe"/>
        <w:spacing w:line="240" w:lineRule="auto"/>
        <w:rPr>
          <w:lang w:val="en-CA"/>
        </w:rPr>
      </w:pPr>
      <w:r w:rsidRPr="004168DD">
        <w:rPr>
          <w:lang w:val="en-CA"/>
        </w:rPr>
        <w:t xml:space="preserve">At that time, Mr. Daniel lied about his identity. When the police officers discovered his real identity, they noted that he was subject to an arrest warrant and they arrested him. Although the driver, Mr. Gilbert, was not subject to an arrest warrant, he was also arrested for having lied about his identity. </w:t>
      </w:r>
    </w:p>
    <w:p w14:paraId="6AECC576" w14:textId="0CB55D1E" w:rsidR="008A2CE7" w:rsidRPr="004168DD" w:rsidRDefault="00B409EE" w:rsidP="00685567">
      <w:pPr>
        <w:pStyle w:val="Paragraphe"/>
        <w:spacing w:line="240" w:lineRule="auto"/>
        <w:rPr>
          <w:lang w:val="en-CA"/>
        </w:rPr>
      </w:pPr>
      <w:r w:rsidRPr="004168DD">
        <w:rPr>
          <w:lang w:val="en-CA"/>
        </w:rPr>
        <w:lastRenderedPageBreak/>
        <w:t>It was then that a police officer who had been called in as reinforcement, officer Rodier, pointed out the presence of a bag of cannabis to the right of the appellant</w:t>
      </w:r>
      <w:r w:rsidR="00B2052D" w:rsidRPr="004168DD">
        <w:rPr>
          <w:lang w:val="en-CA"/>
        </w:rPr>
        <w:t>’</w:t>
      </w:r>
      <w:r w:rsidRPr="004168DD">
        <w:rPr>
          <w:lang w:val="en-CA"/>
        </w:rPr>
        <w:t>s thighs. During the search incidental to the appellant</w:t>
      </w:r>
      <w:r w:rsidR="00B2052D" w:rsidRPr="004168DD">
        <w:rPr>
          <w:lang w:val="en-CA"/>
        </w:rPr>
        <w:t>’</w:t>
      </w:r>
      <w:r w:rsidRPr="004168DD">
        <w:rPr>
          <w:lang w:val="en-CA"/>
        </w:rPr>
        <w:t xml:space="preserve">s arrest for possession of cannabis, the police officers discovered a firearm with its buttstock pointing upwards in the bag on the floor of the car. At trial, the police officers testified that, when the weapon was discovered, the appellant remained </w:t>
      </w:r>
      <w:r w:rsidR="00B2052D" w:rsidRPr="004168DD">
        <w:rPr>
          <w:lang w:val="en-CA"/>
        </w:rPr>
        <w:t>“</w:t>
      </w:r>
      <w:r w:rsidRPr="004168DD">
        <w:rPr>
          <w:i/>
          <w:iCs/>
          <w:lang w:val="en-CA"/>
        </w:rPr>
        <w:t>de glace</w:t>
      </w:r>
      <w:r w:rsidR="00B2052D" w:rsidRPr="004168DD">
        <w:rPr>
          <w:lang w:val="en-CA"/>
        </w:rPr>
        <w:t>”</w:t>
      </w:r>
      <w:r w:rsidRPr="004168DD">
        <w:rPr>
          <w:lang w:val="en-CA"/>
        </w:rPr>
        <w:t xml:space="preserve"> / [</w:t>
      </w:r>
      <w:r w:rsidR="00736277" w:rsidRPr="00736277">
        <w:rPr>
          <w:smallCaps/>
          <w:lang w:val="en-CA"/>
        </w:rPr>
        <w:t>translation</w:t>
      </w:r>
      <w:r w:rsidRPr="004168DD">
        <w:rPr>
          <w:lang w:val="en-CA"/>
        </w:rPr>
        <w:t xml:space="preserve">] </w:t>
      </w:r>
      <w:r w:rsidR="00B2052D" w:rsidRPr="004168DD">
        <w:rPr>
          <w:lang w:val="en-CA"/>
        </w:rPr>
        <w:t>“</w:t>
      </w:r>
      <w:r w:rsidRPr="004168DD">
        <w:rPr>
          <w:lang w:val="en-CA"/>
        </w:rPr>
        <w:t>cool</w:t>
      </w:r>
      <w:r w:rsidR="00B2052D" w:rsidRPr="004168DD">
        <w:rPr>
          <w:lang w:val="en-CA"/>
        </w:rPr>
        <w:t>”</w:t>
      </w:r>
      <w:r w:rsidRPr="004168DD">
        <w:rPr>
          <w:lang w:val="en-CA"/>
        </w:rPr>
        <w:t>. An analysis of the weapon revealed only the presence of Mr. Daniel</w:t>
      </w:r>
      <w:r w:rsidR="00B2052D" w:rsidRPr="004168DD">
        <w:rPr>
          <w:lang w:val="en-CA"/>
        </w:rPr>
        <w:t>’</w:t>
      </w:r>
      <w:r w:rsidRPr="004168DD">
        <w:rPr>
          <w:lang w:val="en-CA"/>
        </w:rPr>
        <w:t>s DNA.</w:t>
      </w:r>
    </w:p>
    <w:p w14:paraId="18602818" w14:textId="77777777" w:rsidR="008A2CE7" w:rsidRPr="004168DD" w:rsidRDefault="00B409EE" w:rsidP="00685567">
      <w:pPr>
        <w:pStyle w:val="Titre1"/>
        <w:keepNext w:val="0"/>
        <w:numPr>
          <w:ilvl w:val="0"/>
          <w:numId w:val="19"/>
        </w:numPr>
        <w:spacing w:before="120" w:after="120" w:line="240" w:lineRule="auto"/>
        <w:ind w:hanging="720"/>
        <w:jc w:val="both"/>
        <w:rPr>
          <w:lang w:val="en-CA"/>
        </w:rPr>
      </w:pPr>
      <w:r w:rsidRPr="004168DD">
        <w:rPr>
          <w:bCs/>
          <w:lang w:val="en-CA"/>
        </w:rPr>
        <w:t>JUDGMENT UNDER APPEAL</w:t>
      </w:r>
    </w:p>
    <w:p w14:paraId="3BEEEDAC" w14:textId="530DE164" w:rsidR="008A2CE7" w:rsidRPr="004168DD" w:rsidRDefault="00B409EE" w:rsidP="00685567">
      <w:pPr>
        <w:pStyle w:val="Paragraphe"/>
        <w:spacing w:line="240" w:lineRule="auto"/>
        <w:rPr>
          <w:lang w:val="en-CA"/>
        </w:rPr>
      </w:pPr>
      <w:r w:rsidRPr="004168DD">
        <w:rPr>
          <w:lang w:val="en-CA"/>
        </w:rPr>
        <w:t>After summarizing the evidence presented by each of the parties, the judge considered whether the testimony of the appellant, who had denied any knowledge of the weapon, raised a reasonable doubt in her mind. Faced with the numerous inconsistencies between the appellant</w:t>
      </w:r>
      <w:r w:rsidR="00B2052D" w:rsidRPr="004168DD">
        <w:rPr>
          <w:lang w:val="en-CA"/>
        </w:rPr>
        <w:t>’</w:t>
      </w:r>
      <w:r w:rsidRPr="004168DD">
        <w:rPr>
          <w:lang w:val="en-CA"/>
        </w:rPr>
        <w:t xml:space="preserve">s testimony at the bail hearing and his testimony at trial, the judge found his testimony implausible and not credible. In this regard, she pointed, </w:t>
      </w:r>
      <w:r w:rsidRPr="004168DD">
        <w:rPr>
          <w:i/>
          <w:iCs/>
          <w:lang w:val="en-CA"/>
        </w:rPr>
        <w:t>inter alia</w:t>
      </w:r>
      <w:r w:rsidRPr="004168DD">
        <w:rPr>
          <w:lang w:val="en-CA"/>
        </w:rPr>
        <w:t>, to the fact that, at the bail hearing, the appellant had claimed not to know Mr. Daniel, but, at trial, had referred to him as a friend. At the bail hearing, he stated that he had been sitting in the back of the vehicle</w:t>
      </w:r>
      <w:r w:rsidR="0078330E">
        <w:rPr>
          <w:lang w:val="en-CA"/>
        </w:rPr>
        <w:t xml:space="preserve"> at all times</w:t>
      </w:r>
      <w:r w:rsidRPr="004168DD">
        <w:rPr>
          <w:lang w:val="en-CA"/>
        </w:rPr>
        <w:t>, but at trial he stated that he had jumped into the back seat of the vehicle. She also emphasized that she did not believe the story given by the appellant and witness Dave Gilbert to the effect that they had gone back to Saint-Michel during the evening to get some money to pay one of the bar</w:t>
      </w:r>
      <w:r w:rsidR="00B2052D" w:rsidRPr="004168DD">
        <w:rPr>
          <w:lang w:val="en-CA"/>
        </w:rPr>
        <w:t>’</w:t>
      </w:r>
      <w:r w:rsidRPr="004168DD">
        <w:rPr>
          <w:lang w:val="en-CA"/>
        </w:rPr>
        <w:t xml:space="preserve">s dancers. </w:t>
      </w:r>
    </w:p>
    <w:p w14:paraId="5820A7DD" w14:textId="568C9F14" w:rsidR="008A2CE7" w:rsidRPr="004168DD" w:rsidRDefault="00B409EE" w:rsidP="00685567">
      <w:pPr>
        <w:pStyle w:val="Paragraphe"/>
        <w:spacing w:line="240" w:lineRule="auto"/>
        <w:rPr>
          <w:lang w:val="en-CA"/>
        </w:rPr>
      </w:pPr>
      <w:r w:rsidRPr="004168DD">
        <w:rPr>
          <w:lang w:val="en-CA"/>
        </w:rPr>
        <w:t>The trial judge then stated her reasons for finding the appellant guilty. She was of the view that the circumstances of the arrest and the appellant</w:t>
      </w:r>
      <w:r w:rsidR="00B2052D" w:rsidRPr="004168DD">
        <w:rPr>
          <w:lang w:val="en-CA"/>
        </w:rPr>
        <w:t>’</w:t>
      </w:r>
      <w:r w:rsidRPr="004168DD">
        <w:rPr>
          <w:lang w:val="en-CA"/>
        </w:rPr>
        <w:t>s [</w:t>
      </w:r>
      <w:r w:rsidR="00736277" w:rsidRPr="00736277">
        <w:rPr>
          <w:smallCaps/>
          <w:lang w:val="en-CA"/>
        </w:rPr>
        <w:t>translation</w:t>
      </w:r>
      <w:r w:rsidRPr="004168DD">
        <w:rPr>
          <w:lang w:val="en-CA"/>
        </w:rPr>
        <w:t>]</w:t>
      </w:r>
      <w:r w:rsidR="001C3013">
        <w:rPr>
          <w:lang w:val="en-CA"/>
        </w:rPr>
        <w:t> </w:t>
      </w:r>
      <w:r w:rsidR="00B2052D" w:rsidRPr="004168DD">
        <w:rPr>
          <w:lang w:val="en-CA"/>
        </w:rPr>
        <w:t>“</w:t>
      </w:r>
      <w:r w:rsidRPr="004168DD">
        <w:rPr>
          <w:lang w:val="en-CA"/>
        </w:rPr>
        <w:t>numerous</w:t>
      </w:r>
      <w:r w:rsidR="00B2052D" w:rsidRPr="004168DD">
        <w:rPr>
          <w:lang w:val="en-CA"/>
        </w:rPr>
        <w:t>”</w:t>
      </w:r>
      <w:r w:rsidRPr="004168DD">
        <w:rPr>
          <w:lang w:val="en-CA"/>
        </w:rPr>
        <w:t xml:space="preserve"> inconsistencies [</w:t>
      </w:r>
      <w:r w:rsidR="00736277" w:rsidRPr="00736277">
        <w:rPr>
          <w:smallCaps/>
          <w:lang w:val="en-CA"/>
        </w:rPr>
        <w:t>translation</w:t>
      </w:r>
      <w:r w:rsidRPr="004168DD">
        <w:rPr>
          <w:lang w:val="en-CA"/>
        </w:rPr>
        <w:t xml:space="preserve">] </w:t>
      </w:r>
      <w:r w:rsidR="00B2052D" w:rsidRPr="004168DD">
        <w:rPr>
          <w:lang w:val="en-CA"/>
        </w:rPr>
        <w:t>“</w:t>
      </w:r>
      <w:r w:rsidRPr="004168DD">
        <w:rPr>
          <w:lang w:val="en-CA"/>
        </w:rPr>
        <w:t>also eliminated any reasonable doubt regarding his knowledge and control of the loaded weapon in his personal belongings</w:t>
      </w:r>
      <w:r w:rsidR="00B2052D" w:rsidRPr="004168DD">
        <w:rPr>
          <w:lang w:val="en-CA"/>
        </w:rPr>
        <w:t>”</w:t>
      </w:r>
      <w:r w:rsidRPr="004168DD">
        <w:rPr>
          <w:lang w:val="en-CA"/>
        </w:rPr>
        <w:t xml:space="preserve">. </w:t>
      </w:r>
    </w:p>
    <w:p w14:paraId="77D4B4F4" w14:textId="790246E0" w:rsidR="008A2CE7" w:rsidRPr="004168DD" w:rsidRDefault="00B409EE" w:rsidP="00685567">
      <w:pPr>
        <w:pStyle w:val="Paragraphe"/>
        <w:spacing w:line="240" w:lineRule="auto"/>
        <w:rPr>
          <w:lang w:val="en-CA"/>
        </w:rPr>
      </w:pPr>
      <w:r w:rsidRPr="004168DD">
        <w:rPr>
          <w:lang w:val="en-CA"/>
        </w:rPr>
        <w:t>With respect to control of the firearm, the judge stated that the bag containing the firearm was located at the appellant</w:t>
      </w:r>
      <w:r w:rsidR="00B2052D" w:rsidRPr="004168DD">
        <w:rPr>
          <w:lang w:val="en-CA"/>
        </w:rPr>
        <w:t>’</w:t>
      </w:r>
      <w:r w:rsidRPr="004168DD">
        <w:rPr>
          <w:lang w:val="en-CA"/>
        </w:rPr>
        <w:t xml:space="preserve">s feet and that he had control of the bag, a bag described as not very big, in which he searched to give the police officers identification documents. </w:t>
      </w:r>
    </w:p>
    <w:p w14:paraId="362EF585" w14:textId="1EBEA42E" w:rsidR="008A2CE7" w:rsidRPr="004168DD" w:rsidRDefault="00B409EE" w:rsidP="00685567">
      <w:pPr>
        <w:pStyle w:val="Paragraphe"/>
        <w:spacing w:line="240" w:lineRule="auto"/>
        <w:rPr>
          <w:lang w:val="en-CA"/>
        </w:rPr>
      </w:pPr>
      <w:r w:rsidRPr="004168DD">
        <w:rPr>
          <w:lang w:val="en-CA"/>
        </w:rPr>
        <w:t xml:space="preserve">As regards </w:t>
      </w:r>
      <w:r w:rsidRPr="004168DD">
        <w:rPr>
          <w:i/>
          <w:iCs/>
          <w:lang w:val="en-CA"/>
        </w:rPr>
        <w:t>mens rea</w:t>
      </w:r>
      <w:r w:rsidRPr="004168DD">
        <w:rPr>
          <w:lang w:val="en-CA"/>
        </w:rPr>
        <w:t>, the judge first noted that she did not believe the appellant</w:t>
      </w:r>
      <w:r w:rsidR="00B2052D" w:rsidRPr="004168DD">
        <w:rPr>
          <w:lang w:val="en-CA"/>
        </w:rPr>
        <w:t>’</w:t>
      </w:r>
      <w:r w:rsidRPr="004168DD">
        <w:rPr>
          <w:lang w:val="en-CA"/>
        </w:rPr>
        <w:t>s testimony that he did not know the firearm was in his bag. The judge added that the appellant</w:t>
      </w:r>
      <w:r w:rsidR="00B2052D" w:rsidRPr="004168DD">
        <w:rPr>
          <w:lang w:val="en-CA"/>
        </w:rPr>
        <w:t>’</w:t>
      </w:r>
      <w:r w:rsidRPr="004168DD">
        <w:rPr>
          <w:lang w:val="en-CA"/>
        </w:rPr>
        <w:t>s calm demeanour when the police officers discovered the weapon indicated that he knew the weapon was in his bag. She therefore distinguished the matter before her from the case law</w:t>
      </w:r>
      <w:r w:rsidRPr="004168DD">
        <w:rPr>
          <w:rStyle w:val="Appelnotedebasdep"/>
          <w:lang w:val="en-CA"/>
        </w:rPr>
        <w:footnoteReference w:id="2"/>
      </w:r>
      <w:r w:rsidRPr="004168DD">
        <w:rPr>
          <w:lang w:val="en-CA"/>
        </w:rPr>
        <w:t xml:space="preserve"> and convicted the appellant in file 164847-177 (possession of a firearm) and file 164849-173 (breach of a recognizance). She ordered a conditional stay on the charge of being an occupant of a motor vehicle in which the appellant knew there was a firearm, also in file 16484</w:t>
      </w:r>
      <w:r w:rsidR="0070052C">
        <w:rPr>
          <w:lang w:val="en-CA"/>
        </w:rPr>
        <w:t>7</w:t>
      </w:r>
      <w:r w:rsidRPr="004168DD">
        <w:rPr>
          <w:lang w:val="en-CA"/>
        </w:rPr>
        <w:t>-177.</w:t>
      </w:r>
    </w:p>
    <w:p w14:paraId="428DB2FA" w14:textId="73523429" w:rsidR="008A2CE7" w:rsidRPr="004168DD" w:rsidRDefault="00B409EE" w:rsidP="00685567">
      <w:pPr>
        <w:pStyle w:val="Paragraphe"/>
        <w:spacing w:line="240" w:lineRule="auto"/>
        <w:rPr>
          <w:lang w:val="en-CA"/>
        </w:rPr>
      </w:pPr>
      <w:r w:rsidRPr="004168DD">
        <w:rPr>
          <w:lang w:val="en-CA"/>
        </w:rPr>
        <w:lastRenderedPageBreak/>
        <w:t>At the appeal hearing, the appellant informed the Court that he had fully served the prison sentence imposed on him.</w:t>
      </w:r>
    </w:p>
    <w:p w14:paraId="5117FB7C" w14:textId="77777777" w:rsidR="008A2CE7" w:rsidRPr="004168DD" w:rsidRDefault="00B409EE" w:rsidP="00685567">
      <w:pPr>
        <w:pStyle w:val="Titre1"/>
        <w:keepNext w:val="0"/>
        <w:numPr>
          <w:ilvl w:val="0"/>
          <w:numId w:val="19"/>
        </w:numPr>
        <w:spacing w:before="120" w:after="120" w:line="240" w:lineRule="auto"/>
        <w:ind w:hanging="720"/>
        <w:jc w:val="both"/>
        <w:rPr>
          <w:lang w:val="en-CA"/>
        </w:rPr>
      </w:pPr>
      <w:r w:rsidRPr="004168DD">
        <w:rPr>
          <w:bCs/>
          <w:lang w:val="en-CA"/>
        </w:rPr>
        <w:t>DISCUSSION</w:t>
      </w:r>
    </w:p>
    <w:p w14:paraId="201795A5" w14:textId="2A136F82" w:rsidR="008A2CE7" w:rsidRPr="004168DD" w:rsidRDefault="00B409EE" w:rsidP="00685567">
      <w:pPr>
        <w:pStyle w:val="Paragraphe"/>
        <w:spacing w:line="240" w:lineRule="auto"/>
        <w:rPr>
          <w:lang w:val="en-CA"/>
        </w:rPr>
      </w:pPr>
      <w:r w:rsidRPr="004168DD">
        <w:rPr>
          <w:lang w:val="en-CA"/>
        </w:rPr>
        <w:t xml:space="preserve">The appellant raises only a single ground of appeal—the verdict is unreasonable. </w:t>
      </w:r>
      <w:r w:rsidR="003125B5">
        <w:rPr>
          <w:lang w:val="en-CA"/>
        </w:rPr>
        <w:t xml:space="preserve">However, </w:t>
      </w:r>
      <w:r w:rsidRPr="004168DD">
        <w:rPr>
          <w:lang w:val="en-CA"/>
        </w:rPr>
        <w:t xml:space="preserve">I agree with the respondent that we must also determine whether the judge erred in applying the principles laid down in </w:t>
      </w:r>
      <w:r w:rsidRPr="004168DD">
        <w:rPr>
          <w:i/>
          <w:iCs/>
          <w:lang w:val="en-CA"/>
        </w:rPr>
        <w:t>W(D)</w:t>
      </w:r>
      <w:r w:rsidRPr="004168DD">
        <w:rPr>
          <w:lang w:val="en-CA"/>
        </w:rPr>
        <w:t>.</w:t>
      </w:r>
      <w:bookmarkStart w:id="16" w:name="_Ref92351738"/>
      <w:r w:rsidRPr="004168DD">
        <w:rPr>
          <w:rStyle w:val="Appelnotedebasdep"/>
          <w:lang w:val="en-CA"/>
        </w:rPr>
        <w:footnoteReference w:id="3"/>
      </w:r>
      <w:bookmarkEnd w:id="16"/>
    </w:p>
    <w:p w14:paraId="43D4AD5D" w14:textId="1F346EFA" w:rsidR="008A2CE7" w:rsidRPr="004168DD" w:rsidRDefault="00B409EE" w:rsidP="00685567">
      <w:pPr>
        <w:pStyle w:val="Paragraphe"/>
        <w:spacing w:line="240" w:lineRule="auto"/>
        <w:rPr>
          <w:lang w:val="en-CA"/>
        </w:rPr>
      </w:pPr>
      <w:r w:rsidRPr="004168DD">
        <w:rPr>
          <w:lang w:val="en-CA"/>
        </w:rPr>
        <w:t>In my view, the verdict is unreasonable in large measure because of the judge</w:t>
      </w:r>
      <w:r w:rsidR="00B2052D" w:rsidRPr="004168DD">
        <w:rPr>
          <w:lang w:val="en-CA"/>
        </w:rPr>
        <w:t>’</w:t>
      </w:r>
      <w:r w:rsidRPr="004168DD">
        <w:rPr>
          <w:lang w:val="en-CA"/>
        </w:rPr>
        <w:t xml:space="preserve">s misapplication of the third </w:t>
      </w:r>
      <w:r w:rsidRPr="004168DD">
        <w:rPr>
          <w:i/>
          <w:iCs/>
          <w:lang w:val="en-CA"/>
        </w:rPr>
        <w:t>W(D)</w:t>
      </w:r>
      <w:r w:rsidRPr="004168DD">
        <w:rPr>
          <w:lang w:val="en-CA"/>
        </w:rPr>
        <w:t xml:space="preserve"> step. The approach proposed by the Supreme Court in </w:t>
      </w:r>
      <w:r w:rsidRPr="004168DD">
        <w:rPr>
          <w:i/>
          <w:iCs/>
          <w:lang w:val="en-CA"/>
        </w:rPr>
        <w:t>W(D)</w:t>
      </w:r>
      <w:r w:rsidRPr="004168DD">
        <w:rPr>
          <w:lang w:val="en-CA"/>
        </w:rPr>
        <w:t xml:space="preserve"> and followed by triers of fact is well known:</w:t>
      </w:r>
    </w:p>
    <w:p w14:paraId="2A946992" w14:textId="3EC98BD6" w:rsidR="00A155CA" w:rsidRDefault="00A155CA" w:rsidP="008B5050">
      <w:pPr>
        <w:pStyle w:val="Citationenretrait"/>
        <w:spacing w:line="240" w:lineRule="auto"/>
        <w:rPr>
          <w:color w:val="000000"/>
          <w:kern w:val="0"/>
          <w:sz w:val="24"/>
          <w:lang w:val="en-CA"/>
        </w:rPr>
      </w:pPr>
      <w:r>
        <w:rPr>
          <w:color w:val="000000"/>
          <w:kern w:val="0"/>
          <w:sz w:val="24"/>
          <w:lang w:val="en-CA"/>
        </w:rPr>
        <w:t>[</w:t>
      </w:r>
      <w:r w:rsidRPr="00107B23">
        <w:rPr>
          <w:smallCaps/>
          <w:color w:val="000000"/>
          <w:kern w:val="0"/>
          <w:sz w:val="24"/>
          <w:lang w:val="en-CA"/>
        </w:rPr>
        <w:t>translation</w:t>
      </w:r>
      <w:r>
        <w:rPr>
          <w:color w:val="000000"/>
          <w:kern w:val="0"/>
          <w:sz w:val="24"/>
          <w:lang w:val="en-CA"/>
        </w:rPr>
        <w:t>]</w:t>
      </w:r>
    </w:p>
    <w:p w14:paraId="510B9B21" w14:textId="257592FB" w:rsidR="008A2CE7" w:rsidRPr="004168DD" w:rsidRDefault="00B409EE" w:rsidP="008B5050">
      <w:pPr>
        <w:pStyle w:val="Citationenretrait"/>
        <w:spacing w:line="240" w:lineRule="auto"/>
        <w:rPr>
          <w:color w:val="000000"/>
          <w:kern w:val="0"/>
          <w:sz w:val="24"/>
          <w:lang w:val="en-CA"/>
        </w:rPr>
      </w:pPr>
      <w:r w:rsidRPr="004168DD">
        <w:rPr>
          <w:color w:val="000000"/>
          <w:kern w:val="0"/>
          <w:sz w:val="24"/>
          <w:lang w:val="en-CA"/>
        </w:rPr>
        <w:t>[…] Do I believe the accused? If so, I must acquit him; If I don</w:t>
      </w:r>
      <w:r w:rsidR="00B2052D" w:rsidRPr="004168DD">
        <w:rPr>
          <w:color w:val="000000"/>
          <w:kern w:val="0"/>
          <w:sz w:val="24"/>
          <w:lang w:val="en-CA"/>
        </w:rPr>
        <w:t>’</w:t>
      </w:r>
      <w:r w:rsidRPr="004168DD">
        <w:rPr>
          <w:color w:val="000000"/>
          <w:kern w:val="0"/>
          <w:sz w:val="24"/>
          <w:lang w:val="en-CA"/>
        </w:rPr>
        <w:t>t believe him, does his testimony raise a reasonable doubt? If so, I must acquit him; Even if I don</w:t>
      </w:r>
      <w:r w:rsidR="00B2052D" w:rsidRPr="004168DD">
        <w:rPr>
          <w:color w:val="000000"/>
          <w:kern w:val="0"/>
          <w:sz w:val="24"/>
          <w:lang w:val="en-CA"/>
        </w:rPr>
        <w:t>’</w:t>
      </w:r>
      <w:r w:rsidRPr="004168DD">
        <w:rPr>
          <w:color w:val="000000"/>
          <w:kern w:val="0"/>
          <w:sz w:val="24"/>
          <w:lang w:val="en-CA"/>
        </w:rPr>
        <w:t>t believe him and even if his testimony does not raise a reasonable doubt in my mind, does the evidence as a whole convince me, beyond a reasonable doubt, that he committed the offence charged? […]</w:t>
      </w:r>
      <w:r w:rsidRPr="004168DD">
        <w:rPr>
          <w:rStyle w:val="Appelnotedebasdep"/>
          <w:lang w:val="en-CA"/>
        </w:rPr>
        <w:footnoteReference w:id="4"/>
      </w:r>
    </w:p>
    <w:p w14:paraId="454B32BB" w14:textId="77777777" w:rsidR="008A2CE7" w:rsidRPr="004168DD" w:rsidRDefault="00B409EE" w:rsidP="00685567">
      <w:pPr>
        <w:pStyle w:val="Citationenretrait"/>
        <w:spacing w:line="240" w:lineRule="auto"/>
        <w:jc w:val="right"/>
        <w:rPr>
          <w:color w:val="000000"/>
          <w:kern w:val="0"/>
          <w:sz w:val="24"/>
          <w:lang w:val="en-CA"/>
        </w:rPr>
      </w:pPr>
      <w:r w:rsidRPr="004168DD">
        <w:rPr>
          <w:color w:val="000000"/>
          <w:kern w:val="0"/>
          <w:sz w:val="24"/>
          <w:lang w:val="en-CA"/>
        </w:rPr>
        <w:t>[References omitted]</w:t>
      </w:r>
    </w:p>
    <w:p w14:paraId="70E5FF6E" w14:textId="19FF6035" w:rsidR="008A2CE7" w:rsidRPr="004168DD" w:rsidRDefault="00B409EE" w:rsidP="00685567">
      <w:pPr>
        <w:pStyle w:val="Paragraphe"/>
        <w:spacing w:line="240" w:lineRule="auto"/>
        <w:rPr>
          <w:lang w:val="en-CA"/>
        </w:rPr>
      </w:pPr>
      <w:r w:rsidRPr="004168DD">
        <w:rPr>
          <w:i/>
          <w:iCs/>
          <w:lang w:val="en-CA"/>
        </w:rPr>
        <w:t>Dubourg</w:t>
      </w:r>
      <w:r w:rsidRPr="004168DD">
        <w:rPr>
          <w:lang w:val="en-CA"/>
        </w:rPr>
        <w:t xml:space="preserve"> summarizes the principles applicable to an unreasonable verdict where there is circumstantial evidence:</w:t>
      </w:r>
    </w:p>
    <w:p w14:paraId="1814731A" w14:textId="77777777" w:rsidR="00736277" w:rsidRDefault="00B409EE" w:rsidP="008B5050">
      <w:pPr>
        <w:pStyle w:val="Paragraphe"/>
        <w:numPr>
          <w:ilvl w:val="0"/>
          <w:numId w:val="0"/>
        </w:numPr>
        <w:spacing w:line="240" w:lineRule="auto"/>
        <w:ind w:left="708"/>
        <w:rPr>
          <w:sz w:val="22"/>
          <w:szCs w:val="22"/>
          <w:lang w:val="en-CA"/>
        </w:rPr>
      </w:pPr>
      <w:r w:rsidRPr="004168DD">
        <w:rPr>
          <w:sz w:val="22"/>
          <w:szCs w:val="22"/>
          <w:lang w:val="en-CA"/>
        </w:rPr>
        <w:t>[</w:t>
      </w:r>
      <w:r w:rsidR="00736277" w:rsidRPr="00736277">
        <w:rPr>
          <w:smallCaps/>
          <w:sz w:val="22"/>
          <w:szCs w:val="22"/>
          <w:lang w:val="en-CA"/>
        </w:rPr>
        <w:t>translation</w:t>
      </w:r>
      <w:r w:rsidRPr="004168DD">
        <w:rPr>
          <w:sz w:val="22"/>
          <w:szCs w:val="22"/>
          <w:lang w:val="en-CA"/>
        </w:rPr>
        <w:t>]</w:t>
      </w:r>
    </w:p>
    <w:p w14:paraId="42851473" w14:textId="63907D24" w:rsidR="008A2CE7" w:rsidRPr="004168DD" w:rsidRDefault="00B409EE" w:rsidP="008B5050">
      <w:pPr>
        <w:pStyle w:val="Paragraphe"/>
        <w:numPr>
          <w:ilvl w:val="0"/>
          <w:numId w:val="0"/>
        </w:numPr>
        <w:spacing w:line="240" w:lineRule="auto"/>
        <w:ind w:left="708"/>
        <w:rPr>
          <w:sz w:val="22"/>
          <w:szCs w:val="22"/>
          <w:u w:val="single"/>
          <w:lang w:val="en-CA"/>
        </w:rPr>
      </w:pPr>
      <w:r w:rsidRPr="004168DD">
        <w:rPr>
          <w:b/>
          <w:bCs/>
          <w:sz w:val="22"/>
          <w:szCs w:val="22"/>
          <w:lang w:val="en-CA"/>
        </w:rPr>
        <w:t>19</w:t>
      </w:r>
      <w:r w:rsidRPr="004168DD">
        <w:rPr>
          <w:sz w:val="22"/>
          <w:szCs w:val="22"/>
          <w:lang w:val="en-CA"/>
        </w:rPr>
        <w:t xml:space="preserve"> When the charges are based—entirely or as regards an essential element—only on circumstantial evidence, special considerations apply. </w:t>
      </w:r>
      <w:r w:rsidRPr="004168DD">
        <w:rPr>
          <w:sz w:val="22"/>
          <w:szCs w:val="22"/>
          <w:u w:val="single"/>
          <w:lang w:val="en-CA"/>
        </w:rPr>
        <w:t xml:space="preserve">In </w:t>
      </w:r>
      <w:r w:rsidRPr="004168DD">
        <w:rPr>
          <w:i/>
          <w:iCs/>
          <w:sz w:val="22"/>
          <w:szCs w:val="22"/>
          <w:u w:val="single"/>
          <w:lang w:val="en-CA"/>
        </w:rPr>
        <w:t>Villaroman</w:t>
      </w:r>
      <w:r w:rsidRPr="004168DD">
        <w:rPr>
          <w:sz w:val="22"/>
          <w:szCs w:val="22"/>
          <w:u w:val="single"/>
          <w:lang w:val="en-CA"/>
        </w:rPr>
        <w:t>, the Supreme Court explained that circumstantial proof beyond a reasonable doubt has been established when the only reasonable inference the circumstantial evidence can support is that the accused is guilty</w:t>
      </w:r>
      <w:r w:rsidRPr="004168DD">
        <w:rPr>
          <w:sz w:val="22"/>
          <w:szCs w:val="22"/>
          <w:lang w:val="en-CA"/>
        </w:rPr>
        <w:t>. If that is not the case and a reasonable inference consistent with the accused</w:t>
      </w:r>
      <w:r w:rsidR="00B2052D" w:rsidRPr="004168DD">
        <w:rPr>
          <w:sz w:val="22"/>
          <w:szCs w:val="22"/>
          <w:lang w:val="en-CA"/>
        </w:rPr>
        <w:t>’</w:t>
      </w:r>
      <w:r w:rsidRPr="004168DD">
        <w:rPr>
          <w:sz w:val="22"/>
          <w:szCs w:val="22"/>
          <w:lang w:val="en-CA"/>
        </w:rPr>
        <w:t xml:space="preserve">s innocence exists, there is necessarily a reasonable doubt and he must be acquitted. </w:t>
      </w:r>
      <w:r w:rsidRPr="004168DD">
        <w:rPr>
          <w:sz w:val="22"/>
          <w:szCs w:val="22"/>
          <w:u w:val="single"/>
          <w:lang w:val="en-CA"/>
        </w:rPr>
        <w:t>Inferences consistent with innocence need not be based on evidence or proven facts, because reasonable doubt can arise from a lack of evidence.</w:t>
      </w:r>
    </w:p>
    <w:p w14:paraId="066E526D" w14:textId="1F9632B9" w:rsidR="008A2CE7" w:rsidRPr="004168DD" w:rsidRDefault="00B409EE" w:rsidP="008B5050">
      <w:pPr>
        <w:pStyle w:val="Paragraphe"/>
        <w:numPr>
          <w:ilvl w:val="0"/>
          <w:numId w:val="0"/>
        </w:numPr>
        <w:spacing w:line="240" w:lineRule="auto"/>
        <w:ind w:left="708"/>
        <w:rPr>
          <w:sz w:val="22"/>
          <w:szCs w:val="22"/>
          <w:lang w:val="en-CA"/>
        </w:rPr>
      </w:pPr>
      <w:r w:rsidRPr="004168DD">
        <w:rPr>
          <w:b/>
          <w:bCs/>
          <w:sz w:val="22"/>
          <w:szCs w:val="22"/>
          <w:lang w:val="en-CA"/>
        </w:rPr>
        <w:t>20</w:t>
      </w:r>
      <w:r w:rsidRPr="004168DD">
        <w:rPr>
          <w:sz w:val="22"/>
          <w:szCs w:val="22"/>
          <w:lang w:val="en-CA"/>
        </w:rPr>
        <w:t xml:space="preserve"> Combining these two sets of principles, one concludes that to determine whether a verdict based solely on circumstantial evidence is reasonable, one must ask whether a reasonable assessment of the evidence as a whole can lead to the conclusion that the only reasonable inference is that the accused is guilty. In short, </w:t>
      </w:r>
      <w:r w:rsidRPr="004168DD">
        <w:rPr>
          <w:sz w:val="22"/>
          <w:szCs w:val="22"/>
          <w:u w:val="single"/>
          <w:lang w:val="en-CA"/>
        </w:rPr>
        <w:t xml:space="preserve">are the conclusions drawn </w:t>
      </w:r>
      <w:r w:rsidRPr="004168DD">
        <w:rPr>
          <w:sz w:val="22"/>
          <w:szCs w:val="22"/>
          <w:u w:val="single"/>
          <w:lang w:val="en-CA"/>
        </w:rPr>
        <w:lastRenderedPageBreak/>
        <w:t>from the evidence by the trier of fact and the conclusion that the only reasonable inference is the accused</w:t>
      </w:r>
      <w:r w:rsidR="00B2052D" w:rsidRPr="004168DD">
        <w:rPr>
          <w:sz w:val="22"/>
          <w:szCs w:val="22"/>
          <w:u w:val="single"/>
          <w:lang w:val="en-CA"/>
        </w:rPr>
        <w:t>’</w:t>
      </w:r>
      <w:r w:rsidRPr="004168DD">
        <w:rPr>
          <w:sz w:val="22"/>
          <w:szCs w:val="22"/>
          <w:u w:val="single"/>
          <w:lang w:val="en-CA"/>
        </w:rPr>
        <w:t>s guilt reasonable</w:t>
      </w:r>
      <w:r w:rsidRPr="004168DD">
        <w:rPr>
          <w:sz w:val="22"/>
          <w:szCs w:val="22"/>
          <w:lang w:val="en-CA"/>
        </w:rPr>
        <w:t>?</w:t>
      </w:r>
      <w:r w:rsidRPr="004168DD">
        <w:rPr>
          <w:rStyle w:val="Appelnotedebasdep"/>
          <w:sz w:val="22"/>
          <w:szCs w:val="22"/>
          <w:lang w:val="en-CA"/>
        </w:rPr>
        <w:footnoteReference w:id="5"/>
      </w:r>
      <w:r w:rsidRPr="004168DD">
        <w:rPr>
          <w:sz w:val="22"/>
          <w:szCs w:val="22"/>
          <w:lang w:val="en-CA"/>
        </w:rPr>
        <w:t xml:space="preserve"> </w:t>
      </w:r>
    </w:p>
    <w:p w14:paraId="515CE07C" w14:textId="77777777" w:rsidR="008A2CE7" w:rsidRPr="004168DD" w:rsidRDefault="00B409EE" w:rsidP="00685567">
      <w:pPr>
        <w:pStyle w:val="Paragraphe"/>
        <w:numPr>
          <w:ilvl w:val="0"/>
          <w:numId w:val="0"/>
        </w:numPr>
        <w:spacing w:line="240" w:lineRule="auto"/>
        <w:ind w:left="708"/>
        <w:jc w:val="right"/>
        <w:rPr>
          <w:sz w:val="22"/>
          <w:szCs w:val="22"/>
          <w:lang w:val="en-CA"/>
        </w:rPr>
      </w:pPr>
      <w:r w:rsidRPr="004168DD">
        <w:rPr>
          <w:sz w:val="22"/>
          <w:szCs w:val="22"/>
          <w:lang w:val="en-CA"/>
        </w:rPr>
        <w:t>[Emphasis added]</w:t>
      </w:r>
    </w:p>
    <w:p w14:paraId="731CDA6C" w14:textId="73CCAE6C" w:rsidR="008A2CE7" w:rsidRPr="004168DD" w:rsidRDefault="00B409EE" w:rsidP="00685567">
      <w:pPr>
        <w:pStyle w:val="Paragraphe"/>
        <w:spacing w:line="240" w:lineRule="auto"/>
        <w:rPr>
          <w:lang w:val="en-CA"/>
        </w:rPr>
      </w:pPr>
      <w:r w:rsidRPr="004168DD">
        <w:rPr>
          <w:lang w:val="en-CA"/>
        </w:rPr>
        <w:t>A verdict is unreasonable if it is inconsistent with uncontradicted evidence.</w:t>
      </w:r>
      <w:r w:rsidRPr="004168DD">
        <w:rPr>
          <w:rStyle w:val="Appelnotedebasdep"/>
          <w:lang w:val="en-CA"/>
        </w:rPr>
        <w:footnoteReference w:id="6"/>
      </w:r>
    </w:p>
    <w:p w14:paraId="34F45839" w14:textId="79D4A54A" w:rsidR="008A2CE7" w:rsidRPr="004168DD" w:rsidRDefault="00B409EE" w:rsidP="00685567">
      <w:pPr>
        <w:pStyle w:val="Paragraphe"/>
        <w:spacing w:line="240" w:lineRule="auto"/>
        <w:rPr>
          <w:lang w:val="en-CA"/>
        </w:rPr>
      </w:pPr>
      <w:r w:rsidRPr="004168DD">
        <w:rPr>
          <w:lang w:val="en-CA"/>
        </w:rPr>
        <w:t>The reasonableness of the verdict is a question of law, and the Court</w:t>
      </w:r>
      <w:r w:rsidR="00B2052D" w:rsidRPr="004168DD">
        <w:rPr>
          <w:lang w:val="en-CA"/>
        </w:rPr>
        <w:t>’</w:t>
      </w:r>
      <w:r w:rsidRPr="004168DD">
        <w:rPr>
          <w:lang w:val="en-CA"/>
        </w:rPr>
        <w:t>s intervention is warranted when the verdict cannot be supported by the evidence.</w:t>
      </w:r>
      <w:bookmarkStart w:id="17" w:name="_Ref92352279"/>
      <w:r w:rsidRPr="004168DD">
        <w:rPr>
          <w:rStyle w:val="Appelnotedebasdep"/>
          <w:lang w:val="en-CA"/>
        </w:rPr>
        <w:footnoteReference w:id="7"/>
      </w:r>
      <w:bookmarkEnd w:id="17"/>
      <w:r w:rsidRPr="004168DD">
        <w:rPr>
          <w:lang w:val="en-CA"/>
        </w:rPr>
        <w:t xml:space="preserve"> The Court should not intervene simply because its opinion differs from that of the trial judge.</w:t>
      </w:r>
      <w:r w:rsidRPr="004168DD">
        <w:rPr>
          <w:rStyle w:val="Appelnotedebasdep"/>
          <w:lang w:val="en-CA"/>
        </w:rPr>
        <w:footnoteReference w:id="8"/>
      </w:r>
      <w:r w:rsidRPr="004168DD">
        <w:rPr>
          <w:lang w:val="en-CA"/>
        </w:rPr>
        <w:t xml:space="preserve"> The Court, however, must reassess all of the evidence in order to rule on the reasonableness of the verdict.</w:t>
      </w:r>
      <w:r w:rsidRPr="004168DD">
        <w:rPr>
          <w:rStyle w:val="Appelnotedebasdep"/>
          <w:lang w:val="en-CA"/>
        </w:rPr>
        <w:footnoteReference w:id="9"/>
      </w:r>
      <w:r w:rsidRPr="004168DD">
        <w:rPr>
          <w:lang w:val="en-CA"/>
        </w:rPr>
        <w:t xml:space="preserve"> To do so, it can examine the reasons in order to identify a flaw in the analysis or evaluation of the evidence.</w:t>
      </w:r>
      <w:r w:rsidRPr="004168DD">
        <w:rPr>
          <w:rStyle w:val="Appelnotedebasdep"/>
          <w:lang w:val="en-CA"/>
        </w:rPr>
        <w:footnoteReference w:id="10"/>
      </w:r>
    </w:p>
    <w:p w14:paraId="1CE94745" w14:textId="47B8FD76" w:rsidR="008A2CE7" w:rsidRPr="004168DD" w:rsidRDefault="00B409EE" w:rsidP="00685567">
      <w:pPr>
        <w:pStyle w:val="Paragraphe"/>
        <w:spacing w:line="240" w:lineRule="auto"/>
        <w:rPr>
          <w:lang w:val="en-CA"/>
        </w:rPr>
      </w:pPr>
      <w:r w:rsidRPr="004168DD">
        <w:rPr>
          <w:lang w:val="en-CA"/>
        </w:rPr>
        <w:t>Given these principles, in the present case one must ask:</w:t>
      </w:r>
      <w:r w:rsidR="00C7759B" w:rsidRPr="004168DD">
        <w:rPr>
          <w:lang w:val="en-CA"/>
        </w:rPr>
        <w:t xml:space="preserve"> </w:t>
      </w:r>
      <w:r w:rsidRPr="004168DD">
        <w:rPr>
          <w:lang w:val="en-CA"/>
        </w:rPr>
        <w:t>Can the presence of Mr. Daniel</w:t>
      </w:r>
      <w:r w:rsidR="00B2052D" w:rsidRPr="004168DD">
        <w:rPr>
          <w:lang w:val="en-CA"/>
        </w:rPr>
        <w:t>’</w:t>
      </w:r>
      <w:r w:rsidRPr="004168DD">
        <w:rPr>
          <w:lang w:val="en-CA"/>
        </w:rPr>
        <w:t xml:space="preserve">s DNA and the location of the bag very close to him (both uncontradicted pieces of evidence) give rise to the inference that he placed the weapon in the bag unbeknownst to the appellant. The answer to this question is yes, and the trial judgment must therefore be reversed. </w:t>
      </w:r>
    </w:p>
    <w:p w14:paraId="3C5FDD43" w14:textId="252BEAC5" w:rsidR="008A2CE7" w:rsidRPr="004168DD" w:rsidRDefault="00B409EE" w:rsidP="00685567">
      <w:pPr>
        <w:pStyle w:val="Paragraphe"/>
        <w:spacing w:line="240" w:lineRule="auto"/>
        <w:rPr>
          <w:lang w:val="en-CA"/>
        </w:rPr>
      </w:pPr>
      <w:r w:rsidRPr="004168DD">
        <w:rPr>
          <w:lang w:val="en-CA"/>
        </w:rPr>
        <w:t>In short, the fact that Mr. Daniel was seated in the backseat of the car next to the bag and that only his DNA was found on the weapon makes it reasonable to infer that Mr. Daniel put the gun in the appellant</w:t>
      </w:r>
      <w:r w:rsidR="00B2052D" w:rsidRPr="004168DD">
        <w:rPr>
          <w:lang w:val="en-CA"/>
        </w:rPr>
        <w:t>’</w:t>
      </w:r>
      <w:r w:rsidRPr="004168DD">
        <w:rPr>
          <w:lang w:val="en-CA"/>
        </w:rPr>
        <w:t xml:space="preserve">s bag when the police car turned on its flashing lights signalling the group to stop. </w:t>
      </w:r>
    </w:p>
    <w:p w14:paraId="44B819D9" w14:textId="7C857274" w:rsidR="008A2CE7" w:rsidRPr="004168DD" w:rsidRDefault="00B409EE" w:rsidP="00685567">
      <w:pPr>
        <w:pStyle w:val="Paragraphe"/>
        <w:spacing w:line="240" w:lineRule="auto"/>
        <w:rPr>
          <w:lang w:val="en-CA"/>
        </w:rPr>
      </w:pPr>
      <w:r w:rsidRPr="004168DD">
        <w:rPr>
          <w:lang w:val="en-CA"/>
        </w:rPr>
        <w:t>Was this done without the appellant</w:t>
      </w:r>
      <w:r w:rsidR="00B2052D" w:rsidRPr="004168DD">
        <w:rPr>
          <w:lang w:val="en-CA"/>
        </w:rPr>
        <w:t>’</w:t>
      </w:r>
      <w:r w:rsidRPr="004168DD">
        <w:rPr>
          <w:lang w:val="en-CA"/>
        </w:rPr>
        <w:t>s knowledge? There is no direct evidence of the appellant</w:t>
      </w:r>
      <w:r w:rsidR="00B2052D" w:rsidRPr="004168DD">
        <w:rPr>
          <w:lang w:val="en-CA"/>
        </w:rPr>
        <w:t>’</w:t>
      </w:r>
      <w:r w:rsidRPr="004168DD">
        <w:rPr>
          <w:lang w:val="en-CA"/>
        </w:rPr>
        <w:t>s knowledge that the weapon was in his bag or that Mr. Daniel had a gun in his possession. The only evidence of the appellant</w:t>
      </w:r>
      <w:r w:rsidR="00B2052D" w:rsidRPr="004168DD">
        <w:rPr>
          <w:lang w:val="en-CA"/>
        </w:rPr>
        <w:t>’</w:t>
      </w:r>
      <w:r w:rsidRPr="004168DD">
        <w:rPr>
          <w:lang w:val="en-CA"/>
        </w:rPr>
        <w:t>s knowledge is that the bag belonged to him and the expression on his face after the police officer discovered the gun.</w:t>
      </w:r>
    </w:p>
    <w:p w14:paraId="65C470BF" w14:textId="6718216F" w:rsidR="008A2CE7" w:rsidRPr="004168DD" w:rsidRDefault="00B409EE" w:rsidP="00685567">
      <w:pPr>
        <w:pStyle w:val="Paragraphe"/>
        <w:spacing w:line="240" w:lineRule="auto"/>
        <w:rPr>
          <w:lang w:val="en-CA"/>
        </w:rPr>
      </w:pPr>
      <w:r w:rsidRPr="004168DD">
        <w:rPr>
          <w:lang w:val="en-CA"/>
        </w:rPr>
        <w:t xml:space="preserve">Possession is defined in s. 4(3) of the </w:t>
      </w:r>
      <w:r w:rsidRPr="004168DD">
        <w:rPr>
          <w:i/>
          <w:iCs/>
          <w:lang w:val="en-CA"/>
        </w:rPr>
        <w:t>Criminal Code</w:t>
      </w:r>
      <w:r w:rsidRPr="004168DD">
        <w:rPr>
          <w:lang w:val="en-CA"/>
        </w:rPr>
        <w:t>:</w:t>
      </w:r>
    </w:p>
    <w:tbl>
      <w:tblPr>
        <w:tblW w:w="18730" w:type="dxa"/>
        <w:tblCellMar>
          <w:left w:w="70" w:type="dxa"/>
          <w:right w:w="70" w:type="dxa"/>
        </w:tblCellMar>
        <w:tblLook w:val="0000" w:firstRow="0" w:lastRow="0" w:firstColumn="0" w:lastColumn="0" w:noHBand="0" w:noVBand="0"/>
      </w:tblPr>
      <w:tblGrid>
        <w:gridCol w:w="4684"/>
        <w:gridCol w:w="4684"/>
        <w:gridCol w:w="4684"/>
        <w:gridCol w:w="4678"/>
      </w:tblGrid>
      <w:tr w:rsidR="001F7921" w:rsidRPr="004168DD" w14:paraId="2230CE05" w14:textId="77777777" w:rsidTr="001F7921">
        <w:tc>
          <w:tcPr>
            <w:tcW w:w="4684" w:type="dxa"/>
          </w:tcPr>
          <w:p w14:paraId="014C5253" w14:textId="77777777" w:rsidR="001F7921" w:rsidRPr="004168DD" w:rsidRDefault="001F7921" w:rsidP="001F7921">
            <w:pPr>
              <w:spacing w:line="240" w:lineRule="auto"/>
              <w:ind w:left="720" w:right="142"/>
              <w:jc w:val="both"/>
              <w:rPr>
                <w:sz w:val="22"/>
                <w:lang w:val="en-CA"/>
              </w:rPr>
            </w:pPr>
            <w:r w:rsidRPr="004168DD">
              <w:rPr>
                <w:sz w:val="22"/>
                <w:lang w:val="en-CA"/>
              </w:rPr>
              <w:t>4. (3) For the purposes of this Act,</w:t>
            </w:r>
          </w:p>
          <w:p w14:paraId="67FEEAA1" w14:textId="77777777" w:rsidR="001F7921" w:rsidRPr="004168DD" w:rsidRDefault="001F7921" w:rsidP="001F7921">
            <w:pPr>
              <w:spacing w:line="240" w:lineRule="auto"/>
              <w:ind w:left="720" w:right="142"/>
              <w:jc w:val="both"/>
              <w:rPr>
                <w:sz w:val="22"/>
                <w:lang w:val="en-CA"/>
              </w:rPr>
            </w:pPr>
          </w:p>
          <w:p w14:paraId="2DA5F7A8" w14:textId="77777777" w:rsidR="001F7921" w:rsidRPr="004168DD" w:rsidRDefault="001F7921" w:rsidP="001F7921">
            <w:pPr>
              <w:spacing w:line="240" w:lineRule="auto"/>
              <w:ind w:left="720" w:right="142"/>
              <w:jc w:val="both"/>
              <w:rPr>
                <w:sz w:val="22"/>
                <w:lang w:val="en-CA"/>
              </w:rPr>
            </w:pPr>
          </w:p>
        </w:tc>
        <w:tc>
          <w:tcPr>
            <w:tcW w:w="4684" w:type="dxa"/>
          </w:tcPr>
          <w:p w14:paraId="71ABD123" w14:textId="4FA01DB7" w:rsidR="001F7921" w:rsidRPr="004168DD" w:rsidRDefault="001F7921" w:rsidP="001F7921">
            <w:pPr>
              <w:spacing w:line="240" w:lineRule="auto"/>
              <w:ind w:left="144" w:right="720"/>
              <w:jc w:val="both"/>
              <w:rPr>
                <w:bCs/>
                <w:sz w:val="22"/>
                <w:lang w:val="en-CA"/>
              </w:rPr>
            </w:pPr>
            <w:r w:rsidRPr="004168DD">
              <w:rPr>
                <w:bCs/>
                <w:sz w:val="22"/>
                <w:lang w:val="en-CA"/>
              </w:rPr>
              <w:t>4. (3) Pour l</w:t>
            </w:r>
            <w:r w:rsidR="00B2052D" w:rsidRPr="004168DD">
              <w:rPr>
                <w:bCs/>
                <w:sz w:val="22"/>
                <w:lang w:val="en-CA"/>
              </w:rPr>
              <w:t>’</w:t>
            </w:r>
            <w:r w:rsidRPr="004168DD">
              <w:rPr>
                <w:bCs/>
                <w:sz w:val="22"/>
                <w:lang w:val="en-CA"/>
              </w:rPr>
              <w:t>application de la présente loi :</w:t>
            </w:r>
          </w:p>
          <w:p w14:paraId="738F36D2" w14:textId="77777777" w:rsidR="001F7921" w:rsidRPr="004168DD" w:rsidRDefault="001F7921" w:rsidP="001F7921">
            <w:pPr>
              <w:spacing w:line="240" w:lineRule="auto"/>
              <w:ind w:left="144" w:right="720"/>
              <w:jc w:val="both"/>
              <w:rPr>
                <w:bCs/>
                <w:sz w:val="22"/>
                <w:lang w:val="en-CA"/>
              </w:rPr>
            </w:pPr>
          </w:p>
        </w:tc>
        <w:tc>
          <w:tcPr>
            <w:tcW w:w="4684" w:type="dxa"/>
          </w:tcPr>
          <w:p w14:paraId="23133930" w14:textId="64ED02BF" w:rsidR="001F7921" w:rsidRPr="004168DD" w:rsidRDefault="001F7921" w:rsidP="001F7921">
            <w:pPr>
              <w:spacing w:line="240" w:lineRule="auto"/>
              <w:ind w:left="720" w:right="142"/>
              <w:jc w:val="both"/>
              <w:rPr>
                <w:sz w:val="22"/>
                <w:lang w:val="en-CA"/>
              </w:rPr>
            </w:pPr>
          </w:p>
        </w:tc>
        <w:tc>
          <w:tcPr>
            <w:tcW w:w="4678" w:type="dxa"/>
          </w:tcPr>
          <w:p w14:paraId="1C8129E4" w14:textId="77777777" w:rsidR="001F7921" w:rsidRPr="004168DD" w:rsidRDefault="001F7921" w:rsidP="001F7921">
            <w:pPr>
              <w:spacing w:line="240" w:lineRule="auto"/>
              <w:ind w:left="144" w:right="720"/>
              <w:jc w:val="both"/>
              <w:rPr>
                <w:sz w:val="22"/>
                <w:lang w:val="en-CA"/>
              </w:rPr>
            </w:pPr>
          </w:p>
        </w:tc>
      </w:tr>
      <w:tr w:rsidR="001F7921" w:rsidRPr="004168DD" w14:paraId="52116BD6" w14:textId="77777777" w:rsidTr="001F7921">
        <w:tc>
          <w:tcPr>
            <w:tcW w:w="4684" w:type="dxa"/>
          </w:tcPr>
          <w:p w14:paraId="397C1056" w14:textId="77777777" w:rsidR="001F7921" w:rsidRPr="004168DD" w:rsidRDefault="001F7921" w:rsidP="001F7921">
            <w:pPr>
              <w:spacing w:line="240" w:lineRule="auto"/>
              <w:ind w:left="720" w:right="142"/>
              <w:jc w:val="both"/>
              <w:rPr>
                <w:sz w:val="22"/>
                <w:lang w:val="en-CA"/>
              </w:rPr>
            </w:pPr>
            <w:r w:rsidRPr="004168DD">
              <w:rPr>
                <w:sz w:val="22"/>
                <w:lang w:val="en-CA"/>
              </w:rPr>
              <w:t>(a) a person has anything in possession when he has it in his personal possession or knowingly</w:t>
            </w:r>
          </w:p>
          <w:p w14:paraId="41985BB2" w14:textId="77777777" w:rsidR="001F7921" w:rsidRPr="004168DD" w:rsidRDefault="001F7921" w:rsidP="001F7921">
            <w:pPr>
              <w:spacing w:line="240" w:lineRule="auto"/>
              <w:ind w:left="720" w:right="142"/>
              <w:jc w:val="both"/>
              <w:rPr>
                <w:sz w:val="22"/>
                <w:lang w:val="en-CA"/>
              </w:rPr>
            </w:pPr>
          </w:p>
        </w:tc>
        <w:tc>
          <w:tcPr>
            <w:tcW w:w="4684" w:type="dxa"/>
          </w:tcPr>
          <w:p w14:paraId="67830EEB" w14:textId="3CFBB8A6" w:rsidR="001F7921" w:rsidRPr="004168DD" w:rsidRDefault="001F7921" w:rsidP="001F7921">
            <w:pPr>
              <w:spacing w:line="240" w:lineRule="auto"/>
              <w:ind w:left="144" w:right="720"/>
              <w:jc w:val="both"/>
              <w:rPr>
                <w:bCs/>
                <w:sz w:val="22"/>
                <w:lang w:val="en-CA"/>
              </w:rPr>
            </w:pPr>
            <w:r w:rsidRPr="004168DD">
              <w:rPr>
                <w:bCs/>
                <w:sz w:val="22"/>
                <w:lang w:val="en-CA"/>
              </w:rPr>
              <w:lastRenderedPageBreak/>
              <w:t>a) une personne est en possession d</w:t>
            </w:r>
            <w:r w:rsidR="00B2052D" w:rsidRPr="004168DD">
              <w:rPr>
                <w:bCs/>
                <w:sz w:val="22"/>
                <w:lang w:val="en-CA"/>
              </w:rPr>
              <w:t>’</w:t>
            </w:r>
            <w:r w:rsidRPr="004168DD">
              <w:rPr>
                <w:bCs/>
                <w:sz w:val="22"/>
                <w:lang w:val="en-CA"/>
              </w:rPr>
              <w:t>une chose lorsqu</w:t>
            </w:r>
            <w:r w:rsidR="00B2052D" w:rsidRPr="004168DD">
              <w:rPr>
                <w:bCs/>
                <w:sz w:val="22"/>
                <w:lang w:val="en-CA"/>
              </w:rPr>
              <w:t>’</w:t>
            </w:r>
            <w:r w:rsidRPr="004168DD">
              <w:rPr>
                <w:bCs/>
                <w:sz w:val="22"/>
                <w:lang w:val="en-CA"/>
              </w:rPr>
              <w:t>elle l</w:t>
            </w:r>
            <w:r w:rsidR="00B2052D" w:rsidRPr="004168DD">
              <w:rPr>
                <w:bCs/>
                <w:sz w:val="22"/>
                <w:lang w:val="en-CA"/>
              </w:rPr>
              <w:t>’</w:t>
            </w:r>
            <w:r w:rsidRPr="004168DD">
              <w:rPr>
                <w:bCs/>
                <w:sz w:val="22"/>
                <w:lang w:val="en-CA"/>
              </w:rPr>
              <w:t xml:space="preserve">a en sa </w:t>
            </w:r>
            <w:r w:rsidRPr="004168DD">
              <w:rPr>
                <w:bCs/>
                <w:sz w:val="22"/>
                <w:lang w:val="en-CA"/>
              </w:rPr>
              <w:lastRenderedPageBreak/>
              <w:t>possession personnelle ou que, sciemment :</w:t>
            </w:r>
          </w:p>
          <w:p w14:paraId="518F7250" w14:textId="77777777" w:rsidR="001F7921" w:rsidRPr="004168DD" w:rsidRDefault="001F7921" w:rsidP="001F7921">
            <w:pPr>
              <w:spacing w:line="240" w:lineRule="auto"/>
              <w:ind w:left="144" w:right="720"/>
              <w:jc w:val="both"/>
              <w:rPr>
                <w:bCs/>
                <w:sz w:val="22"/>
                <w:lang w:val="en-CA"/>
              </w:rPr>
            </w:pPr>
          </w:p>
        </w:tc>
        <w:tc>
          <w:tcPr>
            <w:tcW w:w="4684" w:type="dxa"/>
          </w:tcPr>
          <w:p w14:paraId="04D5A17C" w14:textId="58370389" w:rsidR="001F7921" w:rsidRPr="004168DD" w:rsidRDefault="001F7921" w:rsidP="001F7921">
            <w:pPr>
              <w:spacing w:line="240" w:lineRule="auto"/>
              <w:ind w:left="720" w:right="142"/>
              <w:jc w:val="both"/>
              <w:rPr>
                <w:bCs/>
                <w:sz w:val="22"/>
                <w:lang w:val="en-CA"/>
              </w:rPr>
            </w:pPr>
          </w:p>
        </w:tc>
        <w:tc>
          <w:tcPr>
            <w:tcW w:w="4678" w:type="dxa"/>
          </w:tcPr>
          <w:p w14:paraId="3D507125" w14:textId="77777777" w:rsidR="001F7921" w:rsidRPr="004168DD" w:rsidRDefault="001F7921" w:rsidP="001F7921">
            <w:pPr>
              <w:spacing w:line="240" w:lineRule="auto"/>
              <w:ind w:left="144" w:right="720"/>
              <w:jc w:val="both"/>
              <w:rPr>
                <w:bCs/>
                <w:sz w:val="22"/>
                <w:lang w:val="en-CA"/>
              </w:rPr>
            </w:pPr>
          </w:p>
        </w:tc>
      </w:tr>
      <w:tr w:rsidR="001F7921" w:rsidRPr="004168DD" w14:paraId="4BBCF3EB" w14:textId="77777777" w:rsidTr="001F7921">
        <w:tc>
          <w:tcPr>
            <w:tcW w:w="4684" w:type="dxa"/>
          </w:tcPr>
          <w:p w14:paraId="678B7D1F" w14:textId="77777777" w:rsidR="001F7921" w:rsidRPr="004168DD" w:rsidRDefault="001F7921" w:rsidP="001F7921">
            <w:pPr>
              <w:spacing w:line="240" w:lineRule="auto"/>
              <w:ind w:left="720" w:right="142"/>
              <w:jc w:val="both"/>
              <w:rPr>
                <w:sz w:val="22"/>
                <w:lang w:val="en-CA"/>
              </w:rPr>
            </w:pPr>
            <w:r w:rsidRPr="004168DD">
              <w:rPr>
                <w:sz w:val="22"/>
                <w:lang w:val="en-CA"/>
              </w:rPr>
              <w:t>(i) has it in the actual possession or custody of another person, or</w:t>
            </w:r>
          </w:p>
          <w:p w14:paraId="388FD7A1" w14:textId="77777777" w:rsidR="001F7921" w:rsidRPr="004168DD" w:rsidRDefault="001F7921" w:rsidP="001F7921">
            <w:pPr>
              <w:spacing w:line="240" w:lineRule="auto"/>
              <w:ind w:left="720" w:right="142"/>
              <w:jc w:val="both"/>
              <w:rPr>
                <w:sz w:val="22"/>
                <w:lang w:val="en-CA"/>
              </w:rPr>
            </w:pPr>
          </w:p>
        </w:tc>
        <w:tc>
          <w:tcPr>
            <w:tcW w:w="4684" w:type="dxa"/>
          </w:tcPr>
          <w:p w14:paraId="29E03A18" w14:textId="33DAFFFC" w:rsidR="001F7921" w:rsidRPr="004168DD" w:rsidRDefault="001F7921" w:rsidP="001F7921">
            <w:pPr>
              <w:spacing w:line="240" w:lineRule="auto"/>
              <w:ind w:left="144" w:right="720"/>
              <w:jc w:val="both"/>
              <w:rPr>
                <w:bCs/>
                <w:sz w:val="22"/>
                <w:lang w:val="en-CA"/>
              </w:rPr>
            </w:pPr>
            <w:r w:rsidRPr="004168DD">
              <w:rPr>
                <w:bCs/>
                <w:sz w:val="22"/>
                <w:lang w:val="en-CA"/>
              </w:rPr>
              <w:t>(i) ou bien elle l</w:t>
            </w:r>
            <w:r w:rsidR="00B2052D" w:rsidRPr="004168DD">
              <w:rPr>
                <w:bCs/>
                <w:sz w:val="22"/>
                <w:lang w:val="en-CA"/>
              </w:rPr>
              <w:t>’</w:t>
            </w:r>
            <w:r w:rsidRPr="004168DD">
              <w:rPr>
                <w:bCs/>
                <w:sz w:val="22"/>
                <w:lang w:val="en-CA"/>
              </w:rPr>
              <w:t>a en la possession ou garde réelle d</w:t>
            </w:r>
            <w:r w:rsidR="00B2052D" w:rsidRPr="004168DD">
              <w:rPr>
                <w:bCs/>
                <w:sz w:val="22"/>
                <w:lang w:val="en-CA"/>
              </w:rPr>
              <w:t>’</w:t>
            </w:r>
            <w:r w:rsidRPr="004168DD">
              <w:rPr>
                <w:bCs/>
                <w:sz w:val="22"/>
                <w:lang w:val="en-CA"/>
              </w:rPr>
              <w:t>une autre personne,</w:t>
            </w:r>
          </w:p>
          <w:p w14:paraId="24CEAC8B" w14:textId="77777777" w:rsidR="001F7921" w:rsidRPr="004168DD" w:rsidRDefault="001F7921" w:rsidP="001F7921">
            <w:pPr>
              <w:spacing w:line="240" w:lineRule="auto"/>
              <w:ind w:left="144" w:right="720"/>
              <w:jc w:val="both"/>
              <w:rPr>
                <w:bCs/>
                <w:sz w:val="22"/>
                <w:lang w:val="en-CA"/>
              </w:rPr>
            </w:pPr>
          </w:p>
        </w:tc>
        <w:tc>
          <w:tcPr>
            <w:tcW w:w="4684" w:type="dxa"/>
          </w:tcPr>
          <w:p w14:paraId="46F6DCCF" w14:textId="07215536" w:rsidR="001F7921" w:rsidRPr="004168DD" w:rsidRDefault="001F7921" w:rsidP="001F7921">
            <w:pPr>
              <w:spacing w:line="240" w:lineRule="auto"/>
              <w:ind w:left="720" w:right="142"/>
              <w:jc w:val="both"/>
              <w:rPr>
                <w:bCs/>
                <w:sz w:val="22"/>
                <w:lang w:val="en-CA"/>
              </w:rPr>
            </w:pPr>
          </w:p>
        </w:tc>
        <w:tc>
          <w:tcPr>
            <w:tcW w:w="4678" w:type="dxa"/>
          </w:tcPr>
          <w:p w14:paraId="18854536" w14:textId="77777777" w:rsidR="001F7921" w:rsidRPr="004168DD" w:rsidRDefault="001F7921" w:rsidP="001F7921">
            <w:pPr>
              <w:spacing w:line="240" w:lineRule="auto"/>
              <w:ind w:left="144" w:right="720"/>
              <w:jc w:val="both"/>
              <w:rPr>
                <w:bCs/>
                <w:sz w:val="22"/>
                <w:lang w:val="en-CA"/>
              </w:rPr>
            </w:pPr>
          </w:p>
        </w:tc>
      </w:tr>
      <w:tr w:rsidR="001F7921" w:rsidRPr="004168DD" w14:paraId="4C2C738C" w14:textId="77777777" w:rsidTr="001F7921">
        <w:tc>
          <w:tcPr>
            <w:tcW w:w="4684" w:type="dxa"/>
          </w:tcPr>
          <w:p w14:paraId="6D4BEBD8" w14:textId="77777777" w:rsidR="001F7921" w:rsidRPr="004168DD" w:rsidRDefault="001F7921" w:rsidP="001F7921">
            <w:pPr>
              <w:spacing w:line="240" w:lineRule="auto"/>
              <w:ind w:left="720" w:right="142"/>
              <w:jc w:val="both"/>
              <w:rPr>
                <w:sz w:val="22"/>
                <w:lang w:val="en-CA"/>
              </w:rPr>
            </w:pPr>
            <w:r w:rsidRPr="004168DD">
              <w:rPr>
                <w:sz w:val="22"/>
                <w:lang w:val="en-CA"/>
              </w:rPr>
              <w:t>(ii) has it in any place, whether or not that place belongs to or is occupied by him, for the use or benefit of himself or of another person; and</w:t>
            </w:r>
          </w:p>
          <w:p w14:paraId="7704780F" w14:textId="77777777" w:rsidR="001F7921" w:rsidRPr="004168DD" w:rsidRDefault="001F7921" w:rsidP="001F7921">
            <w:pPr>
              <w:spacing w:line="240" w:lineRule="auto"/>
              <w:ind w:left="720" w:right="142"/>
              <w:jc w:val="both"/>
              <w:rPr>
                <w:sz w:val="22"/>
                <w:lang w:val="en-CA"/>
              </w:rPr>
            </w:pPr>
          </w:p>
        </w:tc>
        <w:tc>
          <w:tcPr>
            <w:tcW w:w="4684" w:type="dxa"/>
          </w:tcPr>
          <w:p w14:paraId="1A2173B4" w14:textId="21D43FAA" w:rsidR="001F7921" w:rsidRPr="004168DD" w:rsidRDefault="001F7921" w:rsidP="001F7921">
            <w:pPr>
              <w:spacing w:line="240" w:lineRule="auto"/>
              <w:ind w:left="144" w:right="720"/>
              <w:jc w:val="both"/>
              <w:rPr>
                <w:bCs/>
                <w:sz w:val="22"/>
                <w:lang w:val="en-CA"/>
              </w:rPr>
            </w:pPr>
            <w:r w:rsidRPr="004168DD">
              <w:rPr>
                <w:bCs/>
                <w:sz w:val="22"/>
                <w:lang w:val="en-CA"/>
              </w:rPr>
              <w:t>(ii) ou bien elle l</w:t>
            </w:r>
            <w:r w:rsidR="00B2052D" w:rsidRPr="004168DD">
              <w:rPr>
                <w:bCs/>
                <w:sz w:val="22"/>
                <w:lang w:val="en-CA"/>
              </w:rPr>
              <w:t>’</w:t>
            </w:r>
            <w:r w:rsidRPr="004168DD">
              <w:rPr>
                <w:bCs/>
                <w:sz w:val="22"/>
                <w:lang w:val="en-CA"/>
              </w:rPr>
              <w:t>a en un lieu qui lui appartient ou non ou qu</w:t>
            </w:r>
            <w:r w:rsidR="00B2052D" w:rsidRPr="004168DD">
              <w:rPr>
                <w:bCs/>
                <w:sz w:val="22"/>
                <w:lang w:val="en-CA"/>
              </w:rPr>
              <w:t>’</w:t>
            </w:r>
            <w:r w:rsidRPr="004168DD">
              <w:rPr>
                <w:bCs/>
                <w:sz w:val="22"/>
                <w:lang w:val="en-CA"/>
              </w:rPr>
              <w:t>elle occupe ou non, pour son propre usage ou avantage ou celui d</w:t>
            </w:r>
            <w:r w:rsidR="00B2052D" w:rsidRPr="004168DD">
              <w:rPr>
                <w:bCs/>
                <w:sz w:val="22"/>
                <w:lang w:val="en-CA"/>
              </w:rPr>
              <w:t>’</w:t>
            </w:r>
            <w:r w:rsidRPr="004168DD">
              <w:rPr>
                <w:bCs/>
                <w:sz w:val="22"/>
                <w:lang w:val="en-CA"/>
              </w:rPr>
              <w:t>une autre personne;</w:t>
            </w:r>
          </w:p>
          <w:p w14:paraId="44B5DF10" w14:textId="77777777" w:rsidR="001F7921" w:rsidRPr="004168DD" w:rsidRDefault="001F7921" w:rsidP="001F7921">
            <w:pPr>
              <w:spacing w:line="240" w:lineRule="auto"/>
              <w:ind w:left="144" w:right="720"/>
              <w:jc w:val="both"/>
              <w:rPr>
                <w:bCs/>
                <w:sz w:val="22"/>
                <w:lang w:val="en-CA"/>
              </w:rPr>
            </w:pPr>
          </w:p>
        </w:tc>
        <w:tc>
          <w:tcPr>
            <w:tcW w:w="4684" w:type="dxa"/>
          </w:tcPr>
          <w:p w14:paraId="64FA9CF2" w14:textId="27BE259E" w:rsidR="001F7921" w:rsidRPr="004168DD" w:rsidRDefault="001F7921" w:rsidP="001F7921">
            <w:pPr>
              <w:spacing w:line="240" w:lineRule="auto"/>
              <w:ind w:left="720" w:right="142"/>
              <w:jc w:val="both"/>
              <w:rPr>
                <w:bCs/>
                <w:sz w:val="22"/>
                <w:lang w:val="en-CA"/>
              </w:rPr>
            </w:pPr>
          </w:p>
        </w:tc>
        <w:tc>
          <w:tcPr>
            <w:tcW w:w="4678" w:type="dxa"/>
          </w:tcPr>
          <w:p w14:paraId="7CDD2DA1" w14:textId="77777777" w:rsidR="001F7921" w:rsidRPr="004168DD" w:rsidRDefault="001F7921" w:rsidP="001F7921">
            <w:pPr>
              <w:spacing w:line="240" w:lineRule="auto"/>
              <w:ind w:left="144" w:right="720"/>
              <w:jc w:val="both"/>
              <w:rPr>
                <w:bCs/>
                <w:sz w:val="22"/>
                <w:lang w:val="en-CA"/>
              </w:rPr>
            </w:pPr>
          </w:p>
        </w:tc>
      </w:tr>
      <w:tr w:rsidR="001F7921" w:rsidRPr="004168DD" w14:paraId="40013326" w14:textId="77777777" w:rsidTr="001F7921">
        <w:tc>
          <w:tcPr>
            <w:tcW w:w="4684" w:type="dxa"/>
          </w:tcPr>
          <w:p w14:paraId="14A3B8A7" w14:textId="77777777" w:rsidR="001F7921" w:rsidRPr="004168DD" w:rsidRDefault="001F7921" w:rsidP="001F7921">
            <w:pPr>
              <w:spacing w:line="240" w:lineRule="auto"/>
              <w:ind w:left="720" w:right="142"/>
              <w:jc w:val="both"/>
              <w:rPr>
                <w:sz w:val="22"/>
                <w:lang w:val="en-CA"/>
              </w:rPr>
            </w:pPr>
            <w:r w:rsidRPr="004168DD">
              <w:rPr>
                <w:sz w:val="22"/>
                <w:lang w:val="en-CA"/>
              </w:rPr>
              <w:t>(b) where one of two or more persons, with the knowledge and consent of the rest, has anything in his custody or possession, it shall be deemed to be in the custody and possession of each and all of them.</w:t>
            </w:r>
          </w:p>
          <w:p w14:paraId="765B4A75" w14:textId="77777777" w:rsidR="001F7921" w:rsidRPr="004168DD" w:rsidRDefault="001F7921" w:rsidP="001F7921">
            <w:pPr>
              <w:spacing w:line="240" w:lineRule="auto"/>
              <w:ind w:left="720" w:right="142"/>
              <w:jc w:val="both"/>
              <w:rPr>
                <w:sz w:val="22"/>
                <w:lang w:val="en-CA"/>
              </w:rPr>
            </w:pPr>
          </w:p>
        </w:tc>
        <w:tc>
          <w:tcPr>
            <w:tcW w:w="4684" w:type="dxa"/>
          </w:tcPr>
          <w:p w14:paraId="4B118281" w14:textId="49345261" w:rsidR="001F7921" w:rsidRPr="004168DD" w:rsidRDefault="001F7921" w:rsidP="001F7921">
            <w:pPr>
              <w:spacing w:line="240" w:lineRule="auto"/>
              <w:ind w:left="144" w:right="720"/>
              <w:jc w:val="both"/>
              <w:rPr>
                <w:bCs/>
                <w:sz w:val="22"/>
                <w:lang w:val="en-CA"/>
              </w:rPr>
            </w:pPr>
            <w:r w:rsidRPr="004168DD">
              <w:rPr>
                <w:bCs/>
                <w:sz w:val="22"/>
                <w:lang w:val="en-CA"/>
              </w:rPr>
              <w:t>b) lorsqu</w:t>
            </w:r>
            <w:r w:rsidR="00B2052D" w:rsidRPr="004168DD">
              <w:rPr>
                <w:bCs/>
                <w:sz w:val="22"/>
                <w:lang w:val="en-CA"/>
              </w:rPr>
              <w:t>’</w:t>
            </w:r>
            <w:r w:rsidRPr="004168DD">
              <w:rPr>
                <w:bCs/>
                <w:sz w:val="22"/>
                <w:lang w:val="en-CA"/>
              </w:rPr>
              <w:t>une de deux ou plusieurs personnes, au su et avec le consentement de l</w:t>
            </w:r>
            <w:r w:rsidR="00B2052D" w:rsidRPr="004168DD">
              <w:rPr>
                <w:bCs/>
                <w:sz w:val="22"/>
                <w:lang w:val="en-CA"/>
              </w:rPr>
              <w:t>’</w:t>
            </w:r>
            <w:r w:rsidRPr="004168DD">
              <w:rPr>
                <w:bCs/>
                <w:sz w:val="22"/>
                <w:lang w:val="en-CA"/>
              </w:rPr>
              <w:t>autre ou des autres, a une chose en sa garde ou possession, cette chose est censée en la garde et possession de toutes ces personnes et de chacune d</w:t>
            </w:r>
            <w:r w:rsidR="00B2052D" w:rsidRPr="004168DD">
              <w:rPr>
                <w:bCs/>
                <w:sz w:val="22"/>
                <w:lang w:val="en-CA"/>
              </w:rPr>
              <w:t>’</w:t>
            </w:r>
            <w:r w:rsidRPr="004168DD">
              <w:rPr>
                <w:bCs/>
                <w:sz w:val="22"/>
                <w:lang w:val="en-CA"/>
              </w:rPr>
              <w:t>elles.</w:t>
            </w:r>
          </w:p>
        </w:tc>
        <w:tc>
          <w:tcPr>
            <w:tcW w:w="4684" w:type="dxa"/>
          </w:tcPr>
          <w:p w14:paraId="605997A7" w14:textId="103B394A" w:rsidR="001F7921" w:rsidRPr="004168DD" w:rsidRDefault="001F7921" w:rsidP="001F7921">
            <w:pPr>
              <w:spacing w:line="240" w:lineRule="auto"/>
              <w:ind w:left="720" w:right="142"/>
              <w:jc w:val="both"/>
              <w:rPr>
                <w:bCs/>
                <w:sz w:val="22"/>
                <w:lang w:val="en-CA"/>
              </w:rPr>
            </w:pPr>
          </w:p>
        </w:tc>
        <w:tc>
          <w:tcPr>
            <w:tcW w:w="4678" w:type="dxa"/>
          </w:tcPr>
          <w:p w14:paraId="0AD59D53" w14:textId="77777777" w:rsidR="001F7921" w:rsidRPr="004168DD" w:rsidRDefault="001F7921" w:rsidP="001F7921">
            <w:pPr>
              <w:spacing w:line="240" w:lineRule="auto"/>
              <w:ind w:left="144" w:right="720"/>
              <w:jc w:val="both"/>
              <w:rPr>
                <w:bCs/>
                <w:sz w:val="22"/>
                <w:lang w:val="en-CA"/>
              </w:rPr>
            </w:pPr>
          </w:p>
        </w:tc>
      </w:tr>
    </w:tbl>
    <w:p w14:paraId="0EF2B5BF" w14:textId="77777777" w:rsidR="007A0115" w:rsidRDefault="007A0115" w:rsidP="00685567">
      <w:pPr>
        <w:pStyle w:val="Paragraphe"/>
        <w:numPr>
          <w:ilvl w:val="0"/>
          <w:numId w:val="0"/>
        </w:numPr>
        <w:spacing w:line="240" w:lineRule="auto"/>
        <w:rPr>
          <w:lang w:val="en-CA"/>
        </w:rPr>
      </w:pPr>
    </w:p>
    <w:p w14:paraId="091402EA" w14:textId="3B88ECD7" w:rsidR="008A2CE7" w:rsidRPr="004168DD" w:rsidRDefault="00B409EE" w:rsidP="00685567">
      <w:pPr>
        <w:pStyle w:val="Paragraphe"/>
        <w:numPr>
          <w:ilvl w:val="0"/>
          <w:numId w:val="0"/>
        </w:numPr>
        <w:spacing w:line="240" w:lineRule="auto"/>
        <w:rPr>
          <w:lang w:val="en-CA"/>
        </w:rPr>
      </w:pPr>
      <w:r w:rsidRPr="004168DD">
        <w:rPr>
          <w:lang w:val="en-CA"/>
        </w:rPr>
        <w:t>For purposes of this case, the respondent was required to prove that the gun had been found in the bag belonging to the appellant and that the latter had placed it there or knew and had consented to someone else doing so.</w:t>
      </w:r>
      <w:r w:rsidRPr="004168DD">
        <w:rPr>
          <w:rStyle w:val="Appelnotedebasdep"/>
          <w:lang w:val="en-CA"/>
        </w:rPr>
        <w:footnoteReference w:id="11"/>
      </w:r>
      <w:r w:rsidRPr="004168DD">
        <w:rPr>
          <w:lang w:val="en-CA"/>
        </w:rPr>
        <w:t xml:space="preserve"> Possession requires knowledge of the object</w:t>
      </w:r>
      <w:r w:rsidR="00B2052D" w:rsidRPr="004168DD">
        <w:rPr>
          <w:lang w:val="en-CA"/>
        </w:rPr>
        <w:t>’</w:t>
      </w:r>
      <w:r w:rsidRPr="004168DD">
        <w:rPr>
          <w:lang w:val="en-CA"/>
        </w:rPr>
        <w:t>s presence as well as control.</w:t>
      </w:r>
      <w:r w:rsidRPr="004168DD">
        <w:rPr>
          <w:rStyle w:val="Appelnotedebasdep"/>
          <w:lang w:val="en-CA"/>
        </w:rPr>
        <w:footnoteReference w:id="12"/>
      </w:r>
    </w:p>
    <w:p w14:paraId="5FC070C5" w14:textId="34AB9D41" w:rsidR="008A2CE7" w:rsidRPr="004168DD" w:rsidRDefault="00B409EE" w:rsidP="00685567">
      <w:pPr>
        <w:pStyle w:val="Paragraphe"/>
        <w:spacing w:line="240" w:lineRule="auto"/>
        <w:rPr>
          <w:lang w:val="en-CA"/>
        </w:rPr>
      </w:pPr>
      <w:r w:rsidRPr="004168DD">
        <w:rPr>
          <w:lang w:val="en-CA"/>
        </w:rPr>
        <w:t xml:space="preserve">With all due respect, the trial judge fell into the trap </w:t>
      </w:r>
      <w:r w:rsidR="00825666">
        <w:rPr>
          <w:lang w:val="en-CA"/>
        </w:rPr>
        <w:t>of</w:t>
      </w:r>
      <w:r w:rsidRPr="004168DD">
        <w:rPr>
          <w:lang w:val="en-CA"/>
        </w:rPr>
        <w:t xml:space="preserve"> reasoning that since she did not believe the appellant, the prosecution</w:t>
      </w:r>
      <w:r w:rsidR="00B2052D" w:rsidRPr="004168DD">
        <w:rPr>
          <w:lang w:val="en-CA"/>
        </w:rPr>
        <w:t>’</w:t>
      </w:r>
      <w:r w:rsidRPr="004168DD">
        <w:rPr>
          <w:lang w:val="en-CA"/>
        </w:rPr>
        <w:t>s version had been proved.</w:t>
      </w:r>
      <w:r w:rsidRPr="004168DD">
        <w:rPr>
          <w:rStyle w:val="Appelnotedebasdep"/>
          <w:lang w:val="en-CA"/>
        </w:rPr>
        <w:footnoteReference w:id="13"/>
      </w:r>
      <w:r w:rsidRPr="004168DD">
        <w:rPr>
          <w:lang w:val="en-CA"/>
        </w:rPr>
        <w:t xml:space="preserve"> Such an approach, however, reverses the burden of proof.</w:t>
      </w:r>
      <w:r w:rsidRPr="004168DD">
        <w:rPr>
          <w:rStyle w:val="Appelnotedebasdep"/>
          <w:lang w:val="en-CA"/>
        </w:rPr>
        <w:footnoteReference w:id="14"/>
      </w:r>
      <w:r w:rsidRPr="004168DD">
        <w:rPr>
          <w:lang w:val="en-CA"/>
        </w:rPr>
        <w:t xml:space="preserve"> In the instant case, the judge did not believe the appellant when he testified that he was unaware of the gun</w:t>
      </w:r>
      <w:r w:rsidR="00B2052D" w:rsidRPr="004168DD">
        <w:rPr>
          <w:lang w:val="en-CA"/>
        </w:rPr>
        <w:t>’</w:t>
      </w:r>
      <w:r w:rsidRPr="004168DD">
        <w:rPr>
          <w:lang w:val="en-CA"/>
        </w:rPr>
        <w:t>s presence in his bag. She therefore concluded that the inference that Mr. Daniel put the gun in the bag is not reasonable, but rather speculative. The following are some excerpts from the judge</w:t>
      </w:r>
      <w:r w:rsidR="00B2052D" w:rsidRPr="004168DD">
        <w:rPr>
          <w:lang w:val="en-CA"/>
        </w:rPr>
        <w:t>’</w:t>
      </w:r>
      <w:r w:rsidRPr="004168DD">
        <w:rPr>
          <w:lang w:val="en-CA"/>
        </w:rPr>
        <w:t>s observations in that regard:</w:t>
      </w:r>
    </w:p>
    <w:p w14:paraId="455A6A88" w14:textId="77777777" w:rsidR="00736277" w:rsidRDefault="00B409EE" w:rsidP="00685567">
      <w:pPr>
        <w:pStyle w:val="Citationenretrait"/>
        <w:spacing w:line="240" w:lineRule="auto"/>
        <w:rPr>
          <w:lang w:val="en-CA"/>
        </w:rPr>
      </w:pPr>
      <w:r w:rsidRPr="004168DD">
        <w:rPr>
          <w:lang w:val="en-CA"/>
        </w:rPr>
        <w:t>[</w:t>
      </w:r>
      <w:r w:rsidR="00736277" w:rsidRPr="00736277">
        <w:rPr>
          <w:smallCaps/>
          <w:lang w:val="en-CA"/>
        </w:rPr>
        <w:t>translation</w:t>
      </w:r>
      <w:r w:rsidRPr="004168DD">
        <w:rPr>
          <w:lang w:val="en-CA"/>
        </w:rPr>
        <w:t>]</w:t>
      </w:r>
    </w:p>
    <w:p w14:paraId="74B32462" w14:textId="38B5AA4A" w:rsidR="003B2783" w:rsidRPr="004168DD" w:rsidRDefault="00B409EE" w:rsidP="00685567">
      <w:pPr>
        <w:pStyle w:val="Citationenretrait"/>
        <w:spacing w:line="240" w:lineRule="auto"/>
        <w:rPr>
          <w:lang w:val="en-CA"/>
        </w:rPr>
      </w:pPr>
      <w:r w:rsidRPr="004168DD">
        <w:rPr>
          <w:lang w:val="en-CA"/>
        </w:rPr>
        <w:t>The accused hopes the Court will believe his testimony and give him the benefit of a reasonable doubt regarding the possession of a firearm […].</w:t>
      </w:r>
    </w:p>
    <w:p w14:paraId="1787B63F" w14:textId="77777777" w:rsidR="003B2783" w:rsidRPr="004168DD" w:rsidRDefault="00B409EE">
      <w:pPr>
        <w:spacing w:line="240" w:lineRule="auto"/>
        <w:rPr>
          <w:kern w:val="24"/>
          <w:sz w:val="22"/>
          <w:lang w:val="en-CA"/>
        </w:rPr>
      </w:pPr>
      <w:r w:rsidRPr="004168DD">
        <w:rPr>
          <w:lang w:val="en-CA"/>
        </w:rPr>
        <w:br w:type="page"/>
      </w:r>
    </w:p>
    <w:p w14:paraId="4C673F11" w14:textId="77777777" w:rsidR="008A2CE7" w:rsidRPr="004168DD" w:rsidRDefault="008A2CE7" w:rsidP="00685567">
      <w:pPr>
        <w:pStyle w:val="Citationenretrait"/>
        <w:spacing w:line="240" w:lineRule="auto"/>
        <w:rPr>
          <w:lang w:val="en-CA"/>
        </w:rPr>
      </w:pPr>
    </w:p>
    <w:p w14:paraId="2FEB4126" w14:textId="77777777" w:rsidR="008A2CE7" w:rsidRPr="004168DD" w:rsidRDefault="00B409EE" w:rsidP="00685567">
      <w:pPr>
        <w:pStyle w:val="Paragraphe"/>
        <w:numPr>
          <w:ilvl w:val="0"/>
          <w:numId w:val="0"/>
        </w:numPr>
        <w:spacing w:line="240" w:lineRule="auto"/>
        <w:rPr>
          <w:lang w:val="en-CA"/>
        </w:rPr>
      </w:pPr>
      <w:r w:rsidRPr="004168DD">
        <w:rPr>
          <w:lang w:val="en-CA"/>
        </w:rPr>
        <w:t>Further on in the judgment, the judge wrote:</w:t>
      </w:r>
    </w:p>
    <w:p w14:paraId="7AA7FFFF" w14:textId="77777777" w:rsidR="00736277" w:rsidRDefault="00B409EE" w:rsidP="00685567">
      <w:pPr>
        <w:pStyle w:val="Citationenretrait"/>
        <w:spacing w:line="240" w:lineRule="auto"/>
        <w:rPr>
          <w:lang w:val="en-CA"/>
        </w:rPr>
      </w:pPr>
      <w:r w:rsidRPr="004168DD">
        <w:rPr>
          <w:lang w:val="en-CA"/>
        </w:rPr>
        <w:t>[</w:t>
      </w:r>
      <w:r w:rsidR="00736277" w:rsidRPr="00736277">
        <w:rPr>
          <w:smallCaps/>
          <w:lang w:val="en-CA"/>
        </w:rPr>
        <w:t>translation</w:t>
      </w:r>
      <w:r w:rsidRPr="004168DD">
        <w:rPr>
          <w:lang w:val="en-CA"/>
        </w:rPr>
        <w:t>]</w:t>
      </w:r>
    </w:p>
    <w:p w14:paraId="6F2F1DB4" w14:textId="1A14E289" w:rsidR="008A2CE7" w:rsidRPr="004168DD" w:rsidRDefault="00B409EE" w:rsidP="00685567">
      <w:pPr>
        <w:pStyle w:val="Citationenretrait"/>
        <w:spacing w:line="240" w:lineRule="auto"/>
        <w:rPr>
          <w:lang w:val="en-CA"/>
        </w:rPr>
      </w:pPr>
      <w:r w:rsidRPr="004168DD">
        <w:rPr>
          <w:lang w:val="en-CA"/>
        </w:rPr>
        <w:t>The accused</w:t>
      </w:r>
      <w:r w:rsidR="00B2052D" w:rsidRPr="004168DD">
        <w:rPr>
          <w:lang w:val="en-CA"/>
        </w:rPr>
        <w:t>’</w:t>
      </w:r>
      <w:r w:rsidRPr="004168DD">
        <w:rPr>
          <w:lang w:val="en-CA"/>
        </w:rPr>
        <w:t>s numerous inconsistencies and the circumstances of the arrest also eliminate any reasonable doubt regarding his knowledge and control of the loaded weapon in his personal belongings.</w:t>
      </w:r>
    </w:p>
    <w:p w14:paraId="7D93667E" w14:textId="77777777" w:rsidR="008A2CE7" w:rsidRPr="004168DD" w:rsidRDefault="00B409EE" w:rsidP="00685567">
      <w:pPr>
        <w:pStyle w:val="Citationenretrait"/>
        <w:spacing w:line="240" w:lineRule="auto"/>
        <w:rPr>
          <w:lang w:val="en-CA"/>
        </w:rPr>
      </w:pPr>
      <w:r w:rsidRPr="004168DD">
        <w:rPr>
          <w:lang w:val="en-CA"/>
        </w:rPr>
        <w:t>[…]</w:t>
      </w:r>
    </w:p>
    <w:p w14:paraId="1ACFE364" w14:textId="75E8871D" w:rsidR="008A2CE7" w:rsidRPr="004168DD" w:rsidRDefault="00B409EE" w:rsidP="00685567">
      <w:pPr>
        <w:pStyle w:val="Citationenretrait"/>
        <w:spacing w:line="240" w:lineRule="auto"/>
        <w:rPr>
          <w:lang w:val="en-CA"/>
        </w:rPr>
      </w:pPr>
      <w:r w:rsidRPr="004168DD">
        <w:rPr>
          <w:lang w:val="en-CA"/>
        </w:rPr>
        <w:t>And the defence as a whole raises no reasonable doubt regarding his knowledge, control and possession of the weapon found, including his consent.</w:t>
      </w:r>
    </w:p>
    <w:p w14:paraId="3453314B" w14:textId="77777777" w:rsidR="008A2CE7" w:rsidRPr="004168DD" w:rsidRDefault="00B409EE" w:rsidP="00685567">
      <w:pPr>
        <w:pStyle w:val="Citationenretrait"/>
        <w:spacing w:line="240" w:lineRule="auto"/>
        <w:rPr>
          <w:lang w:val="en-CA"/>
        </w:rPr>
      </w:pPr>
      <w:r w:rsidRPr="004168DD">
        <w:rPr>
          <w:lang w:val="en-CA"/>
        </w:rPr>
        <w:t>[…]</w:t>
      </w:r>
    </w:p>
    <w:p w14:paraId="7696EC66" w14:textId="3F715864" w:rsidR="008A2CE7" w:rsidRPr="004168DD" w:rsidRDefault="00B409EE" w:rsidP="00685567">
      <w:pPr>
        <w:pStyle w:val="Citationenretrait"/>
        <w:spacing w:line="240" w:lineRule="auto"/>
        <w:rPr>
          <w:lang w:val="en-CA"/>
        </w:rPr>
      </w:pPr>
      <w:r w:rsidRPr="004168DD">
        <w:rPr>
          <w:lang w:val="en-CA"/>
        </w:rPr>
        <w:t>This case involves a matter of credibility, from which neither the accused nor the defence can benefit, for the reasons set out above.</w:t>
      </w:r>
    </w:p>
    <w:p w14:paraId="16F80350" w14:textId="1C73D013" w:rsidR="008A2CE7" w:rsidRPr="004168DD" w:rsidRDefault="00B409EE" w:rsidP="0057315F">
      <w:pPr>
        <w:pStyle w:val="Paragraphe"/>
        <w:numPr>
          <w:ilvl w:val="0"/>
          <w:numId w:val="0"/>
        </w:numPr>
        <w:spacing w:before="180" w:after="180" w:line="240" w:lineRule="auto"/>
        <w:rPr>
          <w:lang w:val="en-CA"/>
        </w:rPr>
      </w:pPr>
      <w:r w:rsidRPr="004168DD">
        <w:rPr>
          <w:lang w:val="en-CA"/>
        </w:rPr>
        <w:t>Such reasoning does not give the appellant the benefit of reasonable doubt. The facts introduced into evidence by an accused found not to be credible may be considered when analyzing the evidence as a whole.</w:t>
      </w:r>
      <w:r w:rsidRPr="004168DD">
        <w:rPr>
          <w:rStyle w:val="Appelnotedebasdep"/>
          <w:lang w:val="en-CA"/>
        </w:rPr>
        <w:footnoteReference w:id="15"/>
      </w:r>
      <w:r w:rsidRPr="004168DD">
        <w:rPr>
          <w:lang w:val="en-CA"/>
        </w:rPr>
        <w:t xml:space="preserve"> It could not, however, be inferred that the prosecution had met its burden of proving the appellant</w:t>
      </w:r>
      <w:r w:rsidR="00B2052D" w:rsidRPr="004168DD">
        <w:rPr>
          <w:lang w:val="en-CA"/>
        </w:rPr>
        <w:t>’</w:t>
      </w:r>
      <w:r w:rsidRPr="004168DD">
        <w:rPr>
          <w:lang w:val="en-CA"/>
        </w:rPr>
        <w:t>s possession of the object in question because the appellant was not believed when he denied having knowledge thereof.</w:t>
      </w:r>
    </w:p>
    <w:p w14:paraId="43A3CA16" w14:textId="6D55EC5F" w:rsidR="008A2CE7" w:rsidRPr="004168DD" w:rsidRDefault="00B409EE" w:rsidP="008E1B7C">
      <w:pPr>
        <w:pStyle w:val="Paragraphe"/>
        <w:spacing w:line="240" w:lineRule="auto"/>
        <w:rPr>
          <w:lang w:val="en-CA"/>
        </w:rPr>
      </w:pPr>
      <w:r w:rsidRPr="004168DD">
        <w:rPr>
          <w:lang w:val="en-CA"/>
        </w:rPr>
        <w:t>In the present case, the judge found as a</w:t>
      </w:r>
      <w:r w:rsidR="00FF7EFF">
        <w:rPr>
          <w:lang w:val="en-CA"/>
        </w:rPr>
        <w:t xml:space="preserve"> matter of</w:t>
      </w:r>
      <w:r w:rsidRPr="004168DD">
        <w:rPr>
          <w:lang w:val="en-CA"/>
        </w:rPr>
        <w:t xml:space="preserve"> fact that the appellant knew about the presence of the firearm and had control thereof, based on the weapon</w:t>
      </w:r>
      <w:r w:rsidR="00B2052D" w:rsidRPr="004168DD">
        <w:rPr>
          <w:lang w:val="en-CA"/>
        </w:rPr>
        <w:t>’</w:t>
      </w:r>
      <w:r w:rsidRPr="004168DD">
        <w:rPr>
          <w:lang w:val="en-CA"/>
        </w:rPr>
        <w:t>s location in the bag next to the appellant</w:t>
      </w:r>
      <w:r w:rsidR="00B2052D" w:rsidRPr="004168DD">
        <w:rPr>
          <w:lang w:val="en-CA"/>
        </w:rPr>
        <w:t>’</w:t>
      </w:r>
      <w:r w:rsidRPr="004168DD">
        <w:rPr>
          <w:lang w:val="en-CA"/>
        </w:rPr>
        <w:t>s right foot, which bag also contained his personal belongings. This finding is also based on the lack of credibility she attributed to his version when he claimed he had not known the weapon was in his bag. The judged added as confirmation of this knowledge [</w:t>
      </w:r>
      <w:r w:rsidR="00736277" w:rsidRPr="00736277">
        <w:rPr>
          <w:smallCaps/>
          <w:lang w:val="en-CA"/>
        </w:rPr>
        <w:t>translation</w:t>
      </w:r>
      <w:r w:rsidRPr="004168DD">
        <w:rPr>
          <w:lang w:val="en-CA"/>
        </w:rPr>
        <w:t xml:space="preserve">] </w:t>
      </w:r>
      <w:r w:rsidR="00B2052D" w:rsidRPr="004168DD">
        <w:rPr>
          <w:lang w:val="en-CA"/>
        </w:rPr>
        <w:t>“</w:t>
      </w:r>
      <w:r w:rsidRPr="004168DD">
        <w:rPr>
          <w:lang w:val="en-CA"/>
        </w:rPr>
        <w:t>the accused</w:t>
      </w:r>
      <w:r w:rsidR="00B2052D" w:rsidRPr="004168DD">
        <w:rPr>
          <w:lang w:val="en-CA"/>
        </w:rPr>
        <w:t>’</w:t>
      </w:r>
      <w:r w:rsidRPr="004168DD">
        <w:rPr>
          <w:lang w:val="en-CA"/>
        </w:rPr>
        <w:t>s calm demeanour when the weapon was discovered</w:t>
      </w:r>
      <w:r w:rsidR="00B2052D" w:rsidRPr="004168DD">
        <w:rPr>
          <w:lang w:val="en-CA"/>
        </w:rPr>
        <w:t>”</w:t>
      </w:r>
      <w:r w:rsidRPr="004168DD">
        <w:rPr>
          <w:lang w:val="en-CA"/>
        </w:rPr>
        <w:t>.</w:t>
      </w:r>
    </w:p>
    <w:p w14:paraId="7D8C8667" w14:textId="57CBFC71" w:rsidR="008A2CE7" w:rsidRPr="004168DD" w:rsidRDefault="00B409EE" w:rsidP="0057315F">
      <w:pPr>
        <w:pStyle w:val="Paragraphe"/>
        <w:spacing w:before="180" w:after="180" w:line="240" w:lineRule="auto"/>
        <w:rPr>
          <w:lang w:val="en-CA"/>
        </w:rPr>
      </w:pPr>
      <w:r w:rsidRPr="004168DD">
        <w:rPr>
          <w:lang w:val="en-CA"/>
        </w:rPr>
        <w:t>As mentioned above, given the presence of Mr. Daniel</w:t>
      </w:r>
      <w:r w:rsidR="00B2052D" w:rsidRPr="004168DD">
        <w:rPr>
          <w:lang w:val="en-CA"/>
        </w:rPr>
        <w:t>’</w:t>
      </w:r>
      <w:r w:rsidRPr="004168DD">
        <w:rPr>
          <w:lang w:val="en-CA"/>
        </w:rPr>
        <w:t>s DNA on the gun, the fact that he was seated next to the bag and the absence of the appellant</w:t>
      </w:r>
      <w:r w:rsidR="00B2052D" w:rsidRPr="004168DD">
        <w:rPr>
          <w:lang w:val="en-CA"/>
        </w:rPr>
        <w:t>’</w:t>
      </w:r>
      <w:r w:rsidRPr="004168DD">
        <w:rPr>
          <w:lang w:val="en-CA"/>
        </w:rPr>
        <w:t>s DNA or fingerprints, it was reasonable and not speculative to infer that Mr. Daniel may have placed the firearm in the bag.</w:t>
      </w:r>
      <w:r w:rsidRPr="004168DD">
        <w:rPr>
          <w:rStyle w:val="Appelnotedebasdep"/>
          <w:lang w:val="en-CA"/>
        </w:rPr>
        <w:footnoteReference w:id="16"/>
      </w:r>
    </w:p>
    <w:p w14:paraId="130D2A83" w14:textId="3F193402" w:rsidR="008A2CE7" w:rsidRPr="004168DD" w:rsidRDefault="00B409EE" w:rsidP="0057315F">
      <w:pPr>
        <w:pStyle w:val="Paragraphe"/>
        <w:spacing w:before="180" w:after="180" w:line="240" w:lineRule="auto"/>
        <w:rPr>
          <w:lang w:val="en-CA"/>
        </w:rPr>
      </w:pPr>
      <w:r w:rsidRPr="004168DD">
        <w:rPr>
          <w:lang w:val="en-CA"/>
        </w:rPr>
        <w:t xml:space="preserve">In the present case, the fact the bag belonged to the appellant does not prove his knowledge. Moreover, the fact he reacted passively or that he remained </w:t>
      </w:r>
      <w:r w:rsidR="00B2052D" w:rsidRPr="004168DD">
        <w:rPr>
          <w:lang w:val="en-CA"/>
        </w:rPr>
        <w:t>“</w:t>
      </w:r>
      <w:r w:rsidRPr="004168DD">
        <w:rPr>
          <w:i/>
          <w:iCs/>
          <w:lang w:val="en-CA"/>
        </w:rPr>
        <w:t>de glace</w:t>
      </w:r>
      <w:r w:rsidR="00B2052D" w:rsidRPr="004168DD">
        <w:rPr>
          <w:lang w:val="en-CA"/>
        </w:rPr>
        <w:t>”</w:t>
      </w:r>
      <w:r w:rsidRPr="004168DD">
        <w:rPr>
          <w:lang w:val="en-CA"/>
        </w:rPr>
        <w:t xml:space="preserve"> / [</w:t>
      </w:r>
      <w:r w:rsidR="00736277" w:rsidRPr="00736277">
        <w:rPr>
          <w:smallCaps/>
          <w:lang w:val="en-CA"/>
        </w:rPr>
        <w:t>translation</w:t>
      </w:r>
      <w:r w:rsidRPr="004168DD">
        <w:rPr>
          <w:lang w:val="en-CA"/>
        </w:rPr>
        <w:t xml:space="preserve">] </w:t>
      </w:r>
      <w:r w:rsidR="00B2052D" w:rsidRPr="004168DD">
        <w:rPr>
          <w:lang w:val="en-CA"/>
        </w:rPr>
        <w:t>“</w:t>
      </w:r>
      <w:r w:rsidRPr="004168DD">
        <w:rPr>
          <w:lang w:val="en-CA"/>
        </w:rPr>
        <w:t>cool</w:t>
      </w:r>
      <w:r w:rsidR="00B2052D" w:rsidRPr="004168DD">
        <w:rPr>
          <w:lang w:val="en-CA"/>
        </w:rPr>
        <w:t>”</w:t>
      </w:r>
      <w:r w:rsidRPr="004168DD">
        <w:rPr>
          <w:lang w:val="en-CA"/>
        </w:rPr>
        <w:t xml:space="preserve"> (which the judge interpreted as [</w:t>
      </w:r>
      <w:r w:rsidR="00736277" w:rsidRPr="00736277">
        <w:rPr>
          <w:smallCaps/>
          <w:lang w:val="en-CA"/>
        </w:rPr>
        <w:t>translation</w:t>
      </w:r>
      <w:r w:rsidRPr="004168DD">
        <w:rPr>
          <w:lang w:val="en-CA"/>
        </w:rPr>
        <w:t xml:space="preserve">] </w:t>
      </w:r>
      <w:r w:rsidR="00B2052D" w:rsidRPr="004168DD">
        <w:rPr>
          <w:lang w:val="en-CA"/>
        </w:rPr>
        <w:t>“</w:t>
      </w:r>
      <w:r w:rsidRPr="004168DD">
        <w:rPr>
          <w:lang w:val="en-CA"/>
        </w:rPr>
        <w:t>calm</w:t>
      </w:r>
      <w:r w:rsidR="00B2052D" w:rsidRPr="004168DD">
        <w:rPr>
          <w:lang w:val="en-CA"/>
        </w:rPr>
        <w:t>”</w:t>
      </w:r>
      <w:r w:rsidRPr="004168DD">
        <w:rPr>
          <w:lang w:val="en-CA"/>
        </w:rPr>
        <w:t>) when faced with the police officers</w:t>
      </w:r>
      <w:r w:rsidR="00B2052D" w:rsidRPr="004168DD">
        <w:rPr>
          <w:lang w:val="en-CA"/>
        </w:rPr>
        <w:t>’</w:t>
      </w:r>
      <w:r w:rsidRPr="004168DD">
        <w:rPr>
          <w:lang w:val="en-CA"/>
        </w:rPr>
        <w:t xml:space="preserve"> discovery of the weapon is not, in </w:t>
      </w:r>
      <w:r w:rsidR="00373D29">
        <w:rPr>
          <w:lang w:val="en-CA"/>
        </w:rPr>
        <w:t xml:space="preserve">and of </w:t>
      </w:r>
      <w:r w:rsidRPr="004168DD">
        <w:rPr>
          <w:lang w:val="en-CA"/>
        </w:rPr>
        <w:t xml:space="preserve">itself, evidence that he </w:t>
      </w:r>
      <w:r w:rsidRPr="004168DD">
        <w:rPr>
          <w:lang w:val="en-CA"/>
        </w:rPr>
        <w:lastRenderedPageBreak/>
        <w:t>knew the weapon was present, no more so than a facial expression indicating some nervousness.</w:t>
      </w:r>
      <w:r w:rsidRPr="004168DD">
        <w:rPr>
          <w:vertAlign w:val="superscript"/>
          <w:lang w:val="en-CA"/>
        </w:rPr>
        <w:footnoteReference w:id="17"/>
      </w:r>
      <w:r w:rsidRPr="004168DD">
        <w:rPr>
          <w:lang w:val="en-CA"/>
        </w:rPr>
        <w:t xml:space="preserve"> The Court</w:t>
      </w:r>
      <w:r w:rsidR="00B2052D" w:rsidRPr="004168DD">
        <w:rPr>
          <w:lang w:val="en-CA"/>
        </w:rPr>
        <w:t>’</w:t>
      </w:r>
      <w:r w:rsidRPr="004168DD">
        <w:rPr>
          <w:lang w:val="en-CA"/>
        </w:rPr>
        <w:t xml:space="preserve">s judgment in </w:t>
      </w:r>
      <w:r w:rsidRPr="004168DD">
        <w:rPr>
          <w:i/>
          <w:iCs/>
          <w:lang w:val="en-CA"/>
        </w:rPr>
        <w:t>Carrington c. R.</w:t>
      </w:r>
      <w:r w:rsidRPr="004168DD">
        <w:rPr>
          <w:lang w:val="en-CA"/>
        </w:rPr>
        <w:t>,</w:t>
      </w:r>
      <w:r w:rsidRPr="004168DD">
        <w:rPr>
          <w:rStyle w:val="Appelnotedebasdep"/>
          <w:lang w:val="en-CA"/>
        </w:rPr>
        <w:footnoteReference w:id="18"/>
      </w:r>
      <w:r w:rsidR="00C7759B" w:rsidRPr="004168DD">
        <w:rPr>
          <w:lang w:val="en-CA"/>
        </w:rPr>
        <w:t xml:space="preserve"> </w:t>
      </w:r>
      <w:r w:rsidRPr="004168DD">
        <w:rPr>
          <w:lang w:val="en-CA"/>
        </w:rPr>
        <w:t>relied upon by the respondent, does not support its position on this aspect of the evidence. Carrington had been charged with possession of drugs and weapons concealed in the car he was driving. The Court stated that the judge</w:t>
      </w:r>
      <w:r w:rsidR="00B2052D" w:rsidRPr="004168DD">
        <w:rPr>
          <w:lang w:val="en-CA"/>
        </w:rPr>
        <w:t>’</w:t>
      </w:r>
      <w:r w:rsidRPr="004168DD">
        <w:rPr>
          <w:lang w:val="en-CA"/>
        </w:rPr>
        <w:t xml:space="preserve">s error in saying, in his charge to the jury regarding possession, </w:t>
      </w:r>
      <w:r w:rsidR="00B2052D" w:rsidRPr="004168DD">
        <w:rPr>
          <w:lang w:val="en-CA"/>
        </w:rPr>
        <w:t>“</w:t>
      </w:r>
      <w:r w:rsidRPr="004168DD">
        <w:rPr>
          <w:lang w:val="en-CA"/>
        </w:rPr>
        <w:t>People normally intend the natural consequences of their actions,</w:t>
      </w:r>
      <w:r w:rsidR="00B2052D" w:rsidRPr="004168DD">
        <w:rPr>
          <w:lang w:val="en-CA"/>
        </w:rPr>
        <w:t>”</w:t>
      </w:r>
      <w:r w:rsidRPr="004168DD">
        <w:rPr>
          <w:lang w:val="en-CA"/>
        </w:rPr>
        <w:t xml:space="preserve"> had been neutralized by other portions of his charge in which he had directed the jury </w:t>
      </w:r>
      <w:r w:rsidR="003125B5">
        <w:rPr>
          <w:lang w:val="en-CA"/>
        </w:rPr>
        <w:t xml:space="preserve">to </w:t>
      </w:r>
      <w:r w:rsidRPr="004168DD">
        <w:rPr>
          <w:lang w:val="en-CA"/>
        </w:rPr>
        <w:t>19 pieces of circumstantial evidence consistent with the accused</w:t>
      </w:r>
      <w:r w:rsidR="00B2052D" w:rsidRPr="004168DD">
        <w:rPr>
          <w:lang w:val="en-CA"/>
        </w:rPr>
        <w:t>’</w:t>
      </w:r>
      <w:r w:rsidRPr="004168DD">
        <w:rPr>
          <w:lang w:val="en-CA"/>
        </w:rPr>
        <w:t>s knowledge. Among that evidence was the accused</w:t>
      </w:r>
      <w:r w:rsidR="00B2052D" w:rsidRPr="004168DD">
        <w:rPr>
          <w:lang w:val="en-CA"/>
        </w:rPr>
        <w:t>’</w:t>
      </w:r>
      <w:r w:rsidRPr="004168DD">
        <w:rPr>
          <w:lang w:val="en-CA"/>
        </w:rPr>
        <w:t xml:space="preserve">s aggressive attitude towards the police officer and his </w:t>
      </w:r>
      <w:r w:rsidR="00B2052D" w:rsidRPr="004168DD">
        <w:rPr>
          <w:lang w:val="en-CA"/>
        </w:rPr>
        <w:t>“</w:t>
      </w:r>
      <w:r w:rsidRPr="004168DD">
        <w:rPr>
          <w:lang w:val="en-CA"/>
        </w:rPr>
        <w:t>nervousness</w:t>
      </w:r>
      <w:r w:rsidR="00B2052D" w:rsidRPr="004168DD">
        <w:rPr>
          <w:lang w:val="en-CA"/>
        </w:rPr>
        <w:t>”</w:t>
      </w:r>
      <w:r w:rsidRPr="004168DD">
        <w:rPr>
          <w:lang w:val="en-CA"/>
        </w:rPr>
        <w:t xml:space="preserve"> during the search of the vehicle. Suffice it to say that this is far from a precedent signalling that the appellant</w:t>
      </w:r>
      <w:r w:rsidR="00B2052D" w:rsidRPr="004168DD">
        <w:rPr>
          <w:lang w:val="en-CA"/>
        </w:rPr>
        <w:t>’</w:t>
      </w:r>
      <w:r w:rsidRPr="004168DD">
        <w:rPr>
          <w:lang w:val="en-CA"/>
        </w:rPr>
        <w:t>s expression</w:t>
      </w:r>
      <w:r w:rsidR="00C7759B" w:rsidRPr="004168DD">
        <w:rPr>
          <w:lang w:val="en-CA"/>
        </w:rPr>
        <w:t xml:space="preserve"> </w:t>
      </w:r>
      <w:r w:rsidRPr="004168DD">
        <w:rPr>
          <w:lang w:val="en-CA"/>
        </w:rPr>
        <w:t>indicated his knowledge of the weapon</w:t>
      </w:r>
      <w:r w:rsidR="00B2052D" w:rsidRPr="004168DD">
        <w:rPr>
          <w:lang w:val="en-CA"/>
        </w:rPr>
        <w:t>’</w:t>
      </w:r>
      <w:r w:rsidRPr="004168DD">
        <w:rPr>
          <w:lang w:val="en-CA"/>
        </w:rPr>
        <w:t>s presence. While I concede that a person</w:t>
      </w:r>
      <w:r w:rsidR="00B2052D" w:rsidRPr="004168DD">
        <w:rPr>
          <w:lang w:val="en-CA"/>
        </w:rPr>
        <w:t>’</w:t>
      </w:r>
      <w:r w:rsidRPr="004168DD">
        <w:rPr>
          <w:lang w:val="en-CA"/>
        </w:rPr>
        <w:t>s reaction when confronted with incriminating facts may be considered with all of the evidence,</w:t>
      </w:r>
      <w:r w:rsidRPr="004168DD">
        <w:rPr>
          <w:rStyle w:val="Appelnotedebasdep"/>
          <w:rFonts w:cs="Arial"/>
          <w:color w:val="000000"/>
          <w:lang w:val="en-CA"/>
        </w:rPr>
        <w:footnoteReference w:id="19"/>
      </w:r>
      <w:r w:rsidRPr="004168DD">
        <w:rPr>
          <w:lang w:val="en-CA"/>
        </w:rPr>
        <w:t xml:space="preserve"> I believe it is risky to draw conclusions on a person</w:t>
      </w:r>
      <w:r w:rsidR="00B2052D" w:rsidRPr="004168DD">
        <w:rPr>
          <w:lang w:val="en-CA"/>
        </w:rPr>
        <w:t>’</w:t>
      </w:r>
      <w:r w:rsidRPr="004168DD">
        <w:rPr>
          <w:lang w:val="en-CA"/>
        </w:rPr>
        <w:t>s state of mind based solely on their facial expression. One must exercise caution before drawing conclusions from a person</w:t>
      </w:r>
      <w:r w:rsidR="00B2052D" w:rsidRPr="004168DD">
        <w:rPr>
          <w:lang w:val="en-CA"/>
        </w:rPr>
        <w:t>’</w:t>
      </w:r>
      <w:r w:rsidRPr="004168DD">
        <w:rPr>
          <w:lang w:val="en-CA"/>
        </w:rPr>
        <w:t>s silence in an incriminating situation.</w:t>
      </w:r>
      <w:r w:rsidRPr="004168DD">
        <w:rPr>
          <w:rStyle w:val="Appelnotedebasdep"/>
          <w:rFonts w:cs="Arial"/>
          <w:color w:val="000000"/>
          <w:lang w:val="en-CA"/>
        </w:rPr>
        <w:footnoteReference w:id="20"/>
      </w:r>
      <w:r w:rsidRPr="004168DD">
        <w:rPr>
          <w:lang w:val="en-CA"/>
        </w:rPr>
        <w:t xml:space="preserve"> Credibility should not be determined based solely on a person</w:t>
      </w:r>
      <w:r w:rsidR="00B2052D" w:rsidRPr="004168DD">
        <w:rPr>
          <w:lang w:val="en-CA"/>
        </w:rPr>
        <w:t>’</w:t>
      </w:r>
      <w:r w:rsidRPr="004168DD">
        <w:rPr>
          <w:lang w:val="en-CA"/>
        </w:rPr>
        <w:t>s conduct in the witness box.</w:t>
      </w:r>
      <w:r w:rsidRPr="004168DD">
        <w:rPr>
          <w:rStyle w:val="Appelnotedebasdep"/>
          <w:rFonts w:cs="Arial"/>
          <w:color w:val="000000"/>
          <w:lang w:val="en-CA"/>
        </w:rPr>
        <w:footnoteReference w:id="21"/>
      </w:r>
      <w:r w:rsidRPr="004168DD">
        <w:rPr>
          <w:lang w:val="en-CA"/>
        </w:rPr>
        <w:t xml:space="preserve"> The same caution is required before drawing the conclusion that a person is guilty because of their blank or </w:t>
      </w:r>
      <w:r w:rsidR="00B2052D" w:rsidRPr="004168DD">
        <w:rPr>
          <w:lang w:val="en-CA"/>
        </w:rPr>
        <w:t>“</w:t>
      </w:r>
      <w:r w:rsidRPr="004168DD">
        <w:rPr>
          <w:lang w:val="en-CA"/>
        </w:rPr>
        <w:t>calm</w:t>
      </w:r>
      <w:r w:rsidR="00B2052D" w:rsidRPr="004168DD">
        <w:rPr>
          <w:lang w:val="en-CA"/>
        </w:rPr>
        <w:t>”</w:t>
      </w:r>
      <w:r w:rsidRPr="004168DD">
        <w:rPr>
          <w:lang w:val="en-CA"/>
        </w:rPr>
        <w:t xml:space="preserve"> expression. In the instant case, the expression </w:t>
      </w:r>
      <w:r w:rsidR="00B2052D" w:rsidRPr="004168DD">
        <w:rPr>
          <w:lang w:val="en-CA"/>
        </w:rPr>
        <w:t>“</w:t>
      </w:r>
      <w:r w:rsidRPr="004168DD">
        <w:rPr>
          <w:i/>
          <w:iCs/>
          <w:lang w:val="en-CA"/>
        </w:rPr>
        <w:t>de glace</w:t>
      </w:r>
      <w:r w:rsidR="00B2052D" w:rsidRPr="004168DD">
        <w:rPr>
          <w:lang w:val="en-CA"/>
        </w:rPr>
        <w:t>”</w:t>
      </w:r>
      <w:r w:rsidRPr="004168DD">
        <w:rPr>
          <w:lang w:val="en-CA"/>
        </w:rPr>
        <w:t xml:space="preserve"> / [</w:t>
      </w:r>
      <w:r w:rsidR="00736277" w:rsidRPr="00736277">
        <w:rPr>
          <w:smallCaps/>
          <w:lang w:val="en-CA"/>
        </w:rPr>
        <w:t>translation</w:t>
      </w:r>
      <w:r w:rsidRPr="004168DD">
        <w:rPr>
          <w:lang w:val="en-CA"/>
        </w:rPr>
        <w:t xml:space="preserve">] </w:t>
      </w:r>
      <w:r w:rsidR="00B2052D" w:rsidRPr="004168DD">
        <w:rPr>
          <w:lang w:val="en-CA"/>
        </w:rPr>
        <w:t>“</w:t>
      </w:r>
      <w:r w:rsidRPr="004168DD">
        <w:rPr>
          <w:lang w:val="en-CA"/>
        </w:rPr>
        <w:t>cool</w:t>
      </w:r>
      <w:r w:rsidR="00B2052D" w:rsidRPr="004168DD">
        <w:rPr>
          <w:lang w:val="en-CA"/>
        </w:rPr>
        <w:t>”</w:t>
      </w:r>
      <w:r w:rsidRPr="004168DD">
        <w:rPr>
          <w:lang w:val="en-CA"/>
        </w:rPr>
        <w:t xml:space="preserve"> (according to the police officer</w:t>
      </w:r>
      <w:r w:rsidR="00B2052D" w:rsidRPr="004168DD">
        <w:rPr>
          <w:lang w:val="en-CA"/>
        </w:rPr>
        <w:t>’</w:t>
      </w:r>
      <w:r w:rsidRPr="004168DD">
        <w:rPr>
          <w:lang w:val="en-CA"/>
        </w:rPr>
        <w:t>s testimony), which the judge interpreted as [</w:t>
      </w:r>
      <w:r w:rsidR="00736277" w:rsidRPr="00736277">
        <w:rPr>
          <w:smallCaps/>
          <w:lang w:val="en-CA"/>
        </w:rPr>
        <w:t>translation</w:t>
      </w:r>
      <w:r w:rsidRPr="004168DD">
        <w:rPr>
          <w:lang w:val="en-CA"/>
        </w:rPr>
        <w:t xml:space="preserve">] </w:t>
      </w:r>
      <w:r w:rsidR="00B2052D" w:rsidRPr="004168DD">
        <w:rPr>
          <w:lang w:val="en-CA"/>
        </w:rPr>
        <w:t>“</w:t>
      </w:r>
      <w:r w:rsidRPr="004168DD">
        <w:rPr>
          <w:lang w:val="en-CA"/>
        </w:rPr>
        <w:t>calm</w:t>
      </w:r>
      <w:r w:rsidR="00B2052D" w:rsidRPr="004168DD">
        <w:rPr>
          <w:lang w:val="en-CA"/>
        </w:rPr>
        <w:t>”</w:t>
      </w:r>
      <w:r w:rsidRPr="004168DD">
        <w:rPr>
          <w:lang w:val="en-CA"/>
        </w:rPr>
        <w:t>, is the only direct evidence that the appellant knew the weapon was in the bag. Given the possibility that the weapon was placed in the bag without his knowledge—a reasonable inference from the evidence in this case—I believe the appellant was not given the benefit of the reasonable doubt to which he was entitled, because the evidence does not reasonably support the guilty verdict. Accordingly, the verdict is unreasonable.</w:t>
      </w:r>
    </w:p>
    <w:p w14:paraId="7B249843" w14:textId="1CA08043" w:rsidR="008A2CE7" w:rsidRPr="004168DD" w:rsidRDefault="00B409EE" w:rsidP="0057315F">
      <w:pPr>
        <w:pStyle w:val="Paragraphe"/>
        <w:spacing w:before="180" w:after="180" w:line="240" w:lineRule="auto"/>
        <w:rPr>
          <w:lang w:val="en-CA"/>
        </w:rPr>
      </w:pPr>
      <w:r w:rsidRPr="004168DD">
        <w:rPr>
          <w:lang w:val="en-CA"/>
        </w:rPr>
        <w:t>For all these reasons, the judgment should be reversed. Given that there is no evidence of possession, an acquittal may be substituted on all counts of possession of a firearm.</w:t>
      </w:r>
    </w:p>
    <w:p w14:paraId="45F236C7" w14:textId="79148578" w:rsidR="008A2CE7" w:rsidRPr="004168DD" w:rsidRDefault="00B409EE" w:rsidP="0057315F">
      <w:pPr>
        <w:pStyle w:val="Paragraphe"/>
        <w:spacing w:before="180" w:after="180" w:line="240" w:lineRule="auto"/>
        <w:rPr>
          <w:lang w:val="en-CA"/>
        </w:rPr>
      </w:pPr>
      <w:r w:rsidRPr="004168DD">
        <w:rPr>
          <w:lang w:val="en-CA"/>
        </w:rPr>
        <w:t>N</w:t>
      </w:r>
      <w:r w:rsidR="00B13093">
        <w:rPr>
          <w:lang w:val="en-CA"/>
        </w:rPr>
        <w:t>ever</w:t>
      </w:r>
      <w:r w:rsidRPr="004168DD">
        <w:rPr>
          <w:lang w:val="en-CA"/>
        </w:rPr>
        <w:t xml:space="preserve">theless, there remains the charge of being an occupant of a motor vehicle in which the appellant knew there was a firearm (s. 94(1)(2)(a) </w:t>
      </w:r>
      <w:r w:rsidRPr="004168DD">
        <w:rPr>
          <w:i/>
          <w:iCs/>
          <w:lang w:val="en-CA"/>
        </w:rPr>
        <w:t>Cr.C.</w:t>
      </w:r>
      <w:r w:rsidRPr="004168DD">
        <w:rPr>
          <w:lang w:val="en-CA"/>
        </w:rPr>
        <w:t>). The judge ordered a conditional stay. Knowledge is also an element of this offence. A person is not presumed to be in possession of things in a vehicle simply because they are a passenger.</w:t>
      </w:r>
      <w:r w:rsidRPr="004168DD">
        <w:rPr>
          <w:rStyle w:val="Appelnotedebasdep"/>
          <w:lang w:val="en-CA"/>
        </w:rPr>
        <w:footnoteReference w:id="22"/>
      </w:r>
      <w:r w:rsidRPr="004168DD">
        <w:rPr>
          <w:lang w:val="en-CA"/>
        </w:rPr>
        <w:t xml:space="preserve"> Given the reasonable inference that Mr. Daniel placed the weapon in the bag without the appellant</w:t>
      </w:r>
      <w:r w:rsidR="00B2052D" w:rsidRPr="004168DD">
        <w:rPr>
          <w:lang w:val="en-CA"/>
        </w:rPr>
        <w:t>’</w:t>
      </w:r>
      <w:r w:rsidRPr="004168DD">
        <w:rPr>
          <w:lang w:val="en-CA"/>
        </w:rPr>
        <w:t>s knowledge and given that there is no evidence that the appellant knew Mr. Daniel was armed, an acquittal should also be entered on this charge.</w:t>
      </w:r>
    </w:p>
    <w:p w14:paraId="782C549E" w14:textId="70DB3A88" w:rsidR="008A2CE7" w:rsidRPr="004168DD" w:rsidRDefault="00B409EE" w:rsidP="0057315F">
      <w:pPr>
        <w:pStyle w:val="Paragraphe"/>
        <w:spacing w:before="180" w:after="180" w:line="240" w:lineRule="auto"/>
        <w:rPr>
          <w:lang w:val="en-CA"/>
        </w:rPr>
      </w:pPr>
      <w:r w:rsidRPr="004168DD">
        <w:rPr>
          <w:lang w:val="en-CA"/>
        </w:rPr>
        <w:lastRenderedPageBreak/>
        <w:t>Lastly, given my findings regarding the charges relating to possession of a firearm, the verdict of breach of a recognizance must also fail and be replaced by an acquittal.</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535286" w:rsidRPr="004168DD" w14:paraId="2B35C46A" w14:textId="77777777" w:rsidTr="00F26CDA">
        <w:trPr>
          <w:cantSplit/>
          <w:trHeight w:val="513"/>
        </w:trPr>
        <w:tc>
          <w:tcPr>
            <w:tcW w:w="9360" w:type="dxa"/>
            <w:gridSpan w:val="2"/>
          </w:tcPr>
          <w:p w14:paraId="57B739EB" w14:textId="77777777" w:rsidR="008A2CE7" w:rsidRPr="004168DD" w:rsidRDefault="008A2CE7" w:rsidP="00F26CDA">
            <w:pPr>
              <w:rPr>
                <w:lang w:val="en-CA"/>
              </w:rPr>
            </w:pPr>
          </w:p>
        </w:tc>
      </w:tr>
      <w:tr w:rsidR="00535286" w:rsidRPr="004168DD" w14:paraId="486EC5CA" w14:textId="77777777" w:rsidTr="00F26CDA">
        <w:trPr>
          <w:cantSplit/>
          <w:trHeight w:val="277"/>
        </w:trPr>
        <w:tc>
          <w:tcPr>
            <w:tcW w:w="4735" w:type="dxa"/>
            <w:vMerge w:val="restart"/>
          </w:tcPr>
          <w:p w14:paraId="48BCDA65" w14:textId="77777777" w:rsidR="008A2CE7" w:rsidRPr="004168DD" w:rsidRDefault="008A2CE7" w:rsidP="00F26CDA">
            <w:pPr>
              <w:rPr>
                <w:lang w:val="en-CA"/>
              </w:rPr>
            </w:pPr>
          </w:p>
        </w:tc>
        <w:tc>
          <w:tcPr>
            <w:tcW w:w="4625" w:type="dxa"/>
            <w:tcBorders>
              <w:bottom w:val="single" w:sz="8" w:space="0" w:color="auto"/>
            </w:tcBorders>
          </w:tcPr>
          <w:p w14:paraId="10131DE6" w14:textId="77777777" w:rsidR="008A2CE7" w:rsidRPr="004168DD" w:rsidRDefault="008A2CE7" w:rsidP="00F26CDA">
            <w:pPr>
              <w:rPr>
                <w:lang w:val="en-CA"/>
              </w:rPr>
            </w:pPr>
          </w:p>
        </w:tc>
      </w:tr>
      <w:tr w:rsidR="00535286" w:rsidRPr="004168DD" w14:paraId="0D3B3FD1" w14:textId="77777777" w:rsidTr="00F26CDA">
        <w:trPr>
          <w:cantSplit/>
          <w:trHeight w:val="276"/>
        </w:trPr>
        <w:tc>
          <w:tcPr>
            <w:tcW w:w="4735" w:type="dxa"/>
            <w:vMerge/>
          </w:tcPr>
          <w:p w14:paraId="5CA6A9ED" w14:textId="77777777" w:rsidR="008A2CE7" w:rsidRPr="004168DD" w:rsidRDefault="008A2CE7" w:rsidP="00F26CDA">
            <w:pPr>
              <w:rPr>
                <w:lang w:val="en-CA"/>
              </w:rPr>
            </w:pPr>
          </w:p>
        </w:tc>
        <w:tc>
          <w:tcPr>
            <w:tcW w:w="4625" w:type="dxa"/>
          </w:tcPr>
          <w:p w14:paraId="00D1D73F" w14:textId="77777777" w:rsidR="008A2CE7" w:rsidRPr="004168DD" w:rsidRDefault="00B409EE" w:rsidP="00F26CDA">
            <w:pPr>
              <w:rPr>
                <w:lang w:val="en-CA"/>
              </w:rPr>
            </w:pPr>
            <w:r w:rsidRPr="004168DD">
              <w:rPr>
                <w:lang w:val="en-CA"/>
              </w:rPr>
              <w:t>MARK SCHRAGER, J.A.</w:t>
            </w:r>
          </w:p>
        </w:tc>
      </w:tr>
      <w:bookmarkEnd w:id="13"/>
    </w:tbl>
    <w:p w14:paraId="350BE3AF" w14:textId="77777777" w:rsidR="003406B8" w:rsidRPr="004168DD" w:rsidRDefault="003406B8" w:rsidP="003406B8">
      <w:pPr>
        <w:rPr>
          <w:lang w:val="en-CA"/>
        </w:rPr>
        <w:sectPr w:rsidR="003406B8" w:rsidRPr="004168DD" w:rsidSect="003406B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2" w:h="15842" w:code="1"/>
          <w:pgMar w:top="1440" w:right="1008" w:bottom="1440" w:left="1872" w:header="1440" w:footer="792" w:gutter="0"/>
          <w:cols w:space="720"/>
          <w:formProt w:val="0"/>
          <w:docGrid w:linePitch="326"/>
        </w:sectPr>
      </w:pPr>
    </w:p>
    <w:tbl>
      <w:tblPr>
        <w:tblW w:w="0" w:type="auto"/>
        <w:tblLayout w:type="fixed"/>
        <w:tblCellMar>
          <w:left w:w="0" w:type="dxa"/>
          <w:right w:w="0" w:type="dxa"/>
        </w:tblCellMar>
        <w:tblLook w:val="0000" w:firstRow="0" w:lastRow="0" w:firstColumn="0" w:lastColumn="0" w:noHBand="0" w:noVBand="0"/>
      </w:tblPr>
      <w:tblGrid>
        <w:gridCol w:w="9360"/>
      </w:tblGrid>
      <w:tr w:rsidR="00535286" w:rsidRPr="004168DD" w14:paraId="0D003DC9" w14:textId="77777777" w:rsidTr="00F26CDA">
        <w:tc>
          <w:tcPr>
            <w:tcW w:w="9360" w:type="dxa"/>
            <w:tcBorders>
              <w:bottom w:val="single" w:sz="8" w:space="0" w:color="auto"/>
            </w:tcBorders>
          </w:tcPr>
          <w:p w14:paraId="242A7CBE" w14:textId="77777777" w:rsidR="003406B8" w:rsidRPr="004168DD" w:rsidRDefault="003406B8" w:rsidP="00F26CDA">
            <w:pPr>
              <w:rPr>
                <w:lang w:val="en-CA"/>
              </w:rPr>
            </w:pPr>
          </w:p>
        </w:tc>
      </w:tr>
      <w:tr w:rsidR="00535286" w:rsidRPr="004168DD" w14:paraId="3A9B92AB" w14:textId="77777777" w:rsidTr="00F26CDA">
        <w:tc>
          <w:tcPr>
            <w:tcW w:w="9360" w:type="dxa"/>
            <w:tcBorders>
              <w:top w:val="single" w:sz="8" w:space="0" w:color="auto"/>
            </w:tcBorders>
          </w:tcPr>
          <w:p w14:paraId="5D4EFF0E" w14:textId="77777777" w:rsidR="003406B8" w:rsidRPr="004168DD" w:rsidRDefault="003406B8" w:rsidP="00F26CDA">
            <w:pPr>
              <w:rPr>
                <w:lang w:val="en-CA"/>
              </w:rPr>
            </w:pPr>
          </w:p>
        </w:tc>
      </w:tr>
      <w:tr w:rsidR="00535286" w:rsidRPr="004168DD" w14:paraId="7787CEC6" w14:textId="77777777" w:rsidTr="00F26CDA">
        <w:tc>
          <w:tcPr>
            <w:tcW w:w="9360" w:type="dxa"/>
          </w:tcPr>
          <w:p w14:paraId="7D566C5B" w14:textId="77777777" w:rsidR="003406B8" w:rsidRPr="004168DD" w:rsidRDefault="00B409EE" w:rsidP="00F26CDA">
            <w:pPr>
              <w:pStyle w:val="zSoquijlblOpinionJuge"/>
              <w:rPr>
                <w:lang w:val="en-CA"/>
              </w:rPr>
            </w:pPr>
            <w:bookmarkStart w:id="18" w:name="MotifJuge3"/>
            <w:r w:rsidRPr="004168DD">
              <w:rPr>
                <w:lang w:val="en-CA"/>
              </w:rPr>
              <w:t>REASONS OF MOORE, J.A.</w:t>
            </w:r>
            <w:bookmarkEnd w:id="18"/>
          </w:p>
        </w:tc>
      </w:tr>
      <w:tr w:rsidR="00535286" w:rsidRPr="004168DD" w14:paraId="1CD42F7B" w14:textId="77777777" w:rsidTr="00F26CDA">
        <w:tc>
          <w:tcPr>
            <w:tcW w:w="9360" w:type="dxa"/>
            <w:tcBorders>
              <w:bottom w:val="single" w:sz="8" w:space="0" w:color="auto"/>
            </w:tcBorders>
          </w:tcPr>
          <w:p w14:paraId="30147B8A" w14:textId="77777777" w:rsidR="003406B8" w:rsidRPr="004168DD" w:rsidRDefault="003406B8" w:rsidP="00F26CDA">
            <w:pPr>
              <w:rPr>
                <w:lang w:val="en-CA"/>
              </w:rPr>
            </w:pPr>
          </w:p>
        </w:tc>
      </w:tr>
      <w:tr w:rsidR="00535286" w:rsidRPr="004168DD" w14:paraId="724F2E4F" w14:textId="77777777" w:rsidTr="00F26CDA">
        <w:tc>
          <w:tcPr>
            <w:tcW w:w="9360" w:type="dxa"/>
            <w:tcBorders>
              <w:top w:val="single" w:sz="8" w:space="0" w:color="auto"/>
            </w:tcBorders>
          </w:tcPr>
          <w:p w14:paraId="132E4D11" w14:textId="77777777" w:rsidR="003406B8" w:rsidRPr="004168DD" w:rsidRDefault="003406B8" w:rsidP="00F26CDA">
            <w:pPr>
              <w:rPr>
                <w:lang w:val="en-CA"/>
              </w:rPr>
            </w:pPr>
          </w:p>
        </w:tc>
      </w:tr>
    </w:tbl>
    <w:p w14:paraId="62B0822F" w14:textId="522DFF77" w:rsidR="002C68BE" w:rsidRPr="004168DD" w:rsidRDefault="00B409EE" w:rsidP="002C68BE">
      <w:pPr>
        <w:pStyle w:val="Paragraphe"/>
        <w:spacing w:line="240" w:lineRule="auto"/>
        <w:rPr>
          <w:lang w:val="en-CA"/>
        </w:rPr>
      </w:pPr>
      <w:r w:rsidRPr="004168DD">
        <w:rPr>
          <w:lang w:val="en-CA"/>
        </w:rPr>
        <w:t>I have had the benefit of reading the reasons of my colleague, Schrager</w:t>
      </w:r>
      <w:r w:rsidR="00C7759B" w:rsidRPr="004168DD">
        <w:rPr>
          <w:lang w:val="en-CA"/>
        </w:rPr>
        <w:t>,</w:t>
      </w:r>
      <w:r w:rsidRPr="004168DD">
        <w:rPr>
          <w:lang w:val="en-CA"/>
        </w:rPr>
        <w:t xml:space="preserve"> J.A. With all due respect, however, I cannot concur.</w:t>
      </w:r>
    </w:p>
    <w:p w14:paraId="287F3E16" w14:textId="503BAEED" w:rsidR="002C68BE" w:rsidRPr="004168DD" w:rsidRDefault="00B409EE" w:rsidP="002C68BE">
      <w:pPr>
        <w:pStyle w:val="Paragraphe"/>
        <w:spacing w:line="240" w:lineRule="auto"/>
        <w:rPr>
          <w:lang w:val="en-CA"/>
        </w:rPr>
      </w:pPr>
      <w:r w:rsidRPr="004168DD">
        <w:rPr>
          <w:lang w:val="en-CA"/>
        </w:rPr>
        <w:t>As my colleague points out, possession of a firearm, the offence of which the accused was convicted, is based on control and knowledge. In the present case, the judge found that the evidence established these elements beyond a reasonable doubt. I am of the opinion that this conclusion was open to her.</w:t>
      </w:r>
    </w:p>
    <w:p w14:paraId="347D92E2" w14:textId="12F8E436" w:rsidR="002C68BE" w:rsidRPr="004168DD" w:rsidRDefault="00B409EE" w:rsidP="002C68BE">
      <w:pPr>
        <w:pStyle w:val="Paragraphe"/>
        <w:spacing w:line="240" w:lineRule="auto"/>
        <w:rPr>
          <w:lang w:val="en-CA"/>
        </w:rPr>
      </w:pPr>
      <w:r w:rsidRPr="004168DD">
        <w:rPr>
          <w:lang w:val="en-CA"/>
        </w:rPr>
        <w:t>First, one must not forget that the bag in which the weapon was found was the appellant</w:t>
      </w:r>
      <w:r w:rsidR="00B2052D" w:rsidRPr="004168DD">
        <w:rPr>
          <w:lang w:val="en-CA"/>
        </w:rPr>
        <w:t>’</w:t>
      </w:r>
      <w:r w:rsidRPr="004168DD">
        <w:rPr>
          <w:lang w:val="en-CA"/>
        </w:rPr>
        <w:t xml:space="preserve">s and, in addition to the weapon itself, the bag was filed </w:t>
      </w:r>
      <w:r w:rsidR="00375984">
        <w:rPr>
          <w:lang w:val="en-CA"/>
        </w:rPr>
        <w:t xml:space="preserve">with </w:t>
      </w:r>
      <w:r w:rsidRPr="004168DD">
        <w:rPr>
          <w:lang w:val="en-CA"/>
        </w:rPr>
        <w:t>items—clothing, all kinds of papers—that belonged to him. In fact, it is from this bag that the appellant retrieved his proof of identity at the police officers</w:t>
      </w:r>
      <w:r w:rsidR="00B2052D" w:rsidRPr="004168DD">
        <w:rPr>
          <w:lang w:val="en-CA"/>
        </w:rPr>
        <w:t>’</w:t>
      </w:r>
      <w:r w:rsidRPr="004168DD">
        <w:rPr>
          <w:lang w:val="en-CA"/>
        </w:rPr>
        <w:t xml:space="preserve"> request. Furthermore, the weapon, which was not visible from the outside, was in the centre of the bag, in clothing that had been placed under, around and on top of the weapon. Lastly, while the bag was near Mr. Daniel, it was also near the appellant.</w:t>
      </w:r>
    </w:p>
    <w:p w14:paraId="5078A71E" w14:textId="22C65D71" w:rsidR="002C68BE" w:rsidRPr="004168DD" w:rsidRDefault="00B409EE" w:rsidP="002C68BE">
      <w:pPr>
        <w:pStyle w:val="Paragraphe"/>
        <w:spacing w:line="240" w:lineRule="auto"/>
        <w:rPr>
          <w:lang w:val="en-CA"/>
        </w:rPr>
      </w:pPr>
      <w:r w:rsidRPr="004168DD">
        <w:rPr>
          <w:lang w:val="en-CA"/>
        </w:rPr>
        <w:t>In my view, all of these elements establish the appellant</w:t>
      </w:r>
      <w:r w:rsidR="00B2052D" w:rsidRPr="004168DD">
        <w:rPr>
          <w:lang w:val="en-CA"/>
        </w:rPr>
        <w:t>’</w:t>
      </w:r>
      <w:r w:rsidRPr="004168DD">
        <w:rPr>
          <w:lang w:val="en-CA"/>
        </w:rPr>
        <w:t xml:space="preserve">s control of the weapon. They are also significant indicators which, without a reasonable explanation, allowed the judge to infer that the appellant knew the weapon was there and, therefore, that he was guilty. At </w:t>
      </w:r>
      <w:r w:rsidR="00375984">
        <w:rPr>
          <w:lang w:val="en-CA"/>
        </w:rPr>
        <w:t>this stage</w:t>
      </w:r>
      <w:r w:rsidRPr="004168DD">
        <w:rPr>
          <w:lang w:val="en-CA"/>
        </w:rPr>
        <w:t>, the judge</w:t>
      </w:r>
      <w:r w:rsidR="00B2052D" w:rsidRPr="004168DD">
        <w:rPr>
          <w:lang w:val="en-CA"/>
        </w:rPr>
        <w:t>’</w:t>
      </w:r>
      <w:r w:rsidRPr="004168DD">
        <w:rPr>
          <w:lang w:val="en-CA"/>
        </w:rPr>
        <w:t>s rejection of the appellant</w:t>
      </w:r>
      <w:r w:rsidR="00B2052D" w:rsidRPr="004168DD">
        <w:rPr>
          <w:lang w:val="en-CA"/>
        </w:rPr>
        <w:t>’</w:t>
      </w:r>
      <w:r w:rsidRPr="004168DD">
        <w:rPr>
          <w:lang w:val="en-CA"/>
        </w:rPr>
        <w:t>s testimony, due to its inconsistencies, became determinative of and fatal to the outcome of his defence.</w:t>
      </w:r>
    </w:p>
    <w:p w14:paraId="3FAFFA86" w14:textId="0A975138" w:rsidR="002C68BE" w:rsidRPr="004168DD" w:rsidRDefault="00B409EE" w:rsidP="002C68BE">
      <w:pPr>
        <w:pStyle w:val="Paragraphe"/>
        <w:spacing w:line="240" w:lineRule="auto"/>
        <w:rPr>
          <w:lang w:val="en-CA"/>
        </w:rPr>
      </w:pPr>
      <w:r w:rsidRPr="004168DD">
        <w:rPr>
          <w:lang w:val="en-CA"/>
        </w:rPr>
        <w:t>But there is more. The judge also accepted the testimony of police officer Perreault-Bolduc according to which the appellant [</w:t>
      </w:r>
      <w:r w:rsidR="00736277" w:rsidRPr="00736277">
        <w:rPr>
          <w:smallCaps/>
          <w:lang w:val="en-CA"/>
        </w:rPr>
        <w:t>translation</w:t>
      </w:r>
      <w:r w:rsidRPr="004168DD">
        <w:rPr>
          <w:lang w:val="en-CA"/>
        </w:rPr>
        <w:t xml:space="preserve">] </w:t>
      </w:r>
      <w:r w:rsidR="00B2052D" w:rsidRPr="004168DD">
        <w:rPr>
          <w:lang w:val="en-CA"/>
        </w:rPr>
        <w:t>“</w:t>
      </w:r>
      <w:r w:rsidRPr="004168DD">
        <w:rPr>
          <w:lang w:val="en-CA"/>
        </w:rPr>
        <w:t>remained cool</w:t>
      </w:r>
      <w:r w:rsidR="00B2052D" w:rsidRPr="004168DD">
        <w:rPr>
          <w:lang w:val="en-CA"/>
        </w:rPr>
        <w:t>”</w:t>
      </w:r>
      <w:r w:rsidRPr="004168DD">
        <w:rPr>
          <w:lang w:val="en-CA"/>
        </w:rPr>
        <w:t xml:space="preserve"> when he was arrested for possession of a firearm. While, admittedly, some caution must be exercised in such matters, in the case at bar, the judge was entitled to give a certain amount of weight to this element from among all the other evidence.</w:t>
      </w:r>
      <w:r w:rsidRPr="004168DD">
        <w:rPr>
          <w:rStyle w:val="Appelnotedebasdep"/>
          <w:lang w:val="en-CA"/>
        </w:rPr>
        <w:footnoteReference w:id="23"/>
      </w:r>
      <w:r w:rsidRPr="004168DD">
        <w:rPr>
          <w:lang w:val="en-CA"/>
        </w:rPr>
        <w:t xml:space="preserve"> The judge did not use this indicator to evaluate the appellant</w:t>
      </w:r>
      <w:r w:rsidR="00B2052D" w:rsidRPr="004168DD">
        <w:rPr>
          <w:lang w:val="en-CA"/>
        </w:rPr>
        <w:t>’</w:t>
      </w:r>
      <w:r w:rsidRPr="004168DD">
        <w:rPr>
          <w:lang w:val="en-CA"/>
        </w:rPr>
        <w:t xml:space="preserve">s credibility when he testified in court, but rather as a fact described by a police officer, in order to gauge whether or not the appellant knew the weapon was there at the time of the events. </w:t>
      </w:r>
    </w:p>
    <w:p w14:paraId="5D2AAB3D" w14:textId="1F71A4C8" w:rsidR="002C68BE" w:rsidRPr="004168DD" w:rsidRDefault="00B409EE" w:rsidP="002C68BE">
      <w:pPr>
        <w:pStyle w:val="Paragraphe"/>
        <w:spacing w:line="240" w:lineRule="auto"/>
        <w:rPr>
          <w:lang w:val="en-CA"/>
        </w:rPr>
      </w:pPr>
      <w:r w:rsidRPr="004168DD">
        <w:rPr>
          <w:lang w:val="en-CA"/>
        </w:rPr>
        <w:t xml:space="preserve">I would add that the judge did not dismiss the idea that Mr. Daniel may have placed the gun in the bag, which is indeed highly probable given the DNA evidence found on the gun. This DNA evidence, however, must not mislead the court and modify the </w:t>
      </w:r>
      <w:r w:rsidRPr="004168DD">
        <w:rPr>
          <w:lang w:val="en-CA"/>
        </w:rPr>
        <w:lastRenderedPageBreak/>
        <w:t>prosecution</w:t>
      </w:r>
      <w:r w:rsidR="00B2052D" w:rsidRPr="004168DD">
        <w:rPr>
          <w:lang w:val="en-CA"/>
        </w:rPr>
        <w:t>’</w:t>
      </w:r>
      <w:r w:rsidRPr="004168DD">
        <w:rPr>
          <w:lang w:val="en-CA"/>
        </w:rPr>
        <w:t>s burden. It is immaterial that the appellant himself did not place the weapon in the bag. The prosecution was simply required to establish that the weapon had not been put there without the appellant</w:t>
      </w:r>
      <w:r w:rsidR="00B2052D" w:rsidRPr="004168DD">
        <w:rPr>
          <w:lang w:val="en-CA"/>
        </w:rPr>
        <w:t>’</w:t>
      </w:r>
      <w:r w:rsidRPr="004168DD">
        <w:rPr>
          <w:lang w:val="en-CA"/>
        </w:rPr>
        <w:t>s knowledge or against his will. Indeed, this is exactly what the judge concluded.</w:t>
      </w:r>
    </w:p>
    <w:p w14:paraId="48F824B7" w14:textId="61AE00F2" w:rsidR="002C68BE" w:rsidRPr="004168DD" w:rsidRDefault="00B409EE" w:rsidP="002C68BE">
      <w:pPr>
        <w:pStyle w:val="Paragraphe"/>
        <w:spacing w:line="240" w:lineRule="auto"/>
        <w:rPr>
          <w:lang w:val="en-CA"/>
        </w:rPr>
      </w:pPr>
      <w:r w:rsidRPr="004168DD">
        <w:rPr>
          <w:lang w:val="en-CA"/>
        </w:rPr>
        <w:t>While it is true that inferences consistent with innocence may be based on evidence—or the lack thereof—</w:t>
      </w:r>
      <w:bookmarkStart w:id="19" w:name="_Ref90992534"/>
      <w:r w:rsidRPr="004168DD">
        <w:rPr>
          <w:rStyle w:val="Appelnotedebasdep"/>
          <w:lang w:val="en-CA"/>
        </w:rPr>
        <w:footnoteReference w:id="24"/>
      </w:r>
      <w:bookmarkEnd w:id="19"/>
      <w:r w:rsidRPr="004168DD">
        <w:rPr>
          <w:lang w:val="en-CA"/>
        </w:rPr>
        <w:t xml:space="preserve"> it is up to the trier of fact to draw the line, sometimes a fine one, between reasonable doubt and speculation.</w:t>
      </w:r>
      <w:r w:rsidRPr="004168DD">
        <w:rPr>
          <w:rStyle w:val="Appelnotedebasdep"/>
          <w:lang w:val="en-CA"/>
        </w:rPr>
        <w:footnoteReference w:id="25"/>
      </w:r>
      <w:r w:rsidRPr="004168DD">
        <w:rPr>
          <w:lang w:val="en-CA"/>
        </w:rPr>
        <w:t xml:space="preserve"> That said, a possible and theoretical inference which is pure speculation cannot suffice to raise a reasonable doubt at the third </w:t>
      </w:r>
      <w:r w:rsidRPr="004168DD">
        <w:rPr>
          <w:i/>
          <w:iCs/>
          <w:lang w:val="en-CA"/>
        </w:rPr>
        <w:t>W.(D.)</w:t>
      </w:r>
      <w:r w:rsidRPr="004168DD">
        <w:rPr>
          <w:lang w:val="en-CA"/>
        </w:rPr>
        <w:t xml:space="preserve"> step, because even if, in principle, a certain gap in the evidence may result in inferences other than guilt, those inferences must be reasonable given the evidence and the absence of evidence, assessed logically, and in light of human experience and common sense.</w:t>
      </w:r>
      <w:r w:rsidRPr="004168DD">
        <w:rPr>
          <w:rStyle w:val="Appelnotedebasdep"/>
          <w:lang w:val="en-CA"/>
        </w:rPr>
        <w:footnoteReference w:id="26"/>
      </w:r>
      <w:r w:rsidRPr="004168DD">
        <w:rPr>
          <w:lang w:val="en-CA"/>
        </w:rPr>
        <w:t xml:space="preserve"> It is at this stage that the judge</w:t>
      </w:r>
      <w:r w:rsidR="00B2052D" w:rsidRPr="004168DD">
        <w:rPr>
          <w:lang w:val="en-CA"/>
        </w:rPr>
        <w:t>’</w:t>
      </w:r>
      <w:r w:rsidRPr="004168DD">
        <w:rPr>
          <w:lang w:val="en-CA"/>
        </w:rPr>
        <w:t>s decision to reject the appellant</w:t>
      </w:r>
      <w:r w:rsidR="00B2052D" w:rsidRPr="004168DD">
        <w:rPr>
          <w:lang w:val="en-CA"/>
        </w:rPr>
        <w:t>’</w:t>
      </w:r>
      <w:r w:rsidRPr="004168DD">
        <w:rPr>
          <w:lang w:val="en-CA"/>
        </w:rPr>
        <w:t xml:space="preserve">s testimony, a decision that was hers to make, was fatal to him. </w:t>
      </w:r>
    </w:p>
    <w:p w14:paraId="72A56D59" w14:textId="3B3EE44C" w:rsidR="002C68BE" w:rsidRPr="004168DD" w:rsidRDefault="00B409EE" w:rsidP="002C68BE">
      <w:pPr>
        <w:pStyle w:val="Paragraphe"/>
        <w:spacing w:line="240" w:lineRule="auto"/>
        <w:rPr>
          <w:lang w:val="en-CA"/>
        </w:rPr>
      </w:pPr>
      <w:r w:rsidRPr="004168DD">
        <w:rPr>
          <w:lang w:val="en-CA"/>
        </w:rPr>
        <w:t xml:space="preserve">The role of this Court, as it pointed out in </w:t>
      </w:r>
      <w:r w:rsidRPr="004168DD">
        <w:rPr>
          <w:i/>
          <w:iCs/>
          <w:lang w:val="en-CA"/>
        </w:rPr>
        <w:t>Dubourg</w:t>
      </w:r>
      <w:r w:rsidRPr="004168DD">
        <w:rPr>
          <w:lang w:val="en-CA"/>
        </w:rPr>
        <w:t>,</w:t>
      </w:r>
      <w:r w:rsidRPr="004168DD">
        <w:rPr>
          <w:rStyle w:val="Appelnotedebasdep"/>
          <w:lang w:val="en-CA"/>
        </w:rPr>
        <w:footnoteReference w:id="27"/>
      </w:r>
      <w:r w:rsidRPr="004168DD">
        <w:rPr>
          <w:lang w:val="en-CA"/>
        </w:rPr>
        <w:t xml:space="preserve"> is not to step into the shoes of the trier of fact, but rather to verify whether her determination is reasonable, even if a another judge could have made a different finding.</w:t>
      </w:r>
      <w:r w:rsidRPr="004168DD">
        <w:rPr>
          <w:rStyle w:val="Appelnotedebasdep"/>
          <w:lang w:val="en-CA"/>
        </w:rPr>
        <w:footnoteReference w:id="28"/>
      </w:r>
    </w:p>
    <w:p w14:paraId="4F60EC9D" w14:textId="15C6845E" w:rsidR="002C68BE" w:rsidRPr="004168DD" w:rsidRDefault="00B409EE" w:rsidP="002C68BE">
      <w:pPr>
        <w:pStyle w:val="Paragraphe"/>
        <w:spacing w:line="240" w:lineRule="auto"/>
        <w:rPr>
          <w:lang w:val="en-CA"/>
        </w:rPr>
      </w:pPr>
      <w:r w:rsidRPr="004168DD">
        <w:rPr>
          <w:lang w:val="en-CA"/>
        </w:rPr>
        <w:t xml:space="preserve">In the present case, as in </w:t>
      </w:r>
      <w:r w:rsidRPr="004168DD">
        <w:rPr>
          <w:i/>
          <w:iCs/>
          <w:lang w:val="en-CA"/>
        </w:rPr>
        <w:t>Villaroman</w:t>
      </w:r>
      <w:r w:rsidRPr="004168DD">
        <w:rPr>
          <w:lang w:val="en-CA"/>
        </w:rPr>
        <w:t>, while the Crown</w:t>
      </w:r>
      <w:r w:rsidR="00B2052D" w:rsidRPr="004168DD">
        <w:rPr>
          <w:lang w:val="en-CA"/>
        </w:rPr>
        <w:t>’</w:t>
      </w:r>
      <w:r w:rsidRPr="004168DD">
        <w:rPr>
          <w:lang w:val="en-CA"/>
        </w:rPr>
        <w:t>s case regarding the appellant</w:t>
      </w:r>
      <w:r w:rsidR="00B2052D" w:rsidRPr="004168DD">
        <w:rPr>
          <w:lang w:val="en-CA"/>
        </w:rPr>
        <w:t>’</w:t>
      </w:r>
      <w:r w:rsidRPr="004168DD">
        <w:rPr>
          <w:lang w:val="en-CA"/>
        </w:rPr>
        <w:t xml:space="preserve">s knowledge may not have been overwhelming, in my view </w:t>
      </w:r>
      <w:r w:rsidR="00B2052D" w:rsidRPr="004168DD">
        <w:rPr>
          <w:lang w:val="en-CA"/>
        </w:rPr>
        <w:t>“</w:t>
      </w:r>
      <w:r w:rsidRPr="004168DD">
        <w:rPr>
          <w:lang w:val="en-CA"/>
        </w:rPr>
        <w:t>[…] it was reasonable […] to conclude that the evidence as a whole excluded all reasonable alternatives to guilt</w:t>
      </w:r>
      <w:r w:rsidR="00B2052D" w:rsidRPr="004168DD">
        <w:rPr>
          <w:lang w:val="en-CA"/>
        </w:rPr>
        <w:t>”</w:t>
      </w:r>
      <w:r w:rsidRPr="004168DD">
        <w:rPr>
          <w:lang w:val="en-CA"/>
        </w:rPr>
        <w:t>.</w:t>
      </w:r>
      <w:r w:rsidRPr="004168DD">
        <w:rPr>
          <w:rStyle w:val="Appelnotedebasdep"/>
          <w:lang w:val="en-CA"/>
        </w:rPr>
        <w:footnoteReference w:id="29"/>
      </w:r>
      <w:r w:rsidRPr="004168DD">
        <w:rPr>
          <w:lang w:val="en-CA"/>
        </w:rPr>
        <w:t xml:space="preserve"> </w:t>
      </w:r>
    </w:p>
    <w:p w14:paraId="5462117C" w14:textId="532E9EA3" w:rsidR="002C68BE" w:rsidRPr="004168DD" w:rsidRDefault="00B409EE" w:rsidP="002C68BE">
      <w:pPr>
        <w:pStyle w:val="Paragraphe"/>
        <w:spacing w:line="240" w:lineRule="auto"/>
        <w:rPr>
          <w:lang w:val="en-CA"/>
        </w:rPr>
      </w:pPr>
      <w:r w:rsidRPr="004168DD">
        <w:rPr>
          <w:lang w:val="en-CA"/>
        </w:rPr>
        <w:t>For these reasons, I would dismiss the appeal.</w:t>
      </w:r>
    </w:p>
    <w:tbl>
      <w:tblPr>
        <w:tblW w:w="0" w:type="auto"/>
        <w:tblLayout w:type="fixed"/>
        <w:tblCellMar>
          <w:left w:w="0" w:type="dxa"/>
          <w:right w:w="0" w:type="dxa"/>
        </w:tblCellMar>
        <w:tblLook w:val="0000" w:firstRow="0" w:lastRow="0" w:firstColumn="0" w:lastColumn="0" w:noHBand="0" w:noVBand="0"/>
      </w:tblPr>
      <w:tblGrid>
        <w:gridCol w:w="4735"/>
        <w:gridCol w:w="4625"/>
      </w:tblGrid>
      <w:tr w:rsidR="00535286" w:rsidRPr="004168DD" w14:paraId="777FB95D" w14:textId="77777777" w:rsidTr="00F26CDA">
        <w:trPr>
          <w:cantSplit/>
          <w:trHeight w:val="513"/>
        </w:trPr>
        <w:tc>
          <w:tcPr>
            <w:tcW w:w="9360" w:type="dxa"/>
            <w:gridSpan w:val="2"/>
          </w:tcPr>
          <w:p w14:paraId="5145A2B4" w14:textId="77777777" w:rsidR="003406B8" w:rsidRPr="004168DD" w:rsidRDefault="003406B8" w:rsidP="00F26CDA">
            <w:pPr>
              <w:rPr>
                <w:lang w:val="en-CA"/>
              </w:rPr>
            </w:pPr>
          </w:p>
        </w:tc>
      </w:tr>
      <w:tr w:rsidR="00535286" w:rsidRPr="004168DD" w14:paraId="0CED76AE" w14:textId="77777777" w:rsidTr="00F26CDA">
        <w:trPr>
          <w:cantSplit/>
          <w:trHeight w:val="277"/>
        </w:trPr>
        <w:tc>
          <w:tcPr>
            <w:tcW w:w="4735" w:type="dxa"/>
            <w:vMerge w:val="restart"/>
          </w:tcPr>
          <w:p w14:paraId="79F72D27" w14:textId="77777777" w:rsidR="003406B8" w:rsidRPr="004168DD" w:rsidRDefault="003406B8" w:rsidP="00F26CDA">
            <w:pPr>
              <w:rPr>
                <w:lang w:val="en-CA"/>
              </w:rPr>
            </w:pPr>
          </w:p>
        </w:tc>
        <w:tc>
          <w:tcPr>
            <w:tcW w:w="4625" w:type="dxa"/>
            <w:tcBorders>
              <w:bottom w:val="single" w:sz="8" w:space="0" w:color="auto"/>
            </w:tcBorders>
          </w:tcPr>
          <w:p w14:paraId="1A8C217D" w14:textId="77777777" w:rsidR="003406B8" w:rsidRPr="004168DD" w:rsidRDefault="003406B8" w:rsidP="00F26CDA">
            <w:pPr>
              <w:rPr>
                <w:lang w:val="en-CA"/>
              </w:rPr>
            </w:pPr>
          </w:p>
        </w:tc>
      </w:tr>
      <w:tr w:rsidR="00535286" w:rsidRPr="004168DD" w14:paraId="7E1FCC3B" w14:textId="77777777" w:rsidTr="00F26CDA">
        <w:trPr>
          <w:cantSplit/>
          <w:trHeight w:val="276"/>
        </w:trPr>
        <w:tc>
          <w:tcPr>
            <w:tcW w:w="4735" w:type="dxa"/>
            <w:vMerge/>
          </w:tcPr>
          <w:p w14:paraId="0CEEA284" w14:textId="77777777" w:rsidR="003406B8" w:rsidRPr="004168DD" w:rsidRDefault="003406B8" w:rsidP="00F26CDA">
            <w:pPr>
              <w:rPr>
                <w:lang w:val="en-CA"/>
              </w:rPr>
            </w:pPr>
          </w:p>
        </w:tc>
        <w:tc>
          <w:tcPr>
            <w:tcW w:w="4625" w:type="dxa"/>
          </w:tcPr>
          <w:p w14:paraId="39DD695C" w14:textId="77777777" w:rsidR="003406B8" w:rsidRPr="004168DD" w:rsidRDefault="00B409EE" w:rsidP="00F26CDA">
            <w:pPr>
              <w:rPr>
                <w:lang w:val="en-CA"/>
              </w:rPr>
            </w:pPr>
            <w:r w:rsidRPr="004168DD">
              <w:rPr>
                <w:lang w:val="en-CA"/>
              </w:rPr>
              <w:t>BENOÎT MOORE, J.A.</w:t>
            </w:r>
          </w:p>
        </w:tc>
      </w:tr>
    </w:tbl>
    <w:p w14:paraId="24EADD29" w14:textId="77777777" w:rsidR="00740A17" w:rsidRPr="004168DD" w:rsidRDefault="00740A17" w:rsidP="00985926">
      <w:pPr>
        <w:rPr>
          <w:lang w:val="en-CA"/>
        </w:rPr>
      </w:pPr>
    </w:p>
    <w:sectPr w:rsidR="00740A17" w:rsidRPr="004168DD" w:rsidSect="008A2CE7">
      <w:headerReference w:type="default" r:id="rId15"/>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5B39D" w14:textId="77777777" w:rsidR="005063B6" w:rsidRDefault="005063B6">
      <w:pPr>
        <w:spacing w:line="240" w:lineRule="auto"/>
      </w:pPr>
      <w:r>
        <w:separator/>
      </w:r>
    </w:p>
  </w:endnote>
  <w:endnote w:type="continuationSeparator" w:id="0">
    <w:p w14:paraId="31A78380" w14:textId="77777777" w:rsidR="005063B6" w:rsidRDefault="005063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BA0AD" w14:textId="77777777" w:rsidR="003406B8" w:rsidRDefault="003406B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E3E1" w14:textId="77777777" w:rsidR="003406B8" w:rsidRDefault="003406B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05E6" w14:textId="77777777" w:rsidR="003406B8" w:rsidRDefault="003406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321E" w14:textId="77777777" w:rsidR="005063B6" w:rsidRDefault="005063B6">
      <w:r>
        <w:separator/>
      </w:r>
    </w:p>
  </w:footnote>
  <w:footnote w:type="continuationSeparator" w:id="0">
    <w:p w14:paraId="02A85A16" w14:textId="77777777" w:rsidR="005063B6" w:rsidRDefault="005063B6">
      <w:r>
        <w:continuationSeparator/>
      </w:r>
    </w:p>
  </w:footnote>
  <w:footnote w:id="1">
    <w:p w14:paraId="44AB2C3E" w14:textId="4FD47DE7"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c. Vernelus</w:t>
      </w:r>
      <w:r w:rsidRPr="00C7759B">
        <w:rPr>
          <w:lang w:val="en-CA"/>
        </w:rPr>
        <w:t xml:space="preserve">, Montreal C.Q., No. </w:t>
      </w:r>
      <w:bookmarkStart w:id="15" w:name="DossierAnt"/>
      <w:r w:rsidRPr="00C7759B">
        <w:rPr>
          <w:lang w:val="en-CA"/>
        </w:rPr>
        <w:t>500-01-164847-177</w:t>
      </w:r>
      <w:bookmarkEnd w:id="15"/>
      <w:r w:rsidRPr="00C7759B">
        <w:rPr>
          <w:lang w:val="en-CA"/>
        </w:rPr>
        <w:t>, October 17, 2018, Provost, J.C.Q.</w:t>
      </w:r>
    </w:p>
  </w:footnote>
  <w:footnote w:id="2">
    <w:p w14:paraId="75CD18DE" w14:textId="58006659"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Morrison</w:t>
      </w:r>
      <w:r w:rsidRPr="00C7759B">
        <w:rPr>
          <w:lang w:val="en-CA"/>
        </w:rPr>
        <w:t xml:space="preserve">, 2013 BCCA 408 (firearm discovered in a room to which the accused had the key) and </w:t>
      </w:r>
      <w:r w:rsidRPr="00C7759B">
        <w:rPr>
          <w:i/>
          <w:iCs/>
          <w:lang w:val="en-CA"/>
        </w:rPr>
        <w:t>Marc c. R.</w:t>
      </w:r>
      <w:r w:rsidRPr="00C7759B">
        <w:rPr>
          <w:lang w:val="en-CA"/>
        </w:rPr>
        <w:t>, 2006 QCCA 57 (drugs in an apartment).</w:t>
      </w:r>
    </w:p>
  </w:footnote>
  <w:footnote w:id="3">
    <w:p w14:paraId="583FEE63" w14:textId="5343DBF1"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W.(D.)</w:t>
      </w:r>
      <w:r w:rsidRPr="00C7759B">
        <w:rPr>
          <w:lang w:val="en-CA"/>
        </w:rPr>
        <w:t>, [1991] 1 S.C.R. 742.</w:t>
      </w:r>
    </w:p>
  </w:footnote>
  <w:footnote w:id="4">
    <w:p w14:paraId="27A941FB" w14:textId="1FA20F33"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Ouchfoun c. La Reine</w:t>
      </w:r>
      <w:r w:rsidRPr="00C7759B">
        <w:rPr>
          <w:lang w:val="en-CA"/>
        </w:rPr>
        <w:t>, 2004 CanLII 76451 (QC CA), para. 10 [</w:t>
      </w:r>
      <w:r w:rsidRPr="00C7759B">
        <w:rPr>
          <w:i/>
          <w:iCs/>
          <w:lang w:val="en-CA"/>
        </w:rPr>
        <w:t>Ouchfoun</w:t>
      </w:r>
      <w:r w:rsidRPr="00C7759B">
        <w:rPr>
          <w:lang w:val="en-CA"/>
        </w:rPr>
        <w:t xml:space="preserve">]; </w:t>
      </w:r>
      <w:r w:rsidRPr="00C7759B">
        <w:rPr>
          <w:i/>
          <w:iCs/>
          <w:lang w:val="en-CA"/>
        </w:rPr>
        <w:t>R. v.</w:t>
      </w:r>
      <w:r w:rsidRPr="00C7759B">
        <w:rPr>
          <w:lang w:val="en-CA"/>
        </w:rPr>
        <w:t xml:space="preserve"> </w:t>
      </w:r>
      <w:r w:rsidRPr="00C7759B">
        <w:rPr>
          <w:i/>
          <w:iCs/>
          <w:lang w:val="en-CA"/>
        </w:rPr>
        <w:t>W(D), supra</w:t>
      </w:r>
      <w:r w:rsidRPr="00C7759B">
        <w:rPr>
          <w:lang w:val="en-CA"/>
        </w:rPr>
        <w:t>, note 3, p. 758.</w:t>
      </w:r>
    </w:p>
  </w:footnote>
  <w:footnote w:id="5">
    <w:p w14:paraId="2354F0E2" w14:textId="77777777" w:rsidR="008A2CE7" w:rsidRPr="00C7759B" w:rsidRDefault="00B409EE" w:rsidP="008A2CE7">
      <w:pPr>
        <w:pStyle w:val="Notedebasdepage"/>
        <w:rPr>
          <w:rFonts w:cs="Arial"/>
          <w:lang w:val="en-CA"/>
        </w:rPr>
      </w:pPr>
      <w:r w:rsidRPr="00C7759B">
        <w:rPr>
          <w:rStyle w:val="Appelnotedebasdep"/>
          <w:rFonts w:cs="Arial"/>
          <w:lang w:val="en-CA"/>
        </w:rPr>
        <w:footnoteRef/>
      </w:r>
      <w:r w:rsidRPr="00C7759B">
        <w:rPr>
          <w:rFonts w:cs="Arial"/>
          <w:lang w:val="en-CA"/>
        </w:rPr>
        <w:t xml:space="preserve"> </w:t>
      </w:r>
      <w:r w:rsidRPr="00C7759B">
        <w:rPr>
          <w:rFonts w:cs="Arial"/>
          <w:lang w:val="en-CA"/>
        </w:rPr>
        <w:tab/>
        <w:t xml:space="preserve">See </w:t>
      </w:r>
      <w:r w:rsidRPr="00C7759B">
        <w:rPr>
          <w:rFonts w:cs="Arial"/>
          <w:i/>
          <w:iCs/>
          <w:lang w:val="en-CA"/>
        </w:rPr>
        <w:t xml:space="preserve">Dubourg c. R., </w:t>
      </w:r>
      <w:r w:rsidRPr="00C7759B">
        <w:rPr>
          <w:rStyle w:val="Lienhypertexte"/>
          <w:rFonts w:cs="Arial"/>
          <w:color w:val="auto"/>
          <w:u w:val="none"/>
          <w:lang w:val="en-CA"/>
        </w:rPr>
        <w:t>2018 QCCA 1999</w:t>
      </w:r>
      <w:r w:rsidRPr="00C7759B">
        <w:rPr>
          <w:rFonts w:cs="Arial"/>
          <w:lang w:val="en-CA"/>
        </w:rPr>
        <w:t xml:space="preserve">, cited as an example in </w:t>
      </w:r>
      <w:r w:rsidRPr="00C7759B">
        <w:rPr>
          <w:rFonts w:cs="Arial"/>
          <w:i/>
          <w:iCs/>
          <w:lang w:val="en-CA"/>
        </w:rPr>
        <w:t>Domond c. R.</w:t>
      </w:r>
      <w:r w:rsidRPr="00C7759B">
        <w:rPr>
          <w:rFonts w:cs="Arial"/>
          <w:lang w:val="en-CA"/>
        </w:rPr>
        <w:t>,</w:t>
      </w:r>
      <w:r w:rsidRPr="00C7759B">
        <w:rPr>
          <w:rFonts w:cs="Arial"/>
          <w:i/>
          <w:iCs/>
          <w:lang w:val="en-CA"/>
        </w:rPr>
        <w:t xml:space="preserve"> </w:t>
      </w:r>
      <w:r w:rsidRPr="00C7759B">
        <w:rPr>
          <w:rStyle w:val="Lienhypertexte"/>
          <w:rFonts w:cs="Arial"/>
          <w:color w:val="auto"/>
          <w:u w:val="none"/>
          <w:lang w:val="en-CA"/>
        </w:rPr>
        <w:t>2021 QCCA 412</w:t>
      </w:r>
      <w:r w:rsidRPr="00C7759B">
        <w:rPr>
          <w:rFonts w:cs="Arial"/>
          <w:lang w:val="en-CA"/>
        </w:rPr>
        <w:t xml:space="preserve">, para. 13; </w:t>
      </w:r>
      <w:r w:rsidRPr="00C7759B">
        <w:rPr>
          <w:rFonts w:cs="Arial"/>
          <w:i/>
          <w:iCs/>
          <w:lang w:val="en-CA"/>
        </w:rPr>
        <w:t xml:space="preserve">Charron c. R., </w:t>
      </w:r>
      <w:r w:rsidRPr="00C7759B">
        <w:rPr>
          <w:rStyle w:val="Lienhypertexte"/>
          <w:rFonts w:cs="Arial"/>
          <w:color w:val="auto"/>
          <w:u w:val="none"/>
          <w:lang w:val="en-CA"/>
        </w:rPr>
        <w:t>2020 QCCA 1599</w:t>
      </w:r>
      <w:r w:rsidRPr="00C7759B">
        <w:rPr>
          <w:rFonts w:cs="Arial"/>
          <w:lang w:val="en-CA"/>
        </w:rPr>
        <w:t xml:space="preserve">, para. 127; </w:t>
      </w:r>
      <w:r w:rsidRPr="00C7759B">
        <w:rPr>
          <w:rFonts w:cs="Arial"/>
          <w:i/>
          <w:iCs/>
          <w:lang w:val="en-CA"/>
        </w:rPr>
        <w:t xml:space="preserve">Ben Hariz c. R., </w:t>
      </w:r>
      <w:r w:rsidRPr="00C7759B">
        <w:rPr>
          <w:rStyle w:val="Lienhypertexte"/>
          <w:rFonts w:cs="Arial"/>
          <w:color w:val="auto"/>
          <w:u w:val="none"/>
          <w:lang w:val="en-CA"/>
        </w:rPr>
        <w:t>2019 QCCA 267</w:t>
      </w:r>
      <w:r w:rsidRPr="00C7759B">
        <w:rPr>
          <w:rFonts w:cs="Arial"/>
          <w:lang w:val="en-CA"/>
        </w:rPr>
        <w:t xml:space="preserve">, para. 45. See also </w:t>
      </w:r>
      <w:r w:rsidRPr="00C7759B">
        <w:rPr>
          <w:rFonts w:cs="Arial"/>
          <w:i/>
          <w:iCs/>
          <w:lang w:val="en-CA"/>
        </w:rPr>
        <w:t xml:space="preserve">Drouin c. R., </w:t>
      </w:r>
      <w:r w:rsidRPr="00C7759B">
        <w:rPr>
          <w:rStyle w:val="Lienhypertexte"/>
          <w:rFonts w:cs="Arial"/>
          <w:color w:val="auto"/>
          <w:u w:val="none"/>
          <w:lang w:val="en-CA"/>
        </w:rPr>
        <w:t>2020 QCCA 1378</w:t>
      </w:r>
      <w:r w:rsidRPr="00C7759B">
        <w:rPr>
          <w:rFonts w:cs="Arial"/>
          <w:lang w:val="en-CA"/>
        </w:rPr>
        <w:t>, para. 93.</w:t>
      </w:r>
    </w:p>
  </w:footnote>
  <w:footnote w:id="6">
    <w:p w14:paraId="0CA9D882" w14:textId="24DCDF80"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R.P.</w:t>
      </w:r>
      <w:r w:rsidRPr="00C7759B">
        <w:rPr>
          <w:lang w:val="en-CA"/>
        </w:rPr>
        <w:t>, 2012 SCC 22, [2012] 1 S.C.R. 746, para. 9.</w:t>
      </w:r>
    </w:p>
  </w:footnote>
  <w:footnote w:id="7">
    <w:p w14:paraId="6AE3B4DD" w14:textId="16BEFF87"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Biniaris</w:t>
      </w:r>
      <w:r w:rsidRPr="00C7759B">
        <w:rPr>
          <w:lang w:val="en-CA"/>
        </w:rPr>
        <w:t xml:space="preserve">, 2000 SCC 15, [2000] 1 S.C.R. 381, para. 37; </w:t>
      </w:r>
      <w:r w:rsidRPr="00C7759B">
        <w:rPr>
          <w:i/>
          <w:iCs/>
          <w:lang w:val="en-CA"/>
        </w:rPr>
        <w:t>R. v. Burke</w:t>
      </w:r>
      <w:r w:rsidRPr="00C7759B">
        <w:rPr>
          <w:lang w:val="en-CA"/>
        </w:rPr>
        <w:t xml:space="preserve">, [1996] 1 S.C.R. 474, para. 4; </w:t>
      </w:r>
      <w:r w:rsidRPr="00C7759B">
        <w:rPr>
          <w:i/>
          <w:iCs/>
          <w:lang w:val="en-CA"/>
        </w:rPr>
        <w:t>R. v. Yebes</w:t>
      </w:r>
      <w:r w:rsidRPr="00C7759B">
        <w:rPr>
          <w:lang w:val="en-CA"/>
        </w:rPr>
        <w:t>, [1987] 2 S.C.R. 168, p. 186 [</w:t>
      </w:r>
      <w:r w:rsidRPr="00C7759B">
        <w:rPr>
          <w:i/>
          <w:iCs/>
          <w:lang w:val="en-CA"/>
        </w:rPr>
        <w:t>Yebes</w:t>
      </w:r>
      <w:r w:rsidRPr="00C7759B">
        <w:rPr>
          <w:lang w:val="en-CA"/>
        </w:rPr>
        <w:t>].</w:t>
      </w:r>
    </w:p>
  </w:footnote>
  <w:footnote w:id="8">
    <w:p w14:paraId="3C9E609F" w14:textId="783731E6"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Gagnon</w:t>
      </w:r>
      <w:r w:rsidRPr="00C7759B">
        <w:rPr>
          <w:lang w:val="en-CA"/>
        </w:rPr>
        <w:t xml:space="preserve">, 2006 SCC 17, [2006] 1 S.C.R. 621, para. 10; </w:t>
      </w:r>
      <w:r w:rsidRPr="00C7759B">
        <w:rPr>
          <w:i/>
          <w:iCs/>
          <w:lang w:val="en-CA"/>
        </w:rPr>
        <w:t>R. v. A.G.</w:t>
      </w:r>
      <w:r w:rsidRPr="00C7759B">
        <w:rPr>
          <w:lang w:val="en-CA"/>
        </w:rPr>
        <w:t>, 2000 SCC 17, [2000] 1 S.C.R. 439, para. 29.</w:t>
      </w:r>
    </w:p>
  </w:footnote>
  <w:footnote w:id="9">
    <w:p w14:paraId="22ED819D" w14:textId="38FC1392"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Yebes</w:t>
      </w:r>
      <w:r w:rsidRPr="00C7759B">
        <w:rPr>
          <w:lang w:val="en-CA"/>
        </w:rPr>
        <w:t xml:space="preserve">, </w:t>
      </w:r>
      <w:r w:rsidRPr="00C7759B">
        <w:rPr>
          <w:i/>
          <w:iCs/>
          <w:lang w:val="en-CA"/>
        </w:rPr>
        <w:t>supra</w:t>
      </w:r>
      <w:r w:rsidRPr="00C7759B">
        <w:rPr>
          <w:lang w:val="en-CA"/>
        </w:rPr>
        <w:t>, note 7, p. 186.</w:t>
      </w:r>
    </w:p>
  </w:footnote>
  <w:footnote w:id="10">
    <w:p w14:paraId="0C923350" w14:textId="1F5AB474"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W.H.</w:t>
      </w:r>
      <w:r w:rsidRPr="00C7759B">
        <w:rPr>
          <w:lang w:val="en-CA"/>
        </w:rPr>
        <w:t>, 2013 SCC 22, [2013] 2 S.C.R. 180, para. 26.</w:t>
      </w:r>
    </w:p>
  </w:footnote>
  <w:footnote w:id="11">
    <w:p w14:paraId="5FC73E48" w14:textId="4E9EA4CF"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Marc c. R</w:t>
      </w:r>
      <w:r w:rsidRPr="00C7759B">
        <w:rPr>
          <w:lang w:val="en-CA"/>
        </w:rPr>
        <w:t xml:space="preserve">., </w:t>
      </w:r>
      <w:r w:rsidRPr="00C7759B">
        <w:rPr>
          <w:rStyle w:val="Lienhypertexte"/>
          <w:color w:val="auto"/>
          <w:u w:val="none"/>
          <w:lang w:val="en-CA"/>
        </w:rPr>
        <w:t>2006 QCCA 57</w:t>
      </w:r>
      <w:r w:rsidRPr="00C7759B">
        <w:rPr>
          <w:lang w:val="en-CA"/>
        </w:rPr>
        <w:t>, paras. 58 and 59.</w:t>
      </w:r>
    </w:p>
  </w:footnote>
  <w:footnote w:id="12">
    <w:p w14:paraId="79AD2F2A" w14:textId="3487039D"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Morelli</w:t>
      </w:r>
      <w:r w:rsidRPr="00C7759B">
        <w:rPr>
          <w:lang w:val="en-CA"/>
        </w:rPr>
        <w:t>, 2010 SCC 8, [2010] 1 S.C.R. 253, paras. 15-16.</w:t>
      </w:r>
    </w:p>
  </w:footnote>
  <w:footnote w:id="13">
    <w:p w14:paraId="03F74464" w14:textId="2EFB7318"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Vuradin</w:t>
      </w:r>
      <w:r w:rsidRPr="00C7759B">
        <w:rPr>
          <w:lang w:val="en-CA"/>
        </w:rPr>
        <w:t xml:space="preserve">, 2013 SCC 38, [2013] 2 S.C.R. 639, para. 21; </w:t>
      </w:r>
      <w:r w:rsidRPr="00C7759B">
        <w:rPr>
          <w:i/>
          <w:iCs/>
          <w:lang w:val="en-CA"/>
        </w:rPr>
        <w:t>R. v. C.L.Y.</w:t>
      </w:r>
      <w:r w:rsidRPr="00C7759B">
        <w:rPr>
          <w:lang w:val="en-CA"/>
        </w:rPr>
        <w:t xml:space="preserve">, 2008 SCC 2, [2008] 1 S.C.R. 5, paras. 6-8; see also </w:t>
      </w:r>
      <w:r w:rsidRPr="00C7759B">
        <w:rPr>
          <w:i/>
          <w:iCs/>
          <w:lang w:val="en-CA"/>
        </w:rPr>
        <w:t>J.L. c. R.</w:t>
      </w:r>
      <w:r w:rsidRPr="00C7759B">
        <w:rPr>
          <w:lang w:val="en-CA"/>
        </w:rPr>
        <w:t xml:space="preserve">, 2017 QCCA 398, para. 75; </w:t>
      </w:r>
      <w:r w:rsidRPr="00C7759B">
        <w:rPr>
          <w:i/>
          <w:iCs/>
          <w:lang w:val="en-CA"/>
        </w:rPr>
        <w:t>J.R. v. R.</w:t>
      </w:r>
      <w:r w:rsidRPr="00C7759B">
        <w:rPr>
          <w:lang w:val="en-CA"/>
        </w:rPr>
        <w:t xml:space="preserve">, 2014 QCCA 869, para. 38; </w:t>
      </w:r>
      <w:r w:rsidRPr="00C7759B">
        <w:rPr>
          <w:i/>
          <w:iCs/>
          <w:lang w:val="en-CA"/>
        </w:rPr>
        <w:t>Dallaire c. R.</w:t>
      </w:r>
      <w:r w:rsidRPr="00C7759B">
        <w:rPr>
          <w:lang w:val="en-CA"/>
        </w:rPr>
        <w:t xml:space="preserve">, 2013 QCCA 83, para. 44; </w:t>
      </w:r>
      <w:r w:rsidRPr="00C7759B">
        <w:rPr>
          <w:i/>
          <w:iCs/>
          <w:lang w:val="en-CA"/>
        </w:rPr>
        <w:t>Willard c. R.</w:t>
      </w:r>
      <w:r w:rsidRPr="00C7759B">
        <w:rPr>
          <w:lang w:val="en-CA"/>
        </w:rPr>
        <w:t xml:space="preserve">, 2007 QCCA 1483, para. 3; </w:t>
      </w:r>
      <w:r w:rsidRPr="00C7759B">
        <w:rPr>
          <w:i/>
          <w:iCs/>
          <w:lang w:val="en-CA"/>
        </w:rPr>
        <w:t>Ouchfoun</w:t>
      </w:r>
      <w:r w:rsidRPr="00C7759B">
        <w:rPr>
          <w:lang w:val="en-CA"/>
        </w:rPr>
        <w:t>,</w:t>
      </w:r>
      <w:r w:rsidRPr="00C7759B">
        <w:rPr>
          <w:i/>
          <w:iCs/>
          <w:lang w:val="en-CA"/>
        </w:rPr>
        <w:t xml:space="preserve"> supra</w:t>
      </w:r>
      <w:r w:rsidRPr="00C7759B">
        <w:rPr>
          <w:lang w:val="en-CA"/>
        </w:rPr>
        <w:t xml:space="preserve">, note </w:t>
      </w:r>
      <w:r w:rsidR="00860168" w:rsidRPr="006C14D6">
        <w:rPr>
          <w:lang w:val="en-CA"/>
        </w:rPr>
        <w:t>4</w:t>
      </w:r>
      <w:r w:rsidRPr="00C7759B">
        <w:rPr>
          <w:lang w:val="en-CA"/>
        </w:rPr>
        <w:t>, para. 12.</w:t>
      </w:r>
    </w:p>
  </w:footnote>
  <w:footnote w:id="14">
    <w:p w14:paraId="4007539F" w14:textId="66389E4A"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Lalonde c. R.</w:t>
      </w:r>
      <w:r w:rsidRPr="00C7759B">
        <w:rPr>
          <w:lang w:val="en-CA"/>
        </w:rPr>
        <w:t>, 2019 QCCA 2131, para. 52.</w:t>
      </w:r>
    </w:p>
  </w:footnote>
  <w:footnote w:id="15">
    <w:p w14:paraId="741FC370" w14:textId="774EC6EB"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Pincemin</w:t>
      </w:r>
      <w:r w:rsidRPr="00C7759B">
        <w:rPr>
          <w:lang w:val="en-CA"/>
        </w:rPr>
        <w:t>, 2004 SKCA 33, para. 30.</w:t>
      </w:r>
    </w:p>
  </w:footnote>
  <w:footnote w:id="16">
    <w:p w14:paraId="0199A73D" w14:textId="7F7B3EA6"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 xml:space="preserve">R. </w:t>
      </w:r>
      <w:r w:rsidR="00373D29">
        <w:rPr>
          <w:i/>
          <w:iCs/>
          <w:lang w:val="en-CA"/>
        </w:rPr>
        <w:t>v</w:t>
      </w:r>
      <w:r w:rsidRPr="00C7759B">
        <w:rPr>
          <w:i/>
          <w:iCs/>
          <w:lang w:val="en-CA"/>
        </w:rPr>
        <w:t>. Villaroman</w:t>
      </w:r>
      <w:r w:rsidRPr="00C7759B">
        <w:rPr>
          <w:lang w:val="en-CA"/>
        </w:rPr>
        <w:t>, 2016 SCC 33, [2016] 1 S.C.R. 1000, para. 42.</w:t>
      </w:r>
    </w:p>
  </w:footnote>
  <w:footnote w:id="17">
    <w:p w14:paraId="7EB172E6" w14:textId="59F2CE73"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Iturriaga</w:t>
      </w:r>
      <w:r w:rsidRPr="00C7759B">
        <w:rPr>
          <w:lang w:val="en-CA"/>
        </w:rPr>
        <w:t>, [1994] BCWLD 1117, 1993 CanLII 2517 (BC CA), para. 9.</w:t>
      </w:r>
    </w:p>
  </w:footnote>
  <w:footnote w:id="18">
    <w:p w14:paraId="7891D40B" w14:textId="0079979C"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Carrington c. R.</w:t>
      </w:r>
      <w:r w:rsidRPr="00C7759B">
        <w:rPr>
          <w:lang w:val="en-CA"/>
        </w:rPr>
        <w:t>, 2014 QCCA 118.</w:t>
      </w:r>
    </w:p>
  </w:footnote>
  <w:footnote w:id="19">
    <w:p w14:paraId="0D80A45B" w14:textId="1CE4EFD4"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t xml:space="preserve">Martin Vauclair and Tristan Desjardins, </w:t>
      </w:r>
      <w:r w:rsidRPr="00C7759B">
        <w:rPr>
          <w:i/>
          <w:iCs/>
          <w:lang w:val="en-CA"/>
        </w:rPr>
        <w:t>Traité général de preuve et de procédure pénales</w:t>
      </w:r>
      <w:r w:rsidRPr="00C7759B">
        <w:rPr>
          <w:lang w:val="en-CA"/>
        </w:rPr>
        <w:t>, 28th edition, 2021, Yvon-Blais, para. 44.49.</w:t>
      </w:r>
    </w:p>
  </w:footnote>
  <w:footnote w:id="20">
    <w:p w14:paraId="1B2E025D" w14:textId="1B40FBD1"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Tanasichuk v. R.</w:t>
      </w:r>
      <w:r w:rsidRPr="00C7759B">
        <w:rPr>
          <w:lang w:val="en-CA"/>
        </w:rPr>
        <w:t>, 2007 NBCA 76, paras. 104-110.</w:t>
      </w:r>
    </w:p>
  </w:footnote>
  <w:footnote w:id="21">
    <w:p w14:paraId="4F1D7251" w14:textId="2842F88C"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c. Cedras</w:t>
      </w:r>
      <w:r w:rsidRPr="00C7759B">
        <w:rPr>
          <w:lang w:val="en-CA"/>
        </w:rPr>
        <w:t>, 1994 CanLII 5843 (C.A.), p. 10 (reasons of Proulx, J.A.).</w:t>
      </w:r>
    </w:p>
  </w:footnote>
  <w:footnote w:id="22">
    <w:p w14:paraId="37B760AC" w14:textId="0F1B1D49" w:rsidR="008A2CE7" w:rsidRPr="00C7759B" w:rsidRDefault="00B409EE" w:rsidP="008A2CE7">
      <w:pPr>
        <w:pStyle w:val="Notedebasdepage"/>
        <w:rPr>
          <w:lang w:val="en-CA"/>
        </w:rPr>
      </w:pPr>
      <w:r w:rsidRPr="00C7759B">
        <w:rPr>
          <w:rStyle w:val="Appelnotedebasdep"/>
          <w:lang w:val="en-CA"/>
        </w:rPr>
        <w:footnoteRef/>
      </w:r>
      <w:r w:rsidR="00C7759B">
        <w:rPr>
          <w:lang w:val="en-CA"/>
        </w:rPr>
        <w:t xml:space="preserve"> </w:t>
      </w:r>
      <w:r w:rsidRPr="00C7759B">
        <w:rPr>
          <w:lang w:val="en-CA"/>
        </w:rPr>
        <w:tab/>
      </w:r>
      <w:r w:rsidRPr="00C7759B">
        <w:rPr>
          <w:i/>
          <w:iCs/>
          <w:lang w:val="en-CA"/>
        </w:rPr>
        <w:t>R. v. Iturriaga</w:t>
      </w:r>
      <w:r w:rsidRPr="00C7759B">
        <w:rPr>
          <w:lang w:val="en-CA"/>
        </w:rPr>
        <w:t>, 1993 CanLII 2517 (BC CA), para. 9.</w:t>
      </w:r>
    </w:p>
  </w:footnote>
  <w:footnote w:id="23">
    <w:p w14:paraId="110478C2" w14:textId="0603708E" w:rsidR="002C68BE" w:rsidRPr="00C7759B" w:rsidRDefault="00B409EE" w:rsidP="002C68BE">
      <w:pPr>
        <w:pStyle w:val="Notedebasdepage"/>
        <w:rPr>
          <w:lang w:val="en-CA"/>
        </w:rPr>
      </w:pPr>
      <w:r w:rsidRPr="00C7759B">
        <w:rPr>
          <w:rStyle w:val="Appelnotedebasdep"/>
          <w:lang w:val="en-CA"/>
        </w:rPr>
        <w:footnoteRef/>
      </w:r>
      <w:r w:rsidRPr="00C7759B">
        <w:rPr>
          <w:lang w:val="en-CA"/>
        </w:rPr>
        <w:t xml:space="preserve"> </w:t>
      </w:r>
      <w:r w:rsidRPr="00C7759B">
        <w:rPr>
          <w:lang w:val="en-CA"/>
        </w:rPr>
        <w:tab/>
      </w:r>
      <w:r w:rsidRPr="00C7759B">
        <w:rPr>
          <w:i/>
          <w:iCs/>
          <w:lang w:val="en-CA"/>
        </w:rPr>
        <w:t>R. v. Warner</w:t>
      </w:r>
      <w:r w:rsidRPr="00C7759B">
        <w:rPr>
          <w:lang w:val="en-CA"/>
        </w:rPr>
        <w:t xml:space="preserve"> (1994), 94 C.C.C. (3d) 540 (ON CA), p. 549; Martin Vauclair and Tristan Desjardins, </w:t>
      </w:r>
      <w:r w:rsidRPr="00C7759B">
        <w:rPr>
          <w:i/>
          <w:iCs/>
          <w:lang w:val="en-CA"/>
        </w:rPr>
        <w:t>Béliveau</w:t>
      </w:r>
      <w:r w:rsidRPr="00C7759B">
        <w:rPr>
          <w:rFonts w:ascii="Cambria Math" w:hAnsi="Cambria Math" w:cs="Cambria Math"/>
          <w:i/>
          <w:iCs/>
          <w:lang w:val="en-CA"/>
        </w:rPr>
        <w:t>‑</w:t>
      </w:r>
      <w:r w:rsidRPr="00C7759B">
        <w:rPr>
          <w:i/>
          <w:iCs/>
          <w:lang w:val="en-CA"/>
        </w:rPr>
        <w:t>Vauclair : Traité général de preuve et de procédure pénales</w:t>
      </w:r>
      <w:r w:rsidRPr="00C7759B">
        <w:rPr>
          <w:lang w:val="en-CA"/>
        </w:rPr>
        <w:t xml:space="preserve">, 28th ed., Montreal, Yvon Blais, 2021, para. 44.49; Sidney N. Lederman, Alan W. Bryant and Michelle K. Fuerst, </w:t>
      </w:r>
      <w:r w:rsidRPr="00C7759B">
        <w:rPr>
          <w:i/>
          <w:iCs/>
          <w:lang w:val="en-CA"/>
        </w:rPr>
        <w:t>Sopinka, Lederman, Bryant – The Law of Evidence in Canada</w:t>
      </w:r>
      <w:r w:rsidRPr="00C7759B">
        <w:rPr>
          <w:lang w:val="en-CA"/>
        </w:rPr>
        <w:t>, 5th ed., Toronto, LexiNexis, 2018, no 6.463-6.468.</w:t>
      </w:r>
    </w:p>
  </w:footnote>
  <w:footnote w:id="24">
    <w:p w14:paraId="73996EE2" w14:textId="77777777" w:rsidR="002C68BE" w:rsidRPr="00C7759B" w:rsidRDefault="00B409EE" w:rsidP="002C68BE">
      <w:pPr>
        <w:pStyle w:val="Notedebasdepage"/>
        <w:rPr>
          <w:lang w:val="en-CA"/>
        </w:rPr>
      </w:pPr>
      <w:r w:rsidRPr="00C7759B">
        <w:rPr>
          <w:rStyle w:val="Appelnotedebasdep"/>
          <w:lang w:val="en-CA"/>
        </w:rPr>
        <w:footnoteRef/>
      </w:r>
      <w:r w:rsidRPr="00C7759B">
        <w:rPr>
          <w:lang w:val="en-CA"/>
        </w:rPr>
        <w:t xml:space="preserve"> </w:t>
      </w:r>
      <w:r w:rsidRPr="00C7759B">
        <w:rPr>
          <w:lang w:val="en-CA"/>
        </w:rPr>
        <w:tab/>
      </w:r>
      <w:r w:rsidRPr="00C7759B">
        <w:rPr>
          <w:i/>
          <w:iCs/>
          <w:lang w:val="en-CA"/>
        </w:rPr>
        <w:t>R.</w:t>
      </w:r>
      <w:r w:rsidRPr="00C7759B">
        <w:rPr>
          <w:lang w:val="en-CA"/>
        </w:rPr>
        <w:t xml:space="preserve"> v</w:t>
      </w:r>
      <w:r w:rsidRPr="00C7759B">
        <w:rPr>
          <w:i/>
          <w:iCs/>
          <w:lang w:val="en-CA"/>
        </w:rPr>
        <w:t>.</w:t>
      </w:r>
      <w:r w:rsidRPr="00C7759B">
        <w:rPr>
          <w:lang w:val="en-CA"/>
        </w:rPr>
        <w:t xml:space="preserve"> </w:t>
      </w:r>
      <w:r w:rsidRPr="00C7759B">
        <w:rPr>
          <w:i/>
          <w:iCs/>
          <w:lang w:val="en-CA"/>
        </w:rPr>
        <w:t>Villaroman</w:t>
      </w:r>
      <w:r w:rsidRPr="00C7759B">
        <w:rPr>
          <w:lang w:val="en-CA"/>
        </w:rPr>
        <w:t>, 2016 SCC 33, para. 36.</w:t>
      </w:r>
    </w:p>
  </w:footnote>
  <w:footnote w:id="25">
    <w:p w14:paraId="603FCE15" w14:textId="77777777" w:rsidR="002C68BE" w:rsidRPr="00C7759B" w:rsidRDefault="00B409EE" w:rsidP="002C68BE">
      <w:pPr>
        <w:pStyle w:val="Notedebasdepage"/>
        <w:rPr>
          <w:lang w:val="en-CA"/>
        </w:rPr>
      </w:pPr>
      <w:r w:rsidRPr="00C7759B">
        <w:rPr>
          <w:rStyle w:val="Appelnotedebasdep"/>
          <w:lang w:val="en-CA"/>
        </w:rPr>
        <w:footnoteRef/>
      </w:r>
      <w:r w:rsidRPr="00C7759B">
        <w:rPr>
          <w:lang w:val="en-CA"/>
        </w:rPr>
        <w:t xml:space="preserve"> </w:t>
      </w:r>
      <w:r w:rsidRPr="00C7759B">
        <w:rPr>
          <w:lang w:val="en-CA"/>
        </w:rPr>
        <w:tab/>
      </w:r>
      <w:r w:rsidRPr="00C7759B">
        <w:rPr>
          <w:i/>
          <w:iCs/>
          <w:lang w:val="en-CA"/>
        </w:rPr>
        <w:t xml:space="preserve">Id., </w:t>
      </w:r>
      <w:r w:rsidRPr="00C7759B">
        <w:rPr>
          <w:lang w:val="en-CA"/>
        </w:rPr>
        <w:t xml:space="preserve">para. 71; </w:t>
      </w:r>
      <w:r w:rsidRPr="00C7759B">
        <w:rPr>
          <w:i/>
          <w:iCs/>
          <w:lang w:val="en-CA"/>
        </w:rPr>
        <w:t>Domond</w:t>
      </w:r>
      <w:r w:rsidRPr="00C7759B">
        <w:rPr>
          <w:lang w:val="en-CA"/>
        </w:rPr>
        <w:t xml:space="preserve"> </w:t>
      </w:r>
      <w:r w:rsidRPr="00C7759B">
        <w:rPr>
          <w:i/>
          <w:iCs/>
          <w:lang w:val="en-CA"/>
        </w:rPr>
        <w:t>c.</w:t>
      </w:r>
      <w:r w:rsidRPr="00C7759B">
        <w:rPr>
          <w:lang w:val="en-CA"/>
        </w:rPr>
        <w:t xml:space="preserve"> </w:t>
      </w:r>
      <w:r w:rsidRPr="00C7759B">
        <w:rPr>
          <w:i/>
          <w:iCs/>
          <w:lang w:val="en-CA"/>
        </w:rPr>
        <w:t>R.</w:t>
      </w:r>
      <w:r w:rsidRPr="00C7759B">
        <w:rPr>
          <w:lang w:val="en-CA"/>
        </w:rPr>
        <w:t xml:space="preserve">, 2021 QCCA 412, para. 15; </w:t>
      </w:r>
      <w:r w:rsidRPr="00C7759B">
        <w:rPr>
          <w:i/>
          <w:iCs/>
          <w:lang w:val="en-CA"/>
        </w:rPr>
        <w:t>R. v. Robinson</w:t>
      </w:r>
      <w:r w:rsidRPr="00C7759B">
        <w:rPr>
          <w:lang w:val="en-CA"/>
        </w:rPr>
        <w:t xml:space="preserve">, 2017 BCCA 6, para. 38, appeal dismissed 2017 SCC 52; </w:t>
      </w:r>
      <w:r w:rsidRPr="00C7759B">
        <w:rPr>
          <w:i/>
          <w:iCs/>
          <w:lang w:val="en-CA"/>
        </w:rPr>
        <w:t>R v. S.B.1</w:t>
      </w:r>
      <w:r w:rsidRPr="00C7759B">
        <w:rPr>
          <w:lang w:val="en-CA"/>
        </w:rPr>
        <w:t xml:space="preserve">, 2018 ONCA 807, para. 139; </w:t>
      </w:r>
      <w:r w:rsidRPr="00C7759B">
        <w:rPr>
          <w:i/>
          <w:iCs/>
          <w:lang w:val="en-CA"/>
        </w:rPr>
        <w:t>R. v. Loor</w:t>
      </w:r>
      <w:r w:rsidRPr="00C7759B">
        <w:rPr>
          <w:lang w:val="en-CA"/>
        </w:rPr>
        <w:t xml:space="preserve">, 2017 ONCA 696, para. 22; </w:t>
      </w:r>
      <w:r w:rsidRPr="00C7759B">
        <w:rPr>
          <w:i/>
          <w:iCs/>
          <w:lang w:val="en-CA"/>
        </w:rPr>
        <w:t>R. v. Cabrera</w:t>
      </w:r>
      <w:r w:rsidRPr="00C7759B">
        <w:rPr>
          <w:lang w:val="en-CA"/>
        </w:rPr>
        <w:t>, 2019 ABCA 184, para. 169, appeal dismissed 2019 SCC 56.</w:t>
      </w:r>
    </w:p>
  </w:footnote>
  <w:footnote w:id="26">
    <w:p w14:paraId="0AD1F0BF" w14:textId="561A5ED1" w:rsidR="002C68BE" w:rsidRPr="00C7759B" w:rsidRDefault="00B409EE" w:rsidP="002C68BE">
      <w:pPr>
        <w:pStyle w:val="Notedebasdepage"/>
        <w:rPr>
          <w:lang w:val="en-CA"/>
        </w:rPr>
      </w:pPr>
      <w:r w:rsidRPr="00C7759B">
        <w:rPr>
          <w:rStyle w:val="Appelnotedebasdep"/>
          <w:lang w:val="en-CA"/>
        </w:rPr>
        <w:footnoteRef/>
      </w:r>
      <w:r w:rsidRPr="00C7759B">
        <w:rPr>
          <w:lang w:val="en-CA"/>
        </w:rPr>
        <w:t xml:space="preserve"> </w:t>
      </w:r>
      <w:r w:rsidRPr="00C7759B">
        <w:rPr>
          <w:lang w:val="en-CA"/>
        </w:rPr>
        <w:tab/>
      </w:r>
      <w:r w:rsidRPr="00C7759B">
        <w:rPr>
          <w:i/>
          <w:iCs/>
          <w:lang w:val="en-CA"/>
        </w:rPr>
        <w:t>Villaroman</w:t>
      </w:r>
      <w:r w:rsidRPr="00C7759B">
        <w:rPr>
          <w:lang w:val="en-CA"/>
        </w:rPr>
        <w:t xml:space="preserve">, </w:t>
      </w:r>
      <w:r w:rsidRPr="00C7759B">
        <w:rPr>
          <w:i/>
          <w:iCs/>
          <w:lang w:val="en-CA"/>
        </w:rPr>
        <w:t>supra</w:t>
      </w:r>
      <w:r w:rsidRPr="00C7759B">
        <w:rPr>
          <w:lang w:val="en-CA"/>
        </w:rPr>
        <w:t xml:space="preserve">, note 24, para. 36, referring to </w:t>
      </w:r>
      <w:r w:rsidRPr="00C7759B">
        <w:rPr>
          <w:i/>
          <w:iCs/>
          <w:lang w:val="en-CA"/>
        </w:rPr>
        <w:t>R. v. Lifchus</w:t>
      </w:r>
      <w:r w:rsidRPr="00C7759B">
        <w:rPr>
          <w:lang w:val="en-CA"/>
        </w:rPr>
        <w:t xml:space="preserve">, [1997] 3 S.C.R. 320, para. 30; </w:t>
      </w:r>
      <w:r w:rsidRPr="00C7759B">
        <w:rPr>
          <w:i/>
          <w:iCs/>
          <w:lang w:val="en-CA"/>
        </w:rPr>
        <w:t>Grenier c. R.</w:t>
      </w:r>
      <w:r w:rsidRPr="00C7759B">
        <w:rPr>
          <w:lang w:val="en-CA"/>
        </w:rPr>
        <w:t xml:space="preserve">, 2021 QCCA 867, para. 7; </w:t>
      </w:r>
      <w:r w:rsidRPr="00C7759B">
        <w:rPr>
          <w:i/>
          <w:iCs/>
          <w:lang w:val="en-CA"/>
        </w:rPr>
        <w:t>Papillon c. R.</w:t>
      </w:r>
      <w:r w:rsidRPr="00C7759B">
        <w:rPr>
          <w:lang w:val="en-CA"/>
        </w:rPr>
        <w:t>, 2021 QCCA 296, paras. 68-69.</w:t>
      </w:r>
    </w:p>
  </w:footnote>
  <w:footnote w:id="27">
    <w:p w14:paraId="330D7F31" w14:textId="77777777" w:rsidR="002C68BE" w:rsidRPr="00C7759B" w:rsidRDefault="00B409EE" w:rsidP="002C68BE">
      <w:pPr>
        <w:pStyle w:val="Notedebasdepage"/>
        <w:rPr>
          <w:lang w:val="en-CA"/>
        </w:rPr>
      </w:pPr>
      <w:r w:rsidRPr="00C7759B">
        <w:rPr>
          <w:rStyle w:val="Appelnotedebasdep"/>
          <w:lang w:val="en-CA"/>
        </w:rPr>
        <w:footnoteRef/>
      </w:r>
      <w:r w:rsidRPr="00C7759B">
        <w:rPr>
          <w:lang w:val="en-CA"/>
        </w:rPr>
        <w:t xml:space="preserve"> </w:t>
      </w:r>
      <w:r w:rsidRPr="00C7759B">
        <w:rPr>
          <w:lang w:val="en-CA"/>
        </w:rPr>
        <w:tab/>
      </w:r>
      <w:r w:rsidRPr="00C7759B">
        <w:rPr>
          <w:i/>
          <w:iCs/>
          <w:lang w:val="en-CA"/>
        </w:rPr>
        <w:t>Dubourg</w:t>
      </w:r>
      <w:r w:rsidRPr="00C7759B">
        <w:rPr>
          <w:lang w:val="en-CA"/>
        </w:rPr>
        <w:t xml:space="preserve"> </w:t>
      </w:r>
      <w:r w:rsidRPr="00C7759B">
        <w:rPr>
          <w:i/>
          <w:iCs/>
          <w:lang w:val="en-CA"/>
        </w:rPr>
        <w:t>c.</w:t>
      </w:r>
      <w:r w:rsidRPr="00C7759B">
        <w:rPr>
          <w:lang w:val="en-CA"/>
        </w:rPr>
        <w:t xml:space="preserve"> </w:t>
      </w:r>
      <w:r w:rsidRPr="00C7759B">
        <w:rPr>
          <w:i/>
          <w:iCs/>
          <w:lang w:val="en-CA"/>
        </w:rPr>
        <w:t>R.</w:t>
      </w:r>
      <w:r w:rsidRPr="00C7759B">
        <w:rPr>
          <w:lang w:val="en-CA"/>
        </w:rPr>
        <w:t>, 2018 QCCA 1999, para. 20.</w:t>
      </w:r>
    </w:p>
  </w:footnote>
  <w:footnote w:id="28">
    <w:p w14:paraId="27D5504C" w14:textId="77777777" w:rsidR="002C68BE" w:rsidRPr="00C7759B" w:rsidRDefault="00B409EE" w:rsidP="002C68BE">
      <w:pPr>
        <w:pStyle w:val="Notedebasdepage"/>
        <w:rPr>
          <w:lang w:val="en-CA"/>
        </w:rPr>
      </w:pPr>
      <w:r w:rsidRPr="00C7759B">
        <w:rPr>
          <w:rStyle w:val="Appelnotedebasdep"/>
          <w:lang w:val="en-CA"/>
        </w:rPr>
        <w:footnoteRef/>
      </w:r>
      <w:r w:rsidRPr="00C7759B">
        <w:rPr>
          <w:lang w:val="en-CA"/>
        </w:rPr>
        <w:t xml:space="preserve"> </w:t>
      </w:r>
      <w:r w:rsidRPr="00C7759B">
        <w:rPr>
          <w:lang w:val="en-CA"/>
        </w:rPr>
        <w:tab/>
      </w:r>
      <w:r w:rsidRPr="00C7759B">
        <w:rPr>
          <w:i/>
          <w:iCs/>
          <w:lang w:val="en-CA"/>
        </w:rPr>
        <w:t>R. v. Delorme</w:t>
      </w:r>
      <w:r w:rsidRPr="00C7759B">
        <w:rPr>
          <w:lang w:val="en-CA"/>
        </w:rPr>
        <w:t>, 2021 ABCA 424, para. 66.</w:t>
      </w:r>
    </w:p>
  </w:footnote>
  <w:footnote w:id="29">
    <w:p w14:paraId="3D7630C0" w14:textId="77777777" w:rsidR="002C68BE" w:rsidRPr="000813B9" w:rsidRDefault="00B409EE" w:rsidP="002C68BE">
      <w:pPr>
        <w:pStyle w:val="Notedebasdepage"/>
      </w:pPr>
      <w:r w:rsidRPr="00C7759B">
        <w:rPr>
          <w:rStyle w:val="Appelnotedebasdep"/>
          <w:lang w:val="en-CA"/>
        </w:rPr>
        <w:footnoteRef/>
      </w:r>
      <w:r w:rsidRPr="00C7759B">
        <w:rPr>
          <w:lang w:val="en-CA"/>
        </w:rPr>
        <w:t xml:space="preserve"> </w:t>
      </w:r>
      <w:r w:rsidRPr="00C7759B">
        <w:rPr>
          <w:lang w:val="en-CA"/>
        </w:rPr>
        <w:tab/>
      </w:r>
      <w:r w:rsidRPr="00C7759B">
        <w:rPr>
          <w:i/>
          <w:iCs/>
          <w:lang w:val="en-CA"/>
        </w:rPr>
        <w:t>Villaroman</w:t>
      </w:r>
      <w:r w:rsidRPr="00C7759B">
        <w:rPr>
          <w:lang w:val="en-CA"/>
        </w:rPr>
        <w:t xml:space="preserve">, </w:t>
      </w:r>
      <w:r w:rsidRPr="00C7759B">
        <w:rPr>
          <w:i/>
          <w:iCs/>
          <w:lang w:val="en-CA"/>
        </w:rPr>
        <w:t xml:space="preserve">supra, </w:t>
      </w:r>
      <w:r w:rsidRPr="00C7759B">
        <w:rPr>
          <w:lang w:val="en-CA"/>
        </w:rPr>
        <w:t>note 24, para. 71.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7027" w14:textId="1D960DF5" w:rsidR="008A2CE7" w:rsidRDefault="00B409EE" w:rsidP="00874167">
    <w:pPr>
      <w:tabs>
        <w:tab w:val="center" w:pos="4709"/>
        <w:tab w:val="right" w:pos="9360"/>
      </w:tabs>
      <w:spacing w:line="360" w:lineRule="auto"/>
      <w:ind w:right="524"/>
    </w:pPr>
    <w:r>
      <w:rPr>
        <w:lang w:val="en-CA"/>
      </w:rPr>
      <w:t xml:space="preserve">500-10-006907-180 </w:t>
    </w:r>
    <w:r>
      <w:rPr>
        <w:lang w:val="en-CA"/>
      </w:rPr>
      <w:tab/>
    </w:r>
    <w:r>
      <w:rPr>
        <w:lang w:val="en-CA"/>
      </w:rPr>
      <w:tab/>
      <w:t xml:space="preserve">PAGE: </w:t>
    </w:r>
    <w:r>
      <w:fldChar w:fldCharType="begin"/>
    </w:r>
    <w:r>
      <w:instrText xml:space="preserve"> PAGE </w:instrText>
    </w:r>
    <w:r>
      <w:fldChar w:fldCharType="separate"/>
    </w:r>
    <w:r w:rsidR="00672D63">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1C6F5" w14:textId="77777777" w:rsidR="003406B8" w:rsidRDefault="003406B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CC23E" w14:textId="6E576ACD" w:rsidR="003406B8" w:rsidRDefault="00B409EE" w:rsidP="00082F60">
    <w:pPr>
      <w:tabs>
        <w:tab w:val="center" w:pos="4709"/>
        <w:tab w:val="right" w:pos="9360"/>
      </w:tabs>
      <w:spacing w:line="360" w:lineRule="auto"/>
      <w:ind w:right="524"/>
    </w:pPr>
    <w:r>
      <w:rPr>
        <w:lang w:val="en-CA"/>
      </w:rPr>
      <w:t xml:space="preserve">500-10-006907-180 </w:t>
    </w:r>
    <w:r>
      <w:rPr>
        <w:lang w:val="en-CA"/>
      </w:rPr>
      <w:tab/>
    </w:r>
    <w:r>
      <w:rPr>
        <w:lang w:val="en-CA"/>
      </w:rPr>
      <w:tab/>
      <w:t xml:space="preserve">PAGE: </w:t>
    </w:r>
    <w:r>
      <w:fldChar w:fldCharType="begin"/>
    </w:r>
    <w:r>
      <w:instrText xml:space="preserve"> PAGE </w:instrText>
    </w:r>
    <w:r>
      <w:fldChar w:fldCharType="separate"/>
    </w:r>
    <w:r w:rsidR="00322CDB">
      <w:rPr>
        <w:noProof/>
      </w:rPr>
      <w:t>10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E659" w14:textId="77777777" w:rsidR="003406B8" w:rsidRDefault="003406B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6F96" w14:textId="3F41AB7F" w:rsidR="007E33E4" w:rsidRDefault="00B409EE" w:rsidP="00DB2119">
    <w:pPr>
      <w:tabs>
        <w:tab w:val="center" w:pos="4709"/>
        <w:tab w:val="right" w:pos="9360"/>
      </w:tabs>
      <w:spacing w:line="360" w:lineRule="auto"/>
      <w:ind w:right="524"/>
    </w:pPr>
    <w:bookmarkStart w:id="20" w:name="EntDossier"/>
    <w:r>
      <w:rPr>
        <w:lang w:val="en-CA"/>
      </w:rPr>
      <w:t>500-10-006907-180</w:t>
    </w:r>
    <w:bookmarkEnd w:id="20"/>
    <w:r>
      <w:rPr>
        <w:lang w:val="en-CA"/>
      </w:rPr>
      <w:t xml:space="preserve"> </w:t>
    </w:r>
    <w:r>
      <w:rPr>
        <w:lang w:val="en-CA"/>
      </w:rPr>
      <w:tab/>
    </w:r>
    <w:r>
      <w:rPr>
        <w:lang w:val="en-CA"/>
      </w:rPr>
      <w:tab/>
      <w:t xml:space="preserve">PAGE: </w:t>
    </w:r>
    <w:r>
      <w:fldChar w:fldCharType="begin"/>
    </w:r>
    <w:r>
      <w:instrText xml:space="preserve"> PAGE </w:instrText>
    </w:r>
    <w:r>
      <w:fldChar w:fldCharType="separate"/>
    </w:r>
    <w:r w:rsidR="00322CDB">
      <w:rPr>
        <w:noProof/>
      </w:rPr>
      <w:t>12</w:t>
    </w:r>
    <w:r>
      <w:fldChar w:fldCharType="end"/>
    </w:r>
  </w:p>
  <w:p w14:paraId="3A969127" w14:textId="77777777" w:rsidR="007E33E4" w:rsidRDefault="007E33E4" w:rsidP="00DB2119">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BB52DE"/>
    <w:multiLevelType w:val="multilevel"/>
    <w:tmpl w:val="BCEA0580"/>
    <w:lvl w:ilvl="0">
      <w:start w:val="1"/>
      <w:numFmt w:val="decimal"/>
      <w:pStyle w:val="Paragraphe"/>
      <w:lvlText w:val="[%1]"/>
      <w:lvlJc w:val="left"/>
      <w:pPr>
        <w:tabs>
          <w:tab w:val="num" w:pos="720"/>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B467912"/>
    <w:multiLevelType w:val="hybridMultilevel"/>
    <w:tmpl w:val="8A06A32A"/>
    <w:lvl w:ilvl="0" w:tplc="D9260B48">
      <w:start w:val="1"/>
      <w:numFmt w:val="upperRoman"/>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3486406A" w:tentative="1">
      <w:start w:val="1"/>
      <w:numFmt w:val="lowerLetter"/>
      <w:lvlText w:val="%2."/>
      <w:lvlJc w:val="left"/>
      <w:pPr>
        <w:ind w:left="1440" w:hanging="360"/>
      </w:pPr>
    </w:lvl>
    <w:lvl w:ilvl="2" w:tplc="9C20DF66" w:tentative="1">
      <w:start w:val="1"/>
      <w:numFmt w:val="lowerRoman"/>
      <w:lvlText w:val="%3."/>
      <w:lvlJc w:val="right"/>
      <w:pPr>
        <w:ind w:left="2160" w:hanging="180"/>
      </w:pPr>
    </w:lvl>
    <w:lvl w:ilvl="3" w:tplc="041AC434" w:tentative="1">
      <w:start w:val="1"/>
      <w:numFmt w:val="decimal"/>
      <w:lvlText w:val="%4."/>
      <w:lvlJc w:val="left"/>
      <w:pPr>
        <w:ind w:left="2880" w:hanging="360"/>
      </w:pPr>
    </w:lvl>
    <w:lvl w:ilvl="4" w:tplc="7DC0C618" w:tentative="1">
      <w:start w:val="1"/>
      <w:numFmt w:val="lowerLetter"/>
      <w:lvlText w:val="%5."/>
      <w:lvlJc w:val="left"/>
      <w:pPr>
        <w:ind w:left="3600" w:hanging="360"/>
      </w:pPr>
    </w:lvl>
    <w:lvl w:ilvl="5" w:tplc="2BBC29FC" w:tentative="1">
      <w:start w:val="1"/>
      <w:numFmt w:val="lowerRoman"/>
      <w:lvlText w:val="%6."/>
      <w:lvlJc w:val="right"/>
      <w:pPr>
        <w:ind w:left="4320" w:hanging="180"/>
      </w:pPr>
    </w:lvl>
    <w:lvl w:ilvl="6" w:tplc="17C0761E" w:tentative="1">
      <w:start w:val="1"/>
      <w:numFmt w:val="decimal"/>
      <w:lvlText w:val="%7."/>
      <w:lvlJc w:val="left"/>
      <w:pPr>
        <w:ind w:left="5040" w:hanging="360"/>
      </w:pPr>
    </w:lvl>
    <w:lvl w:ilvl="7" w:tplc="FB4E721E" w:tentative="1">
      <w:start w:val="1"/>
      <w:numFmt w:val="lowerLetter"/>
      <w:lvlText w:val="%8."/>
      <w:lvlJc w:val="left"/>
      <w:pPr>
        <w:ind w:left="5760" w:hanging="360"/>
      </w:pPr>
    </w:lvl>
    <w:lvl w:ilvl="8" w:tplc="8000087C"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2"/>
  </w:num>
  <w:num w:numId="16">
    <w:abstractNumId w:val="12"/>
  </w:num>
  <w:num w:numId="17">
    <w:abstractNumId w:val="11"/>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26"/>
    <w:rsid w:val="000131E1"/>
    <w:rsid w:val="000205E8"/>
    <w:rsid w:val="0004394C"/>
    <w:rsid w:val="00053691"/>
    <w:rsid w:val="000813B9"/>
    <w:rsid w:val="00082F60"/>
    <w:rsid w:val="000A7516"/>
    <w:rsid w:val="000B42AF"/>
    <w:rsid w:val="000E6D80"/>
    <w:rsid w:val="00107B23"/>
    <w:rsid w:val="00110B53"/>
    <w:rsid w:val="00111C2C"/>
    <w:rsid w:val="00112321"/>
    <w:rsid w:val="00117914"/>
    <w:rsid w:val="0013028C"/>
    <w:rsid w:val="0015610F"/>
    <w:rsid w:val="00160B31"/>
    <w:rsid w:val="00174ADF"/>
    <w:rsid w:val="00181F56"/>
    <w:rsid w:val="00190FA7"/>
    <w:rsid w:val="001972F2"/>
    <w:rsid w:val="001C3013"/>
    <w:rsid w:val="001D3421"/>
    <w:rsid w:val="001F4336"/>
    <w:rsid w:val="001F7921"/>
    <w:rsid w:val="00205DC4"/>
    <w:rsid w:val="0021548E"/>
    <w:rsid w:val="002205DD"/>
    <w:rsid w:val="00220FCF"/>
    <w:rsid w:val="002273F5"/>
    <w:rsid w:val="002B4A07"/>
    <w:rsid w:val="002C4107"/>
    <w:rsid w:val="002C68BE"/>
    <w:rsid w:val="002E1F0E"/>
    <w:rsid w:val="002E229C"/>
    <w:rsid w:val="002E51F1"/>
    <w:rsid w:val="002F1350"/>
    <w:rsid w:val="002F4607"/>
    <w:rsid w:val="002F6136"/>
    <w:rsid w:val="003125B5"/>
    <w:rsid w:val="00322CDB"/>
    <w:rsid w:val="00322DE0"/>
    <w:rsid w:val="0032363D"/>
    <w:rsid w:val="0033190E"/>
    <w:rsid w:val="003406B8"/>
    <w:rsid w:val="003412B3"/>
    <w:rsid w:val="00361325"/>
    <w:rsid w:val="00373D29"/>
    <w:rsid w:val="00374888"/>
    <w:rsid w:val="00374E40"/>
    <w:rsid w:val="00375984"/>
    <w:rsid w:val="003826E1"/>
    <w:rsid w:val="003B2783"/>
    <w:rsid w:val="003C1C5D"/>
    <w:rsid w:val="003D487D"/>
    <w:rsid w:val="003E3239"/>
    <w:rsid w:val="003E3E3C"/>
    <w:rsid w:val="003F6009"/>
    <w:rsid w:val="003F6615"/>
    <w:rsid w:val="00404996"/>
    <w:rsid w:val="004168DD"/>
    <w:rsid w:val="00423DF1"/>
    <w:rsid w:val="00430C58"/>
    <w:rsid w:val="004331C4"/>
    <w:rsid w:val="0043564D"/>
    <w:rsid w:val="00441C25"/>
    <w:rsid w:val="00446452"/>
    <w:rsid w:val="00447E21"/>
    <w:rsid w:val="00462067"/>
    <w:rsid w:val="00464E85"/>
    <w:rsid w:val="00472DC8"/>
    <w:rsid w:val="004802EC"/>
    <w:rsid w:val="004A29F1"/>
    <w:rsid w:val="004A6641"/>
    <w:rsid w:val="004B1E94"/>
    <w:rsid w:val="004B33FF"/>
    <w:rsid w:val="004D2F69"/>
    <w:rsid w:val="004E4FBA"/>
    <w:rsid w:val="004F1B08"/>
    <w:rsid w:val="005063B6"/>
    <w:rsid w:val="005131F1"/>
    <w:rsid w:val="0051484F"/>
    <w:rsid w:val="00516B3E"/>
    <w:rsid w:val="00522DCD"/>
    <w:rsid w:val="005262C9"/>
    <w:rsid w:val="00526AB1"/>
    <w:rsid w:val="00531D70"/>
    <w:rsid w:val="00535286"/>
    <w:rsid w:val="00544FF0"/>
    <w:rsid w:val="00557B5E"/>
    <w:rsid w:val="00566BF6"/>
    <w:rsid w:val="0057315F"/>
    <w:rsid w:val="00577C4F"/>
    <w:rsid w:val="00583434"/>
    <w:rsid w:val="0058349F"/>
    <w:rsid w:val="005A78BF"/>
    <w:rsid w:val="005B6B4C"/>
    <w:rsid w:val="005C7516"/>
    <w:rsid w:val="005D1522"/>
    <w:rsid w:val="005F07CF"/>
    <w:rsid w:val="005F5F5F"/>
    <w:rsid w:val="00624770"/>
    <w:rsid w:val="0064250B"/>
    <w:rsid w:val="00672D63"/>
    <w:rsid w:val="006826AA"/>
    <w:rsid w:val="0068356A"/>
    <w:rsid w:val="00685567"/>
    <w:rsid w:val="00697CF8"/>
    <w:rsid w:val="006A0DB0"/>
    <w:rsid w:val="006A6629"/>
    <w:rsid w:val="006C14D6"/>
    <w:rsid w:val="0070052C"/>
    <w:rsid w:val="007231E0"/>
    <w:rsid w:val="0072639E"/>
    <w:rsid w:val="00736277"/>
    <w:rsid w:val="00740A17"/>
    <w:rsid w:val="007462D6"/>
    <w:rsid w:val="0074738B"/>
    <w:rsid w:val="0076062E"/>
    <w:rsid w:val="00763741"/>
    <w:rsid w:val="0077721F"/>
    <w:rsid w:val="0078330E"/>
    <w:rsid w:val="007953F3"/>
    <w:rsid w:val="007A0115"/>
    <w:rsid w:val="007A7803"/>
    <w:rsid w:val="007B061E"/>
    <w:rsid w:val="007B48D5"/>
    <w:rsid w:val="007D087C"/>
    <w:rsid w:val="007E0400"/>
    <w:rsid w:val="007E33E4"/>
    <w:rsid w:val="007E4CC9"/>
    <w:rsid w:val="007F0F61"/>
    <w:rsid w:val="00800D23"/>
    <w:rsid w:val="00816273"/>
    <w:rsid w:val="00825666"/>
    <w:rsid w:val="0082717B"/>
    <w:rsid w:val="00827B04"/>
    <w:rsid w:val="0083032E"/>
    <w:rsid w:val="00841907"/>
    <w:rsid w:val="00860168"/>
    <w:rsid w:val="0086036A"/>
    <w:rsid w:val="008653A3"/>
    <w:rsid w:val="008657A2"/>
    <w:rsid w:val="00866645"/>
    <w:rsid w:val="00874167"/>
    <w:rsid w:val="00882210"/>
    <w:rsid w:val="008830A6"/>
    <w:rsid w:val="008913B5"/>
    <w:rsid w:val="008A2CE7"/>
    <w:rsid w:val="008A6185"/>
    <w:rsid w:val="008B5050"/>
    <w:rsid w:val="008C1FE9"/>
    <w:rsid w:val="008C7DCE"/>
    <w:rsid w:val="008D18FC"/>
    <w:rsid w:val="008D398B"/>
    <w:rsid w:val="008D7E49"/>
    <w:rsid w:val="008E1B7C"/>
    <w:rsid w:val="008F364A"/>
    <w:rsid w:val="008F3F53"/>
    <w:rsid w:val="008F4051"/>
    <w:rsid w:val="00902E9D"/>
    <w:rsid w:val="00906CD3"/>
    <w:rsid w:val="00913E03"/>
    <w:rsid w:val="009229E9"/>
    <w:rsid w:val="00926953"/>
    <w:rsid w:val="00932703"/>
    <w:rsid w:val="00936469"/>
    <w:rsid w:val="009400B7"/>
    <w:rsid w:val="00954DC2"/>
    <w:rsid w:val="00957B92"/>
    <w:rsid w:val="00960684"/>
    <w:rsid w:val="00970966"/>
    <w:rsid w:val="00974442"/>
    <w:rsid w:val="00985926"/>
    <w:rsid w:val="009B370D"/>
    <w:rsid w:val="009D0417"/>
    <w:rsid w:val="009F1F69"/>
    <w:rsid w:val="00A03D47"/>
    <w:rsid w:val="00A155CA"/>
    <w:rsid w:val="00A23BF4"/>
    <w:rsid w:val="00A2593B"/>
    <w:rsid w:val="00A34E05"/>
    <w:rsid w:val="00A373F9"/>
    <w:rsid w:val="00A43D8B"/>
    <w:rsid w:val="00A454F1"/>
    <w:rsid w:val="00A543CC"/>
    <w:rsid w:val="00A75C75"/>
    <w:rsid w:val="00A93CFF"/>
    <w:rsid w:val="00A9415B"/>
    <w:rsid w:val="00A96CB2"/>
    <w:rsid w:val="00AB7DD2"/>
    <w:rsid w:val="00AC7271"/>
    <w:rsid w:val="00AF0C7C"/>
    <w:rsid w:val="00B01D86"/>
    <w:rsid w:val="00B07E4E"/>
    <w:rsid w:val="00B11FD1"/>
    <w:rsid w:val="00B13093"/>
    <w:rsid w:val="00B137E9"/>
    <w:rsid w:val="00B2052D"/>
    <w:rsid w:val="00B22C4A"/>
    <w:rsid w:val="00B30EA2"/>
    <w:rsid w:val="00B3376A"/>
    <w:rsid w:val="00B36ED3"/>
    <w:rsid w:val="00B409EE"/>
    <w:rsid w:val="00B513C9"/>
    <w:rsid w:val="00B56EF4"/>
    <w:rsid w:val="00B61F29"/>
    <w:rsid w:val="00B70485"/>
    <w:rsid w:val="00B82A13"/>
    <w:rsid w:val="00BD7A20"/>
    <w:rsid w:val="00BF6022"/>
    <w:rsid w:val="00C02AF8"/>
    <w:rsid w:val="00C17E01"/>
    <w:rsid w:val="00C31AC4"/>
    <w:rsid w:val="00C409BE"/>
    <w:rsid w:val="00C423CA"/>
    <w:rsid w:val="00C5101E"/>
    <w:rsid w:val="00C652ED"/>
    <w:rsid w:val="00C7759B"/>
    <w:rsid w:val="00C7793C"/>
    <w:rsid w:val="00C8631B"/>
    <w:rsid w:val="00C939A8"/>
    <w:rsid w:val="00C97145"/>
    <w:rsid w:val="00CC2683"/>
    <w:rsid w:val="00CC6A91"/>
    <w:rsid w:val="00CD4633"/>
    <w:rsid w:val="00D010FD"/>
    <w:rsid w:val="00D02812"/>
    <w:rsid w:val="00D20056"/>
    <w:rsid w:val="00D22FE9"/>
    <w:rsid w:val="00D542A4"/>
    <w:rsid w:val="00D64330"/>
    <w:rsid w:val="00D85957"/>
    <w:rsid w:val="00DB2119"/>
    <w:rsid w:val="00DC05BC"/>
    <w:rsid w:val="00DC3DD8"/>
    <w:rsid w:val="00DD236B"/>
    <w:rsid w:val="00DD3A24"/>
    <w:rsid w:val="00DF3516"/>
    <w:rsid w:val="00E03C07"/>
    <w:rsid w:val="00E11438"/>
    <w:rsid w:val="00E20E3C"/>
    <w:rsid w:val="00E36290"/>
    <w:rsid w:val="00E3784D"/>
    <w:rsid w:val="00E81E61"/>
    <w:rsid w:val="00E848B4"/>
    <w:rsid w:val="00E91417"/>
    <w:rsid w:val="00E94329"/>
    <w:rsid w:val="00EB1377"/>
    <w:rsid w:val="00EC1E33"/>
    <w:rsid w:val="00EC526C"/>
    <w:rsid w:val="00ED1254"/>
    <w:rsid w:val="00F04D06"/>
    <w:rsid w:val="00F07022"/>
    <w:rsid w:val="00F1119E"/>
    <w:rsid w:val="00F26274"/>
    <w:rsid w:val="00F26CDA"/>
    <w:rsid w:val="00F33E30"/>
    <w:rsid w:val="00F35A34"/>
    <w:rsid w:val="00F40882"/>
    <w:rsid w:val="00F43559"/>
    <w:rsid w:val="00F50DAB"/>
    <w:rsid w:val="00F55439"/>
    <w:rsid w:val="00F5789B"/>
    <w:rsid w:val="00F64C9E"/>
    <w:rsid w:val="00F75AAB"/>
    <w:rsid w:val="00F75C76"/>
    <w:rsid w:val="00FA47D5"/>
    <w:rsid w:val="00FC720B"/>
    <w:rsid w:val="00FD7F0D"/>
    <w:rsid w:val="00FE3FE9"/>
    <w:rsid w:val="00FE6A10"/>
    <w:rsid w:val="00FF7E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2F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pPr>
      <w:numPr>
        <w:numId w:val="18"/>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aliases w:val="Char,Char Char,Char Char Char,Char Char Char Char Char,FA Fu,Footnote Text Char Char Char Char,Footnote Text Char Char Char Char Char,Footnote ak,Footnote reference,Footnote text,Footnotes,Nota de rodapé,fn,ft,ft Char Ch,ft2"/>
    <w:basedOn w:val="Normal"/>
    <w:link w:val="NotedebasdepageCar"/>
    <w:uiPriority w:val="99"/>
    <w:qFormat/>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qFormat/>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aliases w:val="Char Char6 Char Char Char Char Char Char Char Char Char Char Char Char,Char6 Char Char Char Char Char Char Char Char Char Char Char Char Char,Footnote,Ref,de nota al pie,fr"/>
    <w:uiPriority w:val="99"/>
    <w:qFormat/>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customStyle="1" w:styleId="NotedebasdepageCar">
    <w:name w:val="Note de bas de page Car"/>
    <w:aliases w:val="Char Car,Char Char Car,Char Char Char Car,Char Char Char Char Char Car,FA Fu Car,Footnote Text Char Char Char Char Car,Footnote Text Char Char Char Char Char Car,Footnote ak Car,Footnote reference Car,Footnote text Car,fn Car"/>
    <w:link w:val="Notedebasdepage"/>
    <w:uiPriority w:val="99"/>
    <w:rsid w:val="002205DD"/>
    <w:rPr>
      <w:rFonts w:ascii="Arial" w:hAnsi="Arial"/>
      <w:lang w:eastAsia="fr-FR"/>
    </w:rPr>
  </w:style>
  <w:style w:type="character" w:styleId="Lienhypertexte">
    <w:name w:val="Hyperlink"/>
    <w:uiPriority w:val="99"/>
    <w:rsid w:val="008A2CE7"/>
    <w:rPr>
      <w:noProof w:val="0"/>
      <w:color w:val="0000FF"/>
      <w:u w:val="single"/>
      <w:lang w:val="fr-CA"/>
    </w:rPr>
  </w:style>
  <w:style w:type="character" w:customStyle="1" w:styleId="ParagrapheCar">
    <w:name w:val="Paragraphe Car"/>
    <w:link w:val="Paragraphe"/>
    <w:qFormat/>
    <w:rsid w:val="003406B8"/>
    <w:rPr>
      <w:rFonts w:ascii="Arial" w:hAnsi="Arial"/>
      <w:kern w:val="28"/>
      <w:sz w:val="24"/>
      <w:lang w:eastAsia="fr-FR"/>
    </w:rPr>
  </w:style>
  <w:style w:type="character" w:styleId="Marquedecommentaire">
    <w:name w:val="annotation reference"/>
    <w:basedOn w:val="Policepardfaut"/>
    <w:uiPriority w:val="99"/>
    <w:semiHidden/>
    <w:unhideWhenUsed/>
    <w:rsid w:val="00860168"/>
    <w:rPr>
      <w:sz w:val="16"/>
      <w:szCs w:val="16"/>
    </w:rPr>
  </w:style>
  <w:style w:type="paragraph" w:styleId="Commentaire">
    <w:name w:val="annotation text"/>
    <w:basedOn w:val="Normal"/>
    <w:link w:val="CommentaireCar"/>
    <w:uiPriority w:val="99"/>
    <w:semiHidden/>
    <w:unhideWhenUsed/>
    <w:rsid w:val="00860168"/>
    <w:pPr>
      <w:spacing w:line="240" w:lineRule="auto"/>
    </w:pPr>
    <w:rPr>
      <w:sz w:val="20"/>
    </w:rPr>
  </w:style>
  <w:style w:type="character" w:customStyle="1" w:styleId="CommentaireCar">
    <w:name w:val="Commentaire Car"/>
    <w:basedOn w:val="Policepardfaut"/>
    <w:link w:val="Commentaire"/>
    <w:uiPriority w:val="99"/>
    <w:semiHidden/>
    <w:rsid w:val="00860168"/>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860168"/>
    <w:rPr>
      <w:b/>
      <w:bCs/>
    </w:rPr>
  </w:style>
  <w:style w:type="character" w:customStyle="1" w:styleId="ObjetducommentaireCar">
    <w:name w:val="Objet du commentaire Car"/>
    <w:basedOn w:val="CommentaireCar"/>
    <w:link w:val="Objetducommentaire"/>
    <w:uiPriority w:val="99"/>
    <w:semiHidden/>
    <w:rsid w:val="00860168"/>
    <w:rPr>
      <w:rFonts w:ascii="Arial" w:hAnsi="Arial"/>
      <w:b/>
      <w:bCs/>
      <w:lang w:eastAsia="fr-FR"/>
    </w:rPr>
  </w:style>
  <w:style w:type="paragraph" w:styleId="Rvision">
    <w:name w:val="Revision"/>
    <w:hidden/>
    <w:uiPriority w:val="99"/>
    <w:semiHidden/>
    <w:rsid w:val="00860168"/>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EF146-1B56-4496-9001-61CD894A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3360</Words>
  <Characters>18482</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2023-02-21T18:12:00Z</dcterms:created>
  <dcterms:modified xsi:type="dcterms:W3CDTF">2023-02-21T18:12:00Z</dcterms:modified>
</cp:coreProperties>
</file>