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6968" w14:textId="0F3D464A" w:rsidR="00AE169B" w:rsidRPr="00632B6C" w:rsidRDefault="00AE169B">
      <w:pPr>
        <w:rPr>
          <w:rFonts w:cs="Arial"/>
          <w:lang w:val="en-CA"/>
        </w:rPr>
      </w:pPr>
      <w:bookmarkStart w:id="0" w:name="_GoBack"/>
      <w:bookmarkEnd w:id="0"/>
      <w:r w:rsidRPr="00632B6C">
        <w:rPr>
          <w:rFonts w:cs="Arial"/>
          <w:color w:val="000000"/>
          <w:lang w:val="en-CA"/>
        </w:rPr>
        <w:t>Unofficial English Translation of the Judgment of the Court</w:t>
      </w:r>
      <w:r w:rsidRPr="00632B6C">
        <w:rPr>
          <w:rFonts w:cs="Arial"/>
          <w:color w:val="000000"/>
          <w:szCs w:val="24"/>
          <w:lang w:val="en-CA"/>
        </w:rPr>
        <w:t> </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3D055F" w:rsidRPr="00632B6C" w14:paraId="5176D28F" w14:textId="77777777" w:rsidTr="008D18FC">
        <w:trPr>
          <w:trHeight w:val="248"/>
        </w:trPr>
        <w:tc>
          <w:tcPr>
            <w:tcW w:w="7372" w:type="dxa"/>
            <w:gridSpan w:val="5"/>
          </w:tcPr>
          <w:p w14:paraId="43D278AA" w14:textId="4AC9AB64" w:rsidR="008F364A" w:rsidRPr="00632B6C" w:rsidRDefault="005B3B9F" w:rsidP="000E3EA7">
            <w:pPr>
              <w:pStyle w:val="zSoquijdatRepertorie"/>
              <w:rPr>
                <w:rFonts w:cs="Arial"/>
                <w:lang w:val="en-CA"/>
              </w:rPr>
            </w:pPr>
            <w:r w:rsidRPr="00632B6C">
              <w:rPr>
                <w:rFonts w:cs="Arial"/>
                <w:lang w:val="en-CA"/>
              </w:rPr>
              <w:t>Dr. Elias Abdulnour inc. c. Millowitz</w:t>
            </w:r>
          </w:p>
        </w:tc>
        <w:tc>
          <w:tcPr>
            <w:tcW w:w="1988" w:type="dxa"/>
          </w:tcPr>
          <w:p w14:paraId="7C6BDFD4" w14:textId="4EFBE6F2" w:rsidR="008F364A" w:rsidRPr="00632B6C" w:rsidRDefault="005B3B9F" w:rsidP="00112F2D">
            <w:pPr>
              <w:pStyle w:val="zSoquijdatRefNeutre"/>
              <w:jc w:val="right"/>
              <w:rPr>
                <w:rFonts w:cs="Arial"/>
                <w:lang w:val="en-CA"/>
              </w:rPr>
            </w:pPr>
            <w:r w:rsidRPr="00632B6C">
              <w:rPr>
                <w:rFonts w:cs="Arial"/>
                <w:lang w:val="en-CA"/>
              </w:rPr>
              <w:t>2022 QCCA 918</w:t>
            </w:r>
          </w:p>
        </w:tc>
      </w:tr>
      <w:tr w:rsidR="003D055F" w:rsidRPr="00632B6C" w14:paraId="69A90D9F" w14:textId="77777777" w:rsidTr="008D18FC">
        <w:trPr>
          <w:trHeight w:val="247"/>
        </w:trPr>
        <w:tc>
          <w:tcPr>
            <w:tcW w:w="9360" w:type="dxa"/>
            <w:gridSpan w:val="6"/>
          </w:tcPr>
          <w:p w14:paraId="56788C3E" w14:textId="7E4BCE08" w:rsidR="008F364A" w:rsidRPr="00632B6C" w:rsidRDefault="00AE169B">
            <w:pPr>
              <w:pStyle w:val="zSoquijlblCour"/>
              <w:rPr>
                <w:lang w:val="en-CA"/>
              </w:rPr>
            </w:pPr>
            <w:r w:rsidRPr="00632B6C">
              <w:rPr>
                <w:lang w:val="en-CA"/>
              </w:rPr>
              <w:t>COURT OF APPEAL</w:t>
            </w:r>
          </w:p>
        </w:tc>
      </w:tr>
      <w:tr w:rsidR="003D055F" w:rsidRPr="00632B6C" w14:paraId="65DCB58A" w14:textId="77777777" w:rsidTr="008D18FC">
        <w:trPr>
          <w:trHeight w:val="540"/>
        </w:trPr>
        <w:tc>
          <w:tcPr>
            <w:tcW w:w="9360" w:type="dxa"/>
            <w:gridSpan w:val="6"/>
          </w:tcPr>
          <w:p w14:paraId="157C8A92" w14:textId="77777777" w:rsidR="008F364A" w:rsidRPr="00632B6C" w:rsidRDefault="00DF4B78">
            <w:pPr>
              <w:pStyle w:val="zSoquijdatDivision"/>
              <w:rPr>
                <w:lang w:val="en-CA"/>
              </w:rPr>
            </w:pPr>
          </w:p>
        </w:tc>
      </w:tr>
      <w:tr w:rsidR="003D055F" w:rsidRPr="00632B6C" w14:paraId="69C7EDEF" w14:textId="77777777" w:rsidTr="008D18FC">
        <w:tc>
          <w:tcPr>
            <w:tcW w:w="9360" w:type="dxa"/>
            <w:gridSpan w:val="6"/>
          </w:tcPr>
          <w:p w14:paraId="5F2D594E" w14:textId="5C74D3C8" w:rsidR="008F364A" w:rsidRPr="00632B6C" w:rsidRDefault="00AE169B">
            <w:pPr>
              <w:pStyle w:val="zSoquijlblPays"/>
              <w:rPr>
                <w:lang w:val="en-CA"/>
              </w:rPr>
            </w:pPr>
            <w:r w:rsidRPr="00632B6C">
              <w:rPr>
                <w:lang w:val="en-CA"/>
              </w:rPr>
              <w:t>CANADA</w:t>
            </w:r>
          </w:p>
        </w:tc>
      </w:tr>
      <w:tr w:rsidR="003D055F" w:rsidRPr="00632B6C" w14:paraId="33497CAB" w14:textId="77777777" w:rsidTr="008D18FC">
        <w:tc>
          <w:tcPr>
            <w:tcW w:w="9360" w:type="dxa"/>
            <w:gridSpan w:val="6"/>
          </w:tcPr>
          <w:p w14:paraId="35FFD98B" w14:textId="1A776202" w:rsidR="008F364A" w:rsidRPr="00632B6C" w:rsidRDefault="00AE169B">
            <w:pPr>
              <w:pStyle w:val="zSoquijlblProvince"/>
              <w:rPr>
                <w:lang w:val="en-CA"/>
              </w:rPr>
            </w:pPr>
            <w:r w:rsidRPr="00632B6C">
              <w:rPr>
                <w:lang w:val="en-CA"/>
              </w:rPr>
              <w:t>PROVINCE OF QUEBEC</w:t>
            </w:r>
          </w:p>
        </w:tc>
      </w:tr>
      <w:tr w:rsidR="003D055F" w:rsidRPr="00632B6C" w14:paraId="6B054211" w14:textId="77777777" w:rsidTr="008663B5">
        <w:tc>
          <w:tcPr>
            <w:tcW w:w="1701" w:type="dxa"/>
            <w:gridSpan w:val="3"/>
          </w:tcPr>
          <w:p w14:paraId="2540776D" w14:textId="67EBD727" w:rsidR="008F364A" w:rsidRPr="00632B6C" w:rsidRDefault="00AE169B">
            <w:pPr>
              <w:pStyle w:val="zSoquijlblGreffe"/>
              <w:rPr>
                <w:lang w:val="en-CA"/>
              </w:rPr>
            </w:pPr>
            <w:r w:rsidRPr="00632B6C">
              <w:rPr>
                <w:lang w:val="en-CA"/>
              </w:rPr>
              <w:t>REGISTRY OF</w:t>
            </w:r>
          </w:p>
          <w:p w14:paraId="35325921" w14:textId="77777777" w:rsidR="008F364A" w:rsidRPr="00632B6C" w:rsidRDefault="00DF4B78">
            <w:pPr>
              <w:pStyle w:val="zSoquijlblGreffe"/>
              <w:rPr>
                <w:lang w:val="en-CA"/>
              </w:rPr>
            </w:pPr>
          </w:p>
        </w:tc>
        <w:tc>
          <w:tcPr>
            <w:tcW w:w="7659" w:type="dxa"/>
            <w:gridSpan w:val="3"/>
          </w:tcPr>
          <w:p w14:paraId="67921A3B" w14:textId="594F7330" w:rsidR="008F364A" w:rsidRPr="00632B6C" w:rsidRDefault="00AE169B">
            <w:pPr>
              <w:pStyle w:val="zSoquijdatGreffe"/>
              <w:rPr>
                <w:lang w:val="en-CA"/>
              </w:rPr>
            </w:pPr>
            <w:r w:rsidRPr="00632B6C">
              <w:rPr>
                <w:lang w:val="en-CA"/>
              </w:rPr>
              <w:t>MONTREAL</w:t>
            </w:r>
          </w:p>
        </w:tc>
      </w:tr>
      <w:tr w:rsidR="003D055F" w:rsidRPr="00632B6C" w14:paraId="170F3F2E" w14:textId="77777777" w:rsidTr="008D18FC">
        <w:tc>
          <w:tcPr>
            <w:tcW w:w="1030" w:type="dxa"/>
          </w:tcPr>
          <w:p w14:paraId="43C470F3" w14:textId="5E0DF988" w:rsidR="008F364A" w:rsidRPr="00632B6C" w:rsidRDefault="00AE169B">
            <w:pPr>
              <w:pStyle w:val="zSoquijlblNoDossier"/>
              <w:rPr>
                <w:lang w:val="en-CA"/>
              </w:rPr>
            </w:pPr>
            <w:r w:rsidRPr="00632B6C">
              <w:rPr>
                <w:lang w:val="en-CA"/>
              </w:rPr>
              <w:t>N</w:t>
            </w:r>
            <w:r w:rsidR="008663B5" w:rsidRPr="00632B6C">
              <w:rPr>
                <w:lang w:val="en-CA"/>
              </w:rPr>
              <w:t>o</w:t>
            </w:r>
            <w:r w:rsidRPr="00632B6C">
              <w:rPr>
                <w:lang w:val="en-CA"/>
              </w:rPr>
              <w:t>.:</w:t>
            </w:r>
          </w:p>
        </w:tc>
        <w:tc>
          <w:tcPr>
            <w:tcW w:w="8330" w:type="dxa"/>
            <w:gridSpan w:val="5"/>
          </w:tcPr>
          <w:p w14:paraId="622DEDF8" w14:textId="77777777" w:rsidR="008F364A" w:rsidRPr="00632B6C" w:rsidRDefault="005B3B9F">
            <w:pPr>
              <w:pStyle w:val="zSoquijdatNoDossier"/>
              <w:rPr>
                <w:lang w:val="en-CA"/>
              </w:rPr>
            </w:pPr>
            <w:bookmarkStart w:id="1" w:name="NoDossier"/>
            <w:r w:rsidRPr="00632B6C">
              <w:rPr>
                <w:lang w:val="en-CA"/>
              </w:rPr>
              <w:t>500-09-029438-215</w:t>
            </w:r>
            <w:bookmarkEnd w:id="1"/>
          </w:p>
        </w:tc>
      </w:tr>
      <w:tr w:rsidR="003D055F" w:rsidRPr="00632B6C" w14:paraId="3612BF8F" w14:textId="77777777" w:rsidTr="008D18FC">
        <w:tc>
          <w:tcPr>
            <w:tcW w:w="9360" w:type="dxa"/>
            <w:gridSpan w:val="6"/>
          </w:tcPr>
          <w:p w14:paraId="3EF77365" w14:textId="77777777" w:rsidR="00B16CCA" w:rsidRPr="00632B6C" w:rsidRDefault="005B3B9F" w:rsidP="00B16CCA">
            <w:pPr>
              <w:pStyle w:val="zSoquijdatNoDossierAnt"/>
              <w:rPr>
                <w:lang w:val="en-CA"/>
              </w:rPr>
            </w:pPr>
            <w:r w:rsidRPr="00632B6C">
              <w:rPr>
                <w:lang w:val="en-CA"/>
              </w:rPr>
              <w:t>(500-17-091437-155)</w:t>
            </w:r>
          </w:p>
        </w:tc>
      </w:tr>
      <w:tr w:rsidR="003D055F" w:rsidRPr="00632B6C" w14:paraId="5ACF8E73" w14:textId="77777777" w:rsidTr="008D18FC">
        <w:tc>
          <w:tcPr>
            <w:tcW w:w="9360" w:type="dxa"/>
            <w:gridSpan w:val="6"/>
          </w:tcPr>
          <w:p w14:paraId="084BB0F0" w14:textId="77777777" w:rsidR="008F364A" w:rsidRPr="00632B6C" w:rsidRDefault="00DF4B78">
            <w:pPr>
              <w:rPr>
                <w:lang w:val="en-CA"/>
              </w:rPr>
            </w:pPr>
          </w:p>
        </w:tc>
      </w:tr>
      <w:tr w:rsidR="003D055F" w:rsidRPr="00632B6C" w14:paraId="2596FFDF" w14:textId="77777777" w:rsidTr="008D18FC">
        <w:tc>
          <w:tcPr>
            <w:tcW w:w="1030" w:type="dxa"/>
          </w:tcPr>
          <w:p w14:paraId="6798B282" w14:textId="4F5165BC" w:rsidR="008F364A" w:rsidRPr="00632B6C" w:rsidRDefault="00AE169B">
            <w:pPr>
              <w:pStyle w:val="zSoquijlblDateJugement"/>
              <w:rPr>
                <w:lang w:val="en-CA"/>
              </w:rPr>
            </w:pPr>
            <w:r w:rsidRPr="00632B6C">
              <w:rPr>
                <w:lang w:val="en-CA"/>
              </w:rPr>
              <w:t>DATE:</w:t>
            </w:r>
          </w:p>
        </w:tc>
        <w:tc>
          <w:tcPr>
            <w:tcW w:w="8330" w:type="dxa"/>
            <w:gridSpan w:val="5"/>
          </w:tcPr>
          <w:p w14:paraId="6805122C" w14:textId="499008CD" w:rsidR="008F364A" w:rsidRPr="00632B6C" w:rsidRDefault="00AE169B" w:rsidP="00DE7AB7">
            <w:pPr>
              <w:pStyle w:val="zSoquijdatDateJugement"/>
              <w:rPr>
                <w:lang w:val="en-CA"/>
              </w:rPr>
            </w:pPr>
            <w:r w:rsidRPr="00632B6C">
              <w:rPr>
                <w:lang w:val="en-CA"/>
              </w:rPr>
              <w:t>June 27, 2022</w:t>
            </w:r>
          </w:p>
        </w:tc>
      </w:tr>
      <w:tr w:rsidR="003D055F" w:rsidRPr="00632B6C" w14:paraId="159262A4" w14:textId="77777777" w:rsidTr="008D18FC">
        <w:tc>
          <w:tcPr>
            <w:tcW w:w="9360" w:type="dxa"/>
            <w:gridSpan w:val="6"/>
            <w:tcBorders>
              <w:bottom w:val="single" w:sz="8" w:space="0" w:color="auto"/>
            </w:tcBorders>
          </w:tcPr>
          <w:p w14:paraId="2CE2D858" w14:textId="77777777" w:rsidR="008F364A" w:rsidRPr="00632B6C" w:rsidRDefault="00DF4B78">
            <w:pPr>
              <w:rPr>
                <w:lang w:val="en-CA"/>
              </w:rPr>
            </w:pPr>
          </w:p>
        </w:tc>
      </w:tr>
      <w:tr w:rsidR="003D055F" w:rsidRPr="00632B6C" w14:paraId="21B738E3" w14:textId="77777777" w:rsidTr="008D18FC">
        <w:tc>
          <w:tcPr>
            <w:tcW w:w="9360" w:type="dxa"/>
            <w:gridSpan w:val="6"/>
            <w:tcBorders>
              <w:top w:val="single" w:sz="8" w:space="0" w:color="auto"/>
            </w:tcBorders>
          </w:tcPr>
          <w:p w14:paraId="2BDEE9AC" w14:textId="77777777" w:rsidR="008F364A" w:rsidRPr="00632B6C" w:rsidRDefault="00DF4B78">
            <w:pPr>
              <w:rPr>
                <w:lang w:val="en-CA"/>
              </w:rPr>
            </w:pPr>
          </w:p>
        </w:tc>
      </w:tr>
      <w:tr w:rsidR="003D055F" w:rsidRPr="00632B6C" w14:paraId="1443777F" w14:textId="77777777" w:rsidTr="008D18FC">
        <w:tc>
          <w:tcPr>
            <w:tcW w:w="1620" w:type="dxa"/>
            <w:gridSpan w:val="2"/>
          </w:tcPr>
          <w:p w14:paraId="0D0E284C" w14:textId="00AB76CF" w:rsidR="008F364A" w:rsidRPr="00632B6C" w:rsidRDefault="00AE169B" w:rsidP="00423DF1">
            <w:pPr>
              <w:pStyle w:val="zSoquijlblJuge"/>
              <w:ind w:right="-142"/>
              <w:rPr>
                <w:lang w:val="en-CA"/>
              </w:rPr>
            </w:pPr>
            <w:r w:rsidRPr="00632B6C">
              <w:rPr>
                <w:lang w:val="en-CA"/>
              </w:rPr>
              <w:t>CORAM:</w:t>
            </w:r>
          </w:p>
        </w:tc>
        <w:tc>
          <w:tcPr>
            <w:tcW w:w="2350" w:type="dxa"/>
            <w:gridSpan w:val="2"/>
          </w:tcPr>
          <w:p w14:paraId="732C9830" w14:textId="1BB7B7D0" w:rsidR="008F364A" w:rsidRPr="00632B6C" w:rsidRDefault="00AE169B">
            <w:pPr>
              <w:pStyle w:val="zSoquijdatQteJuge"/>
              <w:rPr>
                <w:lang w:val="en-CA"/>
              </w:rPr>
            </w:pPr>
            <w:r w:rsidRPr="00632B6C">
              <w:rPr>
                <w:lang w:val="en-CA"/>
              </w:rPr>
              <w:t>THE HONOURABLE</w:t>
            </w:r>
          </w:p>
        </w:tc>
        <w:tc>
          <w:tcPr>
            <w:tcW w:w="5390" w:type="dxa"/>
            <w:gridSpan w:val="2"/>
          </w:tcPr>
          <w:p w14:paraId="10D76C91" w14:textId="6B2D0668" w:rsidR="008F364A" w:rsidRPr="00632B6C" w:rsidRDefault="00AE169B">
            <w:pPr>
              <w:pStyle w:val="zSoquijdatJuge"/>
              <w:rPr>
                <w:lang w:val="en-CA"/>
              </w:rPr>
            </w:pPr>
            <w:r w:rsidRPr="00632B6C">
              <w:rPr>
                <w:lang w:val="en-CA"/>
              </w:rPr>
              <w:t>JEAN BOUCHARD, J.A.</w:t>
            </w:r>
          </w:p>
          <w:p w14:paraId="336CA55B" w14:textId="177A6CCF" w:rsidR="008F364A" w:rsidRPr="00632B6C" w:rsidRDefault="00AE169B">
            <w:pPr>
              <w:pStyle w:val="zSoquijdatJuge"/>
              <w:rPr>
                <w:lang w:val="en-CA"/>
              </w:rPr>
            </w:pPr>
            <w:r w:rsidRPr="00632B6C">
              <w:rPr>
                <w:lang w:val="en-CA"/>
              </w:rPr>
              <w:t>GENEVIÈVE MARCOTTE, J.A.</w:t>
            </w:r>
          </w:p>
          <w:p w14:paraId="6A10741D" w14:textId="36DA7A5A" w:rsidR="005A78BF" w:rsidRPr="00632B6C" w:rsidRDefault="00AE169B" w:rsidP="00B16CCA">
            <w:pPr>
              <w:pStyle w:val="zSoquijdatJuge"/>
              <w:rPr>
                <w:lang w:val="en-CA"/>
              </w:rPr>
            </w:pPr>
            <w:bookmarkStart w:id="2" w:name="_Hlt520513784"/>
            <w:bookmarkEnd w:id="2"/>
            <w:r w:rsidRPr="00632B6C">
              <w:rPr>
                <w:lang w:val="en-CA"/>
              </w:rPr>
              <w:t>PETER KALICHMAN, J.A.</w:t>
            </w:r>
          </w:p>
        </w:tc>
      </w:tr>
      <w:tr w:rsidR="003D055F" w:rsidRPr="00632B6C" w14:paraId="2CAB11EC" w14:textId="77777777" w:rsidTr="008D18FC">
        <w:tc>
          <w:tcPr>
            <w:tcW w:w="9360" w:type="dxa"/>
            <w:gridSpan w:val="6"/>
            <w:tcBorders>
              <w:bottom w:val="single" w:sz="8" w:space="0" w:color="auto"/>
            </w:tcBorders>
          </w:tcPr>
          <w:p w14:paraId="7B4BF962" w14:textId="77777777" w:rsidR="008F364A" w:rsidRPr="00632B6C" w:rsidRDefault="00DF4B78">
            <w:pPr>
              <w:rPr>
                <w:lang w:val="en-CA"/>
              </w:rPr>
            </w:pPr>
          </w:p>
        </w:tc>
      </w:tr>
      <w:tr w:rsidR="003D055F" w:rsidRPr="00632B6C" w14:paraId="30C52C0A" w14:textId="77777777" w:rsidTr="008D18FC">
        <w:tc>
          <w:tcPr>
            <w:tcW w:w="9360" w:type="dxa"/>
            <w:gridSpan w:val="6"/>
          </w:tcPr>
          <w:p w14:paraId="39DB652C" w14:textId="77777777" w:rsidR="008F364A" w:rsidRPr="00632B6C" w:rsidRDefault="00DF4B78">
            <w:pPr>
              <w:pStyle w:val="zSoquijlblTitrePartie"/>
              <w:rPr>
                <w:lang w:val="en-CA"/>
              </w:rPr>
            </w:pPr>
          </w:p>
        </w:tc>
      </w:tr>
      <w:tr w:rsidR="003D055F" w:rsidRPr="00632B6C" w14:paraId="41948C18" w14:textId="77777777" w:rsidTr="008D18FC">
        <w:tc>
          <w:tcPr>
            <w:tcW w:w="9360" w:type="dxa"/>
            <w:gridSpan w:val="6"/>
          </w:tcPr>
          <w:p w14:paraId="17375A6B" w14:textId="77777777" w:rsidR="008F364A" w:rsidRPr="00632B6C" w:rsidRDefault="005B3B9F" w:rsidP="00B16CCA">
            <w:pPr>
              <w:pStyle w:val="zSoquijdatNomPartieDem"/>
              <w:rPr>
                <w:lang w:val="en-CA"/>
              </w:rPr>
            </w:pPr>
            <w:bookmarkStart w:id="3" w:name="App"/>
            <w:r w:rsidRPr="00632B6C">
              <w:rPr>
                <w:caps/>
                <w:lang w:val="en-CA"/>
              </w:rPr>
              <w:t>dr. elias abdulnour inc.</w:t>
            </w:r>
            <w:bookmarkEnd w:id="3"/>
          </w:p>
        </w:tc>
      </w:tr>
      <w:tr w:rsidR="003D055F" w:rsidRPr="00632B6C" w14:paraId="57E33B6D" w14:textId="77777777" w:rsidTr="008D18FC">
        <w:tc>
          <w:tcPr>
            <w:tcW w:w="9360" w:type="dxa"/>
            <w:gridSpan w:val="6"/>
          </w:tcPr>
          <w:p w14:paraId="7ACF4AA9" w14:textId="77777777" w:rsidR="00B16CCA" w:rsidRPr="00E41931" w:rsidRDefault="005B3B9F" w:rsidP="00B16CCA">
            <w:pPr>
              <w:pStyle w:val="zSoquijdatNomPartieDef"/>
              <w:tabs>
                <w:tab w:val="center" w:pos="2412"/>
              </w:tabs>
              <w:rPr>
                <w:caps/>
              </w:rPr>
            </w:pPr>
            <w:r w:rsidRPr="00E41931">
              <w:rPr>
                <w:caps/>
              </w:rPr>
              <w:t>nora amer</w:t>
            </w:r>
          </w:p>
          <w:p w14:paraId="7D701C58" w14:textId="77777777" w:rsidR="00B16CCA" w:rsidRPr="00E41931" w:rsidRDefault="005B3B9F" w:rsidP="00B16CCA">
            <w:pPr>
              <w:pStyle w:val="zSoquijdatNomPartieDef"/>
              <w:tabs>
                <w:tab w:val="center" w:pos="2412"/>
              </w:tabs>
              <w:rPr>
                <w:caps/>
              </w:rPr>
            </w:pPr>
            <w:r w:rsidRPr="00E41931">
              <w:rPr>
                <w:caps/>
              </w:rPr>
              <w:t>patrice champigny</w:t>
            </w:r>
          </w:p>
          <w:p w14:paraId="50FC4BFC" w14:textId="77777777" w:rsidR="00B16CCA" w:rsidRPr="00E41931" w:rsidRDefault="005B3B9F" w:rsidP="00B16CCA">
            <w:pPr>
              <w:pStyle w:val="zSoquijdatNomPartieDef"/>
              <w:tabs>
                <w:tab w:val="center" w:pos="2412"/>
              </w:tabs>
              <w:rPr>
                <w:caps/>
              </w:rPr>
            </w:pPr>
            <w:r w:rsidRPr="00E41931">
              <w:rPr>
                <w:caps/>
              </w:rPr>
              <w:t>louise gélinas</w:t>
            </w:r>
          </w:p>
          <w:p w14:paraId="79FBF1AA" w14:textId="77777777" w:rsidR="00B16CCA" w:rsidRPr="00E41931" w:rsidRDefault="005B3B9F" w:rsidP="00B16CCA">
            <w:pPr>
              <w:pStyle w:val="zSoquijdatNomPartieDef"/>
              <w:tabs>
                <w:tab w:val="center" w:pos="2412"/>
              </w:tabs>
              <w:rPr>
                <w:caps/>
              </w:rPr>
            </w:pPr>
            <w:r w:rsidRPr="00E41931">
              <w:rPr>
                <w:caps/>
              </w:rPr>
              <w:t>alfred corriveau</w:t>
            </w:r>
          </w:p>
          <w:p w14:paraId="5172EEE8" w14:textId="77777777" w:rsidR="00B16CCA" w:rsidRPr="00E41931" w:rsidRDefault="005B3B9F" w:rsidP="00B16CCA">
            <w:pPr>
              <w:pStyle w:val="zSoquijdatNomPartieDef"/>
              <w:tabs>
                <w:tab w:val="center" w:pos="2412"/>
              </w:tabs>
              <w:rPr>
                <w:caps/>
              </w:rPr>
            </w:pPr>
            <w:r w:rsidRPr="00E41931">
              <w:rPr>
                <w:caps/>
              </w:rPr>
              <w:t>marie-claude sauvé</w:t>
            </w:r>
          </w:p>
          <w:p w14:paraId="414426B4" w14:textId="77777777" w:rsidR="00B16CCA" w:rsidRPr="00E41931" w:rsidRDefault="005B3B9F" w:rsidP="00B16CCA">
            <w:pPr>
              <w:pStyle w:val="zSoquijdatNomPartieDef"/>
              <w:tabs>
                <w:tab w:val="center" w:pos="2412"/>
              </w:tabs>
              <w:rPr>
                <w:caps/>
              </w:rPr>
            </w:pPr>
            <w:r w:rsidRPr="00E41931">
              <w:rPr>
                <w:caps/>
              </w:rPr>
              <w:t>christian dagenais</w:t>
            </w:r>
          </w:p>
          <w:p w14:paraId="6E8D9ADC" w14:textId="77777777" w:rsidR="00B16CCA" w:rsidRPr="00632B6C" w:rsidRDefault="005B3B9F" w:rsidP="00B16CCA">
            <w:pPr>
              <w:pStyle w:val="zSoquijdatNomPartieDef"/>
              <w:tabs>
                <w:tab w:val="center" w:pos="2412"/>
              </w:tabs>
              <w:rPr>
                <w:caps/>
                <w:lang w:val="en-CA"/>
              </w:rPr>
            </w:pPr>
            <w:r w:rsidRPr="00632B6C">
              <w:rPr>
                <w:caps/>
                <w:lang w:val="en-CA"/>
              </w:rPr>
              <w:t xml:space="preserve">azita ghaemi-yekta </w:t>
            </w:r>
          </w:p>
          <w:p w14:paraId="497AD119" w14:textId="77777777" w:rsidR="00B16CCA" w:rsidRPr="00632B6C" w:rsidRDefault="005B3B9F" w:rsidP="00B16CCA">
            <w:pPr>
              <w:pStyle w:val="zSoquijdatNomPartieDef"/>
              <w:tabs>
                <w:tab w:val="center" w:pos="2412"/>
              </w:tabs>
              <w:rPr>
                <w:caps/>
                <w:lang w:val="en-CA"/>
              </w:rPr>
            </w:pPr>
            <w:r w:rsidRPr="00632B6C">
              <w:rPr>
                <w:caps/>
                <w:lang w:val="en-CA"/>
              </w:rPr>
              <w:t>anna maria giove</w:t>
            </w:r>
          </w:p>
          <w:p w14:paraId="07B48A92" w14:textId="77777777" w:rsidR="00B16CCA" w:rsidRPr="00E41931" w:rsidRDefault="005B3B9F" w:rsidP="00B16CCA">
            <w:pPr>
              <w:pStyle w:val="zSoquijdatNomPartieDef"/>
              <w:tabs>
                <w:tab w:val="center" w:pos="2412"/>
              </w:tabs>
              <w:rPr>
                <w:caps/>
              </w:rPr>
            </w:pPr>
            <w:r w:rsidRPr="00E41931">
              <w:rPr>
                <w:caps/>
              </w:rPr>
              <w:t>tony sciarrabba</w:t>
            </w:r>
          </w:p>
          <w:p w14:paraId="3434B864" w14:textId="77777777" w:rsidR="00B16CCA" w:rsidRPr="00E41931" w:rsidRDefault="005B3B9F" w:rsidP="00B16CCA">
            <w:pPr>
              <w:pStyle w:val="zSoquijdatNomPartieDef"/>
              <w:tabs>
                <w:tab w:val="center" w:pos="2412"/>
              </w:tabs>
              <w:rPr>
                <w:caps/>
              </w:rPr>
            </w:pPr>
            <w:r w:rsidRPr="00E41931">
              <w:rPr>
                <w:caps/>
              </w:rPr>
              <w:t>benoit guilbault</w:t>
            </w:r>
          </w:p>
          <w:p w14:paraId="65929464" w14:textId="77777777" w:rsidR="00B16CCA" w:rsidRPr="00E41931" w:rsidRDefault="005B3B9F" w:rsidP="00B16CCA">
            <w:pPr>
              <w:pStyle w:val="zSoquijdatNomPartieDef"/>
              <w:tabs>
                <w:tab w:val="center" w:pos="2412"/>
              </w:tabs>
              <w:rPr>
                <w:caps/>
              </w:rPr>
            </w:pPr>
            <w:r w:rsidRPr="00E41931">
              <w:rPr>
                <w:caps/>
              </w:rPr>
              <w:t>marie-claude bruneau</w:t>
            </w:r>
          </w:p>
          <w:p w14:paraId="4353A5C8" w14:textId="77777777" w:rsidR="00B16CCA" w:rsidRPr="00632B6C" w:rsidRDefault="005B3B9F" w:rsidP="00B16CCA">
            <w:pPr>
              <w:pStyle w:val="zSoquijdatNomPartieDef"/>
              <w:tabs>
                <w:tab w:val="center" w:pos="2412"/>
              </w:tabs>
              <w:rPr>
                <w:caps/>
                <w:lang w:val="en-CA"/>
              </w:rPr>
            </w:pPr>
            <w:r w:rsidRPr="00632B6C">
              <w:rPr>
                <w:caps/>
                <w:lang w:val="en-CA"/>
              </w:rPr>
              <w:t>jacob lazarovic</w:t>
            </w:r>
          </w:p>
          <w:p w14:paraId="7B0BC13F" w14:textId="77777777" w:rsidR="00B16CCA" w:rsidRPr="00632B6C" w:rsidRDefault="005B3B9F" w:rsidP="00B16CCA">
            <w:pPr>
              <w:pStyle w:val="zSoquijdatNomPartieDef"/>
              <w:tabs>
                <w:tab w:val="center" w:pos="2412"/>
              </w:tabs>
              <w:rPr>
                <w:caps/>
                <w:lang w:val="en-CA"/>
              </w:rPr>
            </w:pPr>
            <w:r w:rsidRPr="00632B6C">
              <w:rPr>
                <w:caps/>
                <w:lang w:val="en-CA"/>
              </w:rPr>
              <w:t xml:space="preserve">CHING-I liang </w:t>
            </w:r>
          </w:p>
          <w:p w14:paraId="0D0174B1" w14:textId="77777777" w:rsidR="00B16CCA" w:rsidRPr="00632B6C" w:rsidRDefault="005B3B9F" w:rsidP="00B16CCA">
            <w:pPr>
              <w:pStyle w:val="zSoquijdatNomPartieDef"/>
              <w:tabs>
                <w:tab w:val="center" w:pos="2412"/>
              </w:tabs>
              <w:rPr>
                <w:caps/>
                <w:lang w:val="en-CA"/>
              </w:rPr>
            </w:pPr>
            <w:r w:rsidRPr="00632B6C">
              <w:rPr>
                <w:caps/>
                <w:lang w:val="en-CA"/>
              </w:rPr>
              <w:t>chi-nan kang</w:t>
            </w:r>
          </w:p>
          <w:p w14:paraId="0BE665DF" w14:textId="77777777" w:rsidR="00B16CCA" w:rsidRPr="00632B6C" w:rsidRDefault="005B3B9F" w:rsidP="00B16CCA">
            <w:pPr>
              <w:pStyle w:val="zSoquijdatNomPartieDef"/>
              <w:tabs>
                <w:tab w:val="center" w:pos="2412"/>
              </w:tabs>
              <w:rPr>
                <w:caps/>
                <w:lang w:val="en-CA"/>
              </w:rPr>
            </w:pPr>
            <w:r w:rsidRPr="00632B6C">
              <w:rPr>
                <w:caps/>
                <w:lang w:val="en-CA"/>
              </w:rPr>
              <w:t>georgia lombardos</w:t>
            </w:r>
          </w:p>
          <w:p w14:paraId="20DEDF00" w14:textId="77777777" w:rsidR="00B16CCA" w:rsidRPr="00632B6C" w:rsidRDefault="005B3B9F" w:rsidP="00B16CCA">
            <w:pPr>
              <w:pStyle w:val="zSoquijdatNomPartieDef"/>
              <w:tabs>
                <w:tab w:val="center" w:pos="2412"/>
              </w:tabs>
              <w:rPr>
                <w:caps/>
                <w:lang w:val="en-CA"/>
              </w:rPr>
            </w:pPr>
            <w:r w:rsidRPr="00632B6C">
              <w:rPr>
                <w:caps/>
                <w:lang w:val="en-CA"/>
              </w:rPr>
              <w:t>michel maltais</w:t>
            </w:r>
          </w:p>
          <w:p w14:paraId="211DC550" w14:textId="77777777" w:rsidR="00B16CCA" w:rsidRPr="00632B6C" w:rsidRDefault="005B3B9F" w:rsidP="00B16CCA">
            <w:pPr>
              <w:pStyle w:val="zSoquijdatNomPartieDef"/>
              <w:tabs>
                <w:tab w:val="center" w:pos="2412"/>
              </w:tabs>
              <w:rPr>
                <w:caps/>
                <w:lang w:val="en-CA"/>
              </w:rPr>
            </w:pPr>
            <w:r w:rsidRPr="00632B6C">
              <w:rPr>
                <w:caps/>
                <w:lang w:val="en-CA"/>
              </w:rPr>
              <w:t>EIMAN masri abDulhadi</w:t>
            </w:r>
          </w:p>
          <w:p w14:paraId="0E275E64" w14:textId="77777777" w:rsidR="00B16CCA" w:rsidRPr="00632B6C" w:rsidRDefault="005B3B9F" w:rsidP="00B16CCA">
            <w:pPr>
              <w:pStyle w:val="zSoquijdatNomPartieDef"/>
              <w:tabs>
                <w:tab w:val="center" w:pos="2412"/>
              </w:tabs>
              <w:rPr>
                <w:caps/>
                <w:lang w:val="en-CA"/>
              </w:rPr>
            </w:pPr>
            <w:r w:rsidRPr="00632B6C">
              <w:rPr>
                <w:caps/>
                <w:lang w:val="en-CA"/>
              </w:rPr>
              <w:t>athina maria mougoyannis</w:t>
            </w:r>
          </w:p>
          <w:p w14:paraId="175CCB04" w14:textId="77777777" w:rsidR="00B16CCA" w:rsidRPr="00632B6C" w:rsidRDefault="005B3B9F" w:rsidP="00B16CCA">
            <w:pPr>
              <w:pStyle w:val="zSoquijdatNomPartieDef"/>
              <w:tabs>
                <w:tab w:val="center" w:pos="2412"/>
              </w:tabs>
              <w:rPr>
                <w:caps/>
                <w:lang w:val="en-CA"/>
              </w:rPr>
            </w:pPr>
            <w:r w:rsidRPr="00632B6C">
              <w:rPr>
                <w:caps/>
                <w:lang w:val="en-CA"/>
              </w:rPr>
              <w:t>WALMILIAN cristina paulino</w:t>
            </w:r>
          </w:p>
          <w:p w14:paraId="5DE52421" w14:textId="77777777" w:rsidR="00B16CCA" w:rsidRPr="00632B6C" w:rsidRDefault="005B3B9F" w:rsidP="00B16CCA">
            <w:pPr>
              <w:pStyle w:val="zSoquijdatNomPartieDef"/>
              <w:tabs>
                <w:tab w:val="center" w:pos="2412"/>
              </w:tabs>
              <w:rPr>
                <w:caps/>
                <w:lang w:val="en-CA"/>
              </w:rPr>
            </w:pPr>
            <w:r w:rsidRPr="00632B6C">
              <w:rPr>
                <w:caps/>
                <w:lang w:val="en-CA"/>
              </w:rPr>
              <w:t>éric pépin</w:t>
            </w:r>
          </w:p>
          <w:p w14:paraId="3AA7F15C" w14:textId="77777777" w:rsidR="00B16CCA" w:rsidRPr="00632B6C" w:rsidRDefault="005B3B9F" w:rsidP="00B16CCA">
            <w:pPr>
              <w:pStyle w:val="zSoquijdatNomPartieDem"/>
              <w:rPr>
                <w:caps/>
                <w:lang w:val="en-CA"/>
              </w:rPr>
            </w:pPr>
            <w:r w:rsidRPr="00632B6C">
              <w:rPr>
                <w:caps/>
                <w:lang w:val="en-CA"/>
              </w:rPr>
              <w:t>michel reichman</w:t>
            </w:r>
          </w:p>
        </w:tc>
      </w:tr>
      <w:tr w:rsidR="003D055F" w:rsidRPr="00882317" w14:paraId="38177572" w14:textId="77777777" w:rsidTr="008D18FC">
        <w:tc>
          <w:tcPr>
            <w:tcW w:w="9360" w:type="dxa"/>
            <w:gridSpan w:val="6"/>
          </w:tcPr>
          <w:p w14:paraId="436B98BE" w14:textId="77777777" w:rsidR="00B16CCA" w:rsidRPr="00632B6C" w:rsidRDefault="005B3B9F" w:rsidP="00B16CCA">
            <w:pPr>
              <w:pStyle w:val="zSoquijdatNomPartieDef"/>
              <w:tabs>
                <w:tab w:val="center" w:pos="2412"/>
              </w:tabs>
              <w:rPr>
                <w:caps/>
                <w:lang w:val="en-CA"/>
              </w:rPr>
            </w:pPr>
            <w:r w:rsidRPr="00632B6C">
              <w:rPr>
                <w:caps/>
                <w:lang w:val="en-CA"/>
              </w:rPr>
              <w:t>lara reichman</w:t>
            </w:r>
          </w:p>
          <w:p w14:paraId="11CF8A31" w14:textId="77777777" w:rsidR="00B16CCA" w:rsidRPr="00632B6C" w:rsidRDefault="005B3B9F" w:rsidP="00B16CCA">
            <w:pPr>
              <w:pStyle w:val="zSoquijdatNomPartieDef"/>
              <w:tabs>
                <w:tab w:val="center" w:pos="2412"/>
              </w:tabs>
              <w:rPr>
                <w:caps/>
                <w:lang w:val="en-CA"/>
              </w:rPr>
            </w:pPr>
            <w:r w:rsidRPr="00632B6C">
              <w:rPr>
                <w:caps/>
                <w:lang w:val="en-CA"/>
              </w:rPr>
              <w:t>lee reichman</w:t>
            </w:r>
          </w:p>
          <w:p w14:paraId="61F5331F" w14:textId="77777777" w:rsidR="00B16CCA" w:rsidRPr="00632B6C" w:rsidRDefault="005B3B9F" w:rsidP="00B16CCA">
            <w:pPr>
              <w:pStyle w:val="zSoquijdatNomPartieDef"/>
              <w:tabs>
                <w:tab w:val="center" w:pos="2412"/>
              </w:tabs>
              <w:rPr>
                <w:caps/>
                <w:lang w:val="en-CA"/>
              </w:rPr>
            </w:pPr>
            <w:r w:rsidRPr="00632B6C">
              <w:rPr>
                <w:caps/>
                <w:lang w:val="en-CA"/>
              </w:rPr>
              <w:t>gestIon riojo inc.</w:t>
            </w:r>
          </w:p>
          <w:p w14:paraId="16B70461" w14:textId="77777777" w:rsidR="00B16CCA" w:rsidRPr="00E41931" w:rsidRDefault="005B3B9F" w:rsidP="00B16CCA">
            <w:pPr>
              <w:pStyle w:val="zSoquijdatNomPartieDef"/>
              <w:tabs>
                <w:tab w:val="center" w:pos="2412"/>
              </w:tabs>
              <w:rPr>
                <w:caps/>
              </w:rPr>
            </w:pPr>
            <w:r w:rsidRPr="00E41931">
              <w:rPr>
                <w:caps/>
              </w:rPr>
              <w:lastRenderedPageBreak/>
              <w:t>jean-stéphane rousseau</w:t>
            </w:r>
          </w:p>
          <w:p w14:paraId="062FC818" w14:textId="77777777" w:rsidR="00B16CCA" w:rsidRPr="00E41931" w:rsidRDefault="005B3B9F" w:rsidP="00B16CCA">
            <w:pPr>
              <w:pStyle w:val="zSoquijdatNomPartieDef"/>
              <w:tabs>
                <w:tab w:val="center" w:pos="2412"/>
              </w:tabs>
              <w:rPr>
                <w:caps/>
              </w:rPr>
            </w:pPr>
            <w:r w:rsidRPr="00E41931">
              <w:rPr>
                <w:caps/>
              </w:rPr>
              <w:t>9089-1359 quÉbec inc.</w:t>
            </w:r>
          </w:p>
          <w:p w14:paraId="721C05CD" w14:textId="458F4464" w:rsidR="00B16CCA" w:rsidRPr="00632B6C" w:rsidRDefault="00AE169B" w:rsidP="00B16CCA">
            <w:pPr>
              <w:pStyle w:val="zSoquijdatNomPartieDem"/>
              <w:rPr>
                <w:caps/>
                <w:lang w:val="en-CA"/>
              </w:rPr>
            </w:pPr>
            <w:r w:rsidRPr="00632B6C">
              <w:rPr>
                <w:caps/>
                <w:lang w:val="en-CA"/>
              </w:rPr>
              <w:t xml:space="preserve">specific CONSULTING CORP., </w:t>
            </w:r>
            <w:r w:rsidRPr="00632B6C">
              <w:rPr>
                <w:lang w:val="en-CA"/>
              </w:rPr>
              <w:t>as successor o</w:t>
            </w:r>
            <w:r w:rsidR="00E41931">
              <w:rPr>
                <w:lang w:val="en-CA"/>
              </w:rPr>
              <w:t>f</w:t>
            </w:r>
            <w:r w:rsidRPr="00632B6C">
              <w:rPr>
                <w:caps/>
                <w:lang w:val="en-CA"/>
              </w:rPr>
              <w:t xml:space="preserve"> SPeCIFIC</w:t>
            </w:r>
          </w:p>
        </w:tc>
      </w:tr>
      <w:tr w:rsidR="003D055F" w:rsidRPr="00632B6C" w14:paraId="0BC6901A" w14:textId="77777777" w:rsidTr="008D18FC">
        <w:tc>
          <w:tcPr>
            <w:tcW w:w="9360" w:type="dxa"/>
            <w:gridSpan w:val="6"/>
          </w:tcPr>
          <w:p w14:paraId="77016682" w14:textId="77777777" w:rsidR="00B16CCA" w:rsidRPr="00632B6C" w:rsidRDefault="005B3B9F" w:rsidP="00B16CCA">
            <w:pPr>
              <w:pStyle w:val="zSoquijdatNomPartieDem"/>
              <w:rPr>
                <w:caps/>
                <w:lang w:val="en-CA"/>
              </w:rPr>
            </w:pPr>
            <w:r w:rsidRPr="00632B6C">
              <w:rPr>
                <w:caps/>
                <w:lang w:val="en-CA"/>
              </w:rPr>
              <w:lastRenderedPageBreak/>
              <w:t>holding corp.</w:t>
            </w:r>
          </w:p>
        </w:tc>
      </w:tr>
      <w:tr w:rsidR="003D055F" w:rsidRPr="00882317" w14:paraId="03158397" w14:textId="77777777" w:rsidTr="008D18FC">
        <w:tc>
          <w:tcPr>
            <w:tcW w:w="9360" w:type="dxa"/>
            <w:gridSpan w:val="6"/>
          </w:tcPr>
          <w:p w14:paraId="5B92E71F" w14:textId="77777777" w:rsidR="00B16CCA" w:rsidRPr="00632B6C" w:rsidRDefault="005B3B9F" w:rsidP="00B16CCA">
            <w:pPr>
              <w:pStyle w:val="zSoquijdatNomPartieDef"/>
              <w:tabs>
                <w:tab w:val="center" w:pos="2412"/>
              </w:tabs>
              <w:rPr>
                <w:caps/>
                <w:lang w:val="en-CA"/>
              </w:rPr>
            </w:pPr>
            <w:r w:rsidRPr="00632B6C">
              <w:rPr>
                <w:caps/>
                <w:lang w:val="en-CA"/>
              </w:rPr>
              <w:t>david thomson</w:t>
            </w:r>
          </w:p>
          <w:p w14:paraId="2DB97A83" w14:textId="77777777" w:rsidR="00B16CCA" w:rsidRPr="00632B6C" w:rsidRDefault="005B3B9F" w:rsidP="00B16CCA">
            <w:pPr>
              <w:pStyle w:val="zSoquijdatNomPartieDef"/>
              <w:tabs>
                <w:tab w:val="center" w:pos="2412"/>
              </w:tabs>
              <w:rPr>
                <w:caps/>
                <w:lang w:val="en-CA"/>
              </w:rPr>
            </w:pPr>
            <w:r w:rsidRPr="00632B6C">
              <w:rPr>
                <w:caps/>
                <w:lang w:val="en-CA"/>
              </w:rPr>
              <w:t xml:space="preserve">ton-that quoc-tuan </w:t>
            </w:r>
          </w:p>
          <w:p w14:paraId="3F9DBCCC" w14:textId="77777777" w:rsidR="00B16CCA" w:rsidRPr="00632B6C" w:rsidRDefault="005B3B9F" w:rsidP="00B16CCA">
            <w:pPr>
              <w:pStyle w:val="zSoquijdatNomPartieDef"/>
              <w:tabs>
                <w:tab w:val="center" w:pos="2412"/>
              </w:tabs>
              <w:rPr>
                <w:caps/>
                <w:lang w:val="en-CA"/>
              </w:rPr>
            </w:pPr>
            <w:r w:rsidRPr="00632B6C">
              <w:rPr>
                <w:caps/>
                <w:lang w:val="en-CA"/>
              </w:rPr>
              <w:t>NGOC-han nguyen</w:t>
            </w:r>
          </w:p>
          <w:p w14:paraId="2160A358" w14:textId="77777777" w:rsidR="00B16CCA" w:rsidRPr="00632B6C" w:rsidRDefault="005B3B9F" w:rsidP="00B16CCA">
            <w:pPr>
              <w:pStyle w:val="zSoquijdatNomPartieDef"/>
              <w:tabs>
                <w:tab w:val="center" w:pos="2412"/>
              </w:tabs>
              <w:rPr>
                <w:caps/>
                <w:lang w:val="en-CA"/>
              </w:rPr>
            </w:pPr>
            <w:r w:rsidRPr="00632B6C">
              <w:rPr>
                <w:caps/>
                <w:lang w:val="en-CA"/>
              </w:rPr>
              <w:t>nicolas zara</w:t>
            </w:r>
          </w:p>
          <w:p w14:paraId="13673A84" w14:textId="77777777" w:rsidR="00B16CCA" w:rsidRPr="00632B6C" w:rsidRDefault="005B3B9F" w:rsidP="00B16CCA">
            <w:pPr>
              <w:pStyle w:val="zSoquijdatNomPartieDef"/>
              <w:tabs>
                <w:tab w:val="center" w:pos="2412"/>
              </w:tabs>
              <w:rPr>
                <w:caps/>
                <w:lang w:val="en-CA"/>
              </w:rPr>
            </w:pPr>
            <w:r w:rsidRPr="00632B6C">
              <w:rPr>
                <w:caps/>
                <w:lang w:val="en-CA"/>
              </w:rPr>
              <w:t>shawn zimmerman</w:t>
            </w:r>
          </w:p>
          <w:p w14:paraId="7A3CA1BB" w14:textId="77777777" w:rsidR="00B16CCA" w:rsidRPr="00632B6C" w:rsidRDefault="005B3B9F" w:rsidP="00B16CCA">
            <w:pPr>
              <w:pStyle w:val="zSoquijdatNomPartieDef"/>
              <w:tabs>
                <w:tab w:val="center" w:pos="2412"/>
              </w:tabs>
              <w:rPr>
                <w:caps/>
                <w:lang w:val="en-CA"/>
              </w:rPr>
            </w:pPr>
            <w:r w:rsidRPr="00632B6C">
              <w:rPr>
                <w:caps/>
                <w:lang w:val="en-CA"/>
              </w:rPr>
              <w:t>marcy benami</w:t>
            </w:r>
          </w:p>
        </w:tc>
      </w:tr>
      <w:tr w:rsidR="003D055F" w:rsidRPr="00632B6C" w14:paraId="3F4FB592" w14:textId="77777777" w:rsidTr="008D18FC">
        <w:tc>
          <w:tcPr>
            <w:tcW w:w="9360" w:type="dxa"/>
            <w:gridSpan w:val="6"/>
          </w:tcPr>
          <w:p w14:paraId="6B65E6AF" w14:textId="638B43AA" w:rsidR="008F364A" w:rsidRPr="00632B6C" w:rsidRDefault="00AE169B">
            <w:pPr>
              <w:pStyle w:val="zSoquijdatQtePartieDem"/>
              <w:rPr>
                <w:lang w:val="en-CA"/>
              </w:rPr>
            </w:pPr>
            <w:r w:rsidRPr="00632B6C">
              <w:rPr>
                <w:lang w:val="en-CA"/>
              </w:rPr>
              <w:t>APPELLANTS – Plaintiffs</w:t>
            </w:r>
          </w:p>
        </w:tc>
      </w:tr>
      <w:tr w:rsidR="003D055F" w:rsidRPr="00632B6C" w14:paraId="390E27DB" w14:textId="77777777" w:rsidTr="008D18FC">
        <w:tc>
          <w:tcPr>
            <w:tcW w:w="9360" w:type="dxa"/>
            <w:gridSpan w:val="6"/>
          </w:tcPr>
          <w:p w14:paraId="6FF58577" w14:textId="728AE09B" w:rsidR="008F364A" w:rsidRPr="00632B6C" w:rsidRDefault="00AE169B">
            <w:pPr>
              <w:pStyle w:val="zSoquijlblLienParties"/>
              <w:rPr>
                <w:lang w:val="en-CA"/>
              </w:rPr>
            </w:pPr>
            <w:r w:rsidRPr="00632B6C">
              <w:rPr>
                <w:lang w:val="en-CA"/>
              </w:rPr>
              <w:t>v.</w:t>
            </w:r>
          </w:p>
        </w:tc>
      </w:tr>
      <w:tr w:rsidR="003D055F" w:rsidRPr="00632B6C" w14:paraId="1B6148B1" w14:textId="77777777" w:rsidTr="008D18FC">
        <w:tc>
          <w:tcPr>
            <w:tcW w:w="9360" w:type="dxa"/>
            <w:gridSpan w:val="6"/>
          </w:tcPr>
          <w:p w14:paraId="6F1BDFB0" w14:textId="77777777" w:rsidR="008F364A" w:rsidRPr="00632B6C" w:rsidRDefault="00DF4B78">
            <w:pPr>
              <w:rPr>
                <w:lang w:val="en-CA"/>
              </w:rPr>
            </w:pPr>
          </w:p>
        </w:tc>
      </w:tr>
      <w:tr w:rsidR="003D055F" w:rsidRPr="00882317" w14:paraId="5846B47A" w14:textId="77777777" w:rsidTr="008D18FC">
        <w:tc>
          <w:tcPr>
            <w:tcW w:w="9360" w:type="dxa"/>
            <w:gridSpan w:val="6"/>
          </w:tcPr>
          <w:p w14:paraId="7E2E7B8C" w14:textId="71C68406" w:rsidR="008F364A" w:rsidRPr="00632B6C" w:rsidRDefault="00AE169B">
            <w:pPr>
              <w:pStyle w:val="zSoquijdatNomPartieDef"/>
              <w:rPr>
                <w:lang w:val="en-CA"/>
              </w:rPr>
            </w:pPr>
            <w:r w:rsidRPr="00632B6C">
              <w:rPr>
                <w:caps/>
                <w:lang w:val="en-CA"/>
              </w:rPr>
              <w:t xml:space="preserve">stuart m. millowitz, </w:t>
            </w:r>
            <w:r w:rsidRPr="00632B6C">
              <w:rPr>
                <w:lang w:val="en-CA"/>
              </w:rPr>
              <w:t>practising</w:t>
            </w:r>
            <w:r w:rsidR="00E41931">
              <w:rPr>
                <w:lang w:val="en-CA"/>
              </w:rPr>
              <w:t xml:space="preserve"> his profession of</w:t>
            </w:r>
            <w:r w:rsidRPr="00632B6C">
              <w:rPr>
                <w:lang w:val="en-CA"/>
              </w:rPr>
              <w:t xml:space="preserve"> notary</w:t>
            </w:r>
          </w:p>
        </w:tc>
      </w:tr>
      <w:tr w:rsidR="003D055F" w:rsidRPr="00632B6C" w14:paraId="630F21FA" w14:textId="77777777" w:rsidTr="008D18FC">
        <w:tc>
          <w:tcPr>
            <w:tcW w:w="9360" w:type="dxa"/>
            <w:gridSpan w:val="6"/>
          </w:tcPr>
          <w:p w14:paraId="2B8687A9" w14:textId="7FF59122" w:rsidR="00B16CCA" w:rsidRPr="00632B6C" w:rsidRDefault="00AE169B">
            <w:pPr>
              <w:pStyle w:val="zSoquijdatNomPartieDef"/>
              <w:rPr>
                <w:caps/>
                <w:lang w:val="en-CA"/>
              </w:rPr>
            </w:pPr>
            <w:r w:rsidRPr="00632B6C">
              <w:rPr>
                <w:caps/>
                <w:lang w:val="en-CA"/>
              </w:rPr>
              <w:t xml:space="preserve">millowitz hodes bergeron </w:t>
            </w:r>
            <w:r w:rsidR="00EB7086" w:rsidRPr="003F1EEA">
              <w:rPr>
                <w:caps/>
              </w:rPr>
              <w:t>s.e.n.c.r.l.</w:t>
            </w:r>
          </w:p>
        </w:tc>
      </w:tr>
      <w:tr w:rsidR="003D055F" w:rsidRPr="00632B6C" w14:paraId="0A5F2676" w14:textId="77777777" w:rsidTr="008D18FC">
        <w:tc>
          <w:tcPr>
            <w:tcW w:w="9360" w:type="dxa"/>
            <w:gridSpan w:val="6"/>
          </w:tcPr>
          <w:p w14:paraId="56976DE1" w14:textId="77777777" w:rsidR="00B16CCA" w:rsidRPr="00E41931" w:rsidRDefault="005B3B9F">
            <w:pPr>
              <w:pStyle w:val="zSoquijdatNomPartieDef"/>
              <w:rPr>
                <w:caps/>
              </w:rPr>
            </w:pPr>
            <w:r w:rsidRPr="00E41931">
              <w:rPr>
                <w:caps/>
              </w:rPr>
              <w:t>la garantie des immeubles résidentiels inc.</w:t>
            </w:r>
          </w:p>
        </w:tc>
      </w:tr>
      <w:tr w:rsidR="003D055F" w:rsidRPr="00632B6C" w14:paraId="34477F17" w14:textId="77777777" w:rsidTr="008D18FC">
        <w:tc>
          <w:tcPr>
            <w:tcW w:w="9360" w:type="dxa"/>
            <w:gridSpan w:val="6"/>
          </w:tcPr>
          <w:p w14:paraId="7F53288C" w14:textId="7C0763CE" w:rsidR="008F364A" w:rsidRPr="00632B6C" w:rsidRDefault="00AE169B">
            <w:pPr>
              <w:pStyle w:val="zSoquijdatQtePartieDef"/>
              <w:rPr>
                <w:lang w:val="en-CA"/>
              </w:rPr>
            </w:pPr>
            <w:r w:rsidRPr="00632B6C">
              <w:rPr>
                <w:lang w:val="en-CA"/>
              </w:rPr>
              <w:t>RESPONDENTS – Defendants</w:t>
            </w:r>
          </w:p>
        </w:tc>
      </w:tr>
      <w:tr w:rsidR="003D055F" w:rsidRPr="00632B6C" w14:paraId="721F17F8" w14:textId="77777777" w:rsidTr="008D18FC">
        <w:tc>
          <w:tcPr>
            <w:tcW w:w="9360" w:type="dxa"/>
            <w:gridSpan w:val="6"/>
          </w:tcPr>
          <w:p w14:paraId="35E3757D" w14:textId="3FA85BD1" w:rsidR="00804F25" w:rsidRPr="00632B6C" w:rsidRDefault="00AE169B">
            <w:pPr>
              <w:rPr>
                <w:lang w:val="en-CA"/>
              </w:rPr>
            </w:pPr>
            <w:r w:rsidRPr="00632B6C">
              <w:rPr>
                <w:lang w:val="en-CA"/>
              </w:rPr>
              <w:t>and</w:t>
            </w:r>
          </w:p>
        </w:tc>
      </w:tr>
      <w:tr w:rsidR="003D055F" w:rsidRPr="00632B6C" w14:paraId="25BDC8B0" w14:textId="77777777" w:rsidTr="00EF0BAC">
        <w:tc>
          <w:tcPr>
            <w:tcW w:w="9360" w:type="dxa"/>
            <w:gridSpan w:val="6"/>
          </w:tcPr>
          <w:p w14:paraId="2DE783F3" w14:textId="77777777" w:rsidR="00A136D7" w:rsidRPr="00632B6C" w:rsidRDefault="005B3B9F" w:rsidP="00A136D7">
            <w:pPr>
              <w:pStyle w:val="zSoquijdatNomPartieDem"/>
              <w:rPr>
                <w:lang w:val="en-CA"/>
              </w:rPr>
            </w:pPr>
            <w:r w:rsidRPr="00632B6C">
              <w:rPr>
                <w:caps/>
                <w:lang w:val="en-CA"/>
              </w:rPr>
              <w:t>7989288 CANADA INC.</w:t>
            </w:r>
          </w:p>
        </w:tc>
      </w:tr>
      <w:tr w:rsidR="003D055F" w:rsidRPr="00632B6C" w14:paraId="3C62FC53" w14:textId="77777777" w:rsidTr="008D18FC">
        <w:tc>
          <w:tcPr>
            <w:tcW w:w="9360" w:type="dxa"/>
            <w:gridSpan w:val="6"/>
          </w:tcPr>
          <w:p w14:paraId="7CC8BF62" w14:textId="7D2CB404" w:rsidR="00A136D7" w:rsidRPr="00632B6C" w:rsidRDefault="00AE169B" w:rsidP="00A136D7">
            <w:pPr>
              <w:pStyle w:val="zSoquijdatQtePartieDef"/>
              <w:rPr>
                <w:lang w:val="en-CA"/>
              </w:rPr>
            </w:pPr>
            <w:r w:rsidRPr="00632B6C">
              <w:rPr>
                <w:lang w:val="en-CA"/>
              </w:rPr>
              <w:t>IMPLEADED PARTY – Defendant</w:t>
            </w:r>
          </w:p>
        </w:tc>
      </w:tr>
      <w:tr w:rsidR="003D055F" w:rsidRPr="00632B6C" w14:paraId="37B12F4A" w14:textId="77777777" w:rsidTr="00544BFD">
        <w:tc>
          <w:tcPr>
            <w:tcW w:w="9360" w:type="dxa"/>
            <w:gridSpan w:val="6"/>
          </w:tcPr>
          <w:p w14:paraId="3C76E162" w14:textId="382B310B" w:rsidR="00544BFD" w:rsidRPr="00632B6C" w:rsidRDefault="00AE169B" w:rsidP="00544BFD">
            <w:pPr>
              <w:rPr>
                <w:lang w:val="en-CA"/>
              </w:rPr>
            </w:pPr>
            <w:r w:rsidRPr="00632B6C">
              <w:rPr>
                <w:lang w:val="en-CA"/>
              </w:rPr>
              <w:t>and</w:t>
            </w:r>
          </w:p>
        </w:tc>
      </w:tr>
      <w:tr w:rsidR="003D055F" w:rsidRPr="00632B6C" w14:paraId="19577862" w14:textId="77777777" w:rsidTr="008D18FC">
        <w:tc>
          <w:tcPr>
            <w:tcW w:w="9360" w:type="dxa"/>
            <w:gridSpan w:val="6"/>
          </w:tcPr>
          <w:p w14:paraId="236FF6B0" w14:textId="77777777" w:rsidR="00804F25" w:rsidRPr="00632B6C" w:rsidRDefault="005B3B9F">
            <w:pPr>
              <w:rPr>
                <w:b/>
                <w:lang w:val="en-CA"/>
              </w:rPr>
            </w:pPr>
            <w:r w:rsidRPr="00632B6C">
              <w:rPr>
                <w:b/>
                <w:lang w:val="en-CA"/>
              </w:rPr>
              <w:t>ROBERT ARCHAMBAULT</w:t>
            </w:r>
          </w:p>
        </w:tc>
      </w:tr>
      <w:tr w:rsidR="003D055F" w:rsidRPr="00632B6C" w14:paraId="09E252F0" w14:textId="77777777" w:rsidTr="008D18FC">
        <w:tc>
          <w:tcPr>
            <w:tcW w:w="9360" w:type="dxa"/>
            <w:gridSpan w:val="6"/>
          </w:tcPr>
          <w:p w14:paraId="4BB21527" w14:textId="0ACDC46F" w:rsidR="00804F25" w:rsidRPr="00632B6C" w:rsidRDefault="00AE169B" w:rsidP="00804F25">
            <w:pPr>
              <w:pStyle w:val="zSoquijdatQtePartieDef"/>
              <w:rPr>
                <w:lang w:val="en-CA"/>
              </w:rPr>
            </w:pPr>
            <w:r w:rsidRPr="00632B6C">
              <w:rPr>
                <w:lang w:val="en-CA"/>
              </w:rPr>
              <w:t>IMPLEADED PARTY – Interven</w:t>
            </w:r>
            <w:r w:rsidR="003A4E86">
              <w:rPr>
                <w:lang w:val="en-CA"/>
              </w:rPr>
              <w:t>o</w:t>
            </w:r>
            <w:r w:rsidRPr="00632B6C">
              <w:rPr>
                <w:lang w:val="en-CA"/>
              </w:rPr>
              <w:t>r</w:t>
            </w:r>
          </w:p>
        </w:tc>
      </w:tr>
      <w:tr w:rsidR="003D055F" w:rsidRPr="00632B6C" w14:paraId="3A07C98E" w14:textId="77777777" w:rsidTr="008D18FC">
        <w:tc>
          <w:tcPr>
            <w:tcW w:w="9360" w:type="dxa"/>
            <w:gridSpan w:val="6"/>
          </w:tcPr>
          <w:p w14:paraId="4A946587" w14:textId="77777777" w:rsidR="008F364A" w:rsidRPr="00632B6C" w:rsidRDefault="00DF4B78">
            <w:pPr>
              <w:rPr>
                <w:lang w:val="en-CA"/>
              </w:rPr>
            </w:pPr>
          </w:p>
        </w:tc>
      </w:tr>
      <w:tr w:rsidR="003D055F" w:rsidRPr="00632B6C" w14:paraId="4C1F09F6" w14:textId="77777777" w:rsidTr="008D18FC">
        <w:tc>
          <w:tcPr>
            <w:tcW w:w="9360" w:type="dxa"/>
            <w:gridSpan w:val="6"/>
            <w:tcBorders>
              <w:top w:val="single" w:sz="8" w:space="0" w:color="auto"/>
            </w:tcBorders>
          </w:tcPr>
          <w:p w14:paraId="57CC1A6F" w14:textId="77777777" w:rsidR="008F364A" w:rsidRPr="00632B6C" w:rsidRDefault="00DF4B78">
            <w:pPr>
              <w:rPr>
                <w:lang w:val="en-CA"/>
              </w:rPr>
            </w:pPr>
            <w:bookmarkStart w:id="4" w:name="Arret"/>
          </w:p>
        </w:tc>
      </w:tr>
      <w:tr w:rsidR="003D055F" w:rsidRPr="00632B6C" w14:paraId="43540349" w14:textId="77777777" w:rsidTr="008D18FC">
        <w:tc>
          <w:tcPr>
            <w:tcW w:w="9360" w:type="dxa"/>
            <w:gridSpan w:val="6"/>
          </w:tcPr>
          <w:p w14:paraId="5DCE02F3" w14:textId="7B4A6914" w:rsidR="008F364A" w:rsidRPr="00632B6C" w:rsidRDefault="00AE169B">
            <w:pPr>
              <w:pStyle w:val="zSoquijlblTypeDocument"/>
              <w:rPr>
                <w:lang w:val="en-CA"/>
              </w:rPr>
            </w:pPr>
            <w:r w:rsidRPr="00632B6C">
              <w:rPr>
                <w:lang w:val="en-CA"/>
              </w:rPr>
              <w:t>JUDGMENT</w:t>
            </w:r>
          </w:p>
        </w:tc>
      </w:tr>
      <w:tr w:rsidR="003D055F" w:rsidRPr="00632B6C" w14:paraId="1CBFC2E3" w14:textId="77777777" w:rsidTr="008D18FC">
        <w:tc>
          <w:tcPr>
            <w:tcW w:w="9360" w:type="dxa"/>
            <w:gridSpan w:val="6"/>
            <w:tcBorders>
              <w:bottom w:val="single" w:sz="8" w:space="0" w:color="auto"/>
            </w:tcBorders>
          </w:tcPr>
          <w:p w14:paraId="090EEDA7" w14:textId="77777777" w:rsidR="008F364A" w:rsidRPr="00632B6C" w:rsidRDefault="00DF4B78">
            <w:pPr>
              <w:rPr>
                <w:lang w:val="en-CA"/>
              </w:rPr>
            </w:pPr>
          </w:p>
        </w:tc>
      </w:tr>
      <w:tr w:rsidR="003D055F" w:rsidRPr="00632B6C" w14:paraId="4F3EE3A6" w14:textId="77777777" w:rsidTr="008D18FC">
        <w:tc>
          <w:tcPr>
            <w:tcW w:w="9360" w:type="dxa"/>
            <w:gridSpan w:val="6"/>
            <w:tcBorders>
              <w:top w:val="single" w:sz="8" w:space="0" w:color="auto"/>
            </w:tcBorders>
          </w:tcPr>
          <w:p w14:paraId="03A4402E" w14:textId="77777777" w:rsidR="008F364A" w:rsidRPr="00632B6C" w:rsidRDefault="00DF4B78">
            <w:pPr>
              <w:rPr>
                <w:lang w:val="en-CA"/>
              </w:rPr>
            </w:pPr>
          </w:p>
        </w:tc>
      </w:tr>
    </w:tbl>
    <w:p w14:paraId="3AB04753" w14:textId="30FD3831" w:rsidR="0026102A" w:rsidRPr="00632B6C" w:rsidRDefault="00AE169B" w:rsidP="00324897">
      <w:pPr>
        <w:pStyle w:val="Paragraphe"/>
        <w:tabs>
          <w:tab w:val="clear" w:pos="720"/>
          <w:tab w:val="num" w:pos="709"/>
        </w:tabs>
        <w:spacing w:line="240" w:lineRule="auto"/>
        <w:rPr>
          <w:lang w:val="en-CA"/>
        </w:rPr>
      </w:pPr>
      <w:r w:rsidRPr="00632B6C">
        <w:rPr>
          <w:lang w:val="en-CA"/>
        </w:rPr>
        <w:t xml:space="preserve">The appellants appeal </w:t>
      </w:r>
      <w:r w:rsidR="00E41931">
        <w:rPr>
          <w:lang w:val="en-CA"/>
        </w:rPr>
        <w:t xml:space="preserve">from </w:t>
      </w:r>
      <w:r w:rsidRPr="00632B6C">
        <w:rPr>
          <w:lang w:val="en-CA"/>
        </w:rPr>
        <w:t>a judgment rendered on February 22, 2021, by the Superior Court, District of Montreal (the Honourable David E. Platts, J.S.C.)</w:t>
      </w:r>
      <w:r w:rsidR="00781380">
        <w:rPr>
          <w:lang w:val="en-CA"/>
        </w:rPr>
        <w:t>,</w:t>
      </w:r>
      <w:r w:rsidRPr="00632B6C">
        <w:rPr>
          <w:lang w:val="en-CA"/>
        </w:rPr>
        <w:t xml:space="preserve"> dismissing their claim for damages with legal costs.</w:t>
      </w:r>
    </w:p>
    <w:p w14:paraId="01743DD9" w14:textId="5CCAD307" w:rsidR="00FB1D4A" w:rsidRPr="00632B6C" w:rsidRDefault="00AE169B" w:rsidP="00B2165C">
      <w:pPr>
        <w:pStyle w:val="Paragraphe"/>
        <w:spacing w:line="240" w:lineRule="auto"/>
        <w:rPr>
          <w:lang w:val="en-CA"/>
        </w:rPr>
      </w:pPr>
      <w:r w:rsidRPr="00632B6C">
        <w:rPr>
          <w:lang w:val="en-CA"/>
        </w:rPr>
        <w:t xml:space="preserve">The appellants signed preliminary contracts and paid </w:t>
      </w:r>
      <w:r w:rsidR="00786D43">
        <w:rPr>
          <w:lang w:val="en-CA"/>
        </w:rPr>
        <w:t>down payments</w:t>
      </w:r>
      <w:r w:rsidR="00E41931">
        <w:rPr>
          <w:lang w:val="en-CA"/>
        </w:rPr>
        <w:t xml:space="preserve"> total</w:t>
      </w:r>
      <w:r w:rsidR="00786D43">
        <w:rPr>
          <w:lang w:val="en-CA"/>
        </w:rPr>
        <w:t>ling</w:t>
      </w:r>
      <w:r w:rsidR="00E41931">
        <w:rPr>
          <w:lang w:val="en-CA"/>
        </w:rPr>
        <w:t xml:space="preserve"> $</w:t>
      </w:r>
      <w:r w:rsidRPr="00632B6C">
        <w:rPr>
          <w:lang w:val="en-CA"/>
        </w:rPr>
        <w:t xml:space="preserve">3,346,855 </w:t>
      </w:r>
      <w:r w:rsidR="007B5F06">
        <w:rPr>
          <w:lang w:val="en-CA"/>
        </w:rPr>
        <w:t>for the</w:t>
      </w:r>
      <w:r w:rsidR="007B5F06" w:rsidRPr="00632B6C">
        <w:rPr>
          <w:lang w:val="en-CA"/>
        </w:rPr>
        <w:t xml:space="preserve"> </w:t>
      </w:r>
      <w:r w:rsidRPr="00632B6C">
        <w:rPr>
          <w:lang w:val="en-CA"/>
        </w:rPr>
        <w:t>purchase</w:t>
      </w:r>
      <w:r w:rsidR="007B5F06">
        <w:rPr>
          <w:lang w:val="en-CA"/>
        </w:rPr>
        <w:t xml:space="preserve"> of</w:t>
      </w:r>
      <w:r w:rsidRPr="00632B6C">
        <w:rPr>
          <w:lang w:val="en-CA"/>
        </w:rPr>
        <w:t xml:space="preserve"> 25 units in a deluxe </w:t>
      </w:r>
      <w:r w:rsidR="00340066" w:rsidRPr="00632B6C">
        <w:rPr>
          <w:lang w:val="en-CA"/>
        </w:rPr>
        <w:t>condominium</w:t>
      </w:r>
      <w:r w:rsidRPr="00632B6C">
        <w:rPr>
          <w:lang w:val="en-CA"/>
        </w:rPr>
        <w:t xml:space="preserve"> </w:t>
      </w:r>
      <w:r w:rsidR="00E41931">
        <w:rPr>
          <w:lang w:val="en-CA"/>
        </w:rPr>
        <w:t xml:space="preserve">tower </w:t>
      </w:r>
      <w:r w:rsidRPr="00632B6C">
        <w:rPr>
          <w:lang w:val="en-CA"/>
        </w:rPr>
        <w:t>project </w:t>
      </w:r>
      <w:r w:rsidR="00700B9B">
        <w:rPr>
          <w:lang w:val="en-CA"/>
        </w:rPr>
        <w:t>being develop</w:t>
      </w:r>
      <w:r w:rsidRPr="00632B6C">
        <w:rPr>
          <w:lang w:val="en-CA"/>
        </w:rPr>
        <w:t>ed by the impleaded party 7989288 Canada Inc.</w:t>
      </w:r>
      <w:r w:rsidR="00E41931">
        <w:rPr>
          <w:lang w:val="en-CA"/>
        </w:rPr>
        <w:t xml:space="preserve"> (the “</w:t>
      </w:r>
      <w:r w:rsidR="005D3DAB">
        <w:rPr>
          <w:lang w:val="en-CA"/>
        </w:rPr>
        <w:t>Developer</w:t>
      </w:r>
      <w:r w:rsidR="00E41931">
        <w:rPr>
          <w:lang w:val="en-CA"/>
        </w:rPr>
        <w:t>”).</w:t>
      </w:r>
      <w:r w:rsidR="005B3B9F" w:rsidRPr="00632B6C">
        <w:rPr>
          <w:lang w:val="en-CA"/>
        </w:rPr>
        <w:t xml:space="preserve"> </w:t>
      </w:r>
    </w:p>
    <w:p w14:paraId="47EBD6E6" w14:textId="38A7419F" w:rsidR="00112D70" w:rsidRPr="00632B6C" w:rsidRDefault="00AE169B" w:rsidP="00B2165C">
      <w:pPr>
        <w:pStyle w:val="Paragraphe"/>
        <w:spacing w:line="240" w:lineRule="auto"/>
        <w:rPr>
          <w:lang w:val="en-CA"/>
        </w:rPr>
      </w:pPr>
      <w:r w:rsidRPr="00632B6C">
        <w:rPr>
          <w:lang w:val="en-CA"/>
        </w:rPr>
        <w:t xml:space="preserve">These </w:t>
      </w:r>
      <w:r w:rsidR="004332CE" w:rsidRPr="00632B6C">
        <w:rPr>
          <w:lang w:val="en-CA"/>
        </w:rPr>
        <w:t>down payments</w:t>
      </w:r>
      <w:r w:rsidRPr="00632B6C">
        <w:rPr>
          <w:lang w:val="en-CA"/>
        </w:rPr>
        <w:t xml:space="preserve"> were initially deposited into the trust account of the respondents, notary Stuart M. Millowitz and the firm Millowitz Hodes Bergeron </w:t>
      </w:r>
      <w:r w:rsidR="00700B9B" w:rsidRPr="00700B9B">
        <w:rPr>
          <w:lang w:val="en-CA"/>
        </w:rPr>
        <w:t>S.E.N.C.R.L.</w:t>
      </w:r>
      <w:r w:rsidRPr="00632B6C">
        <w:rPr>
          <w:lang w:val="en-CA"/>
        </w:rPr>
        <w:t xml:space="preserve"> (collectively the </w:t>
      </w:r>
      <w:r w:rsidR="00E41931">
        <w:rPr>
          <w:lang w:val="en-CA"/>
        </w:rPr>
        <w:t>“</w:t>
      </w:r>
      <w:r w:rsidRPr="00632B6C">
        <w:rPr>
          <w:lang w:val="en-CA"/>
        </w:rPr>
        <w:t>Notary”).</w:t>
      </w:r>
      <w:r w:rsidR="005B3B9F" w:rsidRPr="00632B6C">
        <w:rPr>
          <w:lang w:val="en-CA"/>
        </w:rPr>
        <w:t xml:space="preserve"> </w:t>
      </w:r>
      <w:r w:rsidRPr="00632B6C">
        <w:rPr>
          <w:lang w:val="en-CA"/>
        </w:rPr>
        <w:t xml:space="preserve">They were then </w:t>
      </w:r>
      <w:r w:rsidR="00E41931">
        <w:rPr>
          <w:lang w:val="en-CA"/>
        </w:rPr>
        <w:t xml:space="preserve">disbursed to </w:t>
      </w:r>
      <w:r w:rsidRPr="00632B6C">
        <w:rPr>
          <w:lang w:val="en-CA"/>
        </w:rPr>
        <w:t xml:space="preserve">the </w:t>
      </w:r>
      <w:r w:rsidR="00B35C6E">
        <w:rPr>
          <w:lang w:val="en-CA"/>
        </w:rPr>
        <w:t>Developer</w:t>
      </w:r>
      <w:r w:rsidR="00B35C6E" w:rsidRPr="00632B6C">
        <w:rPr>
          <w:lang w:val="en-CA"/>
        </w:rPr>
        <w:t xml:space="preserve"> </w:t>
      </w:r>
      <w:r w:rsidRPr="00632B6C">
        <w:rPr>
          <w:lang w:val="en-CA"/>
        </w:rPr>
        <w:t>to finance the project</w:t>
      </w:r>
      <w:r w:rsidR="00E41931">
        <w:rPr>
          <w:lang w:val="en-CA"/>
        </w:rPr>
        <w:t>,</w:t>
      </w:r>
      <w:r w:rsidRPr="00632B6C">
        <w:rPr>
          <w:lang w:val="en-CA"/>
        </w:rPr>
        <w:t xml:space="preserve"> except for </w:t>
      </w:r>
      <w:r w:rsidR="00E41931">
        <w:rPr>
          <w:lang w:val="en-CA"/>
        </w:rPr>
        <w:t xml:space="preserve">an amount of </w:t>
      </w:r>
      <w:r w:rsidRPr="00632B6C">
        <w:rPr>
          <w:lang w:val="en-CA"/>
        </w:rPr>
        <w:t>$450,000 which was given to the other respondent, La Garantie des immeubles résidentiels inc.</w:t>
      </w:r>
      <w:r w:rsidR="005B3B9F" w:rsidRPr="00632B6C">
        <w:rPr>
          <w:lang w:val="en-CA"/>
        </w:rPr>
        <w:t xml:space="preserve"> </w:t>
      </w:r>
      <w:r w:rsidRPr="00632B6C">
        <w:rPr>
          <w:lang w:val="en-CA"/>
        </w:rPr>
        <w:t xml:space="preserve">(“GIR”) as security by the </w:t>
      </w:r>
      <w:r w:rsidR="005D3DAB">
        <w:rPr>
          <w:lang w:val="en-CA"/>
        </w:rPr>
        <w:t>Developer</w:t>
      </w:r>
      <w:r w:rsidRPr="00632B6C">
        <w:rPr>
          <w:lang w:val="en-CA"/>
        </w:rPr>
        <w:t>.</w:t>
      </w:r>
      <w:r w:rsidR="005B3B9F" w:rsidRPr="00632B6C">
        <w:rPr>
          <w:lang w:val="en-CA"/>
        </w:rPr>
        <w:t xml:space="preserve"> </w:t>
      </w:r>
    </w:p>
    <w:p w14:paraId="6378E38F" w14:textId="310D1340" w:rsidR="00B2165C" w:rsidRPr="00632B6C" w:rsidRDefault="00AE169B" w:rsidP="00B2165C">
      <w:pPr>
        <w:pStyle w:val="Paragraphe"/>
        <w:spacing w:line="240" w:lineRule="auto"/>
        <w:rPr>
          <w:lang w:val="en-CA"/>
        </w:rPr>
      </w:pPr>
      <w:r w:rsidRPr="00632B6C">
        <w:rPr>
          <w:lang w:val="en-CA"/>
        </w:rPr>
        <w:lastRenderedPageBreak/>
        <w:t xml:space="preserve">The project never saw the light of day </w:t>
      </w:r>
      <w:r w:rsidR="00944DAF">
        <w:rPr>
          <w:lang w:val="en-CA"/>
        </w:rPr>
        <w:t>after</w:t>
      </w:r>
      <w:r w:rsidRPr="00632B6C">
        <w:rPr>
          <w:lang w:val="en-CA"/>
        </w:rPr>
        <w:t xml:space="preserve"> the National Bank of Canada (the </w:t>
      </w:r>
      <w:r w:rsidR="00944DAF">
        <w:rPr>
          <w:lang w:val="en-CA"/>
        </w:rPr>
        <w:t>“</w:t>
      </w:r>
      <w:r w:rsidRPr="00632B6C">
        <w:rPr>
          <w:lang w:val="en-CA"/>
        </w:rPr>
        <w:t>Bank”) refus</w:t>
      </w:r>
      <w:r w:rsidR="00944DAF">
        <w:rPr>
          <w:lang w:val="en-CA"/>
        </w:rPr>
        <w:t>ed</w:t>
      </w:r>
      <w:r w:rsidRPr="00632B6C">
        <w:rPr>
          <w:lang w:val="en-CA"/>
        </w:rPr>
        <w:t xml:space="preserve"> to finance it.</w:t>
      </w:r>
      <w:r w:rsidR="005B3B9F" w:rsidRPr="00632B6C">
        <w:rPr>
          <w:lang w:val="en-CA"/>
        </w:rPr>
        <w:t xml:space="preserve"> </w:t>
      </w:r>
      <w:r w:rsidRPr="00632B6C">
        <w:rPr>
          <w:lang w:val="en-CA"/>
        </w:rPr>
        <w:t xml:space="preserve">The </w:t>
      </w:r>
      <w:r w:rsidR="00700B9B" w:rsidRPr="00632B6C">
        <w:rPr>
          <w:lang w:val="en-CA"/>
        </w:rPr>
        <w:t>down payments</w:t>
      </w:r>
      <w:r w:rsidR="00700B9B">
        <w:rPr>
          <w:lang w:val="en-CA"/>
        </w:rPr>
        <w:t xml:space="preserve"> </w:t>
      </w:r>
      <w:r w:rsidR="00944DAF">
        <w:rPr>
          <w:lang w:val="en-CA"/>
        </w:rPr>
        <w:t>were never reimbursed</w:t>
      </w:r>
      <w:r w:rsidR="00700B9B">
        <w:rPr>
          <w:lang w:val="en-CA"/>
        </w:rPr>
        <w:t xml:space="preserve"> to the appellants</w:t>
      </w:r>
      <w:r w:rsidRPr="00632B6C">
        <w:rPr>
          <w:lang w:val="en-CA"/>
        </w:rPr>
        <w:t xml:space="preserve">, except for the portion insured with GIR, an amount of $30,000 per unit, </w:t>
      </w:r>
      <w:r w:rsidR="00DA4B00">
        <w:rPr>
          <w:lang w:val="en-CA"/>
        </w:rPr>
        <w:t xml:space="preserve">pursuant to </w:t>
      </w:r>
      <w:r w:rsidRPr="00632B6C">
        <w:rPr>
          <w:lang w:val="en-CA"/>
        </w:rPr>
        <w:t>the accreditation.</w:t>
      </w:r>
    </w:p>
    <w:p w14:paraId="2FBED558" w14:textId="28B91097" w:rsidR="00B2165C" w:rsidRPr="00632B6C" w:rsidRDefault="00AE169B" w:rsidP="00372374">
      <w:pPr>
        <w:pStyle w:val="Paragraphe"/>
        <w:tabs>
          <w:tab w:val="clear" w:pos="720"/>
          <w:tab w:val="num" w:pos="709"/>
        </w:tabs>
        <w:spacing w:after="240" w:line="240" w:lineRule="auto"/>
        <w:rPr>
          <w:lang w:val="en-CA"/>
        </w:rPr>
      </w:pPr>
      <w:r w:rsidRPr="00632B6C">
        <w:rPr>
          <w:lang w:val="en-CA"/>
        </w:rPr>
        <w:t xml:space="preserve">The appellants therefore sued the Notary and GIR for the difference between the </w:t>
      </w:r>
      <w:r w:rsidR="004332CE" w:rsidRPr="00632B6C">
        <w:rPr>
          <w:lang w:val="en-CA"/>
        </w:rPr>
        <w:t>down payments</w:t>
      </w:r>
      <w:r w:rsidRPr="00632B6C">
        <w:rPr>
          <w:lang w:val="en-CA"/>
        </w:rPr>
        <w:t xml:space="preserve"> disbursed and the compensation received. Their claim totalling approximately $2,500,000 was dismissed because they failed to prove a causal connection between the faults alleged against the Notary and GIR and the los</w:t>
      </w:r>
      <w:r w:rsidR="00DA4B00">
        <w:rPr>
          <w:lang w:val="en-CA"/>
        </w:rPr>
        <w:t>s of the</w:t>
      </w:r>
      <w:r w:rsidRPr="00632B6C">
        <w:rPr>
          <w:lang w:val="en-CA"/>
        </w:rPr>
        <w:t xml:space="preserve"> </w:t>
      </w:r>
      <w:r w:rsidR="004332CE" w:rsidRPr="00632B6C">
        <w:rPr>
          <w:lang w:val="en-CA"/>
        </w:rPr>
        <w:t>down payments</w:t>
      </w:r>
      <w:r w:rsidRPr="00632B6C">
        <w:rPr>
          <w:lang w:val="en-CA"/>
        </w:rPr>
        <w:t>.</w:t>
      </w:r>
      <w:r w:rsidR="005B3B9F" w:rsidRPr="00632B6C">
        <w:rPr>
          <w:lang w:val="en-CA"/>
        </w:rPr>
        <w:t xml:space="preserve"> </w:t>
      </w:r>
      <w:r w:rsidRPr="00632B6C">
        <w:rPr>
          <w:lang w:val="en-CA"/>
        </w:rPr>
        <w:t xml:space="preserve">Despite </w:t>
      </w:r>
      <w:r w:rsidR="00DA4B00">
        <w:rPr>
          <w:lang w:val="en-CA"/>
        </w:rPr>
        <w:t xml:space="preserve">finding that </w:t>
      </w:r>
      <w:r w:rsidRPr="00632B6C">
        <w:rPr>
          <w:lang w:val="en-CA"/>
        </w:rPr>
        <w:t>the Notary and GIR</w:t>
      </w:r>
      <w:r w:rsidR="00DA4B00">
        <w:rPr>
          <w:lang w:val="en-CA"/>
        </w:rPr>
        <w:t xml:space="preserve"> had made several errors</w:t>
      </w:r>
      <w:r w:rsidRPr="00632B6C">
        <w:rPr>
          <w:lang w:val="en-CA"/>
        </w:rPr>
        <w:t xml:space="preserve">, the judge </w:t>
      </w:r>
      <w:r w:rsidR="00DA4B00">
        <w:rPr>
          <w:lang w:val="en-CA"/>
        </w:rPr>
        <w:t xml:space="preserve">held </w:t>
      </w:r>
      <w:r w:rsidRPr="00632B6C">
        <w:rPr>
          <w:lang w:val="en-CA"/>
        </w:rPr>
        <w:t xml:space="preserve">that the appellants’ loss was instead a direct and immediate </w:t>
      </w:r>
      <w:r w:rsidR="00DA4B00">
        <w:rPr>
          <w:lang w:val="en-CA"/>
        </w:rPr>
        <w:t xml:space="preserve">consequence </w:t>
      </w:r>
      <w:r w:rsidRPr="00632B6C">
        <w:rPr>
          <w:lang w:val="en-CA"/>
        </w:rPr>
        <w:t>of the Bank’s refusal to finance the project.</w:t>
      </w:r>
    </w:p>
    <w:p w14:paraId="470B5621" w14:textId="23FE83FA" w:rsidR="00B2165C" w:rsidRPr="00632B6C" w:rsidRDefault="00AE169B" w:rsidP="00324897">
      <w:pPr>
        <w:pStyle w:val="Paragraphe"/>
        <w:numPr>
          <w:ilvl w:val="0"/>
          <w:numId w:val="0"/>
        </w:numPr>
        <w:rPr>
          <w:b/>
          <w:lang w:val="en-CA"/>
        </w:rPr>
      </w:pPr>
      <w:r w:rsidRPr="00632B6C">
        <w:rPr>
          <w:b/>
          <w:lang w:val="en-CA"/>
        </w:rPr>
        <w:t>BACKGROUND</w:t>
      </w:r>
    </w:p>
    <w:p w14:paraId="18F3FC91" w14:textId="02C315A6" w:rsidR="00B2165C" w:rsidRPr="00632B6C" w:rsidRDefault="00163466" w:rsidP="00324897">
      <w:pPr>
        <w:pStyle w:val="Paragraphe"/>
        <w:tabs>
          <w:tab w:val="clear" w:pos="720"/>
          <w:tab w:val="num" w:pos="709"/>
        </w:tabs>
        <w:spacing w:line="240" w:lineRule="auto"/>
        <w:rPr>
          <w:lang w:val="en-CA"/>
        </w:rPr>
      </w:pPr>
      <w:r>
        <w:rPr>
          <w:lang w:val="en-CA"/>
        </w:rPr>
        <w:t xml:space="preserve">It should be </w:t>
      </w:r>
      <w:r w:rsidR="00D71EFD" w:rsidRPr="00632B6C">
        <w:rPr>
          <w:lang w:val="en-CA"/>
        </w:rPr>
        <w:t xml:space="preserve">briefly </w:t>
      </w:r>
      <w:r>
        <w:rPr>
          <w:lang w:val="en-CA"/>
        </w:rPr>
        <w:t xml:space="preserve">recalled </w:t>
      </w:r>
      <w:r w:rsidR="00D71EFD" w:rsidRPr="00632B6C">
        <w:rPr>
          <w:lang w:val="en-CA"/>
        </w:rPr>
        <w:t xml:space="preserve">that the </w:t>
      </w:r>
      <w:r w:rsidR="005D3DAB">
        <w:rPr>
          <w:lang w:val="en-CA"/>
        </w:rPr>
        <w:t>Developer</w:t>
      </w:r>
      <w:r w:rsidR="005D3DAB" w:rsidRPr="00632B6C">
        <w:rPr>
          <w:lang w:val="en-CA"/>
        </w:rPr>
        <w:t xml:space="preserve"> </w:t>
      </w:r>
      <w:r w:rsidR="00D71EFD" w:rsidRPr="00632B6C">
        <w:rPr>
          <w:lang w:val="en-CA"/>
        </w:rPr>
        <w:t xml:space="preserve">first acquired the property where the tower was </w:t>
      </w:r>
      <w:r>
        <w:rPr>
          <w:lang w:val="en-CA"/>
        </w:rPr>
        <w:t xml:space="preserve">going </w:t>
      </w:r>
      <w:r w:rsidR="00D71EFD" w:rsidRPr="00632B6C">
        <w:rPr>
          <w:lang w:val="en-CA"/>
        </w:rPr>
        <w:t xml:space="preserve">to be built </w:t>
      </w:r>
      <w:r>
        <w:rPr>
          <w:lang w:val="en-CA"/>
        </w:rPr>
        <w:t xml:space="preserve">for </w:t>
      </w:r>
      <w:r w:rsidRPr="00632B6C">
        <w:rPr>
          <w:lang w:val="en-CA"/>
        </w:rPr>
        <w:t xml:space="preserve">$5 million </w:t>
      </w:r>
      <w:r w:rsidR="00D71EFD" w:rsidRPr="00632B6C">
        <w:rPr>
          <w:lang w:val="en-CA"/>
        </w:rPr>
        <w:t>in 2011, with a balance of $4 million to be paid on the purchase price.</w:t>
      </w:r>
      <w:r w:rsidR="005B3B9F" w:rsidRPr="00632B6C">
        <w:rPr>
          <w:lang w:val="en-CA"/>
        </w:rPr>
        <w:t xml:space="preserve"> </w:t>
      </w:r>
      <w:r w:rsidR="00D71EFD" w:rsidRPr="00632B6C">
        <w:rPr>
          <w:lang w:val="en-CA"/>
        </w:rPr>
        <w:t>It then obtained a hypothecary loan of $4</w:t>
      </w:r>
      <w:r w:rsidR="002E1DD2">
        <w:rPr>
          <w:lang w:val="en-CA"/>
        </w:rPr>
        <w:t>.</w:t>
      </w:r>
      <w:r w:rsidR="00D71EFD" w:rsidRPr="00632B6C">
        <w:rPr>
          <w:lang w:val="en-CA"/>
        </w:rPr>
        <w:t>2 million in the summer of 2012 from 9103-3175 Québec inc.</w:t>
      </w:r>
      <w:r w:rsidR="005B3B9F" w:rsidRPr="00632B6C">
        <w:rPr>
          <w:lang w:val="en-CA"/>
        </w:rPr>
        <w:t xml:space="preserve"> </w:t>
      </w:r>
      <w:r w:rsidR="00D71EFD" w:rsidRPr="00632B6C">
        <w:rPr>
          <w:lang w:val="en-CA"/>
        </w:rPr>
        <w:t>(“Point Z</w:t>
      </w:r>
      <w:r w:rsidR="00D935D0">
        <w:rPr>
          <w:lang w:val="en-CA"/>
        </w:rPr>
        <w:t>é</w:t>
      </w:r>
      <w:r w:rsidR="00D71EFD" w:rsidRPr="00632B6C">
        <w:rPr>
          <w:lang w:val="en-CA"/>
        </w:rPr>
        <w:t xml:space="preserve">ro”) to </w:t>
      </w:r>
      <w:r w:rsidR="002E1DD2">
        <w:rPr>
          <w:lang w:val="en-CA"/>
        </w:rPr>
        <w:t>re</w:t>
      </w:r>
      <w:r w:rsidR="00D71EFD" w:rsidRPr="00632B6C">
        <w:rPr>
          <w:lang w:val="en-CA"/>
        </w:rPr>
        <w:t>pay that balance.</w:t>
      </w:r>
      <w:r w:rsidR="005B3B9F" w:rsidRPr="00632B6C">
        <w:rPr>
          <w:lang w:val="en-CA"/>
        </w:rPr>
        <w:t xml:space="preserve"> </w:t>
      </w:r>
      <w:r w:rsidR="00D71EFD" w:rsidRPr="00632B6C">
        <w:rPr>
          <w:lang w:val="en-CA"/>
        </w:rPr>
        <w:t xml:space="preserve">The Notary’s services were then retained and he drafted, at no charge, </w:t>
      </w:r>
      <w:r w:rsidRPr="00632B6C">
        <w:rPr>
          <w:lang w:val="en-CA"/>
        </w:rPr>
        <w:t xml:space="preserve">a </w:t>
      </w:r>
      <w:r w:rsidR="00C81CD3">
        <w:rPr>
          <w:lang w:val="en-CA"/>
        </w:rPr>
        <w:t xml:space="preserve">standard </w:t>
      </w:r>
      <w:r w:rsidRPr="00632B6C">
        <w:rPr>
          <w:lang w:val="en-CA"/>
        </w:rPr>
        <w:t xml:space="preserve">preliminary contract </w:t>
      </w:r>
      <w:r w:rsidR="00D71EFD" w:rsidRPr="00632B6C">
        <w:rPr>
          <w:lang w:val="en-CA"/>
        </w:rPr>
        <w:t xml:space="preserve">in exchange for the </w:t>
      </w:r>
      <w:r w:rsidR="00AA01D2">
        <w:rPr>
          <w:lang w:val="en-CA"/>
        </w:rPr>
        <w:t>D</w:t>
      </w:r>
      <w:r w:rsidR="00AA01D2" w:rsidRPr="00AA01D2">
        <w:rPr>
          <w:szCs w:val="22"/>
          <w:lang w:val="en-CA"/>
        </w:rPr>
        <w:t>eveloper</w:t>
      </w:r>
      <w:r w:rsidR="00D71EFD" w:rsidRPr="00632B6C">
        <w:rPr>
          <w:lang w:val="en-CA"/>
        </w:rPr>
        <w:t xml:space="preserve">’s promise to </w:t>
      </w:r>
      <w:r>
        <w:rPr>
          <w:lang w:val="en-CA"/>
        </w:rPr>
        <w:t xml:space="preserve">entrust </w:t>
      </w:r>
      <w:r w:rsidR="0020640B">
        <w:rPr>
          <w:lang w:val="en-CA"/>
        </w:rPr>
        <w:t xml:space="preserve">to </w:t>
      </w:r>
      <w:r w:rsidR="0020640B" w:rsidRPr="00632B6C">
        <w:rPr>
          <w:lang w:val="en-CA"/>
        </w:rPr>
        <w:t>the Notary</w:t>
      </w:r>
      <w:r w:rsidR="0020640B">
        <w:rPr>
          <w:lang w:val="en-CA"/>
        </w:rPr>
        <w:t xml:space="preserve"> </w:t>
      </w:r>
      <w:r>
        <w:rPr>
          <w:lang w:val="en-CA"/>
        </w:rPr>
        <w:t xml:space="preserve">the </w:t>
      </w:r>
      <w:r w:rsidR="00D71EFD" w:rsidRPr="00632B6C">
        <w:rPr>
          <w:lang w:val="en-CA"/>
        </w:rPr>
        <w:t>prepar</w:t>
      </w:r>
      <w:r>
        <w:rPr>
          <w:lang w:val="en-CA"/>
        </w:rPr>
        <w:t xml:space="preserve">ation </w:t>
      </w:r>
      <w:r w:rsidR="00D71EFD" w:rsidRPr="00632B6C">
        <w:rPr>
          <w:lang w:val="en-CA"/>
        </w:rPr>
        <w:t xml:space="preserve">and </w:t>
      </w:r>
      <w:r>
        <w:rPr>
          <w:lang w:val="en-CA"/>
        </w:rPr>
        <w:t xml:space="preserve">signing of </w:t>
      </w:r>
      <w:r w:rsidR="00D71EFD" w:rsidRPr="00632B6C">
        <w:rPr>
          <w:lang w:val="en-CA"/>
        </w:rPr>
        <w:t>the future deeds of sale</w:t>
      </w:r>
      <w:r w:rsidRPr="00163466">
        <w:rPr>
          <w:lang w:val="en-CA"/>
        </w:rPr>
        <w:t xml:space="preserve"> </w:t>
      </w:r>
      <w:r>
        <w:rPr>
          <w:lang w:val="en-CA"/>
        </w:rPr>
        <w:t>for the units</w:t>
      </w:r>
      <w:r w:rsidR="00D71EFD" w:rsidRPr="00632B6C">
        <w:rPr>
          <w:lang w:val="en-CA"/>
        </w:rPr>
        <w:t>.</w:t>
      </w:r>
    </w:p>
    <w:p w14:paraId="632D1294" w14:textId="7BA6681A" w:rsidR="00B2165C" w:rsidRPr="00632B6C" w:rsidRDefault="00D71EFD" w:rsidP="00324897">
      <w:pPr>
        <w:pStyle w:val="Paragraphe"/>
        <w:tabs>
          <w:tab w:val="clear" w:pos="720"/>
          <w:tab w:val="num" w:pos="709"/>
        </w:tabs>
        <w:spacing w:line="240" w:lineRule="auto"/>
        <w:rPr>
          <w:lang w:val="en-CA"/>
        </w:rPr>
      </w:pPr>
      <w:r w:rsidRPr="00632B6C">
        <w:rPr>
          <w:lang w:val="en-CA"/>
        </w:rPr>
        <w:t xml:space="preserve">According to the Notary’s </w:t>
      </w:r>
      <w:r w:rsidR="00C81CD3">
        <w:rPr>
          <w:lang w:val="en-CA"/>
        </w:rPr>
        <w:t>standard</w:t>
      </w:r>
      <w:r w:rsidRPr="00632B6C">
        <w:rPr>
          <w:lang w:val="en-CA"/>
        </w:rPr>
        <w:t xml:space="preserve"> </w:t>
      </w:r>
      <w:r w:rsidR="002E1DD2" w:rsidRPr="00632B6C">
        <w:rPr>
          <w:lang w:val="en-CA"/>
        </w:rPr>
        <w:t xml:space="preserve">preliminary </w:t>
      </w:r>
      <w:r w:rsidRPr="00632B6C">
        <w:rPr>
          <w:lang w:val="en-CA"/>
        </w:rPr>
        <w:t xml:space="preserve">contract, the Notary was authorized to disburse the </w:t>
      </w:r>
      <w:r w:rsidR="004332CE" w:rsidRPr="00632B6C">
        <w:rPr>
          <w:lang w:val="en-CA"/>
        </w:rPr>
        <w:t>down payments</w:t>
      </w:r>
      <w:r w:rsidRPr="00632B6C">
        <w:rPr>
          <w:lang w:val="en-CA"/>
        </w:rPr>
        <w:t xml:space="preserve"> received </w:t>
      </w:r>
      <w:r w:rsidR="002E1DD2">
        <w:rPr>
          <w:lang w:val="en-CA"/>
        </w:rPr>
        <w:t xml:space="preserve">to </w:t>
      </w:r>
      <w:r w:rsidRPr="00632B6C">
        <w:rPr>
          <w:lang w:val="en-CA"/>
        </w:rPr>
        <w:t xml:space="preserve">the </w:t>
      </w:r>
      <w:r w:rsidR="005D3DAB">
        <w:rPr>
          <w:lang w:val="en-CA"/>
        </w:rPr>
        <w:t>Developer</w:t>
      </w:r>
      <w:r w:rsidR="005D3DAB" w:rsidRPr="00632B6C">
        <w:rPr>
          <w:lang w:val="en-CA"/>
        </w:rPr>
        <w:t xml:space="preserve"> </w:t>
      </w:r>
      <w:r w:rsidR="002E1DD2">
        <w:rPr>
          <w:lang w:val="en-CA"/>
        </w:rPr>
        <w:t xml:space="preserve">after </w:t>
      </w:r>
      <w:r w:rsidRPr="00632B6C">
        <w:rPr>
          <w:lang w:val="en-CA"/>
        </w:rPr>
        <w:t>recei</w:t>
      </w:r>
      <w:r w:rsidR="002E1DD2">
        <w:rPr>
          <w:lang w:val="en-CA"/>
        </w:rPr>
        <w:t>ving</w:t>
      </w:r>
      <w:r w:rsidRPr="00632B6C">
        <w:rPr>
          <w:lang w:val="en-CA"/>
        </w:rPr>
        <w:t xml:space="preserve">: (i) confirmation that the demolition work had </w:t>
      </w:r>
      <w:r w:rsidR="002E1DD2">
        <w:rPr>
          <w:lang w:val="en-CA"/>
        </w:rPr>
        <w:t xml:space="preserve">begun </w:t>
      </w:r>
      <w:r w:rsidRPr="00632B6C">
        <w:rPr>
          <w:lang w:val="en-CA"/>
        </w:rPr>
        <w:t xml:space="preserve">and (ii) authorization </w:t>
      </w:r>
      <w:r w:rsidR="00614302">
        <w:rPr>
          <w:lang w:val="en-CA"/>
        </w:rPr>
        <w:t>of</w:t>
      </w:r>
      <w:r w:rsidRPr="00632B6C">
        <w:rPr>
          <w:lang w:val="en-CA"/>
        </w:rPr>
        <w:t xml:space="preserve"> the residential </w:t>
      </w:r>
      <w:r w:rsidR="00BE7380">
        <w:rPr>
          <w:lang w:val="en-CA"/>
        </w:rPr>
        <w:t>guarantee</w:t>
      </w:r>
      <w:r w:rsidRPr="00632B6C">
        <w:rPr>
          <w:lang w:val="en-CA"/>
        </w:rPr>
        <w:t xml:space="preserve">, as </w:t>
      </w:r>
      <w:r w:rsidR="00E05A19">
        <w:rPr>
          <w:lang w:val="en-CA"/>
        </w:rPr>
        <w:t xml:space="preserve">appears from </w:t>
      </w:r>
      <w:r w:rsidRPr="00632B6C">
        <w:rPr>
          <w:lang w:val="en-CA"/>
        </w:rPr>
        <w:t>the wording of clause 3.5:</w:t>
      </w:r>
      <w:r w:rsidR="005B3B9F" w:rsidRPr="00632B6C">
        <w:rPr>
          <w:rStyle w:val="Appelnotedebasdep"/>
          <w:lang w:val="en-CA"/>
        </w:rPr>
        <w:footnoteReference w:id="1"/>
      </w:r>
      <w:r w:rsidRPr="00632B6C">
        <w:rPr>
          <w:lang w:val="en-CA"/>
        </w:rPr>
        <w:t xml:space="preserve"> </w:t>
      </w:r>
    </w:p>
    <w:p w14:paraId="77DC83F4" w14:textId="18BD9C4A" w:rsidR="00912666" w:rsidRPr="00632B6C" w:rsidRDefault="00912666" w:rsidP="00372374">
      <w:pPr>
        <w:pStyle w:val="Citationenretrait"/>
        <w:spacing w:after="0" w:line="240" w:lineRule="auto"/>
        <w:rPr>
          <w:lang w:val="en-CA"/>
        </w:rPr>
      </w:pPr>
      <w:r w:rsidRPr="00632B6C">
        <w:rPr>
          <w:rFonts w:cs="Arial"/>
          <w:lang w:val="en-CA"/>
        </w:rPr>
        <w:t>[</w:t>
      </w:r>
      <w:r w:rsidRPr="00632B6C">
        <w:rPr>
          <w:rFonts w:cs="Arial"/>
          <w:smallCaps/>
          <w:lang w:val="en-CA"/>
        </w:rPr>
        <w:t>translation</w:t>
      </w:r>
      <w:r w:rsidRPr="00632B6C">
        <w:rPr>
          <w:rFonts w:cs="Arial"/>
          <w:lang w:val="en-CA"/>
        </w:rPr>
        <w:t>]</w:t>
      </w:r>
    </w:p>
    <w:p w14:paraId="532E91AE" w14:textId="0C0194C2" w:rsidR="00B2165C" w:rsidRPr="00632B6C" w:rsidRDefault="00D71EFD" w:rsidP="00372374">
      <w:pPr>
        <w:pStyle w:val="Citationenretrait"/>
        <w:spacing w:after="0" w:line="240" w:lineRule="auto"/>
        <w:rPr>
          <w:u w:val="single"/>
          <w:lang w:val="en-CA"/>
        </w:rPr>
      </w:pPr>
      <w:r w:rsidRPr="00632B6C">
        <w:rPr>
          <w:lang w:val="en-CA"/>
        </w:rPr>
        <w:t xml:space="preserve">3.5 The Purchaser irrevocably authorizes Millowitz Hodes Bergeron to disburse the </w:t>
      </w:r>
      <w:r w:rsidR="002E1DD2">
        <w:rPr>
          <w:lang w:val="en-CA"/>
        </w:rPr>
        <w:t>deposits</w:t>
      </w:r>
      <w:r w:rsidRPr="00632B6C">
        <w:rPr>
          <w:lang w:val="en-CA"/>
        </w:rPr>
        <w:t xml:space="preserve"> </w:t>
      </w:r>
      <w:r w:rsidR="002E1DD2">
        <w:rPr>
          <w:lang w:val="en-CA"/>
        </w:rPr>
        <w:t xml:space="preserve">referred to </w:t>
      </w:r>
      <w:r w:rsidRPr="00632B6C">
        <w:rPr>
          <w:lang w:val="en-CA"/>
        </w:rPr>
        <w:t xml:space="preserve">in paragraphs 3.1, 3.2, 3.3, and 3.4 above to the </w:t>
      </w:r>
      <w:r w:rsidRPr="00632B6C">
        <w:rPr>
          <w:u w:val="single"/>
          <w:lang w:val="en-CA"/>
        </w:rPr>
        <w:t xml:space="preserve">Vendor as soon as </w:t>
      </w:r>
      <w:r w:rsidR="002E1DD2">
        <w:rPr>
          <w:u w:val="single"/>
          <w:lang w:val="en-CA"/>
        </w:rPr>
        <w:t xml:space="preserve">written confirmation has been received from </w:t>
      </w:r>
      <w:r w:rsidRPr="00632B6C">
        <w:rPr>
          <w:u w:val="single"/>
          <w:lang w:val="en-CA"/>
        </w:rPr>
        <w:t xml:space="preserve">the project architect (the </w:t>
      </w:r>
      <w:r w:rsidR="002E1DD2">
        <w:rPr>
          <w:u w:val="single"/>
          <w:lang w:val="en-CA"/>
        </w:rPr>
        <w:t>“</w:t>
      </w:r>
      <w:r w:rsidRPr="00632B6C">
        <w:rPr>
          <w:u w:val="single"/>
          <w:lang w:val="en-CA"/>
        </w:rPr>
        <w:t xml:space="preserve">Architect”) that the demolition has begun, subject to Millowitz Hodes Bergeron having received written instructions from the </w:t>
      </w:r>
      <w:r w:rsidR="0025514C">
        <w:rPr>
          <w:u w:val="single"/>
          <w:lang w:val="en-CA"/>
        </w:rPr>
        <w:t>provider</w:t>
      </w:r>
      <w:r w:rsidR="0025514C" w:rsidRPr="00632B6C">
        <w:rPr>
          <w:u w:val="single"/>
          <w:lang w:val="en-CA"/>
        </w:rPr>
        <w:t xml:space="preserve"> </w:t>
      </w:r>
      <w:r w:rsidRPr="00632B6C">
        <w:rPr>
          <w:u w:val="single"/>
          <w:lang w:val="en-CA"/>
        </w:rPr>
        <w:t xml:space="preserve">of </w:t>
      </w:r>
      <w:r w:rsidR="00BE7380" w:rsidRPr="00BE7380">
        <w:rPr>
          <w:u w:val="single"/>
          <w:lang w:val="en-CA"/>
        </w:rPr>
        <w:t>the guarantee plan for new residential buildings</w:t>
      </w:r>
      <w:r w:rsidRPr="00632B6C">
        <w:rPr>
          <w:u w:val="single"/>
          <w:lang w:val="en-CA"/>
        </w:rPr>
        <w:t xml:space="preserve"> (to be chosen by the Vendor) to </w:t>
      </w:r>
      <w:r w:rsidR="002E1DD2">
        <w:rPr>
          <w:u w:val="single"/>
          <w:lang w:val="en-CA"/>
        </w:rPr>
        <w:t>remit</w:t>
      </w:r>
      <w:r w:rsidRPr="00632B6C">
        <w:rPr>
          <w:u w:val="single"/>
          <w:lang w:val="en-CA"/>
        </w:rPr>
        <w:t xml:space="preserve"> these </w:t>
      </w:r>
      <w:r w:rsidR="002E1DD2">
        <w:rPr>
          <w:u w:val="single"/>
          <w:lang w:val="en-CA"/>
        </w:rPr>
        <w:t>deposits</w:t>
      </w:r>
      <w:r w:rsidRPr="00632B6C">
        <w:rPr>
          <w:u w:val="single"/>
          <w:lang w:val="en-CA"/>
        </w:rPr>
        <w:t>, in full or in part</w:t>
      </w:r>
      <w:r w:rsidR="002E1DD2">
        <w:rPr>
          <w:u w:val="single"/>
          <w:lang w:val="en-CA"/>
        </w:rPr>
        <w:t>,</w:t>
      </w:r>
      <w:r w:rsidR="002E1DD2" w:rsidRPr="002E1DD2">
        <w:rPr>
          <w:u w:val="single"/>
          <w:lang w:val="en-CA"/>
        </w:rPr>
        <w:t xml:space="preserve"> </w:t>
      </w:r>
      <w:r w:rsidR="002E1DD2">
        <w:rPr>
          <w:u w:val="single"/>
          <w:lang w:val="en-CA"/>
        </w:rPr>
        <w:t xml:space="preserve">to </w:t>
      </w:r>
      <w:r w:rsidR="002E1DD2" w:rsidRPr="00632B6C">
        <w:rPr>
          <w:u w:val="single"/>
          <w:lang w:val="en-CA"/>
        </w:rPr>
        <w:t>the Vendor</w:t>
      </w:r>
      <w:r w:rsidRPr="00632B6C">
        <w:rPr>
          <w:lang w:val="en-CA"/>
        </w:rPr>
        <w:t xml:space="preserve">. </w:t>
      </w:r>
    </w:p>
    <w:p w14:paraId="3C9798DA" w14:textId="68585C4C" w:rsidR="00B2165C" w:rsidRPr="00632B6C" w:rsidRDefault="00D71EFD" w:rsidP="00372374">
      <w:pPr>
        <w:pStyle w:val="Citationenretrait"/>
        <w:spacing w:line="240" w:lineRule="auto"/>
        <w:jc w:val="right"/>
        <w:rPr>
          <w:lang w:val="en-CA"/>
        </w:rPr>
      </w:pPr>
      <w:r w:rsidRPr="00632B6C">
        <w:rPr>
          <w:lang w:val="en-CA"/>
        </w:rPr>
        <w:t>[Emphasis added]</w:t>
      </w:r>
    </w:p>
    <w:p w14:paraId="1ECFB877" w14:textId="7E39BF8A" w:rsidR="00B2165C" w:rsidRPr="00632B6C" w:rsidRDefault="00D71EFD" w:rsidP="00324897">
      <w:pPr>
        <w:pStyle w:val="Paragraphe"/>
        <w:spacing w:line="240" w:lineRule="auto"/>
        <w:rPr>
          <w:lang w:val="en-CA"/>
        </w:rPr>
      </w:pPr>
      <w:r w:rsidRPr="00632B6C">
        <w:rPr>
          <w:lang w:val="en-CA"/>
        </w:rPr>
        <w:t xml:space="preserve">This clause </w:t>
      </w:r>
      <w:r w:rsidR="00614302">
        <w:rPr>
          <w:lang w:val="en-CA"/>
        </w:rPr>
        <w:t>was reproduced</w:t>
      </w:r>
      <w:r w:rsidR="002E1DD2">
        <w:rPr>
          <w:lang w:val="en-CA"/>
        </w:rPr>
        <w:t xml:space="preserve"> in full </w:t>
      </w:r>
      <w:r w:rsidRPr="00632B6C">
        <w:rPr>
          <w:lang w:val="en-CA"/>
        </w:rPr>
        <w:t>in only 9 out of the 25 contracts signed with the appellants.</w:t>
      </w:r>
      <w:r w:rsidR="005B3B9F" w:rsidRPr="00632B6C">
        <w:rPr>
          <w:lang w:val="en-CA"/>
        </w:rPr>
        <w:t xml:space="preserve"> </w:t>
      </w:r>
      <w:r w:rsidRPr="00632B6C">
        <w:rPr>
          <w:lang w:val="en-CA"/>
        </w:rPr>
        <w:t xml:space="preserve">The 16 other contracts </w:t>
      </w:r>
      <w:r w:rsidR="002E1DD2">
        <w:rPr>
          <w:lang w:val="en-CA"/>
        </w:rPr>
        <w:t xml:space="preserve">signed </w:t>
      </w:r>
      <w:r w:rsidR="0025514C">
        <w:rPr>
          <w:lang w:val="en-CA"/>
        </w:rPr>
        <w:t>contained</w:t>
      </w:r>
      <w:r w:rsidR="0025514C" w:rsidRPr="00632B6C">
        <w:rPr>
          <w:lang w:val="en-CA"/>
        </w:rPr>
        <w:t xml:space="preserve"> </w:t>
      </w:r>
      <w:r w:rsidR="002E1DD2">
        <w:rPr>
          <w:lang w:val="en-CA"/>
        </w:rPr>
        <w:t xml:space="preserve">only </w:t>
      </w:r>
      <w:r w:rsidRPr="00632B6C">
        <w:rPr>
          <w:lang w:val="en-CA"/>
        </w:rPr>
        <w:t xml:space="preserve">one condition </w:t>
      </w:r>
      <w:r w:rsidR="00E05A19">
        <w:rPr>
          <w:lang w:val="en-CA"/>
        </w:rPr>
        <w:t xml:space="preserve">precedent </w:t>
      </w:r>
      <w:r w:rsidR="0025514C">
        <w:rPr>
          <w:lang w:val="en-CA"/>
        </w:rPr>
        <w:t xml:space="preserve">to </w:t>
      </w:r>
      <w:r w:rsidRPr="00632B6C">
        <w:rPr>
          <w:lang w:val="en-CA"/>
        </w:rPr>
        <w:t xml:space="preserve">the </w:t>
      </w:r>
      <w:r w:rsidR="0025514C">
        <w:rPr>
          <w:lang w:val="en-CA"/>
        </w:rPr>
        <w:lastRenderedPageBreak/>
        <w:t xml:space="preserve">disbursement of the </w:t>
      </w:r>
      <w:r w:rsidR="004332CE" w:rsidRPr="00632B6C">
        <w:rPr>
          <w:lang w:val="en-CA"/>
        </w:rPr>
        <w:t>down payments</w:t>
      </w:r>
      <w:r w:rsidRPr="00632B6C">
        <w:rPr>
          <w:lang w:val="en-CA"/>
        </w:rPr>
        <w:t xml:space="preserve">, that is, confirmation that the demolition had </w:t>
      </w:r>
      <w:r w:rsidR="002E1DD2">
        <w:rPr>
          <w:lang w:val="en-CA"/>
        </w:rPr>
        <w:t>begun</w:t>
      </w:r>
      <w:r w:rsidRPr="00632B6C">
        <w:rPr>
          <w:lang w:val="en-CA"/>
        </w:rPr>
        <w:t>.</w:t>
      </w:r>
      <w:r w:rsidR="005B3B9F" w:rsidRPr="00632B6C">
        <w:rPr>
          <w:lang w:val="en-CA"/>
        </w:rPr>
        <w:t xml:space="preserve"> </w:t>
      </w:r>
      <w:r w:rsidR="00614302">
        <w:rPr>
          <w:lang w:val="en-CA"/>
        </w:rPr>
        <w:t>All of the</w:t>
      </w:r>
      <w:r w:rsidR="002C404D">
        <w:rPr>
          <w:lang w:val="en-CA"/>
        </w:rPr>
        <w:t xml:space="preserve"> </w:t>
      </w:r>
      <w:r w:rsidRPr="00632B6C">
        <w:rPr>
          <w:lang w:val="en-CA"/>
        </w:rPr>
        <w:t>preliminary contract</w:t>
      </w:r>
      <w:r w:rsidR="00614302">
        <w:rPr>
          <w:lang w:val="en-CA"/>
        </w:rPr>
        <w:t>s</w:t>
      </w:r>
      <w:r w:rsidRPr="00632B6C">
        <w:rPr>
          <w:lang w:val="en-CA"/>
        </w:rPr>
        <w:t xml:space="preserve">, </w:t>
      </w:r>
      <w:r w:rsidR="002E1DD2">
        <w:rPr>
          <w:lang w:val="en-CA"/>
        </w:rPr>
        <w:t>however, stipulated</w:t>
      </w:r>
      <w:r w:rsidRPr="00632B6C">
        <w:rPr>
          <w:lang w:val="en-CA"/>
        </w:rPr>
        <w:t xml:space="preserve"> that the </w:t>
      </w:r>
      <w:r w:rsidR="00AA01D2">
        <w:rPr>
          <w:lang w:val="en-CA"/>
        </w:rPr>
        <w:t>Developer</w:t>
      </w:r>
      <w:r w:rsidRPr="00632B6C">
        <w:rPr>
          <w:lang w:val="en-CA"/>
        </w:rPr>
        <w:t xml:space="preserve"> </w:t>
      </w:r>
      <w:r w:rsidR="002E1DD2">
        <w:rPr>
          <w:lang w:val="en-CA"/>
        </w:rPr>
        <w:t>had until October</w:t>
      </w:r>
      <w:r w:rsidR="00614302">
        <w:rPr>
          <w:lang w:val="en-CA"/>
        </w:rPr>
        <w:t> </w:t>
      </w:r>
      <w:r w:rsidR="002E1DD2">
        <w:rPr>
          <w:lang w:val="en-CA"/>
        </w:rPr>
        <w:t xml:space="preserve">31, 2013, to </w:t>
      </w:r>
      <w:r w:rsidRPr="00632B6C">
        <w:rPr>
          <w:lang w:val="en-CA"/>
        </w:rPr>
        <w:t>cancel the project.</w:t>
      </w:r>
    </w:p>
    <w:p w14:paraId="21E47BD5" w14:textId="005640F5" w:rsidR="00B2165C" w:rsidRPr="00632B6C" w:rsidRDefault="00D71EFD" w:rsidP="00324897">
      <w:pPr>
        <w:pStyle w:val="Paragraphe"/>
        <w:tabs>
          <w:tab w:val="clear" w:pos="720"/>
          <w:tab w:val="num" w:pos="709"/>
        </w:tabs>
        <w:spacing w:line="240" w:lineRule="auto"/>
        <w:rPr>
          <w:lang w:val="en-CA"/>
        </w:rPr>
      </w:pPr>
      <w:r w:rsidRPr="00632B6C">
        <w:rPr>
          <w:lang w:val="en-CA"/>
        </w:rPr>
        <w:t xml:space="preserve">On August 8, 2013, </w:t>
      </w:r>
      <w:r w:rsidR="004F79B2">
        <w:rPr>
          <w:lang w:val="en-CA"/>
        </w:rPr>
        <w:t xml:space="preserve">when </w:t>
      </w:r>
      <w:r w:rsidRPr="00632B6C">
        <w:rPr>
          <w:lang w:val="en-CA"/>
        </w:rPr>
        <w:t>the loan granted by Point Zéro</w:t>
      </w:r>
      <w:r w:rsidR="004F79B2">
        <w:rPr>
          <w:lang w:val="en-CA"/>
        </w:rPr>
        <w:t xml:space="preserve"> </w:t>
      </w:r>
      <w:r w:rsidR="00614302">
        <w:rPr>
          <w:lang w:val="en-CA"/>
        </w:rPr>
        <w:t>was due</w:t>
      </w:r>
      <w:r w:rsidRPr="00632B6C">
        <w:rPr>
          <w:lang w:val="en-CA"/>
        </w:rPr>
        <w:t>, Point Zéro had not received any re</w:t>
      </w:r>
      <w:r w:rsidR="004F79B2">
        <w:rPr>
          <w:lang w:val="en-CA"/>
        </w:rPr>
        <w:t>payment</w:t>
      </w:r>
      <w:r w:rsidRPr="00632B6C">
        <w:rPr>
          <w:lang w:val="en-CA"/>
        </w:rPr>
        <w:t>.</w:t>
      </w:r>
      <w:r w:rsidR="005B3B9F" w:rsidRPr="00632B6C">
        <w:rPr>
          <w:lang w:val="en-CA"/>
        </w:rPr>
        <w:t xml:space="preserve"> </w:t>
      </w:r>
      <w:r w:rsidRPr="00632B6C">
        <w:rPr>
          <w:lang w:val="en-CA"/>
        </w:rPr>
        <w:t xml:space="preserve">The </w:t>
      </w:r>
      <w:r w:rsidR="00AA01D2">
        <w:rPr>
          <w:lang w:val="en-CA"/>
        </w:rPr>
        <w:t>Developer</w:t>
      </w:r>
      <w:r w:rsidRPr="00632B6C">
        <w:rPr>
          <w:lang w:val="en-CA"/>
        </w:rPr>
        <w:t xml:space="preserve"> and Point Zéro then agreed to </w:t>
      </w:r>
      <w:r w:rsidR="004F79B2">
        <w:rPr>
          <w:lang w:val="en-CA"/>
        </w:rPr>
        <w:t>amend</w:t>
      </w:r>
      <w:r w:rsidRPr="00632B6C">
        <w:rPr>
          <w:lang w:val="en-CA"/>
        </w:rPr>
        <w:t xml:space="preserve"> the hypothecary deed to, among other things, extend the deadline </w:t>
      </w:r>
      <w:r w:rsidR="004F79B2">
        <w:rPr>
          <w:lang w:val="en-CA"/>
        </w:rPr>
        <w:t>t</w:t>
      </w:r>
      <w:r w:rsidRPr="00632B6C">
        <w:rPr>
          <w:lang w:val="en-CA"/>
        </w:rPr>
        <w:t xml:space="preserve">o repay the loan </w:t>
      </w:r>
      <w:r w:rsidR="004F79B2">
        <w:rPr>
          <w:lang w:val="en-CA"/>
        </w:rPr>
        <w:t xml:space="preserve">in full </w:t>
      </w:r>
      <w:r w:rsidRPr="00632B6C">
        <w:rPr>
          <w:lang w:val="en-CA"/>
        </w:rPr>
        <w:t xml:space="preserve">to November 8, 2013, </w:t>
      </w:r>
      <w:r w:rsidR="004F79B2">
        <w:rPr>
          <w:lang w:val="en-CA"/>
        </w:rPr>
        <w:t xml:space="preserve">and </w:t>
      </w:r>
      <w:r w:rsidRPr="00632B6C">
        <w:rPr>
          <w:lang w:val="en-CA"/>
        </w:rPr>
        <w:t>increase the interest rate from 15% to 24% and the amount of the hypothec by $2 million.</w:t>
      </w:r>
      <w:r w:rsidR="005B3B9F" w:rsidRPr="00632B6C">
        <w:rPr>
          <w:lang w:val="en-CA"/>
        </w:rPr>
        <w:t xml:space="preserve"> </w:t>
      </w:r>
      <w:r w:rsidRPr="00632B6C">
        <w:rPr>
          <w:lang w:val="en-CA"/>
        </w:rPr>
        <w:t xml:space="preserve">It was a temporary mezzanine loan while waiting </w:t>
      </w:r>
      <w:r w:rsidR="006C3788">
        <w:rPr>
          <w:lang w:val="en-CA"/>
        </w:rPr>
        <w:t>to sign</w:t>
      </w:r>
      <w:r w:rsidRPr="00632B6C">
        <w:rPr>
          <w:lang w:val="en-CA"/>
        </w:rPr>
        <w:t xml:space="preserve"> a financing agreement </w:t>
      </w:r>
      <w:r w:rsidR="002C404D">
        <w:rPr>
          <w:lang w:val="en-CA"/>
        </w:rPr>
        <w:t xml:space="preserve">for </w:t>
      </w:r>
      <w:r w:rsidR="00AD6B68">
        <w:rPr>
          <w:lang w:val="en-CA"/>
        </w:rPr>
        <w:t xml:space="preserve">tens of </w:t>
      </w:r>
      <w:r w:rsidRPr="00632B6C">
        <w:rPr>
          <w:lang w:val="en-CA"/>
        </w:rPr>
        <w:t>million</w:t>
      </w:r>
      <w:r w:rsidR="00AD6B68">
        <w:rPr>
          <w:lang w:val="en-CA"/>
        </w:rPr>
        <w:t>s of</w:t>
      </w:r>
      <w:r w:rsidRPr="00632B6C">
        <w:rPr>
          <w:lang w:val="en-CA"/>
        </w:rPr>
        <w:t xml:space="preserve"> dollars with the Bank and with a new less </w:t>
      </w:r>
      <w:r w:rsidR="006C3788">
        <w:rPr>
          <w:lang w:val="en-CA"/>
        </w:rPr>
        <w:t xml:space="preserve">expensive </w:t>
      </w:r>
      <w:r w:rsidRPr="00632B6C">
        <w:rPr>
          <w:lang w:val="en-CA"/>
        </w:rPr>
        <w:t>mezzanine lender.</w:t>
      </w:r>
      <w:r w:rsidR="005B3B9F" w:rsidRPr="00632B6C">
        <w:rPr>
          <w:lang w:val="en-CA"/>
        </w:rPr>
        <w:t xml:space="preserve"> </w:t>
      </w:r>
      <w:r w:rsidRPr="00632B6C">
        <w:rPr>
          <w:lang w:val="en-CA"/>
        </w:rPr>
        <w:t>On August 29, 2013, Point Zéro’s amended hypothecary deed was published in the land register.</w:t>
      </w:r>
    </w:p>
    <w:p w14:paraId="556F629C" w14:textId="270C24AA" w:rsidR="00B2165C" w:rsidRPr="00632B6C" w:rsidRDefault="0001406C" w:rsidP="00324897">
      <w:pPr>
        <w:pStyle w:val="Paragraphe"/>
        <w:tabs>
          <w:tab w:val="clear" w:pos="720"/>
          <w:tab w:val="num" w:pos="709"/>
        </w:tabs>
        <w:spacing w:line="240" w:lineRule="auto"/>
        <w:rPr>
          <w:lang w:val="en-CA"/>
        </w:rPr>
      </w:pPr>
      <w:r>
        <w:rPr>
          <w:lang w:val="en-CA"/>
        </w:rPr>
        <w:t>The same</w:t>
      </w:r>
      <w:r w:rsidRPr="00632B6C">
        <w:rPr>
          <w:lang w:val="en-CA"/>
        </w:rPr>
        <w:t xml:space="preserve"> </w:t>
      </w:r>
      <w:r w:rsidR="00D71EFD" w:rsidRPr="00632B6C">
        <w:rPr>
          <w:lang w:val="en-CA"/>
        </w:rPr>
        <w:t>day, the architects confirmed that the demolition work had begun.</w:t>
      </w:r>
    </w:p>
    <w:p w14:paraId="2D26D869" w14:textId="095E60BB" w:rsidR="00B2165C" w:rsidRPr="00632B6C" w:rsidRDefault="00D71EFD" w:rsidP="00324897">
      <w:pPr>
        <w:pStyle w:val="Paragraphe"/>
        <w:tabs>
          <w:tab w:val="clear" w:pos="720"/>
          <w:tab w:val="num" w:pos="709"/>
        </w:tabs>
        <w:spacing w:line="240" w:lineRule="auto"/>
        <w:rPr>
          <w:lang w:val="en-CA"/>
        </w:rPr>
      </w:pPr>
      <w:r w:rsidRPr="00632B6C">
        <w:rPr>
          <w:lang w:val="en-CA"/>
        </w:rPr>
        <w:t xml:space="preserve">The next day, August 30, 2013, the Notary started to disburse the </w:t>
      </w:r>
      <w:r w:rsidR="004332CE" w:rsidRPr="00632B6C">
        <w:rPr>
          <w:lang w:val="en-CA"/>
        </w:rPr>
        <w:t>down payments</w:t>
      </w:r>
      <w:r w:rsidRPr="00632B6C">
        <w:rPr>
          <w:lang w:val="en-CA"/>
        </w:rPr>
        <w:t xml:space="preserve">, as provided </w:t>
      </w:r>
      <w:r w:rsidR="004C2306">
        <w:rPr>
          <w:lang w:val="en-CA"/>
        </w:rPr>
        <w:t xml:space="preserve">for </w:t>
      </w:r>
      <w:r w:rsidRPr="00632B6C">
        <w:rPr>
          <w:lang w:val="en-CA"/>
        </w:rPr>
        <w:t xml:space="preserve">in most of the preliminary contracts </w:t>
      </w:r>
      <w:r w:rsidR="006C3788">
        <w:rPr>
          <w:lang w:val="en-CA"/>
        </w:rPr>
        <w:t xml:space="preserve">that </w:t>
      </w:r>
      <w:r w:rsidR="0001406C">
        <w:rPr>
          <w:lang w:val="en-CA"/>
        </w:rPr>
        <w:t xml:space="preserve">retained </w:t>
      </w:r>
      <w:r w:rsidRPr="00632B6C">
        <w:rPr>
          <w:lang w:val="en-CA"/>
        </w:rPr>
        <w:t xml:space="preserve">only the first condition </w:t>
      </w:r>
      <w:r w:rsidR="002C404D">
        <w:rPr>
          <w:lang w:val="en-CA"/>
        </w:rPr>
        <w:t xml:space="preserve">precedent </w:t>
      </w:r>
      <w:r w:rsidRPr="00632B6C">
        <w:rPr>
          <w:lang w:val="en-CA"/>
        </w:rPr>
        <w:t>for disbursement.</w:t>
      </w:r>
      <w:r w:rsidR="005B3B9F" w:rsidRPr="00632B6C">
        <w:rPr>
          <w:lang w:val="en-CA"/>
        </w:rPr>
        <w:t xml:space="preserve"> </w:t>
      </w:r>
      <w:r w:rsidR="00332714" w:rsidRPr="00632B6C">
        <w:rPr>
          <w:lang w:val="en-CA"/>
        </w:rPr>
        <w:t xml:space="preserve">Although the Notary realized that the second condition related to the accreditation of GIR’s </w:t>
      </w:r>
      <w:r w:rsidR="0001406C" w:rsidRPr="0001406C">
        <w:rPr>
          <w:lang w:val="en-CA"/>
        </w:rPr>
        <w:t xml:space="preserve">guarantee </w:t>
      </w:r>
      <w:r w:rsidR="00332714" w:rsidRPr="00632B6C">
        <w:rPr>
          <w:lang w:val="en-CA"/>
        </w:rPr>
        <w:t>plan did not appear in several contracts, he did not inquire into the reasons for this change.</w:t>
      </w:r>
      <w:r w:rsidR="005B3B9F" w:rsidRPr="00632B6C">
        <w:rPr>
          <w:lang w:val="en-CA"/>
        </w:rPr>
        <w:t xml:space="preserve"> </w:t>
      </w:r>
      <w:r w:rsidR="00332714" w:rsidRPr="00632B6C">
        <w:rPr>
          <w:lang w:val="en-CA"/>
        </w:rPr>
        <w:t xml:space="preserve">He presumed that it had been freely negotiated between the </w:t>
      </w:r>
      <w:r w:rsidR="00AA01D2">
        <w:rPr>
          <w:lang w:val="en-CA"/>
        </w:rPr>
        <w:t>Developer</w:t>
      </w:r>
      <w:r w:rsidR="00332714" w:rsidRPr="00632B6C">
        <w:rPr>
          <w:lang w:val="en-CA"/>
        </w:rPr>
        <w:t xml:space="preserve"> and the appellants in question.</w:t>
      </w:r>
    </w:p>
    <w:p w14:paraId="4648F089" w14:textId="3536A5DF" w:rsidR="00B2165C" w:rsidRPr="00632B6C" w:rsidRDefault="00332714" w:rsidP="00324897">
      <w:pPr>
        <w:pStyle w:val="Paragraphe"/>
        <w:tabs>
          <w:tab w:val="clear" w:pos="720"/>
          <w:tab w:val="num" w:pos="709"/>
        </w:tabs>
        <w:spacing w:line="240" w:lineRule="auto"/>
        <w:rPr>
          <w:lang w:val="en-CA"/>
        </w:rPr>
      </w:pPr>
      <w:r w:rsidRPr="00632B6C">
        <w:rPr>
          <w:lang w:val="en-CA"/>
        </w:rPr>
        <w:t xml:space="preserve">On October 4, 2013, the Bank submitted a first financing offer which </w:t>
      </w:r>
      <w:r w:rsidR="002C404D">
        <w:rPr>
          <w:lang w:val="en-CA"/>
        </w:rPr>
        <w:t xml:space="preserve">contained </w:t>
      </w:r>
      <w:r w:rsidRPr="00632B6C">
        <w:rPr>
          <w:lang w:val="en-CA"/>
        </w:rPr>
        <w:t xml:space="preserve">several conditions, </w:t>
      </w:r>
      <w:r w:rsidR="0001406C">
        <w:rPr>
          <w:lang w:val="en-CA"/>
        </w:rPr>
        <w:t>including</w:t>
      </w:r>
      <w:r w:rsidR="0001406C" w:rsidRPr="00632B6C">
        <w:rPr>
          <w:lang w:val="en-CA"/>
        </w:rPr>
        <w:t xml:space="preserve"> </w:t>
      </w:r>
      <w:r w:rsidRPr="00632B6C">
        <w:rPr>
          <w:lang w:val="en-CA"/>
        </w:rPr>
        <w:t xml:space="preserve">a first-ranking hypothec </w:t>
      </w:r>
      <w:r w:rsidR="0001406C">
        <w:rPr>
          <w:lang w:val="en-CA"/>
        </w:rPr>
        <w:t>on</w:t>
      </w:r>
      <w:r w:rsidR="0001406C" w:rsidRPr="00632B6C">
        <w:rPr>
          <w:lang w:val="en-CA"/>
        </w:rPr>
        <w:t xml:space="preserve"> </w:t>
      </w:r>
      <w:r w:rsidRPr="00632B6C">
        <w:rPr>
          <w:lang w:val="en-CA"/>
        </w:rPr>
        <w:t xml:space="preserve">the property, </w:t>
      </w:r>
      <w:r w:rsidR="006C3788">
        <w:rPr>
          <w:lang w:val="en-CA"/>
        </w:rPr>
        <w:t xml:space="preserve">the </w:t>
      </w:r>
      <w:r w:rsidRPr="00632B6C">
        <w:rPr>
          <w:lang w:val="en-CA"/>
        </w:rPr>
        <w:t>replace</w:t>
      </w:r>
      <w:r w:rsidR="006C3788">
        <w:rPr>
          <w:lang w:val="en-CA"/>
        </w:rPr>
        <w:t>ment of</w:t>
      </w:r>
      <w:r w:rsidRPr="00632B6C">
        <w:rPr>
          <w:lang w:val="en-CA"/>
        </w:rPr>
        <w:t xml:space="preserve"> Point Zéro </w:t>
      </w:r>
      <w:r w:rsidR="0001406C">
        <w:rPr>
          <w:lang w:val="en-CA"/>
        </w:rPr>
        <w:t>by</w:t>
      </w:r>
      <w:r w:rsidR="0001406C" w:rsidRPr="00632B6C">
        <w:rPr>
          <w:lang w:val="en-CA"/>
        </w:rPr>
        <w:t xml:space="preserve"> </w:t>
      </w:r>
      <w:r w:rsidRPr="00632B6C">
        <w:rPr>
          <w:lang w:val="en-CA"/>
        </w:rPr>
        <w:t>another mezzanine lender, and a minimum number of presales.</w:t>
      </w:r>
    </w:p>
    <w:p w14:paraId="7740A10A" w14:textId="41EF8828" w:rsidR="00B2165C" w:rsidRPr="00632B6C" w:rsidRDefault="00332714" w:rsidP="00E03D78">
      <w:pPr>
        <w:pStyle w:val="Paragraphe"/>
        <w:spacing w:after="0" w:line="240" w:lineRule="auto"/>
        <w:rPr>
          <w:lang w:val="en-CA"/>
        </w:rPr>
      </w:pPr>
      <w:r w:rsidRPr="00632B6C">
        <w:rPr>
          <w:lang w:val="en-CA"/>
        </w:rPr>
        <w:t>The table below illustrates the amounts paid between August 30 and November</w:t>
      </w:r>
      <w:r w:rsidR="006C3788">
        <w:rPr>
          <w:lang w:val="en-CA"/>
        </w:rPr>
        <w:t> </w:t>
      </w:r>
      <w:r w:rsidRPr="00632B6C">
        <w:rPr>
          <w:lang w:val="en-CA"/>
        </w:rPr>
        <w:t>8,</w:t>
      </w:r>
      <w:r w:rsidR="006C3788">
        <w:rPr>
          <w:lang w:val="en-CA"/>
        </w:rPr>
        <w:t> </w:t>
      </w:r>
      <w:r w:rsidRPr="00632B6C">
        <w:rPr>
          <w:lang w:val="en-CA"/>
        </w:rPr>
        <w:t xml:space="preserve">2013, </w:t>
      </w:r>
      <w:r w:rsidR="006C3788">
        <w:rPr>
          <w:lang w:val="en-CA"/>
        </w:rPr>
        <w:t xml:space="preserve">in </w:t>
      </w:r>
      <w:r w:rsidRPr="00632B6C">
        <w:rPr>
          <w:lang w:val="en-CA"/>
        </w:rPr>
        <w:t>relat</w:t>
      </w:r>
      <w:r w:rsidR="006C3788">
        <w:rPr>
          <w:lang w:val="en-CA"/>
        </w:rPr>
        <w:t>ion</w:t>
      </w:r>
      <w:r w:rsidRPr="00632B6C">
        <w:rPr>
          <w:lang w:val="en-CA"/>
        </w:rPr>
        <w:t xml:space="preserve"> to the</w:t>
      </w:r>
      <w:r w:rsidR="00432BAD">
        <w:rPr>
          <w:lang w:val="en-CA"/>
        </w:rPr>
        <w:t xml:space="preserve"> relevant</w:t>
      </w:r>
      <w:r w:rsidRPr="00632B6C">
        <w:rPr>
          <w:lang w:val="en-CA"/>
        </w:rPr>
        <w:t xml:space="preserve"> dates </w:t>
      </w:r>
      <w:r w:rsidR="006C3788">
        <w:rPr>
          <w:lang w:val="en-CA"/>
        </w:rPr>
        <w:t xml:space="preserve">of </w:t>
      </w:r>
      <w:r w:rsidRPr="00632B6C">
        <w:rPr>
          <w:lang w:val="en-CA"/>
        </w:rPr>
        <w:t>the project’s progress:</w:t>
      </w:r>
    </w:p>
    <w:p w14:paraId="056F04B5" w14:textId="77777777" w:rsidR="00B2165C" w:rsidRPr="00632B6C" w:rsidRDefault="00DF4B78" w:rsidP="00324897">
      <w:pPr>
        <w:pStyle w:val="Paragraphe"/>
        <w:numPr>
          <w:ilvl w:val="0"/>
          <w:numId w:val="0"/>
        </w:numPr>
        <w:spacing w:line="240" w:lineRule="auto"/>
        <w:rPr>
          <w:szCs w:val="2"/>
          <w:lang w:val="en-CA"/>
        </w:rPr>
      </w:pPr>
    </w:p>
    <w:tbl>
      <w:tblPr>
        <w:tblStyle w:val="Grilledutableau1"/>
        <w:tblW w:w="7892" w:type="dxa"/>
        <w:jc w:val="center"/>
        <w:tblLook w:val="04A0" w:firstRow="1" w:lastRow="0" w:firstColumn="1" w:lastColumn="0" w:noHBand="0" w:noVBand="1"/>
      </w:tblPr>
      <w:tblGrid>
        <w:gridCol w:w="5511"/>
        <w:gridCol w:w="2381"/>
      </w:tblGrid>
      <w:tr w:rsidR="003D055F" w:rsidRPr="00632B6C" w14:paraId="6D8E4111" w14:textId="77777777" w:rsidTr="00372374">
        <w:trPr>
          <w:jc w:val="center"/>
        </w:trPr>
        <w:tc>
          <w:tcPr>
            <w:tcW w:w="5511" w:type="dxa"/>
          </w:tcPr>
          <w:p w14:paraId="0F1441D7" w14:textId="15B5F43A" w:rsidR="00B2165C" w:rsidRPr="00632B6C" w:rsidRDefault="00332714" w:rsidP="00E03D78">
            <w:pPr>
              <w:spacing w:line="240" w:lineRule="auto"/>
              <w:jc w:val="center"/>
              <w:rPr>
                <w:b/>
                <w:kern w:val="28"/>
                <w:sz w:val="22"/>
                <w:szCs w:val="22"/>
                <w:lang w:val="en-CA"/>
              </w:rPr>
            </w:pPr>
            <w:r w:rsidRPr="00632B6C">
              <w:rPr>
                <w:b/>
                <w:kern w:val="28"/>
                <w:sz w:val="22"/>
                <w:szCs w:val="22"/>
                <w:lang w:val="en-CA"/>
              </w:rPr>
              <w:t>Date</w:t>
            </w:r>
          </w:p>
        </w:tc>
        <w:tc>
          <w:tcPr>
            <w:tcW w:w="2381" w:type="dxa"/>
          </w:tcPr>
          <w:p w14:paraId="172E7D6B" w14:textId="0D448E3F" w:rsidR="00B2165C" w:rsidRPr="00632B6C" w:rsidRDefault="00332714" w:rsidP="00E03D78">
            <w:pPr>
              <w:spacing w:line="240" w:lineRule="auto"/>
              <w:rPr>
                <w:b/>
                <w:kern w:val="28"/>
                <w:sz w:val="22"/>
                <w:szCs w:val="22"/>
                <w:lang w:val="en-CA"/>
              </w:rPr>
            </w:pPr>
            <w:r w:rsidRPr="00632B6C">
              <w:rPr>
                <w:b/>
                <w:kern w:val="28"/>
                <w:sz w:val="22"/>
                <w:szCs w:val="22"/>
                <w:lang w:val="en-CA"/>
              </w:rPr>
              <w:t>Amounts disbursed</w:t>
            </w:r>
          </w:p>
        </w:tc>
      </w:tr>
      <w:tr w:rsidR="003D055F" w:rsidRPr="00882317" w14:paraId="067EE1E4" w14:textId="77777777" w:rsidTr="00372374">
        <w:trPr>
          <w:jc w:val="center"/>
        </w:trPr>
        <w:tc>
          <w:tcPr>
            <w:tcW w:w="5511" w:type="dxa"/>
          </w:tcPr>
          <w:p w14:paraId="05632928" w14:textId="101ECA3B" w:rsidR="00B2165C" w:rsidRPr="00632B6C" w:rsidRDefault="00332714" w:rsidP="00E03D78">
            <w:pPr>
              <w:spacing w:line="240" w:lineRule="auto"/>
              <w:ind w:left="174"/>
              <w:rPr>
                <w:kern w:val="28"/>
                <w:sz w:val="22"/>
                <w:szCs w:val="22"/>
                <w:lang w:val="en-CA"/>
              </w:rPr>
            </w:pPr>
            <w:r w:rsidRPr="00632B6C">
              <w:rPr>
                <w:kern w:val="28"/>
                <w:sz w:val="22"/>
                <w:szCs w:val="22"/>
                <w:lang w:val="en-CA"/>
              </w:rPr>
              <w:t>August 29, 2013</w:t>
            </w:r>
          </w:p>
          <w:p w14:paraId="482EA04C" w14:textId="3F180972" w:rsidR="00B2165C" w:rsidRPr="00632B6C" w:rsidRDefault="00332714" w:rsidP="00E03D78">
            <w:pPr>
              <w:spacing w:line="240" w:lineRule="auto"/>
              <w:ind w:left="174"/>
              <w:rPr>
                <w:kern w:val="28"/>
                <w:sz w:val="22"/>
                <w:szCs w:val="22"/>
                <w:lang w:val="en-CA"/>
              </w:rPr>
            </w:pPr>
            <w:r w:rsidRPr="00632B6C">
              <w:rPr>
                <w:kern w:val="28"/>
                <w:sz w:val="22"/>
                <w:szCs w:val="22"/>
                <w:lang w:val="en-CA"/>
              </w:rPr>
              <w:t>(Condition 1: Start of demolition work)</w:t>
            </w:r>
          </w:p>
        </w:tc>
        <w:tc>
          <w:tcPr>
            <w:tcW w:w="2381" w:type="dxa"/>
          </w:tcPr>
          <w:p w14:paraId="3FC8695D" w14:textId="77777777" w:rsidR="00B2165C" w:rsidRPr="00632B6C" w:rsidRDefault="00DF4B78" w:rsidP="00B2165C">
            <w:pPr>
              <w:spacing w:line="240" w:lineRule="auto"/>
              <w:jc w:val="center"/>
              <w:rPr>
                <w:kern w:val="28"/>
                <w:sz w:val="22"/>
                <w:szCs w:val="22"/>
                <w:lang w:val="en-CA"/>
              </w:rPr>
            </w:pPr>
          </w:p>
        </w:tc>
      </w:tr>
      <w:tr w:rsidR="003D055F" w:rsidRPr="00632B6C" w14:paraId="1E47A242" w14:textId="77777777" w:rsidTr="00372374">
        <w:trPr>
          <w:jc w:val="center"/>
        </w:trPr>
        <w:tc>
          <w:tcPr>
            <w:tcW w:w="5511" w:type="dxa"/>
          </w:tcPr>
          <w:p w14:paraId="4CAC97C8" w14:textId="63DAEB78" w:rsidR="00B2165C" w:rsidRPr="00632B6C" w:rsidRDefault="00332714" w:rsidP="00E03D78">
            <w:pPr>
              <w:spacing w:line="240" w:lineRule="auto"/>
              <w:ind w:left="174"/>
              <w:rPr>
                <w:kern w:val="28"/>
                <w:sz w:val="22"/>
                <w:szCs w:val="22"/>
                <w:lang w:val="en-CA"/>
              </w:rPr>
            </w:pPr>
            <w:r w:rsidRPr="00632B6C">
              <w:rPr>
                <w:kern w:val="28"/>
                <w:sz w:val="22"/>
                <w:szCs w:val="22"/>
                <w:lang w:val="en-CA"/>
              </w:rPr>
              <w:t>August 30, 2013</w:t>
            </w:r>
            <w:r w:rsidR="005B3B9F" w:rsidRPr="00632B6C">
              <w:rPr>
                <w:kern w:val="28"/>
                <w:sz w:val="22"/>
                <w:szCs w:val="22"/>
                <w:lang w:val="en-CA"/>
              </w:rPr>
              <w:t xml:space="preserve"> </w:t>
            </w:r>
          </w:p>
        </w:tc>
        <w:tc>
          <w:tcPr>
            <w:tcW w:w="2381" w:type="dxa"/>
          </w:tcPr>
          <w:p w14:paraId="1447B717" w14:textId="09B92384"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1</w:t>
            </w:r>
            <w:r w:rsidRPr="00632B6C">
              <w:rPr>
                <w:kern w:val="28"/>
                <w:sz w:val="22"/>
                <w:szCs w:val="22"/>
                <w:lang w:val="en-CA"/>
              </w:rPr>
              <w:t>,</w:t>
            </w:r>
            <w:r w:rsidR="005B3B9F" w:rsidRPr="00632B6C">
              <w:rPr>
                <w:kern w:val="28"/>
                <w:sz w:val="22"/>
                <w:szCs w:val="22"/>
                <w:lang w:val="en-CA"/>
              </w:rPr>
              <w:t>017</w:t>
            </w:r>
            <w:r w:rsidRPr="00632B6C">
              <w:rPr>
                <w:kern w:val="28"/>
                <w:sz w:val="22"/>
                <w:szCs w:val="22"/>
                <w:lang w:val="en-CA"/>
              </w:rPr>
              <w:t>,</w:t>
            </w:r>
            <w:r w:rsidR="005B3B9F" w:rsidRPr="00632B6C">
              <w:rPr>
                <w:kern w:val="28"/>
                <w:sz w:val="22"/>
                <w:szCs w:val="22"/>
                <w:lang w:val="en-CA"/>
              </w:rPr>
              <w:t>627</w:t>
            </w:r>
            <w:r w:rsidRPr="00632B6C">
              <w:rPr>
                <w:kern w:val="28"/>
                <w:sz w:val="22"/>
                <w:szCs w:val="22"/>
                <w:lang w:val="en-CA"/>
              </w:rPr>
              <w:t>.</w:t>
            </w:r>
            <w:r w:rsidR="005B3B9F" w:rsidRPr="00632B6C">
              <w:rPr>
                <w:kern w:val="28"/>
                <w:sz w:val="22"/>
                <w:szCs w:val="22"/>
                <w:lang w:val="en-CA"/>
              </w:rPr>
              <w:t>32</w:t>
            </w:r>
          </w:p>
        </w:tc>
      </w:tr>
      <w:tr w:rsidR="003D055F" w:rsidRPr="00632B6C" w14:paraId="2D72BB9D" w14:textId="77777777" w:rsidTr="00372374">
        <w:trPr>
          <w:jc w:val="center"/>
        </w:trPr>
        <w:tc>
          <w:tcPr>
            <w:tcW w:w="5511" w:type="dxa"/>
          </w:tcPr>
          <w:p w14:paraId="3D287A98" w14:textId="64C072F3" w:rsidR="00B2165C" w:rsidRPr="00632B6C" w:rsidRDefault="00332714" w:rsidP="00E03D78">
            <w:pPr>
              <w:spacing w:line="240" w:lineRule="auto"/>
              <w:ind w:left="174"/>
              <w:rPr>
                <w:kern w:val="28"/>
                <w:sz w:val="22"/>
                <w:szCs w:val="22"/>
                <w:lang w:val="en-CA"/>
              </w:rPr>
            </w:pPr>
            <w:r w:rsidRPr="00632B6C">
              <w:rPr>
                <w:kern w:val="28"/>
                <w:sz w:val="22"/>
                <w:szCs w:val="22"/>
                <w:lang w:val="en-CA"/>
              </w:rPr>
              <w:t>September 11, 2013</w:t>
            </w:r>
          </w:p>
        </w:tc>
        <w:tc>
          <w:tcPr>
            <w:tcW w:w="2381" w:type="dxa"/>
          </w:tcPr>
          <w:p w14:paraId="54F3F109" w14:textId="0912B3F1"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184</w:t>
            </w:r>
            <w:r w:rsidRPr="00632B6C">
              <w:rPr>
                <w:kern w:val="28"/>
                <w:sz w:val="22"/>
                <w:szCs w:val="22"/>
                <w:lang w:val="en-CA"/>
              </w:rPr>
              <w:t>,</w:t>
            </w:r>
            <w:r w:rsidR="005B3B9F" w:rsidRPr="00632B6C">
              <w:rPr>
                <w:kern w:val="28"/>
                <w:sz w:val="22"/>
                <w:szCs w:val="22"/>
                <w:lang w:val="en-CA"/>
              </w:rPr>
              <w:t>241</w:t>
            </w:r>
            <w:r w:rsidRPr="00632B6C">
              <w:rPr>
                <w:kern w:val="28"/>
                <w:sz w:val="22"/>
                <w:szCs w:val="22"/>
                <w:lang w:val="en-CA"/>
              </w:rPr>
              <w:t>.</w:t>
            </w:r>
            <w:r w:rsidR="005B3B9F" w:rsidRPr="00632B6C">
              <w:rPr>
                <w:kern w:val="28"/>
                <w:sz w:val="22"/>
                <w:szCs w:val="22"/>
                <w:lang w:val="en-CA"/>
              </w:rPr>
              <w:t>70</w:t>
            </w:r>
          </w:p>
        </w:tc>
      </w:tr>
      <w:tr w:rsidR="003D055F" w:rsidRPr="00632B6C" w14:paraId="40B20FFB" w14:textId="77777777" w:rsidTr="00372374">
        <w:trPr>
          <w:jc w:val="center"/>
        </w:trPr>
        <w:tc>
          <w:tcPr>
            <w:tcW w:w="5511" w:type="dxa"/>
          </w:tcPr>
          <w:p w14:paraId="25944B9B" w14:textId="0DEA31AE" w:rsidR="00B2165C" w:rsidRPr="00632B6C" w:rsidRDefault="00332714" w:rsidP="00E03D78">
            <w:pPr>
              <w:spacing w:line="240" w:lineRule="auto"/>
              <w:ind w:left="174"/>
              <w:rPr>
                <w:kern w:val="28"/>
                <w:sz w:val="22"/>
                <w:szCs w:val="22"/>
                <w:lang w:val="en-CA"/>
              </w:rPr>
            </w:pPr>
            <w:r w:rsidRPr="00632B6C">
              <w:rPr>
                <w:kern w:val="28"/>
                <w:sz w:val="22"/>
                <w:szCs w:val="22"/>
                <w:lang w:val="en-CA"/>
              </w:rPr>
              <w:t>September 12, 2013</w:t>
            </w:r>
          </w:p>
        </w:tc>
        <w:tc>
          <w:tcPr>
            <w:tcW w:w="2381" w:type="dxa"/>
          </w:tcPr>
          <w:p w14:paraId="45253D6B" w14:textId="4AB437E8"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195</w:t>
            </w:r>
            <w:r w:rsidRPr="00632B6C">
              <w:rPr>
                <w:kern w:val="28"/>
                <w:sz w:val="22"/>
                <w:szCs w:val="22"/>
                <w:lang w:val="en-CA"/>
              </w:rPr>
              <w:t>,</w:t>
            </w:r>
            <w:r w:rsidR="005B3B9F" w:rsidRPr="00632B6C">
              <w:rPr>
                <w:kern w:val="28"/>
                <w:sz w:val="22"/>
                <w:szCs w:val="22"/>
                <w:lang w:val="en-CA"/>
              </w:rPr>
              <w:t>641</w:t>
            </w:r>
            <w:r w:rsidRPr="00632B6C">
              <w:rPr>
                <w:kern w:val="28"/>
                <w:sz w:val="22"/>
                <w:szCs w:val="22"/>
                <w:lang w:val="en-CA"/>
              </w:rPr>
              <w:t>.</w:t>
            </w:r>
            <w:r w:rsidR="005B3B9F" w:rsidRPr="00632B6C">
              <w:rPr>
                <w:kern w:val="28"/>
                <w:sz w:val="22"/>
                <w:szCs w:val="22"/>
                <w:lang w:val="en-CA"/>
              </w:rPr>
              <w:t>45</w:t>
            </w:r>
          </w:p>
        </w:tc>
      </w:tr>
      <w:tr w:rsidR="003D055F" w:rsidRPr="00632B6C" w14:paraId="1DCD81B7" w14:textId="77777777" w:rsidTr="00372374">
        <w:trPr>
          <w:jc w:val="center"/>
        </w:trPr>
        <w:tc>
          <w:tcPr>
            <w:tcW w:w="5511" w:type="dxa"/>
          </w:tcPr>
          <w:p w14:paraId="0A1BEF6C" w14:textId="1BFC351F" w:rsidR="00B2165C" w:rsidRPr="00632B6C" w:rsidRDefault="00332714" w:rsidP="00E03D78">
            <w:pPr>
              <w:spacing w:line="240" w:lineRule="auto"/>
              <w:ind w:left="174"/>
              <w:rPr>
                <w:kern w:val="28"/>
                <w:sz w:val="22"/>
                <w:szCs w:val="22"/>
                <w:lang w:val="en-CA"/>
              </w:rPr>
            </w:pPr>
            <w:r w:rsidRPr="00632B6C">
              <w:rPr>
                <w:kern w:val="28"/>
                <w:sz w:val="22"/>
                <w:szCs w:val="22"/>
                <w:lang w:val="en-CA"/>
              </w:rPr>
              <w:t>September 20, 2013</w:t>
            </w:r>
            <w:r w:rsidR="005B3B9F" w:rsidRPr="00632B6C">
              <w:rPr>
                <w:kern w:val="28"/>
                <w:sz w:val="22"/>
                <w:szCs w:val="22"/>
                <w:lang w:val="en-CA"/>
              </w:rPr>
              <w:t xml:space="preserve"> </w:t>
            </w:r>
          </w:p>
        </w:tc>
        <w:tc>
          <w:tcPr>
            <w:tcW w:w="2381" w:type="dxa"/>
          </w:tcPr>
          <w:p w14:paraId="6CBCB08A" w14:textId="0224EC50"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88</w:t>
            </w:r>
            <w:r w:rsidRPr="00632B6C">
              <w:rPr>
                <w:kern w:val="28"/>
                <w:sz w:val="22"/>
                <w:szCs w:val="22"/>
                <w:lang w:val="en-CA"/>
              </w:rPr>
              <w:t>,</w:t>
            </w:r>
            <w:r w:rsidR="005B3B9F" w:rsidRPr="00632B6C">
              <w:rPr>
                <w:kern w:val="28"/>
                <w:sz w:val="22"/>
                <w:szCs w:val="22"/>
                <w:lang w:val="en-CA"/>
              </w:rPr>
              <w:t>513</w:t>
            </w:r>
            <w:r w:rsidRPr="00632B6C">
              <w:rPr>
                <w:kern w:val="28"/>
                <w:sz w:val="22"/>
                <w:szCs w:val="22"/>
                <w:lang w:val="en-CA"/>
              </w:rPr>
              <w:t>.</w:t>
            </w:r>
            <w:r w:rsidR="005B3B9F" w:rsidRPr="00632B6C">
              <w:rPr>
                <w:kern w:val="28"/>
                <w:sz w:val="22"/>
                <w:szCs w:val="22"/>
                <w:lang w:val="en-CA"/>
              </w:rPr>
              <w:t>51</w:t>
            </w:r>
          </w:p>
        </w:tc>
      </w:tr>
      <w:tr w:rsidR="003D055F" w:rsidRPr="00632B6C" w14:paraId="1A2D3FB7" w14:textId="77777777" w:rsidTr="00372374">
        <w:trPr>
          <w:jc w:val="center"/>
        </w:trPr>
        <w:tc>
          <w:tcPr>
            <w:tcW w:w="5511" w:type="dxa"/>
          </w:tcPr>
          <w:p w14:paraId="6FF60C64" w14:textId="3B30F362" w:rsidR="00B2165C" w:rsidRPr="00632B6C" w:rsidRDefault="00332714" w:rsidP="00E03D78">
            <w:pPr>
              <w:spacing w:line="240" w:lineRule="auto"/>
              <w:ind w:left="174"/>
              <w:rPr>
                <w:kern w:val="28"/>
                <w:sz w:val="22"/>
                <w:szCs w:val="22"/>
                <w:lang w:val="en-CA"/>
              </w:rPr>
            </w:pPr>
            <w:r w:rsidRPr="00632B6C">
              <w:rPr>
                <w:kern w:val="28"/>
                <w:sz w:val="22"/>
                <w:szCs w:val="22"/>
                <w:lang w:val="en-CA"/>
              </w:rPr>
              <w:t>October 2, 2013</w:t>
            </w:r>
          </w:p>
        </w:tc>
        <w:tc>
          <w:tcPr>
            <w:tcW w:w="2381" w:type="dxa"/>
          </w:tcPr>
          <w:p w14:paraId="4D463A09" w14:textId="55EA661F"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43</w:t>
            </w:r>
            <w:r w:rsidRPr="00632B6C">
              <w:rPr>
                <w:kern w:val="28"/>
                <w:sz w:val="22"/>
                <w:szCs w:val="22"/>
                <w:lang w:val="en-CA"/>
              </w:rPr>
              <w:t>,</w:t>
            </w:r>
            <w:r w:rsidR="005B3B9F" w:rsidRPr="00632B6C">
              <w:rPr>
                <w:kern w:val="28"/>
                <w:sz w:val="22"/>
                <w:szCs w:val="22"/>
                <w:lang w:val="en-CA"/>
              </w:rPr>
              <w:t>678</w:t>
            </w:r>
            <w:r w:rsidRPr="00632B6C">
              <w:rPr>
                <w:kern w:val="28"/>
                <w:sz w:val="22"/>
                <w:szCs w:val="22"/>
                <w:lang w:val="en-CA"/>
              </w:rPr>
              <w:t>.</w:t>
            </w:r>
            <w:r w:rsidR="005B3B9F" w:rsidRPr="00632B6C">
              <w:rPr>
                <w:kern w:val="28"/>
                <w:sz w:val="22"/>
                <w:szCs w:val="22"/>
                <w:lang w:val="en-CA"/>
              </w:rPr>
              <w:t>00</w:t>
            </w:r>
          </w:p>
        </w:tc>
      </w:tr>
      <w:tr w:rsidR="003D055F" w:rsidRPr="00632B6C" w14:paraId="0FAAE68D" w14:textId="77777777" w:rsidTr="00372374">
        <w:trPr>
          <w:jc w:val="center"/>
        </w:trPr>
        <w:tc>
          <w:tcPr>
            <w:tcW w:w="5511" w:type="dxa"/>
          </w:tcPr>
          <w:p w14:paraId="54F21E27" w14:textId="748F4D9E" w:rsidR="00B2165C" w:rsidRPr="00632B6C" w:rsidRDefault="00332714" w:rsidP="00E03D78">
            <w:pPr>
              <w:spacing w:line="240" w:lineRule="auto"/>
              <w:ind w:left="174"/>
              <w:rPr>
                <w:kern w:val="28"/>
                <w:sz w:val="22"/>
                <w:szCs w:val="22"/>
                <w:lang w:val="en-CA"/>
              </w:rPr>
            </w:pPr>
            <w:r w:rsidRPr="00632B6C">
              <w:rPr>
                <w:kern w:val="28"/>
                <w:sz w:val="22"/>
                <w:szCs w:val="22"/>
                <w:lang w:val="en-CA"/>
              </w:rPr>
              <w:t>October 4, 2013</w:t>
            </w:r>
          </w:p>
        </w:tc>
        <w:tc>
          <w:tcPr>
            <w:tcW w:w="2381" w:type="dxa"/>
          </w:tcPr>
          <w:p w14:paraId="677BB3BA" w14:textId="126354B4"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20</w:t>
            </w:r>
            <w:r w:rsidRPr="00632B6C">
              <w:rPr>
                <w:kern w:val="28"/>
                <w:sz w:val="22"/>
                <w:szCs w:val="22"/>
                <w:lang w:val="en-CA"/>
              </w:rPr>
              <w:t>,</w:t>
            </w:r>
            <w:r w:rsidR="005B3B9F" w:rsidRPr="00632B6C">
              <w:rPr>
                <w:kern w:val="28"/>
                <w:sz w:val="22"/>
                <w:szCs w:val="22"/>
                <w:lang w:val="en-CA"/>
              </w:rPr>
              <w:t>000</w:t>
            </w:r>
            <w:r w:rsidRPr="00632B6C">
              <w:rPr>
                <w:kern w:val="28"/>
                <w:sz w:val="22"/>
                <w:szCs w:val="22"/>
                <w:lang w:val="en-CA"/>
              </w:rPr>
              <w:t>.</w:t>
            </w:r>
            <w:r w:rsidR="005B3B9F" w:rsidRPr="00632B6C">
              <w:rPr>
                <w:kern w:val="28"/>
                <w:sz w:val="22"/>
                <w:szCs w:val="22"/>
                <w:lang w:val="en-CA"/>
              </w:rPr>
              <w:t>00</w:t>
            </w:r>
          </w:p>
        </w:tc>
      </w:tr>
      <w:tr w:rsidR="003D055F" w:rsidRPr="00632B6C" w14:paraId="1C1B7CDD" w14:textId="77777777" w:rsidTr="00E03D78">
        <w:trPr>
          <w:jc w:val="center"/>
        </w:trPr>
        <w:tc>
          <w:tcPr>
            <w:tcW w:w="5511" w:type="dxa"/>
          </w:tcPr>
          <w:p w14:paraId="2A5B6BFE" w14:textId="291D1AC0" w:rsidR="00B2165C" w:rsidRPr="00632B6C" w:rsidRDefault="00332714" w:rsidP="00E03D78">
            <w:pPr>
              <w:spacing w:line="240" w:lineRule="auto"/>
              <w:ind w:left="174"/>
              <w:rPr>
                <w:kern w:val="28"/>
                <w:sz w:val="22"/>
                <w:szCs w:val="22"/>
                <w:lang w:val="en-CA"/>
              </w:rPr>
            </w:pPr>
            <w:r w:rsidRPr="00632B6C">
              <w:rPr>
                <w:kern w:val="28"/>
                <w:sz w:val="22"/>
                <w:szCs w:val="22"/>
                <w:lang w:val="en-CA"/>
              </w:rPr>
              <w:t>October 23, 2013</w:t>
            </w:r>
          </w:p>
        </w:tc>
        <w:tc>
          <w:tcPr>
            <w:tcW w:w="2381" w:type="dxa"/>
          </w:tcPr>
          <w:p w14:paraId="104AAEAA" w14:textId="525E3AE6"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42</w:t>
            </w:r>
            <w:r w:rsidRPr="00632B6C">
              <w:rPr>
                <w:kern w:val="28"/>
                <w:sz w:val="22"/>
                <w:szCs w:val="22"/>
                <w:lang w:val="en-CA"/>
              </w:rPr>
              <w:t>,</w:t>
            </w:r>
            <w:r w:rsidR="005B3B9F" w:rsidRPr="00632B6C">
              <w:rPr>
                <w:kern w:val="28"/>
                <w:sz w:val="22"/>
                <w:szCs w:val="22"/>
                <w:lang w:val="en-CA"/>
              </w:rPr>
              <w:t>500</w:t>
            </w:r>
            <w:r w:rsidRPr="00632B6C">
              <w:rPr>
                <w:kern w:val="28"/>
                <w:sz w:val="22"/>
                <w:szCs w:val="22"/>
                <w:lang w:val="en-CA"/>
              </w:rPr>
              <w:t>.</w:t>
            </w:r>
            <w:r w:rsidR="005B3B9F" w:rsidRPr="00632B6C">
              <w:rPr>
                <w:kern w:val="28"/>
                <w:sz w:val="22"/>
                <w:szCs w:val="22"/>
                <w:lang w:val="en-CA"/>
              </w:rPr>
              <w:t>00</w:t>
            </w:r>
          </w:p>
        </w:tc>
      </w:tr>
      <w:tr w:rsidR="003D055F" w:rsidRPr="00882317" w14:paraId="17FD2EE2" w14:textId="77777777" w:rsidTr="00E03D78">
        <w:trPr>
          <w:jc w:val="center"/>
        </w:trPr>
        <w:tc>
          <w:tcPr>
            <w:tcW w:w="5511" w:type="dxa"/>
          </w:tcPr>
          <w:p w14:paraId="6591DA3D" w14:textId="4EAB9943" w:rsidR="00B2165C" w:rsidRPr="00632B6C" w:rsidRDefault="00332714" w:rsidP="00E03D78">
            <w:pPr>
              <w:spacing w:line="240" w:lineRule="auto"/>
              <w:ind w:left="174"/>
              <w:rPr>
                <w:kern w:val="28"/>
                <w:sz w:val="22"/>
                <w:szCs w:val="22"/>
                <w:lang w:val="en-CA"/>
              </w:rPr>
            </w:pPr>
            <w:r w:rsidRPr="00632B6C">
              <w:rPr>
                <w:kern w:val="28"/>
                <w:sz w:val="22"/>
                <w:szCs w:val="22"/>
                <w:lang w:val="en-CA"/>
              </w:rPr>
              <w:t>October 31, 2013</w:t>
            </w:r>
          </w:p>
          <w:p w14:paraId="276E3998" w14:textId="04B19392" w:rsidR="00B2165C" w:rsidRPr="006C3788" w:rsidRDefault="00332714" w:rsidP="00E03D78">
            <w:pPr>
              <w:spacing w:line="240" w:lineRule="auto"/>
              <w:ind w:left="174"/>
              <w:rPr>
                <w:iCs/>
                <w:kern w:val="28"/>
                <w:sz w:val="22"/>
                <w:szCs w:val="22"/>
                <w:lang w:val="en-CA"/>
              </w:rPr>
            </w:pPr>
            <w:r w:rsidRPr="006C3788">
              <w:rPr>
                <w:iCs/>
                <w:kern w:val="28"/>
                <w:sz w:val="22"/>
                <w:szCs w:val="22"/>
                <w:lang w:val="en-CA"/>
              </w:rPr>
              <w:t xml:space="preserve">(Deadline for the </w:t>
            </w:r>
            <w:r w:rsidR="00AA01D2">
              <w:rPr>
                <w:iCs/>
                <w:kern w:val="28"/>
                <w:sz w:val="22"/>
                <w:szCs w:val="22"/>
                <w:lang w:val="en-CA"/>
              </w:rPr>
              <w:t>developer</w:t>
            </w:r>
            <w:r w:rsidRPr="006C3788">
              <w:rPr>
                <w:iCs/>
                <w:kern w:val="28"/>
                <w:sz w:val="22"/>
                <w:szCs w:val="22"/>
                <w:lang w:val="en-CA"/>
              </w:rPr>
              <w:t xml:space="preserve"> to cancel the project)</w:t>
            </w:r>
          </w:p>
        </w:tc>
        <w:tc>
          <w:tcPr>
            <w:tcW w:w="2381" w:type="dxa"/>
          </w:tcPr>
          <w:p w14:paraId="4AA4311E" w14:textId="77777777" w:rsidR="00B2165C" w:rsidRPr="00632B6C" w:rsidRDefault="00DF4B78" w:rsidP="00E03D78">
            <w:pPr>
              <w:spacing w:line="240" w:lineRule="auto"/>
              <w:ind w:left="314"/>
              <w:jc w:val="right"/>
              <w:rPr>
                <w:kern w:val="28"/>
                <w:sz w:val="22"/>
                <w:szCs w:val="22"/>
                <w:lang w:val="en-CA"/>
              </w:rPr>
            </w:pPr>
          </w:p>
        </w:tc>
      </w:tr>
      <w:tr w:rsidR="003D055F" w:rsidRPr="00632B6C" w14:paraId="06F5CC2B" w14:textId="77777777" w:rsidTr="00E03D78">
        <w:trPr>
          <w:jc w:val="center"/>
        </w:trPr>
        <w:tc>
          <w:tcPr>
            <w:tcW w:w="5511" w:type="dxa"/>
          </w:tcPr>
          <w:p w14:paraId="66FC458D" w14:textId="128BDCD3" w:rsidR="00B2165C" w:rsidRPr="00632B6C" w:rsidRDefault="00332714" w:rsidP="00E03D78">
            <w:pPr>
              <w:spacing w:line="240" w:lineRule="auto"/>
              <w:ind w:left="174"/>
              <w:rPr>
                <w:kern w:val="28"/>
                <w:sz w:val="22"/>
                <w:szCs w:val="22"/>
                <w:lang w:val="en-CA"/>
              </w:rPr>
            </w:pPr>
            <w:r w:rsidRPr="00632B6C">
              <w:rPr>
                <w:kern w:val="28"/>
                <w:sz w:val="22"/>
                <w:szCs w:val="22"/>
                <w:lang w:val="en-CA"/>
              </w:rPr>
              <w:t>November 8, 2013</w:t>
            </w:r>
          </w:p>
          <w:p w14:paraId="77052DED" w14:textId="06D4B243" w:rsidR="00B2165C" w:rsidRPr="00632B6C" w:rsidRDefault="00332714" w:rsidP="00E03D78">
            <w:pPr>
              <w:spacing w:line="240" w:lineRule="auto"/>
              <w:ind w:left="174"/>
              <w:rPr>
                <w:kern w:val="28"/>
                <w:sz w:val="22"/>
                <w:szCs w:val="22"/>
                <w:lang w:val="en-CA"/>
              </w:rPr>
            </w:pPr>
            <w:r w:rsidRPr="00632B6C">
              <w:rPr>
                <w:kern w:val="28"/>
                <w:sz w:val="22"/>
                <w:szCs w:val="22"/>
                <w:lang w:val="en-CA"/>
              </w:rPr>
              <w:t xml:space="preserve">(Deadline to repay Point Zéro) </w:t>
            </w:r>
          </w:p>
        </w:tc>
        <w:tc>
          <w:tcPr>
            <w:tcW w:w="2381" w:type="dxa"/>
          </w:tcPr>
          <w:p w14:paraId="1CBFD908" w14:textId="4AAE0F40" w:rsidR="00B2165C" w:rsidRPr="00632B6C" w:rsidRDefault="007A1B59" w:rsidP="00E03D78">
            <w:pPr>
              <w:spacing w:line="240" w:lineRule="auto"/>
              <w:ind w:left="314"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30</w:t>
            </w:r>
            <w:r w:rsidRPr="00632B6C">
              <w:rPr>
                <w:kern w:val="28"/>
                <w:sz w:val="22"/>
                <w:szCs w:val="22"/>
                <w:lang w:val="en-CA"/>
              </w:rPr>
              <w:t>,</w:t>
            </w:r>
            <w:r w:rsidR="005B3B9F" w:rsidRPr="00632B6C">
              <w:rPr>
                <w:kern w:val="28"/>
                <w:sz w:val="22"/>
                <w:szCs w:val="22"/>
                <w:lang w:val="en-CA"/>
              </w:rPr>
              <w:t>462</w:t>
            </w:r>
            <w:r w:rsidRPr="00632B6C">
              <w:rPr>
                <w:kern w:val="28"/>
                <w:sz w:val="22"/>
                <w:szCs w:val="22"/>
                <w:lang w:val="en-CA"/>
              </w:rPr>
              <w:t>.</w:t>
            </w:r>
            <w:r w:rsidR="005B3B9F" w:rsidRPr="00632B6C">
              <w:rPr>
                <w:kern w:val="28"/>
                <w:sz w:val="22"/>
                <w:szCs w:val="22"/>
                <w:lang w:val="en-CA"/>
              </w:rPr>
              <w:t>63</w:t>
            </w:r>
          </w:p>
        </w:tc>
      </w:tr>
    </w:tbl>
    <w:p w14:paraId="1EA6534F" w14:textId="40793F30" w:rsidR="00B2165C" w:rsidRPr="00632B6C" w:rsidRDefault="0011464D" w:rsidP="00324897">
      <w:pPr>
        <w:pStyle w:val="Paragraphe"/>
        <w:tabs>
          <w:tab w:val="clear" w:pos="720"/>
          <w:tab w:val="num" w:pos="709"/>
        </w:tabs>
        <w:spacing w:before="240" w:line="240" w:lineRule="auto"/>
        <w:rPr>
          <w:lang w:val="en-CA"/>
        </w:rPr>
      </w:pPr>
      <w:r w:rsidRPr="00632B6C">
        <w:rPr>
          <w:lang w:val="en-CA"/>
        </w:rPr>
        <w:lastRenderedPageBreak/>
        <w:t xml:space="preserve">On December 9, 2013, in a letter addressed to the Notary, GIR undertook to issue the accreditation for the </w:t>
      </w:r>
      <w:r w:rsidR="004A5A9B">
        <w:rPr>
          <w:lang w:val="en-CA"/>
        </w:rPr>
        <w:t xml:space="preserve">project’s </w:t>
      </w:r>
      <w:r w:rsidR="00D86BC6">
        <w:rPr>
          <w:lang w:val="en-CA"/>
        </w:rPr>
        <w:t>guarantee</w:t>
      </w:r>
      <w:r w:rsidR="00D86BC6" w:rsidRPr="00632B6C">
        <w:rPr>
          <w:lang w:val="en-CA"/>
        </w:rPr>
        <w:t xml:space="preserve"> </w:t>
      </w:r>
      <w:r w:rsidRPr="00632B6C">
        <w:rPr>
          <w:lang w:val="en-CA"/>
        </w:rPr>
        <w:t xml:space="preserve">plan in exchange for payment of $450,000 it authorized the Notary to withdraw from the </w:t>
      </w:r>
      <w:r w:rsidR="004332CE" w:rsidRPr="00632B6C">
        <w:rPr>
          <w:lang w:val="en-CA"/>
        </w:rPr>
        <w:t>down payments</w:t>
      </w:r>
      <w:r w:rsidRPr="00632B6C">
        <w:rPr>
          <w:lang w:val="en-CA"/>
        </w:rPr>
        <w:t xml:space="preserve"> held in trust.</w:t>
      </w:r>
      <w:r w:rsidR="005B3B9F" w:rsidRPr="00632B6C">
        <w:rPr>
          <w:lang w:val="en-CA"/>
        </w:rPr>
        <w:t xml:space="preserve"> </w:t>
      </w:r>
      <w:r w:rsidRPr="00632B6C">
        <w:rPr>
          <w:lang w:val="en-CA"/>
        </w:rPr>
        <w:t xml:space="preserve">GIR further undertook to authorize the Notary to disburse all the </w:t>
      </w:r>
      <w:r w:rsidR="004332CE" w:rsidRPr="00632B6C">
        <w:rPr>
          <w:lang w:val="en-CA"/>
        </w:rPr>
        <w:t>down payments</w:t>
      </w:r>
      <w:r w:rsidRPr="00632B6C">
        <w:rPr>
          <w:lang w:val="en-CA"/>
        </w:rPr>
        <w:t xml:space="preserve"> upon receipt of this </w:t>
      </w:r>
      <w:r w:rsidR="0094514C">
        <w:rPr>
          <w:lang w:val="en-CA"/>
        </w:rPr>
        <w:t>amount</w:t>
      </w:r>
      <w:r w:rsidRPr="00632B6C">
        <w:rPr>
          <w:lang w:val="en-CA"/>
        </w:rPr>
        <w:t>.</w:t>
      </w:r>
    </w:p>
    <w:p w14:paraId="6DD6AE53" w14:textId="2B76ECE8" w:rsidR="00B2165C" w:rsidRPr="00632B6C" w:rsidRDefault="0011464D" w:rsidP="00324897">
      <w:pPr>
        <w:pStyle w:val="Paragraphe"/>
        <w:tabs>
          <w:tab w:val="clear" w:pos="720"/>
          <w:tab w:val="num" w:pos="709"/>
        </w:tabs>
        <w:spacing w:line="240" w:lineRule="auto"/>
        <w:rPr>
          <w:lang w:val="en-CA"/>
        </w:rPr>
      </w:pPr>
      <w:r w:rsidRPr="00632B6C">
        <w:rPr>
          <w:lang w:val="en-CA"/>
        </w:rPr>
        <w:t xml:space="preserve">On December 11, 2013, GIR authorized </w:t>
      </w:r>
      <w:r w:rsidR="00307FD1">
        <w:rPr>
          <w:lang w:val="en-CA"/>
        </w:rPr>
        <w:t xml:space="preserve">payment of </w:t>
      </w:r>
      <w:r w:rsidRPr="00632B6C">
        <w:rPr>
          <w:lang w:val="en-CA"/>
        </w:rPr>
        <w:t xml:space="preserve">the </w:t>
      </w:r>
      <w:r w:rsidR="004332CE" w:rsidRPr="00632B6C">
        <w:rPr>
          <w:lang w:val="en-CA"/>
        </w:rPr>
        <w:t>down payments</w:t>
      </w:r>
      <w:r w:rsidRPr="00632B6C">
        <w:rPr>
          <w:lang w:val="en-CA"/>
        </w:rPr>
        <w:t xml:space="preserve"> to the </w:t>
      </w:r>
      <w:r w:rsidR="00AA01D2">
        <w:rPr>
          <w:lang w:val="en-CA"/>
        </w:rPr>
        <w:t>Developer</w:t>
      </w:r>
      <w:r w:rsidRPr="00632B6C">
        <w:rPr>
          <w:lang w:val="en-CA"/>
        </w:rPr>
        <w:t xml:space="preserve">, </w:t>
      </w:r>
      <w:r w:rsidR="00307FD1">
        <w:rPr>
          <w:lang w:val="en-CA"/>
        </w:rPr>
        <w:t xml:space="preserve">thereby </w:t>
      </w:r>
      <w:r w:rsidRPr="00632B6C">
        <w:rPr>
          <w:lang w:val="en-CA"/>
        </w:rPr>
        <w:t xml:space="preserve">confirming that it would not control the </w:t>
      </w:r>
      <w:r w:rsidR="004332CE" w:rsidRPr="00632B6C">
        <w:rPr>
          <w:lang w:val="en-CA"/>
        </w:rPr>
        <w:t>down payments</w:t>
      </w:r>
      <w:r w:rsidRPr="00632B6C">
        <w:rPr>
          <w:lang w:val="en-CA"/>
        </w:rPr>
        <w:t xml:space="preserve"> after the project’s accreditation. </w:t>
      </w:r>
    </w:p>
    <w:p w14:paraId="5FEAA1EF" w14:textId="42012D3D" w:rsidR="00B2165C" w:rsidRPr="00632B6C" w:rsidRDefault="0011464D" w:rsidP="00324897">
      <w:pPr>
        <w:pStyle w:val="Paragraphe"/>
        <w:tabs>
          <w:tab w:val="clear" w:pos="720"/>
          <w:tab w:val="num" w:pos="709"/>
        </w:tabs>
        <w:spacing w:line="240" w:lineRule="auto"/>
        <w:rPr>
          <w:lang w:val="en-CA"/>
        </w:rPr>
      </w:pPr>
      <w:r w:rsidRPr="00632B6C">
        <w:rPr>
          <w:lang w:val="en-CA"/>
        </w:rPr>
        <w:t>On December 12, 2013, GIR accredited the project.</w:t>
      </w:r>
    </w:p>
    <w:p w14:paraId="47532A5C" w14:textId="071A951B" w:rsidR="00B2165C" w:rsidRPr="00632B6C" w:rsidRDefault="0011464D" w:rsidP="00324897">
      <w:pPr>
        <w:pStyle w:val="Paragraphe"/>
        <w:tabs>
          <w:tab w:val="clear" w:pos="720"/>
          <w:tab w:val="num" w:pos="709"/>
        </w:tabs>
        <w:spacing w:line="240" w:lineRule="auto"/>
        <w:rPr>
          <w:lang w:val="en-CA"/>
        </w:rPr>
      </w:pPr>
      <w:r w:rsidRPr="00632B6C">
        <w:rPr>
          <w:lang w:val="en-CA"/>
        </w:rPr>
        <w:t xml:space="preserve">According to the testimony of </w:t>
      </w:r>
      <w:r w:rsidR="00D220F3">
        <w:rPr>
          <w:lang w:val="en-CA"/>
        </w:rPr>
        <w:t>a</w:t>
      </w:r>
      <w:r w:rsidRPr="00632B6C">
        <w:rPr>
          <w:lang w:val="en-CA"/>
        </w:rPr>
        <w:t xml:space="preserve"> GIR representative, Jean-Pascal Labrosse, </w:t>
      </w:r>
      <w:r w:rsidR="00D220F3">
        <w:rPr>
          <w:lang w:val="en-CA"/>
        </w:rPr>
        <w:t xml:space="preserve">GIR </w:t>
      </w:r>
      <w:r w:rsidRPr="00632B6C">
        <w:rPr>
          <w:lang w:val="en-CA"/>
        </w:rPr>
        <w:t xml:space="preserve">agreed to reduce the </w:t>
      </w:r>
      <w:r w:rsidR="00D86BC6">
        <w:rPr>
          <w:lang w:val="en-CA"/>
        </w:rPr>
        <w:t xml:space="preserve">requirements </w:t>
      </w:r>
      <w:r w:rsidR="0051695E">
        <w:rPr>
          <w:lang w:val="en-CA"/>
        </w:rPr>
        <w:t xml:space="preserve">for </w:t>
      </w:r>
      <w:r w:rsidR="00D86BC6">
        <w:rPr>
          <w:lang w:val="en-CA"/>
        </w:rPr>
        <w:t>disburs</w:t>
      </w:r>
      <w:r w:rsidR="0051695E">
        <w:rPr>
          <w:lang w:val="en-CA"/>
        </w:rPr>
        <w:t>ing</w:t>
      </w:r>
      <w:r w:rsidRPr="00632B6C">
        <w:rPr>
          <w:lang w:val="en-CA"/>
        </w:rPr>
        <w:t xml:space="preserve"> the </w:t>
      </w:r>
      <w:r w:rsidR="004332CE" w:rsidRPr="00632B6C">
        <w:rPr>
          <w:lang w:val="en-CA"/>
        </w:rPr>
        <w:t>down payments</w:t>
      </w:r>
      <w:r w:rsidRPr="00632B6C">
        <w:rPr>
          <w:lang w:val="en-CA"/>
        </w:rPr>
        <w:t xml:space="preserve"> </w:t>
      </w:r>
      <w:r w:rsidR="00D220F3">
        <w:rPr>
          <w:lang w:val="en-CA"/>
        </w:rPr>
        <w:t xml:space="preserve">following </w:t>
      </w:r>
      <w:r w:rsidRPr="00632B6C">
        <w:rPr>
          <w:lang w:val="en-CA"/>
        </w:rPr>
        <w:t xml:space="preserve">negotiations with the </w:t>
      </w:r>
      <w:r w:rsidR="00AA01D2">
        <w:rPr>
          <w:lang w:val="en-CA"/>
        </w:rPr>
        <w:t>Developer</w:t>
      </w:r>
      <w:r w:rsidRPr="00632B6C">
        <w:rPr>
          <w:lang w:val="en-CA"/>
        </w:rPr>
        <w:t xml:space="preserve"> in exchange for security of $450,000 from the </w:t>
      </w:r>
      <w:r w:rsidR="00AA01D2">
        <w:rPr>
          <w:lang w:val="en-CA"/>
        </w:rPr>
        <w:t>Developer</w:t>
      </w:r>
      <w:r w:rsidRPr="00632B6C">
        <w:rPr>
          <w:lang w:val="en-CA"/>
        </w:rPr>
        <w:t xml:space="preserve">, to be paid to GIR from the appellants’ </w:t>
      </w:r>
      <w:r w:rsidR="004332CE" w:rsidRPr="00632B6C">
        <w:rPr>
          <w:lang w:val="en-CA"/>
        </w:rPr>
        <w:t>down payments</w:t>
      </w:r>
      <w:r w:rsidRPr="00632B6C">
        <w:rPr>
          <w:lang w:val="en-CA"/>
        </w:rPr>
        <w:t xml:space="preserve"> held in trust </w:t>
      </w:r>
      <w:r w:rsidR="00D220F3">
        <w:rPr>
          <w:lang w:val="en-CA"/>
        </w:rPr>
        <w:t xml:space="preserve">with </w:t>
      </w:r>
      <w:r w:rsidRPr="00632B6C">
        <w:rPr>
          <w:lang w:val="en-CA"/>
        </w:rPr>
        <w:t>the Notary.</w:t>
      </w:r>
      <w:r w:rsidR="005B3B9F" w:rsidRPr="00632B6C">
        <w:rPr>
          <w:lang w:val="en-CA"/>
        </w:rPr>
        <w:t xml:space="preserve"> </w:t>
      </w:r>
      <w:r w:rsidRPr="00632B6C">
        <w:rPr>
          <w:lang w:val="en-CA"/>
        </w:rPr>
        <w:t xml:space="preserve">Mr. Labrosse explained that it is not unusual </w:t>
      </w:r>
      <w:r w:rsidR="00D220F3">
        <w:rPr>
          <w:lang w:val="en-CA"/>
        </w:rPr>
        <w:t xml:space="preserve">for </w:t>
      </w:r>
      <w:r w:rsidR="004332CE" w:rsidRPr="00632B6C">
        <w:rPr>
          <w:lang w:val="en-CA"/>
        </w:rPr>
        <w:t>down payments</w:t>
      </w:r>
      <w:r w:rsidRPr="00632B6C">
        <w:rPr>
          <w:lang w:val="en-CA"/>
        </w:rPr>
        <w:t xml:space="preserve"> </w:t>
      </w:r>
      <w:r w:rsidR="00D220F3">
        <w:rPr>
          <w:lang w:val="en-CA"/>
        </w:rPr>
        <w:t xml:space="preserve">to be used </w:t>
      </w:r>
      <w:r w:rsidRPr="00632B6C">
        <w:rPr>
          <w:lang w:val="en-CA"/>
        </w:rPr>
        <w:t xml:space="preserve">to finance the project </w:t>
      </w:r>
      <w:r w:rsidR="00E07600">
        <w:rPr>
          <w:lang w:val="en-CA"/>
        </w:rPr>
        <w:t>whe</w:t>
      </w:r>
      <w:r w:rsidR="0051695E">
        <w:rPr>
          <w:lang w:val="en-CA"/>
        </w:rPr>
        <w:t>n</w:t>
      </w:r>
      <w:r w:rsidR="00E07600">
        <w:rPr>
          <w:lang w:val="en-CA"/>
        </w:rPr>
        <w:t xml:space="preserve"> provided for </w:t>
      </w:r>
      <w:r w:rsidRPr="00632B6C">
        <w:rPr>
          <w:lang w:val="en-CA"/>
        </w:rPr>
        <w:t>in the financing agreement.</w:t>
      </w:r>
      <w:r w:rsidR="005B3B9F" w:rsidRPr="00632B6C">
        <w:rPr>
          <w:lang w:val="en-CA"/>
        </w:rPr>
        <w:t xml:space="preserve"> </w:t>
      </w:r>
      <w:r w:rsidRPr="00632B6C">
        <w:rPr>
          <w:lang w:val="en-CA"/>
        </w:rPr>
        <w:t xml:space="preserve">He added </w:t>
      </w:r>
      <w:r w:rsidRPr="00632B6C">
        <w:rPr>
          <w:rFonts w:cs="Arial"/>
          <w:lang w:val="en-CA"/>
        </w:rPr>
        <w:t>[</w:t>
      </w:r>
      <w:r w:rsidRPr="00632B6C">
        <w:rPr>
          <w:rFonts w:cs="Arial"/>
          <w:smallCaps/>
          <w:lang w:val="en-CA"/>
        </w:rPr>
        <w:t>translator</w:t>
      </w:r>
      <w:r w:rsidRPr="00632B6C">
        <w:rPr>
          <w:rFonts w:cs="Arial"/>
          <w:lang w:val="en-CA"/>
        </w:rPr>
        <w:t>]</w:t>
      </w:r>
      <w:r w:rsidRPr="00632B6C">
        <w:rPr>
          <w:lang w:val="en-CA"/>
        </w:rPr>
        <w:t xml:space="preserve"> “</w:t>
      </w:r>
      <w:r w:rsidR="00D220F3" w:rsidRPr="00632B6C">
        <w:rPr>
          <w:lang w:val="en-CA"/>
        </w:rPr>
        <w:t xml:space="preserve">that </w:t>
      </w:r>
      <w:r w:rsidR="00E07600">
        <w:rPr>
          <w:lang w:val="en-CA"/>
        </w:rPr>
        <w:t>contractors</w:t>
      </w:r>
      <w:r w:rsidR="00E07600" w:rsidRPr="00632B6C">
        <w:rPr>
          <w:lang w:val="en-CA"/>
        </w:rPr>
        <w:t xml:space="preserve"> </w:t>
      </w:r>
      <w:r w:rsidR="00D220F3">
        <w:rPr>
          <w:lang w:val="en-CA"/>
        </w:rPr>
        <w:t xml:space="preserve">commonly </w:t>
      </w:r>
      <w:r w:rsidRPr="00632B6C">
        <w:rPr>
          <w:lang w:val="en-CA"/>
        </w:rPr>
        <w:t>us</w:t>
      </w:r>
      <w:r w:rsidR="00D220F3">
        <w:rPr>
          <w:lang w:val="en-CA"/>
        </w:rPr>
        <w:t>e</w:t>
      </w:r>
      <w:r w:rsidRPr="00632B6C">
        <w:rPr>
          <w:lang w:val="en-CA"/>
        </w:rPr>
        <w:t xml:space="preserve"> </w:t>
      </w:r>
      <w:r w:rsidR="004332CE" w:rsidRPr="00632B6C">
        <w:rPr>
          <w:lang w:val="en-CA"/>
        </w:rPr>
        <w:t>down payments</w:t>
      </w:r>
      <w:r w:rsidRPr="00632B6C">
        <w:rPr>
          <w:lang w:val="en-CA"/>
        </w:rPr>
        <w:t xml:space="preserve"> </w:t>
      </w:r>
      <w:r w:rsidR="00D220F3">
        <w:rPr>
          <w:lang w:val="en-CA"/>
        </w:rPr>
        <w:t xml:space="preserve">on </w:t>
      </w:r>
      <w:r w:rsidRPr="00632B6C">
        <w:rPr>
          <w:lang w:val="en-CA"/>
        </w:rPr>
        <w:t xml:space="preserve">occasion </w:t>
      </w:r>
      <w:r w:rsidR="00D220F3">
        <w:rPr>
          <w:lang w:val="en-CA"/>
        </w:rPr>
        <w:t xml:space="preserve">as </w:t>
      </w:r>
      <w:r w:rsidR="00632B6C">
        <w:rPr>
          <w:lang w:val="en-CA"/>
        </w:rPr>
        <w:t>security</w:t>
      </w:r>
      <w:r w:rsidRPr="00632B6C">
        <w:rPr>
          <w:lang w:val="en-CA"/>
        </w:rPr>
        <w:t>”.</w:t>
      </w:r>
      <w:r w:rsidR="005B3B9F" w:rsidRPr="00632B6C">
        <w:rPr>
          <w:rStyle w:val="Appelnotedebasdep"/>
          <w:lang w:val="en-CA"/>
        </w:rPr>
        <w:footnoteReference w:id="2"/>
      </w:r>
      <w:r w:rsidR="005B3B9F" w:rsidRPr="00632B6C">
        <w:rPr>
          <w:lang w:val="en-CA"/>
        </w:rPr>
        <w:t xml:space="preserve"> </w:t>
      </w:r>
      <w:r w:rsidRPr="00632B6C">
        <w:rPr>
          <w:lang w:val="en-CA"/>
        </w:rPr>
        <w:t xml:space="preserve">He further noted that a more </w:t>
      </w:r>
      <w:r w:rsidR="00D220F3">
        <w:rPr>
          <w:lang w:val="en-CA"/>
        </w:rPr>
        <w:t xml:space="preserve">expensive </w:t>
      </w:r>
      <w:r w:rsidRPr="00632B6C">
        <w:rPr>
          <w:lang w:val="en-CA"/>
        </w:rPr>
        <w:t xml:space="preserve">temporary loan while awaiting financing from the Bank </w:t>
      </w:r>
      <w:r w:rsidR="00D220F3">
        <w:rPr>
          <w:lang w:val="en-CA"/>
        </w:rPr>
        <w:t>i</w:t>
      </w:r>
      <w:r w:rsidRPr="00632B6C">
        <w:rPr>
          <w:lang w:val="en-CA"/>
        </w:rPr>
        <w:t>s also not unusual.</w:t>
      </w:r>
    </w:p>
    <w:p w14:paraId="5C8CF1C6" w14:textId="662D86E6" w:rsidR="00B2165C" w:rsidRPr="00632B6C" w:rsidRDefault="0011464D" w:rsidP="00324897">
      <w:pPr>
        <w:pStyle w:val="Paragraphe"/>
        <w:tabs>
          <w:tab w:val="clear" w:pos="720"/>
          <w:tab w:val="num" w:pos="709"/>
        </w:tabs>
        <w:spacing w:line="240" w:lineRule="auto"/>
        <w:rPr>
          <w:lang w:val="en-CA"/>
        </w:rPr>
      </w:pPr>
      <w:r w:rsidRPr="00632B6C">
        <w:rPr>
          <w:lang w:val="en-CA"/>
        </w:rPr>
        <w:t xml:space="preserve">Given </w:t>
      </w:r>
      <w:r w:rsidR="00E07600">
        <w:rPr>
          <w:lang w:val="en-CA"/>
        </w:rPr>
        <w:t>th</w:t>
      </w:r>
      <w:r w:rsidR="002C404D">
        <w:rPr>
          <w:lang w:val="en-CA"/>
        </w:rPr>
        <w:t>e</w:t>
      </w:r>
      <w:r w:rsidR="00E07600">
        <w:rPr>
          <w:lang w:val="en-CA"/>
        </w:rPr>
        <w:t xml:space="preserve"> accreditation </w:t>
      </w:r>
      <w:r w:rsidR="00E37618">
        <w:rPr>
          <w:lang w:val="en-CA"/>
        </w:rPr>
        <w:t>obtained from</w:t>
      </w:r>
      <w:r w:rsidR="00E07600">
        <w:rPr>
          <w:lang w:val="en-CA"/>
        </w:rPr>
        <w:t xml:space="preserve"> </w:t>
      </w:r>
      <w:r w:rsidRPr="00632B6C">
        <w:rPr>
          <w:lang w:val="en-CA"/>
        </w:rPr>
        <w:t xml:space="preserve">GIR, the Notary disbursed the </w:t>
      </w:r>
      <w:r w:rsidR="004332CE" w:rsidRPr="00632B6C">
        <w:rPr>
          <w:lang w:val="en-CA"/>
        </w:rPr>
        <w:t>down payments</w:t>
      </w:r>
      <w:r w:rsidRPr="00632B6C">
        <w:rPr>
          <w:lang w:val="en-CA"/>
        </w:rPr>
        <w:t xml:space="preserve"> because the conditions </w:t>
      </w:r>
      <w:r w:rsidR="00B9676E">
        <w:rPr>
          <w:lang w:val="en-CA"/>
        </w:rPr>
        <w:t xml:space="preserve">had </w:t>
      </w:r>
      <w:r w:rsidRPr="00632B6C">
        <w:rPr>
          <w:lang w:val="en-CA"/>
        </w:rPr>
        <w:t xml:space="preserve">now </w:t>
      </w:r>
      <w:r w:rsidR="00B9676E">
        <w:rPr>
          <w:lang w:val="en-CA"/>
        </w:rPr>
        <w:t xml:space="preserve">been </w:t>
      </w:r>
      <w:r w:rsidR="0051695E">
        <w:rPr>
          <w:lang w:val="en-CA"/>
        </w:rPr>
        <w:t xml:space="preserve">met </w:t>
      </w:r>
      <w:r w:rsidRPr="00632B6C">
        <w:rPr>
          <w:lang w:val="en-CA"/>
        </w:rPr>
        <w:t xml:space="preserve">for </w:t>
      </w:r>
      <w:r w:rsidR="00D220F3">
        <w:rPr>
          <w:lang w:val="en-CA"/>
        </w:rPr>
        <w:t xml:space="preserve">every </w:t>
      </w:r>
      <w:r w:rsidRPr="00632B6C">
        <w:rPr>
          <w:lang w:val="en-CA"/>
        </w:rPr>
        <w:t>contract.</w:t>
      </w:r>
      <w:r w:rsidR="005B3B9F" w:rsidRPr="00632B6C">
        <w:rPr>
          <w:lang w:val="en-CA"/>
        </w:rPr>
        <w:t xml:space="preserve"> </w:t>
      </w:r>
      <w:r w:rsidRPr="00632B6C">
        <w:rPr>
          <w:lang w:val="en-CA"/>
        </w:rPr>
        <w:t>The</w:t>
      </w:r>
      <w:r w:rsidR="00E07600">
        <w:rPr>
          <w:lang w:val="en-CA"/>
        </w:rPr>
        <w:t>se</w:t>
      </w:r>
      <w:r w:rsidRPr="00632B6C">
        <w:rPr>
          <w:lang w:val="en-CA"/>
        </w:rPr>
        <w:t xml:space="preserve"> disbursements appear in the table below:</w:t>
      </w:r>
    </w:p>
    <w:p w14:paraId="2624176B" w14:textId="77777777" w:rsidR="00B2165C" w:rsidRPr="00632B6C" w:rsidRDefault="00DF4B78" w:rsidP="00324897">
      <w:pPr>
        <w:pStyle w:val="Paragraphe"/>
        <w:numPr>
          <w:ilvl w:val="0"/>
          <w:numId w:val="0"/>
        </w:numPr>
        <w:spacing w:line="240" w:lineRule="auto"/>
        <w:rPr>
          <w:szCs w:val="2"/>
          <w:lang w:val="en-CA"/>
        </w:rPr>
      </w:pPr>
    </w:p>
    <w:tbl>
      <w:tblPr>
        <w:tblStyle w:val="Grilledutableau1"/>
        <w:tblW w:w="7892" w:type="dxa"/>
        <w:jc w:val="center"/>
        <w:tblLook w:val="04A0" w:firstRow="1" w:lastRow="0" w:firstColumn="1" w:lastColumn="0" w:noHBand="0" w:noVBand="1"/>
      </w:tblPr>
      <w:tblGrid>
        <w:gridCol w:w="5524"/>
        <w:gridCol w:w="2368"/>
      </w:tblGrid>
      <w:tr w:rsidR="003D055F" w:rsidRPr="00632B6C" w14:paraId="4465EE05" w14:textId="77777777" w:rsidTr="00324897">
        <w:trPr>
          <w:jc w:val="center"/>
        </w:trPr>
        <w:tc>
          <w:tcPr>
            <w:tcW w:w="5524" w:type="dxa"/>
          </w:tcPr>
          <w:p w14:paraId="51A31938" w14:textId="0C46CE75" w:rsidR="00B2165C" w:rsidRPr="00632B6C" w:rsidRDefault="00332714" w:rsidP="00B2165C">
            <w:pPr>
              <w:spacing w:line="240" w:lineRule="auto"/>
              <w:jc w:val="center"/>
              <w:rPr>
                <w:b/>
                <w:kern w:val="28"/>
                <w:sz w:val="22"/>
                <w:szCs w:val="22"/>
                <w:lang w:val="en-CA"/>
              </w:rPr>
            </w:pPr>
            <w:r w:rsidRPr="00632B6C">
              <w:rPr>
                <w:b/>
                <w:kern w:val="28"/>
                <w:sz w:val="22"/>
                <w:szCs w:val="22"/>
                <w:lang w:val="en-CA"/>
              </w:rPr>
              <w:t>Date</w:t>
            </w:r>
          </w:p>
        </w:tc>
        <w:tc>
          <w:tcPr>
            <w:tcW w:w="2368" w:type="dxa"/>
          </w:tcPr>
          <w:p w14:paraId="790B5FC4" w14:textId="33FAF0F9" w:rsidR="00B2165C" w:rsidRPr="00632B6C" w:rsidRDefault="00332714" w:rsidP="00B2165C">
            <w:pPr>
              <w:spacing w:line="240" w:lineRule="auto"/>
              <w:jc w:val="center"/>
              <w:rPr>
                <w:b/>
                <w:kern w:val="28"/>
                <w:sz w:val="22"/>
                <w:szCs w:val="22"/>
                <w:lang w:val="en-CA"/>
              </w:rPr>
            </w:pPr>
            <w:r w:rsidRPr="00632B6C">
              <w:rPr>
                <w:b/>
                <w:kern w:val="28"/>
                <w:sz w:val="22"/>
                <w:szCs w:val="22"/>
                <w:lang w:val="en-CA"/>
              </w:rPr>
              <w:t>Amounts disbursed</w:t>
            </w:r>
          </w:p>
        </w:tc>
      </w:tr>
      <w:tr w:rsidR="003D055F" w:rsidRPr="00632B6C" w14:paraId="40950447" w14:textId="77777777" w:rsidTr="00324897">
        <w:trPr>
          <w:jc w:val="center"/>
        </w:trPr>
        <w:tc>
          <w:tcPr>
            <w:tcW w:w="5524" w:type="dxa"/>
          </w:tcPr>
          <w:p w14:paraId="15690D8F" w14:textId="63E600DD" w:rsidR="00B2165C" w:rsidRPr="00632B6C" w:rsidRDefault="0011464D" w:rsidP="00D7575B">
            <w:pPr>
              <w:spacing w:line="240" w:lineRule="auto"/>
              <w:ind w:left="316"/>
              <w:rPr>
                <w:kern w:val="28"/>
                <w:sz w:val="22"/>
                <w:szCs w:val="22"/>
                <w:lang w:val="en-CA"/>
              </w:rPr>
            </w:pPr>
            <w:r w:rsidRPr="00632B6C">
              <w:rPr>
                <w:kern w:val="28"/>
                <w:sz w:val="22"/>
                <w:szCs w:val="22"/>
                <w:lang w:val="en-CA"/>
              </w:rPr>
              <w:t>December 11, 2013</w:t>
            </w:r>
          </w:p>
          <w:p w14:paraId="7A39F552" w14:textId="7FEDD4A9" w:rsidR="00B2165C" w:rsidRPr="00632B6C" w:rsidRDefault="0011464D" w:rsidP="00D7575B">
            <w:pPr>
              <w:spacing w:line="240" w:lineRule="auto"/>
              <w:ind w:left="316"/>
              <w:rPr>
                <w:kern w:val="28"/>
                <w:sz w:val="22"/>
                <w:szCs w:val="22"/>
                <w:lang w:val="en-CA"/>
              </w:rPr>
            </w:pPr>
            <w:r w:rsidRPr="00632B6C">
              <w:rPr>
                <w:kern w:val="28"/>
                <w:sz w:val="22"/>
                <w:szCs w:val="22"/>
                <w:lang w:val="en-CA"/>
              </w:rPr>
              <w:t>(Condition 2: GIR authorization)</w:t>
            </w:r>
          </w:p>
        </w:tc>
        <w:tc>
          <w:tcPr>
            <w:tcW w:w="2368" w:type="dxa"/>
          </w:tcPr>
          <w:p w14:paraId="1C854AD8" w14:textId="7D470921"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774</w:t>
            </w:r>
            <w:r w:rsidRPr="00632B6C">
              <w:rPr>
                <w:kern w:val="28"/>
                <w:sz w:val="22"/>
                <w:szCs w:val="22"/>
                <w:lang w:val="en-CA"/>
              </w:rPr>
              <w:t>,</w:t>
            </w:r>
            <w:r w:rsidR="005B3B9F" w:rsidRPr="00632B6C">
              <w:rPr>
                <w:kern w:val="28"/>
                <w:sz w:val="22"/>
                <w:szCs w:val="22"/>
                <w:lang w:val="en-CA"/>
              </w:rPr>
              <w:t>158</w:t>
            </w:r>
            <w:r w:rsidRPr="00632B6C">
              <w:rPr>
                <w:kern w:val="28"/>
                <w:sz w:val="22"/>
                <w:szCs w:val="22"/>
                <w:lang w:val="en-CA"/>
              </w:rPr>
              <w:t>.</w:t>
            </w:r>
            <w:r w:rsidR="005B3B9F" w:rsidRPr="00632B6C">
              <w:rPr>
                <w:kern w:val="28"/>
                <w:sz w:val="22"/>
                <w:szCs w:val="22"/>
                <w:lang w:val="en-CA"/>
              </w:rPr>
              <w:t>25</w:t>
            </w:r>
          </w:p>
        </w:tc>
      </w:tr>
      <w:tr w:rsidR="003D055F" w:rsidRPr="00632B6C" w14:paraId="2F1D5B88" w14:textId="77777777" w:rsidTr="00324897">
        <w:trPr>
          <w:jc w:val="center"/>
        </w:trPr>
        <w:tc>
          <w:tcPr>
            <w:tcW w:w="5524" w:type="dxa"/>
          </w:tcPr>
          <w:p w14:paraId="2FD20065" w14:textId="020155DF" w:rsidR="00B2165C" w:rsidRPr="00632B6C" w:rsidRDefault="0011464D" w:rsidP="00D7575B">
            <w:pPr>
              <w:spacing w:line="240" w:lineRule="auto"/>
              <w:ind w:left="316"/>
              <w:rPr>
                <w:kern w:val="28"/>
                <w:sz w:val="22"/>
                <w:szCs w:val="22"/>
                <w:lang w:val="en-CA"/>
              </w:rPr>
            </w:pPr>
            <w:r w:rsidRPr="00632B6C">
              <w:rPr>
                <w:kern w:val="28"/>
                <w:sz w:val="22"/>
                <w:szCs w:val="22"/>
                <w:lang w:val="en-CA"/>
              </w:rPr>
              <w:t>December 18, 2013</w:t>
            </w:r>
          </w:p>
        </w:tc>
        <w:tc>
          <w:tcPr>
            <w:tcW w:w="2368" w:type="dxa"/>
          </w:tcPr>
          <w:p w14:paraId="2665EC0C" w14:textId="5DF6DCC0"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273</w:t>
            </w:r>
            <w:r w:rsidRPr="00632B6C">
              <w:rPr>
                <w:kern w:val="28"/>
                <w:sz w:val="22"/>
                <w:szCs w:val="22"/>
                <w:lang w:val="en-CA"/>
              </w:rPr>
              <w:t>,</w:t>
            </w:r>
            <w:r w:rsidR="005B3B9F" w:rsidRPr="00632B6C">
              <w:rPr>
                <w:kern w:val="28"/>
                <w:sz w:val="22"/>
                <w:szCs w:val="22"/>
                <w:lang w:val="en-CA"/>
              </w:rPr>
              <w:t>318</w:t>
            </w:r>
            <w:r w:rsidRPr="00632B6C">
              <w:rPr>
                <w:kern w:val="28"/>
                <w:sz w:val="22"/>
                <w:szCs w:val="22"/>
                <w:lang w:val="en-CA"/>
              </w:rPr>
              <w:t>.</w:t>
            </w:r>
            <w:r w:rsidR="005B3B9F" w:rsidRPr="00632B6C">
              <w:rPr>
                <w:kern w:val="28"/>
                <w:sz w:val="22"/>
                <w:szCs w:val="22"/>
                <w:lang w:val="en-CA"/>
              </w:rPr>
              <w:t>57</w:t>
            </w:r>
          </w:p>
        </w:tc>
      </w:tr>
      <w:tr w:rsidR="003D055F" w:rsidRPr="00632B6C" w14:paraId="64F91C8C" w14:textId="77777777" w:rsidTr="00324897">
        <w:trPr>
          <w:jc w:val="center"/>
        </w:trPr>
        <w:tc>
          <w:tcPr>
            <w:tcW w:w="5524" w:type="dxa"/>
          </w:tcPr>
          <w:p w14:paraId="144D3BB6" w14:textId="4B1BC75D" w:rsidR="00B2165C" w:rsidRPr="00632B6C" w:rsidRDefault="0011464D" w:rsidP="00D7575B">
            <w:pPr>
              <w:spacing w:line="240" w:lineRule="auto"/>
              <w:ind w:left="316"/>
              <w:rPr>
                <w:kern w:val="28"/>
                <w:sz w:val="22"/>
                <w:szCs w:val="22"/>
                <w:lang w:val="en-CA"/>
              </w:rPr>
            </w:pPr>
            <w:r w:rsidRPr="00632B6C">
              <w:rPr>
                <w:kern w:val="28"/>
                <w:sz w:val="22"/>
                <w:szCs w:val="22"/>
                <w:lang w:val="en-CA"/>
              </w:rPr>
              <w:t>January 28, 2014</w:t>
            </w:r>
          </w:p>
        </w:tc>
        <w:tc>
          <w:tcPr>
            <w:tcW w:w="2368" w:type="dxa"/>
          </w:tcPr>
          <w:p w14:paraId="71F87DA5" w14:textId="232A6AE1"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123</w:t>
            </w:r>
            <w:r w:rsidRPr="00632B6C">
              <w:rPr>
                <w:kern w:val="28"/>
                <w:sz w:val="22"/>
                <w:szCs w:val="22"/>
                <w:lang w:val="en-CA"/>
              </w:rPr>
              <w:t>,</w:t>
            </w:r>
            <w:r w:rsidR="005B3B9F" w:rsidRPr="00632B6C">
              <w:rPr>
                <w:kern w:val="28"/>
                <w:sz w:val="22"/>
                <w:szCs w:val="22"/>
                <w:lang w:val="en-CA"/>
              </w:rPr>
              <w:t>587</w:t>
            </w:r>
            <w:r w:rsidRPr="00632B6C">
              <w:rPr>
                <w:kern w:val="28"/>
                <w:sz w:val="22"/>
                <w:szCs w:val="22"/>
                <w:lang w:val="en-CA"/>
              </w:rPr>
              <w:t>.</w:t>
            </w:r>
            <w:r w:rsidR="005B3B9F" w:rsidRPr="00632B6C">
              <w:rPr>
                <w:kern w:val="28"/>
                <w:sz w:val="22"/>
                <w:szCs w:val="22"/>
                <w:lang w:val="en-CA"/>
              </w:rPr>
              <w:t>57</w:t>
            </w:r>
          </w:p>
        </w:tc>
      </w:tr>
      <w:tr w:rsidR="003D055F" w:rsidRPr="00632B6C" w14:paraId="7209AB5E" w14:textId="77777777" w:rsidTr="00324897">
        <w:trPr>
          <w:jc w:val="center"/>
        </w:trPr>
        <w:tc>
          <w:tcPr>
            <w:tcW w:w="5524" w:type="dxa"/>
          </w:tcPr>
          <w:p w14:paraId="43C91F92" w14:textId="429934FE" w:rsidR="00B2165C" w:rsidRPr="00632B6C" w:rsidRDefault="0011464D" w:rsidP="00D7575B">
            <w:pPr>
              <w:spacing w:line="240" w:lineRule="auto"/>
              <w:ind w:left="316"/>
              <w:rPr>
                <w:kern w:val="28"/>
                <w:sz w:val="22"/>
                <w:szCs w:val="22"/>
                <w:lang w:val="en-CA"/>
              </w:rPr>
            </w:pPr>
            <w:r w:rsidRPr="00632B6C">
              <w:rPr>
                <w:kern w:val="28"/>
                <w:sz w:val="22"/>
                <w:szCs w:val="22"/>
                <w:lang w:val="en-CA"/>
              </w:rPr>
              <w:t>January 31, 2014</w:t>
            </w:r>
          </w:p>
        </w:tc>
        <w:tc>
          <w:tcPr>
            <w:tcW w:w="2368" w:type="dxa"/>
          </w:tcPr>
          <w:p w14:paraId="15CCEF6B" w14:textId="2A4099EA"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29</w:t>
            </w:r>
            <w:r w:rsidRPr="00632B6C">
              <w:rPr>
                <w:kern w:val="28"/>
                <w:sz w:val="22"/>
                <w:szCs w:val="22"/>
                <w:lang w:val="en-CA"/>
              </w:rPr>
              <w:t>,</w:t>
            </w:r>
            <w:r w:rsidR="005B3B9F" w:rsidRPr="00632B6C">
              <w:rPr>
                <w:kern w:val="28"/>
                <w:sz w:val="22"/>
                <w:szCs w:val="22"/>
                <w:lang w:val="en-CA"/>
              </w:rPr>
              <w:t>025</w:t>
            </w:r>
            <w:r w:rsidRPr="00632B6C">
              <w:rPr>
                <w:kern w:val="28"/>
                <w:sz w:val="22"/>
                <w:szCs w:val="22"/>
                <w:lang w:val="en-CA"/>
              </w:rPr>
              <w:t>.</w:t>
            </w:r>
            <w:r w:rsidR="005B3B9F" w:rsidRPr="00632B6C">
              <w:rPr>
                <w:kern w:val="28"/>
                <w:sz w:val="22"/>
                <w:szCs w:val="22"/>
                <w:lang w:val="en-CA"/>
              </w:rPr>
              <w:t>44</w:t>
            </w:r>
          </w:p>
        </w:tc>
      </w:tr>
      <w:tr w:rsidR="003D055F" w:rsidRPr="00632B6C" w14:paraId="2C32BC40" w14:textId="77777777" w:rsidTr="00324897">
        <w:trPr>
          <w:jc w:val="center"/>
        </w:trPr>
        <w:tc>
          <w:tcPr>
            <w:tcW w:w="5524" w:type="dxa"/>
          </w:tcPr>
          <w:p w14:paraId="78002AA2" w14:textId="3B1FB58C" w:rsidR="00B2165C" w:rsidRPr="00632B6C" w:rsidRDefault="0011464D" w:rsidP="00D7575B">
            <w:pPr>
              <w:spacing w:line="240" w:lineRule="auto"/>
              <w:ind w:left="316"/>
              <w:rPr>
                <w:kern w:val="28"/>
                <w:sz w:val="22"/>
                <w:szCs w:val="22"/>
                <w:lang w:val="en-CA"/>
              </w:rPr>
            </w:pPr>
            <w:r w:rsidRPr="00632B6C">
              <w:rPr>
                <w:kern w:val="28"/>
                <w:sz w:val="22"/>
                <w:szCs w:val="22"/>
                <w:lang w:val="en-CA"/>
              </w:rPr>
              <w:t>February 24, 2014</w:t>
            </w:r>
          </w:p>
        </w:tc>
        <w:tc>
          <w:tcPr>
            <w:tcW w:w="2368" w:type="dxa"/>
          </w:tcPr>
          <w:p w14:paraId="397081DD" w14:textId="11AEF074"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47</w:t>
            </w:r>
            <w:r w:rsidRPr="00632B6C">
              <w:rPr>
                <w:kern w:val="28"/>
                <w:sz w:val="22"/>
                <w:szCs w:val="22"/>
                <w:lang w:val="en-CA"/>
              </w:rPr>
              <w:t>,</w:t>
            </w:r>
            <w:r w:rsidR="005B3B9F" w:rsidRPr="00632B6C">
              <w:rPr>
                <w:kern w:val="28"/>
                <w:sz w:val="22"/>
                <w:szCs w:val="22"/>
                <w:lang w:val="en-CA"/>
              </w:rPr>
              <w:t>622</w:t>
            </w:r>
            <w:r w:rsidRPr="00632B6C">
              <w:rPr>
                <w:kern w:val="28"/>
                <w:sz w:val="22"/>
                <w:szCs w:val="22"/>
                <w:lang w:val="en-CA"/>
              </w:rPr>
              <w:t>.</w:t>
            </w:r>
            <w:r w:rsidR="005B3B9F" w:rsidRPr="00632B6C">
              <w:rPr>
                <w:kern w:val="28"/>
                <w:sz w:val="22"/>
                <w:szCs w:val="22"/>
                <w:lang w:val="en-CA"/>
              </w:rPr>
              <w:t>45</w:t>
            </w:r>
          </w:p>
        </w:tc>
      </w:tr>
      <w:tr w:rsidR="003D055F" w:rsidRPr="00632B6C" w14:paraId="4C1461E8" w14:textId="77777777" w:rsidTr="00324897">
        <w:trPr>
          <w:jc w:val="center"/>
        </w:trPr>
        <w:tc>
          <w:tcPr>
            <w:tcW w:w="5524" w:type="dxa"/>
          </w:tcPr>
          <w:p w14:paraId="316CA93C" w14:textId="59C938B5" w:rsidR="00B2165C" w:rsidRPr="00632B6C" w:rsidRDefault="0011464D" w:rsidP="00D7575B">
            <w:pPr>
              <w:spacing w:line="240" w:lineRule="auto"/>
              <w:ind w:left="316"/>
              <w:rPr>
                <w:kern w:val="28"/>
                <w:sz w:val="22"/>
                <w:szCs w:val="22"/>
                <w:lang w:val="en-CA"/>
              </w:rPr>
            </w:pPr>
            <w:r w:rsidRPr="00632B6C">
              <w:rPr>
                <w:kern w:val="28"/>
                <w:sz w:val="22"/>
                <w:szCs w:val="22"/>
                <w:lang w:val="en-CA"/>
              </w:rPr>
              <w:t>March 13, 2014</w:t>
            </w:r>
          </w:p>
        </w:tc>
        <w:tc>
          <w:tcPr>
            <w:tcW w:w="2368" w:type="dxa"/>
          </w:tcPr>
          <w:p w14:paraId="30A52F4D" w14:textId="4EF9D3F8"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228</w:t>
            </w:r>
            <w:r w:rsidRPr="00632B6C">
              <w:rPr>
                <w:kern w:val="28"/>
                <w:sz w:val="22"/>
                <w:szCs w:val="22"/>
                <w:lang w:val="en-CA"/>
              </w:rPr>
              <w:t>,</w:t>
            </w:r>
            <w:r w:rsidR="005B3B9F" w:rsidRPr="00632B6C">
              <w:rPr>
                <w:kern w:val="28"/>
                <w:sz w:val="22"/>
                <w:szCs w:val="22"/>
                <w:lang w:val="en-CA"/>
              </w:rPr>
              <w:t>915</w:t>
            </w:r>
            <w:r w:rsidRPr="00632B6C">
              <w:rPr>
                <w:kern w:val="28"/>
                <w:sz w:val="22"/>
                <w:szCs w:val="22"/>
                <w:lang w:val="en-CA"/>
              </w:rPr>
              <w:t>.</w:t>
            </w:r>
            <w:r w:rsidR="005B3B9F" w:rsidRPr="00632B6C">
              <w:rPr>
                <w:kern w:val="28"/>
                <w:sz w:val="22"/>
                <w:szCs w:val="22"/>
                <w:lang w:val="en-CA"/>
              </w:rPr>
              <w:t>70</w:t>
            </w:r>
          </w:p>
        </w:tc>
      </w:tr>
      <w:tr w:rsidR="003D055F" w:rsidRPr="00632B6C" w14:paraId="64AAA517" w14:textId="77777777" w:rsidTr="00324897">
        <w:trPr>
          <w:jc w:val="center"/>
        </w:trPr>
        <w:tc>
          <w:tcPr>
            <w:tcW w:w="5524" w:type="dxa"/>
          </w:tcPr>
          <w:p w14:paraId="44FCDF51" w14:textId="416EF24A" w:rsidR="00B2165C" w:rsidRPr="00632B6C" w:rsidRDefault="0011464D" w:rsidP="00D7575B">
            <w:pPr>
              <w:spacing w:line="240" w:lineRule="auto"/>
              <w:ind w:left="316"/>
              <w:rPr>
                <w:kern w:val="28"/>
                <w:sz w:val="22"/>
                <w:szCs w:val="22"/>
                <w:lang w:val="en-CA"/>
              </w:rPr>
            </w:pPr>
            <w:r w:rsidRPr="00632B6C">
              <w:rPr>
                <w:kern w:val="28"/>
                <w:sz w:val="22"/>
                <w:szCs w:val="22"/>
                <w:lang w:val="en-CA"/>
              </w:rPr>
              <w:t>June 14, 20214</w:t>
            </w:r>
          </w:p>
        </w:tc>
        <w:tc>
          <w:tcPr>
            <w:tcW w:w="2368" w:type="dxa"/>
          </w:tcPr>
          <w:p w14:paraId="340FFEB1" w14:textId="0EE77A9D"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5</w:t>
            </w:r>
            <w:r w:rsidRPr="00632B6C">
              <w:rPr>
                <w:kern w:val="28"/>
                <w:sz w:val="22"/>
                <w:szCs w:val="22"/>
                <w:lang w:val="en-CA"/>
              </w:rPr>
              <w:t>,</w:t>
            </w:r>
            <w:r w:rsidR="005B3B9F" w:rsidRPr="00632B6C">
              <w:rPr>
                <w:kern w:val="28"/>
                <w:sz w:val="22"/>
                <w:szCs w:val="22"/>
                <w:lang w:val="en-CA"/>
              </w:rPr>
              <w:t>000</w:t>
            </w:r>
            <w:r w:rsidRPr="00632B6C">
              <w:rPr>
                <w:kern w:val="28"/>
                <w:sz w:val="22"/>
                <w:szCs w:val="22"/>
                <w:lang w:val="en-CA"/>
              </w:rPr>
              <w:t>.</w:t>
            </w:r>
            <w:r w:rsidR="005B3B9F" w:rsidRPr="00632B6C">
              <w:rPr>
                <w:kern w:val="28"/>
                <w:sz w:val="22"/>
                <w:szCs w:val="22"/>
                <w:lang w:val="en-CA"/>
              </w:rPr>
              <w:t>00</w:t>
            </w:r>
          </w:p>
        </w:tc>
      </w:tr>
      <w:tr w:rsidR="003D055F" w:rsidRPr="00632B6C" w14:paraId="10CE3778" w14:textId="77777777" w:rsidTr="00324897">
        <w:trPr>
          <w:jc w:val="center"/>
        </w:trPr>
        <w:tc>
          <w:tcPr>
            <w:tcW w:w="5524" w:type="dxa"/>
          </w:tcPr>
          <w:p w14:paraId="018C4691" w14:textId="57FB9479" w:rsidR="00B2165C" w:rsidRPr="00632B6C" w:rsidRDefault="0011464D" w:rsidP="00D7575B">
            <w:pPr>
              <w:spacing w:line="240" w:lineRule="auto"/>
              <w:ind w:left="316"/>
              <w:rPr>
                <w:kern w:val="28"/>
                <w:sz w:val="22"/>
                <w:szCs w:val="22"/>
                <w:lang w:val="en-CA"/>
              </w:rPr>
            </w:pPr>
            <w:r w:rsidRPr="00632B6C">
              <w:rPr>
                <w:kern w:val="28"/>
                <w:sz w:val="22"/>
                <w:szCs w:val="22"/>
                <w:lang w:val="en-CA"/>
              </w:rPr>
              <w:t>July 4, 2014</w:t>
            </w:r>
          </w:p>
        </w:tc>
        <w:tc>
          <w:tcPr>
            <w:tcW w:w="2368" w:type="dxa"/>
          </w:tcPr>
          <w:p w14:paraId="7D7BC8AB" w14:textId="038C7F11" w:rsidR="00B2165C" w:rsidRPr="00632B6C" w:rsidRDefault="007A1B59" w:rsidP="00D7575B">
            <w:pPr>
              <w:spacing w:line="240" w:lineRule="auto"/>
              <w:ind w:right="277"/>
              <w:jc w:val="right"/>
              <w:rPr>
                <w:kern w:val="28"/>
                <w:sz w:val="22"/>
                <w:szCs w:val="22"/>
                <w:lang w:val="en-CA"/>
              </w:rPr>
            </w:pPr>
            <w:r w:rsidRPr="00632B6C">
              <w:rPr>
                <w:kern w:val="28"/>
                <w:sz w:val="22"/>
                <w:szCs w:val="22"/>
                <w:lang w:val="en-CA"/>
              </w:rPr>
              <w:t>$</w:t>
            </w:r>
            <w:r w:rsidR="005B3B9F" w:rsidRPr="00632B6C">
              <w:rPr>
                <w:kern w:val="28"/>
                <w:sz w:val="22"/>
                <w:szCs w:val="22"/>
                <w:lang w:val="en-CA"/>
              </w:rPr>
              <w:t>30</w:t>
            </w:r>
            <w:r w:rsidRPr="00632B6C">
              <w:rPr>
                <w:kern w:val="28"/>
                <w:sz w:val="22"/>
                <w:szCs w:val="22"/>
                <w:lang w:val="en-CA"/>
              </w:rPr>
              <w:t>,</w:t>
            </w:r>
            <w:r w:rsidR="005B3B9F" w:rsidRPr="00632B6C">
              <w:rPr>
                <w:kern w:val="28"/>
                <w:sz w:val="22"/>
                <w:szCs w:val="22"/>
                <w:lang w:val="en-CA"/>
              </w:rPr>
              <w:t>462</w:t>
            </w:r>
            <w:r w:rsidRPr="00632B6C">
              <w:rPr>
                <w:kern w:val="28"/>
                <w:sz w:val="22"/>
                <w:szCs w:val="22"/>
                <w:lang w:val="en-CA"/>
              </w:rPr>
              <w:t>.</w:t>
            </w:r>
            <w:r w:rsidR="005B3B9F" w:rsidRPr="00632B6C">
              <w:rPr>
                <w:kern w:val="28"/>
                <w:sz w:val="22"/>
                <w:szCs w:val="22"/>
                <w:lang w:val="en-CA"/>
              </w:rPr>
              <w:t>63</w:t>
            </w:r>
          </w:p>
        </w:tc>
      </w:tr>
    </w:tbl>
    <w:p w14:paraId="5232B276" w14:textId="05F1A764" w:rsidR="00B2165C" w:rsidRPr="00632B6C" w:rsidRDefault="0011464D" w:rsidP="0042207B">
      <w:pPr>
        <w:pStyle w:val="Paragraphe"/>
        <w:tabs>
          <w:tab w:val="clear" w:pos="720"/>
          <w:tab w:val="num" w:pos="709"/>
        </w:tabs>
        <w:spacing w:before="360" w:line="240" w:lineRule="auto"/>
        <w:rPr>
          <w:lang w:val="en-CA"/>
        </w:rPr>
      </w:pPr>
      <w:r w:rsidRPr="00632B6C">
        <w:rPr>
          <w:lang w:val="en-CA"/>
        </w:rPr>
        <w:t xml:space="preserve">In the meantime, on January 14, 2014, </w:t>
      </w:r>
      <w:r w:rsidR="00C12B6B">
        <w:rPr>
          <w:lang w:val="en-CA"/>
        </w:rPr>
        <w:t xml:space="preserve">Société en commandite </w:t>
      </w:r>
      <w:r w:rsidRPr="00632B6C">
        <w:rPr>
          <w:lang w:val="en-CA"/>
        </w:rPr>
        <w:t>Ipso Facto submitted a financing offer to replace Point Zéro as mezzanine lender</w:t>
      </w:r>
      <w:r w:rsidR="00E37618">
        <w:rPr>
          <w:lang w:val="en-CA"/>
        </w:rPr>
        <w:t>,</w:t>
      </w:r>
      <w:r w:rsidRPr="00632B6C">
        <w:rPr>
          <w:lang w:val="en-CA"/>
        </w:rPr>
        <w:t xml:space="preserve"> and the </w:t>
      </w:r>
      <w:r w:rsidR="00AA01D2">
        <w:rPr>
          <w:lang w:val="en-CA"/>
        </w:rPr>
        <w:t>Developer</w:t>
      </w:r>
      <w:r w:rsidRPr="00632B6C">
        <w:rPr>
          <w:lang w:val="en-CA"/>
        </w:rPr>
        <w:t xml:space="preserve"> and the Bank continued their steps.</w:t>
      </w:r>
      <w:r w:rsidR="005B3B9F" w:rsidRPr="00632B6C">
        <w:rPr>
          <w:lang w:val="en-CA"/>
        </w:rPr>
        <w:t xml:space="preserve"> </w:t>
      </w:r>
      <w:r w:rsidRPr="00632B6C">
        <w:rPr>
          <w:lang w:val="en-CA"/>
        </w:rPr>
        <w:t xml:space="preserve">On March 26, 2014, the Bank submitted a second </w:t>
      </w:r>
      <w:r w:rsidRPr="00632B6C">
        <w:rPr>
          <w:lang w:val="en-CA"/>
        </w:rPr>
        <w:lastRenderedPageBreak/>
        <w:t>financing offer.</w:t>
      </w:r>
      <w:r w:rsidR="005B3B9F" w:rsidRPr="00632B6C">
        <w:rPr>
          <w:lang w:val="en-CA"/>
        </w:rPr>
        <w:t xml:space="preserve"> </w:t>
      </w:r>
      <w:r w:rsidRPr="00632B6C">
        <w:rPr>
          <w:lang w:val="en-CA"/>
        </w:rPr>
        <w:t xml:space="preserve">In May 2014, a loan agreement was signed with the Bank, who registered a hypothec </w:t>
      </w:r>
      <w:r w:rsidR="00D70D88">
        <w:rPr>
          <w:lang w:val="en-CA"/>
        </w:rPr>
        <w:t>on</w:t>
      </w:r>
      <w:r w:rsidR="00D70D88" w:rsidRPr="00632B6C">
        <w:rPr>
          <w:lang w:val="en-CA"/>
        </w:rPr>
        <w:t xml:space="preserve"> </w:t>
      </w:r>
      <w:r w:rsidRPr="00632B6C">
        <w:rPr>
          <w:lang w:val="en-CA"/>
        </w:rPr>
        <w:t>the property.</w:t>
      </w:r>
      <w:r w:rsidR="005B3B9F" w:rsidRPr="00632B6C">
        <w:rPr>
          <w:lang w:val="en-CA"/>
        </w:rPr>
        <w:t xml:space="preserve"> </w:t>
      </w:r>
      <w:bookmarkStart w:id="5" w:name="_Ref104889587"/>
      <w:r w:rsidRPr="00632B6C">
        <w:rPr>
          <w:lang w:val="en-CA"/>
        </w:rPr>
        <w:t xml:space="preserve">According to the Bank’s representative, the process </w:t>
      </w:r>
      <w:r w:rsidR="007A1B59" w:rsidRPr="00632B6C">
        <w:rPr>
          <w:lang w:val="en-CA"/>
        </w:rPr>
        <w:t xml:space="preserve">was </w:t>
      </w:r>
      <w:r w:rsidR="003A5AC7">
        <w:rPr>
          <w:lang w:val="en-CA"/>
        </w:rPr>
        <w:t xml:space="preserve">on course </w:t>
      </w:r>
      <w:r w:rsidRPr="00632B6C">
        <w:rPr>
          <w:lang w:val="en-CA"/>
        </w:rPr>
        <w:t xml:space="preserve">and the Bank presumed that the </w:t>
      </w:r>
      <w:r w:rsidR="00AA01D2">
        <w:rPr>
          <w:lang w:val="en-CA"/>
        </w:rPr>
        <w:t>Developer</w:t>
      </w:r>
      <w:r w:rsidRPr="00632B6C">
        <w:rPr>
          <w:lang w:val="en-CA"/>
        </w:rPr>
        <w:t xml:space="preserve"> would fulfill the conditions to obtain </w:t>
      </w:r>
      <w:r w:rsidR="00D70D88">
        <w:rPr>
          <w:lang w:val="en-CA"/>
        </w:rPr>
        <w:t>a</w:t>
      </w:r>
      <w:r w:rsidR="00D70D88" w:rsidRPr="00632B6C">
        <w:rPr>
          <w:lang w:val="en-CA"/>
        </w:rPr>
        <w:t xml:space="preserve"> </w:t>
      </w:r>
      <w:r w:rsidRPr="00632B6C">
        <w:rPr>
          <w:lang w:val="en-CA"/>
        </w:rPr>
        <w:t>loan.</w:t>
      </w:r>
      <w:r w:rsidR="005B3B9F" w:rsidRPr="00632B6C">
        <w:rPr>
          <w:rStyle w:val="Appelnotedebasdep"/>
          <w:lang w:val="en-CA"/>
        </w:rPr>
        <w:footnoteReference w:id="3"/>
      </w:r>
      <w:bookmarkEnd w:id="5"/>
      <w:r w:rsidR="005B3B9F" w:rsidRPr="00632B6C">
        <w:rPr>
          <w:lang w:val="en-CA"/>
        </w:rPr>
        <w:t xml:space="preserve"> </w:t>
      </w:r>
      <w:r w:rsidRPr="00632B6C">
        <w:rPr>
          <w:lang w:val="en-CA"/>
        </w:rPr>
        <w:t xml:space="preserve">A third financing offer was </w:t>
      </w:r>
      <w:r w:rsidR="0016190D">
        <w:rPr>
          <w:lang w:val="en-CA"/>
        </w:rPr>
        <w:t xml:space="preserve">even </w:t>
      </w:r>
      <w:r w:rsidRPr="00632B6C">
        <w:rPr>
          <w:lang w:val="en-CA"/>
        </w:rPr>
        <w:t xml:space="preserve">eventually submitted to the </w:t>
      </w:r>
      <w:r w:rsidR="00AA01D2">
        <w:rPr>
          <w:lang w:val="en-CA"/>
        </w:rPr>
        <w:t>Developer</w:t>
      </w:r>
      <w:r w:rsidRPr="00632B6C">
        <w:rPr>
          <w:lang w:val="en-CA"/>
        </w:rPr>
        <w:t>.</w:t>
      </w:r>
      <w:r w:rsidR="005B3B9F" w:rsidRPr="00632B6C">
        <w:rPr>
          <w:rStyle w:val="Appelnotedebasdep"/>
          <w:lang w:val="en-CA"/>
        </w:rPr>
        <w:footnoteReference w:id="4"/>
      </w:r>
    </w:p>
    <w:p w14:paraId="7DF537B9" w14:textId="5B5FDEB1" w:rsidR="00B2165C" w:rsidRPr="00632B6C" w:rsidRDefault="0011464D" w:rsidP="00324897">
      <w:pPr>
        <w:pStyle w:val="Paragraphe"/>
        <w:tabs>
          <w:tab w:val="clear" w:pos="720"/>
          <w:tab w:val="num" w:pos="709"/>
        </w:tabs>
        <w:spacing w:line="240" w:lineRule="auto"/>
        <w:rPr>
          <w:lang w:val="en-CA"/>
        </w:rPr>
      </w:pPr>
      <w:r w:rsidRPr="00632B6C">
        <w:rPr>
          <w:lang w:val="en-CA"/>
        </w:rPr>
        <w:t xml:space="preserve">On September 16, 2014, the </w:t>
      </w:r>
      <w:r w:rsidR="00AA01D2">
        <w:rPr>
          <w:lang w:val="en-CA"/>
        </w:rPr>
        <w:t>Developer</w:t>
      </w:r>
      <w:r w:rsidRPr="00632B6C">
        <w:rPr>
          <w:lang w:val="en-CA"/>
        </w:rPr>
        <w:t xml:space="preserve"> had still not repaid Point Zéro, who </w:t>
      </w:r>
      <w:r w:rsidR="0016190D">
        <w:rPr>
          <w:lang w:val="en-CA"/>
        </w:rPr>
        <w:t>published</w:t>
      </w:r>
      <w:r w:rsidRPr="00632B6C">
        <w:rPr>
          <w:lang w:val="en-CA"/>
        </w:rPr>
        <w:t xml:space="preserve"> a</w:t>
      </w:r>
      <w:r w:rsidR="00D70D88">
        <w:rPr>
          <w:lang w:val="en-CA"/>
        </w:rPr>
        <w:t xml:space="preserve"> prior</w:t>
      </w:r>
      <w:r w:rsidRPr="00632B6C">
        <w:rPr>
          <w:lang w:val="en-CA"/>
        </w:rPr>
        <w:t xml:space="preserve"> notice of</w:t>
      </w:r>
      <w:r w:rsidR="00D70D88">
        <w:rPr>
          <w:lang w:val="en-CA"/>
        </w:rPr>
        <w:t xml:space="preserve"> </w:t>
      </w:r>
      <w:r w:rsidRPr="00632B6C">
        <w:rPr>
          <w:lang w:val="en-CA"/>
        </w:rPr>
        <w:t>taking in payment.</w:t>
      </w:r>
    </w:p>
    <w:p w14:paraId="4367B2C3" w14:textId="07EF1415" w:rsidR="00B2165C" w:rsidRPr="00632B6C" w:rsidRDefault="0011464D" w:rsidP="00324897">
      <w:pPr>
        <w:pStyle w:val="Paragraphe"/>
        <w:tabs>
          <w:tab w:val="clear" w:pos="720"/>
          <w:tab w:val="num" w:pos="709"/>
        </w:tabs>
        <w:spacing w:line="240" w:lineRule="auto"/>
        <w:rPr>
          <w:lang w:val="en-CA"/>
        </w:rPr>
      </w:pPr>
      <w:r w:rsidRPr="00632B6C">
        <w:rPr>
          <w:lang w:val="en-CA"/>
        </w:rPr>
        <w:t xml:space="preserve">The Bank decided not to proceed with the financing due to an insufficient number of presales, a number calculated according to the Bank’s internal rules that </w:t>
      </w:r>
      <w:r w:rsidR="003F1B0E">
        <w:rPr>
          <w:lang w:val="en-CA"/>
        </w:rPr>
        <w:t xml:space="preserve">had </w:t>
      </w:r>
      <w:r w:rsidRPr="00632B6C">
        <w:rPr>
          <w:lang w:val="en-CA"/>
        </w:rPr>
        <w:t xml:space="preserve">not </w:t>
      </w:r>
      <w:r w:rsidR="003F1B0E">
        <w:rPr>
          <w:lang w:val="en-CA"/>
        </w:rPr>
        <w:t xml:space="preserve">been </w:t>
      </w:r>
      <w:r w:rsidR="00D70D88">
        <w:rPr>
          <w:lang w:val="en-CA"/>
        </w:rPr>
        <w:t>disclosed</w:t>
      </w:r>
      <w:r w:rsidR="00D70D88" w:rsidRPr="00632B6C">
        <w:rPr>
          <w:lang w:val="en-CA"/>
        </w:rPr>
        <w:t xml:space="preserve"> </w:t>
      </w:r>
      <w:r w:rsidRPr="00632B6C">
        <w:rPr>
          <w:lang w:val="en-CA"/>
        </w:rPr>
        <w:t xml:space="preserve">to the </w:t>
      </w:r>
      <w:r w:rsidR="00AA01D2">
        <w:rPr>
          <w:lang w:val="en-CA"/>
        </w:rPr>
        <w:t>Developer</w:t>
      </w:r>
      <w:r w:rsidRPr="00632B6C">
        <w:rPr>
          <w:lang w:val="en-CA"/>
        </w:rPr>
        <w:t>.</w:t>
      </w:r>
      <w:r w:rsidR="005B3B9F" w:rsidRPr="00632B6C">
        <w:rPr>
          <w:lang w:val="en-CA"/>
        </w:rPr>
        <w:t xml:space="preserve"> </w:t>
      </w:r>
      <w:r w:rsidRPr="00632B6C">
        <w:rPr>
          <w:lang w:val="en-CA"/>
        </w:rPr>
        <w:t xml:space="preserve">The Bank’s hypothec was cancelled on </w:t>
      </w:r>
      <w:r w:rsidR="00D70D88">
        <w:rPr>
          <w:lang w:val="en-CA"/>
        </w:rPr>
        <w:br/>
      </w:r>
      <w:r w:rsidRPr="00632B6C">
        <w:rPr>
          <w:lang w:val="en-CA"/>
        </w:rPr>
        <w:t>January 19, 2015.</w:t>
      </w:r>
    </w:p>
    <w:p w14:paraId="7C41B4BC" w14:textId="34C3B863" w:rsidR="00B2165C" w:rsidRPr="00632B6C" w:rsidRDefault="0011464D" w:rsidP="00324897">
      <w:pPr>
        <w:pStyle w:val="Paragraphe"/>
        <w:tabs>
          <w:tab w:val="clear" w:pos="720"/>
          <w:tab w:val="num" w:pos="709"/>
        </w:tabs>
        <w:spacing w:line="240" w:lineRule="auto"/>
        <w:rPr>
          <w:lang w:val="en-CA"/>
        </w:rPr>
      </w:pPr>
      <w:r w:rsidRPr="00632B6C">
        <w:rPr>
          <w:lang w:val="en-CA"/>
        </w:rPr>
        <w:t>The property was surrendered to Point Zéro on February 25, 2015.</w:t>
      </w:r>
    </w:p>
    <w:p w14:paraId="7FBF7E96" w14:textId="073AB304" w:rsidR="00B2165C" w:rsidRPr="00632B6C" w:rsidRDefault="0011464D" w:rsidP="00D7575B">
      <w:pPr>
        <w:pStyle w:val="Paragraphe"/>
        <w:tabs>
          <w:tab w:val="clear" w:pos="720"/>
          <w:tab w:val="num" w:pos="709"/>
        </w:tabs>
        <w:spacing w:after="240" w:line="240" w:lineRule="auto"/>
        <w:rPr>
          <w:lang w:val="en-CA"/>
        </w:rPr>
      </w:pPr>
      <w:r w:rsidRPr="00632B6C">
        <w:rPr>
          <w:lang w:val="en-CA"/>
        </w:rPr>
        <w:t xml:space="preserve">As stated above, the appellants lost all the money invested, except for </w:t>
      </w:r>
      <w:r w:rsidR="0094514C">
        <w:rPr>
          <w:lang w:val="en-CA"/>
        </w:rPr>
        <w:t xml:space="preserve">an amount of </w:t>
      </w:r>
      <w:r w:rsidRPr="00632B6C">
        <w:rPr>
          <w:lang w:val="en-CA"/>
        </w:rPr>
        <w:t xml:space="preserve">$30,000 per unit </w:t>
      </w:r>
      <w:r w:rsidR="004F71F2">
        <w:rPr>
          <w:lang w:val="en-CA"/>
        </w:rPr>
        <w:t xml:space="preserve">returned </w:t>
      </w:r>
      <w:r w:rsidRPr="00632B6C">
        <w:rPr>
          <w:lang w:val="en-CA"/>
        </w:rPr>
        <w:t xml:space="preserve">by GIR under the </w:t>
      </w:r>
      <w:r w:rsidR="007B2C02">
        <w:rPr>
          <w:lang w:val="en-CA"/>
        </w:rPr>
        <w:t>guarantee</w:t>
      </w:r>
      <w:r w:rsidRPr="00632B6C">
        <w:rPr>
          <w:lang w:val="en-CA"/>
        </w:rPr>
        <w:t>.</w:t>
      </w:r>
    </w:p>
    <w:p w14:paraId="70684F14" w14:textId="4DACA513" w:rsidR="00B2165C" w:rsidRPr="00632B6C" w:rsidRDefault="0011464D" w:rsidP="00324897">
      <w:pPr>
        <w:pStyle w:val="Paragraphe"/>
        <w:numPr>
          <w:ilvl w:val="0"/>
          <w:numId w:val="0"/>
        </w:numPr>
        <w:rPr>
          <w:b/>
          <w:lang w:val="en-CA"/>
        </w:rPr>
      </w:pPr>
      <w:r w:rsidRPr="00632B6C">
        <w:rPr>
          <w:b/>
          <w:lang w:val="en-CA"/>
        </w:rPr>
        <w:t>JUDGMENT UNDER APPEAL</w:t>
      </w:r>
    </w:p>
    <w:p w14:paraId="6CAEA594" w14:textId="7B9D25AE" w:rsidR="00B2165C" w:rsidRPr="00632B6C" w:rsidRDefault="007A1B59" w:rsidP="00324897">
      <w:pPr>
        <w:pStyle w:val="Paragraphe"/>
        <w:tabs>
          <w:tab w:val="clear" w:pos="720"/>
          <w:tab w:val="num" w:pos="709"/>
        </w:tabs>
        <w:spacing w:line="240" w:lineRule="auto"/>
        <w:rPr>
          <w:lang w:val="en-CA"/>
        </w:rPr>
      </w:pPr>
      <w:r w:rsidRPr="00632B6C">
        <w:rPr>
          <w:lang w:val="en-CA"/>
        </w:rPr>
        <w:t xml:space="preserve">After describing the background, the trial judge explained that the appellants’ allegations </w:t>
      </w:r>
      <w:r w:rsidR="00C60BB5">
        <w:rPr>
          <w:lang w:val="en-CA"/>
        </w:rPr>
        <w:t>hinged</w:t>
      </w:r>
      <w:r w:rsidR="00C60BB5" w:rsidRPr="00632B6C">
        <w:rPr>
          <w:lang w:val="en-CA"/>
        </w:rPr>
        <w:t xml:space="preserve"> </w:t>
      </w:r>
      <w:r w:rsidRPr="00632B6C">
        <w:rPr>
          <w:lang w:val="en-CA"/>
        </w:rPr>
        <w:t>on two notions:</w:t>
      </w:r>
    </w:p>
    <w:p w14:paraId="03130D97" w14:textId="4A6C4C62" w:rsidR="00B2165C" w:rsidRPr="00632B6C" w:rsidRDefault="007A1B59" w:rsidP="00B2165C">
      <w:pPr>
        <w:pStyle w:val="Citationenretrait"/>
        <w:numPr>
          <w:ilvl w:val="0"/>
          <w:numId w:val="19"/>
        </w:numPr>
        <w:rPr>
          <w:lang w:val="en-CA"/>
        </w:rPr>
      </w:pPr>
      <w:r w:rsidRPr="00632B6C">
        <w:rPr>
          <w:lang w:val="en-CA"/>
        </w:rPr>
        <w:t xml:space="preserve">The Notary breached his duty to advise </w:t>
      </w:r>
      <w:r w:rsidR="00C047CF">
        <w:rPr>
          <w:lang w:val="en-CA"/>
        </w:rPr>
        <w:t xml:space="preserve">when </w:t>
      </w:r>
      <w:r w:rsidRPr="00632B6C">
        <w:rPr>
          <w:lang w:val="en-CA"/>
        </w:rPr>
        <w:t xml:space="preserve">the preliminary contract was signed and before disbursing the </w:t>
      </w:r>
      <w:r w:rsidR="004332CE" w:rsidRPr="00632B6C">
        <w:rPr>
          <w:lang w:val="en-CA"/>
        </w:rPr>
        <w:t>down payments</w:t>
      </w:r>
      <w:r w:rsidRPr="00632B6C">
        <w:rPr>
          <w:lang w:val="en-CA"/>
        </w:rPr>
        <w:t xml:space="preserve"> by failing to alert the appellants of the risks associated with the project;</w:t>
      </w:r>
    </w:p>
    <w:p w14:paraId="0CFCFFD9" w14:textId="1CB1863B" w:rsidR="00B2165C" w:rsidRPr="00632B6C" w:rsidRDefault="007A1B59" w:rsidP="00B2165C">
      <w:pPr>
        <w:pStyle w:val="Citationenretrait"/>
        <w:numPr>
          <w:ilvl w:val="0"/>
          <w:numId w:val="19"/>
        </w:numPr>
        <w:rPr>
          <w:lang w:val="en-CA"/>
        </w:rPr>
      </w:pPr>
      <w:r w:rsidRPr="00632B6C">
        <w:rPr>
          <w:lang w:val="en-CA"/>
        </w:rPr>
        <w:t xml:space="preserve">The Notary and GIR authorized the </w:t>
      </w:r>
      <w:r w:rsidR="004332CE" w:rsidRPr="00632B6C">
        <w:rPr>
          <w:lang w:val="en-CA"/>
        </w:rPr>
        <w:t>down payments</w:t>
      </w:r>
      <w:r w:rsidRPr="00632B6C">
        <w:rPr>
          <w:lang w:val="en-CA"/>
        </w:rPr>
        <w:t xml:space="preserve"> to be disbursed </w:t>
      </w:r>
      <w:r w:rsidR="004E701F">
        <w:rPr>
          <w:lang w:val="en-CA"/>
        </w:rPr>
        <w:t xml:space="preserve">before </w:t>
      </w:r>
      <w:r w:rsidRPr="00632B6C">
        <w:rPr>
          <w:lang w:val="en-CA"/>
        </w:rPr>
        <w:t xml:space="preserve">the Bank financing </w:t>
      </w:r>
      <w:r w:rsidR="004E701F">
        <w:rPr>
          <w:lang w:val="en-CA"/>
        </w:rPr>
        <w:t xml:space="preserve">was </w:t>
      </w:r>
      <w:r w:rsidRPr="00632B6C">
        <w:rPr>
          <w:lang w:val="en-CA"/>
        </w:rPr>
        <w:t>secured</w:t>
      </w:r>
      <w:r w:rsidR="004E701F">
        <w:rPr>
          <w:lang w:val="en-CA"/>
        </w:rPr>
        <w:t>.</w:t>
      </w:r>
    </w:p>
    <w:p w14:paraId="60EFDED4" w14:textId="56BB7547" w:rsidR="00B2165C" w:rsidRPr="00632B6C" w:rsidRDefault="007A1B59" w:rsidP="00324897">
      <w:pPr>
        <w:pStyle w:val="Paragraphe"/>
        <w:tabs>
          <w:tab w:val="clear" w:pos="720"/>
          <w:tab w:val="num" w:pos="709"/>
        </w:tabs>
        <w:spacing w:line="240" w:lineRule="auto"/>
        <w:rPr>
          <w:lang w:val="en-CA"/>
        </w:rPr>
      </w:pPr>
      <w:r w:rsidRPr="00632B6C">
        <w:rPr>
          <w:lang w:val="en-CA"/>
        </w:rPr>
        <w:t xml:space="preserve">The judge first identified certain breaches by the Notary at different steps in the project that he considered of </w:t>
      </w:r>
      <w:r w:rsidR="00C60BB5">
        <w:rPr>
          <w:lang w:val="en-CA"/>
        </w:rPr>
        <w:t>no real</w:t>
      </w:r>
      <w:r w:rsidR="00C60BB5" w:rsidRPr="00632B6C">
        <w:rPr>
          <w:lang w:val="en-CA"/>
        </w:rPr>
        <w:t xml:space="preserve"> </w:t>
      </w:r>
      <w:r w:rsidRPr="00632B6C">
        <w:rPr>
          <w:lang w:val="en-CA"/>
        </w:rPr>
        <w:t>consequence:</w:t>
      </w:r>
    </w:p>
    <w:p w14:paraId="6D446849" w14:textId="4E9F8F23" w:rsidR="00B2165C" w:rsidRPr="00632B6C" w:rsidRDefault="007A1B59" w:rsidP="00B2165C">
      <w:pPr>
        <w:pStyle w:val="Citationenretrait"/>
        <w:numPr>
          <w:ilvl w:val="0"/>
          <w:numId w:val="19"/>
        </w:numPr>
        <w:rPr>
          <w:lang w:val="en-CA"/>
        </w:rPr>
      </w:pPr>
      <w:r w:rsidRPr="00632B6C">
        <w:rPr>
          <w:lang w:val="en-CA"/>
        </w:rPr>
        <w:t xml:space="preserve">The Notary asked no questions to understand why the second condition in clause 3.5 had disappeared from certain contracts, even though </w:t>
      </w:r>
      <w:r w:rsidR="00533C53" w:rsidRPr="00632B6C">
        <w:rPr>
          <w:lang w:val="en-CA"/>
        </w:rPr>
        <w:t>th</w:t>
      </w:r>
      <w:r w:rsidR="00533C53">
        <w:rPr>
          <w:lang w:val="en-CA"/>
        </w:rPr>
        <w:t>is</w:t>
      </w:r>
      <w:r w:rsidR="00533C53" w:rsidRPr="00632B6C">
        <w:rPr>
          <w:lang w:val="en-CA"/>
        </w:rPr>
        <w:t xml:space="preserve"> </w:t>
      </w:r>
      <w:r w:rsidRPr="00632B6C">
        <w:rPr>
          <w:lang w:val="en-CA"/>
        </w:rPr>
        <w:t xml:space="preserve">second condition </w:t>
      </w:r>
      <w:r w:rsidR="00533C53">
        <w:rPr>
          <w:lang w:val="en-CA"/>
        </w:rPr>
        <w:t xml:space="preserve">would </w:t>
      </w:r>
      <w:r w:rsidRPr="00632B6C">
        <w:rPr>
          <w:lang w:val="en-CA"/>
        </w:rPr>
        <w:t xml:space="preserve">only </w:t>
      </w:r>
      <w:r w:rsidR="00C60BB5">
        <w:rPr>
          <w:lang w:val="en-CA"/>
        </w:rPr>
        <w:t xml:space="preserve">have </w:t>
      </w:r>
      <w:r w:rsidRPr="00632B6C">
        <w:rPr>
          <w:lang w:val="en-CA"/>
        </w:rPr>
        <w:t>delay</w:t>
      </w:r>
      <w:r w:rsidR="00C60BB5">
        <w:rPr>
          <w:lang w:val="en-CA"/>
        </w:rPr>
        <w:t>ed</w:t>
      </w:r>
      <w:r w:rsidRPr="00632B6C">
        <w:rPr>
          <w:lang w:val="en-CA"/>
        </w:rPr>
        <w:t xml:space="preserve"> some disbursements;</w:t>
      </w:r>
    </w:p>
    <w:p w14:paraId="74619E0B" w14:textId="2B403770" w:rsidR="00B2165C" w:rsidRPr="00632B6C" w:rsidRDefault="007A1B59" w:rsidP="00B2165C">
      <w:pPr>
        <w:pStyle w:val="Citationenretrait"/>
        <w:numPr>
          <w:ilvl w:val="0"/>
          <w:numId w:val="19"/>
        </w:numPr>
        <w:rPr>
          <w:lang w:val="en-CA"/>
        </w:rPr>
      </w:pPr>
      <w:r w:rsidRPr="00632B6C">
        <w:rPr>
          <w:lang w:val="en-CA"/>
        </w:rPr>
        <w:t xml:space="preserve">The Notary disbursed certain </w:t>
      </w:r>
      <w:r w:rsidR="004332CE" w:rsidRPr="00632B6C">
        <w:rPr>
          <w:lang w:val="en-CA"/>
        </w:rPr>
        <w:t>down payments</w:t>
      </w:r>
      <w:r w:rsidRPr="00632B6C">
        <w:rPr>
          <w:lang w:val="en-CA"/>
        </w:rPr>
        <w:t xml:space="preserve"> before the </w:t>
      </w:r>
      <w:r w:rsidR="004002FF">
        <w:rPr>
          <w:lang w:val="en-CA"/>
        </w:rPr>
        <w:t>expiry of</w:t>
      </w:r>
      <w:r w:rsidRPr="00632B6C">
        <w:rPr>
          <w:lang w:val="en-CA"/>
        </w:rPr>
        <w:t xml:space="preserve"> the clause allowing the </w:t>
      </w:r>
      <w:r w:rsidR="00AA01D2">
        <w:rPr>
          <w:lang w:val="en-CA"/>
        </w:rPr>
        <w:t>Developer</w:t>
      </w:r>
      <w:r w:rsidRPr="00632B6C">
        <w:rPr>
          <w:lang w:val="en-CA"/>
        </w:rPr>
        <w:t xml:space="preserve"> to cancel the preliminary contracts</w:t>
      </w:r>
      <w:r w:rsidR="004002FF">
        <w:rPr>
          <w:lang w:val="en-CA"/>
        </w:rPr>
        <w:t>,</w:t>
      </w:r>
      <w:r w:rsidRPr="00632B6C">
        <w:rPr>
          <w:lang w:val="en-CA"/>
        </w:rPr>
        <w:t xml:space="preserve"> while </w:t>
      </w:r>
      <w:r w:rsidRPr="00632B6C">
        <w:rPr>
          <w:lang w:val="en-CA"/>
        </w:rPr>
        <w:lastRenderedPageBreak/>
        <w:t>acknowled</w:t>
      </w:r>
      <w:r w:rsidR="004332CE" w:rsidRPr="00632B6C">
        <w:rPr>
          <w:lang w:val="en-CA"/>
        </w:rPr>
        <w:t>g</w:t>
      </w:r>
      <w:r w:rsidRPr="00632B6C">
        <w:rPr>
          <w:lang w:val="en-CA"/>
        </w:rPr>
        <w:t>ing that</w:t>
      </w:r>
      <w:r w:rsidR="00C6225F">
        <w:rPr>
          <w:lang w:val="en-CA"/>
        </w:rPr>
        <w:t>,</w:t>
      </w:r>
      <w:r w:rsidRPr="00632B6C">
        <w:rPr>
          <w:lang w:val="en-CA"/>
        </w:rPr>
        <w:t xml:space="preserve"> in any event, the </w:t>
      </w:r>
      <w:r w:rsidR="00AA01D2">
        <w:rPr>
          <w:lang w:val="en-CA"/>
        </w:rPr>
        <w:t>Developer</w:t>
      </w:r>
      <w:r w:rsidRPr="00632B6C">
        <w:rPr>
          <w:lang w:val="en-CA"/>
        </w:rPr>
        <w:t xml:space="preserve"> never tried to cancel the contract; </w:t>
      </w:r>
    </w:p>
    <w:p w14:paraId="5FF910FE" w14:textId="363586FC" w:rsidR="00B2165C" w:rsidRPr="00632B6C" w:rsidRDefault="007A1B59" w:rsidP="00B2165C">
      <w:pPr>
        <w:pStyle w:val="Citationenretrait"/>
        <w:numPr>
          <w:ilvl w:val="0"/>
          <w:numId w:val="19"/>
        </w:numPr>
        <w:rPr>
          <w:lang w:val="en-CA"/>
        </w:rPr>
      </w:pPr>
      <w:r w:rsidRPr="00632B6C">
        <w:rPr>
          <w:lang w:val="en-CA"/>
        </w:rPr>
        <w:t xml:space="preserve">The Notary did not give the appellants a receipt </w:t>
      </w:r>
      <w:r w:rsidR="002245BD">
        <w:rPr>
          <w:lang w:val="en-CA"/>
        </w:rPr>
        <w:t>upon recei</w:t>
      </w:r>
      <w:r w:rsidR="003E2367">
        <w:rPr>
          <w:lang w:val="en-CA"/>
        </w:rPr>
        <w:t>ving</w:t>
      </w:r>
      <w:r w:rsidR="002245BD">
        <w:rPr>
          <w:lang w:val="en-CA"/>
        </w:rPr>
        <w:t xml:space="preserve"> </w:t>
      </w:r>
      <w:r w:rsidRPr="00632B6C">
        <w:rPr>
          <w:lang w:val="en-CA"/>
        </w:rPr>
        <w:t xml:space="preserve">the </w:t>
      </w:r>
      <w:r w:rsidR="004332CE" w:rsidRPr="00632B6C">
        <w:rPr>
          <w:lang w:val="en-CA"/>
        </w:rPr>
        <w:t>down payments</w:t>
      </w:r>
      <w:r w:rsidRPr="00632B6C">
        <w:rPr>
          <w:lang w:val="en-CA"/>
        </w:rPr>
        <w:t>, but did so later;</w:t>
      </w:r>
    </w:p>
    <w:p w14:paraId="710DC9FF" w14:textId="66D4E5B4" w:rsidR="00B2165C" w:rsidRPr="00632B6C" w:rsidRDefault="007A1B59" w:rsidP="00D7575B">
      <w:pPr>
        <w:pStyle w:val="Citationenretrait"/>
        <w:numPr>
          <w:ilvl w:val="0"/>
          <w:numId w:val="19"/>
        </w:numPr>
        <w:spacing w:after="240"/>
        <w:rPr>
          <w:lang w:val="en-CA"/>
        </w:rPr>
      </w:pPr>
      <w:r w:rsidRPr="00632B6C">
        <w:rPr>
          <w:lang w:val="en-CA"/>
        </w:rPr>
        <w:t xml:space="preserve">The Notary failed to mention the hypothecs charging the property in the preliminary contracts, even though the hypothecs were not themselves likely to </w:t>
      </w:r>
      <w:r w:rsidR="003E2367">
        <w:rPr>
          <w:lang w:val="en-CA"/>
        </w:rPr>
        <w:t xml:space="preserve">be a cause of concern for </w:t>
      </w:r>
      <w:r w:rsidRPr="00632B6C">
        <w:rPr>
          <w:lang w:val="en-CA"/>
        </w:rPr>
        <w:t>the appellants at the time.</w:t>
      </w:r>
    </w:p>
    <w:p w14:paraId="390B20CA" w14:textId="7732C1D1" w:rsidR="00B2165C" w:rsidRPr="00632B6C" w:rsidRDefault="007A1B59" w:rsidP="00324897">
      <w:pPr>
        <w:pStyle w:val="Paragraphe"/>
        <w:keepNext/>
        <w:tabs>
          <w:tab w:val="clear" w:pos="720"/>
          <w:tab w:val="num" w:pos="709"/>
        </w:tabs>
        <w:spacing w:line="240" w:lineRule="auto"/>
        <w:rPr>
          <w:lang w:val="en-CA"/>
        </w:rPr>
      </w:pPr>
      <w:r w:rsidRPr="00632B6C">
        <w:rPr>
          <w:lang w:val="en-CA"/>
        </w:rPr>
        <w:t>The judge then found that the Notary had committed the following additional faults:</w:t>
      </w:r>
    </w:p>
    <w:p w14:paraId="7AF5C79C" w14:textId="1171FECD" w:rsidR="00B2165C" w:rsidRPr="00632B6C" w:rsidRDefault="007A1B59" w:rsidP="00B2165C">
      <w:pPr>
        <w:pStyle w:val="Citationenretrait"/>
        <w:keepNext/>
        <w:numPr>
          <w:ilvl w:val="0"/>
          <w:numId w:val="19"/>
        </w:numPr>
        <w:spacing w:line="240" w:lineRule="auto"/>
        <w:rPr>
          <w:lang w:val="en-CA"/>
        </w:rPr>
      </w:pPr>
      <w:r w:rsidRPr="00632B6C">
        <w:rPr>
          <w:lang w:val="en-CA"/>
        </w:rPr>
        <w:t xml:space="preserve">He failed to </w:t>
      </w:r>
      <w:r w:rsidR="00C6225F">
        <w:rPr>
          <w:lang w:val="en-CA"/>
        </w:rPr>
        <w:t>verify</w:t>
      </w:r>
      <w:r w:rsidRPr="00632B6C">
        <w:rPr>
          <w:lang w:val="en-CA"/>
        </w:rPr>
        <w:t xml:space="preserve"> the index of immovables before </w:t>
      </w:r>
      <w:r w:rsidR="005F09CF">
        <w:rPr>
          <w:lang w:val="en-CA"/>
        </w:rPr>
        <w:t xml:space="preserve">making </w:t>
      </w:r>
      <w:r w:rsidRPr="00632B6C">
        <w:rPr>
          <w:lang w:val="en-CA"/>
        </w:rPr>
        <w:t xml:space="preserve">the disbursements and did not subsequently ask the </w:t>
      </w:r>
      <w:r w:rsidR="00AA01D2">
        <w:rPr>
          <w:lang w:val="en-CA"/>
        </w:rPr>
        <w:t>Developer</w:t>
      </w:r>
      <w:r w:rsidRPr="00632B6C">
        <w:rPr>
          <w:lang w:val="en-CA"/>
        </w:rPr>
        <w:t xml:space="preserve"> questions to ensure that there was no real and imminent </w:t>
      </w:r>
      <w:r w:rsidR="00C6225F">
        <w:rPr>
          <w:lang w:val="en-CA"/>
        </w:rPr>
        <w:t>danger</w:t>
      </w:r>
      <w:r w:rsidRPr="00632B6C">
        <w:rPr>
          <w:lang w:val="en-CA"/>
        </w:rPr>
        <w:t xml:space="preserve"> </w:t>
      </w:r>
      <w:r w:rsidR="009C55F6">
        <w:rPr>
          <w:lang w:val="en-CA"/>
        </w:rPr>
        <w:t>concerning</w:t>
      </w:r>
      <w:r w:rsidRPr="00632B6C">
        <w:rPr>
          <w:lang w:val="en-CA"/>
        </w:rPr>
        <w:t xml:space="preserve"> the project financing;</w:t>
      </w:r>
    </w:p>
    <w:p w14:paraId="41F7B0E5" w14:textId="37E3A617" w:rsidR="00B2165C" w:rsidRPr="00632B6C" w:rsidRDefault="007A1B59" w:rsidP="00B2165C">
      <w:pPr>
        <w:pStyle w:val="Citationenretrait"/>
        <w:numPr>
          <w:ilvl w:val="0"/>
          <w:numId w:val="19"/>
        </w:numPr>
        <w:spacing w:line="240" w:lineRule="auto"/>
        <w:rPr>
          <w:lang w:val="en-CA"/>
        </w:rPr>
      </w:pPr>
      <w:r w:rsidRPr="00632B6C">
        <w:rPr>
          <w:lang w:val="en-CA"/>
        </w:rPr>
        <w:t xml:space="preserve">He paid GIR $450,000 from the </w:t>
      </w:r>
      <w:r w:rsidR="004332CE" w:rsidRPr="00632B6C">
        <w:rPr>
          <w:lang w:val="en-CA"/>
        </w:rPr>
        <w:t>down payments</w:t>
      </w:r>
      <w:r w:rsidRPr="00632B6C">
        <w:rPr>
          <w:lang w:val="en-CA"/>
        </w:rPr>
        <w:t xml:space="preserve"> without really knowing why GIR required this amount;</w:t>
      </w:r>
    </w:p>
    <w:p w14:paraId="564A1988" w14:textId="0916478C" w:rsidR="00B2165C" w:rsidRPr="00632B6C" w:rsidRDefault="007A1B59" w:rsidP="00D7575B">
      <w:pPr>
        <w:pStyle w:val="Citationenretrait"/>
        <w:numPr>
          <w:ilvl w:val="0"/>
          <w:numId w:val="19"/>
        </w:numPr>
        <w:spacing w:after="240" w:line="240" w:lineRule="auto"/>
        <w:rPr>
          <w:lang w:val="en-CA"/>
        </w:rPr>
      </w:pPr>
      <w:r w:rsidRPr="00632B6C">
        <w:rPr>
          <w:lang w:val="en-CA"/>
        </w:rPr>
        <w:t xml:space="preserve">He did not explain to GIR why it had to consent to the </w:t>
      </w:r>
      <w:r w:rsidR="004332CE" w:rsidRPr="00632B6C">
        <w:rPr>
          <w:lang w:val="en-CA"/>
        </w:rPr>
        <w:t>down payments</w:t>
      </w:r>
      <w:r w:rsidRPr="00632B6C">
        <w:rPr>
          <w:lang w:val="en-CA"/>
        </w:rPr>
        <w:t xml:space="preserve"> being disbursed.</w:t>
      </w:r>
    </w:p>
    <w:p w14:paraId="73C25629" w14:textId="798DB5E4" w:rsidR="00B2165C" w:rsidRPr="00632B6C" w:rsidRDefault="00C6225F" w:rsidP="00324897">
      <w:pPr>
        <w:pStyle w:val="Paragraphe"/>
        <w:tabs>
          <w:tab w:val="clear" w:pos="720"/>
          <w:tab w:val="num" w:pos="709"/>
        </w:tabs>
        <w:spacing w:line="240" w:lineRule="auto"/>
        <w:rPr>
          <w:lang w:val="en-CA"/>
        </w:rPr>
      </w:pPr>
      <w:r>
        <w:rPr>
          <w:lang w:val="en-CA"/>
        </w:rPr>
        <w:t>T</w:t>
      </w:r>
      <w:r w:rsidR="007A1B59" w:rsidRPr="00632B6C">
        <w:rPr>
          <w:lang w:val="en-CA"/>
        </w:rPr>
        <w:t xml:space="preserve">he judge found that </w:t>
      </w:r>
      <w:r>
        <w:rPr>
          <w:lang w:val="en-CA"/>
        </w:rPr>
        <w:t xml:space="preserve">GIR </w:t>
      </w:r>
      <w:r w:rsidR="007A1B59" w:rsidRPr="00632B6C">
        <w:rPr>
          <w:lang w:val="en-CA"/>
        </w:rPr>
        <w:t xml:space="preserve">had also committed a fault by agreeing to authorize the disbursement of the </w:t>
      </w:r>
      <w:r w:rsidR="004332CE" w:rsidRPr="00632B6C">
        <w:rPr>
          <w:lang w:val="en-CA"/>
        </w:rPr>
        <w:t>down payments</w:t>
      </w:r>
      <w:r w:rsidR="007A1B59" w:rsidRPr="00632B6C">
        <w:rPr>
          <w:lang w:val="en-CA"/>
        </w:rPr>
        <w:t>, at the Notary’s request, without asking questions.</w:t>
      </w:r>
    </w:p>
    <w:p w14:paraId="01706859" w14:textId="2F9F88CF" w:rsidR="00B2165C" w:rsidRPr="00632B6C" w:rsidRDefault="007A1B59" w:rsidP="00324897">
      <w:pPr>
        <w:pStyle w:val="Paragraphe"/>
        <w:tabs>
          <w:tab w:val="clear" w:pos="720"/>
          <w:tab w:val="num" w:pos="709"/>
        </w:tabs>
        <w:spacing w:line="240" w:lineRule="auto"/>
        <w:rPr>
          <w:lang w:val="en-CA"/>
        </w:rPr>
      </w:pPr>
      <w:r w:rsidRPr="00632B6C">
        <w:rPr>
          <w:lang w:val="en-CA"/>
        </w:rPr>
        <w:t xml:space="preserve">Despite this, the judge held that the Notary’s and GIR’s actions </w:t>
      </w:r>
      <w:r w:rsidR="004906BA">
        <w:rPr>
          <w:lang w:val="en-CA"/>
        </w:rPr>
        <w:t>were</w:t>
      </w:r>
      <w:r w:rsidRPr="00632B6C">
        <w:rPr>
          <w:lang w:val="en-CA"/>
        </w:rPr>
        <w:t xml:space="preserve"> not </w:t>
      </w:r>
      <w:r w:rsidR="004906BA">
        <w:rPr>
          <w:lang w:val="en-CA"/>
        </w:rPr>
        <w:t xml:space="preserve">the </w:t>
      </w:r>
      <w:r w:rsidRPr="00632B6C">
        <w:rPr>
          <w:lang w:val="en-CA"/>
        </w:rPr>
        <w:t xml:space="preserve">direct and immediate cause </w:t>
      </w:r>
      <w:r w:rsidR="004906BA">
        <w:rPr>
          <w:lang w:val="en-CA"/>
        </w:rPr>
        <w:t xml:space="preserve">of </w:t>
      </w:r>
      <w:r w:rsidRPr="00632B6C">
        <w:rPr>
          <w:lang w:val="en-CA"/>
        </w:rPr>
        <w:t xml:space="preserve">the appellants’ injury because, even had </w:t>
      </w:r>
      <w:r w:rsidR="004906BA" w:rsidRPr="00632B6C">
        <w:rPr>
          <w:lang w:val="en-CA"/>
        </w:rPr>
        <w:t xml:space="preserve">the </w:t>
      </w:r>
      <w:r w:rsidR="003C2938">
        <w:rPr>
          <w:lang w:val="en-CA"/>
        </w:rPr>
        <w:t>ap</w:t>
      </w:r>
      <w:r w:rsidR="004906BA" w:rsidRPr="00632B6C">
        <w:rPr>
          <w:lang w:val="en-CA"/>
        </w:rPr>
        <w:t>prop</w:t>
      </w:r>
      <w:r w:rsidR="003C2938">
        <w:rPr>
          <w:lang w:val="en-CA"/>
        </w:rPr>
        <w:t>riate</w:t>
      </w:r>
      <w:r w:rsidR="004906BA" w:rsidRPr="00632B6C">
        <w:rPr>
          <w:lang w:val="en-CA"/>
        </w:rPr>
        <w:t xml:space="preserve"> verifications </w:t>
      </w:r>
      <w:r w:rsidR="004906BA">
        <w:rPr>
          <w:lang w:val="en-CA"/>
        </w:rPr>
        <w:t xml:space="preserve">been conducted, </w:t>
      </w:r>
      <w:r w:rsidRPr="00632B6C">
        <w:rPr>
          <w:lang w:val="en-CA"/>
        </w:rPr>
        <w:t xml:space="preserve">the Notary and GRI would not have perceived a real and imminent </w:t>
      </w:r>
      <w:r w:rsidR="004906BA">
        <w:rPr>
          <w:lang w:val="en-CA"/>
        </w:rPr>
        <w:t xml:space="preserve">danger </w:t>
      </w:r>
      <w:r w:rsidR="009C55F6">
        <w:rPr>
          <w:lang w:val="en-CA"/>
        </w:rPr>
        <w:t>regarding</w:t>
      </w:r>
      <w:r w:rsidRPr="00632B6C">
        <w:rPr>
          <w:lang w:val="en-CA"/>
        </w:rPr>
        <w:t xml:space="preserve"> the project financing. </w:t>
      </w:r>
      <w:r w:rsidR="004906BA">
        <w:rPr>
          <w:lang w:val="en-CA"/>
        </w:rPr>
        <w:t>Th</w:t>
      </w:r>
      <w:r w:rsidRPr="00632B6C">
        <w:rPr>
          <w:lang w:val="en-CA"/>
        </w:rPr>
        <w:t xml:space="preserve">e </w:t>
      </w:r>
      <w:r w:rsidR="004906BA">
        <w:rPr>
          <w:lang w:val="en-CA"/>
        </w:rPr>
        <w:t xml:space="preserve">judge relied </w:t>
      </w:r>
      <w:r w:rsidRPr="00632B6C">
        <w:rPr>
          <w:lang w:val="en-CA"/>
        </w:rPr>
        <w:t xml:space="preserve">primarily on the testimony of </w:t>
      </w:r>
      <w:r w:rsidR="004906BA">
        <w:rPr>
          <w:lang w:val="en-CA"/>
        </w:rPr>
        <w:t xml:space="preserve">notary </w:t>
      </w:r>
      <w:r w:rsidRPr="00632B6C">
        <w:rPr>
          <w:lang w:val="en-CA"/>
        </w:rPr>
        <w:t xml:space="preserve">Mtre Collins, who testified as an expert and explained that there were no adverse entries in the index of immovables at the time of the disbursements. As a result, even had they asked the </w:t>
      </w:r>
      <w:r w:rsidR="00AA01D2">
        <w:rPr>
          <w:lang w:val="en-CA"/>
        </w:rPr>
        <w:t>Developer</w:t>
      </w:r>
      <w:r w:rsidRPr="00632B6C">
        <w:rPr>
          <w:lang w:val="en-CA"/>
        </w:rPr>
        <w:t xml:space="preserve"> or the Bank questions, the Notary and GIR would simply have concluded that the financing process was </w:t>
      </w:r>
      <w:r w:rsidR="003A5AC7">
        <w:rPr>
          <w:lang w:val="en-CA"/>
        </w:rPr>
        <w:t>on course</w:t>
      </w:r>
      <w:r w:rsidRPr="00632B6C">
        <w:rPr>
          <w:lang w:val="en-CA"/>
        </w:rPr>
        <w:t>.</w:t>
      </w:r>
    </w:p>
    <w:p w14:paraId="505FBEC6" w14:textId="09CABBB7" w:rsidR="00B2165C" w:rsidRPr="00632B6C" w:rsidRDefault="004332CE" w:rsidP="00324897">
      <w:pPr>
        <w:pStyle w:val="Paragraphe"/>
        <w:tabs>
          <w:tab w:val="clear" w:pos="720"/>
          <w:tab w:val="num" w:pos="709"/>
        </w:tabs>
        <w:spacing w:line="240" w:lineRule="auto"/>
        <w:rPr>
          <w:lang w:val="en-CA"/>
        </w:rPr>
      </w:pPr>
      <w:r w:rsidRPr="00632B6C">
        <w:rPr>
          <w:lang w:val="en-CA"/>
        </w:rPr>
        <w:t xml:space="preserve">The judge further held that the Notary did not have to </w:t>
      </w:r>
      <w:r w:rsidR="00CB2243">
        <w:rPr>
          <w:lang w:val="en-CA"/>
        </w:rPr>
        <w:t xml:space="preserve">communicate </w:t>
      </w:r>
      <w:r w:rsidR="002245BD">
        <w:rPr>
          <w:lang w:val="en-CA"/>
        </w:rPr>
        <w:t xml:space="preserve">with </w:t>
      </w:r>
      <w:r w:rsidRPr="00632B6C">
        <w:rPr>
          <w:lang w:val="en-CA"/>
        </w:rPr>
        <w:t>the appellants before disbursing the down payments and that, even had he done so, the disbursements would have been authorized.</w:t>
      </w:r>
    </w:p>
    <w:p w14:paraId="0426A4BA" w14:textId="55F018F3" w:rsidR="00B2165C" w:rsidRPr="00632B6C" w:rsidRDefault="004332CE" w:rsidP="00324897">
      <w:pPr>
        <w:pStyle w:val="Paragraphe"/>
        <w:tabs>
          <w:tab w:val="clear" w:pos="720"/>
          <w:tab w:val="num" w:pos="709"/>
        </w:tabs>
        <w:spacing w:line="240" w:lineRule="auto"/>
        <w:rPr>
          <w:lang w:val="en-CA"/>
        </w:rPr>
      </w:pPr>
      <w:r w:rsidRPr="00632B6C">
        <w:rPr>
          <w:lang w:val="en-CA"/>
        </w:rPr>
        <w:t xml:space="preserve">In short, in the judge’s view, the only logical, direct, and immediate cause of the appellants’ injury was the Bank’s withdrawal from the project, based on internal rules that the respondents and the </w:t>
      </w:r>
      <w:r w:rsidR="00AA01D2">
        <w:rPr>
          <w:lang w:val="en-CA"/>
        </w:rPr>
        <w:t>Developer</w:t>
      </w:r>
      <w:r w:rsidRPr="00632B6C">
        <w:rPr>
          <w:lang w:val="en-CA"/>
        </w:rPr>
        <w:t xml:space="preserve"> could not have known, even had the </w:t>
      </w:r>
      <w:r w:rsidR="00AA01D2">
        <w:rPr>
          <w:lang w:val="en-CA"/>
        </w:rPr>
        <w:t>Developer</w:t>
      </w:r>
      <w:r w:rsidRPr="00632B6C">
        <w:rPr>
          <w:lang w:val="en-CA"/>
        </w:rPr>
        <w:t xml:space="preserve"> been asked more questions.</w:t>
      </w:r>
    </w:p>
    <w:p w14:paraId="598A16A3" w14:textId="6CC9EEEF" w:rsidR="00B2165C" w:rsidRPr="00632B6C" w:rsidRDefault="004332CE" w:rsidP="003C2938">
      <w:pPr>
        <w:pStyle w:val="Paragraphe"/>
        <w:keepNext/>
        <w:numPr>
          <w:ilvl w:val="0"/>
          <w:numId w:val="0"/>
        </w:numPr>
        <w:rPr>
          <w:b/>
          <w:lang w:val="en-CA"/>
        </w:rPr>
      </w:pPr>
      <w:r w:rsidRPr="00632B6C">
        <w:rPr>
          <w:b/>
          <w:lang w:val="en-CA"/>
        </w:rPr>
        <w:lastRenderedPageBreak/>
        <w:t>GROUNDS OF APPEAL</w:t>
      </w:r>
    </w:p>
    <w:p w14:paraId="2193455B" w14:textId="3E18FF09" w:rsidR="00B2165C" w:rsidRPr="00632B6C" w:rsidRDefault="004332CE" w:rsidP="003C2938">
      <w:pPr>
        <w:pStyle w:val="Paragraphe"/>
        <w:keepNext/>
        <w:tabs>
          <w:tab w:val="clear" w:pos="720"/>
          <w:tab w:val="num" w:pos="709"/>
        </w:tabs>
        <w:spacing w:line="240" w:lineRule="auto"/>
        <w:rPr>
          <w:lang w:val="en-CA"/>
        </w:rPr>
      </w:pPr>
      <w:r w:rsidRPr="00632B6C">
        <w:rPr>
          <w:lang w:val="en-CA"/>
        </w:rPr>
        <w:t xml:space="preserve">Relying primarily on the index of immovables and </w:t>
      </w:r>
      <w:r w:rsidR="004906BA">
        <w:rPr>
          <w:lang w:val="en-CA"/>
        </w:rPr>
        <w:t xml:space="preserve">the </w:t>
      </w:r>
      <w:r w:rsidRPr="00632B6C">
        <w:rPr>
          <w:lang w:val="en-CA"/>
        </w:rPr>
        <w:t>title</w:t>
      </w:r>
      <w:r w:rsidR="004906BA">
        <w:rPr>
          <w:lang w:val="en-CA"/>
        </w:rPr>
        <w:t>s</w:t>
      </w:r>
      <w:r w:rsidRPr="00632B6C">
        <w:rPr>
          <w:lang w:val="en-CA"/>
        </w:rPr>
        <w:t xml:space="preserve"> published in the Land Register on August 30, </w:t>
      </w:r>
      <w:r w:rsidR="004906BA">
        <w:rPr>
          <w:lang w:val="en-CA"/>
        </w:rPr>
        <w:t>2</w:t>
      </w:r>
      <w:r w:rsidRPr="00632B6C">
        <w:rPr>
          <w:lang w:val="en-CA"/>
        </w:rPr>
        <w:t>01</w:t>
      </w:r>
      <w:r w:rsidR="004906BA">
        <w:rPr>
          <w:lang w:val="en-CA"/>
        </w:rPr>
        <w:t>3</w:t>
      </w:r>
      <w:r w:rsidRPr="00632B6C">
        <w:rPr>
          <w:lang w:val="en-CA"/>
        </w:rPr>
        <w:t xml:space="preserve">, </w:t>
      </w:r>
      <w:r w:rsidR="00A8771F">
        <w:rPr>
          <w:lang w:val="en-CA"/>
        </w:rPr>
        <w:t>as well as</w:t>
      </w:r>
      <w:r w:rsidR="00A8771F" w:rsidRPr="00632B6C">
        <w:rPr>
          <w:lang w:val="en-CA"/>
        </w:rPr>
        <w:t xml:space="preserve"> </w:t>
      </w:r>
      <w:r w:rsidR="003C2938">
        <w:rPr>
          <w:lang w:val="en-CA"/>
        </w:rPr>
        <w:t xml:space="preserve">on </w:t>
      </w:r>
      <w:r w:rsidRPr="00632B6C">
        <w:rPr>
          <w:lang w:val="en-CA"/>
        </w:rPr>
        <w:t>the testimony of the Bank’s representative, the appellants submit that there was an objective risk to the financing at the time the down payments were disbursed.</w:t>
      </w:r>
      <w:r w:rsidR="005B3B9F" w:rsidRPr="00632B6C">
        <w:rPr>
          <w:lang w:val="en-CA"/>
        </w:rPr>
        <w:t xml:space="preserve"> </w:t>
      </w:r>
      <w:r w:rsidRPr="00632B6C">
        <w:rPr>
          <w:lang w:val="en-CA"/>
        </w:rPr>
        <w:t xml:space="preserve">They argue that the judge failed to consider this element, which led him to </w:t>
      </w:r>
      <w:r w:rsidR="001F6FD5">
        <w:rPr>
          <w:lang w:val="en-CA"/>
        </w:rPr>
        <w:t xml:space="preserve">wrongly </w:t>
      </w:r>
      <w:r w:rsidRPr="00632B6C">
        <w:rPr>
          <w:lang w:val="en-CA"/>
        </w:rPr>
        <w:t xml:space="preserve">conclude that the Notary did not have to </w:t>
      </w:r>
      <w:r w:rsidR="00CB2243">
        <w:rPr>
          <w:lang w:val="en-CA"/>
        </w:rPr>
        <w:t>communicate</w:t>
      </w:r>
      <w:r w:rsidR="002245BD">
        <w:rPr>
          <w:lang w:val="en-CA"/>
        </w:rPr>
        <w:t xml:space="preserve"> with</w:t>
      </w:r>
      <w:r w:rsidR="00CB2243" w:rsidRPr="00632B6C">
        <w:rPr>
          <w:lang w:val="en-CA"/>
        </w:rPr>
        <w:t xml:space="preserve"> </w:t>
      </w:r>
      <w:r w:rsidRPr="00632B6C">
        <w:rPr>
          <w:lang w:val="en-CA"/>
        </w:rPr>
        <w:t>the appellants before disbursing the down payments.</w:t>
      </w:r>
      <w:r w:rsidR="005B3B9F" w:rsidRPr="00632B6C">
        <w:rPr>
          <w:lang w:val="en-CA"/>
        </w:rPr>
        <w:t xml:space="preserve"> </w:t>
      </w:r>
      <w:r w:rsidRPr="00632B6C">
        <w:rPr>
          <w:lang w:val="en-CA"/>
        </w:rPr>
        <w:t>The appellants further state that they would not have authorized th</w:t>
      </w:r>
      <w:r w:rsidR="003C2938">
        <w:rPr>
          <w:lang w:val="en-CA"/>
        </w:rPr>
        <w:t>is</w:t>
      </w:r>
      <w:r w:rsidRPr="00632B6C">
        <w:rPr>
          <w:lang w:val="en-CA"/>
        </w:rPr>
        <w:t xml:space="preserve"> disbursement had they been consulted, contrary to the judge’s finding, and that the judge could not speculate about their possible reaction, </w:t>
      </w:r>
      <w:r w:rsidR="001F6FD5">
        <w:rPr>
          <w:lang w:val="en-CA"/>
        </w:rPr>
        <w:t xml:space="preserve">if </w:t>
      </w:r>
      <w:r w:rsidR="00A8771F">
        <w:rPr>
          <w:lang w:val="en-CA"/>
        </w:rPr>
        <w:t>any</w:t>
      </w:r>
      <w:r w:rsidRPr="00632B6C">
        <w:rPr>
          <w:lang w:val="en-CA"/>
        </w:rPr>
        <w:t>.</w:t>
      </w:r>
    </w:p>
    <w:p w14:paraId="29D87B3E" w14:textId="16DFED6C" w:rsidR="00B2165C" w:rsidRPr="00632B6C" w:rsidRDefault="004332CE" w:rsidP="00324897">
      <w:pPr>
        <w:pStyle w:val="Paragraphe"/>
        <w:tabs>
          <w:tab w:val="clear" w:pos="720"/>
          <w:tab w:val="num" w:pos="709"/>
        </w:tabs>
        <w:spacing w:line="240" w:lineRule="auto"/>
        <w:rPr>
          <w:lang w:val="en-CA"/>
        </w:rPr>
      </w:pPr>
      <w:r w:rsidRPr="00632B6C">
        <w:rPr>
          <w:lang w:val="en-CA"/>
        </w:rPr>
        <w:t>They also argue in their brief that</w:t>
      </w:r>
      <w:r w:rsidR="001F6FD5">
        <w:rPr>
          <w:lang w:val="en-CA"/>
        </w:rPr>
        <w:t>,</w:t>
      </w:r>
      <w:r w:rsidRPr="00632B6C">
        <w:rPr>
          <w:lang w:val="en-CA"/>
        </w:rPr>
        <w:t xml:space="preserve"> in any event, the Notary could not disburse the down payments </w:t>
      </w:r>
      <w:r w:rsidR="001F6FD5">
        <w:rPr>
          <w:lang w:val="en-CA"/>
        </w:rPr>
        <w:t>because of</w:t>
      </w:r>
      <w:r w:rsidRPr="00632B6C">
        <w:rPr>
          <w:lang w:val="en-CA"/>
        </w:rPr>
        <w:t xml:space="preserve"> section 31 of the </w:t>
      </w:r>
      <w:r w:rsidRPr="00632B6C">
        <w:rPr>
          <w:i/>
          <w:lang w:val="en-CA"/>
        </w:rPr>
        <w:t>Règlement sur la comptabilité en fidéicommis des notaires</w:t>
      </w:r>
      <w:r w:rsidRPr="00632B6C">
        <w:rPr>
          <w:lang w:val="en-CA"/>
        </w:rPr>
        <w:t>, in force at the time.</w:t>
      </w:r>
      <w:r w:rsidR="005B3B9F" w:rsidRPr="00632B6C">
        <w:rPr>
          <w:rStyle w:val="Appelnotedebasdep"/>
          <w:lang w:val="en-CA"/>
        </w:rPr>
        <w:footnoteReference w:id="5"/>
      </w:r>
      <w:r w:rsidRPr="00632B6C">
        <w:rPr>
          <w:lang w:val="en-CA"/>
        </w:rPr>
        <w:t xml:space="preserve"> Th</w:t>
      </w:r>
      <w:r w:rsidR="001F6FD5">
        <w:rPr>
          <w:lang w:val="en-CA"/>
        </w:rPr>
        <w:t>is provision</w:t>
      </w:r>
      <w:r w:rsidRPr="00632B6C">
        <w:rPr>
          <w:lang w:val="en-CA"/>
        </w:rPr>
        <w:t xml:space="preserve"> added as an implied condition </w:t>
      </w:r>
      <w:r w:rsidR="001F6FD5">
        <w:rPr>
          <w:lang w:val="en-CA"/>
        </w:rPr>
        <w:t xml:space="preserve">of </w:t>
      </w:r>
      <w:r w:rsidRPr="00632B6C">
        <w:rPr>
          <w:lang w:val="en-CA"/>
        </w:rPr>
        <w:t xml:space="preserve">the preliminary contract that the amounts in trust were to be used to pay the hypothecary creditors before </w:t>
      </w:r>
      <w:r w:rsidR="00BA2F6A">
        <w:rPr>
          <w:lang w:val="en-CA"/>
        </w:rPr>
        <w:t>any other use</w:t>
      </w:r>
      <w:r w:rsidRPr="00632B6C">
        <w:rPr>
          <w:lang w:val="en-CA"/>
        </w:rPr>
        <w:t>.</w:t>
      </w:r>
      <w:r w:rsidR="005B3B9F" w:rsidRPr="00632B6C">
        <w:rPr>
          <w:lang w:val="en-CA"/>
        </w:rPr>
        <w:t xml:space="preserve"> </w:t>
      </w:r>
      <w:r w:rsidRPr="00632B6C">
        <w:rPr>
          <w:lang w:val="en-CA"/>
        </w:rPr>
        <w:t>At the hearing, the appellants did not refer to this regulation but nonetheless insisted on the existence of a similar implied condition in the preliminary contract.</w:t>
      </w:r>
    </w:p>
    <w:p w14:paraId="70FCC26D" w14:textId="79002CC0" w:rsidR="00B2165C" w:rsidRPr="00632B6C" w:rsidRDefault="004332CE" w:rsidP="00324897">
      <w:pPr>
        <w:pStyle w:val="Paragraphe"/>
        <w:tabs>
          <w:tab w:val="clear" w:pos="720"/>
          <w:tab w:val="num" w:pos="709"/>
        </w:tabs>
        <w:spacing w:line="240" w:lineRule="auto"/>
        <w:rPr>
          <w:lang w:val="en-CA"/>
        </w:rPr>
      </w:pPr>
      <w:r w:rsidRPr="00632B6C">
        <w:rPr>
          <w:lang w:val="en-CA"/>
        </w:rPr>
        <w:t xml:space="preserve">They </w:t>
      </w:r>
      <w:r w:rsidR="00BA2F6A">
        <w:rPr>
          <w:lang w:val="en-CA"/>
        </w:rPr>
        <w:t xml:space="preserve">further </w:t>
      </w:r>
      <w:r w:rsidRPr="00632B6C">
        <w:rPr>
          <w:lang w:val="en-CA"/>
        </w:rPr>
        <w:t xml:space="preserve">argue that the judge erred by concluding that GIR would not have required additional conditions before authorizing the </w:t>
      </w:r>
      <w:r w:rsidR="00A8771F">
        <w:rPr>
          <w:lang w:val="en-CA"/>
        </w:rPr>
        <w:t xml:space="preserve">disbursement of the </w:t>
      </w:r>
      <w:r w:rsidRPr="00632B6C">
        <w:rPr>
          <w:lang w:val="en-CA"/>
        </w:rPr>
        <w:t xml:space="preserve">down payments </w:t>
      </w:r>
      <w:r w:rsidR="00006F9D">
        <w:rPr>
          <w:lang w:val="en-CA"/>
        </w:rPr>
        <w:t xml:space="preserve">had it </w:t>
      </w:r>
      <w:r w:rsidR="00C2218B">
        <w:rPr>
          <w:lang w:val="en-CA"/>
        </w:rPr>
        <w:t xml:space="preserve">made the </w:t>
      </w:r>
      <w:r w:rsidRPr="00632B6C">
        <w:rPr>
          <w:lang w:val="en-CA"/>
        </w:rPr>
        <w:t xml:space="preserve">proper </w:t>
      </w:r>
      <w:r w:rsidR="00A8771F" w:rsidRPr="00632B6C">
        <w:rPr>
          <w:lang w:val="en-CA"/>
        </w:rPr>
        <w:t>inquir</w:t>
      </w:r>
      <w:r w:rsidR="00C2218B">
        <w:rPr>
          <w:lang w:val="en-CA"/>
        </w:rPr>
        <w:t>ies</w:t>
      </w:r>
      <w:r w:rsidR="00A8771F">
        <w:rPr>
          <w:lang w:val="en-CA"/>
        </w:rPr>
        <w:t xml:space="preserve"> </w:t>
      </w:r>
      <w:r w:rsidR="00811A7E">
        <w:rPr>
          <w:lang w:val="en-CA"/>
        </w:rPr>
        <w:t>of</w:t>
      </w:r>
      <w:r w:rsidRPr="00632B6C">
        <w:rPr>
          <w:lang w:val="en-CA"/>
        </w:rPr>
        <w:t xml:space="preserve"> the Bank and the </w:t>
      </w:r>
      <w:r w:rsidR="00AA01D2">
        <w:rPr>
          <w:lang w:val="en-CA"/>
        </w:rPr>
        <w:t>Developer</w:t>
      </w:r>
      <w:r w:rsidRPr="00632B6C">
        <w:rPr>
          <w:lang w:val="en-CA"/>
        </w:rPr>
        <w:t>.</w:t>
      </w:r>
      <w:r w:rsidR="005B3B9F" w:rsidRPr="00632B6C">
        <w:rPr>
          <w:lang w:val="en-CA"/>
        </w:rPr>
        <w:t xml:space="preserve"> </w:t>
      </w:r>
      <w:r w:rsidRPr="00632B6C">
        <w:rPr>
          <w:lang w:val="en-CA"/>
        </w:rPr>
        <w:t xml:space="preserve">They claim that it committed a causal fault that injured the appellants by agreeing that the </w:t>
      </w:r>
      <w:r w:rsidR="00AA01D2">
        <w:rPr>
          <w:lang w:val="en-CA"/>
        </w:rPr>
        <w:t>Developer</w:t>
      </w:r>
      <w:r w:rsidRPr="00632B6C">
        <w:rPr>
          <w:lang w:val="en-CA"/>
        </w:rPr>
        <w:t xml:space="preserve">’s security of $450,000 be paid </w:t>
      </w:r>
      <w:r w:rsidR="00C2218B">
        <w:rPr>
          <w:lang w:val="en-CA"/>
        </w:rPr>
        <w:t>out of</w:t>
      </w:r>
      <w:r w:rsidR="00C2218B" w:rsidRPr="00632B6C">
        <w:rPr>
          <w:lang w:val="en-CA"/>
        </w:rPr>
        <w:t xml:space="preserve"> </w:t>
      </w:r>
      <w:r w:rsidRPr="00632B6C">
        <w:rPr>
          <w:lang w:val="en-CA"/>
        </w:rPr>
        <w:t>the down payments held in trust.</w:t>
      </w:r>
    </w:p>
    <w:p w14:paraId="2BBBC5B0" w14:textId="6F6F1BD8" w:rsidR="00B2165C" w:rsidRPr="00632B6C" w:rsidRDefault="004332CE" w:rsidP="00324897">
      <w:pPr>
        <w:pStyle w:val="Paragraphe"/>
        <w:tabs>
          <w:tab w:val="clear" w:pos="720"/>
          <w:tab w:val="num" w:pos="709"/>
        </w:tabs>
        <w:spacing w:line="240" w:lineRule="auto"/>
        <w:rPr>
          <w:lang w:val="en-CA"/>
        </w:rPr>
      </w:pPr>
      <w:r w:rsidRPr="00632B6C">
        <w:rPr>
          <w:lang w:val="en-CA"/>
        </w:rPr>
        <w:t xml:space="preserve">In short, the judge committed a palpable and overriding error when he found that the sole </w:t>
      </w:r>
      <w:r w:rsidR="009154A7">
        <w:rPr>
          <w:lang w:val="en-CA"/>
        </w:rPr>
        <w:t xml:space="preserve">and </w:t>
      </w:r>
      <w:r w:rsidRPr="00632B6C">
        <w:rPr>
          <w:lang w:val="en-CA"/>
        </w:rPr>
        <w:t>ultimate cause of the injury was the withdrawal of the Bank’s offer.</w:t>
      </w:r>
    </w:p>
    <w:p w14:paraId="5D9BAE9A" w14:textId="2B49E769" w:rsidR="00B2165C" w:rsidRPr="00632B6C" w:rsidRDefault="004332CE" w:rsidP="008574CD">
      <w:pPr>
        <w:pStyle w:val="Paragraphe"/>
        <w:keepNext/>
        <w:numPr>
          <w:ilvl w:val="0"/>
          <w:numId w:val="0"/>
        </w:numPr>
        <w:rPr>
          <w:b/>
          <w:lang w:val="en-CA"/>
        </w:rPr>
      </w:pPr>
      <w:r w:rsidRPr="00632B6C">
        <w:rPr>
          <w:b/>
          <w:lang w:val="en-CA"/>
        </w:rPr>
        <w:t>ANALYSIS</w:t>
      </w:r>
    </w:p>
    <w:p w14:paraId="38863698" w14:textId="79EC702C" w:rsidR="00B2165C" w:rsidRPr="00632B6C" w:rsidRDefault="004332CE" w:rsidP="008574CD">
      <w:pPr>
        <w:pStyle w:val="Paragraphe"/>
        <w:keepNext/>
        <w:tabs>
          <w:tab w:val="clear" w:pos="720"/>
          <w:tab w:val="num" w:pos="709"/>
        </w:tabs>
        <w:spacing w:line="240" w:lineRule="auto"/>
        <w:rPr>
          <w:lang w:val="en-CA"/>
        </w:rPr>
      </w:pPr>
      <w:r w:rsidRPr="00632B6C">
        <w:rPr>
          <w:lang w:val="en-CA"/>
        </w:rPr>
        <w:t xml:space="preserve">The issues raised are questions of fact or questions of mixed </w:t>
      </w:r>
      <w:r w:rsidR="00A246F6">
        <w:rPr>
          <w:lang w:val="en-CA"/>
        </w:rPr>
        <w:t>fact</w:t>
      </w:r>
      <w:r w:rsidR="00A246F6" w:rsidRPr="00632B6C">
        <w:rPr>
          <w:lang w:val="en-CA"/>
        </w:rPr>
        <w:t xml:space="preserve"> </w:t>
      </w:r>
      <w:r w:rsidRPr="00632B6C">
        <w:rPr>
          <w:lang w:val="en-CA"/>
        </w:rPr>
        <w:t xml:space="preserve">and </w:t>
      </w:r>
      <w:r w:rsidR="00A246F6">
        <w:rPr>
          <w:lang w:val="en-CA"/>
        </w:rPr>
        <w:t>law</w:t>
      </w:r>
      <w:r w:rsidR="00A246F6" w:rsidRPr="00632B6C">
        <w:rPr>
          <w:lang w:val="en-CA"/>
        </w:rPr>
        <w:t xml:space="preserve"> </w:t>
      </w:r>
      <w:r w:rsidRPr="00632B6C">
        <w:rPr>
          <w:lang w:val="en-CA"/>
        </w:rPr>
        <w:t xml:space="preserve">(with respect to causality) that </w:t>
      </w:r>
      <w:r w:rsidR="000D0FEB">
        <w:rPr>
          <w:lang w:val="en-CA"/>
        </w:rPr>
        <w:t xml:space="preserve">call for </w:t>
      </w:r>
      <w:r w:rsidRPr="00632B6C">
        <w:rPr>
          <w:lang w:val="en-CA"/>
        </w:rPr>
        <w:t>a high standard of review on appeal.</w:t>
      </w:r>
      <w:r w:rsidR="005B3B9F" w:rsidRPr="00632B6C">
        <w:rPr>
          <w:lang w:val="en-CA"/>
        </w:rPr>
        <w:t xml:space="preserve"> </w:t>
      </w:r>
      <w:r w:rsidRPr="00632B6C">
        <w:rPr>
          <w:lang w:val="en-CA"/>
        </w:rPr>
        <w:t>This requires a palpable and overriding error,</w:t>
      </w:r>
      <w:r w:rsidR="005B3B9F" w:rsidRPr="00632B6C">
        <w:rPr>
          <w:rStyle w:val="Appelnotedebasdep"/>
          <w:lang w:val="en-CA"/>
        </w:rPr>
        <w:footnoteReference w:id="6"/>
      </w:r>
      <w:r w:rsidRPr="00632B6C">
        <w:rPr>
          <w:lang w:val="en-CA"/>
        </w:rPr>
        <w:t xml:space="preserve"> particularly when the assessment of all the evidence</w:t>
      </w:r>
      <w:r w:rsidR="00A246F6">
        <w:rPr>
          <w:lang w:val="en-CA"/>
        </w:rPr>
        <w:t xml:space="preserve"> is at issue</w:t>
      </w:r>
      <w:r w:rsidRPr="00632B6C">
        <w:rPr>
          <w:lang w:val="en-CA"/>
        </w:rPr>
        <w:t>.</w:t>
      </w:r>
      <w:r w:rsidR="005B3B9F" w:rsidRPr="00632B6C">
        <w:rPr>
          <w:rStyle w:val="Appelnotedebasdep"/>
          <w:lang w:val="en-CA"/>
        </w:rPr>
        <w:footnoteReference w:id="7"/>
      </w:r>
      <w:r w:rsidR="005B3B9F" w:rsidRPr="00632B6C">
        <w:rPr>
          <w:lang w:val="en-CA"/>
        </w:rPr>
        <w:t xml:space="preserve"> </w:t>
      </w:r>
      <w:r w:rsidRPr="00632B6C">
        <w:rPr>
          <w:lang w:val="en-CA"/>
        </w:rPr>
        <w:t>Deference is required</w:t>
      </w:r>
      <w:r w:rsidR="009154A7">
        <w:rPr>
          <w:lang w:val="en-CA"/>
        </w:rPr>
        <w:t>,</w:t>
      </w:r>
      <w:r w:rsidRPr="00632B6C">
        <w:rPr>
          <w:lang w:val="en-CA"/>
        </w:rPr>
        <w:t xml:space="preserve"> especially when it is </w:t>
      </w:r>
      <w:r w:rsidR="000D0FEB">
        <w:rPr>
          <w:lang w:val="en-CA"/>
        </w:rPr>
        <w:t xml:space="preserve">a question </w:t>
      </w:r>
      <w:r w:rsidRPr="00632B6C">
        <w:rPr>
          <w:lang w:val="en-CA"/>
        </w:rPr>
        <w:t>of assessing the credibility and reliability of witnesses, because it is not for an appellate court to retry the case.</w:t>
      </w:r>
      <w:r w:rsidR="005B3B9F" w:rsidRPr="00632B6C">
        <w:rPr>
          <w:rStyle w:val="Appelnotedebasdep"/>
          <w:lang w:val="en-CA"/>
        </w:rPr>
        <w:footnoteReference w:id="8"/>
      </w:r>
      <w:r w:rsidR="005B3B9F" w:rsidRPr="00632B6C">
        <w:rPr>
          <w:lang w:val="en-CA"/>
        </w:rPr>
        <w:t xml:space="preserve"> </w:t>
      </w:r>
      <w:r w:rsidRPr="00632B6C">
        <w:rPr>
          <w:lang w:val="en-CA"/>
        </w:rPr>
        <w:t xml:space="preserve">This </w:t>
      </w:r>
      <w:r w:rsidRPr="00632B6C">
        <w:rPr>
          <w:lang w:val="en-CA"/>
        </w:rPr>
        <w:lastRenderedPageBreak/>
        <w:t xml:space="preserve">deference applies </w:t>
      </w:r>
      <w:r w:rsidR="000D0FEB">
        <w:rPr>
          <w:lang w:val="en-CA"/>
        </w:rPr>
        <w:t>t</w:t>
      </w:r>
      <w:r w:rsidRPr="00632B6C">
        <w:rPr>
          <w:lang w:val="en-CA"/>
        </w:rPr>
        <w:t>o both ordinary and expert witnesses.</w:t>
      </w:r>
      <w:r w:rsidR="005B3B9F" w:rsidRPr="00632B6C">
        <w:rPr>
          <w:rStyle w:val="Appelnotedebasdep"/>
          <w:lang w:val="en-CA"/>
        </w:rPr>
        <w:footnoteReference w:id="9"/>
      </w:r>
      <w:r w:rsidR="005B3B9F" w:rsidRPr="00632B6C">
        <w:rPr>
          <w:lang w:val="en-CA"/>
        </w:rPr>
        <w:t xml:space="preserve"> </w:t>
      </w:r>
      <w:r w:rsidRPr="00632B6C">
        <w:rPr>
          <w:lang w:val="en-CA"/>
        </w:rPr>
        <w:t xml:space="preserve">To succeed, the appellants must be able to </w:t>
      </w:r>
      <w:r w:rsidR="000D0FEB">
        <w:rPr>
          <w:lang w:val="en-CA"/>
        </w:rPr>
        <w:t xml:space="preserve">put </w:t>
      </w:r>
      <w:r w:rsidRPr="00632B6C">
        <w:rPr>
          <w:lang w:val="en-CA"/>
        </w:rPr>
        <w:t xml:space="preserve">their finger </w:t>
      </w:r>
      <w:r w:rsidR="000D0FEB">
        <w:rPr>
          <w:lang w:val="en-CA"/>
        </w:rPr>
        <w:t xml:space="preserve">on the </w:t>
      </w:r>
      <w:r w:rsidRPr="00632B6C">
        <w:rPr>
          <w:lang w:val="en-CA"/>
        </w:rPr>
        <w:t>precise palpable and overriding error at trial.</w:t>
      </w:r>
      <w:r w:rsidR="005B3B9F" w:rsidRPr="00632B6C">
        <w:rPr>
          <w:vertAlign w:val="superscript"/>
          <w:lang w:val="en-CA"/>
        </w:rPr>
        <w:footnoteReference w:id="10"/>
      </w:r>
    </w:p>
    <w:p w14:paraId="0FE9273C" w14:textId="1D8693AF" w:rsidR="00B2165C" w:rsidRPr="00632B6C" w:rsidRDefault="00952D32" w:rsidP="00324897">
      <w:pPr>
        <w:pStyle w:val="Paragraphe"/>
        <w:tabs>
          <w:tab w:val="clear" w:pos="720"/>
          <w:tab w:val="num" w:pos="709"/>
        </w:tabs>
        <w:spacing w:line="240" w:lineRule="auto"/>
        <w:rPr>
          <w:lang w:val="en-CA"/>
        </w:rPr>
      </w:pPr>
      <w:r>
        <w:rPr>
          <w:lang w:val="en-CA"/>
        </w:rPr>
        <w:t>In this case</w:t>
      </w:r>
      <w:r w:rsidR="004332CE" w:rsidRPr="00632B6C">
        <w:rPr>
          <w:lang w:val="en-CA"/>
        </w:rPr>
        <w:t xml:space="preserve">, they have failed to </w:t>
      </w:r>
      <w:r w:rsidR="002F2F77">
        <w:rPr>
          <w:lang w:val="en-CA"/>
        </w:rPr>
        <w:t>establish a</w:t>
      </w:r>
      <w:r w:rsidR="004332CE" w:rsidRPr="00632B6C">
        <w:rPr>
          <w:lang w:val="en-CA"/>
        </w:rPr>
        <w:t xml:space="preserve"> palpable and overriding error in the analysis </w:t>
      </w:r>
      <w:r w:rsidR="00A246F6">
        <w:rPr>
          <w:lang w:val="en-CA"/>
        </w:rPr>
        <w:t xml:space="preserve">of the </w:t>
      </w:r>
      <w:r w:rsidR="00A246F6" w:rsidRPr="00632B6C">
        <w:rPr>
          <w:lang w:val="en-CA"/>
        </w:rPr>
        <w:t>trial judge</w:t>
      </w:r>
      <w:r w:rsidR="00A246F6">
        <w:rPr>
          <w:lang w:val="en-CA"/>
        </w:rPr>
        <w:t>, who</w:t>
      </w:r>
      <w:r w:rsidR="00A246F6" w:rsidRPr="00632B6C">
        <w:rPr>
          <w:lang w:val="en-CA"/>
        </w:rPr>
        <w:t xml:space="preserve"> </w:t>
      </w:r>
      <w:r w:rsidR="002F2F77">
        <w:rPr>
          <w:lang w:val="en-CA"/>
        </w:rPr>
        <w:t xml:space="preserve">found </w:t>
      </w:r>
      <w:r w:rsidR="003C2938">
        <w:rPr>
          <w:lang w:val="en-CA"/>
        </w:rPr>
        <w:t xml:space="preserve">that </w:t>
      </w:r>
      <w:r w:rsidR="002F2F77">
        <w:rPr>
          <w:lang w:val="en-CA"/>
        </w:rPr>
        <w:t xml:space="preserve">there was </w:t>
      </w:r>
      <w:r w:rsidR="004332CE" w:rsidRPr="00632B6C">
        <w:rPr>
          <w:lang w:val="en-CA"/>
        </w:rPr>
        <w:t xml:space="preserve">no real and imminent danger </w:t>
      </w:r>
      <w:r w:rsidR="00863D4D">
        <w:rPr>
          <w:lang w:val="en-CA"/>
        </w:rPr>
        <w:t xml:space="preserve">at the time </w:t>
      </w:r>
      <w:r w:rsidR="004332CE" w:rsidRPr="00632B6C">
        <w:rPr>
          <w:lang w:val="en-CA"/>
        </w:rPr>
        <w:t xml:space="preserve">the Notary </w:t>
      </w:r>
      <w:r w:rsidR="00925415">
        <w:rPr>
          <w:lang w:val="en-CA"/>
        </w:rPr>
        <w:t xml:space="preserve">ought to </w:t>
      </w:r>
      <w:r w:rsidR="003C2938">
        <w:rPr>
          <w:lang w:val="en-CA"/>
        </w:rPr>
        <w:t xml:space="preserve">have </w:t>
      </w:r>
      <w:r w:rsidR="00A246F6">
        <w:rPr>
          <w:lang w:val="en-CA"/>
        </w:rPr>
        <w:t>conduct</w:t>
      </w:r>
      <w:r w:rsidR="00925415">
        <w:rPr>
          <w:lang w:val="en-CA"/>
        </w:rPr>
        <w:t>ed</w:t>
      </w:r>
      <w:r w:rsidR="00A246F6" w:rsidRPr="00632B6C">
        <w:rPr>
          <w:lang w:val="en-CA"/>
        </w:rPr>
        <w:t xml:space="preserve"> </w:t>
      </w:r>
      <w:r w:rsidR="004332CE" w:rsidRPr="00632B6C">
        <w:rPr>
          <w:lang w:val="en-CA"/>
        </w:rPr>
        <w:t>the appropriate verifications in August 2013 or thereafter.</w:t>
      </w:r>
      <w:r w:rsidR="005B3B9F" w:rsidRPr="00632B6C">
        <w:rPr>
          <w:lang w:val="en-CA"/>
        </w:rPr>
        <w:t xml:space="preserve"> </w:t>
      </w:r>
      <w:r w:rsidR="004332CE" w:rsidRPr="00632B6C">
        <w:rPr>
          <w:lang w:val="en-CA"/>
        </w:rPr>
        <w:t>In this regard, the judge concluded:</w:t>
      </w:r>
    </w:p>
    <w:p w14:paraId="275D5DE7" w14:textId="43E82B54" w:rsidR="00912666" w:rsidRPr="00632B6C" w:rsidRDefault="00912666" w:rsidP="00912666">
      <w:pPr>
        <w:pStyle w:val="Paragraphe"/>
        <w:numPr>
          <w:ilvl w:val="0"/>
          <w:numId w:val="0"/>
        </w:numPr>
        <w:spacing w:line="240" w:lineRule="auto"/>
        <w:ind w:left="720"/>
        <w:rPr>
          <w:sz w:val="22"/>
          <w:szCs w:val="18"/>
          <w:lang w:val="en-CA"/>
        </w:rPr>
      </w:pPr>
      <w:r w:rsidRPr="00632B6C">
        <w:rPr>
          <w:rFonts w:cs="Arial"/>
          <w:lang w:val="en-CA"/>
        </w:rPr>
        <w:t>[</w:t>
      </w:r>
      <w:r w:rsidRPr="00632B6C">
        <w:rPr>
          <w:rFonts w:cs="Arial"/>
          <w:smallCaps/>
          <w:lang w:val="en-CA"/>
        </w:rPr>
        <w:t>translation</w:t>
      </w:r>
      <w:r w:rsidRPr="00632B6C">
        <w:rPr>
          <w:rFonts w:cs="Arial"/>
          <w:lang w:val="en-CA"/>
        </w:rPr>
        <w:t>]</w:t>
      </w:r>
    </w:p>
    <w:p w14:paraId="69ECBED8" w14:textId="77777777" w:rsidR="008656E3" w:rsidRPr="006A12A4" w:rsidRDefault="005B3B9F" w:rsidP="008656E3">
      <w:pPr>
        <w:pStyle w:val="Paragrdouble"/>
        <w:tabs>
          <w:tab w:val="clear" w:pos="360"/>
        </w:tabs>
        <w:spacing w:line="240" w:lineRule="auto"/>
        <w:ind w:left="709" w:right="715"/>
        <w:rPr>
          <w:rFonts w:ascii="Arial" w:hAnsi="Arial" w:cs="Arial"/>
        </w:rPr>
      </w:pPr>
      <w:bookmarkStart w:id="6" w:name="_Hlk122502124"/>
      <w:r w:rsidRPr="00632B6C">
        <w:t>[</w:t>
      </w:r>
      <w:r w:rsidRPr="008656E3">
        <w:rPr>
          <w:rFonts w:ascii="Arial" w:hAnsi="Arial" w:cs="Arial"/>
          <w:sz w:val="22"/>
          <w:szCs w:val="22"/>
        </w:rPr>
        <w:t>155</w:t>
      </w:r>
      <w:r w:rsidRPr="00632B6C">
        <w:t>]</w:t>
      </w:r>
      <w:r w:rsidRPr="00632B6C">
        <w:tab/>
      </w:r>
      <w:bookmarkStart w:id="7" w:name="_Hlk122502371"/>
      <w:bookmarkStart w:id="8" w:name="_Hlk121211546"/>
      <w:r w:rsidR="008656E3" w:rsidRPr="008656E3">
        <w:rPr>
          <w:rFonts w:ascii="Arial" w:hAnsi="Arial" w:cs="Arial"/>
          <w:sz w:val="22"/>
          <w:szCs w:val="22"/>
        </w:rPr>
        <w:t xml:space="preserve">A problem exists, therefore, because the plaintiffs’ evidence on causality assumes that they had a strict right to receive all of the information contained in the land registry and the related documents. </w:t>
      </w:r>
      <w:r w:rsidR="008656E3" w:rsidRPr="008656E3">
        <w:rPr>
          <w:rFonts w:ascii="Arial" w:hAnsi="Arial" w:cs="Arial"/>
          <w:sz w:val="22"/>
          <w:szCs w:val="22"/>
          <w:u w:val="single"/>
        </w:rPr>
        <w:t>According to the evidence adduced by Mtre Millowitz’s notarial expert, which the Court accepts on this point, it is possible to believe that the notary concluded, after consulting the land registry and the official acts and a discussion with the developer, that there were no adverse entries or real or imminent danger based on the financing. As a result, Mtre Millowitz was under no obligation to communicate with each plaintiff or to communicate the information appearing in the land registry prior to disbursing the deposits, as provided in and permitted by the preliminary contract</w:t>
      </w:r>
      <w:r w:rsidR="008656E3" w:rsidRPr="008656E3">
        <w:rPr>
          <w:rFonts w:ascii="Arial" w:hAnsi="Arial" w:cs="Arial"/>
          <w:sz w:val="22"/>
          <w:szCs w:val="22"/>
        </w:rPr>
        <w:t>.</w:t>
      </w:r>
    </w:p>
    <w:bookmarkEnd w:id="6"/>
    <w:bookmarkEnd w:id="7"/>
    <w:bookmarkEnd w:id="8"/>
    <w:p w14:paraId="633E996B" w14:textId="62141292" w:rsidR="00B2165C" w:rsidRPr="00632B6C" w:rsidRDefault="005B3B9F" w:rsidP="00D7575B">
      <w:pPr>
        <w:pStyle w:val="Citationenretrait"/>
        <w:spacing w:after="0"/>
        <w:rPr>
          <w:lang w:val="en-CA"/>
        </w:rPr>
      </w:pPr>
      <w:r w:rsidRPr="00632B6C">
        <w:rPr>
          <w:lang w:val="en-CA"/>
        </w:rPr>
        <w:t>…</w:t>
      </w:r>
    </w:p>
    <w:p w14:paraId="73908E7C" w14:textId="395B180F" w:rsidR="00B2165C" w:rsidRPr="00632B6C" w:rsidRDefault="005B3B9F" w:rsidP="00324897">
      <w:pPr>
        <w:pStyle w:val="Citationenretrait"/>
        <w:rPr>
          <w:szCs w:val="22"/>
          <w:lang w:val="en-CA"/>
        </w:rPr>
      </w:pPr>
      <w:r w:rsidRPr="00632B6C">
        <w:rPr>
          <w:szCs w:val="22"/>
          <w:lang w:val="en-CA"/>
        </w:rPr>
        <w:t>[162]</w:t>
      </w:r>
      <w:r w:rsidRPr="00632B6C">
        <w:rPr>
          <w:szCs w:val="22"/>
          <w:lang w:val="en-CA"/>
        </w:rPr>
        <w:tab/>
      </w:r>
      <w:r w:rsidR="008656E3" w:rsidRPr="008656E3">
        <w:rPr>
          <w:rFonts w:cs="Arial"/>
          <w:lang w:val="en-CA"/>
        </w:rPr>
        <w:t xml:space="preserve">In addition, the plaintiffs did not </w:t>
      </w:r>
      <w:r w:rsidR="00570890">
        <w:rPr>
          <w:rFonts w:cs="Arial"/>
          <w:lang w:val="en-CA"/>
        </w:rPr>
        <w:t xml:space="preserve">inquire further into </w:t>
      </w:r>
      <w:r w:rsidR="008656E3" w:rsidRPr="008656E3">
        <w:rPr>
          <w:rFonts w:cs="Arial"/>
          <w:lang w:val="en-CA"/>
        </w:rPr>
        <w:t xml:space="preserve">the issue of the actions of the bank that was to finance the project. </w:t>
      </w:r>
      <w:r w:rsidR="008656E3" w:rsidRPr="008656E3">
        <w:rPr>
          <w:rFonts w:cs="Arial"/>
          <w:u w:val="single"/>
          <w:lang w:val="en-CA"/>
        </w:rPr>
        <w:t>Yet, the bank’s intentions concerning the financing appear to be at the heart of the plaintiffs’ concerns, the reason they argue that it was the obligation of the notary and/or GIR to confirm that the financing offered was satisfactory and that that the project did not represent a financial risk at the time</w:t>
      </w:r>
      <w:r w:rsidR="00673940" w:rsidRPr="00632B6C">
        <w:rPr>
          <w:szCs w:val="22"/>
          <w:lang w:val="en-CA"/>
        </w:rPr>
        <w:t>.</w:t>
      </w:r>
      <w:r w:rsidR="00673940" w:rsidRPr="00632B6C">
        <w:rPr>
          <w:szCs w:val="22"/>
          <w:u w:val="single"/>
          <w:lang w:val="en-CA"/>
        </w:rPr>
        <w:t xml:space="preserve"> </w:t>
      </w:r>
    </w:p>
    <w:p w14:paraId="0BB72B7A" w14:textId="5C546EE7" w:rsidR="00B2165C" w:rsidRPr="00632B6C" w:rsidRDefault="005B3B9F" w:rsidP="00324897">
      <w:pPr>
        <w:pStyle w:val="Citationenretrait"/>
        <w:rPr>
          <w:szCs w:val="22"/>
          <w:lang w:val="en-CA"/>
        </w:rPr>
      </w:pPr>
      <w:r w:rsidRPr="00632B6C">
        <w:rPr>
          <w:szCs w:val="22"/>
          <w:lang w:val="en-CA"/>
        </w:rPr>
        <w:t>[163]</w:t>
      </w:r>
      <w:r w:rsidRPr="00632B6C">
        <w:rPr>
          <w:szCs w:val="22"/>
          <w:lang w:val="en-CA"/>
        </w:rPr>
        <w:tab/>
      </w:r>
      <w:r w:rsidR="008656E3" w:rsidRPr="008656E3">
        <w:rPr>
          <w:rFonts w:cs="Arial"/>
          <w:lang w:val="en-CA"/>
        </w:rPr>
        <w:t xml:space="preserve">In the fall of 2013 and the months that followed, </w:t>
      </w:r>
      <w:r w:rsidR="008656E3" w:rsidRPr="008656E3">
        <w:rPr>
          <w:rFonts w:cs="Arial"/>
          <w:u w:val="single"/>
          <w:lang w:val="en-CA"/>
        </w:rPr>
        <w:t>the National Bank appears to have been bound by a series of financial offers</w:t>
      </w:r>
      <w:r w:rsidR="00570890">
        <w:rPr>
          <w:rFonts w:cs="Arial"/>
          <w:u w:val="single"/>
          <w:lang w:val="en-CA"/>
        </w:rPr>
        <w:t>,</w:t>
      </w:r>
      <w:r w:rsidR="008656E3" w:rsidRPr="008656E3">
        <w:rPr>
          <w:rFonts w:cs="Arial"/>
          <w:u w:val="single"/>
          <w:lang w:val="en-CA"/>
        </w:rPr>
        <w:t xml:space="preserve"> and it signed and eventually published a hypothec dated May 5, 2014. It requested cancellation of that hypothec only on January 15, 2015. The bank representative that testified confirmed that the bank knew the history of the Point Z</w:t>
      </w:r>
      <w:r w:rsidR="00570890">
        <w:rPr>
          <w:rFonts w:cs="Arial"/>
          <w:u w:val="single"/>
          <w:lang w:val="en-CA"/>
        </w:rPr>
        <w:t>é</w:t>
      </w:r>
      <w:r w:rsidR="008656E3" w:rsidRPr="008656E3">
        <w:rPr>
          <w:rFonts w:cs="Arial"/>
          <w:u w:val="single"/>
          <w:lang w:val="en-CA"/>
        </w:rPr>
        <w:t>ro financing in August 2012 and 2013 and simply intended to bring on a more affordable mezzanine lender</w:t>
      </w:r>
      <w:r w:rsidR="00673940" w:rsidRPr="002920C3">
        <w:rPr>
          <w:szCs w:val="22"/>
          <w:lang w:val="en-CA"/>
        </w:rPr>
        <w:t>.</w:t>
      </w:r>
    </w:p>
    <w:p w14:paraId="0D0BA7B0" w14:textId="2E2F6F8F" w:rsidR="00B2165C" w:rsidRPr="00632B6C" w:rsidRDefault="005B3B9F" w:rsidP="00324897">
      <w:pPr>
        <w:pStyle w:val="Citationenretrait"/>
        <w:rPr>
          <w:szCs w:val="22"/>
          <w:lang w:val="en-CA"/>
        </w:rPr>
      </w:pPr>
      <w:r w:rsidRPr="00632B6C">
        <w:rPr>
          <w:szCs w:val="22"/>
          <w:lang w:val="en-CA"/>
        </w:rPr>
        <w:t>[164]</w:t>
      </w:r>
      <w:r w:rsidRPr="00632B6C">
        <w:rPr>
          <w:szCs w:val="22"/>
          <w:lang w:val="en-CA"/>
        </w:rPr>
        <w:tab/>
      </w:r>
      <w:r w:rsidR="008656E3" w:rsidRPr="008656E3">
        <w:rPr>
          <w:rFonts w:cs="Arial"/>
          <w:u w:val="single"/>
          <w:lang w:val="en-CA"/>
        </w:rPr>
        <w:t xml:space="preserve">Therefore, during the fateful period where the plaintiffs claim to have been extremely worried about the financing, the National Bank was present and appears to have been entirely ready to finance the project. Had the plaintiffs sought additional information on the principal lender’s intentions for the project, the Court </w:t>
      </w:r>
      <w:r w:rsidR="008656E3" w:rsidRPr="008656E3">
        <w:rPr>
          <w:rFonts w:cs="Arial"/>
          <w:u w:val="single"/>
          <w:lang w:val="en-CA"/>
        </w:rPr>
        <w:lastRenderedPageBreak/>
        <w:t>must find that this information would have reassured the promissory buyers</w:t>
      </w:r>
      <w:r w:rsidR="00740CE8">
        <w:rPr>
          <w:rFonts w:cs="Arial"/>
          <w:u w:val="single"/>
          <w:lang w:val="en-CA"/>
        </w:rPr>
        <w:t>,</w:t>
      </w:r>
      <w:r w:rsidR="008656E3" w:rsidRPr="008656E3">
        <w:rPr>
          <w:rFonts w:cs="Arial"/>
          <w:u w:val="single"/>
          <w:lang w:val="en-CA"/>
        </w:rPr>
        <w:t xml:space="preserve"> rather than doing the opposite</w:t>
      </w:r>
      <w:r w:rsidR="00673940" w:rsidRPr="002920C3">
        <w:rPr>
          <w:szCs w:val="22"/>
          <w:lang w:val="en-CA"/>
        </w:rPr>
        <w:t>.</w:t>
      </w:r>
    </w:p>
    <w:p w14:paraId="132CBF8A" w14:textId="6CD77A0B" w:rsidR="00B2165C" w:rsidRPr="00632B6C" w:rsidRDefault="005B3B9F" w:rsidP="00324897">
      <w:pPr>
        <w:pStyle w:val="Citationenretrait"/>
        <w:tabs>
          <w:tab w:val="left" w:pos="1418"/>
        </w:tabs>
        <w:rPr>
          <w:szCs w:val="22"/>
          <w:lang w:val="en-CA"/>
        </w:rPr>
      </w:pPr>
      <w:r w:rsidRPr="00632B6C">
        <w:rPr>
          <w:szCs w:val="22"/>
          <w:lang w:val="en-CA"/>
        </w:rPr>
        <w:t>[165]</w:t>
      </w:r>
      <w:r w:rsidRPr="00632B6C">
        <w:rPr>
          <w:szCs w:val="22"/>
          <w:lang w:val="en-CA"/>
        </w:rPr>
        <w:tab/>
      </w:r>
      <w:r w:rsidR="008656E3" w:rsidRPr="008656E3">
        <w:rPr>
          <w:rFonts w:cs="Arial"/>
          <w:lang w:val="en-CA"/>
        </w:rPr>
        <w:t xml:space="preserve">The representative explained the main reason the project did not go ahead, that is, the logical, direct, and immediate cause of the plaintiffs’ damages. </w:t>
      </w:r>
      <w:r w:rsidR="008656E3" w:rsidRPr="008656E3">
        <w:rPr>
          <w:rFonts w:cs="Arial"/>
          <w:u w:val="single"/>
          <w:lang w:val="en-CA"/>
        </w:rPr>
        <w:t>The project was aborted due to the withdrawal of the National Bank, citing internal rules not stipulated in the financing offers, with respect to the pre-sale of the units that it claimed were not eligible for inclusion in the capital required for financing</w:t>
      </w:r>
      <w:r w:rsidR="008656E3" w:rsidRPr="008656E3">
        <w:rPr>
          <w:rFonts w:cs="Arial"/>
          <w:lang w:val="en-CA"/>
        </w:rPr>
        <w:t xml:space="preserve">. Pre-sales had to reach 75% of the units, i.e. 38 units out of 54, for a total of $37,159,870. </w:t>
      </w:r>
      <w:r w:rsidR="008656E3" w:rsidRPr="008656E3">
        <w:rPr>
          <w:rFonts w:cs="Arial"/>
          <w:u w:val="single"/>
          <w:lang w:val="en-CA"/>
        </w:rPr>
        <w:t>However, although it was not indicated in the financing offers, the internal rules of the bank excluded any sales conditional upon the sale of another immovable, sales without deposits, sales with no confirmation of the lender’s identity, and sales to persons possibly related to the project, such as the builder or the owner of Point Z</w:t>
      </w:r>
      <w:r w:rsidR="00740CE8">
        <w:rPr>
          <w:rFonts w:cs="Arial"/>
          <w:u w:val="single"/>
          <w:lang w:val="en-CA"/>
        </w:rPr>
        <w:t>é</w:t>
      </w:r>
      <w:r w:rsidR="008656E3" w:rsidRPr="008656E3">
        <w:rPr>
          <w:rFonts w:cs="Arial"/>
          <w:u w:val="single"/>
          <w:lang w:val="en-CA"/>
        </w:rPr>
        <w:t>ro, the [</w:t>
      </w:r>
      <w:r w:rsidR="008656E3" w:rsidRPr="008656E3">
        <w:rPr>
          <w:rFonts w:cs="Arial"/>
          <w:smallCaps/>
          <w:u w:val="single"/>
          <w:lang w:val="en-CA"/>
        </w:rPr>
        <w:t>translation]</w:t>
      </w:r>
      <w:r w:rsidR="008656E3" w:rsidRPr="008656E3">
        <w:rPr>
          <w:rFonts w:cs="Arial"/>
          <w:u w:val="single"/>
          <w:lang w:val="en-CA"/>
        </w:rPr>
        <w:t xml:space="preserve"> “problematic lender”, who believed in the project enough to have invested in it</w:t>
      </w:r>
      <w:r w:rsidR="00673940" w:rsidRPr="002920C3">
        <w:rPr>
          <w:szCs w:val="22"/>
          <w:lang w:val="en-CA"/>
        </w:rPr>
        <w:t>.</w:t>
      </w:r>
    </w:p>
    <w:p w14:paraId="36BCD83E" w14:textId="31A7581B" w:rsidR="00B2165C" w:rsidRPr="00632B6C" w:rsidRDefault="005B3B9F" w:rsidP="00D7575B">
      <w:pPr>
        <w:pStyle w:val="Citationenretrait"/>
        <w:tabs>
          <w:tab w:val="left" w:pos="1418"/>
        </w:tabs>
        <w:spacing w:after="0"/>
        <w:rPr>
          <w:szCs w:val="22"/>
          <w:lang w:val="en-CA"/>
        </w:rPr>
      </w:pPr>
      <w:r w:rsidRPr="00632B6C">
        <w:rPr>
          <w:szCs w:val="22"/>
          <w:lang w:val="en-CA"/>
        </w:rPr>
        <w:t>[166]</w:t>
      </w:r>
      <w:r w:rsidRPr="00632B6C">
        <w:rPr>
          <w:szCs w:val="22"/>
          <w:lang w:val="en-CA"/>
        </w:rPr>
        <w:tab/>
      </w:r>
      <w:r w:rsidR="008656E3" w:rsidRPr="008656E3">
        <w:rPr>
          <w:rFonts w:cs="Arial"/>
          <w:lang w:val="en-CA"/>
        </w:rPr>
        <w:t>This information on the “quality” of the pre-sales was available in the preliminary contracts</w:t>
      </w:r>
      <w:r w:rsidR="00740CE8">
        <w:rPr>
          <w:rFonts w:cs="Arial"/>
          <w:lang w:val="en-CA"/>
        </w:rPr>
        <w:t>,</w:t>
      </w:r>
      <w:r w:rsidR="008656E3" w:rsidRPr="008656E3">
        <w:rPr>
          <w:rFonts w:cs="Arial"/>
          <w:lang w:val="en-CA"/>
        </w:rPr>
        <w:t xml:space="preserve"> and the Court </w:t>
      </w:r>
      <w:r w:rsidR="00740CE8">
        <w:rPr>
          <w:rFonts w:cs="Arial"/>
          <w:lang w:val="en-CA"/>
        </w:rPr>
        <w:t xml:space="preserve">has </w:t>
      </w:r>
      <w:r w:rsidR="008656E3" w:rsidRPr="008656E3">
        <w:rPr>
          <w:rFonts w:cs="Arial"/>
          <w:lang w:val="en-CA"/>
        </w:rPr>
        <w:t>received no indication as to why the bank took so long to declare that it did not satisfy its internal rules</w:t>
      </w:r>
      <w:r w:rsidR="00673940" w:rsidRPr="00632B6C">
        <w:rPr>
          <w:szCs w:val="22"/>
          <w:lang w:val="en-CA"/>
        </w:rPr>
        <w:t>.</w:t>
      </w:r>
    </w:p>
    <w:p w14:paraId="05C08477" w14:textId="101CC6A9" w:rsidR="00B2165C" w:rsidRPr="00632B6C" w:rsidRDefault="00673940" w:rsidP="00D7575B">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 references omitted]</w:t>
      </w:r>
    </w:p>
    <w:p w14:paraId="45A676B6" w14:textId="33208ECD" w:rsidR="00B2165C" w:rsidRPr="00632B6C" w:rsidRDefault="00673940" w:rsidP="00324897">
      <w:pPr>
        <w:pStyle w:val="Paragraphe"/>
        <w:tabs>
          <w:tab w:val="clear" w:pos="720"/>
          <w:tab w:val="num" w:pos="709"/>
        </w:tabs>
        <w:spacing w:line="240" w:lineRule="auto"/>
        <w:rPr>
          <w:lang w:val="en-CA"/>
        </w:rPr>
      </w:pPr>
      <w:r w:rsidRPr="00632B6C">
        <w:rPr>
          <w:lang w:val="en-CA"/>
        </w:rPr>
        <w:t>The judge’s conclusion was based primarily on the testimony of expert notary Collins, who stated:</w:t>
      </w:r>
    </w:p>
    <w:p w14:paraId="7AA74F12" w14:textId="7F916823" w:rsidR="008663B5" w:rsidRPr="00632B6C" w:rsidRDefault="008663B5" w:rsidP="00324897">
      <w:pPr>
        <w:pStyle w:val="Citationenretrait"/>
        <w:rPr>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1E2507C6" w14:textId="4D54A257" w:rsidR="00B2165C" w:rsidRPr="00632B6C" w:rsidRDefault="005B3B9F" w:rsidP="00324897">
      <w:pPr>
        <w:pStyle w:val="Citationenretrait"/>
        <w:rPr>
          <w:lang w:val="en-CA"/>
        </w:rPr>
      </w:pPr>
      <w:r w:rsidRPr="00632B6C">
        <w:rPr>
          <w:lang w:val="en-CA"/>
        </w:rPr>
        <w:t xml:space="preserve">Q. </w:t>
      </w:r>
      <w:r w:rsidR="00673940" w:rsidRPr="00632B6C">
        <w:rPr>
          <w:lang w:val="en-CA"/>
        </w:rPr>
        <w:t xml:space="preserve">Now, we know that one of the issues in this case is the Point Zéro hypothec, but more </w:t>
      </w:r>
      <w:r w:rsidR="00717771">
        <w:rPr>
          <w:lang w:val="en-CA"/>
        </w:rPr>
        <w:t>particular</w:t>
      </w:r>
      <w:r w:rsidR="00673940" w:rsidRPr="00632B6C">
        <w:rPr>
          <w:lang w:val="en-CA"/>
        </w:rPr>
        <w:t>ly the amendment to th</w:t>
      </w:r>
      <w:r w:rsidR="00717771">
        <w:rPr>
          <w:lang w:val="en-CA"/>
        </w:rPr>
        <w:t>e</w:t>
      </w:r>
      <w:r w:rsidR="00673940" w:rsidRPr="00632B6C">
        <w:rPr>
          <w:lang w:val="en-CA"/>
        </w:rPr>
        <w:t xml:space="preserve"> hypothec’s term on August 29, 2013.</w:t>
      </w:r>
    </w:p>
    <w:p w14:paraId="0DA800BD" w14:textId="0EA7C6B4" w:rsidR="00B2165C" w:rsidRPr="00632B6C" w:rsidRDefault="00673940" w:rsidP="00324897">
      <w:pPr>
        <w:pStyle w:val="Citationenretrait"/>
        <w:rPr>
          <w:lang w:val="en-CA"/>
        </w:rPr>
      </w:pPr>
      <w:r w:rsidRPr="00632B6C">
        <w:rPr>
          <w:lang w:val="en-CA"/>
        </w:rPr>
        <w:t>A.</w:t>
      </w:r>
      <w:r w:rsidR="005B3B9F" w:rsidRPr="00632B6C">
        <w:rPr>
          <w:lang w:val="en-CA"/>
        </w:rPr>
        <w:t xml:space="preserve"> </w:t>
      </w:r>
      <w:r w:rsidR="00B05108">
        <w:rPr>
          <w:lang w:val="en-CA"/>
        </w:rPr>
        <w:t>Uh-huh</w:t>
      </w:r>
      <w:r w:rsidRPr="00632B6C">
        <w:rPr>
          <w:lang w:val="en-CA"/>
        </w:rPr>
        <w:t>.</w:t>
      </w:r>
    </w:p>
    <w:p w14:paraId="013102EB" w14:textId="557E976B" w:rsidR="00B2165C" w:rsidRPr="00632B6C" w:rsidRDefault="005B3B9F" w:rsidP="00324897">
      <w:pPr>
        <w:pStyle w:val="Citationenretrait"/>
        <w:rPr>
          <w:lang w:val="en-CA"/>
        </w:rPr>
      </w:pPr>
      <w:r w:rsidRPr="00632B6C">
        <w:rPr>
          <w:lang w:val="en-CA"/>
        </w:rPr>
        <w:t xml:space="preserve">Q. </w:t>
      </w:r>
      <w:r w:rsidR="00673940" w:rsidRPr="00632B6C">
        <w:rPr>
          <w:lang w:val="en-CA"/>
        </w:rPr>
        <w:t>The term was November 8, 2013, and the interest for that period was now 24%.</w:t>
      </w:r>
    </w:p>
    <w:p w14:paraId="5049A3F2" w14:textId="3EACD180" w:rsidR="00B2165C" w:rsidRPr="00632B6C" w:rsidRDefault="005B3B9F" w:rsidP="00324897">
      <w:pPr>
        <w:pStyle w:val="Citationenretrait"/>
        <w:rPr>
          <w:lang w:val="en-CA"/>
        </w:rPr>
      </w:pPr>
      <w:r w:rsidRPr="00632B6C">
        <w:rPr>
          <w:lang w:val="en-CA"/>
        </w:rPr>
        <w:t>…</w:t>
      </w:r>
    </w:p>
    <w:p w14:paraId="34236C0F" w14:textId="7483CE44" w:rsidR="00B2165C" w:rsidRPr="00632B6C" w:rsidRDefault="005B3B9F" w:rsidP="00324897">
      <w:pPr>
        <w:pStyle w:val="Citationenretrait"/>
        <w:rPr>
          <w:lang w:val="en-CA"/>
        </w:rPr>
      </w:pPr>
      <w:r w:rsidRPr="00632B6C">
        <w:rPr>
          <w:lang w:val="en-CA"/>
        </w:rPr>
        <w:t xml:space="preserve">Q. </w:t>
      </w:r>
      <w:r w:rsidR="00673940" w:rsidRPr="00632B6C">
        <w:rPr>
          <w:lang w:val="en-CA"/>
        </w:rPr>
        <w:t>O.K. And from this perspective, we</w:t>
      </w:r>
      <w:r w:rsidR="000049FB">
        <w:rPr>
          <w:lang w:val="en-CA"/>
        </w:rPr>
        <w:t>’</w:t>
      </w:r>
      <w:r w:rsidR="00673940" w:rsidRPr="00632B6C">
        <w:rPr>
          <w:lang w:val="en-CA"/>
        </w:rPr>
        <w:t xml:space="preserve">ll presume for </w:t>
      </w:r>
      <w:r w:rsidR="00B05108">
        <w:rPr>
          <w:lang w:val="en-CA"/>
        </w:rPr>
        <w:t>a moment</w:t>
      </w:r>
      <w:r w:rsidR="00673940" w:rsidRPr="00632B6C">
        <w:rPr>
          <w:lang w:val="en-CA"/>
        </w:rPr>
        <w:t xml:space="preserve"> that you not only looked at the index of immovables but also </w:t>
      </w:r>
      <w:r w:rsidR="000049FB">
        <w:rPr>
          <w:lang w:val="en-CA"/>
        </w:rPr>
        <w:t xml:space="preserve">read </w:t>
      </w:r>
      <w:r w:rsidR="00673940" w:rsidRPr="00632B6C">
        <w:rPr>
          <w:lang w:val="en-CA"/>
        </w:rPr>
        <w:t xml:space="preserve">the content of this </w:t>
      </w:r>
      <w:r w:rsidR="000049FB">
        <w:rPr>
          <w:lang w:val="en-CA"/>
        </w:rPr>
        <w:t xml:space="preserve">term </w:t>
      </w:r>
      <w:r w:rsidR="00673940" w:rsidRPr="00632B6C">
        <w:rPr>
          <w:lang w:val="en-CA"/>
        </w:rPr>
        <w:t xml:space="preserve">amendment, what would you have done </w:t>
      </w:r>
      <w:r w:rsidR="000049FB">
        <w:rPr>
          <w:lang w:val="en-CA"/>
        </w:rPr>
        <w:t xml:space="preserve">given </w:t>
      </w:r>
      <w:r w:rsidR="00673940" w:rsidRPr="00632B6C">
        <w:rPr>
          <w:lang w:val="en-CA"/>
        </w:rPr>
        <w:t>this information?</w:t>
      </w:r>
    </w:p>
    <w:p w14:paraId="4DF54507" w14:textId="48B13899"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t>
      </w:r>
      <w:r w:rsidRPr="00632B6C">
        <w:rPr>
          <w:szCs w:val="22"/>
          <w:lang w:val="en-CA"/>
        </w:rPr>
        <w:t xml:space="preserve">The first thing </w:t>
      </w:r>
      <w:r w:rsidR="000049FB">
        <w:rPr>
          <w:szCs w:val="22"/>
          <w:lang w:val="en-CA"/>
        </w:rPr>
        <w:t xml:space="preserve">I </w:t>
      </w:r>
      <w:r w:rsidRPr="00632B6C">
        <w:rPr>
          <w:szCs w:val="22"/>
          <w:lang w:val="en-CA"/>
        </w:rPr>
        <w:t xml:space="preserve">would have </w:t>
      </w:r>
      <w:r w:rsidR="000049FB">
        <w:rPr>
          <w:szCs w:val="22"/>
          <w:lang w:val="en-CA"/>
        </w:rPr>
        <w:t xml:space="preserve">done </w:t>
      </w:r>
      <w:r w:rsidR="00B05108">
        <w:rPr>
          <w:szCs w:val="22"/>
          <w:lang w:val="en-CA"/>
        </w:rPr>
        <w:t xml:space="preserve">would have been </w:t>
      </w:r>
      <w:r w:rsidRPr="00632B6C">
        <w:rPr>
          <w:szCs w:val="22"/>
          <w:lang w:val="en-CA"/>
        </w:rPr>
        <w:t xml:space="preserve">to speak with the </w:t>
      </w:r>
      <w:r w:rsidR="00AA01D2">
        <w:rPr>
          <w:szCs w:val="22"/>
          <w:lang w:val="en-CA"/>
        </w:rPr>
        <w:t>developer</w:t>
      </w:r>
      <w:r w:rsidRPr="00632B6C">
        <w:rPr>
          <w:szCs w:val="22"/>
          <w:lang w:val="en-CA"/>
        </w:rPr>
        <w:t xml:space="preserve">, to understand what </w:t>
      </w:r>
      <w:r w:rsidR="00C90A9E">
        <w:rPr>
          <w:szCs w:val="22"/>
          <w:lang w:val="en-CA"/>
        </w:rPr>
        <w:t xml:space="preserve">the situation </w:t>
      </w:r>
      <w:r w:rsidRPr="00632B6C">
        <w:rPr>
          <w:szCs w:val="22"/>
          <w:lang w:val="en-CA"/>
        </w:rPr>
        <w:t>was.</w:t>
      </w:r>
      <w:r w:rsidR="005B3B9F" w:rsidRPr="00632B6C">
        <w:rPr>
          <w:szCs w:val="22"/>
          <w:lang w:val="en-CA"/>
        </w:rPr>
        <w:t xml:space="preserve"> </w:t>
      </w:r>
      <w:r w:rsidRPr="00632B6C">
        <w:rPr>
          <w:szCs w:val="22"/>
          <w:lang w:val="en-CA"/>
        </w:rPr>
        <w:t>I would have analyzed it.</w:t>
      </w:r>
      <w:r w:rsidR="005B3B9F" w:rsidRPr="00632B6C">
        <w:rPr>
          <w:szCs w:val="22"/>
          <w:lang w:val="en-CA"/>
        </w:rPr>
        <w:t xml:space="preserve"> </w:t>
      </w:r>
      <w:r w:rsidRPr="00632B6C">
        <w:rPr>
          <w:szCs w:val="22"/>
          <w:u w:val="single"/>
          <w:lang w:val="en-CA"/>
        </w:rPr>
        <w:t xml:space="preserve">But I always </w:t>
      </w:r>
      <w:r w:rsidR="000049FB">
        <w:rPr>
          <w:szCs w:val="22"/>
          <w:u w:val="single"/>
          <w:lang w:val="en-CA"/>
        </w:rPr>
        <w:t xml:space="preserve">return </w:t>
      </w:r>
      <w:r w:rsidRPr="00632B6C">
        <w:rPr>
          <w:szCs w:val="22"/>
          <w:u w:val="single"/>
          <w:lang w:val="en-CA"/>
        </w:rPr>
        <w:t>to what’s the purpose?</w:t>
      </w:r>
      <w:r w:rsidR="005B3B9F" w:rsidRPr="00632B6C">
        <w:rPr>
          <w:szCs w:val="22"/>
          <w:u w:val="single"/>
          <w:lang w:val="en-CA"/>
        </w:rPr>
        <w:t xml:space="preserve"> </w:t>
      </w:r>
      <w:r w:rsidRPr="00632B6C">
        <w:rPr>
          <w:szCs w:val="22"/>
          <w:u w:val="single"/>
          <w:lang w:val="en-CA"/>
        </w:rPr>
        <w:t xml:space="preserve">I get the index of immovables, I look at the entries, </w:t>
      </w:r>
      <w:r w:rsidR="00F06DBB">
        <w:rPr>
          <w:szCs w:val="22"/>
          <w:u w:val="single"/>
          <w:lang w:val="en-CA"/>
        </w:rPr>
        <w:t xml:space="preserve">there’s </w:t>
      </w:r>
      <w:r w:rsidRPr="00632B6C">
        <w:rPr>
          <w:szCs w:val="22"/>
          <w:u w:val="single"/>
          <w:lang w:val="en-CA"/>
        </w:rPr>
        <w:t>a new entry.</w:t>
      </w:r>
      <w:r w:rsidR="005B3B9F" w:rsidRPr="00632B6C">
        <w:rPr>
          <w:szCs w:val="22"/>
          <w:u w:val="single"/>
          <w:lang w:val="en-CA"/>
        </w:rPr>
        <w:t xml:space="preserve"> </w:t>
      </w:r>
      <w:r w:rsidRPr="00632B6C">
        <w:rPr>
          <w:szCs w:val="22"/>
          <w:u w:val="single"/>
          <w:lang w:val="en-CA"/>
        </w:rPr>
        <w:t>Is it an adverse entry?</w:t>
      </w:r>
      <w:r w:rsidR="005B3B9F" w:rsidRPr="00632B6C">
        <w:rPr>
          <w:szCs w:val="22"/>
          <w:u w:val="single"/>
          <w:lang w:val="en-CA"/>
        </w:rPr>
        <w:t xml:space="preserve"> </w:t>
      </w:r>
      <w:r w:rsidRPr="00632B6C">
        <w:rPr>
          <w:szCs w:val="22"/>
          <w:u w:val="single"/>
          <w:lang w:val="en-CA"/>
        </w:rPr>
        <w:t xml:space="preserve">In this case, it was a renewal, a renewal with less favourable conditions than the </w:t>
      </w:r>
      <w:r w:rsidR="000049FB">
        <w:rPr>
          <w:szCs w:val="22"/>
          <w:u w:val="single"/>
          <w:lang w:val="en-CA"/>
        </w:rPr>
        <w:t xml:space="preserve">original </w:t>
      </w:r>
      <w:r w:rsidRPr="00632B6C">
        <w:rPr>
          <w:szCs w:val="22"/>
          <w:u w:val="single"/>
          <w:lang w:val="en-CA"/>
        </w:rPr>
        <w:t>loan.</w:t>
      </w:r>
      <w:r w:rsidR="005B3B9F" w:rsidRPr="00632B6C">
        <w:rPr>
          <w:szCs w:val="22"/>
          <w:u w:val="single"/>
          <w:lang w:val="en-CA"/>
        </w:rPr>
        <w:t xml:space="preserve"> </w:t>
      </w:r>
      <w:r w:rsidRPr="00632B6C">
        <w:rPr>
          <w:szCs w:val="22"/>
          <w:u w:val="single"/>
          <w:lang w:val="en-CA"/>
        </w:rPr>
        <w:t>So I say, okay, the situation...</w:t>
      </w:r>
    </w:p>
    <w:p w14:paraId="5566059E" w14:textId="6078F4C3" w:rsidR="00B2165C" w:rsidRPr="00632B6C" w:rsidRDefault="00673940" w:rsidP="00324897">
      <w:pPr>
        <w:pStyle w:val="Citationenretrait"/>
        <w:rPr>
          <w:szCs w:val="22"/>
          <w:lang w:val="en-CA"/>
        </w:rPr>
      </w:pPr>
      <w:r w:rsidRPr="00632B6C">
        <w:rPr>
          <w:szCs w:val="22"/>
          <w:lang w:val="en-CA"/>
        </w:rPr>
        <w:lastRenderedPageBreak/>
        <w:t>THE COURT:</w:t>
      </w:r>
    </w:p>
    <w:p w14:paraId="45F263B4" w14:textId="4412DE37" w:rsidR="00B2165C" w:rsidRPr="00632B6C" w:rsidRDefault="005B3B9F" w:rsidP="00324897">
      <w:pPr>
        <w:pStyle w:val="Citationenretrait"/>
        <w:rPr>
          <w:szCs w:val="22"/>
          <w:lang w:val="en-CA"/>
        </w:rPr>
      </w:pPr>
      <w:r w:rsidRPr="00632B6C">
        <w:rPr>
          <w:szCs w:val="22"/>
          <w:lang w:val="en-CA"/>
        </w:rPr>
        <w:t xml:space="preserve">Q. </w:t>
      </w:r>
      <w:r w:rsidR="00673940" w:rsidRPr="00632B6C">
        <w:rPr>
          <w:szCs w:val="22"/>
          <w:lang w:val="en-CA"/>
        </w:rPr>
        <w:t xml:space="preserve">But </w:t>
      </w:r>
      <w:r w:rsidR="000049FB">
        <w:rPr>
          <w:szCs w:val="22"/>
          <w:lang w:val="en-CA"/>
        </w:rPr>
        <w:t>in your opinion</w:t>
      </w:r>
      <w:r w:rsidR="00673940" w:rsidRPr="00632B6C">
        <w:rPr>
          <w:szCs w:val="22"/>
          <w:lang w:val="en-CA"/>
        </w:rPr>
        <w:t>, was it adverse or not?</w:t>
      </w:r>
    </w:p>
    <w:p w14:paraId="7EE7BA0B" w14:textId="22E3D007"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t>
      </w:r>
      <w:r w:rsidR="008663B5" w:rsidRPr="00632B6C">
        <w:rPr>
          <w:szCs w:val="22"/>
          <w:u w:val="single"/>
          <w:lang w:val="en-CA"/>
        </w:rPr>
        <w:t>In my opinion</w:t>
      </w:r>
      <w:r w:rsidRPr="00632B6C">
        <w:rPr>
          <w:szCs w:val="22"/>
          <w:u w:val="single"/>
          <w:lang w:val="en-CA"/>
        </w:rPr>
        <w:t>, it was not an adverse entry.</w:t>
      </w:r>
    </w:p>
    <w:p w14:paraId="1AD9270B" w14:textId="77777777" w:rsidR="00B2165C" w:rsidRPr="00632B6C" w:rsidRDefault="005B3B9F" w:rsidP="00324897">
      <w:pPr>
        <w:pStyle w:val="Citationenretrait"/>
        <w:rPr>
          <w:szCs w:val="22"/>
          <w:lang w:val="en-CA"/>
        </w:rPr>
      </w:pPr>
      <w:r w:rsidRPr="00632B6C">
        <w:rPr>
          <w:szCs w:val="22"/>
          <w:lang w:val="en-CA"/>
        </w:rPr>
        <w:t>Q. O.K.</w:t>
      </w:r>
    </w:p>
    <w:p w14:paraId="17BB8BF8" w14:textId="76F807F7" w:rsidR="00B2165C" w:rsidRPr="00632B6C" w:rsidRDefault="00673940" w:rsidP="00324897">
      <w:pPr>
        <w:pStyle w:val="Citationenretrait"/>
        <w:rPr>
          <w:szCs w:val="22"/>
          <w:u w:val="single"/>
          <w:lang w:val="en-CA"/>
        </w:rPr>
      </w:pPr>
      <w:r w:rsidRPr="00632B6C">
        <w:rPr>
          <w:szCs w:val="22"/>
          <w:lang w:val="en-CA"/>
        </w:rPr>
        <w:t>A.</w:t>
      </w:r>
      <w:r w:rsidR="005B3B9F" w:rsidRPr="00632B6C">
        <w:rPr>
          <w:szCs w:val="22"/>
          <w:lang w:val="en-CA"/>
        </w:rPr>
        <w:t xml:space="preserve"> </w:t>
      </w:r>
      <w:r w:rsidRPr="00632B6C">
        <w:rPr>
          <w:szCs w:val="22"/>
          <w:lang w:val="en-CA"/>
        </w:rPr>
        <w:t xml:space="preserve">Even </w:t>
      </w:r>
      <w:r w:rsidR="005B3B9F" w:rsidRPr="00632B6C">
        <w:rPr>
          <w:szCs w:val="22"/>
          <w:lang w:val="en-CA"/>
        </w:rPr>
        <w:t>if</w:t>
      </w:r>
      <w:r w:rsidRPr="00632B6C">
        <w:rPr>
          <w:szCs w:val="22"/>
          <w:lang w:val="en-CA"/>
        </w:rPr>
        <w:t xml:space="preserve"> the </w:t>
      </w:r>
      <w:r w:rsidR="005B3B9F" w:rsidRPr="00632B6C">
        <w:rPr>
          <w:szCs w:val="22"/>
          <w:lang w:val="en-CA"/>
        </w:rPr>
        <w:t xml:space="preserve">conditions </w:t>
      </w:r>
      <w:r w:rsidR="000049FB">
        <w:rPr>
          <w:szCs w:val="22"/>
          <w:lang w:val="en-CA"/>
        </w:rPr>
        <w:t>we</w:t>
      </w:r>
      <w:r w:rsidRPr="00632B6C">
        <w:rPr>
          <w:szCs w:val="22"/>
          <w:lang w:val="en-CA"/>
        </w:rPr>
        <w:t xml:space="preserve">re not as good, any loan </w:t>
      </w:r>
      <w:r w:rsidR="000049FB">
        <w:rPr>
          <w:szCs w:val="22"/>
          <w:lang w:val="en-CA"/>
        </w:rPr>
        <w:t xml:space="preserve">can </w:t>
      </w:r>
      <w:r w:rsidRPr="00632B6C">
        <w:rPr>
          <w:szCs w:val="22"/>
          <w:lang w:val="en-CA"/>
        </w:rPr>
        <w:t>be renewed, often we don’t even know the loan renewal conditions.</w:t>
      </w:r>
      <w:r w:rsidR="005B3B9F" w:rsidRPr="00632B6C">
        <w:rPr>
          <w:szCs w:val="22"/>
          <w:lang w:val="en-CA"/>
        </w:rPr>
        <w:t xml:space="preserve"> </w:t>
      </w:r>
      <w:r w:rsidRPr="00632B6C">
        <w:rPr>
          <w:szCs w:val="22"/>
          <w:lang w:val="en-CA"/>
        </w:rPr>
        <w:t xml:space="preserve">The capital owing </w:t>
      </w:r>
      <w:r w:rsidR="001728EC">
        <w:rPr>
          <w:szCs w:val="22"/>
          <w:lang w:val="en-CA"/>
        </w:rPr>
        <w:t xml:space="preserve">remains </w:t>
      </w:r>
      <w:r w:rsidRPr="00632B6C">
        <w:rPr>
          <w:szCs w:val="22"/>
          <w:lang w:val="en-CA"/>
        </w:rPr>
        <w:t xml:space="preserve">the same capital owing, several years, well one year later, technically you can expect the value </w:t>
      </w:r>
      <w:r w:rsidR="000049FB">
        <w:rPr>
          <w:szCs w:val="22"/>
          <w:lang w:val="en-CA"/>
        </w:rPr>
        <w:t xml:space="preserve">of the land </w:t>
      </w:r>
      <w:r w:rsidRPr="00632B6C">
        <w:rPr>
          <w:szCs w:val="22"/>
          <w:lang w:val="en-CA"/>
        </w:rPr>
        <w:t xml:space="preserve">to have </w:t>
      </w:r>
      <w:r w:rsidR="000049FB">
        <w:rPr>
          <w:szCs w:val="22"/>
          <w:lang w:val="en-CA"/>
        </w:rPr>
        <w:t>increased</w:t>
      </w:r>
      <w:r w:rsidRPr="00632B6C">
        <w:rPr>
          <w:szCs w:val="22"/>
          <w:lang w:val="en-CA"/>
        </w:rPr>
        <w:t>.</w:t>
      </w:r>
      <w:r w:rsidR="005B3B9F" w:rsidRPr="00632B6C">
        <w:rPr>
          <w:szCs w:val="22"/>
          <w:lang w:val="en-CA"/>
        </w:rPr>
        <w:t xml:space="preserve"> </w:t>
      </w:r>
      <w:r w:rsidRPr="00632B6C">
        <w:rPr>
          <w:szCs w:val="22"/>
          <w:lang w:val="en-CA"/>
        </w:rPr>
        <w:t xml:space="preserve">A </w:t>
      </w:r>
      <w:r w:rsidR="000049FB">
        <w:rPr>
          <w:szCs w:val="22"/>
          <w:lang w:val="en-CA"/>
        </w:rPr>
        <w:t xml:space="preserve">slew </w:t>
      </w:r>
      <w:r w:rsidRPr="00632B6C">
        <w:rPr>
          <w:szCs w:val="22"/>
          <w:lang w:val="en-CA"/>
        </w:rPr>
        <w:t xml:space="preserve">of analyses </w:t>
      </w:r>
      <w:r w:rsidR="000049FB">
        <w:rPr>
          <w:szCs w:val="22"/>
          <w:lang w:val="en-CA"/>
        </w:rPr>
        <w:t xml:space="preserve">might </w:t>
      </w:r>
      <w:r w:rsidRPr="00632B6C">
        <w:rPr>
          <w:szCs w:val="22"/>
          <w:lang w:val="en-CA"/>
        </w:rPr>
        <w:t>have been done.</w:t>
      </w:r>
      <w:r w:rsidR="005B3B9F" w:rsidRPr="00632B6C">
        <w:rPr>
          <w:szCs w:val="22"/>
          <w:lang w:val="en-CA"/>
        </w:rPr>
        <w:t xml:space="preserve"> </w:t>
      </w:r>
      <w:r w:rsidRPr="00632B6C">
        <w:rPr>
          <w:szCs w:val="22"/>
          <w:u w:val="single"/>
          <w:lang w:val="en-CA"/>
        </w:rPr>
        <w:t>But as a notary, we don’t do the financial analysis as such.</w:t>
      </w:r>
      <w:r w:rsidR="005B3B9F" w:rsidRPr="00632B6C">
        <w:rPr>
          <w:szCs w:val="22"/>
          <w:u w:val="single"/>
          <w:lang w:val="en-CA"/>
        </w:rPr>
        <w:t xml:space="preserve"> </w:t>
      </w:r>
      <w:r w:rsidRPr="00632B6C">
        <w:rPr>
          <w:szCs w:val="22"/>
          <w:u w:val="single"/>
          <w:lang w:val="en-CA"/>
        </w:rPr>
        <w:t xml:space="preserve">We look at the facts before us, I have another entry, </w:t>
      </w:r>
      <w:r w:rsidR="00F06DBB">
        <w:rPr>
          <w:szCs w:val="22"/>
          <w:u w:val="single"/>
          <w:lang w:val="en-CA"/>
        </w:rPr>
        <w:t>indeed</w:t>
      </w:r>
      <w:r w:rsidR="00495273">
        <w:rPr>
          <w:szCs w:val="22"/>
          <w:u w:val="single"/>
          <w:lang w:val="en-CA"/>
        </w:rPr>
        <w:t xml:space="preserve">, </w:t>
      </w:r>
      <w:r w:rsidRPr="00632B6C">
        <w:rPr>
          <w:szCs w:val="22"/>
          <w:u w:val="single"/>
          <w:lang w:val="en-CA"/>
        </w:rPr>
        <w:t>I have a new loan.</w:t>
      </w:r>
      <w:r w:rsidR="005B3B9F" w:rsidRPr="00632B6C">
        <w:rPr>
          <w:szCs w:val="22"/>
          <w:u w:val="single"/>
          <w:lang w:val="en-CA"/>
        </w:rPr>
        <w:t xml:space="preserve"> </w:t>
      </w:r>
      <w:r w:rsidRPr="00632B6C">
        <w:rPr>
          <w:szCs w:val="22"/>
          <w:u w:val="single"/>
          <w:lang w:val="en-CA"/>
        </w:rPr>
        <w:t>So, there was a renewal.</w:t>
      </w:r>
      <w:r w:rsidR="005B3B9F" w:rsidRPr="00632B6C">
        <w:rPr>
          <w:szCs w:val="22"/>
          <w:u w:val="single"/>
          <w:lang w:val="en-CA"/>
        </w:rPr>
        <w:t xml:space="preserve"> </w:t>
      </w:r>
      <w:r w:rsidRPr="00632B6C">
        <w:rPr>
          <w:szCs w:val="22"/>
          <w:u w:val="single"/>
          <w:lang w:val="en-CA"/>
        </w:rPr>
        <w:t xml:space="preserve">I probably would have spoken with the </w:t>
      </w:r>
      <w:r w:rsidR="00AA01D2">
        <w:rPr>
          <w:szCs w:val="22"/>
          <w:u w:val="single"/>
          <w:lang w:val="en-CA"/>
        </w:rPr>
        <w:t>developer</w:t>
      </w:r>
      <w:r w:rsidRPr="00632B6C">
        <w:rPr>
          <w:szCs w:val="22"/>
          <w:u w:val="single"/>
          <w:lang w:val="en-CA"/>
        </w:rPr>
        <w:t>, I think, in th</w:t>
      </w:r>
      <w:r w:rsidR="00932397">
        <w:rPr>
          <w:szCs w:val="22"/>
          <w:u w:val="single"/>
          <w:lang w:val="en-CA"/>
        </w:rPr>
        <w:t>e following</w:t>
      </w:r>
      <w:r w:rsidRPr="00632B6C">
        <w:rPr>
          <w:szCs w:val="22"/>
          <w:u w:val="single"/>
          <w:lang w:val="en-CA"/>
        </w:rPr>
        <w:t xml:space="preserve"> case, he said: Yes, yes, I have a “bridge”, it’s pending.</w:t>
      </w:r>
      <w:r w:rsidR="005B3B9F" w:rsidRPr="00632B6C">
        <w:rPr>
          <w:szCs w:val="22"/>
          <w:u w:val="single"/>
          <w:lang w:val="en-CA"/>
        </w:rPr>
        <w:t xml:space="preserve"> </w:t>
      </w:r>
      <w:r w:rsidRPr="00632B6C">
        <w:rPr>
          <w:szCs w:val="22"/>
          <w:u w:val="single"/>
          <w:lang w:val="en-CA"/>
        </w:rPr>
        <w:t>I presume, I</w:t>
      </w:r>
      <w:r w:rsidR="00932397">
        <w:rPr>
          <w:szCs w:val="22"/>
          <w:u w:val="single"/>
          <w:lang w:val="en-CA"/>
        </w:rPr>
        <w:t>’m</w:t>
      </w:r>
      <w:r w:rsidRPr="00632B6C">
        <w:rPr>
          <w:szCs w:val="22"/>
          <w:u w:val="single"/>
          <w:lang w:val="en-CA"/>
        </w:rPr>
        <w:t xml:space="preserve"> presum</w:t>
      </w:r>
      <w:r w:rsidR="00932397">
        <w:rPr>
          <w:szCs w:val="22"/>
          <w:u w:val="single"/>
          <w:lang w:val="en-CA"/>
        </w:rPr>
        <w:t>ing</w:t>
      </w:r>
      <w:r w:rsidRPr="00632B6C">
        <w:rPr>
          <w:szCs w:val="22"/>
          <w:u w:val="single"/>
          <w:lang w:val="en-CA"/>
        </w:rPr>
        <w:t xml:space="preserve"> all this, this isn’t </w:t>
      </w:r>
      <w:r w:rsidR="00932397">
        <w:rPr>
          <w:szCs w:val="22"/>
          <w:u w:val="single"/>
          <w:lang w:val="en-CA"/>
        </w:rPr>
        <w:t>fact</w:t>
      </w:r>
      <w:r w:rsidRPr="00632B6C">
        <w:rPr>
          <w:szCs w:val="22"/>
          <w:u w:val="single"/>
          <w:lang w:val="en-CA"/>
        </w:rPr>
        <w:t>.</w:t>
      </w:r>
      <w:r w:rsidR="005B3B9F" w:rsidRPr="00632B6C">
        <w:rPr>
          <w:szCs w:val="22"/>
          <w:u w:val="single"/>
          <w:lang w:val="en-CA"/>
        </w:rPr>
        <w:t xml:space="preserve"> </w:t>
      </w:r>
      <w:r w:rsidRPr="00632B6C">
        <w:rPr>
          <w:szCs w:val="22"/>
          <w:u w:val="single"/>
          <w:lang w:val="en-CA"/>
        </w:rPr>
        <w:t>I</w:t>
      </w:r>
      <w:r w:rsidR="00932397">
        <w:rPr>
          <w:szCs w:val="22"/>
          <w:u w:val="single"/>
          <w:lang w:val="en-CA"/>
        </w:rPr>
        <w:t>’m</w:t>
      </w:r>
      <w:r w:rsidRPr="00632B6C">
        <w:rPr>
          <w:szCs w:val="22"/>
          <w:u w:val="single"/>
          <w:lang w:val="en-CA"/>
        </w:rPr>
        <w:t xml:space="preserve"> presum</w:t>
      </w:r>
      <w:r w:rsidR="00932397">
        <w:rPr>
          <w:szCs w:val="22"/>
          <w:u w:val="single"/>
          <w:lang w:val="en-CA"/>
        </w:rPr>
        <w:t>ing</w:t>
      </w:r>
      <w:r w:rsidRPr="00632B6C">
        <w:rPr>
          <w:szCs w:val="22"/>
          <w:u w:val="single"/>
          <w:lang w:val="en-CA"/>
        </w:rPr>
        <w:t xml:space="preserve"> he said: I have a</w:t>
      </w:r>
      <w:r w:rsidR="00932397" w:rsidRPr="00632B6C">
        <w:rPr>
          <w:szCs w:val="22"/>
          <w:u w:val="single"/>
          <w:lang w:val="en-CA"/>
        </w:rPr>
        <w:t xml:space="preserve"> </w:t>
      </w:r>
      <w:r w:rsidRPr="00632B6C">
        <w:rPr>
          <w:szCs w:val="22"/>
          <w:u w:val="single"/>
          <w:lang w:val="en-CA"/>
        </w:rPr>
        <w:t>“bridge”, I’m waiting for financing from the National Bank</w:t>
      </w:r>
      <w:r w:rsidR="00932397">
        <w:rPr>
          <w:szCs w:val="22"/>
          <w:u w:val="single"/>
          <w:lang w:val="en-CA"/>
        </w:rPr>
        <w:t>,</w:t>
      </w:r>
      <w:r w:rsidRPr="00632B6C">
        <w:rPr>
          <w:szCs w:val="22"/>
          <w:u w:val="single"/>
          <w:lang w:val="en-CA"/>
        </w:rPr>
        <w:t xml:space="preserve"> they</w:t>
      </w:r>
      <w:r w:rsidR="00495273">
        <w:rPr>
          <w:szCs w:val="22"/>
          <w:u w:val="single"/>
          <w:lang w:val="en-CA"/>
        </w:rPr>
        <w:t>’ve</w:t>
      </w:r>
      <w:r w:rsidRPr="00632B6C">
        <w:rPr>
          <w:szCs w:val="22"/>
          <w:u w:val="single"/>
          <w:lang w:val="en-CA"/>
        </w:rPr>
        <w:t xml:space="preserve"> agreed to finance me, and I’ll get it at some point”. Will I </w:t>
      </w:r>
      <w:r w:rsidR="00932397">
        <w:rPr>
          <w:szCs w:val="22"/>
          <w:u w:val="single"/>
          <w:lang w:val="en-CA"/>
        </w:rPr>
        <w:t xml:space="preserve">search </w:t>
      </w:r>
      <w:r w:rsidRPr="00632B6C">
        <w:rPr>
          <w:szCs w:val="22"/>
          <w:u w:val="single"/>
          <w:lang w:val="en-CA"/>
        </w:rPr>
        <w:t>for more information, am I satisfied with this, do I consider this sufficient security?</w:t>
      </w:r>
      <w:r w:rsidR="005B3B9F" w:rsidRPr="00632B6C">
        <w:rPr>
          <w:szCs w:val="22"/>
          <w:u w:val="single"/>
          <w:lang w:val="en-CA"/>
        </w:rPr>
        <w:t xml:space="preserve"> </w:t>
      </w:r>
      <w:r w:rsidR="00932397">
        <w:rPr>
          <w:szCs w:val="22"/>
          <w:u w:val="single"/>
          <w:lang w:val="en-CA"/>
        </w:rPr>
        <w:t xml:space="preserve">I would say that </w:t>
      </w:r>
      <w:r w:rsidR="00495273">
        <w:rPr>
          <w:szCs w:val="22"/>
          <w:u w:val="single"/>
          <w:lang w:val="en-CA"/>
        </w:rPr>
        <w:t xml:space="preserve">my </w:t>
      </w:r>
      <w:r w:rsidR="00932397">
        <w:rPr>
          <w:szCs w:val="22"/>
          <w:u w:val="single"/>
          <w:lang w:val="en-CA"/>
        </w:rPr>
        <w:t>situation has</w:t>
      </w:r>
      <w:r w:rsidR="00495273">
        <w:rPr>
          <w:szCs w:val="22"/>
          <w:u w:val="single"/>
          <w:lang w:val="en-CA"/>
        </w:rPr>
        <w:t>n’</w:t>
      </w:r>
      <w:r w:rsidR="00932397">
        <w:rPr>
          <w:szCs w:val="22"/>
          <w:u w:val="single"/>
          <w:lang w:val="en-CA"/>
        </w:rPr>
        <w:t xml:space="preserve">t </w:t>
      </w:r>
      <w:r w:rsidRPr="00632B6C">
        <w:rPr>
          <w:szCs w:val="22"/>
          <w:u w:val="single"/>
          <w:lang w:val="en-CA"/>
        </w:rPr>
        <w:t>change</w:t>
      </w:r>
      <w:r w:rsidR="00932397">
        <w:rPr>
          <w:szCs w:val="22"/>
          <w:u w:val="single"/>
          <w:lang w:val="en-CA"/>
        </w:rPr>
        <w:t>d</w:t>
      </w:r>
      <w:r w:rsidRPr="00632B6C">
        <w:rPr>
          <w:szCs w:val="22"/>
          <w:u w:val="single"/>
          <w:lang w:val="en-CA"/>
        </w:rPr>
        <w:t xml:space="preserve">, </w:t>
      </w:r>
      <w:r w:rsidR="00932397">
        <w:rPr>
          <w:szCs w:val="22"/>
          <w:u w:val="single"/>
          <w:lang w:val="en-CA"/>
        </w:rPr>
        <w:t>there</w:t>
      </w:r>
      <w:r w:rsidR="00495273">
        <w:rPr>
          <w:szCs w:val="22"/>
          <w:u w:val="single"/>
          <w:lang w:val="en-CA"/>
        </w:rPr>
        <w:t>’</w:t>
      </w:r>
      <w:r w:rsidR="00932397">
        <w:rPr>
          <w:szCs w:val="22"/>
          <w:u w:val="single"/>
          <w:lang w:val="en-CA"/>
        </w:rPr>
        <w:t xml:space="preserve">s </w:t>
      </w:r>
      <w:r w:rsidRPr="00632B6C">
        <w:rPr>
          <w:szCs w:val="22"/>
          <w:u w:val="single"/>
          <w:lang w:val="en-CA"/>
        </w:rPr>
        <w:t>still a $4 million loan to pay, that existed in 2012</w:t>
      </w:r>
      <w:r w:rsidR="00495273">
        <w:rPr>
          <w:szCs w:val="22"/>
          <w:u w:val="single"/>
          <w:lang w:val="en-CA"/>
        </w:rPr>
        <w:t>,</w:t>
      </w:r>
      <w:r w:rsidRPr="00632B6C">
        <w:rPr>
          <w:szCs w:val="22"/>
          <w:u w:val="single"/>
          <w:lang w:val="en-CA"/>
        </w:rPr>
        <w:t xml:space="preserve"> </w:t>
      </w:r>
      <w:r w:rsidR="00495273">
        <w:rPr>
          <w:szCs w:val="22"/>
          <w:u w:val="single"/>
          <w:lang w:val="en-CA"/>
        </w:rPr>
        <w:t xml:space="preserve">I think, </w:t>
      </w:r>
      <w:r w:rsidRPr="00632B6C">
        <w:rPr>
          <w:szCs w:val="22"/>
          <w:u w:val="single"/>
          <w:lang w:val="en-CA"/>
        </w:rPr>
        <w:t xml:space="preserve">or 2013, I’m no longer </w:t>
      </w:r>
      <w:r w:rsidR="00932397">
        <w:rPr>
          <w:szCs w:val="22"/>
          <w:u w:val="single"/>
          <w:lang w:val="en-CA"/>
        </w:rPr>
        <w:t xml:space="preserve">sure </w:t>
      </w:r>
      <w:r w:rsidRPr="00632B6C">
        <w:rPr>
          <w:szCs w:val="22"/>
          <w:u w:val="single"/>
          <w:lang w:val="en-CA"/>
        </w:rPr>
        <w:t xml:space="preserve">of the dates, </w:t>
      </w:r>
      <w:r w:rsidR="00932397">
        <w:rPr>
          <w:szCs w:val="22"/>
          <w:u w:val="single"/>
          <w:lang w:val="en-CA"/>
        </w:rPr>
        <w:t xml:space="preserve">I think </w:t>
      </w:r>
      <w:r w:rsidR="00932397" w:rsidRPr="00632B6C">
        <w:rPr>
          <w:szCs w:val="22"/>
          <w:u w:val="single"/>
          <w:lang w:val="en-CA"/>
        </w:rPr>
        <w:t xml:space="preserve">that </w:t>
      </w:r>
      <w:r w:rsidR="00932397">
        <w:rPr>
          <w:szCs w:val="22"/>
          <w:u w:val="single"/>
          <w:lang w:val="en-CA"/>
        </w:rPr>
        <w:t xml:space="preserve">the </w:t>
      </w:r>
      <w:r w:rsidR="00932397" w:rsidRPr="00632B6C">
        <w:rPr>
          <w:szCs w:val="22"/>
          <w:u w:val="single"/>
          <w:lang w:val="en-CA"/>
        </w:rPr>
        <w:t xml:space="preserve">loan existed </w:t>
      </w:r>
      <w:r w:rsidRPr="00632B6C">
        <w:rPr>
          <w:szCs w:val="22"/>
          <w:u w:val="single"/>
          <w:lang w:val="en-CA"/>
        </w:rPr>
        <w:t>2012</w:t>
      </w:r>
      <w:r w:rsidRPr="00932397">
        <w:rPr>
          <w:szCs w:val="22"/>
          <w:lang w:val="en-CA"/>
        </w:rPr>
        <w:t>.</w:t>
      </w:r>
    </w:p>
    <w:p w14:paraId="10F55AB3" w14:textId="08178D23" w:rsidR="00B2165C" w:rsidRPr="00632B6C" w:rsidRDefault="00673940" w:rsidP="00324897">
      <w:pPr>
        <w:pStyle w:val="Citationenretrait"/>
        <w:rPr>
          <w:szCs w:val="22"/>
          <w:lang w:val="en-CA"/>
        </w:rPr>
      </w:pPr>
      <w:r w:rsidRPr="00632B6C">
        <w:rPr>
          <w:szCs w:val="22"/>
          <w:lang w:val="en-CA"/>
        </w:rPr>
        <w:t>Mtre PASCALE CARON:</w:t>
      </w:r>
    </w:p>
    <w:p w14:paraId="2FA541F2" w14:textId="3D40F4F5" w:rsidR="00B2165C" w:rsidRPr="00632B6C" w:rsidRDefault="005B3B9F" w:rsidP="00324897">
      <w:pPr>
        <w:pStyle w:val="Citationenretrait"/>
        <w:spacing w:line="240" w:lineRule="auto"/>
        <w:rPr>
          <w:szCs w:val="22"/>
          <w:lang w:val="en-CA"/>
        </w:rPr>
      </w:pPr>
      <w:r w:rsidRPr="00632B6C">
        <w:rPr>
          <w:szCs w:val="22"/>
          <w:lang w:val="en-CA"/>
        </w:rPr>
        <w:t xml:space="preserve">Q. </w:t>
      </w:r>
      <w:r w:rsidR="00673940" w:rsidRPr="00632B6C">
        <w:rPr>
          <w:szCs w:val="22"/>
          <w:lang w:val="en-CA"/>
        </w:rPr>
        <w:t xml:space="preserve">What would you have </w:t>
      </w:r>
      <w:r w:rsidR="00932397">
        <w:rPr>
          <w:szCs w:val="22"/>
          <w:lang w:val="en-CA"/>
        </w:rPr>
        <w:t xml:space="preserve">done </w:t>
      </w:r>
      <w:r w:rsidR="00F06DBB">
        <w:rPr>
          <w:szCs w:val="22"/>
          <w:lang w:val="en-CA"/>
        </w:rPr>
        <w:t xml:space="preserve">regarding </w:t>
      </w:r>
      <w:r w:rsidR="00673940" w:rsidRPr="00632B6C">
        <w:rPr>
          <w:szCs w:val="22"/>
          <w:lang w:val="en-CA"/>
        </w:rPr>
        <w:t xml:space="preserve">the </w:t>
      </w:r>
      <w:r w:rsidR="00727E9A" w:rsidRPr="00727E9A">
        <w:rPr>
          <w:rFonts w:cs="Arial"/>
          <w:lang w:val="en-CA"/>
        </w:rPr>
        <w:t>promissory buyers</w:t>
      </w:r>
      <w:r w:rsidR="00673940" w:rsidRPr="00632B6C">
        <w:rPr>
          <w:szCs w:val="22"/>
          <w:lang w:val="en-CA"/>
        </w:rPr>
        <w:t xml:space="preserve"> </w:t>
      </w:r>
      <w:r w:rsidR="00932397">
        <w:rPr>
          <w:szCs w:val="22"/>
          <w:lang w:val="en-CA"/>
        </w:rPr>
        <w:t xml:space="preserve">after </w:t>
      </w:r>
      <w:r w:rsidR="00673940" w:rsidRPr="00632B6C">
        <w:rPr>
          <w:szCs w:val="22"/>
          <w:lang w:val="en-CA"/>
        </w:rPr>
        <w:t xml:space="preserve">you </w:t>
      </w:r>
      <w:r w:rsidR="00932397">
        <w:rPr>
          <w:szCs w:val="22"/>
          <w:lang w:val="en-CA"/>
        </w:rPr>
        <w:t xml:space="preserve">noticed </w:t>
      </w:r>
      <w:r w:rsidR="00673940" w:rsidRPr="00632B6C">
        <w:rPr>
          <w:szCs w:val="22"/>
          <w:lang w:val="en-CA"/>
        </w:rPr>
        <w:t>the content of th</w:t>
      </w:r>
      <w:r w:rsidR="00932397">
        <w:rPr>
          <w:szCs w:val="22"/>
          <w:lang w:val="en-CA"/>
        </w:rPr>
        <w:t>at</w:t>
      </w:r>
      <w:r w:rsidR="00673940" w:rsidRPr="00632B6C">
        <w:rPr>
          <w:szCs w:val="22"/>
          <w:lang w:val="en-CA"/>
        </w:rPr>
        <w:t xml:space="preserve"> deed </w:t>
      </w:r>
      <w:r w:rsidR="00932397">
        <w:rPr>
          <w:szCs w:val="22"/>
          <w:lang w:val="en-CA"/>
        </w:rPr>
        <w:t xml:space="preserve">amending </w:t>
      </w:r>
      <w:r w:rsidR="00673940" w:rsidRPr="00632B6C">
        <w:rPr>
          <w:szCs w:val="22"/>
          <w:lang w:val="en-CA"/>
        </w:rPr>
        <w:t>the terms?</w:t>
      </w:r>
    </w:p>
    <w:p w14:paraId="71DFAE3D" w14:textId="5D327F15" w:rsidR="00B2165C" w:rsidRPr="00632B6C" w:rsidRDefault="00673940" w:rsidP="00E31222">
      <w:pPr>
        <w:pStyle w:val="Citationenretrait"/>
        <w:rPr>
          <w:szCs w:val="22"/>
          <w:u w:val="single"/>
          <w:lang w:val="en-CA"/>
        </w:rPr>
      </w:pPr>
      <w:r w:rsidRPr="00632B6C">
        <w:rPr>
          <w:szCs w:val="22"/>
          <w:lang w:val="en-CA"/>
        </w:rPr>
        <w:t>A.</w:t>
      </w:r>
      <w:r w:rsidR="005B3B9F" w:rsidRPr="00632B6C">
        <w:rPr>
          <w:szCs w:val="22"/>
          <w:lang w:val="en-CA"/>
        </w:rPr>
        <w:t xml:space="preserve"> </w:t>
      </w:r>
      <w:r w:rsidRPr="00632B6C">
        <w:rPr>
          <w:szCs w:val="22"/>
          <w:u w:val="single"/>
          <w:lang w:val="en-CA"/>
        </w:rPr>
        <w:t xml:space="preserve">I don’t think I would have </w:t>
      </w:r>
      <w:r w:rsidR="00932397">
        <w:rPr>
          <w:szCs w:val="22"/>
          <w:u w:val="single"/>
          <w:lang w:val="en-CA"/>
        </w:rPr>
        <w:t xml:space="preserve">done anything </w:t>
      </w:r>
      <w:r w:rsidR="00F06DBB">
        <w:rPr>
          <w:szCs w:val="22"/>
          <w:u w:val="single"/>
          <w:lang w:val="en-CA"/>
        </w:rPr>
        <w:t xml:space="preserve">regarding </w:t>
      </w:r>
      <w:r w:rsidRPr="00632B6C">
        <w:rPr>
          <w:szCs w:val="22"/>
          <w:u w:val="single"/>
          <w:lang w:val="en-CA"/>
        </w:rPr>
        <w:t xml:space="preserve">the </w:t>
      </w:r>
      <w:r w:rsidR="00727E9A" w:rsidRPr="00727E9A">
        <w:rPr>
          <w:rFonts w:cs="Arial"/>
          <w:u w:val="single"/>
          <w:lang w:val="en-CA"/>
        </w:rPr>
        <w:t>promissory buyers</w:t>
      </w:r>
      <w:r w:rsidRPr="00632B6C">
        <w:rPr>
          <w:szCs w:val="22"/>
          <w:u w:val="single"/>
          <w:lang w:val="en-CA"/>
        </w:rPr>
        <w:t>.</w:t>
      </w:r>
    </w:p>
    <w:p w14:paraId="2D2C4562" w14:textId="6A743B33" w:rsidR="00B2165C" w:rsidRPr="00632B6C" w:rsidRDefault="00673940" w:rsidP="00E31222">
      <w:pPr>
        <w:pStyle w:val="Paragraphe"/>
        <w:numPr>
          <w:ilvl w:val="0"/>
          <w:numId w:val="0"/>
        </w:numPr>
        <w:spacing w:before="0" w:after="240" w:line="240" w:lineRule="auto"/>
        <w:ind w:left="113" w:right="715"/>
        <w:jc w:val="right"/>
        <w:rPr>
          <w:sz w:val="22"/>
          <w:szCs w:val="22"/>
          <w:u w:val="single"/>
          <w:lang w:val="en-CA"/>
        </w:rPr>
      </w:pPr>
      <w:r w:rsidRPr="00632B6C">
        <w:rPr>
          <w:sz w:val="22"/>
          <w:szCs w:val="22"/>
          <w:lang w:val="en-CA"/>
        </w:rPr>
        <w:t>[Emphasis added]</w:t>
      </w:r>
    </w:p>
    <w:p w14:paraId="166E97BF" w14:textId="1D79959C" w:rsidR="00B2165C" w:rsidRPr="00632B6C" w:rsidRDefault="00673940" w:rsidP="00324897">
      <w:pPr>
        <w:pStyle w:val="Paragraphe"/>
        <w:tabs>
          <w:tab w:val="clear" w:pos="720"/>
          <w:tab w:val="num" w:pos="709"/>
        </w:tabs>
        <w:spacing w:line="240" w:lineRule="auto"/>
        <w:rPr>
          <w:lang w:val="en-CA"/>
        </w:rPr>
      </w:pPr>
      <w:r w:rsidRPr="00632B6C">
        <w:rPr>
          <w:lang w:val="en-CA"/>
        </w:rPr>
        <w:t xml:space="preserve">Contrary to what the appellants argue, the judge considered the entries in the index of immovables and the titles published in the Land Register on August 30, 2013, </w:t>
      </w:r>
      <w:r w:rsidR="00061452">
        <w:rPr>
          <w:lang w:val="en-CA"/>
        </w:rPr>
        <w:t>which</w:t>
      </w:r>
      <w:r w:rsidR="00061452" w:rsidRPr="00632B6C">
        <w:rPr>
          <w:lang w:val="en-CA"/>
        </w:rPr>
        <w:t xml:space="preserve"> </w:t>
      </w:r>
      <w:r w:rsidRPr="00632B6C">
        <w:rPr>
          <w:lang w:val="en-CA"/>
        </w:rPr>
        <w:t>he reproduced in Schedule A of his reasons.</w:t>
      </w:r>
      <w:r w:rsidR="005B3B9F" w:rsidRPr="00632B6C">
        <w:rPr>
          <w:lang w:val="en-CA"/>
        </w:rPr>
        <w:t xml:space="preserve"> </w:t>
      </w:r>
      <w:r w:rsidRPr="00632B6C">
        <w:rPr>
          <w:lang w:val="en-CA"/>
        </w:rPr>
        <w:t xml:space="preserve">He was aware of the issue </w:t>
      </w:r>
      <w:r w:rsidR="00932397">
        <w:rPr>
          <w:lang w:val="en-CA"/>
        </w:rPr>
        <w:t xml:space="preserve">with </w:t>
      </w:r>
      <w:r w:rsidRPr="00632B6C">
        <w:rPr>
          <w:lang w:val="en-CA"/>
        </w:rPr>
        <w:t xml:space="preserve">Point Zéro and the new conditions </w:t>
      </w:r>
      <w:r w:rsidR="00932397">
        <w:rPr>
          <w:lang w:val="en-CA"/>
        </w:rPr>
        <w:t xml:space="preserve">of the </w:t>
      </w:r>
      <w:r w:rsidR="00932397" w:rsidRPr="00632B6C">
        <w:rPr>
          <w:lang w:val="en-CA"/>
        </w:rPr>
        <w:t xml:space="preserve">temporary loan </w:t>
      </w:r>
      <w:r w:rsidRPr="00632B6C">
        <w:rPr>
          <w:lang w:val="en-CA"/>
        </w:rPr>
        <w:t>concluded at a rate of 24%</w:t>
      </w:r>
      <w:r w:rsidR="00932397">
        <w:rPr>
          <w:lang w:val="en-CA"/>
        </w:rPr>
        <w:t>,</w:t>
      </w:r>
      <w:r w:rsidRPr="00632B6C">
        <w:rPr>
          <w:lang w:val="en-CA"/>
        </w:rPr>
        <w:t xml:space="preserve"> but </w:t>
      </w:r>
      <w:r w:rsidR="00932397">
        <w:rPr>
          <w:lang w:val="en-CA"/>
        </w:rPr>
        <w:t xml:space="preserve">he </w:t>
      </w:r>
      <w:r w:rsidRPr="00632B6C">
        <w:rPr>
          <w:lang w:val="en-CA"/>
        </w:rPr>
        <w:t xml:space="preserve">noted that this issue </w:t>
      </w:r>
      <w:r w:rsidR="00932397">
        <w:rPr>
          <w:lang w:val="en-CA"/>
        </w:rPr>
        <w:t xml:space="preserve">was </w:t>
      </w:r>
      <w:r w:rsidRPr="00632B6C">
        <w:rPr>
          <w:lang w:val="en-CA"/>
        </w:rPr>
        <w:t>no</w:t>
      </w:r>
      <w:r w:rsidR="00AA01D2">
        <w:rPr>
          <w:lang w:val="en-CA"/>
        </w:rPr>
        <w:t xml:space="preserve"> cause for concern</w:t>
      </w:r>
      <w:r w:rsidRPr="00632B6C">
        <w:rPr>
          <w:lang w:val="en-CA"/>
        </w:rPr>
        <w:t xml:space="preserve"> because the Bank was getting ready to replace </w:t>
      </w:r>
      <w:r w:rsidR="00932397">
        <w:rPr>
          <w:lang w:val="en-CA"/>
        </w:rPr>
        <w:t xml:space="preserve">Point Zéro </w:t>
      </w:r>
      <w:r w:rsidRPr="00632B6C">
        <w:rPr>
          <w:lang w:val="en-CA"/>
        </w:rPr>
        <w:t xml:space="preserve">with a less </w:t>
      </w:r>
      <w:r w:rsidR="00932397">
        <w:rPr>
          <w:lang w:val="en-CA"/>
        </w:rPr>
        <w:t xml:space="preserve">expensive </w:t>
      </w:r>
      <w:r w:rsidRPr="00632B6C">
        <w:rPr>
          <w:lang w:val="en-CA"/>
        </w:rPr>
        <w:t>mezzanine lender.</w:t>
      </w:r>
      <w:r w:rsidR="005B3B9F" w:rsidRPr="00632B6C">
        <w:rPr>
          <w:lang w:val="en-CA"/>
        </w:rPr>
        <w:t xml:space="preserve"> </w:t>
      </w:r>
      <w:r w:rsidRPr="00632B6C">
        <w:rPr>
          <w:lang w:val="en-CA"/>
        </w:rPr>
        <w:t>As Martin Gosselin, the Bank</w:t>
      </w:r>
      <w:r w:rsidR="00932397">
        <w:rPr>
          <w:lang w:val="en-CA"/>
        </w:rPr>
        <w:t>’s</w:t>
      </w:r>
      <w:r w:rsidRPr="00632B6C">
        <w:rPr>
          <w:lang w:val="en-CA"/>
        </w:rPr>
        <w:t xml:space="preserve"> representative, explained:</w:t>
      </w:r>
      <w:r w:rsidR="005B3B9F" w:rsidRPr="00632B6C">
        <w:rPr>
          <w:rStyle w:val="Appelnotedebasdep"/>
          <w:lang w:val="en-CA"/>
        </w:rPr>
        <w:footnoteReference w:id="11"/>
      </w:r>
    </w:p>
    <w:p w14:paraId="286B1E81" w14:textId="307DF1C9" w:rsidR="008663B5" w:rsidRPr="00632B6C" w:rsidRDefault="008663B5" w:rsidP="00BE5D1C">
      <w:pPr>
        <w:pStyle w:val="Citationenretrait"/>
        <w:keepNext/>
        <w:rPr>
          <w:szCs w:val="22"/>
          <w:lang w:val="en-CA"/>
        </w:rPr>
      </w:pPr>
      <w:r w:rsidRPr="00632B6C">
        <w:rPr>
          <w:rFonts w:cs="Arial"/>
          <w:szCs w:val="22"/>
          <w:lang w:val="en-CA"/>
        </w:rPr>
        <w:lastRenderedPageBreak/>
        <w:t>[</w:t>
      </w:r>
      <w:r w:rsidRPr="00632B6C">
        <w:rPr>
          <w:rFonts w:cs="Arial"/>
          <w:smallCaps/>
          <w:szCs w:val="22"/>
          <w:lang w:val="en-CA"/>
        </w:rPr>
        <w:t>translation</w:t>
      </w:r>
      <w:r w:rsidRPr="00632B6C">
        <w:rPr>
          <w:rFonts w:cs="Arial"/>
          <w:szCs w:val="22"/>
          <w:lang w:val="en-CA"/>
        </w:rPr>
        <w:t>]</w:t>
      </w:r>
    </w:p>
    <w:p w14:paraId="2BC03761" w14:textId="24567A7B" w:rsidR="00B2165C" w:rsidRPr="00632B6C" w:rsidRDefault="005B3B9F" w:rsidP="00BE5D1C">
      <w:pPr>
        <w:pStyle w:val="Citationenretrait"/>
        <w:keepNext/>
        <w:rPr>
          <w:szCs w:val="22"/>
          <w:lang w:val="en-CA"/>
        </w:rPr>
      </w:pPr>
      <w:r w:rsidRPr="00632B6C">
        <w:rPr>
          <w:szCs w:val="22"/>
          <w:lang w:val="en-CA"/>
        </w:rPr>
        <w:t xml:space="preserve">Q. </w:t>
      </w:r>
      <w:r w:rsidR="00261A8D" w:rsidRPr="00632B6C">
        <w:rPr>
          <w:szCs w:val="22"/>
          <w:lang w:val="en-CA"/>
        </w:rPr>
        <w:t xml:space="preserve">And in this case, just so I understand, you did not refuse the project as </w:t>
      </w:r>
      <w:r w:rsidR="001977D4">
        <w:rPr>
          <w:szCs w:val="22"/>
          <w:lang w:val="en-CA"/>
        </w:rPr>
        <w:t>it was</w:t>
      </w:r>
      <w:r w:rsidR="001977D4" w:rsidRPr="00632B6C">
        <w:rPr>
          <w:szCs w:val="22"/>
          <w:lang w:val="en-CA"/>
        </w:rPr>
        <w:t xml:space="preserve"> </w:t>
      </w:r>
      <w:r w:rsidR="00932397">
        <w:rPr>
          <w:szCs w:val="22"/>
          <w:lang w:val="en-CA"/>
        </w:rPr>
        <w:t xml:space="preserve">based on </w:t>
      </w:r>
      <w:r w:rsidR="00261A8D" w:rsidRPr="00632B6C">
        <w:rPr>
          <w:szCs w:val="22"/>
          <w:lang w:val="en-CA"/>
        </w:rPr>
        <w:t>the information you had about Point Zéro?</w:t>
      </w:r>
    </w:p>
    <w:p w14:paraId="08195889" w14:textId="3EEF510E" w:rsidR="00B2165C" w:rsidRPr="00632B6C" w:rsidRDefault="00673940" w:rsidP="00E31222">
      <w:pPr>
        <w:pStyle w:val="Citationenretrait"/>
        <w:spacing w:after="240"/>
        <w:rPr>
          <w:szCs w:val="22"/>
          <w:lang w:val="en-CA"/>
        </w:rPr>
      </w:pPr>
      <w:r w:rsidRPr="00632B6C">
        <w:rPr>
          <w:szCs w:val="22"/>
          <w:lang w:val="en-CA"/>
        </w:rPr>
        <w:t>A.</w:t>
      </w:r>
      <w:r w:rsidR="005B3B9F" w:rsidRPr="00632B6C">
        <w:rPr>
          <w:szCs w:val="22"/>
          <w:lang w:val="en-CA"/>
        </w:rPr>
        <w:t xml:space="preserve"> </w:t>
      </w:r>
      <w:r w:rsidR="00261A8D" w:rsidRPr="00632B6C">
        <w:rPr>
          <w:szCs w:val="22"/>
          <w:lang w:val="en-CA"/>
        </w:rPr>
        <w:t xml:space="preserve">No, no because the mezzanine lender </w:t>
      </w:r>
      <w:r w:rsidR="00F87F73">
        <w:rPr>
          <w:szCs w:val="22"/>
          <w:lang w:val="en-CA"/>
        </w:rPr>
        <w:t xml:space="preserve">who </w:t>
      </w:r>
      <w:r w:rsidR="00261A8D" w:rsidRPr="00632B6C">
        <w:rPr>
          <w:szCs w:val="22"/>
          <w:lang w:val="en-CA"/>
        </w:rPr>
        <w:t xml:space="preserve">was supposed </w:t>
      </w:r>
      <w:r w:rsidR="00F87F73">
        <w:rPr>
          <w:szCs w:val="22"/>
          <w:lang w:val="en-CA"/>
        </w:rPr>
        <w:t xml:space="preserve">to come would </w:t>
      </w:r>
      <w:r w:rsidR="00261A8D" w:rsidRPr="00632B6C">
        <w:rPr>
          <w:szCs w:val="22"/>
          <w:lang w:val="en-CA"/>
        </w:rPr>
        <w:t>replace Point Zéro, so we were comfortable with the situation, my credit committee was comfortable with it.</w:t>
      </w:r>
    </w:p>
    <w:p w14:paraId="4F664082" w14:textId="58FF0786" w:rsidR="00B2165C" w:rsidRPr="00632B6C" w:rsidRDefault="001456AD" w:rsidP="00324897">
      <w:pPr>
        <w:pStyle w:val="Paragraphe"/>
        <w:tabs>
          <w:tab w:val="clear" w:pos="720"/>
          <w:tab w:val="num" w:pos="709"/>
        </w:tabs>
        <w:spacing w:line="240" w:lineRule="auto"/>
        <w:rPr>
          <w:lang w:val="en-CA"/>
        </w:rPr>
      </w:pPr>
      <w:r>
        <w:rPr>
          <w:lang w:val="en-CA"/>
        </w:rPr>
        <w:t>T</w:t>
      </w:r>
      <w:r w:rsidR="00261A8D" w:rsidRPr="00632B6C">
        <w:rPr>
          <w:lang w:val="en-CA"/>
        </w:rPr>
        <w:t xml:space="preserve">he appellants </w:t>
      </w:r>
      <w:r>
        <w:rPr>
          <w:lang w:val="en-CA"/>
        </w:rPr>
        <w:t xml:space="preserve">further </w:t>
      </w:r>
      <w:r w:rsidR="00261A8D" w:rsidRPr="00632B6C">
        <w:rPr>
          <w:lang w:val="en-CA"/>
        </w:rPr>
        <w:t xml:space="preserve">argue that due diligence would </w:t>
      </w:r>
      <w:r>
        <w:rPr>
          <w:lang w:val="en-CA"/>
        </w:rPr>
        <w:t xml:space="preserve">have </w:t>
      </w:r>
      <w:r w:rsidR="008663B5" w:rsidRPr="00632B6C">
        <w:rPr>
          <w:rFonts w:cs="Arial"/>
          <w:szCs w:val="22"/>
          <w:lang w:val="en-CA"/>
        </w:rPr>
        <w:t>[</w:t>
      </w:r>
      <w:r w:rsidR="008663B5" w:rsidRPr="00632B6C">
        <w:rPr>
          <w:rFonts w:cs="Arial"/>
          <w:smallCaps/>
          <w:szCs w:val="22"/>
          <w:lang w:val="en-CA"/>
        </w:rPr>
        <w:t>translation</w:t>
      </w:r>
      <w:r w:rsidR="008663B5" w:rsidRPr="00632B6C">
        <w:rPr>
          <w:rFonts w:cs="Arial"/>
          <w:szCs w:val="22"/>
          <w:lang w:val="en-CA"/>
        </w:rPr>
        <w:t>]</w:t>
      </w:r>
      <w:r w:rsidR="008663B5" w:rsidRPr="00632B6C">
        <w:rPr>
          <w:lang w:val="en-CA"/>
        </w:rPr>
        <w:t xml:space="preserve"> </w:t>
      </w:r>
      <w:r w:rsidR="00261A8D" w:rsidRPr="00632B6C">
        <w:rPr>
          <w:lang w:val="en-CA"/>
        </w:rPr>
        <w:t xml:space="preserve">“easily” revealed the risk that the Bank </w:t>
      </w:r>
      <w:r>
        <w:rPr>
          <w:lang w:val="en-CA"/>
        </w:rPr>
        <w:t xml:space="preserve">might </w:t>
      </w:r>
      <w:r w:rsidR="00261A8D" w:rsidRPr="00632B6C">
        <w:rPr>
          <w:lang w:val="en-CA"/>
        </w:rPr>
        <w:t>withdraw its offer.</w:t>
      </w:r>
      <w:r w:rsidR="005B3B9F" w:rsidRPr="00632B6C">
        <w:rPr>
          <w:lang w:val="en-CA"/>
        </w:rPr>
        <w:t xml:space="preserve"> </w:t>
      </w:r>
      <w:r w:rsidR="00261A8D" w:rsidRPr="00632B6C">
        <w:rPr>
          <w:lang w:val="en-CA"/>
        </w:rPr>
        <w:t xml:space="preserve">The judge found that in 2013, </w:t>
      </w:r>
      <w:r>
        <w:rPr>
          <w:lang w:val="en-CA"/>
        </w:rPr>
        <w:t xml:space="preserve">however, </w:t>
      </w:r>
      <w:r w:rsidR="00261A8D" w:rsidRPr="00632B6C">
        <w:rPr>
          <w:lang w:val="en-CA"/>
        </w:rPr>
        <w:t>there was nothing to suggest that this was the case.</w:t>
      </w:r>
      <w:r w:rsidR="005B3B9F" w:rsidRPr="00632B6C">
        <w:rPr>
          <w:lang w:val="en-CA"/>
        </w:rPr>
        <w:t xml:space="preserve"> </w:t>
      </w:r>
      <w:r w:rsidR="00261A8D" w:rsidRPr="00632B6C">
        <w:rPr>
          <w:lang w:val="en-CA"/>
        </w:rPr>
        <w:t xml:space="preserve">The Bank withdrew from the project only in 2015, based on internal rules or </w:t>
      </w:r>
      <w:r w:rsidR="00AA01D2">
        <w:rPr>
          <w:lang w:val="en-CA"/>
        </w:rPr>
        <w:t>guidelines</w:t>
      </w:r>
      <w:r w:rsidR="00AA01D2" w:rsidRPr="00632B6C">
        <w:rPr>
          <w:lang w:val="en-CA"/>
        </w:rPr>
        <w:t xml:space="preserve"> </w:t>
      </w:r>
      <w:r w:rsidR="00261A8D" w:rsidRPr="00632B6C">
        <w:rPr>
          <w:lang w:val="en-CA"/>
        </w:rPr>
        <w:t>that were not satisfied and that it was not oblig</w:t>
      </w:r>
      <w:r w:rsidR="00517696">
        <w:rPr>
          <w:lang w:val="en-CA"/>
        </w:rPr>
        <w:t>at</w:t>
      </w:r>
      <w:r w:rsidR="00261A8D" w:rsidRPr="00632B6C">
        <w:rPr>
          <w:lang w:val="en-CA"/>
        </w:rPr>
        <w:t xml:space="preserve">ed to reveal to the </w:t>
      </w:r>
      <w:r w:rsidR="00AA01D2">
        <w:rPr>
          <w:lang w:val="en-CA"/>
        </w:rPr>
        <w:t>D</w:t>
      </w:r>
      <w:r w:rsidR="00AA01D2" w:rsidRPr="00AA01D2">
        <w:rPr>
          <w:szCs w:val="22"/>
          <w:lang w:val="en-CA"/>
        </w:rPr>
        <w:t>eveloper</w:t>
      </w:r>
      <w:r w:rsidR="00261A8D" w:rsidRPr="00632B6C">
        <w:rPr>
          <w:lang w:val="en-CA"/>
        </w:rPr>
        <w:t>, as the Bank representative explained:</w:t>
      </w:r>
      <w:r w:rsidR="005B3B9F" w:rsidRPr="00632B6C">
        <w:rPr>
          <w:rStyle w:val="Appelnotedebasdep"/>
          <w:lang w:val="en-CA"/>
        </w:rPr>
        <w:footnoteReference w:id="12"/>
      </w:r>
    </w:p>
    <w:p w14:paraId="2B46B1AC" w14:textId="521AE767" w:rsidR="008663B5" w:rsidRPr="00632B6C" w:rsidRDefault="008663B5" w:rsidP="00324897">
      <w:pPr>
        <w:pStyle w:val="Citationenretrai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20C592AC" w14:textId="672186DF"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Well, the</w:t>
      </w:r>
      <w:r w:rsidR="008D7DF2">
        <w:rPr>
          <w:szCs w:val="22"/>
          <w:lang w:val="en-CA"/>
        </w:rPr>
        <w:t>se people</w:t>
      </w:r>
      <w:r w:rsidR="005B3B9F" w:rsidRPr="00632B6C">
        <w:rPr>
          <w:szCs w:val="22"/>
          <w:lang w:val="en-CA"/>
        </w:rPr>
        <w:t xml:space="preserve"> are related to the project, so we want valid sales to people who are not involved in the project.</w:t>
      </w:r>
    </w:p>
    <w:p w14:paraId="569882FC" w14:textId="24A57BF4" w:rsidR="00B2165C" w:rsidRPr="00632B6C" w:rsidRDefault="005B3B9F" w:rsidP="00324897">
      <w:pPr>
        <w:pStyle w:val="Citationenretrait"/>
        <w:rPr>
          <w:szCs w:val="22"/>
          <w:lang w:val="en-CA"/>
        </w:rPr>
      </w:pPr>
      <w:r w:rsidRPr="00632B6C">
        <w:rPr>
          <w:szCs w:val="22"/>
          <w:lang w:val="en-CA"/>
        </w:rPr>
        <w:t xml:space="preserve">Q. My question </w:t>
      </w:r>
      <w:r w:rsidR="000B13B7">
        <w:rPr>
          <w:szCs w:val="22"/>
          <w:lang w:val="en-CA"/>
        </w:rPr>
        <w:t xml:space="preserve">is based more on </w:t>
      </w:r>
      <w:r w:rsidR="003024A6">
        <w:rPr>
          <w:szCs w:val="22"/>
          <w:lang w:val="en-CA"/>
        </w:rPr>
        <w:t xml:space="preserve">the fact that </w:t>
      </w:r>
      <w:r w:rsidRPr="00632B6C">
        <w:rPr>
          <w:szCs w:val="22"/>
          <w:lang w:val="en-CA"/>
        </w:rPr>
        <w:t xml:space="preserve">nothing </w:t>
      </w:r>
      <w:r w:rsidR="003024A6">
        <w:rPr>
          <w:szCs w:val="22"/>
          <w:lang w:val="en-CA"/>
        </w:rPr>
        <w:t>presupposes</w:t>
      </w:r>
      <w:r w:rsidR="003024A6" w:rsidRPr="00632B6C">
        <w:rPr>
          <w:szCs w:val="22"/>
          <w:lang w:val="en-CA"/>
        </w:rPr>
        <w:t xml:space="preserve"> </w:t>
      </w:r>
      <w:r w:rsidRPr="00632B6C">
        <w:rPr>
          <w:szCs w:val="22"/>
          <w:lang w:val="en-CA"/>
        </w:rPr>
        <w:t xml:space="preserve">that someone related to the project </w:t>
      </w:r>
      <w:r w:rsidR="003024A6">
        <w:rPr>
          <w:szCs w:val="22"/>
          <w:lang w:val="en-CA"/>
        </w:rPr>
        <w:t>is</w:t>
      </w:r>
      <w:r w:rsidR="003024A6" w:rsidRPr="00632B6C">
        <w:rPr>
          <w:szCs w:val="22"/>
          <w:lang w:val="en-CA"/>
        </w:rPr>
        <w:t xml:space="preserve"> </w:t>
      </w:r>
      <w:r w:rsidRPr="00632B6C">
        <w:rPr>
          <w:szCs w:val="22"/>
          <w:lang w:val="en-CA"/>
        </w:rPr>
        <w:t xml:space="preserve">invalid </w:t>
      </w:r>
      <w:r w:rsidRPr="008D7DF2">
        <w:rPr>
          <w:i/>
          <w:iCs/>
          <w:szCs w:val="22"/>
          <w:lang w:val="en-CA"/>
        </w:rPr>
        <w:t>per se</w:t>
      </w:r>
      <w:r w:rsidRPr="00632B6C">
        <w:rPr>
          <w:szCs w:val="22"/>
          <w:lang w:val="en-CA"/>
        </w:rPr>
        <w:t xml:space="preserve"> unless it</w:t>
      </w:r>
      <w:r w:rsidR="003024A6">
        <w:rPr>
          <w:szCs w:val="22"/>
          <w:lang w:val="en-CA"/>
        </w:rPr>
        <w:t xml:space="preserve">’s </w:t>
      </w:r>
      <w:r w:rsidR="00BE5D1C">
        <w:rPr>
          <w:szCs w:val="22"/>
          <w:lang w:val="en-CA"/>
        </w:rPr>
        <w:t>usual</w:t>
      </w:r>
      <w:r w:rsidR="00BE5D1C" w:rsidRPr="00632B6C">
        <w:rPr>
          <w:szCs w:val="22"/>
          <w:lang w:val="en-CA"/>
        </w:rPr>
        <w:t xml:space="preserve"> </w:t>
      </w:r>
      <w:r w:rsidRPr="00632B6C">
        <w:rPr>
          <w:szCs w:val="22"/>
          <w:lang w:val="en-CA"/>
        </w:rPr>
        <w:t xml:space="preserve">or </w:t>
      </w:r>
      <w:r w:rsidR="00BE5D1C">
        <w:rPr>
          <w:szCs w:val="22"/>
          <w:lang w:val="en-CA"/>
        </w:rPr>
        <w:t xml:space="preserve">a </w:t>
      </w:r>
      <w:r w:rsidRPr="00632B6C">
        <w:rPr>
          <w:szCs w:val="22"/>
          <w:lang w:val="en-CA"/>
        </w:rPr>
        <w:t xml:space="preserve">way of doing business, </w:t>
      </w:r>
      <w:r w:rsidR="003024A6">
        <w:rPr>
          <w:szCs w:val="22"/>
          <w:lang w:val="en-CA"/>
        </w:rPr>
        <w:t>but</w:t>
      </w:r>
      <w:r w:rsidR="003024A6" w:rsidRPr="00632B6C">
        <w:rPr>
          <w:szCs w:val="22"/>
          <w:lang w:val="en-CA"/>
        </w:rPr>
        <w:t xml:space="preserve"> </w:t>
      </w:r>
      <w:r w:rsidRPr="00632B6C">
        <w:rPr>
          <w:szCs w:val="22"/>
          <w:lang w:val="en-CA"/>
        </w:rPr>
        <w:t xml:space="preserve">if the Point Zéro </w:t>
      </w:r>
      <w:r w:rsidR="008D7DF2">
        <w:rPr>
          <w:szCs w:val="22"/>
          <w:lang w:val="en-CA"/>
        </w:rPr>
        <w:t xml:space="preserve">owner wanted to </w:t>
      </w:r>
      <w:r w:rsidRPr="00632B6C">
        <w:rPr>
          <w:szCs w:val="22"/>
          <w:lang w:val="en-CA"/>
        </w:rPr>
        <w:t xml:space="preserve">purchase two in the project and </w:t>
      </w:r>
      <w:r w:rsidR="008D7DF2">
        <w:rPr>
          <w:szCs w:val="22"/>
          <w:lang w:val="en-CA"/>
        </w:rPr>
        <w:t>also</w:t>
      </w:r>
      <w:r w:rsidRPr="00632B6C">
        <w:rPr>
          <w:szCs w:val="22"/>
          <w:lang w:val="en-CA"/>
        </w:rPr>
        <w:t xml:space="preserve"> </w:t>
      </w:r>
      <w:r w:rsidR="008D7DF2">
        <w:rPr>
          <w:szCs w:val="22"/>
          <w:lang w:val="en-CA"/>
        </w:rPr>
        <w:t>gave</w:t>
      </w:r>
      <w:r w:rsidRPr="00632B6C">
        <w:rPr>
          <w:szCs w:val="22"/>
          <w:lang w:val="en-CA"/>
        </w:rPr>
        <w:t xml:space="preserve"> $4</w:t>
      </w:r>
      <w:r w:rsidR="00BB3642">
        <w:rPr>
          <w:szCs w:val="22"/>
          <w:lang w:val="en-CA"/>
        </w:rPr>
        <w:t> </w:t>
      </w:r>
      <w:r w:rsidRPr="00632B6C">
        <w:rPr>
          <w:szCs w:val="22"/>
          <w:lang w:val="en-CA"/>
        </w:rPr>
        <w:t xml:space="preserve">million </w:t>
      </w:r>
      <w:r w:rsidR="008D7DF2">
        <w:rPr>
          <w:szCs w:val="22"/>
          <w:lang w:val="en-CA"/>
        </w:rPr>
        <w:t xml:space="preserve">to </w:t>
      </w:r>
      <w:r w:rsidRPr="00632B6C">
        <w:rPr>
          <w:szCs w:val="22"/>
          <w:lang w:val="en-CA"/>
        </w:rPr>
        <w:t>the project, I don’t see why this would automatically invalidate any sale. So</w:t>
      </w:r>
      <w:r w:rsidR="008D7DF2">
        <w:rPr>
          <w:szCs w:val="22"/>
          <w:lang w:val="en-CA"/>
        </w:rPr>
        <w:t>,</w:t>
      </w:r>
      <w:r w:rsidRPr="00632B6C">
        <w:rPr>
          <w:szCs w:val="22"/>
          <w:lang w:val="en-CA"/>
        </w:rPr>
        <w:t xml:space="preserve"> I</w:t>
      </w:r>
      <w:r w:rsidR="008D7DF2">
        <w:rPr>
          <w:szCs w:val="22"/>
          <w:lang w:val="en-CA"/>
        </w:rPr>
        <w:t xml:space="preserve">’m </w:t>
      </w:r>
      <w:r w:rsidRPr="00632B6C">
        <w:rPr>
          <w:szCs w:val="22"/>
          <w:lang w:val="en-CA"/>
        </w:rPr>
        <w:t xml:space="preserve">looking for </w:t>
      </w:r>
      <w:r w:rsidR="00D164B7">
        <w:rPr>
          <w:szCs w:val="22"/>
          <w:lang w:val="en-CA"/>
        </w:rPr>
        <w:t>your</w:t>
      </w:r>
      <w:r w:rsidR="00D164B7" w:rsidRPr="00632B6C">
        <w:rPr>
          <w:szCs w:val="22"/>
          <w:lang w:val="en-CA"/>
        </w:rPr>
        <w:t xml:space="preserve"> </w:t>
      </w:r>
      <w:r w:rsidRPr="00632B6C">
        <w:rPr>
          <w:szCs w:val="22"/>
          <w:lang w:val="en-CA"/>
        </w:rPr>
        <w:t>reason behind this.</w:t>
      </w:r>
    </w:p>
    <w:p w14:paraId="33E5E7B9" w14:textId="7F70D1BA"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Perfect.</w:t>
      </w:r>
    </w:p>
    <w:p w14:paraId="15F76672" w14:textId="13EEFA54" w:rsidR="00B2165C" w:rsidRPr="00632B6C" w:rsidRDefault="005B3B9F" w:rsidP="00324897">
      <w:pPr>
        <w:pStyle w:val="Citationenretrait"/>
        <w:rPr>
          <w:szCs w:val="22"/>
          <w:lang w:val="en-CA"/>
        </w:rPr>
      </w:pPr>
      <w:r w:rsidRPr="00632B6C">
        <w:rPr>
          <w:szCs w:val="22"/>
          <w:lang w:val="en-CA"/>
        </w:rPr>
        <w:t>Q. Do you have one or not?</w:t>
      </w:r>
    </w:p>
    <w:p w14:paraId="4F21ECC5" w14:textId="0249B3C2"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Well, </w:t>
      </w:r>
      <w:r w:rsidR="008D7DF2">
        <w:rPr>
          <w:szCs w:val="22"/>
          <w:lang w:val="en-CA"/>
        </w:rPr>
        <w:t xml:space="preserve">in fact, </w:t>
      </w:r>
      <w:r w:rsidR="005B3B9F" w:rsidRPr="00632B6C">
        <w:rPr>
          <w:szCs w:val="22"/>
          <w:lang w:val="en-CA"/>
        </w:rPr>
        <w:t>our internal rule is that when pe</w:t>
      </w:r>
      <w:r w:rsidR="00D164B7">
        <w:rPr>
          <w:szCs w:val="22"/>
          <w:lang w:val="en-CA"/>
        </w:rPr>
        <w:t>ople</w:t>
      </w:r>
      <w:r w:rsidR="005B3B9F" w:rsidRPr="00632B6C">
        <w:rPr>
          <w:szCs w:val="22"/>
          <w:lang w:val="en-CA"/>
        </w:rPr>
        <w:t xml:space="preserve"> </w:t>
      </w:r>
      <w:r w:rsidR="00D164B7">
        <w:rPr>
          <w:szCs w:val="22"/>
          <w:lang w:val="en-CA"/>
        </w:rPr>
        <w:t xml:space="preserve">are </w:t>
      </w:r>
      <w:r w:rsidR="005B3B9F" w:rsidRPr="00632B6C">
        <w:rPr>
          <w:szCs w:val="22"/>
          <w:lang w:val="en-CA"/>
        </w:rPr>
        <w:t>related to the project, the sale... we assess the file based on sales to people who are not involved in the project, including the borrower.</w:t>
      </w:r>
    </w:p>
    <w:p w14:paraId="638514BC" w14:textId="0CFACD2C" w:rsidR="00B2165C" w:rsidRPr="00632B6C" w:rsidRDefault="005B3B9F" w:rsidP="00324897">
      <w:pPr>
        <w:pStyle w:val="Citationenretrait"/>
        <w:rPr>
          <w:szCs w:val="22"/>
          <w:lang w:val="en-CA"/>
        </w:rPr>
      </w:pPr>
      <w:r w:rsidRPr="00632B6C">
        <w:rPr>
          <w:szCs w:val="22"/>
          <w:lang w:val="en-CA"/>
        </w:rPr>
        <w:t>…</w:t>
      </w:r>
    </w:p>
    <w:p w14:paraId="037961F8" w14:textId="6081D15F" w:rsidR="00B2165C" w:rsidRPr="00632B6C" w:rsidRDefault="005B3B9F" w:rsidP="00324897">
      <w:pPr>
        <w:pStyle w:val="Citationenretrait"/>
        <w:rPr>
          <w:szCs w:val="22"/>
          <w:lang w:val="en-CA"/>
        </w:rPr>
      </w:pPr>
      <w:r w:rsidRPr="00632B6C">
        <w:rPr>
          <w:szCs w:val="22"/>
          <w:lang w:val="en-CA"/>
        </w:rPr>
        <w:t xml:space="preserve">Q. Perfect. And the internal </w:t>
      </w:r>
      <w:r w:rsidR="00BE5D1C">
        <w:rPr>
          <w:szCs w:val="22"/>
          <w:lang w:val="en-CA"/>
        </w:rPr>
        <w:t>guidelines</w:t>
      </w:r>
      <w:r w:rsidRPr="00632B6C">
        <w:rPr>
          <w:szCs w:val="22"/>
          <w:lang w:val="en-CA"/>
        </w:rPr>
        <w:t>, are they actually disclosed to the borrower? D</w:t>
      </w:r>
      <w:r w:rsidR="008D7DF2">
        <w:rPr>
          <w:szCs w:val="22"/>
          <w:lang w:val="en-CA"/>
        </w:rPr>
        <w:t>oes</w:t>
      </w:r>
      <w:r w:rsidRPr="00632B6C">
        <w:rPr>
          <w:szCs w:val="22"/>
          <w:lang w:val="en-CA"/>
        </w:rPr>
        <w:t xml:space="preserve"> </w:t>
      </w:r>
      <w:r w:rsidR="008D7DF2">
        <w:rPr>
          <w:szCs w:val="22"/>
          <w:lang w:val="en-CA"/>
        </w:rPr>
        <w:t>t</w:t>
      </w:r>
      <w:r w:rsidRPr="00632B6C">
        <w:rPr>
          <w:szCs w:val="22"/>
          <w:lang w:val="en-CA"/>
        </w:rPr>
        <w:t xml:space="preserve">he </w:t>
      </w:r>
      <w:r w:rsidR="008D7DF2">
        <w:rPr>
          <w:szCs w:val="22"/>
          <w:lang w:val="en-CA"/>
        </w:rPr>
        <w:t xml:space="preserve">borrower </w:t>
      </w:r>
      <w:r w:rsidRPr="00632B6C">
        <w:rPr>
          <w:szCs w:val="22"/>
          <w:lang w:val="en-CA"/>
        </w:rPr>
        <w:t>know your reason</w:t>
      </w:r>
      <w:r w:rsidR="008D7DF2">
        <w:rPr>
          <w:szCs w:val="22"/>
          <w:lang w:val="en-CA"/>
        </w:rPr>
        <w:t>ing</w:t>
      </w:r>
      <w:r w:rsidRPr="00632B6C">
        <w:rPr>
          <w:szCs w:val="22"/>
          <w:lang w:val="en-CA"/>
        </w:rPr>
        <w:t xml:space="preserve"> or concerns regarding the risk analysis?</w:t>
      </w:r>
    </w:p>
    <w:p w14:paraId="62B00942" w14:textId="363365C2"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Well, it stays </w:t>
      </w:r>
      <w:r w:rsidR="008D7DF2">
        <w:rPr>
          <w:szCs w:val="22"/>
          <w:lang w:val="en-CA"/>
        </w:rPr>
        <w:t>in-house</w:t>
      </w:r>
      <w:r w:rsidR="005B3B9F" w:rsidRPr="00632B6C">
        <w:rPr>
          <w:szCs w:val="22"/>
          <w:lang w:val="en-CA"/>
        </w:rPr>
        <w:t>.</w:t>
      </w:r>
    </w:p>
    <w:p w14:paraId="16602297" w14:textId="2D69ADE3" w:rsidR="00B2165C" w:rsidRPr="00632B6C" w:rsidRDefault="005B3B9F" w:rsidP="00324897">
      <w:pPr>
        <w:pStyle w:val="Citationenretrait"/>
        <w:rPr>
          <w:szCs w:val="22"/>
          <w:lang w:val="en-CA"/>
        </w:rPr>
      </w:pPr>
      <w:r w:rsidRPr="00632B6C">
        <w:rPr>
          <w:szCs w:val="22"/>
          <w:lang w:val="en-CA"/>
        </w:rPr>
        <w:lastRenderedPageBreak/>
        <w:t xml:space="preserve">Q. It stays </w:t>
      </w:r>
      <w:r w:rsidR="008D7DF2">
        <w:rPr>
          <w:szCs w:val="22"/>
          <w:lang w:val="en-CA"/>
        </w:rPr>
        <w:t>in-house</w:t>
      </w:r>
      <w:r w:rsidRPr="00632B6C">
        <w:rPr>
          <w:szCs w:val="22"/>
          <w:lang w:val="en-CA"/>
        </w:rPr>
        <w:t>?</w:t>
      </w:r>
    </w:p>
    <w:p w14:paraId="011BA6C5" w14:textId="33D24CD7" w:rsidR="00B2165C" w:rsidRPr="00632B6C" w:rsidRDefault="00673940" w:rsidP="00324897">
      <w:pPr>
        <w:pStyle w:val="Citationenretrait"/>
        <w:rPr>
          <w:szCs w:val="22"/>
          <w:lang w:val="en-CA"/>
        </w:rPr>
      </w:pPr>
      <w:r w:rsidRPr="00632B6C">
        <w:rPr>
          <w:szCs w:val="22"/>
          <w:lang w:val="en-CA"/>
        </w:rPr>
        <w:t>A.</w:t>
      </w:r>
      <w:r w:rsidR="005B3B9F" w:rsidRPr="00632B6C">
        <w:rPr>
          <w:szCs w:val="22"/>
          <w:lang w:val="en-CA"/>
        </w:rPr>
        <w:t xml:space="preserve"> We have risk measures</w:t>
      </w:r>
      <w:r w:rsidR="008D7DF2">
        <w:rPr>
          <w:szCs w:val="22"/>
          <w:lang w:val="en-CA"/>
        </w:rPr>
        <w:t>,</w:t>
      </w:r>
      <w:r w:rsidR="005B3B9F" w:rsidRPr="00632B6C">
        <w:rPr>
          <w:szCs w:val="22"/>
          <w:lang w:val="en-CA"/>
        </w:rPr>
        <w:t xml:space="preserve"> and we don’t have to </w:t>
      </w:r>
      <w:r w:rsidR="00963D50">
        <w:rPr>
          <w:szCs w:val="22"/>
          <w:lang w:val="en-CA"/>
        </w:rPr>
        <w:t xml:space="preserve">justify </w:t>
      </w:r>
      <w:r w:rsidR="005B3B9F" w:rsidRPr="00632B6C">
        <w:rPr>
          <w:szCs w:val="22"/>
          <w:lang w:val="en-CA"/>
        </w:rPr>
        <w:t xml:space="preserve">our own risk analysis </w:t>
      </w:r>
      <w:r w:rsidR="00963D50">
        <w:rPr>
          <w:szCs w:val="22"/>
          <w:lang w:val="en-CA"/>
        </w:rPr>
        <w:t xml:space="preserve">to the borrower </w:t>
      </w:r>
      <w:r w:rsidR="005B3B9F" w:rsidRPr="00632B6C">
        <w:rPr>
          <w:szCs w:val="22"/>
          <w:lang w:val="en-CA"/>
        </w:rPr>
        <w:t xml:space="preserve">when we </w:t>
      </w:r>
      <w:r w:rsidR="00010B8B">
        <w:rPr>
          <w:szCs w:val="22"/>
          <w:lang w:val="en-CA"/>
        </w:rPr>
        <w:t>refuse</w:t>
      </w:r>
      <w:r w:rsidR="00963D50">
        <w:rPr>
          <w:szCs w:val="22"/>
          <w:lang w:val="en-CA"/>
        </w:rPr>
        <w:t xml:space="preserve"> </w:t>
      </w:r>
      <w:r w:rsidR="005B3B9F" w:rsidRPr="00632B6C">
        <w:rPr>
          <w:szCs w:val="22"/>
          <w:lang w:val="en-CA"/>
        </w:rPr>
        <w:t>a project ...</w:t>
      </w:r>
    </w:p>
    <w:p w14:paraId="1CD9719D" w14:textId="06B10AB3" w:rsidR="00B2165C" w:rsidRPr="00632B6C" w:rsidRDefault="007F714D" w:rsidP="00324897">
      <w:pPr>
        <w:pStyle w:val="Paragraphe"/>
        <w:tabs>
          <w:tab w:val="clear" w:pos="720"/>
          <w:tab w:val="num" w:pos="709"/>
        </w:tabs>
        <w:spacing w:line="240" w:lineRule="auto"/>
        <w:rPr>
          <w:lang w:val="en-CA"/>
        </w:rPr>
      </w:pPr>
      <w:r w:rsidRPr="00632B6C">
        <w:rPr>
          <w:lang w:val="en-CA"/>
        </w:rPr>
        <w:t xml:space="preserve">It is difficult in such circumstances to argue that the Notary or GIR should have known that the Bank was going to withdraw its offer </w:t>
      </w:r>
      <w:r w:rsidR="00963D50">
        <w:rPr>
          <w:lang w:val="en-CA"/>
        </w:rPr>
        <w:t xml:space="preserve">based on </w:t>
      </w:r>
      <w:r w:rsidRPr="00632B6C">
        <w:rPr>
          <w:lang w:val="en-CA"/>
        </w:rPr>
        <w:t xml:space="preserve">internal </w:t>
      </w:r>
      <w:r w:rsidR="00952D32">
        <w:rPr>
          <w:lang w:val="en-CA"/>
        </w:rPr>
        <w:t>guidelines</w:t>
      </w:r>
      <w:r w:rsidRPr="00632B6C">
        <w:rPr>
          <w:lang w:val="en-CA"/>
        </w:rPr>
        <w:t xml:space="preserve"> </w:t>
      </w:r>
      <w:r w:rsidR="00952D32">
        <w:rPr>
          <w:lang w:val="en-CA"/>
        </w:rPr>
        <w:t xml:space="preserve">not </w:t>
      </w:r>
      <w:r w:rsidR="00C84C59">
        <w:rPr>
          <w:lang w:val="en-CA"/>
        </w:rPr>
        <w:t>communicated to</w:t>
      </w:r>
      <w:r w:rsidR="00B1083A">
        <w:rPr>
          <w:lang w:val="en-CA"/>
        </w:rPr>
        <w:t xml:space="preserve"> </w:t>
      </w:r>
      <w:r w:rsidRPr="00632B6C">
        <w:rPr>
          <w:lang w:val="en-CA"/>
        </w:rPr>
        <w:t xml:space="preserve">the </w:t>
      </w:r>
      <w:r w:rsidR="00952D32">
        <w:rPr>
          <w:lang w:val="en-CA"/>
        </w:rPr>
        <w:t>Developer that were not satisfied</w:t>
      </w:r>
      <w:r w:rsidRPr="00632B6C">
        <w:rPr>
          <w:lang w:val="en-CA"/>
        </w:rPr>
        <w:t>.</w:t>
      </w:r>
    </w:p>
    <w:p w14:paraId="5CE867A8" w14:textId="5EE3DF8C" w:rsidR="00B2165C" w:rsidRPr="00632B6C" w:rsidRDefault="007F714D" w:rsidP="00324897">
      <w:pPr>
        <w:pStyle w:val="Paragraphe"/>
        <w:tabs>
          <w:tab w:val="clear" w:pos="720"/>
          <w:tab w:val="num" w:pos="709"/>
        </w:tabs>
        <w:spacing w:line="240" w:lineRule="auto"/>
        <w:rPr>
          <w:lang w:val="en-CA"/>
        </w:rPr>
      </w:pPr>
      <w:r w:rsidRPr="00632B6C">
        <w:rPr>
          <w:lang w:val="en-CA"/>
        </w:rPr>
        <w:t xml:space="preserve">Last, the loan agreement </w:t>
      </w:r>
      <w:r w:rsidR="00B1083A">
        <w:rPr>
          <w:lang w:val="en-CA"/>
        </w:rPr>
        <w:t>entered into</w:t>
      </w:r>
      <w:r w:rsidR="00B1083A" w:rsidRPr="00632B6C">
        <w:rPr>
          <w:lang w:val="en-CA"/>
        </w:rPr>
        <w:t xml:space="preserve"> </w:t>
      </w:r>
      <w:r w:rsidRPr="00632B6C">
        <w:rPr>
          <w:lang w:val="en-CA"/>
        </w:rPr>
        <w:t xml:space="preserve">with the Bank in May 2014, the date on which most of the disbursements had already been made, followed by the publication of a hypothec by the Bank, show that the process to obtain financing was </w:t>
      </w:r>
      <w:r w:rsidR="003A5AC7">
        <w:rPr>
          <w:lang w:val="en-CA"/>
        </w:rPr>
        <w:t>on course</w:t>
      </w:r>
      <w:r w:rsidRPr="00632B6C">
        <w:rPr>
          <w:lang w:val="en-CA"/>
        </w:rPr>
        <w:t>.</w:t>
      </w:r>
      <w:r w:rsidR="005B3B9F" w:rsidRPr="00632B6C">
        <w:rPr>
          <w:lang w:val="en-CA"/>
        </w:rPr>
        <w:t xml:space="preserve"> </w:t>
      </w:r>
      <w:r w:rsidRPr="00632B6C">
        <w:rPr>
          <w:lang w:val="en-CA"/>
        </w:rPr>
        <w:t>Nothing suggested that it would fail.</w:t>
      </w:r>
    </w:p>
    <w:p w14:paraId="5ADD7248" w14:textId="07728D28" w:rsidR="00B2165C" w:rsidRPr="00632B6C" w:rsidRDefault="00B1083A" w:rsidP="00324897">
      <w:pPr>
        <w:pStyle w:val="Paragraphe"/>
        <w:tabs>
          <w:tab w:val="clear" w:pos="720"/>
          <w:tab w:val="num" w:pos="709"/>
        </w:tabs>
        <w:spacing w:line="240" w:lineRule="auto"/>
        <w:rPr>
          <w:lang w:val="en-CA"/>
        </w:rPr>
      </w:pPr>
      <w:bookmarkStart w:id="9" w:name="_Ref103184023"/>
      <w:r>
        <w:rPr>
          <w:lang w:val="en-CA"/>
        </w:rPr>
        <w:t>A</w:t>
      </w:r>
      <w:r w:rsidRPr="00632B6C">
        <w:rPr>
          <w:lang w:val="en-CA"/>
        </w:rPr>
        <w:t xml:space="preserve"> </w:t>
      </w:r>
      <w:r w:rsidR="007F714D" w:rsidRPr="00632B6C">
        <w:rPr>
          <w:lang w:val="en-CA"/>
        </w:rPr>
        <w:t xml:space="preserve">notary’s duty to advise is guided by the notary’s mandate and by the circumstances, including the </w:t>
      </w:r>
      <w:r w:rsidR="00963D50" w:rsidRPr="00632B6C">
        <w:rPr>
          <w:rFonts w:cs="Arial"/>
          <w:bCs/>
          <w:szCs w:val="22"/>
          <w:lang w:val="en-CA"/>
        </w:rPr>
        <w:t>[</w:t>
      </w:r>
      <w:r w:rsidR="00963D50" w:rsidRPr="00632B6C">
        <w:rPr>
          <w:rFonts w:cs="Arial"/>
          <w:bCs/>
          <w:smallCaps/>
          <w:szCs w:val="22"/>
          <w:lang w:val="en-CA"/>
        </w:rPr>
        <w:t>translation</w:t>
      </w:r>
      <w:r w:rsidR="00963D50" w:rsidRPr="00632B6C">
        <w:rPr>
          <w:rFonts w:cs="Arial"/>
          <w:bCs/>
          <w:szCs w:val="22"/>
          <w:lang w:val="en-CA"/>
        </w:rPr>
        <w:t>]</w:t>
      </w:r>
      <w:r w:rsidR="00963D50" w:rsidRPr="00632B6C">
        <w:rPr>
          <w:lang w:val="en-CA"/>
        </w:rPr>
        <w:t xml:space="preserve"> </w:t>
      </w:r>
      <w:r w:rsidR="007F714D" w:rsidRPr="00632B6C">
        <w:rPr>
          <w:lang w:val="en-CA"/>
        </w:rPr>
        <w:t>“transaction’s level of risk”.</w:t>
      </w:r>
      <w:r w:rsidR="005B3B9F" w:rsidRPr="00632B6C">
        <w:rPr>
          <w:rStyle w:val="Appelnotedebasdep"/>
          <w:lang w:val="en-CA"/>
        </w:rPr>
        <w:footnoteReference w:id="13"/>
      </w:r>
      <w:bookmarkEnd w:id="9"/>
      <w:r w:rsidR="005B3B9F" w:rsidRPr="00632B6C">
        <w:rPr>
          <w:lang w:val="en-CA"/>
        </w:rPr>
        <w:t xml:space="preserve"> </w:t>
      </w:r>
      <w:r w:rsidR="00963D50">
        <w:rPr>
          <w:lang w:val="en-CA"/>
        </w:rPr>
        <w:t>Naturally,</w:t>
      </w:r>
      <w:r w:rsidR="00963D50" w:rsidRPr="00632B6C">
        <w:rPr>
          <w:lang w:val="en-CA"/>
        </w:rPr>
        <w:t xml:space="preserve"> </w:t>
      </w:r>
      <w:r w:rsidR="00963D50">
        <w:rPr>
          <w:lang w:val="en-CA"/>
        </w:rPr>
        <w:t>t</w:t>
      </w:r>
      <w:r w:rsidR="007F714D" w:rsidRPr="00632B6C">
        <w:rPr>
          <w:lang w:val="en-CA"/>
        </w:rPr>
        <w:t xml:space="preserve">here is an obligation of result when the mandate is clear, for example, when the contract </w:t>
      </w:r>
      <w:r w:rsidR="00963D50">
        <w:rPr>
          <w:lang w:val="en-CA"/>
        </w:rPr>
        <w:t xml:space="preserve">stipulates </w:t>
      </w:r>
      <w:r w:rsidR="007F714D" w:rsidRPr="00632B6C">
        <w:rPr>
          <w:lang w:val="en-CA"/>
        </w:rPr>
        <w:t xml:space="preserve">specific conditions for disbursing </w:t>
      </w:r>
      <w:r w:rsidR="000B13B7">
        <w:rPr>
          <w:lang w:val="en-CA"/>
        </w:rPr>
        <w:t>amounts</w:t>
      </w:r>
      <w:r w:rsidR="007F714D" w:rsidRPr="00632B6C">
        <w:rPr>
          <w:lang w:val="en-CA"/>
        </w:rPr>
        <w:t>.</w:t>
      </w:r>
      <w:r w:rsidR="005B3B9F" w:rsidRPr="00632B6C">
        <w:rPr>
          <w:rStyle w:val="Appelnotedebasdep"/>
          <w:lang w:val="en-CA"/>
        </w:rPr>
        <w:footnoteReference w:id="14"/>
      </w:r>
    </w:p>
    <w:p w14:paraId="7C761902" w14:textId="1101F3FF" w:rsidR="00B2165C" w:rsidRPr="00632B6C" w:rsidRDefault="007F714D" w:rsidP="00A136D7">
      <w:pPr>
        <w:pStyle w:val="Paragraphe"/>
        <w:keepNext/>
        <w:tabs>
          <w:tab w:val="clear" w:pos="720"/>
          <w:tab w:val="num" w:pos="709"/>
        </w:tabs>
        <w:spacing w:line="240" w:lineRule="auto"/>
        <w:rPr>
          <w:lang w:val="en-CA"/>
        </w:rPr>
      </w:pPr>
      <w:r w:rsidRPr="00632B6C">
        <w:rPr>
          <w:lang w:val="en-CA"/>
        </w:rPr>
        <w:t xml:space="preserve">When performing their obligation as mandatory and depositary, notaries also have </w:t>
      </w:r>
      <w:r w:rsidR="00963D50">
        <w:rPr>
          <w:lang w:val="en-CA"/>
        </w:rPr>
        <w:t>a</w:t>
      </w:r>
      <w:r w:rsidRPr="00632B6C">
        <w:rPr>
          <w:lang w:val="en-CA"/>
        </w:rPr>
        <w:t xml:space="preserve"> duty to advise, the scope of which varies according to the circumstances. As author Gabriel-Arnaud Berthold explains:</w:t>
      </w:r>
      <w:r w:rsidR="005B3B9F" w:rsidRPr="00632B6C">
        <w:rPr>
          <w:rStyle w:val="Appelnotedebasdep"/>
          <w:lang w:val="en-CA"/>
        </w:rPr>
        <w:footnoteReference w:id="15"/>
      </w:r>
    </w:p>
    <w:p w14:paraId="163B8DF8" w14:textId="72668065" w:rsidR="000629CC" w:rsidRPr="00632B6C" w:rsidRDefault="000629CC" w:rsidP="00A136D7">
      <w:pPr>
        <w:pStyle w:val="Citationenretrait"/>
        <w:keepNext/>
        <w:rPr>
          <w:bCs/>
          <w:szCs w:val="22"/>
          <w:lang w:val="en-CA"/>
        </w:rPr>
      </w:pPr>
      <w:r w:rsidRPr="00632B6C">
        <w:rPr>
          <w:rFonts w:cs="Arial"/>
          <w:bCs/>
          <w:szCs w:val="22"/>
          <w:lang w:val="en-CA"/>
        </w:rPr>
        <w:t>[</w:t>
      </w:r>
      <w:r w:rsidRPr="00632B6C">
        <w:rPr>
          <w:rFonts w:cs="Arial"/>
          <w:bCs/>
          <w:smallCaps/>
          <w:szCs w:val="22"/>
          <w:lang w:val="en-CA"/>
        </w:rPr>
        <w:t>translation</w:t>
      </w:r>
      <w:r w:rsidRPr="00632B6C">
        <w:rPr>
          <w:rFonts w:cs="Arial"/>
          <w:bCs/>
          <w:szCs w:val="22"/>
          <w:lang w:val="en-CA"/>
        </w:rPr>
        <w:t>]</w:t>
      </w:r>
    </w:p>
    <w:p w14:paraId="59AA4E4C" w14:textId="2D9F96F3" w:rsidR="00B2165C" w:rsidRPr="00632B6C" w:rsidRDefault="005B3B9F" w:rsidP="00A136D7">
      <w:pPr>
        <w:pStyle w:val="Citationenretrait"/>
        <w:keepNext/>
        <w:rPr>
          <w:szCs w:val="22"/>
          <w:lang w:val="en-CA"/>
        </w:rPr>
      </w:pPr>
      <w:r w:rsidRPr="00632B6C">
        <w:rPr>
          <w:b/>
          <w:szCs w:val="22"/>
          <w:lang w:val="en-CA"/>
        </w:rPr>
        <w:t>247.</w:t>
      </w:r>
      <w:r w:rsidRPr="00632B6C">
        <w:rPr>
          <w:szCs w:val="22"/>
          <w:lang w:val="en-CA"/>
        </w:rPr>
        <w:t xml:space="preserve"> </w:t>
      </w:r>
      <w:r w:rsidR="007F714D" w:rsidRPr="00632B6C">
        <w:rPr>
          <w:i/>
          <w:szCs w:val="22"/>
          <w:lang w:val="en-CA"/>
        </w:rPr>
        <w:t xml:space="preserve">Obligation to advise and parties’ instructions </w:t>
      </w:r>
      <w:r w:rsidR="00D059C0">
        <w:rPr>
          <w:i/>
          <w:szCs w:val="22"/>
          <w:lang w:val="en-CA"/>
        </w:rPr>
        <w:t>–</w:t>
      </w:r>
      <w:r w:rsidR="007F714D" w:rsidRPr="00632B6C">
        <w:rPr>
          <w:i/>
          <w:szCs w:val="22"/>
          <w:lang w:val="en-CA"/>
        </w:rPr>
        <w:t xml:space="preserve"> </w:t>
      </w:r>
      <w:r w:rsidR="007F714D" w:rsidRPr="00632B6C">
        <w:rPr>
          <w:iCs/>
          <w:szCs w:val="22"/>
          <w:lang w:val="en-CA"/>
        </w:rPr>
        <w:t xml:space="preserve">These </w:t>
      </w:r>
      <w:r w:rsidR="00963D50" w:rsidRPr="00632B6C">
        <w:rPr>
          <w:rFonts w:cs="Arial"/>
          <w:bCs/>
          <w:szCs w:val="22"/>
          <w:lang w:val="en-CA"/>
        </w:rPr>
        <w:t>[</w:t>
      </w:r>
      <w:r w:rsidR="00963D50" w:rsidRPr="00632B6C">
        <w:rPr>
          <w:rFonts w:cs="Arial"/>
          <w:bCs/>
          <w:smallCaps/>
          <w:szCs w:val="22"/>
          <w:lang w:val="en-CA"/>
        </w:rPr>
        <w:t>translation</w:t>
      </w:r>
      <w:r w:rsidR="00963D50" w:rsidRPr="00632B6C">
        <w:rPr>
          <w:rFonts w:cs="Arial"/>
          <w:bCs/>
          <w:szCs w:val="22"/>
          <w:lang w:val="en-CA"/>
        </w:rPr>
        <w:t>]</w:t>
      </w:r>
      <w:r w:rsidR="00963D50" w:rsidRPr="00632B6C">
        <w:rPr>
          <w:iCs/>
          <w:szCs w:val="22"/>
          <w:lang w:val="en-CA"/>
        </w:rPr>
        <w:t xml:space="preserve"> </w:t>
      </w:r>
      <w:r w:rsidR="007F714D" w:rsidRPr="00632B6C">
        <w:rPr>
          <w:iCs/>
          <w:szCs w:val="22"/>
          <w:lang w:val="en-CA"/>
        </w:rPr>
        <w:t xml:space="preserve">“instructions received and </w:t>
      </w:r>
      <w:r w:rsidR="00CA78F8">
        <w:rPr>
          <w:iCs/>
          <w:szCs w:val="22"/>
          <w:lang w:val="en-CA"/>
        </w:rPr>
        <w:t>implement</w:t>
      </w:r>
      <w:r w:rsidR="00D164B7" w:rsidRPr="00632B6C">
        <w:rPr>
          <w:iCs/>
          <w:szCs w:val="22"/>
          <w:lang w:val="en-CA"/>
        </w:rPr>
        <w:t xml:space="preserve">ed </w:t>
      </w:r>
      <w:r w:rsidR="007F714D" w:rsidRPr="00632B6C">
        <w:rPr>
          <w:iCs/>
          <w:szCs w:val="22"/>
          <w:lang w:val="en-CA"/>
        </w:rPr>
        <w:t xml:space="preserve">by the notary </w:t>
      </w:r>
      <w:r w:rsidR="007F714D" w:rsidRPr="00632B6C">
        <w:rPr>
          <w:rFonts w:cs="Arial"/>
          <w:iCs/>
          <w:szCs w:val="22"/>
          <w:lang w:val="en-CA"/>
        </w:rPr>
        <w:t>[</w:t>
      </w:r>
      <w:r w:rsidR="007F714D" w:rsidRPr="00632B6C">
        <w:rPr>
          <w:iCs/>
          <w:szCs w:val="22"/>
          <w:lang w:val="en-CA"/>
        </w:rPr>
        <w:t>hold</w:t>
      </w:r>
      <w:r w:rsidR="007F714D" w:rsidRPr="00632B6C">
        <w:rPr>
          <w:rFonts w:cs="Arial"/>
          <w:iCs/>
          <w:szCs w:val="22"/>
          <w:lang w:val="en-CA"/>
        </w:rPr>
        <w:t>]</w:t>
      </w:r>
      <w:r w:rsidR="007F714D" w:rsidRPr="00632B6C">
        <w:rPr>
          <w:iCs/>
          <w:szCs w:val="22"/>
          <w:lang w:val="en-CA"/>
        </w:rPr>
        <w:t xml:space="preserve"> a determinative place in the interested parties’ relationships” and, sometimes, in those they have with third parties, </w:t>
      </w:r>
      <w:r w:rsidR="00CA78F8">
        <w:rPr>
          <w:iCs/>
          <w:szCs w:val="22"/>
          <w:lang w:val="en-CA"/>
        </w:rPr>
        <w:t xml:space="preserve">however </w:t>
      </w:r>
      <w:r w:rsidR="007F714D" w:rsidRPr="00632B6C">
        <w:rPr>
          <w:iCs/>
          <w:szCs w:val="22"/>
          <w:lang w:val="en-CA"/>
        </w:rPr>
        <w:t xml:space="preserve">it is important that they </w:t>
      </w:r>
      <w:r w:rsidR="009A4876">
        <w:rPr>
          <w:iCs/>
          <w:szCs w:val="22"/>
          <w:lang w:val="en-CA"/>
        </w:rPr>
        <w:t>be</w:t>
      </w:r>
      <w:r w:rsidR="004559FA" w:rsidRPr="00632B6C">
        <w:rPr>
          <w:iCs/>
          <w:szCs w:val="22"/>
          <w:lang w:val="en-CA"/>
        </w:rPr>
        <w:t xml:space="preserve"> </w:t>
      </w:r>
      <w:r w:rsidR="007F714D" w:rsidRPr="00632B6C">
        <w:rPr>
          <w:iCs/>
          <w:szCs w:val="22"/>
          <w:lang w:val="en-CA"/>
        </w:rPr>
        <w:t>clear and effective.</w:t>
      </w:r>
      <w:r w:rsidRPr="00632B6C">
        <w:rPr>
          <w:szCs w:val="22"/>
          <w:lang w:val="en-CA"/>
        </w:rPr>
        <w:t xml:space="preserve"> </w:t>
      </w:r>
      <w:r w:rsidR="007F714D" w:rsidRPr="00632B6C">
        <w:rPr>
          <w:szCs w:val="22"/>
          <w:u w:val="single"/>
          <w:lang w:val="en-CA"/>
        </w:rPr>
        <w:t xml:space="preserve">Thus, while it is true that it is generally </w:t>
      </w:r>
      <w:r w:rsidR="00963D50">
        <w:rPr>
          <w:szCs w:val="22"/>
          <w:u w:val="single"/>
          <w:lang w:val="en-CA"/>
        </w:rPr>
        <w:t xml:space="preserve">up to </w:t>
      </w:r>
      <w:r w:rsidR="007F714D" w:rsidRPr="00632B6C">
        <w:rPr>
          <w:szCs w:val="22"/>
          <w:u w:val="single"/>
          <w:lang w:val="en-CA"/>
        </w:rPr>
        <w:t xml:space="preserve">the parties </w:t>
      </w:r>
      <w:r w:rsidR="00963D50">
        <w:rPr>
          <w:szCs w:val="22"/>
          <w:u w:val="single"/>
          <w:lang w:val="en-CA"/>
        </w:rPr>
        <w:t xml:space="preserve">to </w:t>
      </w:r>
      <w:r w:rsidR="007F714D" w:rsidRPr="00632B6C">
        <w:rPr>
          <w:szCs w:val="22"/>
          <w:u w:val="single"/>
          <w:lang w:val="en-CA"/>
        </w:rPr>
        <w:t xml:space="preserve">determine the content and scope of the terms and conditions of the prestation, notaries are still bound to advise them to ensure </w:t>
      </w:r>
      <w:r w:rsidR="00963D50">
        <w:rPr>
          <w:szCs w:val="22"/>
          <w:u w:val="single"/>
          <w:lang w:val="en-CA"/>
        </w:rPr>
        <w:t>its</w:t>
      </w:r>
      <w:r w:rsidR="007F714D" w:rsidRPr="00632B6C">
        <w:rPr>
          <w:szCs w:val="22"/>
          <w:u w:val="single"/>
          <w:lang w:val="en-CA"/>
        </w:rPr>
        <w:t xml:space="preserve"> validity and favour </w:t>
      </w:r>
      <w:r w:rsidR="00963D50">
        <w:rPr>
          <w:szCs w:val="22"/>
          <w:u w:val="single"/>
          <w:lang w:val="en-CA"/>
        </w:rPr>
        <w:t xml:space="preserve">its </w:t>
      </w:r>
      <w:r w:rsidR="007F714D" w:rsidRPr="00632B6C">
        <w:rPr>
          <w:szCs w:val="22"/>
          <w:u w:val="single"/>
          <w:lang w:val="en-CA"/>
        </w:rPr>
        <w:t>effectiveness</w:t>
      </w:r>
      <w:r w:rsidR="007F714D" w:rsidRPr="00632B6C">
        <w:rPr>
          <w:szCs w:val="22"/>
          <w:lang w:val="en-CA"/>
        </w:rPr>
        <w:t>.</w:t>
      </w:r>
      <w:r w:rsidRPr="00632B6C">
        <w:rPr>
          <w:szCs w:val="22"/>
          <w:lang w:val="en-CA"/>
        </w:rPr>
        <w:t xml:space="preserve"> </w:t>
      </w:r>
      <w:r w:rsidR="007F714D" w:rsidRPr="00632B6C">
        <w:rPr>
          <w:szCs w:val="22"/>
          <w:lang w:val="en-CA"/>
        </w:rPr>
        <w:t xml:space="preserve">The same is even truer </w:t>
      </w:r>
      <w:r w:rsidR="009A4876">
        <w:rPr>
          <w:szCs w:val="22"/>
          <w:lang w:val="en-CA"/>
        </w:rPr>
        <w:t xml:space="preserve">where </w:t>
      </w:r>
      <w:r w:rsidR="007F714D" w:rsidRPr="00632B6C">
        <w:rPr>
          <w:szCs w:val="22"/>
          <w:lang w:val="en-CA"/>
        </w:rPr>
        <w:t>the parties want to amend</w:t>
      </w:r>
      <w:r w:rsidR="009A4876">
        <w:rPr>
          <w:szCs w:val="22"/>
          <w:lang w:val="en-CA"/>
        </w:rPr>
        <w:t xml:space="preserve"> the terms and conditions</w:t>
      </w:r>
      <w:r w:rsidR="007F714D" w:rsidRPr="00632B6C">
        <w:rPr>
          <w:szCs w:val="22"/>
          <w:lang w:val="en-CA"/>
        </w:rPr>
        <w:t xml:space="preserve">, </w:t>
      </w:r>
      <w:r w:rsidR="007F714D" w:rsidRPr="00632B6C">
        <w:rPr>
          <w:szCs w:val="22"/>
          <w:u w:val="single"/>
          <w:lang w:val="en-CA"/>
        </w:rPr>
        <w:t xml:space="preserve">or the circumstances require </w:t>
      </w:r>
      <w:r w:rsidR="00C10DD9">
        <w:rPr>
          <w:szCs w:val="22"/>
          <w:u w:val="single"/>
          <w:lang w:val="en-CA"/>
        </w:rPr>
        <w:t>their</w:t>
      </w:r>
      <w:r w:rsidR="007F714D" w:rsidRPr="00632B6C">
        <w:rPr>
          <w:szCs w:val="22"/>
          <w:u w:val="single"/>
          <w:lang w:val="en-CA"/>
        </w:rPr>
        <w:t xml:space="preserve"> </w:t>
      </w:r>
      <w:r w:rsidR="00C10DD9" w:rsidRPr="00632B6C">
        <w:rPr>
          <w:szCs w:val="22"/>
          <w:u w:val="single"/>
          <w:lang w:val="en-CA"/>
        </w:rPr>
        <w:t>amend</w:t>
      </w:r>
      <w:r w:rsidR="00C10DD9">
        <w:rPr>
          <w:szCs w:val="22"/>
          <w:u w:val="single"/>
          <w:lang w:val="en-CA"/>
        </w:rPr>
        <w:t>ment</w:t>
      </w:r>
      <w:r w:rsidR="007F714D" w:rsidRPr="00632B6C">
        <w:rPr>
          <w:szCs w:val="22"/>
          <w:u w:val="single"/>
          <w:lang w:val="en-CA"/>
        </w:rPr>
        <w:t xml:space="preserve">, </w:t>
      </w:r>
      <w:r w:rsidR="0066326B">
        <w:rPr>
          <w:szCs w:val="22"/>
          <w:u w:val="single"/>
          <w:lang w:val="en-CA"/>
        </w:rPr>
        <w:t>after</w:t>
      </w:r>
      <w:r w:rsidR="0066326B" w:rsidRPr="00632B6C">
        <w:rPr>
          <w:szCs w:val="22"/>
          <w:u w:val="single"/>
          <w:lang w:val="en-CA"/>
        </w:rPr>
        <w:t xml:space="preserve"> </w:t>
      </w:r>
      <w:r w:rsidR="007F714D" w:rsidRPr="00632B6C">
        <w:rPr>
          <w:szCs w:val="22"/>
          <w:u w:val="single"/>
          <w:lang w:val="en-CA"/>
        </w:rPr>
        <w:t xml:space="preserve">the contract </w:t>
      </w:r>
      <w:r w:rsidR="00E86F57">
        <w:rPr>
          <w:szCs w:val="22"/>
          <w:u w:val="single"/>
          <w:lang w:val="en-CA"/>
        </w:rPr>
        <w:t>has been</w:t>
      </w:r>
      <w:r w:rsidR="00E86F57" w:rsidRPr="00632B6C">
        <w:rPr>
          <w:szCs w:val="22"/>
          <w:u w:val="single"/>
          <w:lang w:val="en-CA"/>
        </w:rPr>
        <w:t xml:space="preserve"> </w:t>
      </w:r>
      <w:r w:rsidR="007F714D" w:rsidRPr="00632B6C">
        <w:rPr>
          <w:szCs w:val="22"/>
          <w:u w:val="single"/>
          <w:lang w:val="en-CA"/>
        </w:rPr>
        <w:t xml:space="preserve">signed; if notaries are themselves </w:t>
      </w:r>
      <w:r w:rsidR="007F714D" w:rsidRPr="00632B6C">
        <w:rPr>
          <w:szCs w:val="22"/>
          <w:u w:val="single"/>
          <w:lang w:val="en-CA"/>
        </w:rPr>
        <w:lastRenderedPageBreak/>
        <w:t>unable to amend, they should then try to guide them</w:t>
      </w:r>
      <w:r w:rsidR="007F714D" w:rsidRPr="00632B6C">
        <w:rPr>
          <w:szCs w:val="22"/>
          <w:lang w:val="en-CA"/>
        </w:rPr>
        <w:t>.</w:t>
      </w:r>
      <w:r w:rsidRPr="00632B6C">
        <w:rPr>
          <w:szCs w:val="22"/>
          <w:lang w:val="en-CA"/>
        </w:rPr>
        <w:t xml:space="preserve"> </w:t>
      </w:r>
      <w:r w:rsidR="007F714D" w:rsidRPr="00632B6C">
        <w:rPr>
          <w:szCs w:val="22"/>
          <w:lang w:val="en-CA"/>
        </w:rPr>
        <w:t xml:space="preserve">That said, the notary’s role </w:t>
      </w:r>
      <w:r w:rsidR="00811A7E" w:rsidRPr="00632B6C">
        <w:rPr>
          <w:szCs w:val="22"/>
          <w:lang w:val="en-CA"/>
        </w:rPr>
        <w:t xml:space="preserve">in any </w:t>
      </w:r>
      <w:r w:rsidR="00811A7E">
        <w:rPr>
          <w:szCs w:val="22"/>
          <w:lang w:val="en-CA"/>
        </w:rPr>
        <w:t>given</w:t>
      </w:r>
      <w:r w:rsidR="00811A7E" w:rsidRPr="00632B6C">
        <w:rPr>
          <w:szCs w:val="22"/>
          <w:lang w:val="en-CA"/>
        </w:rPr>
        <w:t xml:space="preserve"> </w:t>
      </w:r>
      <w:r w:rsidR="00811A7E">
        <w:rPr>
          <w:szCs w:val="22"/>
          <w:lang w:val="en-CA"/>
        </w:rPr>
        <w:t>matter</w:t>
      </w:r>
      <w:r w:rsidR="00811A7E" w:rsidRPr="00632B6C">
        <w:rPr>
          <w:szCs w:val="22"/>
          <w:lang w:val="en-CA"/>
        </w:rPr>
        <w:t xml:space="preserve"> </w:t>
      </w:r>
      <w:r w:rsidR="007F714D" w:rsidRPr="00632B6C">
        <w:rPr>
          <w:szCs w:val="22"/>
          <w:lang w:val="en-CA"/>
        </w:rPr>
        <w:t xml:space="preserve">is the same: to inform the parties on the effects and limits of the instructions they are proposing and, </w:t>
      </w:r>
      <w:r w:rsidR="00963D50" w:rsidRPr="00963D50">
        <w:rPr>
          <w:szCs w:val="22"/>
          <w:u w:val="single"/>
          <w:lang w:val="en-CA"/>
        </w:rPr>
        <w:t>if</w:t>
      </w:r>
      <w:r w:rsidR="007F714D" w:rsidRPr="00963D50">
        <w:rPr>
          <w:szCs w:val="22"/>
          <w:u w:val="single"/>
          <w:lang w:val="en-CA"/>
        </w:rPr>
        <w:t xml:space="preserve"> ne</w:t>
      </w:r>
      <w:r w:rsidR="00963D50">
        <w:rPr>
          <w:szCs w:val="22"/>
          <w:u w:val="single"/>
          <w:lang w:val="en-CA"/>
        </w:rPr>
        <w:t>cessary</w:t>
      </w:r>
      <w:r w:rsidR="007F714D" w:rsidRPr="00632B6C">
        <w:rPr>
          <w:szCs w:val="22"/>
          <w:lang w:val="en-CA"/>
        </w:rPr>
        <w:t>, recommend other more suit</w:t>
      </w:r>
      <w:r w:rsidR="00963D50">
        <w:rPr>
          <w:szCs w:val="22"/>
          <w:lang w:val="en-CA"/>
        </w:rPr>
        <w:t>able</w:t>
      </w:r>
      <w:r w:rsidR="007F714D" w:rsidRPr="00632B6C">
        <w:rPr>
          <w:szCs w:val="22"/>
          <w:lang w:val="en-CA"/>
        </w:rPr>
        <w:t xml:space="preserve"> instructions.</w:t>
      </w:r>
    </w:p>
    <w:p w14:paraId="758A9B17" w14:textId="56A69080" w:rsidR="00B2165C" w:rsidRPr="00632B6C" w:rsidRDefault="00673940"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 references omitted]</w:t>
      </w:r>
    </w:p>
    <w:p w14:paraId="616CA742" w14:textId="18D87C86" w:rsidR="00B2165C" w:rsidRPr="00632B6C" w:rsidRDefault="007F714D" w:rsidP="00324897">
      <w:pPr>
        <w:pStyle w:val="Paragraphe"/>
        <w:tabs>
          <w:tab w:val="clear" w:pos="720"/>
          <w:tab w:val="num" w:pos="709"/>
        </w:tabs>
        <w:spacing w:line="240" w:lineRule="auto"/>
        <w:rPr>
          <w:lang w:val="en-CA"/>
        </w:rPr>
      </w:pPr>
      <w:r w:rsidRPr="00632B6C">
        <w:rPr>
          <w:lang w:val="en-CA"/>
        </w:rPr>
        <w:t xml:space="preserve">These remarks echo those of authors Jean-Louis Baudouin, Patrice Deslauriers, and Benoît Moore in their work </w:t>
      </w:r>
      <w:r w:rsidRPr="00632B6C">
        <w:rPr>
          <w:i/>
          <w:lang w:val="en-CA"/>
        </w:rPr>
        <w:t>La responsabilité civile</w:t>
      </w:r>
      <w:r w:rsidRPr="00632B6C">
        <w:rPr>
          <w:lang w:val="en-CA"/>
        </w:rPr>
        <w:t>.</w:t>
      </w:r>
      <w:r w:rsidR="005B3B9F" w:rsidRPr="00632B6C">
        <w:rPr>
          <w:rStyle w:val="Appelnotedebasdep"/>
          <w:lang w:val="en-CA"/>
        </w:rPr>
        <w:footnoteReference w:id="16"/>
      </w:r>
    </w:p>
    <w:p w14:paraId="20596A04" w14:textId="591BF97C" w:rsidR="00B2165C" w:rsidRPr="00632B6C" w:rsidRDefault="000629CC" w:rsidP="00324897">
      <w:pPr>
        <w:pStyle w:val="Paragraphe"/>
        <w:tabs>
          <w:tab w:val="clear" w:pos="720"/>
          <w:tab w:val="num" w:pos="709"/>
        </w:tabs>
        <w:spacing w:line="240" w:lineRule="auto"/>
        <w:rPr>
          <w:lang w:val="en-CA"/>
        </w:rPr>
      </w:pPr>
      <w:r w:rsidRPr="00632B6C">
        <w:rPr>
          <w:lang w:val="en-CA"/>
        </w:rPr>
        <w:t xml:space="preserve">In this sense, the Notary must inform the parties of the consequences of their acts, </w:t>
      </w:r>
      <w:r w:rsidR="00513213">
        <w:rPr>
          <w:lang w:val="en-CA"/>
        </w:rPr>
        <w:t>paricularly</w:t>
      </w:r>
      <w:r w:rsidR="00513213" w:rsidRPr="00632B6C">
        <w:rPr>
          <w:lang w:val="en-CA"/>
        </w:rPr>
        <w:t xml:space="preserve"> </w:t>
      </w:r>
      <w:r w:rsidRPr="00632B6C">
        <w:rPr>
          <w:lang w:val="en-CA"/>
        </w:rPr>
        <w:t>if the Notary is aware of any foreseeable risk, so that the parties may revise the conditi</w:t>
      </w:r>
      <w:r w:rsidR="008663B5" w:rsidRPr="00632B6C">
        <w:rPr>
          <w:lang w:val="en-CA"/>
        </w:rPr>
        <w:t>o</w:t>
      </w:r>
      <w:r w:rsidRPr="00632B6C">
        <w:rPr>
          <w:lang w:val="en-CA"/>
        </w:rPr>
        <w:t>ns for, or their consent to, disbursement</w:t>
      </w:r>
      <w:r w:rsidR="00547C57">
        <w:rPr>
          <w:lang w:val="en-CA"/>
        </w:rPr>
        <w:t>s</w:t>
      </w:r>
      <w:r w:rsidRPr="00632B6C">
        <w:rPr>
          <w:lang w:val="en-CA"/>
        </w:rPr>
        <w:t>, for example.</w:t>
      </w:r>
      <w:r w:rsidR="005B3B9F" w:rsidRPr="00632B6C">
        <w:rPr>
          <w:lang w:val="en-CA"/>
        </w:rPr>
        <w:t xml:space="preserve"> </w:t>
      </w:r>
      <w:r w:rsidRPr="00632B6C">
        <w:rPr>
          <w:lang w:val="en-CA"/>
        </w:rPr>
        <w:t xml:space="preserve">That said, </w:t>
      </w:r>
      <w:r w:rsidR="00513213">
        <w:rPr>
          <w:lang w:val="en-CA"/>
        </w:rPr>
        <w:t xml:space="preserve">when assessing breaches of the duty to advise, one must </w:t>
      </w:r>
      <w:r w:rsidR="00700B9B">
        <w:rPr>
          <w:lang w:val="en-CA"/>
        </w:rPr>
        <w:t>place oneself at the time of the relevant facts</w:t>
      </w:r>
      <w:r w:rsidRPr="00632B6C">
        <w:rPr>
          <w:lang w:val="en-CA"/>
        </w:rPr>
        <w:t>.</w:t>
      </w:r>
    </w:p>
    <w:p w14:paraId="2144E988" w14:textId="240429DE" w:rsidR="00B2165C" w:rsidRPr="00632B6C" w:rsidRDefault="000629CC" w:rsidP="00324897">
      <w:pPr>
        <w:pStyle w:val="Paragraphe"/>
        <w:tabs>
          <w:tab w:val="clear" w:pos="720"/>
          <w:tab w:val="num" w:pos="709"/>
        </w:tabs>
        <w:spacing w:line="240" w:lineRule="auto"/>
        <w:rPr>
          <w:lang w:val="en-CA"/>
        </w:rPr>
      </w:pPr>
      <w:r w:rsidRPr="00632B6C">
        <w:rPr>
          <w:lang w:val="en-CA"/>
        </w:rPr>
        <w:t xml:space="preserve">In this case, expert notary Collins states the following in his </w:t>
      </w:r>
      <w:r w:rsidR="008663B5" w:rsidRPr="00632B6C">
        <w:rPr>
          <w:lang w:val="en-CA"/>
        </w:rPr>
        <w:t>report</w:t>
      </w:r>
      <w:r w:rsidRPr="00632B6C">
        <w:rPr>
          <w:lang w:val="en-CA"/>
        </w:rPr>
        <w:t>:</w:t>
      </w:r>
      <w:r w:rsidR="005B3B9F" w:rsidRPr="00632B6C">
        <w:rPr>
          <w:rStyle w:val="Appelnotedebasdep"/>
          <w:lang w:val="en-CA"/>
        </w:rPr>
        <w:footnoteReference w:id="17"/>
      </w:r>
    </w:p>
    <w:p w14:paraId="49593708" w14:textId="7EA10831" w:rsidR="008663B5" w:rsidRPr="00632B6C" w:rsidRDefault="008663B5" w:rsidP="00324897">
      <w:pPr>
        <w:pStyle w:val="Citationenretrait"/>
        <w:rPr>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6BBFC438" w14:textId="3E9E994F" w:rsidR="00B2165C" w:rsidRPr="00632B6C" w:rsidRDefault="005B3B9F" w:rsidP="00324897">
      <w:pPr>
        <w:pStyle w:val="Citationenretrait"/>
        <w:rPr>
          <w:lang w:val="en-CA"/>
        </w:rPr>
      </w:pPr>
      <w:r w:rsidRPr="00632B6C">
        <w:rPr>
          <w:lang w:val="en-CA"/>
        </w:rPr>
        <w:t xml:space="preserve">… </w:t>
      </w:r>
      <w:r w:rsidR="000629CC" w:rsidRPr="00632B6C">
        <w:rPr>
          <w:lang w:val="en-CA"/>
        </w:rPr>
        <w:t>there are two conflicting positions</w:t>
      </w:r>
      <w:r w:rsidR="00547C57">
        <w:rPr>
          <w:lang w:val="en-CA"/>
        </w:rPr>
        <w:t xml:space="preserve"> </w:t>
      </w:r>
      <w:r w:rsidR="00547C57">
        <w:rPr>
          <w:rFonts w:cs="Arial"/>
          <w:lang w:val="en-CA"/>
        </w:rPr>
        <w:t>[here]</w:t>
      </w:r>
      <w:r w:rsidR="000629CC" w:rsidRPr="00632B6C">
        <w:rPr>
          <w:lang w:val="en-CA"/>
        </w:rPr>
        <w:t>:</w:t>
      </w:r>
    </w:p>
    <w:p w14:paraId="36D792ED" w14:textId="3F1173EA" w:rsidR="00B2165C" w:rsidRPr="00632B6C" w:rsidRDefault="005B3B9F" w:rsidP="00324897">
      <w:pPr>
        <w:pStyle w:val="Citationenretrait"/>
        <w:rPr>
          <w:szCs w:val="22"/>
          <w:lang w:val="en-CA"/>
        </w:rPr>
      </w:pPr>
      <w:r w:rsidRPr="00632B6C">
        <w:rPr>
          <w:szCs w:val="22"/>
          <w:lang w:val="en-CA"/>
        </w:rPr>
        <w:t xml:space="preserve">a. </w:t>
      </w:r>
      <w:r w:rsidRPr="00632B6C">
        <w:rPr>
          <w:szCs w:val="22"/>
          <w:lang w:val="en-CA"/>
        </w:rPr>
        <w:tab/>
      </w:r>
      <w:r w:rsidR="00AF67C4" w:rsidRPr="00632B6C">
        <w:rPr>
          <w:szCs w:val="22"/>
          <w:lang w:val="en-CA"/>
        </w:rPr>
        <w:t xml:space="preserve">the position of the </w:t>
      </w:r>
      <w:r w:rsidR="005D3DAB">
        <w:rPr>
          <w:szCs w:val="22"/>
          <w:lang w:val="en-CA"/>
        </w:rPr>
        <w:t>developer</w:t>
      </w:r>
      <w:r w:rsidR="005D3DAB" w:rsidRPr="00632B6C">
        <w:rPr>
          <w:szCs w:val="22"/>
          <w:lang w:val="en-CA"/>
        </w:rPr>
        <w:t xml:space="preserve"> </w:t>
      </w:r>
      <w:r w:rsidR="00AF67C4" w:rsidRPr="00632B6C">
        <w:rPr>
          <w:szCs w:val="22"/>
          <w:lang w:val="en-CA"/>
        </w:rPr>
        <w:t xml:space="preserve">who, with a clear contract, requires </w:t>
      </w:r>
      <w:r w:rsidR="00547C57">
        <w:rPr>
          <w:szCs w:val="22"/>
          <w:lang w:val="en-CA"/>
        </w:rPr>
        <w:t xml:space="preserve">that </w:t>
      </w:r>
      <w:r w:rsidR="00AF67C4" w:rsidRPr="00632B6C">
        <w:rPr>
          <w:szCs w:val="22"/>
          <w:lang w:val="en-CA"/>
        </w:rPr>
        <w:t xml:space="preserve">the down payments held in trust be disbursed and used to advance </w:t>
      </w:r>
      <w:r w:rsidR="00B30814">
        <w:rPr>
          <w:szCs w:val="22"/>
          <w:lang w:val="en-CA"/>
        </w:rPr>
        <w:t xml:space="preserve">its </w:t>
      </w:r>
      <w:r w:rsidR="00AF67C4" w:rsidRPr="00632B6C">
        <w:rPr>
          <w:szCs w:val="22"/>
          <w:lang w:val="en-CA"/>
        </w:rPr>
        <w:t>development project; and</w:t>
      </w:r>
    </w:p>
    <w:p w14:paraId="072C6E3C" w14:textId="1F327831" w:rsidR="00B2165C" w:rsidRPr="00632B6C" w:rsidRDefault="005B3B9F" w:rsidP="00324897">
      <w:pPr>
        <w:pStyle w:val="Citationenretrait"/>
        <w:rPr>
          <w:szCs w:val="22"/>
          <w:lang w:val="en-CA"/>
        </w:rPr>
      </w:pPr>
      <w:r w:rsidRPr="00632B6C">
        <w:rPr>
          <w:szCs w:val="22"/>
          <w:lang w:val="en-CA"/>
        </w:rPr>
        <w:t xml:space="preserve">b. </w:t>
      </w:r>
      <w:r w:rsidRPr="00632B6C">
        <w:rPr>
          <w:szCs w:val="22"/>
          <w:lang w:val="en-CA"/>
        </w:rPr>
        <w:tab/>
      </w:r>
      <w:r w:rsidR="00AF67C4" w:rsidRPr="00632B6C">
        <w:rPr>
          <w:szCs w:val="22"/>
          <w:lang w:val="en-CA"/>
        </w:rPr>
        <w:t xml:space="preserve">the position of the </w:t>
      </w:r>
      <w:r w:rsidR="00727E9A" w:rsidRPr="00727E9A">
        <w:rPr>
          <w:rFonts w:cs="Arial"/>
          <w:lang w:val="en-CA"/>
        </w:rPr>
        <w:t>promissory buyer</w:t>
      </w:r>
      <w:r w:rsidR="00AF67C4" w:rsidRPr="00632B6C">
        <w:rPr>
          <w:szCs w:val="22"/>
          <w:lang w:val="en-CA"/>
        </w:rPr>
        <w:t xml:space="preserve"> who, despite an agreement with the </w:t>
      </w:r>
      <w:r w:rsidR="005D3DAB">
        <w:rPr>
          <w:szCs w:val="22"/>
          <w:lang w:val="en-CA"/>
        </w:rPr>
        <w:t>developer</w:t>
      </w:r>
      <w:r w:rsidR="00AF67C4" w:rsidRPr="00632B6C">
        <w:rPr>
          <w:szCs w:val="22"/>
          <w:lang w:val="en-CA"/>
        </w:rPr>
        <w:t xml:space="preserve">, would like maximum protection for </w:t>
      </w:r>
      <w:r w:rsidR="00B30814">
        <w:rPr>
          <w:szCs w:val="22"/>
          <w:lang w:val="en-CA"/>
        </w:rPr>
        <w:t>its deposit</w:t>
      </w:r>
      <w:r w:rsidR="00AF67C4" w:rsidRPr="00632B6C">
        <w:rPr>
          <w:szCs w:val="22"/>
          <w:lang w:val="en-CA"/>
        </w:rPr>
        <w:t xml:space="preserve"> while </w:t>
      </w:r>
      <w:r w:rsidR="00547C57">
        <w:rPr>
          <w:szCs w:val="22"/>
          <w:lang w:val="en-CA"/>
        </w:rPr>
        <w:t xml:space="preserve">wanting </w:t>
      </w:r>
      <w:r w:rsidR="00AF67C4" w:rsidRPr="00632B6C">
        <w:rPr>
          <w:szCs w:val="22"/>
          <w:lang w:val="en-CA"/>
        </w:rPr>
        <w:t xml:space="preserve">the project </w:t>
      </w:r>
      <w:r w:rsidR="00547C57">
        <w:rPr>
          <w:szCs w:val="22"/>
          <w:lang w:val="en-CA"/>
        </w:rPr>
        <w:t xml:space="preserve">to be </w:t>
      </w:r>
      <w:r w:rsidR="00AF67C4" w:rsidRPr="00632B6C">
        <w:rPr>
          <w:szCs w:val="22"/>
          <w:lang w:val="en-CA"/>
        </w:rPr>
        <w:t>completed.</w:t>
      </w:r>
    </w:p>
    <w:p w14:paraId="4E8DA8FF" w14:textId="0773CDB7" w:rsidR="00B2165C" w:rsidRPr="00632B6C" w:rsidRDefault="00547C57" w:rsidP="00324897">
      <w:pPr>
        <w:pStyle w:val="Citationenretrait"/>
        <w:rPr>
          <w:szCs w:val="22"/>
          <w:lang w:val="en-CA"/>
        </w:rPr>
      </w:pPr>
      <w:r>
        <w:rPr>
          <w:szCs w:val="22"/>
          <w:u w:val="single"/>
          <w:lang w:val="en-CA"/>
        </w:rPr>
        <w:t>F</w:t>
      </w:r>
      <w:r w:rsidR="00AF67C4" w:rsidRPr="00632B6C">
        <w:rPr>
          <w:szCs w:val="22"/>
          <w:u w:val="single"/>
          <w:lang w:val="en-CA"/>
        </w:rPr>
        <w:t xml:space="preserve">aced with </w:t>
      </w:r>
      <w:r>
        <w:rPr>
          <w:szCs w:val="22"/>
          <w:u w:val="single"/>
          <w:lang w:val="en-CA"/>
        </w:rPr>
        <w:t xml:space="preserve">such a </w:t>
      </w:r>
      <w:r w:rsidR="00AF67C4" w:rsidRPr="00632B6C">
        <w:rPr>
          <w:szCs w:val="22"/>
          <w:u w:val="single"/>
          <w:lang w:val="en-CA"/>
        </w:rPr>
        <w:t xml:space="preserve">situation, </w:t>
      </w:r>
      <w:r w:rsidR="009100D9">
        <w:rPr>
          <w:szCs w:val="22"/>
          <w:u w:val="single"/>
          <w:lang w:val="en-CA"/>
        </w:rPr>
        <w:t xml:space="preserve">a </w:t>
      </w:r>
      <w:r>
        <w:rPr>
          <w:szCs w:val="22"/>
          <w:u w:val="single"/>
          <w:lang w:val="en-CA"/>
        </w:rPr>
        <w:t>notar</w:t>
      </w:r>
      <w:r w:rsidR="009100D9">
        <w:rPr>
          <w:szCs w:val="22"/>
          <w:u w:val="single"/>
          <w:lang w:val="en-CA"/>
        </w:rPr>
        <w:t>y</w:t>
      </w:r>
      <w:r>
        <w:rPr>
          <w:szCs w:val="22"/>
          <w:u w:val="single"/>
          <w:lang w:val="en-CA"/>
        </w:rPr>
        <w:t xml:space="preserve"> </w:t>
      </w:r>
      <w:r w:rsidR="00AF67C4" w:rsidRPr="00632B6C">
        <w:rPr>
          <w:szCs w:val="22"/>
          <w:u w:val="single"/>
          <w:lang w:val="en-CA"/>
        </w:rPr>
        <w:t xml:space="preserve">must not </w:t>
      </w:r>
      <w:r>
        <w:rPr>
          <w:szCs w:val="22"/>
          <w:u w:val="single"/>
          <w:lang w:val="en-CA"/>
        </w:rPr>
        <w:t xml:space="preserve">be the </w:t>
      </w:r>
      <w:r w:rsidR="00AF67C4" w:rsidRPr="00632B6C">
        <w:rPr>
          <w:szCs w:val="22"/>
          <w:u w:val="single"/>
          <w:lang w:val="en-CA"/>
        </w:rPr>
        <w:t>judge but must follow the clear instructions given in the preliminary contract</w:t>
      </w:r>
      <w:r>
        <w:rPr>
          <w:szCs w:val="22"/>
          <w:u w:val="single"/>
          <w:lang w:val="en-CA"/>
        </w:rPr>
        <w:t>, which</w:t>
      </w:r>
      <w:r w:rsidR="00AF67C4" w:rsidRPr="00632B6C">
        <w:rPr>
          <w:szCs w:val="22"/>
          <w:u w:val="single"/>
          <w:lang w:val="en-CA"/>
        </w:rPr>
        <w:t xml:space="preserve"> is the notary’s implied contract for services.</w:t>
      </w:r>
      <w:r w:rsidR="005B3B9F" w:rsidRPr="00632B6C">
        <w:rPr>
          <w:szCs w:val="22"/>
          <w:lang w:val="en-CA"/>
        </w:rPr>
        <w:t xml:space="preserve"> </w:t>
      </w:r>
      <w:r w:rsidR="00AF67C4" w:rsidRPr="00632B6C">
        <w:rPr>
          <w:szCs w:val="22"/>
          <w:lang w:val="en-CA"/>
        </w:rPr>
        <w:t xml:space="preserve">In this context, to </w:t>
      </w:r>
      <w:r>
        <w:rPr>
          <w:szCs w:val="22"/>
          <w:lang w:val="en-CA"/>
        </w:rPr>
        <w:t xml:space="preserve">not </w:t>
      </w:r>
      <w:r w:rsidR="00AF67C4" w:rsidRPr="00632B6C">
        <w:rPr>
          <w:szCs w:val="22"/>
          <w:lang w:val="en-CA"/>
        </w:rPr>
        <w:t xml:space="preserve">follow the terms and conditions of that agreement would leave the depositary notary open to an action for damages by the </w:t>
      </w:r>
      <w:r w:rsidR="005D3DAB">
        <w:rPr>
          <w:szCs w:val="22"/>
          <w:lang w:val="en-CA"/>
        </w:rPr>
        <w:t>developer</w:t>
      </w:r>
      <w:r w:rsidR="00AF67C4" w:rsidRPr="00632B6C">
        <w:rPr>
          <w:szCs w:val="22"/>
          <w:lang w:val="en-CA"/>
        </w:rPr>
        <w:t xml:space="preserve"> because the notary would have breached the implied contract for services.</w:t>
      </w:r>
      <w:r w:rsidR="005B3B9F" w:rsidRPr="00632B6C">
        <w:rPr>
          <w:szCs w:val="22"/>
          <w:lang w:val="en-CA"/>
        </w:rPr>
        <w:t xml:space="preserve"> </w:t>
      </w:r>
      <w:r w:rsidR="00AF67C4" w:rsidRPr="00632B6C">
        <w:rPr>
          <w:szCs w:val="22"/>
          <w:lang w:val="en-CA"/>
        </w:rPr>
        <w:t xml:space="preserve">Alternatively, </w:t>
      </w:r>
      <w:r w:rsidR="00CA78F8">
        <w:rPr>
          <w:szCs w:val="22"/>
          <w:lang w:val="en-CA"/>
        </w:rPr>
        <w:t xml:space="preserve">it is </w:t>
      </w:r>
      <w:r w:rsidR="00B30814">
        <w:rPr>
          <w:szCs w:val="22"/>
          <w:lang w:val="en-CA"/>
        </w:rPr>
        <w:t xml:space="preserve">also </w:t>
      </w:r>
      <w:r w:rsidR="00CA78F8">
        <w:rPr>
          <w:szCs w:val="22"/>
          <w:lang w:val="en-CA"/>
        </w:rPr>
        <w:t xml:space="preserve">necessary to </w:t>
      </w:r>
      <w:r w:rsidR="00B30814">
        <w:rPr>
          <w:szCs w:val="22"/>
          <w:lang w:val="en-CA"/>
        </w:rPr>
        <w:t>consider</w:t>
      </w:r>
      <w:r w:rsidR="006D65CC">
        <w:rPr>
          <w:szCs w:val="22"/>
          <w:lang w:val="en-CA"/>
        </w:rPr>
        <w:t xml:space="preserve"> that </w:t>
      </w:r>
      <w:r w:rsidR="00AF67C4" w:rsidRPr="00632B6C">
        <w:rPr>
          <w:szCs w:val="22"/>
          <w:lang w:val="en-CA"/>
        </w:rPr>
        <w:t xml:space="preserve">obtaining written authorization from all </w:t>
      </w:r>
      <w:r>
        <w:rPr>
          <w:szCs w:val="22"/>
          <w:lang w:val="en-CA"/>
        </w:rPr>
        <w:t xml:space="preserve">the </w:t>
      </w:r>
      <w:r w:rsidR="00727E9A" w:rsidRPr="00727E9A">
        <w:rPr>
          <w:rFonts w:cs="Arial"/>
          <w:lang w:val="en-CA"/>
        </w:rPr>
        <w:t>promissory buyers</w:t>
      </w:r>
      <w:r w:rsidR="00AF67C4" w:rsidRPr="00632B6C">
        <w:rPr>
          <w:szCs w:val="22"/>
          <w:lang w:val="en-CA"/>
        </w:rPr>
        <w:t xml:space="preserve"> also jeopardizes the real estate project’s completion for all the other </w:t>
      </w:r>
      <w:r w:rsidR="00727E9A" w:rsidRPr="00727E9A">
        <w:rPr>
          <w:rFonts w:cs="Arial"/>
          <w:lang w:val="en-CA"/>
        </w:rPr>
        <w:t>promissory buyers</w:t>
      </w:r>
      <w:r w:rsidR="00AF67C4" w:rsidRPr="00632B6C">
        <w:rPr>
          <w:szCs w:val="22"/>
          <w:lang w:val="en-CA"/>
        </w:rPr>
        <w:t xml:space="preserve"> and leaves any notary who requires such authorization when </w:t>
      </w:r>
      <w:r w:rsidR="009100D9">
        <w:rPr>
          <w:szCs w:val="22"/>
          <w:lang w:val="en-CA"/>
        </w:rPr>
        <w:t>neither</w:t>
      </w:r>
      <w:r w:rsidR="00AF67C4" w:rsidRPr="00632B6C">
        <w:rPr>
          <w:szCs w:val="22"/>
          <w:lang w:val="en-CA"/>
        </w:rPr>
        <w:t xml:space="preserve"> </w:t>
      </w:r>
      <w:r>
        <w:rPr>
          <w:szCs w:val="22"/>
          <w:lang w:val="en-CA"/>
        </w:rPr>
        <w:t xml:space="preserve">required </w:t>
      </w:r>
      <w:r w:rsidR="009100D9">
        <w:rPr>
          <w:szCs w:val="22"/>
          <w:lang w:val="en-CA"/>
        </w:rPr>
        <w:t>n</w:t>
      </w:r>
      <w:r w:rsidR="00AF67C4" w:rsidRPr="00632B6C">
        <w:rPr>
          <w:szCs w:val="22"/>
          <w:lang w:val="en-CA"/>
        </w:rPr>
        <w:t>or justified open to an action for damages.</w:t>
      </w:r>
    </w:p>
    <w:p w14:paraId="2B991721" w14:textId="5C3A706F" w:rsidR="00B2165C" w:rsidRPr="00632B6C" w:rsidRDefault="00D71EFD"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w:t>
      </w:r>
    </w:p>
    <w:p w14:paraId="2B191452" w14:textId="5A8A7D25" w:rsidR="00B2165C" w:rsidRPr="00632B6C" w:rsidRDefault="00AF67C4" w:rsidP="00324897">
      <w:pPr>
        <w:pStyle w:val="Paragraphe"/>
        <w:tabs>
          <w:tab w:val="clear" w:pos="720"/>
          <w:tab w:val="num" w:pos="709"/>
        </w:tabs>
        <w:spacing w:line="240" w:lineRule="auto"/>
        <w:rPr>
          <w:lang w:val="en-CA"/>
        </w:rPr>
      </w:pPr>
      <w:r w:rsidRPr="00632B6C">
        <w:rPr>
          <w:lang w:val="en-CA"/>
        </w:rPr>
        <w:lastRenderedPageBreak/>
        <w:t>The judge re</w:t>
      </w:r>
      <w:r w:rsidR="00547C57">
        <w:rPr>
          <w:lang w:val="en-CA"/>
        </w:rPr>
        <w:t>lat</w:t>
      </w:r>
      <w:r w:rsidRPr="00632B6C">
        <w:rPr>
          <w:lang w:val="en-CA"/>
        </w:rPr>
        <w:t xml:space="preserve">ed the testimony of this </w:t>
      </w:r>
      <w:r w:rsidR="00547C57">
        <w:rPr>
          <w:lang w:val="en-CA"/>
        </w:rPr>
        <w:t xml:space="preserve">same </w:t>
      </w:r>
      <w:r w:rsidRPr="00632B6C">
        <w:rPr>
          <w:lang w:val="en-CA"/>
        </w:rPr>
        <w:t xml:space="preserve">expert on the Notary’s obligation to </w:t>
      </w:r>
      <w:r w:rsidR="00952D32">
        <w:rPr>
          <w:lang w:val="en-CA"/>
        </w:rPr>
        <w:t xml:space="preserve">communicate with </w:t>
      </w:r>
      <w:r w:rsidRPr="00632B6C">
        <w:rPr>
          <w:lang w:val="en-CA"/>
        </w:rPr>
        <w:t>the appellants:</w:t>
      </w:r>
    </w:p>
    <w:p w14:paraId="4DA2364E" w14:textId="630A3729" w:rsidR="00547C57" w:rsidRDefault="00547C57" w:rsidP="00324897">
      <w:pPr>
        <w:pStyle w:val="Citationenretrai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7C2D64A1" w14:textId="0119CC10" w:rsidR="00B2165C" w:rsidRPr="00632B6C" w:rsidRDefault="005B3B9F" w:rsidP="00324897">
      <w:pPr>
        <w:pStyle w:val="Citationenretrait"/>
        <w:rPr>
          <w:szCs w:val="22"/>
          <w:lang w:val="en-CA"/>
        </w:rPr>
      </w:pPr>
      <w:r w:rsidRPr="00632B6C">
        <w:rPr>
          <w:szCs w:val="22"/>
          <w:lang w:val="en-CA"/>
        </w:rPr>
        <w:t>[49]</w:t>
      </w:r>
      <w:r w:rsidRPr="00632B6C">
        <w:rPr>
          <w:szCs w:val="22"/>
          <w:lang w:val="en-CA"/>
        </w:rPr>
        <w:tab/>
      </w:r>
      <w:r w:rsidR="008656E3" w:rsidRPr="008656E3">
        <w:rPr>
          <w:rFonts w:cs="Arial"/>
          <w:lang w:val="en-CA"/>
        </w:rPr>
        <w:t xml:space="preserve">Mtre Collins, Notary Millowitz’s expert witness, denies that Mtre Millowitz had any obligation to take the initiative of communicating with the promissory buyers. </w:t>
      </w:r>
      <w:r w:rsidR="008656E3" w:rsidRPr="00727E9A">
        <w:rPr>
          <w:rFonts w:cs="Arial"/>
          <w:u w:val="single"/>
          <w:lang w:val="en-CA"/>
        </w:rPr>
        <w:t>Namely, he denies that the notary must communicate with them prior to disbursing the deposits. He stated that imposing the obligation to obtain the parties’ consent at the time of disbursement makes no sense because there is a signed, enforceable contract. Furthermore, such an obligation would go against the notary’s obligations towards the vendor/developer, who is entitled to receive the deposits as soon as certain conditions are fulfilled. According to Mtre Collins, a notary who creates other conditions on his own would be subject to being sued by the developer</w:t>
      </w:r>
      <w:r w:rsidR="00AF67C4" w:rsidRPr="00D7020D">
        <w:rPr>
          <w:szCs w:val="22"/>
          <w:lang w:val="en-CA"/>
        </w:rPr>
        <w:t>.</w:t>
      </w:r>
    </w:p>
    <w:p w14:paraId="747A6255" w14:textId="7E720C84" w:rsidR="00B2165C" w:rsidRPr="00632B6C" w:rsidRDefault="005B3B9F" w:rsidP="00E31222">
      <w:pPr>
        <w:pStyle w:val="Citationenretrait"/>
        <w:spacing w:after="0"/>
        <w:rPr>
          <w:szCs w:val="22"/>
          <w:lang w:val="en-CA"/>
        </w:rPr>
      </w:pPr>
      <w:r w:rsidRPr="00632B6C">
        <w:rPr>
          <w:szCs w:val="22"/>
          <w:lang w:val="en-CA"/>
        </w:rPr>
        <w:t>[50]</w:t>
      </w:r>
      <w:r w:rsidRPr="00632B6C">
        <w:rPr>
          <w:szCs w:val="22"/>
          <w:lang w:val="en-CA"/>
        </w:rPr>
        <w:tab/>
      </w:r>
      <w:r w:rsidR="008656E3" w:rsidRPr="00727E9A">
        <w:rPr>
          <w:rFonts w:cs="Arial"/>
          <w:u w:val="single"/>
          <w:lang w:val="en-CA"/>
        </w:rPr>
        <w:t>The Court accepts several elements of this reasoning</w:t>
      </w:r>
      <w:r w:rsidR="008656E3" w:rsidRPr="008656E3">
        <w:rPr>
          <w:rFonts w:cs="Arial"/>
          <w:lang w:val="en-CA"/>
        </w:rPr>
        <w:t>, but queries specific aspects of this case that raise issues for which this reasoning cannot supply satisfactory answers</w:t>
      </w:r>
      <w:r w:rsidR="00AF67C4" w:rsidRPr="00632B6C">
        <w:rPr>
          <w:szCs w:val="22"/>
          <w:lang w:val="en-CA"/>
        </w:rPr>
        <w:t>.</w:t>
      </w:r>
    </w:p>
    <w:p w14:paraId="161B3BCF" w14:textId="67E96B9C" w:rsidR="00B2165C" w:rsidRPr="00632B6C" w:rsidRDefault="00673940"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w:t>
      </w:r>
    </w:p>
    <w:p w14:paraId="2DD24174" w14:textId="5AB6685D" w:rsidR="00B2165C" w:rsidRPr="00632B6C" w:rsidRDefault="00AF67C4" w:rsidP="00324897">
      <w:pPr>
        <w:pStyle w:val="Paragraphe"/>
        <w:tabs>
          <w:tab w:val="clear" w:pos="720"/>
          <w:tab w:val="num" w:pos="709"/>
        </w:tabs>
        <w:spacing w:line="240" w:lineRule="auto"/>
        <w:rPr>
          <w:lang w:val="en-CA"/>
        </w:rPr>
      </w:pPr>
      <w:r w:rsidRPr="00632B6C">
        <w:rPr>
          <w:lang w:val="en-CA"/>
        </w:rPr>
        <w:t>The judge continue</w:t>
      </w:r>
      <w:r w:rsidR="00D7020D">
        <w:rPr>
          <w:lang w:val="en-CA"/>
        </w:rPr>
        <w:t>d</w:t>
      </w:r>
      <w:r w:rsidRPr="00632B6C">
        <w:rPr>
          <w:lang w:val="en-CA"/>
        </w:rPr>
        <w:t xml:space="preserve"> his analysis of the testimony </w:t>
      </w:r>
      <w:r w:rsidR="007002B5">
        <w:rPr>
          <w:lang w:val="en-CA"/>
        </w:rPr>
        <w:t>of</w:t>
      </w:r>
      <w:r w:rsidRPr="00632B6C">
        <w:rPr>
          <w:lang w:val="en-CA"/>
        </w:rPr>
        <w:t xml:space="preserve"> expert notary Collins:</w:t>
      </w:r>
    </w:p>
    <w:p w14:paraId="7F62E56B" w14:textId="10083714" w:rsidR="00D7020D" w:rsidRDefault="00D7020D" w:rsidP="00324897">
      <w:pPr>
        <w:pStyle w:val="Citationenretrai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7625BD07" w14:textId="6B9F6757" w:rsidR="00B2165C" w:rsidRPr="00632B6C" w:rsidRDefault="005B3B9F" w:rsidP="00324897">
      <w:pPr>
        <w:pStyle w:val="Citationenretrait"/>
        <w:rPr>
          <w:szCs w:val="22"/>
          <w:lang w:val="en-CA"/>
        </w:rPr>
      </w:pPr>
      <w:r w:rsidRPr="00632B6C">
        <w:rPr>
          <w:szCs w:val="22"/>
          <w:lang w:val="en-CA"/>
        </w:rPr>
        <w:t>[94]</w:t>
      </w:r>
      <w:r w:rsidRPr="00632B6C">
        <w:rPr>
          <w:szCs w:val="22"/>
          <w:lang w:val="en-CA"/>
        </w:rPr>
        <w:tab/>
      </w:r>
      <w:r w:rsidR="008656E3" w:rsidRPr="008656E3">
        <w:rPr>
          <w:rFonts w:cs="Arial"/>
          <w:lang w:val="en-CA"/>
        </w:rPr>
        <w:t xml:space="preserve">Indeed, according to his own expert, Mtre Collins, the fault accepted by the Court is that he did not validate the index of immovables for each disbursement to ensure that no adverse entry had been registered and that he did not obtain the acts mentioned therein to read them. Merely looking at the name on the index is not at all sufficient. Mtre Collins considers this to be a standard of practice for a notary who is preparing to disburse deposits. </w:t>
      </w:r>
      <w:r w:rsidR="008656E3" w:rsidRPr="00727E9A">
        <w:rPr>
          <w:rFonts w:cs="Arial"/>
          <w:u w:val="single"/>
          <w:lang w:val="en-CA"/>
        </w:rPr>
        <w:t>It would also probably have been necessary to ask the developer questions to validate that there was no real or imminent danger based on the financing, given the content of the acts in question</w:t>
      </w:r>
      <w:r w:rsidR="00606D9C" w:rsidRPr="00632B6C">
        <w:rPr>
          <w:szCs w:val="22"/>
          <w:lang w:val="en-CA"/>
        </w:rPr>
        <w:t>.</w:t>
      </w:r>
    </w:p>
    <w:p w14:paraId="20D1B719" w14:textId="00A7948A" w:rsidR="00B2165C" w:rsidRPr="00632B6C" w:rsidRDefault="005B3B9F" w:rsidP="00324897">
      <w:pPr>
        <w:pStyle w:val="Citationenretrait"/>
        <w:rPr>
          <w:szCs w:val="22"/>
          <w:lang w:val="en-CA"/>
        </w:rPr>
      </w:pPr>
      <w:r w:rsidRPr="00632B6C">
        <w:rPr>
          <w:szCs w:val="22"/>
          <w:lang w:val="en-CA"/>
        </w:rPr>
        <w:t>[95]</w:t>
      </w:r>
      <w:r w:rsidRPr="00632B6C">
        <w:rPr>
          <w:szCs w:val="22"/>
          <w:lang w:val="en-CA"/>
        </w:rPr>
        <w:tab/>
      </w:r>
      <w:r w:rsidR="008656E3" w:rsidRPr="00727E9A">
        <w:rPr>
          <w:rFonts w:cs="Arial"/>
          <w:u w:val="single"/>
          <w:lang w:val="en-CA"/>
        </w:rPr>
        <w:t>Unless there is information that seriously imperils the very existence of the project, Mtre Collins does not consider that he has the obligation to share the details of the project’s financing with promissory buyers. He note</w:t>
      </w:r>
      <w:r w:rsidR="00A72CD8">
        <w:rPr>
          <w:rFonts w:cs="Arial"/>
          <w:u w:val="single"/>
          <w:lang w:val="en-CA"/>
        </w:rPr>
        <w:t>d</w:t>
      </w:r>
      <w:r w:rsidR="008656E3" w:rsidRPr="00727E9A">
        <w:rPr>
          <w:rFonts w:cs="Arial"/>
          <w:u w:val="single"/>
          <w:lang w:val="en-CA"/>
        </w:rPr>
        <w:t xml:space="preserve"> that the entries in the index of immovables do not constitute adverse entries. In addition, he confirmed that he would not prevent a developer from collecting the deposits because of a lack of [</w:t>
      </w:r>
      <w:r w:rsidR="008656E3" w:rsidRPr="00727E9A">
        <w:rPr>
          <w:rFonts w:cs="Arial"/>
          <w:smallCaps/>
          <w:u w:val="single"/>
          <w:lang w:val="en-CA"/>
        </w:rPr>
        <w:t>translation]</w:t>
      </w:r>
      <w:r w:rsidR="008656E3" w:rsidRPr="00727E9A">
        <w:rPr>
          <w:rFonts w:cs="Arial"/>
          <w:u w:val="single"/>
          <w:lang w:val="en-CA"/>
        </w:rPr>
        <w:t xml:space="preserve"> “settled” financing, as these deposits constitute the developer’s cash flow. The preliminary contracts specifically provide that the deposits may be disbursed for the purpose of construction, as part of the financing structure</w:t>
      </w:r>
      <w:r w:rsidR="00606D9C" w:rsidRPr="00D7020D">
        <w:rPr>
          <w:szCs w:val="22"/>
          <w:lang w:val="en-CA"/>
        </w:rPr>
        <w:t>.</w:t>
      </w:r>
    </w:p>
    <w:p w14:paraId="2869EFCF" w14:textId="5315BB4E" w:rsidR="00B2165C" w:rsidRPr="00632B6C" w:rsidRDefault="005B3B9F" w:rsidP="007002B5">
      <w:pPr>
        <w:pStyle w:val="Citationenretrait"/>
        <w:rPr>
          <w:szCs w:val="22"/>
          <w:u w:val="single"/>
          <w:lang w:val="en-CA"/>
        </w:rPr>
      </w:pPr>
      <w:r w:rsidRPr="00632B6C">
        <w:rPr>
          <w:szCs w:val="22"/>
          <w:lang w:val="en-CA"/>
        </w:rPr>
        <w:lastRenderedPageBreak/>
        <w:t>[96]</w:t>
      </w:r>
      <w:r w:rsidRPr="00632B6C">
        <w:rPr>
          <w:szCs w:val="22"/>
          <w:lang w:val="en-CA"/>
        </w:rPr>
        <w:tab/>
      </w:r>
      <w:r w:rsidR="008656E3" w:rsidRPr="00727E9A">
        <w:rPr>
          <w:rFonts w:cs="Arial"/>
          <w:u w:val="single"/>
          <w:lang w:val="en-CA"/>
        </w:rPr>
        <w:t>He therefore denies that a notary has a duty to inform the promissory buyers when he is deciding whether a disbursement can or should be made pursuant to the preliminary contracts. He further denies that such a duty would involve seeking their permission before disbursing deposits</w:t>
      </w:r>
      <w:r w:rsidR="00606D9C" w:rsidRPr="00D7020D">
        <w:rPr>
          <w:szCs w:val="22"/>
          <w:lang w:val="en-CA"/>
        </w:rPr>
        <w:t>.</w:t>
      </w:r>
    </w:p>
    <w:p w14:paraId="032194BF" w14:textId="194BAFB1" w:rsidR="00B2165C" w:rsidRPr="00632B6C" w:rsidRDefault="00673940"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w:t>
      </w:r>
    </w:p>
    <w:p w14:paraId="3A540DDF" w14:textId="15C9EE9F" w:rsidR="00B2165C" w:rsidRPr="00632B6C" w:rsidRDefault="00606D9C" w:rsidP="00324897">
      <w:pPr>
        <w:pStyle w:val="Paragraphe"/>
        <w:tabs>
          <w:tab w:val="clear" w:pos="720"/>
          <w:tab w:val="num" w:pos="709"/>
        </w:tabs>
        <w:spacing w:line="240" w:lineRule="auto"/>
        <w:rPr>
          <w:lang w:val="en-CA"/>
        </w:rPr>
      </w:pPr>
      <w:r w:rsidRPr="00632B6C">
        <w:rPr>
          <w:lang w:val="en-CA"/>
        </w:rPr>
        <w:t>In light of th</w:t>
      </w:r>
      <w:r w:rsidR="00D7020D">
        <w:rPr>
          <w:lang w:val="en-CA"/>
        </w:rPr>
        <w:t>is</w:t>
      </w:r>
      <w:r w:rsidRPr="00632B6C">
        <w:rPr>
          <w:lang w:val="en-CA"/>
        </w:rPr>
        <w:t xml:space="preserve"> evidence, the judge found that the Notary </w:t>
      </w:r>
      <w:r w:rsidR="00952D32">
        <w:rPr>
          <w:lang w:val="en-CA"/>
        </w:rPr>
        <w:t xml:space="preserve">did </w:t>
      </w:r>
      <w:r w:rsidRPr="00632B6C">
        <w:rPr>
          <w:lang w:val="en-CA"/>
        </w:rPr>
        <w:t xml:space="preserve">not </w:t>
      </w:r>
      <w:r w:rsidR="00952D32">
        <w:rPr>
          <w:lang w:val="en-CA"/>
        </w:rPr>
        <w:t xml:space="preserve">have an obligation </w:t>
      </w:r>
      <w:r w:rsidRPr="00632B6C">
        <w:rPr>
          <w:lang w:val="en-CA"/>
        </w:rPr>
        <w:t xml:space="preserve">to </w:t>
      </w:r>
      <w:r w:rsidR="003805AB">
        <w:rPr>
          <w:lang w:val="en-CA"/>
        </w:rPr>
        <w:t>communicate with</w:t>
      </w:r>
      <w:r w:rsidR="003805AB" w:rsidRPr="00632B6C">
        <w:rPr>
          <w:lang w:val="en-CA"/>
        </w:rPr>
        <w:t xml:space="preserve"> </w:t>
      </w:r>
      <w:r w:rsidRPr="00632B6C">
        <w:rPr>
          <w:lang w:val="en-CA"/>
        </w:rPr>
        <w:t xml:space="preserve">the appellants before disbursing their down payments or </w:t>
      </w:r>
      <w:r w:rsidR="00A72CD8">
        <w:rPr>
          <w:lang w:val="en-CA"/>
        </w:rPr>
        <w:t xml:space="preserve">to </w:t>
      </w:r>
      <w:r w:rsidRPr="00632B6C">
        <w:rPr>
          <w:lang w:val="en-CA"/>
        </w:rPr>
        <w:t>obtain their permission to do so:</w:t>
      </w:r>
    </w:p>
    <w:p w14:paraId="5C5A22D4" w14:textId="08F710C3" w:rsidR="00D7020D" w:rsidRDefault="00D7020D" w:rsidP="00324897">
      <w:pPr>
        <w:pStyle w:val="Citationenretrai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45A4FD7A" w14:textId="37FA284F" w:rsidR="00B2165C" w:rsidRPr="00632B6C" w:rsidRDefault="005B3B9F" w:rsidP="00324897">
      <w:pPr>
        <w:pStyle w:val="Citationenretrait"/>
        <w:rPr>
          <w:szCs w:val="22"/>
          <w:lang w:val="en-CA"/>
        </w:rPr>
      </w:pPr>
      <w:r w:rsidRPr="00632B6C">
        <w:rPr>
          <w:szCs w:val="22"/>
          <w:lang w:val="en-CA"/>
        </w:rPr>
        <w:t>[97]</w:t>
      </w:r>
      <w:r w:rsidRPr="00632B6C">
        <w:rPr>
          <w:szCs w:val="22"/>
          <w:lang w:val="en-CA"/>
        </w:rPr>
        <w:tab/>
      </w:r>
      <w:r w:rsidR="008656E3" w:rsidRPr="00727E9A">
        <w:rPr>
          <w:rFonts w:cs="Arial"/>
          <w:u w:val="single"/>
          <w:lang w:val="en-CA"/>
        </w:rPr>
        <w:t>The Court is of the view that the notary’s duty of transparency and to inform do not require all of the information to be shared with the promissory buyers</w:t>
      </w:r>
      <w:r w:rsidR="008656E3" w:rsidRPr="008656E3">
        <w:rPr>
          <w:rFonts w:cs="Arial"/>
          <w:lang w:val="en-CA"/>
        </w:rPr>
        <w:t>. While there is a fault in that the detailed contents of the index of immovables was not validated, the Court agrees that Mtre Millowitz had no obligation to share the specific contents of the index with each promissory buyer, unless there is a genuine adverse entry</w:t>
      </w:r>
      <w:r w:rsidR="00A72CD8">
        <w:rPr>
          <w:rFonts w:cs="Arial"/>
          <w:lang w:val="en-CA"/>
        </w:rPr>
        <w:t xml:space="preserve"> that </w:t>
      </w:r>
      <w:r w:rsidR="008656E3" w:rsidRPr="008656E3">
        <w:rPr>
          <w:rFonts w:cs="Arial"/>
          <w:lang w:val="en-CA"/>
        </w:rPr>
        <w:t>neither the notary nor the developer can resolve, or if the developer cannot provide a reasonable explanation about future financing</w:t>
      </w:r>
      <w:r w:rsidR="00726F18" w:rsidRPr="00632B6C">
        <w:rPr>
          <w:szCs w:val="22"/>
          <w:lang w:val="en-CA"/>
        </w:rPr>
        <w:t>.</w:t>
      </w:r>
    </w:p>
    <w:p w14:paraId="659D1D84" w14:textId="144B2FE4" w:rsidR="00B2165C" w:rsidRPr="00632B6C" w:rsidRDefault="005B3B9F" w:rsidP="00E31222">
      <w:pPr>
        <w:pStyle w:val="Citationenretrait"/>
        <w:spacing w:after="0"/>
        <w:rPr>
          <w:szCs w:val="22"/>
          <w:u w:val="single"/>
          <w:lang w:val="en-CA"/>
        </w:rPr>
      </w:pPr>
      <w:r w:rsidRPr="00632B6C">
        <w:rPr>
          <w:szCs w:val="22"/>
          <w:lang w:val="en-CA"/>
        </w:rPr>
        <w:t>[98]</w:t>
      </w:r>
      <w:r w:rsidRPr="00632B6C">
        <w:rPr>
          <w:szCs w:val="22"/>
          <w:lang w:val="en-CA"/>
        </w:rPr>
        <w:tab/>
      </w:r>
      <w:r w:rsidR="008656E3" w:rsidRPr="00727E9A">
        <w:rPr>
          <w:rFonts w:cs="Arial"/>
          <w:u w:val="single"/>
          <w:lang w:val="en-CA"/>
        </w:rPr>
        <w:t xml:space="preserve">Furthermore, the evidence in general does not support that a notary must communicate with the promissory buyers before disbursing their deposits or, even less, seek their permission to do so. All of the ethical rules and the case law on the role of a depositary cited by the plaintiffs to argue that the obligation of means becomes an obligation of result do not apply to a notary who is merely following the agreement entered into between the parties, as part of the preliminary contract, with respect to the time of disbursement. The Court confirms that neither the contents of that contract nor what appears to be the standard of practice governing the conduct of a notary who executes such an act involves the promissory buyers </w:t>
      </w:r>
      <w:r w:rsidR="00A72CD8">
        <w:rPr>
          <w:rFonts w:cs="Arial"/>
          <w:u w:val="single"/>
          <w:lang w:val="en-CA"/>
        </w:rPr>
        <w:t xml:space="preserve">again </w:t>
      </w:r>
      <w:r w:rsidR="008656E3" w:rsidRPr="00727E9A">
        <w:rPr>
          <w:rFonts w:cs="Arial"/>
          <w:u w:val="single"/>
          <w:lang w:val="en-CA"/>
        </w:rPr>
        <w:t>in the decision to disburse</w:t>
      </w:r>
      <w:r w:rsidR="00726F18" w:rsidRPr="00D7020D">
        <w:rPr>
          <w:szCs w:val="22"/>
          <w:lang w:val="en-CA"/>
        </w:rPr>
        <w:t>.</w:t>
      </w:r>
    </w:p>
    <w:p w14:paraId="578235E1" w14:textId="1BD2A530" w:rsidR="00B2165C" w:rsidRPr="00632B6C" w:rsidRDefault="00673940" w:rsidP="00324897">
      <w:pPr>
        <w:pStyle w:val="Paragraphe"/>
        <w:numPr>
          <w:ilvl w:val="0"/>
          <w:numId w:val="0"/>
        </w:numPr>
        <w:spacing w:before="0" w:line="240" w:lineRule="auto"/>
        <w:ind w:left="113" w:right="715"/>
        <w:jc w:val="right"/>
        <w:rPr>
          <w:sz w:val="22"/>
          <w:szCs w:val="22"/>
          <w:lang w:val="en-CA"/>
        </w:rPr>
      </w:pPr>
      <w:r w:rsidRPr="00632B6C">
        <w:rPr>
          <w:sz w:val="22"/>
          <w:szCs w:val="22"/>
          <w:lang w:val="en-CA"/>
        </w:rPr>
        <w:t>[Emphasis added]</w:t>
      </w:r>
    </w:p>
    <w:p w14:paraId="3959EC47" w14:textId="2C51B9DE" w:rsidR="00B2165C" w:rsidRPr="00632B6C" w:rsidRDefault="00726F18" w:rsidP="00544BFD">
      <w:pPr>
        <w:pStyle w:val="Paragraphe"/>
        <w:keepNext/>
        <w:tabs>
          <w:tab w:val="clear" w:pos="720"/>
          <w:tab w:val="num" w:pos="709"/>
        </w:tabs>
        <w:spacing w:line="240" w:lineRule="auto"/>
        <w:rPr>
          <w:lang w:val="en-CA"/>
        </w:rPr>
      </w:pPr>
      <w:r w:rsidRPr="00632B6C">
        <w:rPr>
          <w:lang w:val="en-CA"/>
        </w:rPr>
        <w:t>Later, he reiterates:</w:t>
      </w:r>
    </w:p>
    <w:p w14:paraId="119A92F3" w14:textId="7204208F" w:rsidR="00D7020D" w:rsidRDefault="00D7020D" w:rsidP="00544BFD">
      <w:pPr>
        <w:pStyle w:val="Citationenretrait"/>
        <w:keepNex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49CA3D14" w14:textId="2378EB29" w:rsidR="00B2165C" w:rsidRPr="00632B6C" w:rsidRDefault="005B3B9F" w:rsidP="00544BFD">
      <w:pPr>
        <w:pStyle w:val="Citationenretrait"/>
        <w:keepNext/>
        <w:rPr>
          <w:szCs w:val="22"/>
          <w:u w:val="single"/>
          <w:lang w:val="en-CA"/>
        </w:rPr>
      </w:pPr>
      <w:r w:rsidRPr="00632B6C">
        <w:rPr>
          <w:szCs w:val="22"/>
          <w:lang w:val="en-CA"/>
        </w:rPr>
        <w:t>[155]</w:t>
      </w:r>
      <w:r w:rsidRPr="00632B6C">
        <w:rPr>
          <w:szCs w:val="22"/>
          <w:lang w:val="en-CA"/>
        </w:rPr>
        <w:tab/>
      </w:r>
      <w:r w:rsidR="00727E9A" w:rsidRPr="00727E9A">
        <w:rPr>
          <w:rFonts w:cs="Arial"/>
          <w:szCs w:val="22"/>
          <w:lang w:val="en-CA"/>
        </w:rPr>
        <w:t xml:space="preserve">A problem exists, therefore, because the plaintiffs’ evidence on causality assumes that they had a strict right to receive all of the information contained in the land registry and the related documents. </w:t>
      </w:r>
      <w:r w:rsidR="00727E9A" w:rsidRPr="00727E9A">
        <w:rPr>
          <w:rFonts w:cs="Arial"/>
          <w:szCs w:val="22"/>
          <w:u w:val="single"/>
          <w:lang w:val="en-CA"/>
        </w:rPr>
        <w:t>According to the evidence adduced by Mtre Millowitz’s notarial expert, which the Court accepts on this point, it is possible to believe that the notary, after consulting the land registry and the official acts and a discussion with the developer,</w:t>
      </w:r>
      <w:r w:rsidR="00824F2A">
        <w:rPr>
          <w:rFonts w:cs="Arial"/>
          <w:szCs w:val="22"/>
          <w:u w:val="single"/>
          <w:lang w:val="en-CA"/>
        </w:rPr>
        <w:t xml:space="preserve"> would have</w:t>
      </w:r>
      <w:r w:rsidR="00727E9A" w:rsidRPr="00727E9A">
        <w:rPr>
          <w:rFonts w:cs="Arial"/>
          <w:szCs w:val="22"/>
          <w:u w:val="single"/>
          <w:lang w:val="en-CA"/>
        </w:rPr>
        <w:t xml:space="preserve"> </w:t>
      </w:r>
      <w:r w:rsidR="00A72CD8">
        <w:rPr>
          <w:rFonts w:cs="Arial"/>
          <w:szCs w:val="22"/>
          <w:u w:val="single"/>
          <w:lang w:val="en-CA"/>
        </w:rPr>
        <w:t xml:space="preserve">concluded </w:t>
      </w:r>
      <w:r w:rsidR="00727E9A" w:rsidRPr="00727E9A">
        <w:rPr>
          <w:rFonts w:cs="Arial"/>
          <w:szCs w:val="22"/>
          <w:u w:val="single"/>
          <w:lang w:val="en-CA"/>
        </w:rPr>
        <w:t xml:space="preserve">that there were no adverse entries or real or imminent danger based on the financing. As a result, </w:t>
      </w:r>
      <w:r w:rsidR="00727E9A" w:rsidRPr="00727E9A">
        <w:rPr>
          <w:rFonts w:cs="Arial"/>
          <w:szCs w:val="22"/>
          <w:u w:val="single"/>
          <w:lang w:val="en-CA"/>
        </w:rPr>
        <w:lastRenderedPageBreak/>
        <w:t>Mtre Millowitz was under no obligation to communicate with each plaintiff or to communicate the information appearing in the land registry prior to disbursing the deposits, as provided in and permitted by the preliminary contract</w:t>
      </w:r>
      <w:r w:rsidR="00003778" w:rsidRPr="002920C3">
        <w:rPr>
          <w:lang w:val="en-CA"/>
        </w:rPr>
        <w:t>.</w:t>
      </w:r>
    </w:p>
    <w:p w14:paraId="6E960792" w14:textId="77FEC82C" w:rsidR="00B2165C" w:rsidRPr="00632B6C" w:rsidRDefault="00D71EFD"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w:t>
      </w:r>
    </w:p>
    <w:p w14:paraId="0CAD6E0B" w14:textId="02DEC7DE" w:rsidR="00B2165C" w:rsidRPr="00632B6C" w:rsidRDefault="00602FC6" w:rsidP="00324897">
      <w:pPr>
        <w:pStyle w:val="Paragraphe"/>
        <w:tabs>
          <w:tab w:val="clear" w:pos="720"/>
          <w:tab w:val="num" w:pos="709"/>
        </w:tabs>
        <w:spacing w:line="240" w:lineRule="auto"/>
        <w:rPr>
          <w:lang w:val="en-CA"/>
        </w:rPr>
      </w:pPr>
      <w:r w:rsidRPr="00632B6C">
        <w:rPr>
          <w:lang w:val="en-CA"/>
        </w:rPr>
        <w:t xml:space="preserve">The appellants propose that the Court </w:t>
      </w:r>
      <w:r w:rsidR="00824F2A">
        <w:rPr>
          <w:lang w:val="en-CA"/>
        </w:rPr>
        <w:t>set aside</w:t>
      </w:r>
      <w:r w:rsidR="00824F2A" w:rsidRPr="00632B6C">
        <w:rPr>
          <w:lang w:val="en-CA"/>
        </w:rPr>
        <w:t xml:space="preserve"> </w:t>
      </w:r>
      <w:r w:rsidRPr="00632B6C">
        <w:rPr>
          <w:lang w:val="en-CA"/>
        </w:rPr>
        <w:t xml:space="preserve">the trial judge’s opinion, which is based on expert notary Collins, and </w:t>
      </w:r>
      <w:r w:rsidR="00AA7318">
        <w:rPr>
          <w:lang w:val="en-CA"/>
        </w:rPr>
        <w:t xml:space="preserve">substitute </w:t>
      </w:r>
      <w:r w:rsidR="002920C3">
        <w:rPr>
          <w:lang w:val="en-CA"/>
        </w:rPr>
        <w:t xml:space="preserve">it with its own </w:t>
      </w:r>
      <w:r w:rsidRPr="00632B6C">
        <w:rPr>
          <w:lang w:val="en-CA"/>
        </w:rPr>
        <w:t>assess</w:t>
      </w:r>
      <w:r w:rsidR="002920C3">
        <w:rPr>
          <w:lang w:val="en-CA"/>
        </w:rPr>
        <w:t>ment of</w:t>
      </w:r>
      <w:r w:rsidRPr="00632B6C">
        <w:rPr>
          <w:lang w:val="en-CA"/>
        </w:rPr>
        <w:t xml:space="preserve"> the facts </w:t>
      </w:r>
      <w:r w:rsidR="00AA7318">
        <w:rPr>
          <w:lang w:val="en-CA"/>
        </w:rPr>
        <w:t xml:space="preserve">by </w:t>
      </w:r>
      <w:r w:rsidRPr="00632B6C">
        <w:rPr>
          <w:lang w:val="en-CA"/>
        </w:rPr>
        <w:t xml:space="preserve">accepting the </w:t>
      </w:r>
      <w:r w:rsidR="009D2861">
        <w:rPr>
          <w:lang w:val="en-CA"/>
        </w:rPr>
        <w:t>position</w:t>
      </w:r>
      <w:r w:rsidRPr="00632B6C">
        <w:rPr>
          <w:lang w:val="en-CA"/>
        </w:rPr>
        <w:t xml:space="preserve"> of their </w:t>
      </w:r>
      <w:r w:rsidR="002920C3">
        <w:rPr>
          <w:lang w:val="en-CA"/>
        </w:rPr>
        <w:t xml:space="preserve">own </w:t>
      </w:r>
      <w:r w:rsidRPr="00632B6C">
        <w:rPr>
          <w:lang w:val="en-CA"/>
        </w:rPr>
        <w:t>expert notary Tessier</w:t>
      </w:r>
      <w:r w:rsidR="00824F2A">
        <w:rPr>
          <w:lang w:val="en-CA"/>
        </w:rPr>
        <w:t xml:space="preserve"> this time</w:t>
      </w:r>
      <w:r w:rsidRPr="00632B6C">
        <w:rPr>
          <w:lang w:val="en-CA"/>
        </w:rPr>
        <w:t>.</w:t>
      </w:r>
      <w:r w:rsidR="005B3B9F" w:rsidRPr="00632B6C">
        <w:rPr>
          <w:lang w:val="en-CA"/>
        </w:rPr>
        <w:t xml:space="preserve"> </w:t>
      </w:r>
      <w:r w:rsidRPr="00632B6C">
        <w:rPr>
          <w:lang w:val="en-CA"/>
        </w:rPr>
        <w:t xml:space="preserve">Tessier’s </w:t>
      </w:r>
      <w:r w:rsidR="00AA7318">
        <w:rPr>
          <w:lang w:val="en-CA"/>
        </w:rPr>
        <w:t>position</w:t>
      </w:r>
      <w:r w:rsidR="00AA7318" w:rsidRPr="00632B6C">
        <w:rPr>
          <w:lang w:val="en-CA"/>
        </w:rPr>
        <w:t xml:space="preserve"> </w:t>
      </w:r>
      <w:r w:rsidRPr="00632B6C">
        <w:rPr>
          <w:lang w:val="en-CA"/>
        </w:rPr>
        <w:t xml:space="preserve">is that in addition to ensuring compliance with the conditions stipulated in the preliminary contract, the Notary had a duty to ensure that </w:t>
      </w:r>
      <w:r w:rsidR="009D2861" w:rsidRPr="00632B6C">
        <w:rPr>
          <w:rFonts w:cs="Arial"/>
          <w:szCs w:val="22"/>
          <w:lang w:val="en-CA"/>
        </w:rPr>
        <w:t>[</w:t>
      </w:r>
      <w:r w:rsidR="009D2861" w:rsidRPr="00632B6C">
        <w:rPr>
          <w:rFonts w:cs="Arial"/>
          <w:smallCaps/>
          <w:szCs w:val="22"/>
          <w:lang w:val="en-CA"/>
        </w:rPr>
        <w:t>translation</w:t>
      </w:r>
      <w:r w:rsidR="009D2861" w:rsidRPr="00632B6C">
        <w:rPr>
          <w:rFonts w:cs="Arial"/>
          <w:szCs w:val="22"/>
          <w:lang w:val="en-CA"/>
        </w:rPr>
        <w:t>]</w:t>
      </w:r>
      <w:r w:rsidR="009D2861" w:rsidRPr="00632B6C">
        <w:rPr>
          <w:lang w:val="en-CA"/>
        </w:rPr>
        <w:t xml:space="preserve"> </w:t>
      </w:r>
      <w:r w:rsidRPr="00632B6C">
        <w:rPr>
          <w:lang w:val="en-CA"/>
        </w:rPr>
        <w:t xml:space="preserve">“the transaction </w:t>
      </w:r>
      <w:r w:rsidR="009D2861">
        <w:rPr>
          <w:rFonts w:cs="Arial"/>
          <w:lang w:val="en-CA"/>
        </w:rPr>
        <w:t>[</w:t>
      </w:r>
      <w:r w:rsidRPr="00632B6C">
        <w:rPr>
          <w:lang w:val="en-CA"/>
        </w:rPr>
        <w:t>was</w:t>
      </w:r>
      <w:r w:rsidR="009D2861">
        <w:rPr>
          <w:rFonts w:cs="Arial"/>
          <w:lang w:val="en-CA"/>
        </w:rPr>
        <w:t>]</w:t>
      </w:r>
      <w:r w:rsidRPr="00632B6C">
        <w:rPr>
          <w:lang w:val="en-CA"/>
        </w:rPr>
        <w:t xml:space="preserve"> safe and </w:t>
      </w:r>
      <w:r w:rsidR="009D2861">
        <w:rPr>
          <w:rFonts w:cs="Arial"/>
          <w:lang w:val="en-CA"/>
        </w:rPr>
        <w:t>[</w:t>
      </w:r>
      <w:r w:rsidRPr="00632B6C">
        <w:rPr>
          <w:lang w:val="en-CA"/>
        </w:rPr>
        <w:t>had</w:t>
      </w:r>
      <w:r w:rsidR="009D2861">
        <w:rPr>
          <w:rFonts w:cs="Arial"/>
          <w:lang w:val="en-CA"/>
        </w:rPr>
        <w:t>]</w:t>
      </w:r>
      <w:r w:rsidRPr="00632B6C">
        <w:rPr>
          <w:lang w:val="en-CA"/>
        </w:rPr>
        <w:t xml:space="preserve"> been duly approved by the </w:t>
      </w:r>
      <w:r w:rsidR="00727E9A" w:rsidRPr="00727E9A">
        <w:rPr>
          <w:rFonts w:cs="Arial"/>
          <w:lang w:val="en-CA"/>
        </w:rPr>
        <w:t>promissory buyer</w:t>
      </w:r>
      <w:r w:rsidRPr="00632B6C">
        <w:rPr>
          <w:lang w:val="en-CA"/>
        </w:rPr>
        <w:t xml:space="preserve">”. </w:t>
      </w:r>
    </w:p>
    <w:p w14:paraId="7463552A" w14:textId="7C0C0433" w:rsidR="00B2165C" w:rsidRPr="00632B6C" w:rsidRDefault="00E65F72" w:rsidP="00324897">
      <w:pPr>
        <w:pStyle w:val="Paragraphe"/>
        <w:tabs>
          <w:tab w:val="clear" w:pos="720"/>
          <w:tab w:val="num" w:pos="709"/>
        </w:tabs>
        <w:spacing w:line="240" w:lineRule="auto"/>
        <w:rPr>
          <w:lang w:val="en-CA"/>
        </w:rPr>
      </w:pPr>
      <w:r>
        <w:rPr>
          <w:lang w:val="en-CA"/>
        </w:rPr>
        <w:t>T</w:t>
      </w:r>
      <w:r w:rsidR="00602FC6" w:rsidRPr="00632B6C">
        <w:rPr>
          <w:lang w:val="en-CA"/>
        </w:rPr>
        <w:t xml:space="preserve">o propose another </w:t>
      </w:r>
      <w:r w:rsidR="009D2861">
        <w:rPr>
          <w:lang w:val="en-CA"/>
        </w:rPr>
        <w:t>position</w:t>
      </w:r>
      <w:r w:rsidR="009D2861" w:rsidRPr="00632B6C">
        <w:rPr>
          <w:lang w:val="en-CA"/>
        </w:rPr>
        <w:t xml:space="preserve"> </w:t>
      </w:r>
      <w:r w:rsidR="00602FC6" w:rsidRPr="00632B6C">
        <w:rPr>
          <w:lang w:val="en-CA"/>
        </w:rPr>
        <w:t>to the Court</w:t>
      </w:r>
      <w:r>
        <w:rPr>
          <w:lang w:val="en-CA"/>
        </w:rPr>
        <w:t xml:space="preserve"> is insufficient</w:t>
      </w:r>
      <w:r w:rsidR="00602FC6" w:rsidRPr="00632B6C">
        <w:rPr>
          <w:lang w:val="en-CA"/>
        </w:rPr>
        <w:t>.</w:t>
      </w:r>
      <w:r w:rsidR="005B3B9F" w:rsidRPr="00632B6C">
        <w:rPr>
          <w:lang w:val="en-CA"/>
        </w:rPr>
        <w:t xml:space="preserve"> </w:t>
      </w:r>
      <w:r w:rsidR="00602FC6" w:rsidRPr="00632B6C">
        <w:rPr>
          <w:lang w:val="en-CA"/>
        </w:rPr>
        <w:t xml:space="preserve">The appellants must </w:t>
      </w:r>
      <w:r w:rsidR="009D2861">
        <w:rPr>
          <w:lang w:val="en-CA"/>
        </w:rPr>
        <w:t xml:space="preserve">identify </w:t>
      </w:r>
      <w:r w:rsidR="00602FC6" w:rsidRPr="00632B6C">
        <w:rPr>
          <w:lang w:val="en-CA"/>
        </w:rPr>
        <w:t xml:space="preserve">in what way accepting Mtre Collins’s proposal is a palpable and overriding error. </w:t>
      </w:r>
      <w:r w:rsidR="005B3B9F" w:rsidRPr="00632B6C">
        <w:rPr>
          <w:lang w:val="en-CA"/>
        </w:rPr>
        <w:t xml:space="preserve"> </w:t>
      </w:r>
      <w:r w:rsidR="00602FC6" w:rsidRPr="00632B6C">
        <w:rPr>
          <w:lang w:val="en-CA"/>
        </w:rPr>
        <w:t>They have failed to do so.</w:t>
      </w:r>
    </w:p>
    <w:p w14:paraId="21C71CCD" w14:textId="46FD6950" w:rsidR="00B2165C" w:rsidRPr="00632B6C" w:rsidRDefault="00602FC6" w:rsidP="00324897">
      <w:pPr>
        <w:pStyle w:val="Paragraphe"/>
        <w:tabs>
          <w:tab w:val="clear" w:pos="720"/>
          <w:tab w:val="num" w:pos="709"/>
        </w:tabs>
        <w:spacing w:line="240" w:lineRule="auto"/>
        <w:rPr>
          <w:lang w:val="en-CA"/>
        </w:rPr>
      </w:pPr>
      <w:r w:rsidRPr="00632B6C">
        <w:rPr>
          <w:lang w:val="en-CA"/>
        </w:rPr>
        <w:t>With respect to the trial judge’s assessment of the appellants’ testimony, the</w:t>
      </w:r>
      <w:r w:rsidR="009D2861">
        <w:rPr>
          <w:lang w:val="en-CA"/>
        </w:rPr>
        <w:t xml:space="preserve"> appellants</w:t>
      </w:r>
      <w:r w:rsidRPr="00632B6C">
        <w:rPr>
          <w:lang w:val="en-CA"/>
        </w:rPr>
        <w:t xml:space="preserve"> allege that the judge speculated about their reactions.</w:t>
      </w:r>
      <w:r w:rsidR="005B3B9F" w:rsidRPr="00632B6C">
        <w:rPr>
          <w:lang w:val="en-CA"/>
        </w:rPr>
        <w:t xml:space="preserve"> </w:t>
      </w:r>
      <w:r w:rsidR="009D2861">
        <w:rPr>
          <w:lang w:val="en-CA"/>
        </w:rPr>
        <w:t>However, t</w:t>
      </w:r>
      <w:r w:rsidRPr="00632B6C">
        <w:rPr>
          <w:lang w:val="en-CA"/>
        </w:rPr>
        <w:t>hey in turn suggest that the Court speculate otherwise and find that they would not have authorized the Notary to disburse the down payments had they been informed of the situation in the fall of 2013.</w:t>
      </w:r>
      <w:r w:rsidR="005B3B9F" w:rsidRPr="00632B6C">
        <w:rPr>
          <w:lang w:val="en-CA"/>
        </w:rPr>
        <w:t xml:space="preserve"> </w:t>
      </w:r>
      <w:r w:rsidRPr="00632B6C">
        <w:rPr>
          <w:lang w:val="en-CA"/>
        </w:rPr>
        <w:t xml:space="preserve">This </w:t>
      </w:r>
      <w:r w:rsidR="008D0949">
        <w:rPr>
          <w:lang w:val="en-CA"/>
        </w:rPr>
        <w:t>position</w:t>
      </w:r>
      <w:r w:rsidR="008D0949" w:rsidRPr="00632B6C">
        <w:rPr>
          <w:lang w:val="en-CA"/>
        </w:rPr>
        <w:t xml:space="preserve"> </w:t>
      </w:r>
      <w:r w:rsidRPr="00632B6C">
        <w:rPr>
          <w:lang w:val="en-CA"/>
        </w:rPr>
        <w:t>is inconsistent, however, with the facts as related above and the essence of the testimony summarized in the judgment under appeal for which they have failed to identify any error.</w:t>
      </w:r>
    </w:p>
    <w:p w14:paraId="6EA8B7B7" w14:textId="124C3CDF" w:rsidR="00B2165C" w:rsidRPr="00632B6C" w:rsidRDefault="00602FC6" w:rsidP="00324897">
      <w:pPr>
        <w:pStyle w:val="Paragraphe"/>
        <w:tabs>
          <w:tab w:val="clear" w:pos="720"/>
          <w:tab w:val="num" w:pos="709"/>
        </w:tabs>
        <w:spacing w:line="240" w:lineRule="auto"/>
        <w:rPr>
          <w:lang w:val="en-CA"/>
        </w:rPr>
      </w:pPr>
      <w:r w:rsidRPr="00632B6C">
        <w:rPr>
          <w:lang w:val="en-CA"/>
        </w:rPr>
        <w:t>The appellants wrongly submit that the Notary’s duty to advise included ensuring that the Bank’s financing was completed and Point Zéro’s hypothec cancelled.</w:t>
      </w:r>
      <w:r w:rsidR="005B3B9F" w:rsidRPr="00632B6C">
        <w:rPr>
          <w:lang w:val="en-CA"/>
        </w:rPr>
        <w:t xml:space="preserve"> </w:t>
      </w:r>
      <w:r w:rsidRPr="00632B6C">
        <w:rPr>
          <w:lang w:val="en-CA"/>
        </w:rPr>
        <w:t xml:space="preserve">The </w:t>
      </w:r>
      <w:r w:rsidR="009D2861" w:rsidRPr="00632B6C">
        <w:rPr>
          <w:lang w:val="en-CA"/>
        </w:rPr>
        <w:t xml:space="preserve">preliminary contract </w:t>
      </w:r>
      <w:r w:rsidR="009D2861">
        <w:rPr>
          <w:lang w:val="en-CA"/>
        </w:rPr>
        <w:t xml:space="preserve">did not stipulate these </w:t>
      </w:r>
      <w:r w:rsidRPr="00632B6C">
        <w:rPr>
          <w:lang w:val="en-CA"/>
        </w:rPr>
        <w:t xml:space="preserve">conditions </w:t>
      </w:r>
      <w:r w:rsidR="009D2861">
        <w:rPr>
          <w:lang w:val="en-CA"/>
        </w:rPr>
        <w:t xml:space="preserve">for </w:t>
      </w:r>
      <w:r w:rsidR="009D2861" w:rsidRPr="009D2861">
        <w:rPr>
          <w:lang w:val="en-CA"/>
        </w:rPr>
        <w:t>di</w:t>
      </w:r>
      <w:r w:rsidR="009D2861">
        <w:rPr>
          <w:lang w:val="en-CA"/>
        </w:rPr>
        <w:t>sbursing the down payments</w:t>
      </w:r>
      <w:r w:rsidRPr="00632B6C">
        <w:rPr>
          <w:lang w:val="en-CA"/>
        </w:rPr>
        <w:t>.</w:t>
      </w:r>
      <w:r w:rsidR="005B3B9F" w:rsidRPr="00632B6C">
        <w:rPr>
          <w:lang w:val="en-CA"/>
        </w:rPr>
        <w:t xml:space="preserve"> </w:t>
      </w:r>
      <w:r w:rsidRPr="00632B6C">
        <w:rPr>
          <w:lang w:val="en-CA"/>
        </w:rPr>
        <w:t xml:space="preserve">The protection claimed by the appellants is akin to that required of an officiating notary asked to execute deeds of sale and ensure </w:t>
      </w:r>
      <w:r w:rsidR="0094438C">
        <w:rPr>
          <w:lang w:val="en-CA"/>
        </w:rPr>
        <w:t>clear title is</w:t>
      </w:r>
      <w:r w:rsidRPr="00632B6C">
        <w:rPr>
          <w:lang w:val="en-CA"/>
        </w:rPr>
        <w:t xml:space="preserve"> transfer</w:t>
      </w:r>
      <w:r w:rsidR="0094438C">
        <w:rPr>
          <w:lang w:val="en-CA"/>
        </w:rPr>
        <w:t>red</w:t>
      </w:r>
      <w:r w:rsidRPr="00632B6C">
        <w:rPr>
          <w:lang w:val="en-CA"/>
        </w:rPr>
        <w:t xml:space="preserve"> and charges </w:t>
      </w:r>
      <w:r w:rsidR="009D2861">
        <w:rPr>
          <w:lang w:val="en-CA"/>
        </w:rPr>
        <w:t>encumbering</w:t>
      </w:r>
      <w:r w:rsidRPr="00632B6C">
        <w:rPr>
          <w:lang w:val="en-CA"/>
        </w:rPr>
        <w:t xml:space="preserve"> the </w:t>
      </w:r>
      <w:r w:rsidR="00322B4B">
        <w:rPr>
          <w:lang w:val="en-CA"/>
        </w:rPr>
        <w:t>property</w:t>
      </w:r>
      <w:r w:rsidR="0094438C">
        <w:rPr>
          <w:lang w:val="en-CA"/>
        </w:rPr>
        <w:t xml:space="preserve"> are eliminated</w:t>
      </w:r>
      <w:r w:rsidRPr="00632B6C">
        <w:rPr>
          <w:lang w:val="en-CA"/>
        </w:rPr>
        <w:t>.</w:t>
      </w:r>
      <w:r w:rsidR="005B3B9F" w:rsidRPr="00632B6C">
        <w:rPr>
          <w:lang w:val="en-CA"/>
        </w:rPr>
        <w:t xml:space="preserve"> </w:t>
      </w:r>
      <w:r w:rsidRPr="00632B6C">
        <w:rPr>
          <w:lang w:val="en-CA"/>
        </w:rPr>
        <w:t xml:space="preserve">To require such protection amounts to distorting the Notary’s mandate, which should be understood in light of the purpose of the down payments that, according to the testimony on the practices at the time, was to finance the </w:t>
      </w:r>
      <w:r w:rsidR="00B31486">
        <w:rPr>
          <w:lang w:val="en-CA"/>
        </w:rPr>
        <w:t>building</w:t>
      </w:r>
      <w:r w:rsidRPr="00632B6C">
        <w:rPr>
          <w:lang w:val="en-CA"/>
        </w:rPr>
        <w:t xml:space="preserve">’s construction. </w:t>
      </w:r>
    </w:p>
    <w:p w14:paraId="599CE01D" w14:textId="47062832" w:rsidR="00B2165C" w:rsidRPr="00632B6C" w:rsidRDefault="005B3B9F" w:rsidP="00324897">
      <w:pPr>
        <w:pStyle w:val="Paragraphe"/>
        <w:tabs>
          <w:tab w:val="clear" w:pos="720"/>
          <w:tab w:val="num" w:pos="709"/>
        </w:tabs>
        <w:spacing w:line="240" w:lineRule="auto"/>
        <w:rPr>
          <w:lang w:val="en-CA"/>
        </w:rPr>
      </w:pPr>
      <w:r w:rsidRPr="00632B6C">
        <w:rPr>
          <w:lang w:val="en-CA"/>
        </w:rPr>
        <w:t xml:space="preserve"> </w:t>
      </w:r>
      <w:r w:rsidR="00602FC6" w:rsidRPr="00632B6C">
        <w:rPr>
          <w:lang w:val="en-CA"/>
        </w:rPr>
        <w:t xml:space="preserve">On whether the trial judge erred in finding that GIR </w:t>
      </w:r>
      <w:r w:rsidR="00B31486">
        <w:rPr>
          <w:lang w:val="en-CA"/>
        </w:rPr>
        <w:t>would</w:t>
      </w:r>
      <w:r w:rsidR="00602FC6" w:rsidRPr="00632B6C">
        <w:rPr>
          <w:lang w:val="en-CA"/>
        </w:rPr>
        <w:t xml:space="preserve"> not </w:t>
      </w:r>
      <w:r w:rsidR="00B31486">
        <w:rPr>
          <w:lang w:val="en-CA"/>
        </w:rPr>
        <w:t xml:space="preserve">have </w:t>
      </w:r>
      <w:r w:rsidR="00602FC6" w:rsidRPr="00632B6C">
        <w:rPr>
          <w:lang w:val="en-CA"/>
        </w:rPr>
        <w:t>require</w:t>
      </w:r>
      <w:r w:rsidR="00B31486">
        <w:rPr>
          <w:lang w:val="en-CA"/>
        </w:rPr>
        <w:t>d</w:t>
      </w:r>
      <w:r w:rsidR="00602FC6" w:rsidRPr="00632B6C">
        <w:rPr>
          <w:lang w:val="en-CA"/>
        </w:rPr>
        <w:t xml:space="preserve"> additional conditions to disburse the down payments, the appellants have also failed to </w:t>
      </w:r>
      <w:r w:rsidR="003A4D0B">
        <w:rPr>
          <w:lang w:val="en-CA"/>
        </w:rPr>
        <w:t>establish</w:t>
      </w:r>
      <w:r w:rsidR="00602FC6" w:rsidRPr="00632B6C">
        <w:rPr>
          <w:lang w:val="en-CA"/>
        </w:rPr>
        <w:t xml:space="preserve"> any palpable and overriding error in the judge’s analysis when he found:</w:t>
      </w:r>
    </w:p>
    <w:p w14:paraId="00088B0F" w14:textId="62CB76A5" w:rsidR="00D7020D" w:rsidRDefault="00D7020D" w:rsidP="00324897">
      <w:pPr>
        <w:pStyle w:val="Citationenretrait"/>
        <w:rPr>
          <w:szCs w:val="22"/>
          <w:lang w:val="en-CA"/>
        </w:rPr>
      </w:pPr>
      <w:r w:rsidRPr="00632B6C">
        <w:rPr>
          <w:rFonts w:cs="Arial"/>
          <w:szCs w:val="22"/>
          <w:lang w:val="en-CA"/>
        </w:rPr>
        <w:t>[</w:t>
      </w:r>
      <w:r w:rsidRPr="00632B6C">
        <w:rPr>
          <w:rFonts w:cs="Arial"/>
          <w:smallCaps/>
          <w:szCs w:val="22"/>
          <w:lang w:val="en-CA"/>
        </w:rPr>
        <w:t>translation</w:t>
      </w:r>
      <w:r w:rsidRPr="00632B6C">
        <w:rPr>
          <w:rFonts w:cs="Arial"/>
          <w:szCs w:val="22"/>
          <w:lang w:val="en-CA"/>
        </w:rPr>
        <w:t>]</w:t>
      </w:r>
    </w:p>
    <w:p w14:paraId="724EA375" w14:textId="74CBA800" w:rsidR="00B2165C" w:rsidRPr="009D614C" w:rsidRDefault="005B3B9F" w:rsidP="00324897">
      <w:pPr>
        <w:pStyle w:val="Citationenretrait"/>
        <w:rPr>
          <w:szCs w:val="22"/>
          <w:lang w:val="en-CA"/>
        </w:rPr>
      </w:pPr>
      <w:r w:rsidRPr="00632B6C">
        <w:rPr>
          <w:szCs w:val="22"/>
          <w:lang w:val="en-CA"/>
        </w:rPr>
        <w:t>[174]</w:t>
      </w:r>
      <w:r w:rsidRPr="00632B6C">
        <w:rPr>
          <w:szCs w:val="22"/>
          <w:lang w:val="en-CA"/>
        </w:rPr>
        <w:tab/>
      </w:r>
      <w:r w:rsidR="008656E3" w:rsidRPr="008656E3">
        <w:rPr>
          <w:rFonts w:cs="Arial"/>
          <w:lang w:val="en-CA"/>
        </w:rPr>
        <w:t xml:space="preserve">The Court must conclude that even if Mtre Millowitz had better explained his idea behind the clause that allowed GIR to add conditions to the disbursement of the deposits, </w:t>
      </w:r>
      <w:r w:rsidR="008656E3" w:rsidRPr="00727E9A">
        <w:rPr>
          <w:rFonts w:cs="Arial"/>
          <w:u w:val="single"/>
          <w:lang w:val="en-CA"/>
        </w:rPr>
        <w:t xml:space="preserve">GIR would not have instituted additional safeguards that would have secured the deposits of the promissory buyers beyond the contractual basis </w:t>
      </w:r>
      <w:r w:rsidR="008656E3" w:rsidRPr="00727E9A">
        <w:rPr>
          <w:rFonts w:cs="Arial"/>
          <w:u w:val="single"/>
          <w:lang w:val="en-CA"/>
        </w:rPr>
        <w:lastRenderedPageBreak/>
        <w:t>of its guarantee</w:t>
      </w:r>
      <w:r w:rsidR="008656E3" w:rsidRPr="008656E3">
        <w:rPr>
          <w:rFonts w:cs="Arial"/>
          <w:lang w:val="en-CA"/>
        </w:rPr>
        <w:t xml:space="preserve">. One only has to look at the change of course between the expressed wishes of GIR’s director of risk </w:t>
      </w:r>
      <w:r w:rsidR="0054502E">
        <w:rPr>
          <w:rFonts w:cs="Arial"/>
          <w:lang w:val="en-CA"/>
        </w:rPr>
        <w:t xml:space="preserve">management </w:t>
      </w:r>
      <w:r w:rsidR="008656E3" w:rsidRPr="008656E3">
        <w:rPr>
          <w:rFonts w:cs="Arial"/>
          <w:lang w:val="en-CA"/>
        </w:rPr>
        <w:t>and accreditation and her replacement’s reaction when these intentions were rejected by the developer/builder. The new director, with the support of GIR’s decision-making bodies, immediately agreed to lower his demands and allow the disbursement of deposits under the preliminary contracts</w:t>
      </w:r>
      <w:r w:rsidR="00602FC6" w:rsidRPr="00632B6C">
        <w:rPr>
          <w:szCs w:val="22"/>
          <w:lang w:val="en-CA"/>
        </w:rPr>
        <w:t>.</w:t>
      </w:r>
      <w:r w:rsidR="00205BB1">
        <w:rPr>
          <w:szCs w:val="22"/>
          <w:lang w:val="en-CA"/>
        </w:rPr>
        <w:t xml:space="preserve"> </w:t>
      </w:r>
    </w:p>
    <w:p w14:paraId="4DE1A10F" w14:textId="69AA3F48" w:rsidR="00B2165C" w:rsidRPr="00632B6C" w:rsidRDefault="005B3B9F" w:rsidP="00324897">
      <w:pPr>
        <w:pStyle w:val="Citationenretrait"/>
        <w:rPr>
          <w:szCs w:val="22"/>
          <w:lang w:val="en-CA"/>
        </w:rPr>
      </w:pPr>
      <w:r w:rsidRPr="00632B6C">
        <w:rPr>
          <w:szCs w:val="22"/>
          <w:lang w:val="en-CA"/>
        </w:rPr>
        <w:t>[175]</w:t>
      </w:r>
      <w:r w:rsidRPr="00632B6C">
        <w:rPr>
          <w:szCs w:val="22"/>
          <w:lang w:val="en-CA"/>
        </w:rPr>
        <w:tab/>
      </w:r>
      <w:r w:rsidR="008656E3" w:rsidRPr="00727E9A">
        <w:rPr>
          <w:rFonts w:cs="Arial"/>
          <w:u w:val="single"/>
          <w:lang w:val="en-CA"/>
        </w:rPr>
        <w:t>Furthermore, even if the representative of GIR had asked additional question</w:t>
      </w:r>
      <w:r w:rsidR="004355AE">
        <w:rPr>
          <w:rFonts w:cs="Arial"/>
          <w:u w:val="single"/>
          <w:lang w:val="en-CA"/>
        </w:rPr>
        <w:t>s</w:t>
      </w:r>
      <w:r w:rsidR="008656E3" w:rsidRPr="00727E9A">
        <w:rPr>
          <w:rFonts w:cs="Arial"/>
          <w:u w:val="single"/>
          <w:lang w:val="en-CA"/>
        </w:rPr>
        <w:t xml:space="preserve"> about the financing in the fall of 2013, she would have received the same explanations from the developer and from the builder, and the same assurance from the National Bank, which meant that the project was not declared a failure until some time in 2015. </w:t>
      </w:r>
      <w:r w:rsidR="004355AE">
        <w:rPr>
          <w:rFonts w:cs="Arial"/>
          <w:u w:val="single"/>
          <w:lang w:val="en-CA"/>
        </w:rPr>
        <w:t>Every</w:t>
      </w:r>
      <w:r w:rsidR="004355AE" w:rsidRPr="00727E9A">
        <w:rPr>
          <w:rFonts w:cs="Arial"/>
          <w:u w:val="single"/>
          <w:lang w:val="en-CA"/>
        </w:rPr>
        <w:t xml:space="preserve"> </w:t>
      </w:r>
      <w:r w:rsidR="008656E3" w:rsidRPr="00727E9A">
        <w:rPr>
          <w:rFonts w:cs="Arial"/>
          <w:u w:val="single"/>
          <w:lang w:val="en-CA"/>
        </w:rPr>
        <w:t>person who sought additional information on the project’s viability ended up convinced that it would be built, one way or another</w:t>
      </w:r>
      <w:r w:rsidR="008656E3" w:rsidRPr="008656E3">
        <w:rPr>
          <w:rFonts w:cs="Arial"/>
          <w:lang w:val="en-CA"/>
        </w:rPr>
        <w:t>. As discussed, the ultimate reason for the failure of the project and the loss of amounts exceeding the guarantee have nothing to do with Mtre Millowitz, GIR, or their actions in the fall of 2013</w:t>
      </w:r>
      <w:r w:rsidR="007F54C1" w:rsidRPr="00632B6C">
        <w:rPr>
          <w:szCs w:val="22"/>
          <w:lang w:val="en-CA"/>
        </w:rPr>
        <w:t>.</w:t>
      </w:r>
    </w:p>
    <w:p w14:paraId="63ECA978" w14:textId="5FC1EDB9" w:rsidR="00B2165C" w:rsidRPr="00632B6C" w:rsidRDefault="00673940" w:rsidP="00E31222">
      <w:pPr>
        <w:pStyle w:val="Paragraphe"/>
        <w:numPr>
          <w:ilvl w:val="0"/>
          <w:numId w:val="0"/>
        </w:numPr>
        <w:spacing w:before="0" w:after="240" w:line="240" w:lineRule="auto"/>
        <w:ind w:left="113" w:right="715"/>
        <w:jc w:val="right"/>
        <w:rPr>
          <w:sz w:val="22"/>
          <w:szCs w:val="22"/>
          <w:lang w:val="en-CA"/>
        </w:rPr>
      </w:pPr>
      <w:r w:rsidRPr="00632B6C">
        <w:rPr>
          <w:sz w:val="22"/>
          <w:szCs w:val="22"/>
          <w:lang w:val="en-CA"/>
        </w:rPr>
        <w:t>[Emphasis added]</w:t>
      </w:r>
    </w:p>
    <w:p w14:paraId="092E4573" w14:textId="22F4F394"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They allege that GIR was at fault when it </w:t>
      </w:r>
      <w:r w:rsidR="009905AD">
        <w:rPr>
          <w:lang w:val="en-CA"/>
        </w:rPr>
        <w:t xml:space="preserve">analyzed </w:t>
      </w:r>
      <w:r w:rsidRPr="00632B6C">
        <w:rPr>
          <w:lang w:val="en-CA"/>
        </w:rPr>
        <w:t xml:space="preserve">the </w:t>
      </w:r>
      <w:r w:rsidR="00501C75">
        <w:rPr>
          <w:lang w:val="en-CA"/>
        </w:rPr>
        <w:t>Developer</w:t>
      </w:r>
      <w:r w:rsidR="00501C75" w:rsidRPr="00632B6C">
        <w:rPr>
          <w:lang w:val="en-CA"/>
        </w:rPr>
        <w:t xml:space="preserve">’s </w:t>
      </w:r>
      <w:r w:rsidRPr="00632B6C">
        <w:rPr>
          <w:lang w:val="en-CA"/>
        </w:rPr>
        <w:t xml:space="preserve">financing by failing to realize the risk posed by the Point Zéro loan and </w:t>
      </w:r>
      <w:r w:rsidR="009905AD">
        <w:rPr>
          <w:lang w:val="en-CA"/>
        </w:rPr>
        <w:t xml:space="preserve">the fact </w:t>
      </w:r>
      <w:r w:rsidRPr="00632B6C">
        <w:rPr>
          <w:lang w:val="en-CA"/>
        </w:rPr>
        <w:t xml:space="preserve">that the Bank’s financing was not </w:t>
      </w:r>
      <w:r w:rsidR="001D4A4A">
        <w:rPr>
          <w:lang w:val="en-CA"/>
        </w:rPr>
        <w:t>ass</w:t>
      </w:r>
      <w:r w:rsidR="00E9677E">
        <w:rPr>
          <w:lang w:val="en-CA"/>
        </w:rPr>
        <w:t>ured</w:t>
      </w:r>
      <w:r w:rsidRPr="00632B6C">
        <w:rPr>
          <w:lang w:val="en-CA"/>
        </w:rPr>
        <w:t>.</w:t>
      </w:r>
      <w:r w:rsidR="005B3B9F" w:rsidRPr="00632B6C">
        <w:rPr>
          <w:lang w:val="en-CA"/>
        </w:rPr>
        <w:t xml:space="preserve"> </w:t>
      </w:r>
      <w:r w:rsidRPr="00632B6C">
        <w:rPr>
          <w:lang w:val="en-CA"/>
        </w:rPr>
        <w:t xml:space="preserve">This </w:t>
      </w:r>
      <w:r w:rsidR="009905AD">
        <w:rPr>
          <w:lang w:val="en-CA"/>
        </w:rPr>
        <w:t xml:space="preserve">ground </w:t>
      </w:r>
      <w:r w:rsidRPr="00632B6C">
        <w:rPr>
          <w:lang w:val="en-CA"/>
        </w:rPr>
        <w:t>is similar to the one against the Notary.</w:t>
      </w:r>
      <w:r w:rsidR="005B3B9F" w:rsidRPr="00632B6C">
        <w:rPr>
          <w:lang w:val="en-CA"/>
        </w:rPr>
        <w:t xml:space="preserve"> </w:t>
      </w:r>
      <w:r w:rsidRPr="00632B6C">
        <w:rPr>
          <w:lang w:val="en-CA"/>
        </w:rPr>
        <w:t xml:space="preserve">Because the Court is of the view that the judge’s factual finding on the absence of a </w:t>
      </w:r>
      <w:r w:rsidR="009905AD">
        <w:rPr>
          <w:lang w:val="en-CA"/>
        </w:rPr>
        <w:t xml:space="preserve">noticeable, </w:t>
      </w:r>
      <w:r w:rsidRPr="00632B6C">
        <w:rPr>
          <w:lang w:val="en-CA"/>
        </w:rPr>
        <w:t>real</w:t>
      </w:r>
      <w:r w:rsidR="0093674E">
        <w:rPr>
          <w:lang w:val="en-CA"/>
        </w:rPr>
        <w:t>,</w:t>
      </w:r>
      <w:r w:rsidR="009905AD">
        <w:rPr>
          <w:lang w:val="en-CA"/>
        </w:rPr>
        <w:t xml:space="preserve"> and</w:t>
      </w:r>
      <w:r w:rsidRPr="00632B6C">
        <w:rPr>
          <w:lang w:val="en-CA"/>
        </w:rPr>
        <w:t xml:space="preserve"> imminent danger based on </w:t>
      </w:r>
      <w:r w:rsidR="00E9677E">
        <w:rPr>
          <w:lang w:val="en-CA"/>
        </w:rPr>
        <w:t xml:space="preserve">the </w:t>
      </w:r>
      <w:r w:rsidRPr="00632B6C">
        <w:rPr>
          <w:lang w:val="en-CA"/>
        </w:rPr>
        <w:t xml:space="preserve">financing at the </w:t>
      </w:r>
      <w:r w:rsidR="00E9677E">
        <w:rPr>
          <w:lang w:val="en-CA"/>
        </w:rPr>
        <w:t xml:space="preserve">relevant </w:t>
      </w:r>
      <w:r w:rsidRPr="00632B6C">
        <w:rPr>
          <w:lang w:val="en-CA"/>
        </w:rPr>
        <w:t>time contains no reviewable error, the argument fails.</w:t>
      </w:r>
    </w:p>
    <w:p w14:paraId="4F2B12FC" w14:textId="2EF03C61"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Last, as to whether GIR caused the appellants’ </w:t>
      </w:r>
      <w:r w:rsidR="009905AD">
        <w:rPr>
          <w:lang w:val="en-CA"/>
        </w:rPr>
        <w:t xml:space="preserve">an </w:t>
      </w:r>
      <w:r w:rsidRPr="00632B6C">
        <w:rPr>
          <w:lang w:val="en-CA"/>
        </w:rPr>
        <w:t xml:space="preserve">injury by agreeing to issue the </w:t>
      </w:r>
      <w:r w:rsidR="00E9677E">
        <w:rPr>
          <w:lang w:val="en-CA"/>
        </w:rPr>
        <w:t xml:space="preserve">guarantee </w:t>
      </w:r>
      <w:r w:rsidRPr="00632B6C">
        <w:rPr>
          <w:lang w:val="en-CA"/>
        </w:rPr>
        <w:t xml:space="preserve">in exchange for a </w:t>
      </w:r>
      <w:r w:rsidR="009905AD">
        <w:rPr>
          <w:lang w:val="en-CA"/>
        </w:rPr>
        <w:t xml:space="preserve">security from </w:t>
      </w:r>
      <w:r w:rsidRPr="00632B6C">
        <w:rPr>
          <w:lang w:val="en-CA"/>
        </w:rPr>
        <w:t>the down payments deposited with the Notary, the evidence reveals that accreditation was necessary to obtain financing from the Bank.</w:t>
      </w:r>
    </w:p>
    <w:p w14:paraId="42842EF4" w14:textId="52EF0ECD" w:rsidR="00B2165C" w:rsidRPr="00632B6C" w:rsidRDefault="007F54C1" w:rsidP="00324897">
      <w:pPr>
        <w:pStyle w:val="Paragraphe"/>
        <w:tabs>
          <w:tab w:val="clear" w:pos="720"/>
          <w:tab w:val="num" w:pos="709"/>
        </w:tabs>
        <w:spacing w:line="240" w:lineRule="auto"/>
        <w:rPr>
          <w:lang w:val="en-CA"/>
        </w:rPr>
      </w:pPr>
      <w:r w:rsidRPr="00632B6C">
        <w:rPr>
          <w:lang w:val="en-CA"/>
        </w:rPr>
        <w:t>As seen</w:t>
      </w:r>
      <w:r w:rsidR="001D4A4A">
        <w:rPr>
          <w:lang w:val="en-CA"/>
        </w:rPr>
        <w:t xml:space="preserve"> above</w:t>
      </w:r>
      <w:r w:rsidRPr="00632B6C">
        <w:rPr>
          <w:lang w:val="en-CA"/>
        </w:rPr>
        <w:t>, GIR’s representative stated at trial that it was not unusual</w:t>
      </w:r>
      <w:r w:rsidR="001D4A4A">
        <w:rPr>
          <w:lang w:val="en-CA"/>
        </w:rPr>
        <w:t>,</w:t>
      </w:r>
      <w:r w:rsidR="001D4A4A" w:rsidRPr="001D4A4A">
        <w:rPr>
          <w:lang w:val="en-CA"/>
        </w:rPr>
        <w:t xml:space="preserve"> </w:t>
      </w:r>
      <w:r w:rsidR="001D4A4A" w:rsidRPr="00632B6C">
        <w:rPr>
          <w:lang w:val="en-CA"/>
        </w:rPr>
        <w:t xml:space="preserve">in this type of project, </w:t>
      </w:r>
      <w:r w:rsidRPr="00632B6C">
        <w:rPr>
          <w:lang w:val="en-CA"/>
        </w:rPr>
        <w:t xml:space="preserve">for a bank to consider the down payments </w:t>
      </w:r>
      <w:r w:rsidR="0093674E">
        <w:rPr>
          <w:lang w:val="en-CA"/>
        </w:rPr>
        <w:t>to be</w:t>
      </w:r>
      <w:r w:rsidR="0093674E" w:rsidRPr="00632B6C">
        <w:rPr>
          <w:lang w:val="en-CA"/>
        </w:rPr>
        <w:t xml:space="preserve"> </w:t>
      </w:r>
      <w:r w:rsidRPr="00632B6C">
        <w:rPr>
          <w:lang w:val="en-CA"/>
        </w:rPr>
        <w:t>a source of financing.</w:t>
      </w:r>
      <w:r w:rsidR="005B3B9F" w:rsidRPr="00632B6C">
        <w:rPr>
          <w:lang w:val="en-CA"/>
        </w:rPr>
        <w:t xml:space="preserve"> </w:t>
      </w:r>
      <w:r w:rsidRPr="00632B6C">
        <w:rPr>
          <w:lang w:val="en-CA"/>
        </w:rPr>
        <w:t xml:space="preserve">Nor was it abnormal to see such down payments used as security by the </w:t>
      </w:r>
      <w:r w:rsidR="006B25C1">
        <w:rPr>
          <w:lang w:val="en-CA"/>
        </w:rPr>
        <w:t>contractor</w:t>
      </w:r>
      <w:r w:rsidRPr="00632B6C">
        <w:rPr>
          <w:lang w:val="en-CA"/>
        </w:rPr>
        <w:t>.</w:t>
      </w:r>
      <w:r w:rsidR="005B3B9F" w:rsidRPr="00632B6C">
        <w:rPr>
          <w:lang w:val="en-CA"/>
        </w:rPr>
        <w:t xml:space="preserve"> </w:t>
      </w:r>
      <w:r w:rsidRPr="00632B6C">
        <w:rPr>
          <w:lang w:val="en-CA"/>
        </w:rPr>
        <w:t xml:space="preserve">Thus, even if we conclude that GIR should not have accepted </w:t>
      </w:r>
      <w:r w:rsidR="009A4876">
        <w:rPr>
          <w:lang w:val="en-CA"/>
        </w:rPr>
        <w:t xml:space="preserve">the amounts </w:t>
      </w:r>
      <w:r w:rsidRPr="00632B6C">
        <w:rPr>
          <w:lang w:val="en-CA"/>
        </w:rPr>
        <w:t xml:space="preserve">from the appellants’ down payments, the fact remains that the refusal to </w:t>
      </w:r>
      <w:r w:rsidR="009905AD">
        <w:rPr>
          <w:lang w:val="en-CA"/>
        </w:rPr>
        <w:t xml:space="preserve">proceed </w:t>
      </w:r>
      <w:r w:rsidR="0093674E">
        <w:rPr>
          <w:lang w:val="en-CA"/>
        </w:rPr>
        <w:t>this way</w:t>
      </w:r>
      <w:r w:rsidRPr="00632B6C">
        <w:rPr>
          <w:lang w:val="en-CA"/>
        </w:rPr>
        <w:t xml:space="preserve"> would not have resulted in the down payments already paid to the </w:t>
      </w:r>
      <w:r w:rsidR="00501C75">
        <w:rPr>
          <w:lang w:val="en-CA"/>
        </w:rPr>
        <w:t>Developer</w:t>
      </w:r>
      <w:r w:rsidR="00501C75" w:rsidRPr="00632B6C">
        <w:rPr>
          <w:lang w:val="en-CA"/>
        </w:rPr>
        <w:t xml:space="preserve"> </w:t>
      </w:r>
      <w:r w:rsidRPr="00632B6C">
        <w:rPr>
          <w:lang w:val="en-CA"/>
        </w:rPr>
        <w:t>in December 2013 being reimbursed.</w:t>
      </w:r>
      <w:r w:rsidR="005B3B9F" w:rsidRPr="00632B6C">
        <w:rPr>
          <w:lang w:val="en-CA"/>
        </w:rPr>
        <w:t xml:space="preserve"> </w:t>
      </w:r>
      <w:r w:rsidRPr="00632B6C">
        <w:rPr>
          <w:lang w:val="en-CA"/>
        </w:rPr>
        <w:t xml:space="preserve">In fact, only the down payments for </w:t>
      </w:r>
      <w:r w:rsidR="009905AD">
        <w:rPr>
          <w:lang w:val="en-CA"/>
        </w:rPr>
        <w:t xml:space="preserve">the </w:t>
      </w:r>
      <w:r w:rsidRPr="00632B6C">
        <w:rPr>
          <w:lang w:val="en-CA"/>
        </w:rPr>
        <w:t xml:space="preserve">nine contracts </w:t>
      </w:r>
      <w:r w:rsidR="009905AD">
        <w:rPr>
          <w:lang w:val="en-CA"/>
        </w:rPr>
        <w:t xml:space="preserve">with </w:t>
      </w:r>
      <w:r w:rsidRPr="00632B6C">
        <w:rPr>
          <w:lang w:val="en-CA"/>
        </w:rPr>
        <w:t xml:space="preserve">the obligation to first </w:t>
      </w:r>
      <w:r w:rsidR="009905AD">
        <w:rPr>
          <w:lang w:val="en-CA"/>
        </w:rPr>
        <w:t xml:space="preserve">obtain </w:t>
      </w:r>
      <w:r w:rsidRPr="00632B6C">
        <w:rPr>
          <w:lang w:val="en-CA"/>
        </w:rPr>
        <w:t xml:space="preserve">GIR accreditation were </w:t>
      </w:r>
      <w:r w:rsidR="009905AD">
        <w:rPr>
          <w:lang w:val="en-CA"/>
        </w:rPr>
        <w:t>held</w:t>
      </w:r>
      <w:r w:rsidRPr="00632B6C">
        <w:rPr>
          <w:lang w:val="en-CA"/>
        </w:rPr>
        <w:t xml:space="preserve"> in trust by the Notary</w:t>
      </w:r>
      <w:r w:rsidR="0093674E">
        <w:rPr>
          <w:lang w:val="en-CA"/>
        </w:rPr>
        <w:t xml:space="preserve"> at that time</w:t>
      </w:r>
      <w:r w:rsidRPr="00632B6C">
        <w:rPr>
          <w:lang w:val="en-CA"/>
        </w:rPr>
        <w:t>.</w:t>
      </w:r>
    </w:p>
    <w:p w14:paraId="640A2593" w14:textId="64CC9D75"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Moreover, such a refusal by GIR would have made it impossible to </w:t>
      </w:r>
      <w:r w:rsidR="009905AD">
        <w:rPr>
          <w:lang w:val="en-CA"/>
        </w:rPr>
        <w:t xml:space="preserve">put in place </w:t>
      </w:r>
      <w:r w:rsidRPr="00632B6C">
        <w:rPr>
          <w:lang w:val="en-CA"/>
        </w:rPr>
        <w:t xml:space="preserve">the Bank’s financing and might have </w:t>
      </w:r>
      <w:r w:rsidR="001D4A4A">
        <w:rPr>
          <w:lang w:val="en-CA"/>
        </w:rPr>
        <w:t>resulted in</w:t>
      </w:r>
      <w:r w:rsidR="001D4A4A" w:rsidRPr="00632B6C">
        <w:rPr>
          <w:lang w:val="en-CA"/>
        </w:rPr>
        <w:t xml:space="preserve"> </w:t>
      </w:r>
      <w:r w:rsidR="001D4A4A">
        <w:rPr>
          <w:lang w:val="en-CA"/>
        </w:rPr>
        <w:t xml:space="preserve">the loss of </w:t>
      </w:r>
      <w:r w:rsidRPr="00632B6C">
        <w:rPr>
          <w:lang w:val="en-CA"/>
        </w:rPr>
        <w:t xml:space="preserve">all the </w:t>
      </w:r>
      <w:r w:rsidR="006B25C1">
        <w:rPr>
          <w:lang w:val="en-CA"/>
        </w:rPr>
        <w:t>amounts</w:t>
      </w:r>
      <w:r w:rsidR="006B25C1" w:rsidRPr="00632B6C">
        <w:rPr>
          <w:lang w:val="en-CA"/>
        </w:rPr>
        <w:t xml:space="preserve"> </w:t>
      </w:r>
      <w:r w:rsidRPr="00632B6C">
        <w:rPr>
          <w:lang w:val="en-CA"/>
        </w:rPr>
        <w:t xml:space="preserve">invested in the project, including the </w:t>
      </w:r>
      <w:r w:rsidR="009905AD" w:rsidRPr="00632B6C">
        <w:rPr>
          <w:lang w:val="en-CA"/>
        </w:rPr>
        <w:t xml:space="preserve">$1.6 million </w:t>
      </w:r>
      <w:r w:rsidR="006B25C1">
        <w:rPr>
          <w:lang w:val="en-CA"/>
        </w:rPr>
        <w:t xml:space="preserve">in </w:t>
      </w:r>
      <w:r w:rsidRPr="00632B6C">
        <w:rPr>
          <w:lang w:val="en-CA"/>
        </w:rPr>
        <w:t xml:space="preserve">down payments paid by the appellants up </w:t>
      </w:r>
      <w:r w:rsidR="009905AD">
        <w:rPr>
          <w:lang w:val="en-CA"/>
        </w:rPr>
        <w:t xml:space="preserve">to </w:t>
      </w:r>
      <w:r w:rsidRPr="00632B6C">
        <w:rPr>
          <w:lang w:val="en-CA"/>
        </w:rPr>
        <w:t>that point.</w:t>
      </w:r>
      <w:r w:rsidR="005B3B9F" w:rsidRPr="00632B6C">
        <w:rPr>
          <w:lang w:val="en-CA"/>
        </w:rPr>
        <w:t xml:space="preserve"> </w:t>
      </w:r>
      <w:r w:rsidRPr="00632B6C">
        <w:rPr>
          <w:lang w:val="en-CA"/>
        </w:rPr>
        <w:t>It also would have deprived the appellants of the compensation paid by GIR because it would have refused to accredit the project.</w:t>
      </w:r>
    </w:p>
    <w:p w14:paraId="7450578F" w14:textId="50EA8121" w:rsidR="00B2165C" w:rsidRPr="00632B6C" w:rsidRDefault="007F54C1" w:rsidP="00324897">
      <w:pPr>
        <w:pStyle w:val="Paragraphe"/>
        <w:tabs>
          <w:tab w:val="clear" w:pos="720"/>
          <w:tab w:val="num" w:pos="709"/>
        </w:tabs>
        <w:spacing w:line="240" w:lineRule="auto"/>
        <w:rPr>
          <w:lang w:val="en-CA"/>
        </w:rPr>
      </w:pPr>
      <w:r w:rsidRPr="00632B6C">
        <w:rPr>
          <w:lang w:val="en-CA"/>
        </w:rPr>
        <w:lastRenderedPageBreak/>
        <w:t>That being so, to the extent that the appellants admitted at the hearing that</w:t>
      </w:r>
      <w:r w:rsidR="00882317">
        <w:rPr>
          <w:lang w:val="en-CA"/>
        </w:rPr>
        <w:t>,</w:t>
      </w:r>
      <w:r w:rsidRPr="00632B6C">
        <w:rPr>
          <w:lang w:val="en-CA"/>
        </w:rPr>
        <w:t xml:space="preserve"> in any event, the </w:t>
      </w:r>
      <w:r w:rsidR="00501C75">
        <w:rPr>
          <w:lang w:val="en-CA"/>
        </w:rPr>
        <w:t>Developer</w:t>
      </w:r>
      <w:r w:rsidR="00501C75" w:rsidRPr="00632B6C">
        <w:rPr>
          <w:lang w:val="en-CA"/>
        </w:rPr>
        <w:t xml:space="preserve">’s </w:t>
      </w:r>
      <w:r w:rsidR="009905AD">
        <w:rPr>
          <w:lang w:val="en-CA"/>
        </w:rPr>
        <w:t>security</w:t>
      </w:r>
      <w:r w:rsidRPr="00632B6C">
        <w:rPr>
          <w:lang w:val="en-CA"/>
        </w:rPr>
        <w:t xml:space="preserve"> would have been obtained elsewhere</w:t>
      </w:r>
      <w:r w:rsidR="009905AD" w:rsidRPr="009905AD">
        <w:rPr>
          <w:lang w:val="en-CA"/>
        </w:rPr>
        <w:t xml:space="preserve"> </w:t>
      </w:r>
      <w:r w:rsidR="009905AD" w:rsidRPr="00632B6C">
        <w:rPr>
          <w:lang w:val="en-CA"/>
        </w:rPr>
        <w:t>had it not been paid from the down payments</w:t>
      </w:r>
      <w:r w:rsidRPr="00632B6C">
        <w:rPr>
          <w:lang w:val="en-CA"/>
        </w:rPr>
        <w:t xml:space="preserve">, they acknowledge that the accreditation required </w:t>
      </w:r>
      <w:r w:rsidR="00E6390E">
        <w:rPr>
          <w:lang w:val="en-CA"/>
        </w:rPr>
        <w:t>from</w:t>
      </w:r>
      <w:r w:rsidRPr="00632B6C">
        <w:rPr>
          <w:lang w:val="en-CA"/>
        </w:rPr>
        <w:t xml:space="preserve"> GIR would have been obtained no matter what happened.</w:t>
      </w:r>
      <w:r w:rsidR="005B3B9F" w:rsidRPr="00632B6C">
        <w:rPr>
          <w:lang w:val="en-CA"/>
        </w:rPr>
        <w:t xml:space="preserve"> </w:t>
      </w:r>
      <w:r w:rsidRPr="00632B6C">
        <w:rPr>
          <w:lang w:val="en-CA"/>
        </w:rPr>
        <w:t xml:space="preserve">If that is the case, this statement amounts to acknowledging that the second condition in the preliminary contracts </w:t>
      </w:r>
      <w:r w:rsidR="009905AD">
        <w:rPr>
          <w:lang w:val="en-CA"/>
        </w:rPr>
        <w:t xml:space="preserve">would </w:t>
      </w:r>
      <w:r w:rsidR="00B62110">
        <w:rPr>
          <w:lang w:val="en-CA"/>
        </w:rPr>
        <w:t xml:space="preserve">then </w:t>
      </w:r>
      <w:r w:rsidR="009905AD">
        <w:rPr>
          <w:lang w:val="en-CA"/>
        </w:rPr>
        <w:t xml:space="preserve">have been </w:t>
      </w:r>
      <w:r w:rsidR="00B62110">
        <w:rPr>
          <w:lang w:val="en-CA"/>
        </w:rPr>
        <w:t>met</w:t>
      </w:r>
      <w:r w:rsidR="00B62110" w:rsidRPr="00632B6C">
        <w:rPr>
          <w:lang w:val="en-CA"/>
        </w:rPr>
        <w:t xml:space="preserve"> </w:t>
      </w:r>
      <w:r w:rsidRPr="00632B6C">
        <w:rPr>
          <w:lang w:val="en-CA"/>
        </w:rPr>
        <w:t xml:space="preserve">and that the disbursement of the down payments </w:t>
      </w:r>
      <w:r w:rsidR="009905AD">
        <w:rPr>
          <w:lang w:val="en-CA"/>
        </w:rPr>
        <w:t xml:space="preserve">to </w:t>
      </w:r>
      <w:r w:rsidRPr="00632B6C">
        <w:rPr>
          <w:lang w:val="en-CA"/>
        </w:rPr>
        <w:t xml:space="preserve">the </w:t>
      </w:r>
      <w:r w:rsidR="00B35C6E">
        <w:rPr>
          <w:lang w:val="en-CA"/>
        </w:rPr>
        <w:t>Developer</w:t>
      </w:r>
      <w:r w:rsidR="00B35C6E" w:rsidRPr="00632B6C">
        <w:rPr>
          <w:lang w:val="en-CA"/>
        </w:rPr>
        <w:t xml:space="preserve"> </w:t>
      </w:r>
      <w:r w:rsidRPr="00632B6C">
        <w:rPr>
          <w:lang w:val="en-CA"/>
        </w:rPr>
        <w:t>would have been authorized as a result.</w:t>
      </w:r>
    </w:p>
    <w:p w14:paraId="493BFD03" w14:textId="3817B6D9"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In this context, the appellants have failed to explain on what basis these </w:t>
      </w:r>
      <w:r w:rsidR="00B62110">
        <w:rPr>
          <w:lang w:val="en-CA"/>
        </w:rPr>
        <w:t>amount</w:t>
      </w:r>
      <w:r w:rsidR="00B62110" w:rsidRPr="00632B6C">
        <w:rPr>
          <w:lang w:val="en-CA"/>
        </w:rPr>
        <w:t>s</w:t>
      </w:r>
      <w:r w:rsidRPr="00632B6C">
        <w:rPr>
          <w:lang w:val="en-CA"/>
        </w:rPr>
        <w:t xml:space="preserve">, had they not been used to pay the </w:t>
      </w:r>
      <w:r w:rsidR="00B35C6E">
        <w:rPr>
          <w:lang w:val="en-CA"/>
        </w:rPr>
        <w:t>Developer</w:t>
      </w:r>
      <w:r w:rsidRPr="00632B6C">
        <w:rPr>
          <w:lang w:val="en-CA"/>
        </w:rPr>
        <w:t>’s s</w:t>
      </w:r>
      <w:r w:rsidR="009905AD">
        <w:rPr>
          <w:lang w:val="en-CA"/>
        </w:rPr>
        <w:t>ecurity</w:t>
      </w:r>
      <w:r w:rsidRPr="00632B6C">
        <w:rPr>
          <w:lang w:val="en-CA"/>
        </w:rPr>
        <w:t xml:space="preserve"> but instead been paid to the </w:t>
      </w:r>
      <w:r w:rsidR="00B35C6E">
        <w:rPr>
          <w:lang w:val="en-CA"/>
        </w:rPr>
        <w:t>Developer</w:t>
      </w:r>
      <w:r w:rsidRPr="00632B6C">
        <w:rPr>
          <w:lang w:val="en-CA"/>
        </w:rPr>
        <w:t>, would not have been lost any</w:t>
      </w:r>
      <w:r w:rsidR="009905AD">
        <w:rPr>
          <w:lang w:val="en-CA"/>
        </w:rPr>
        <w:t>way</w:t>
      </w:r>
      <w:r w:rsidRPr="00632B6C">
        <w:rPr>
          <w:lang w:val="en-CA"/>
        </w:rPr>
        <w:t xml:space="preserve"> after the project failed.</w:t>
      </w:r>
    </w:p>
    <w:p w14:paraId="1D6643DE" w14:textId="2C11851C"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Last, the appellants have failed to establish that the judge’s conclusion on the absence of a causal connection between the payment of the down payments </w:t>
      </w:r>
      <w:r w:rsidR="003A5AC7">
        <w:rPr>
          <w:lang w:val="en-CA"/>
        </w:rPr>
        <w:t xml:space="preserve">as </w:t>
      </w:r>
      <w:r w:rsidRPr="00632B6C">
        <w:rPr>
          <w:lang w:val="en-CA"/>
        </w:rPr>
        <w:t xml:space="preserve">a $450,000 </w:t>
      </w:r>
      <w:r w:rsidR="003A5AC7">
        <w:rPr>
          <w:lang w:val="en-CA"/>
        </w:rPr>
        <w:t xml:space="preserve">security </w:t>
      </w:r>
      <w:r w:rsidRPr="00632B6C">
        <w:rPr>
          <w:lang w:val="en-CA"/>
        </w:rPr>
        <w:t>to GIR and the appellants’ loss contains a palpable and overriding error.</w:t>
      </w:r>
    </w:p>
    <w:p w14:paraId="77466513" w14:textId="4068F1DB" w:rsidR="00B2165C" w:rsidRPr="00632B6C" w:rsidRDefault="007F54C1" w:rsidP="00324897">
      <w:pPr>
        <w:pStyle w:val="Paragraphe"/>
        <w:tabs>
          <w:tab w:val="clear" w:pos="720"/>
          <w:tab w:val="num" w:pos="709"/>
        </w:tabs>
        <w:spacing w:line="240" w:lineRule="auto"/>
        <w:rPr>
          <w:lang w:val="en-CA"/>
        </w:rPr>
      </w:pPr>
      <w:r w:rsidRPr="00632B6C">
        <w:rPr>
          <w:lang w:val="en-CA"/>
        </w:rPr>
        <w:t xml:space="preserve">For all these reasons, the Court finds that the judge did not commit a palpable and overriding error in concluding that, even </w:t>
      </w:r>
      <w:r w:rsidR="000840BA">
        <w:rPr>
          <w:lang w:val="en-CA"/>
        </w:rPr>
        <w:t>if</w:t>
      </w:r>
      <w:r w:rsidR="000840BA" w:rsidRPr="00632B6C">
        <w:rPr>
          <w:lang w:val="en-CA"/>
        </w:rPr>
        <w:t xml:space="preserve"> </w:t>
      </w:r>
      <w:r w:rsidR="003A5AC7">
        <w:rPr>
          <w:lang w:val="en-CA"/>
        </w:rPr>
        <w:t>t</w:t>
      </w:r>
      <w:r w:rsidRPr="00632B6C">
        <w:rPr>
          <w:lang w:val="en-CA"/>
        </w:rPr>
        <w:t xml:space="preserve">he </w:t>
      </w:r>
      <w:r w:rsidR="003A5AC7">
        <w:rPr>
          <w:lang w:val="en-CA"/>
        </w:rPr>
        <w:t xml:space="preserve">Notary </w:t>
      </w:r>
      <w:r w:rsidR="000840BA">
        <w:rPr>
          <w:lang w:val="en-CA"/>
        </w:rPr>
        <w:t xml:space="preserve">had </w:t>
      </w:r>
      <w:r w:rsidRPr="00632B6C">
        <w:rPr>
          <w:lang w:val="en-CA"/>
        </w:rPr>
        <w:t xml:space="preserve">conducted the appropriate verifications, </w:t>
      </w:r>
      <w:r w:rsidR="003A5AC7">
        <w:rPr>
          <w:lang w:val="en-CA"/>
        </w:rPr>
        <w:t xml:space="preserve">he </w:t>
      </w:r>
      <w:r w:rsidR="000840BA">
        <w:rPr>
          <w:lang w:val="en-CA"/>
        </w:rPr>
        <w:t>would</w:t>
      </w:r>
      <w:r w:rsidR="000840BA" w:rsidRPr="00632B6C">
        <w:rPr>
          <w:lang w:val="en-CA"/>
        </w:rPr>
        <w:t xml:space="preserve"> </w:t>
      </w:r>
      <w:r w:rsidRPr="00632B6C">
        <w:rPr>
          <w:lang w:val="en-CA"/>
        </w:rPr>
        <w:t xml:space="preserve">not </w:t>
      </w:r>
      <w:r w:rsidR="000840BA">
        <w:rPr>
          <w:lang w:val="en-CA"/>
        </w:rPr>
        <w:t xml:space="preserve">have </w:t>
      </w:r>
      <w:r w:rsidR="000840BA" w:rsidRPr="00632B6C">
        <w:rPr>
          <w:lang w:val="en-CA"/>
        </w:rPr>
        <w:t>identif</w:t>
      </w:r>
      <w:r w:rsidR="000840BA">
        <w:rPr>
          <w:lang w:val="en-CA"/>
        </w:rPr>
        <w:t>ied</w:t>
      </w:r>
      <w:r w:rsidR="000840BA" w:rsidRPr="00632B6C">
        <w:rPr>
          <w:lang w:val="en-CA"/>
        </w:rPr>
        <w:t xml:space="preserve"> </w:t>
      </w:r>
      <w:r w:rsidRPr="00632B6C">
        <w:rPr>
          <w:lang w:val="en-CA"/>
        </w:rPr>
        <w:t xml:space="preserve">a real and imminent danger requiring </w:t>
      </w:r>
      <w:r w:rsidR="000840BA">
        <w:rPr>
          <w:lang w:val="en-CA"/>
        </w:rPr>
        <w:t xml:space="preserve">him to </w:t>
      </w:r>
      <w:r w:rsidRPr="00632B6C">
        <w:rPr>
          <w:lang w:val="en-CA"/>
        </w:rPr>
        <w:t xml:space="preserve">first obtain authorization from the appellants </w:t>
      </w:r>
      <w:r w:rsidR="00F003E3">
        <w:rPr>
          <w:lang w:val="en-CA"/>
        </w:rPr>
        <w:t>before</w:t>
      </w:r>
      <w:r w:rsidRPr="00632B6C">
        <w:rPr>
          <w:lang w:val="en-CA"/>
        </w:rPr>
        <w:t xml:space="preserve"> disburs</w:t>
      </w:r>
      <w:r w:rsidR="00F003E3">
        <w:rPr>
          <w:lang w:val="en-CA"/>
        </w:rPr>
        <w:t>ing</w:t>
      </w:r>
      <w:r w:rsidRPr="00632B6C">
        <w:rPr>
          <w:lang w:val="en-CA"/>
        </w:rPr>
        <w:t xml:space="preserve"> the down payments to the </w:t>
      </w:r>
      <w:r w:rsidR="00F003E3">
        <w:rPr>
          <w:lang w:val="en-CA"/>
        </w:rPr>
        <w:t>Developer</w:t>
      </w:r>
      <w:r w:rsidRPr="00632B6C">
        <w:rPr>
          <w:lang w:val="en-CA"/>
        </w:rPr>
        <w:t>.</w:t>
      </w:r>
      <w:r w:rsidR="005B3B9F" w:rsidRPr="00632B6C">
        <w:rPr>
          <w:lang w:val="en-CA"/>
        </w:rPr>
        <w:t xml:space="preserve"> </w:t>
      </w:r>
      <w:r w:rsidRPr="00632B6C">
        <w:rPr>
          <w:lang w:val="en-CA"/>
        </w:rPr>
        <w:t xml:space="preserve">The Court </w:t>
      </w:r>
      <w:r w:rsidR="003A5AC7">
        <w:rPr>
          <w:lang w:val="en-CA"/>
        </w:rPr>
        <w:t>finds</w:t>
      </w:r>
      <w:r w:rsidRPr="00632B6C">
        <w:rPr>
          <w:lang w:val="en-CA"/>
        </w:rPr>
        <w:t xml:space="preserve"> that he was </w:t>
      </w:r>
      <w:r w:rsidR="003A5AC7">
        <w:rPr>
          <w:lang w:val="en-CA"/>
        </w:rPr>
        <w:t xml:space="preserve">also </w:t>
      </w:r>
      <w:r w:rsidRPr="00632B6C">
        <w:rPr>
          <w:lang w:val="en-CA"/>
        </w:rPr>
        <w:t xml:space="preserve">not wrong </w:t>
      </w:r>
      <w:r w:rsidR="000840BA">
        <w:rPr>
          <w:lang w:val="en-CA"/>
        </w:rPr>
        <w:t>in concluding</w:t>
      </w:r>
      <w:r w:rsidRPr="00632B6C">
        <w:rPr>
          <w:lang w:val="en-CA"/>
        </w:rPr>
        <w:t xml:space="preserve"> that the situation would not have led the appellants to refuse the disbursement of the down payments </w:t>
      </w:r>
      <w:r w:rsidR="00B62110">
        <w:rPr>
          <w:lang w:val="en-CA"/>
        </w:rPr>
        <w:t>s</w:t>
      </w:r>
      <w:r w:rsidR="0018104F">
        <w:rPr>
          <w:lang w:val="en-CA"/>
        </w:rPr>
        <w:t xml:space="preserve">tipulated </w:t>
      </w:r>
      <w:r w:rsidRPr="00632B6C">
        <w:rPr>
          <w:lang w:val="en-CA"/>
        </w:rPr>
        <w:t xml:space="preserve">in the preliminary contract or GIR to require additional conditions to authorize the </w:t>
      </w:r>
      <w:r w:rsidR="003A5AC7">
        <w:rPr>
          <w:lang w:val="en-CA"/>
        </w:rPr>
        <w:t xml:space="preserve">disbursements of the </w:t>
      </w:r>
      <w:r w:rsidRPr="00632B6C">
        <w:rPr>
          <w:lang w:val="en-CA"/>
        </w:rPr>
        <w:t xml:space="preserve">down payments and to accredit the project, because nothing in the index of immovables or elsewhere suggested that the project’s financing was in jeopardy. The financing process was </w:t>
      </w:r>
      <w:r w:rsidR="003A5AC7">
        <w:rPr>
          <w:lang w:val="en-CA"/>
        </w:rPr>
        <w:t xml:space="preserve">on course </w:t>
      </w:r>
      <w:r w:rsidRPr="00632B6C">
        <w:rPr>
          <w:lang w:val="en-CA"/>
        </w:rPr>
        <w:t xml:space="preserve">and, according to the evidence, would likely have been granted had it not been for the Bank and </w:t>
      </w:r>
      <w:r w:rsidR="003A5AC7">
        <w:rPr>
          <w:lang w:val="en-CA"/>
        </w:rPr>
        <w:t>lender Ipso Facto</w:t>
      </w:r>
      <w:r w:rsidRPr="00632B6C">
        <w:rPr>
          <w:lang w:val="en-CA"/>
        </w:rPr>
        <w:t>’s dissatisfaction with the presales.</w:t>
      </w:r>
    </w:p>
    <w:p w14:paraId="62A08A67" w14:textId="129B6A18" w:rsidR="00B2165C" w:rsidRPr="00632B6C" w:rsidRDefault="0024343A" w:rsidP="00324897">
      <w:pPr>
        <w:pStyle w:val="Paragraphe"/>
        <w:numPr>
          <w:ilvl w:val="0"/>
          <w:numId w:val="0"/>
        </w:numPr>
        <w:rPr>
          <w:b/>
          <w:lang w:val="en-CA"/>
        </w:rPr>
      </w:pPr>
      <w:r w:rsidRPr="00632B6C">
        <w:rPr>
          <w:b/>
          <w:lang w:val="en-CA"/>
        </w:rPr>
        <w:t>FOR THESE REASONS</w:t>
      </w:r>
      <w:r w:rsidR="005B3B9F" w:rsidRPr="00632B6C">
        <w:rPr>
          <w:b/>
          <w:lang w:val="en-CA"/>
        </w:rPr>
        <w:t xml:space="preserve">, </w:t>
      </w:r>
      <w:r w:rsidRPr="00632B6C">
        <w:rPr>
          <w:b/>
          <w:lang w:val="en-CA"/>
        </w:rPr>
        <w:t>THE</w:t>
      </w:r>
      <w:r w:rsidR="005B3B9F" w:rsidRPr="00632B6C">
        <w:rPr>
          <w:b/>
          <w:lang w:val="en-CA"/>
        </w:rPr>
        <w:t xml:space="preserve"> COUR</w:t>
      </w:r>
      <w:r w:rsidRPr="00632B6C">
        <w:rPr>
          <w:b/>
          <w:lang w:val="en-CA"/>
        </w:rPr>
        <w:t>T</w:t>
      </w:r>
      <w:r w:rsidR="005B3B9F" w:rsidRPr="00632B6C">
        <w:rPr>
          <w:b/>
          <w:lang w:val="en-CA"/>
        </w:rPr>
        <w:t xml:space="preserve">: </w:t>
      </w:r>
    </w:p>
    <w:p w14:paraId="43EA7F0A" w14:textId="1072F249" w:rsidR="00B2165C" w:rsidRPr="00632B6C" w:rsidRDefault="0024343A" w:rsidP="00B2165C">
      <w:pPr>
        <w:pStyle w:val="Paragraphe"/>
        <w:spacing w:line="240" w:lineRule="auto"/>
        <w:rPr>
          <w:lang w:val="en-CA"/>
        </w:rPr>
      </w:pPr>
      <w:r w:rsidRPr="00632B6C">
        <w:rPr>
          <w:b/>
          <w:lang w:val="en-CA"/>
        </w:rPr>
        <w:t>DISMISSES</w:t>
      </w:r>
      <w:r w:rsidR="005B3B9F" w:rsidRPr="00632B6C">
        <w:rPr>
          <w:b/>
          <w:lang w:val="en-CA"/>
        </w:rPr>
        <w:t xml:space="preserve"> </w:t>
      </w:r>
      <w:r w:rsidRPr="00632B6C">
        <w:rPr>
          <w:lang w:val="en-CA"/>
        </w:rPr>
        <w:t>the appeal</w:t>
      </w:r>
      <w:r w:rsidR="005B3B9F" w:rsidRPr="00632B6C">
        <w:rPr>
          <w:lang w:val="en-CA"/>
        </w:rPr>
        <w:t xml:space="preserve">, </w:t>
      </w:r>
      <w:r w:rsidRPr="00632B6C">
        <w:rPr>
          <w:lang w:val="en-CA"/>
        </w:rPr>
        <w:t>with legal costs</w:t>
      </w:r>
      <w:r w:rsidR="005B3B9F" w:rsidRPr="00632B6C">
        <w:rPr>
          <w:lang w:val="en-CA"/>
        </w:rPr>
        <w:t>.</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3D055F" w:rsidRPr="00882317" w14:paraId="42EDB0D4" w14:textId="77777777" w:rsidTr="003E3239">
        <w:trPr>
          <w:trHeight w:val="576"/>
        </w:trPr>
        <w:tc>
          <w:tcPr>
            <w:tcW w:w="9362" w:type="dxa"/>
            <w:gridSpan w:val="3"/>
            <w:tcBorders>
              <w:top w:val="nil"/>
              <w:bottom w:val="nil"/>
            </w:tcBorders>
          </w:tcPr>
          <w:p w14:paraId="16187282" w14:textId="77777777" w:rsidR="008F364A" w:rsidRPr="00632B6C" w:rsidRDefault="00DF4B78">
            <w:pPr>
              <w:keepNext/>
              <w:rPr>
                <w:lang w:val="en-CA"/>
              </w:rPr>
            </w:pPr>
          </w:p>
        </w:tc>
      </w:tr>
      <w:tr w:rsidR="003D055F" w:rsidRPr="00882317" w14:paraId="3676B868" w14:textId="77777777" w:rsidTr="00117914">
        <w:trPr>
          <w:trHeight w:val="283"/>
        </w:trPr>
        <w:tc>
          <w:tcPr>
            <w:tcW w:w="4682" w:type="dxa"/>
            <w:gridSpan w:val="2"/>
            <w:tcBorders>
              <w:top w:val="nil"/>
              <w:bottom w:val="nil"/>
            </w:tcBorders>
          </w:tcPr>
          <w:p w14:paraId="33A5996C" w14:textId="77777777" w:rsidR="008F364A" w:rsidRPr="00632B6C" w:rsidRDefault="00DF4B78">
            <w:pPr>
              <w:keepNext/>
              <w:rPr>
                <w:lang w:val="en-CA"/>
              </w:rPr>
            </w:pPr>
          </w:p>
        </w:tc>
        <w:tc>
          <w:tcPr>
            <w:tcW w:w="4680" w:type="dxa"/>
            <w:tcBorders>
              <w:top w:val="nil"/>
              <w:bottom w:val="single" w:sz="8" w:space="0" w:color="auto"/>
            </w:tcBorders>
          </w:tcPr>
          <w:p w14:paraId="72FB86FE" w14:textId="77777777" w:rsidR="008F364A" w:rsidRPr="00632B6C" w:rsidRDefault="00DF4B78">
            <w:pPr>
              <w:keepNext/>
              <w:rPr>
                <w:lang w:val="en-CA"/>
              </w:rPr>
            </w:pPr>
          </w:p>
        </w:tc>
      </w:tr>
      <w:tr w:rsidR="003D055F" w:rsidRPr="00632B6C" w14:paraId="3343B757" w14:textId="77777777" w:rsidTr="00117914">
        <w:trPr>
          <w:trHeight w:val="283"/>
        </w:trPr>
        <w:tc>
          <w:tcPr>
            <w:tcW w:w="4682" w:type="dxa"/>
            <w:gridSpan w:val="2"/>
            <w:tcBorders>
              <w:top w:val="nil"/>
            </w:tcBorders>
          </w:tcPr>
          <w:p w14:paraId="038D4A9F" w14:textId="77777777" w:rsidR="008F364A" w:rsidRPr="00632B6C" w:rsidRDefault="00DF4B78">
            <w:pPr>
              <w:keepNext/>
              <w:rPr>
                <w:lang w:val="en-CA"/>
              </w:rPr>
            </w:pPr>
          </w:p>
        </w:tc>
        <w:tc>
          <w:tcPr>
            <w:tcW w:w="4680" w:type="dxa"/>
            <w:tcBorders>
              <w:top w:val="single" w:sz="8" w:space="0" w:color="auto"/>
            </w:tcBorders>
          </w:tcPr>
          <w:p w14:paraId="5E746B42" w14:textId="0E0208C0" w:rsidR="008F364A" w:rsidRPr="00632B6C" w:rsidRDefault="00AE169B">
            <w:pPr>
              <w:rPr>
                <w:lang w:val="en-CA"/>
              </w:rPr>
            </w:pPr>
            <w:r w:rsidRPr="00632B6C">
              <w:rPr>
                <w:lang w:val="en-CA"/>
              </w:rPr>
              <w:t>JEAN BOUCHARD, J.A.</w:t>
            </w:r>
          </w:p>
        </w:tc>
      </w:tr>
      <w:tr w:rsidR="003D055F" w:rsidRPr="00632B6C" w14:paraId="44CC7B76" w14:textId="77777777" w:rsidTr="00117914">
        <w:trPr>
          <w:trHeight w:val="283"/>
        </w:trPr>
        <w:tc>
          <w:tcPr>
            <w:tcW w:w="4682" w:type="dxa"/>
            <w:gridSpan w:val="2"/>
            <w:tcBorders>
              <w:top w:val="nil"/>
            </w:tcBorders>
          </w:tcPr>
          <w:p w14:paraId="47DD61D1" w14:textId="77777777" w:rsidR="008F364A" w:rsidRPr="00632B6C" w:rsidRDefault="00DF4B78">
            <w:pPr>
              <w:keepNext/>
              <w:rPr>
                <w:lang w:val="en-CA"/>
              </w:rPr>
            </w:pPr>
            <w:bookmarkStart w:id="10" w:name="Signature2"/>
          </w:p>
        </w:tc>
        <w:tc>
          <w:tcPr>
            <w:tcW w:w="4680" w:type="dxa"/>
            <w:tcBorders>
              <w:top w:val="nil"/>
            </w:tcBorders>
          </w:tcPr>
          <w:p w14:paraId="12FE6745" w14:textId="77777777" w:rsidR="008F364A" w:rsidRPr="00632B6C" w:rsidRDefault="00DF4B78">
            <w:pPr>
              <w:keepNext/>
              <w:rPr>
                <w:lang w:val="en-CA"/>
              </w:rPr>
            </w:pPr>
          </w:p>
        </w:tc>
      </w:tr>
      <w:tr w:rsidR="003D055F" w:rsidRPr="00632B6C" w14:paraId="541DDF55" w14:textId="77777777" w:rsidTr="00117914">
        <w:trPr>
          <w:trHeight w:val="283"/>
        </w:trPr>
        <w:tc>
          <w:tcPr>
            <w:tcW w:w="4682" w:type="dxa"/>
            <w:gridSpan w:val="2"/>
            <w:tcBorders>
              <w:top w:val="nil"/>
              <w:bottom w:val="nil"/>
            </w:tcBorders>
          </w:tcPr>
          <w:p w14:paraId="73A93CF3" w14:textId="77777777" w:rsidR="008F364A" w:rsidRPr="00632B6C" w:rsidRDefault="00DF4B78">
            <w:pPr>
              <w:keepNext/>
              <w:rPr>
                <w:lang w:val="en-CA"/>
              </w:rPr>
            </w:pPr>
          </w:p>
        </w:tc>
        <w:tc>
          <w:tcPr>
            <w:tcW w:w="4680" w:type="dxa"/>
            <w:tcBorders>
              <w:top w:val="nil"/>
              <w:bottom w:val="single" w:sz="8" w:space="0" w:color="auto"/>
            </w:tcBorders>
          </w:tcPr>
          <w:p w14:paraId="3E942360" w14:textId="77777777" w:rsidR="008F364A" w:rsidRPr="00632B6C" w:rsidRDefault="00DF4B78">
            <w:pPr>
              <w:keepNext/>
              <w:rPr>
                <w:lang w:val="en-CA"/>
              </w:rPr>
            </w:pPr>
          </w:p>
        </w:tc>
      </w:tr>
      <w:tr w:rsidR="003D055F" w:rsidRPr="00632B6C" w14:paraId="53E9BF05" w14:textId="77777777" w:rsidTr="00117914">
        <w:trPr>
          <w:trHeight w:val="283"/>
        </w:trPr>
        <w:tc>
          <w:tcPr>
            <w:tcW w:w="4682" w:type="dxa"/>
            <w:gridSpan w:val="2"/>
            <w:tcBorders>
              <w:top w:val="nil"/>
            </w:tcBorders>
          </w:tcPr>
          <w:p w14:paraId="190DA855" w14:textId="77777777" w:rsidR="008F364A" w:rsidRPr="00632B6C" w:rsidRDefault="00DF4B78">
            <w:pPr>
              <w:keepNext/>
              <w:rPr>
                <w:lang w:val="en-CA"/>
              </w:rPr>
            </w:pPr>
          </w:p>
        </w:tc>
        <w:tc>
          <w:tcPr>
            <w:tcW w:w="4680" w:type="dxa"/>
            <w:tcBorders>
              <w:top w:val="single" w:sz="8" w:space="0" w:color="auto"/>
            </w:tcBorders>
          </w:tcPr>
          <w:p w14:paraId="3BFF804C" w14:textId="5B47AD1F" w:rsidR="008F364A" w:rsidRPr="00632B6C" w:rsidRDefault="00AE169B">
            <w:pPr>
              <w:keepNext/>
              <w:rPr>
                <w:lang w:val="en-CA"/>
              </w:rPr>
            </w:pPr>
            <w:r w:rsidRPr="00632B6C">
              <w:rPr>
                <w:lang w:val="en-CA"/>
              </w:rPr>
              <w:t>GENEVIÈVE MARCOTTE, J.A.</w:t>
            </w:r>
          </w:p>
        </w:tc>
      </w:tr>
      <w:tr w:rsidR="003D055F" w:rsidRPr="00632B6C" w14:paraId="64CB5B1A" w14:textId="77777777" w:rsidTr="00117914">
        <w:trPr>
          <w:trHeight w:val="283"/>
        </w:trPr>
        <w:tc>
          <w:tcPr>
            <w:tcW w:w="4682" w:type="dxa"/>
            <w:gridSpan w:val="2"/>
            <w:tcBorders>
              <w:top w:val="nil"/>
            </w:tcBorders>
          </w:tcPr>
          <w:p w14:paraId="495213BC" w14:textId="77777777" w:rsidR="008F364A" w:rsidRPr="00632B6C" w:rsidRDefault="00DF4B78">
            <w:pPr>
              <w:keepNext/>
              <w:rPr>
                <w:lang w:val="en-CA"/>
              </w:rPr>
            </w:pPr>
            <w:bookmarkStart w:id="11" w:name="Signature3"/>
            <w:bookmarkEnd w:id="10"/>
          </w:p>
        </w:tc>
        <w:tc>
          <w:tcPr>
            <w:tcW w:w="4680" w:type="dxa"/>
            <w:tcBorders>
              <w:top w:val="nil"/>
            </w:tcBorders>
          </w:tcPr>
          <w:p w14:paraId="6CCBE2DE" w14:textId="77777777" w:rsidR="008F364A" w:rsidRPr="00632B6C" w:rsidRDefault="00DF4B78">
            <w:pPr>
              <w:keepNext/>
              <w:rPr>
                <w:lang w:val="en-CA"/>
              </w:rPr>
            </w:pPr>
          </w:p>
        </w:tc>
      </w:tr>
      <w:tr w:rsidR="003D055F" w:rsidRPr="00632B6C" w14:paraId="5F4D259C" w14:textId="77777777" w:rsidTr="00117914">
        <w:trPr>
          <w:trHeight w:val="283"/>
        </w:trPr>
        <w:tc>
          <w:tcPr>
            <w:tcW w:w="4682" w:type="dxa"/>
            <w:gridSpan w:val="2"/>
            <w:tcBorders>
              <w:top w:val="nil"/>
              <w:bottom w:val="nil"/>
            </w:tcBorders>
          </w:tcPr>
          <w:p w14:paraId="6872E968" w14:textId="77777777" w:rsidR="008F364A" w:rsidRPr="00632B6C" w:rsidRDefault="00DF4B78">
            <w:pPr>
              <w:keepNext/>
              <w:rPr>
                <w:lang w:val="en-CA"/>
              </w:rPr>
            </w:pPr>
          </w:p>
        </w:tc>
        <w:tc>
          <w:tcPr>
            <w:tcW w:w="4680" w:type="dxa"/>
            <w:tcBorders>
              <w:top w:val="nil"/>
              <w:bottom w:val="single" w:sz="8" w:space="0" w:color="auto"/>
            </w:tcBorders>
          </w:tcPr>
          <w:p w14:paraId="1B712961" w14:textId="77777777" w:rsidR="008F364A" w:rsidRPr="00632B6C" w:rsidRDefault="00DF4B78">
            <w:pPr>
              <w:keepNext/>
              <w:rPr>
                <w:lang w:val="en-CA"/>
              </w:rPr>
            </w:pPr>
          </w:p>
        </w:tc>
      </w:tr>
      <w:tr w:rsidR="003D055F" w:rsidRPr="00632B6C" w14:paraId="7E5B26B7" w14:textId="77777777" w:rsidTr="00117914">
        <w:trPr>
          <w:trHeight w:val="283"/>
        </w:trPr>
        <w:tc>
          <w:tcPr>
            <w:tcW w:w="4682" w:type="dxa"/>
            <w:gridSpan w:val="2"/>
            <w:tcBorders>
              <w:top w:val="nil"/>
            </w:tcBorders>
          </w:tcPr>
          <w:p w14:paraId="2DA8B46E" w14:textId="77777777" w:rsidR="008F364A" w:rsidRPr="00632B6C" w:rsidRDefault="00DF4B78">
            <w:pPr>
              <w:keepNext/>
              <w:rPr>
                <w:lang w:val="en-CA"/>
              </w:rPr>
            </w:pPr>
          </w:p>
        </w:tc>
        <w:tc>
          <w:tcPr>
            <w:tcW w:w="4680" w:type="dxa"/>
            <w:tcBorders>
              <w:top w:val="single" w:sz="8" w:space="0" w:color="auto"/>
            </w:tcBorders>
          </w:tcPr>
          <w:p w14:paraId="3C1EA2DF" w14:textId="40FE16D6" w:rsidR="008F364A" w:rsidRPr="00632B6C" w:rsidRDefault="00AE169B">
            <w:pPr>
              <w:keepNext/>
              <w:rPr>
                <w:lang w:val="en-CA"/>
              </w:rPr>
            </w:pPr>
            <w:r w:rsidRPr="00632B6C">
              <w:rPr>
                <w:lang w:val="en-CA"/>
              </w:rPr>
              <w:t>PETER KALICHMAN, J.A.</w:t>
            </w:r>
          </w:p>
        </w:tc>
      </w:tr>
      <w:bookmarkEnd w:id="11"/>
      <w:tr w:rsidR="003D055F" w:rsidRPr="00632B6C" w14:paraId="52AE26A2" w14:textId="77777777" w:rsidTr="00423DF1">
        <w:tc>
          <w:tcPr>
            <w:tcW w:w="9362" w:type="dxa"/>
            <w:gridSpan w:val="3"/>
          </w:tcPr>
          <w:p w14:paraId="09E9354B" w14:textId="77777777" w:rsidR="005A78BF" w:rsidRPr="00632B6C" w:rsidRDefault="00DF4B78" w:rsidP="005A78BF">
            <w:pPr>
              <w:rPr>
                <w:lang w:val="en-CA"/>
              </w:rPr>
            </w:pPr>
          </w:p>
        </w:tc>
      </w:tr>
      <w:tr w:rsidR="003D055F" w:rsidRPr="00632B6C" w14:paraId="50A0F44F" w14:textId="77777777" w:rsidTr="00423DF1">
        <w:tc>
          <w:tcPr>
            <w:tcW w:w="9362" w:type="dxa"/>
            <w:gridSpan w:val="3"/>
          </w:tcPr>
          <w:p w14:paraId="7E0CEB04" w14:textId="47AC16C8" w:rsidR="005A78BF" w:rsidRPr="00632B6C" w:rsidRDefault="005B3B9F" w:rsidP="005A78BF">
            <w:pPr>
              <w:pStyle w:val="zSoquijdatNomProcureurDem"/>
              <w:rPr>
                <w:lang w:val="en-CA"/>
              </w:rPr>
            </w:pPr>
            <w:r w:rsidRPr="00632B6C">
              <w:rPr>
                <w:lang w:val="en-CA"/>
              </w:rPr>
              <w:t>M</w:t>
            </w:r>
            <w:r w:rsidR="00912666" w:rsidRPr="00632B6C">
              <w:rPr>
                <w:lang w:val="en-CA"/>
              </w:rPr>
              <w:t>tr</w:t>
            </w:r>
            <w:r w:rsidRPr="00632B6C">
              <w:rPr>
                <w:lang w:val="en-CA"/>
              </w:rPr>
              <w:t>e Sylvain Lanoix</w:t>
            </w:r>
          </w:p>
        </w:tc>
      </w:tr>
      <w:tr w:rsidR="003D055F" w:rsidRPr="00632B6C" w14:paraId="4D32B2FE" w14:textId="77777777" w:rsidTr="00423DF1">
        <w:tc>
          <w:tcPr>
            <w:tcW w:w="9362" w:type="dxa"/>
            <w:gridSpan w:val="3"/>
          </w:tcPr>
          <w:p w14:paraId="49C95E47" w14:textId="11DC2250" w:rsidR="00A136D7" w:rsidRPr="00632B6C" w:rsidRDefault="005B3B9F" w:rsidP="005A78BF">
            <w:pPr>
              <w:pStyle w:val="zSoquijdatCabinetProcureurDem"/>
              <w:rPr>
                <w:lang w:val="en-CA"/>
              </w:rPr>
            </w:pPr>
            <w:r w:rsidRPr="00632B6C">
              <w:rPr>
                <w:lang w:val="en-CA"/>
              </w:rPr>
              <w:t>M</w:t>
            </w:r>
            <w:r w:rsidR="00912666" w:rsidRPr="00632B6C">
              <w:rPr>
                <w:lang w:val="en-CA"/>
              </w:rPr>
              <w:t>tr</w:t>
            </w:r>
            <w:r w:rsidRPr="00632B6C">
              <w:rPr>
                <w:lang w:val="en-CA"/>
              </w:rPr>
              <w:t>e Joël Brassard</w:t>
            </w:r>
          </w:p>
        </w:tc>
      </w:tr>
      <w:tr w:rsidR="003D055F" w:rsidRPr="00632B6C" w14:paraId="63A66CA7" w14:textId="77777777" w:rsidTr="00423DF1">
        <w:tc>
          <w:tcPr>
            <w:tcW w:w="9362" w:type="dxa"/>
            <w:gridSpan w:val="3"/>
          </w:tcPr>
          <w:p w14:paraId="2D099503" w14:textId="77777777" w:rsidR="005A78BF" w:rsidRPr="00632B6C" w:rsidRDefault="005B3B9F" w:rsidP="005A78BF">
            <w:pPr>
              <w:pStyle w:val="zSoquijdatCabinetProcureurDem"/>
              <w:rPr>
                <w:lang w:val="en-CA"/>
              </w:rPr>
            </w:pPr>
            <w:r w:rsidRPr="00632B6C">
              <w:rPr>
                <w:lang w:val="en-CA"/>
              </w:rPr>
              <w:t>DUNTON, RAINVILLE</w:t>
            </w:r>
          </w:p>
        </w:tc>
      </w:tr>
      <w:tr w:rsidR="003D055F" w:rsidRPr="00632B6C" w14:paraId="4A8E8A99" w14:textId="77777777" w:rsidTr="00423DF1">
        <w:tc>
          <w:tcPr>
            <w:tcW w:w="9362" w:type="dxa"/>
            <w:gridSpan w:val="3"/>
          </w:tcPr>
          <w:p w14:paraId="02A33756" w14:textId="69263679" w:rsidR="005A78BF" w:rsidRPr="00632B6C" w:rsidRDefault="00912666" w:rsidP="005A78BF">
            <w:pPr>
              <w:pStyle w:val="zSoquijlblProcureurDem"/>
              <w:rPr>
                <w:lang w:val="en-CA"/>
              </w:rPr>
            </w:pPr>
            <w:r w:rsidRPr="00632B6C">
              <w:rPr>
                <w:lang w:val="en-CA"/>
              </w:rPr>
              <w:t xml:space="preserve">For the </w:t>
            </w:r>
            <w:r w:rsidR="005B3B9F" w:rsidRPr="00632B6C">
              <w:rPr>
                <w:lang w:val="en-CA"/>
              </w:rPr>
              <w:t>appe</w:t>
            </w:r>
            <w:r w:rsidRPr="00632B6C">
              <w:rPr>
                <w:lang w:val="en-CA"/>
              </w:rPr>
              <w:t>l</w:t>
            </w:r>
            <w:r w:rsidR="005B3B9F" w:rsidRPr="00632B6C">
              <w:rPr>
                <w:lang w:val="en-CA"/>
              </w:rPr>
              <w:t>lants</w:t>
            </w:r>
          </w:p>
        </w:tc>
      </w:tr>
      <w:tr w:rsidR="003D055F" w:rsidRPr="00632B6C" w14:paraId="058099BD" w14:textId="77777777" w:rsidTr="00423DF1">
        <w:tc>
          <w:tcPr>
            <w:tcW w:w="9362" w:type="dxa"/>
            <w:gridSpan w:val="3"/>
          </w:tcPr>
          <w:p w14:paraId="5967FDCD" w14:textId="77777777" w:rsidR="005A78BF" w:rsidRPr="00632B6C" w:rsidRDefault="00DF4B78" w:rsidP="005A78BF">
            <w:pPr>
              <w:rPr>
                <w:lang w:val="en-CA"/>
              </w:rPr>
            </w:pPr>
          </w:p>
        </w:tc>
      </w:tr>
      <w:tr w:rsidR="003D055F" w:rsidRPr="00632B6C" w14:paraId="771B5E4B" w14:textId="77777777" w:rsidTr="00423DF1">
        <w:tc>
          <w:tcPr>
            <w:tcW w:w="9362" w:type="dxa"/>
            <w:gridSpan w:val="3"/>
          </w:tcPr>
          <w:p w14:paraId="3196893B" w14:textId="238633FB" w:rsidR="005A78BF" w:rsidRPr="00632B6C" w:rsidRDefault="005B3B9F" w:rsidP="005A78BF">
            <w:pPr>
              <w:pStyle w:val="zSoquijdatNomProcureurDef"/>
              <w:rPr>
                <w:lang w:val="en-CA"/>
              </w:rPr>
            </w:pPr>
            <w:r w:rsidRPr="00632B6C">
              <w:rPr>
                <w:lang w:val="en-CA"/>
              </w:rPr>
              <w:t>M</w:t>
            </w:r>
            <w:r w:rsidR="00912666" w:rsidRPr="00632B6C">
              <w:rPr>
                <w:lang w:val="en-CA"/>
              </w:rPr>
              <w:t>tr</w:t>
            </w:r>
            <w:r w:rsidRPr="00632B6C">
              <w:rPr>
                <w:lang w:val="en-CA"/>
              </w:rPr>
              <w:t>e Pascale Caron</w:t>
            </w:r>
          </w:p>
        </w:tc>
      </w:tr>
      <w:tr w:rsidR="003D055F" w:rsidRPr="00632B6C" w14:paraId="64EBBAF8" w14:textId="77777777" w:rsidTr="00423DF1">
        <w:tc>
          <w:tcPr>
            <w:tcW w:w="9362" w:type="dxa"/>
            <w:gridSpan w:val="3"/>
          </w:tcPr>
          <w:p w14:paraId="6FFD567C" w14:textId="77777777" w:rsidR="005A78BF" w:rsidRPr="00632B6C" w:rsidRDefault="005B3B9F" w:rsidP="005A78BF">
            <w:pPr>
              <w:pStyle w:val="zSoquijdatCabinetProcureurDef"/>
              <w:rPr>
                <w:lang w:val="en-CA"/>
              </w:rPr>
            </w:pPr>
            <w:r w:rsidRPr="00632B6C">
              <w:rPr>
                <w:lang w:val="en-CA"/>
              </w:rPr>
              <w:t>DONATI MAISONNEUVE</w:t>
            </w:r>
          </w:p>
        </w:tc>
      </w:tr>
      <w:tr w:rsidR="003D055F" w:rsidRPr="00882317" w14:paraId="7998856B" w14:textId="77777777" w:rsidTr="00423DF1">
        <w:tc>
          <w:tcPr>
            <w:tcW w:w="9362" w:type="dxa"/>
            <w:gridSpan w:val="3"/>
          </w:tcPr>
          <w:p w14:paraId="4270B9E6" w14:textId="1DF862A5" w:rsidR="00A136D7" w:rsidRPr="008656E3" w:rsidRDefault="00912666" w:rsidP="005A78BF">
            <w:pPr>
              <w:pStyle w:val="zSoquijdatCabinetProcureurDef"/>
              <w:rPr>
                <w:lang w:val="en-CA"/>
              </w:rPr>
            </w:pPr>
            <w:r w:rsidRPr="00632B6C">
              <w:rPr>
                <w:lang w:val="en-CA"/>
              </w:rPr>
              <w:t xml:space="preserve">For </w:t>
            </w:r>
            <w:r w:rsidR="005B3B9F" w:rsidRPr="00632B6C">
              <w:rPr>
                <w:lang w:val="en-CA"/>
              </w:rPr>
              <w:t xml:space="preserve">Stuart M. Millowitz </w:t>
            </w:r>
            <w:r w:rsidRPr="00632B6C">
              <w:rPr>
                <w:lang w:val="en-CA"/>
              </w:rPr>
              <w:t>and</w:t>
            </w:r>
            <w:r w:rsidR="005B3B9F" w:rsidRPr="00632B6C">
              <w:rPr>
                <w:lang w:val="en-CA"/>
              </w:rPr>
              <w:t xml:space="preserve"> Millowitz Hodes Bergeron </w:t>
            </w:r>
            <w:r w:rsidR="0018104F" w:rsidRPr="0018104F">
              <w:rPr>
                <w:lang w:val="en-CA"/>
              </w:rPr>
              <w:t>S.E.N.C.R.L.</w:t>
            </w:r>
          </w:p>
        </w:tc>
      </w:tr>
      <w:tr w:rsidR="003D055F" w:rsidRPr="00882317" w14:paraId="0E9642AD" w14:textId="77777777" w:rsidTr="00423DF1">
        <w:tc>
          <w:tcPr>
            <w:tcW w:w="9362" w:type="dxa"/>
            <w:gridSpan w:val="3"/>
          </w:tcPr>
          <w:p w14:paraId="6B43440B" w14:textId="77777777" w:rsidR="00544BFD" w:rsidRPr="00632B6C" w:rsidRDefault="00DF4B78" w:rsidP="005A78BF">
            <w:pPr>
              <w:pStyle w:val="zSoquijdatCabinetProcureurDef"/>
              <w:rPr>
                <w:lang w:val="en-CA"/>
              </w:rPr>
            </w:pPr>
          </w:p>
        </w:tc>
      </w:tr>
      <w:tr w:rsidR="003D055F" w:rsidRPr="00632B6C" w14:paraId="532B041E" w14:textId="77777777" w:rsidTr="00423DF1">
        <w:tc>
          <w:tcPr>
            <w:tcW w:w="9362" w:type="dxa"/>
            <w:gridSpan w:val="3"/>
          </w:tcPr>
          <w:p w14:paraId="358890E2" w14:textId="25FB4CCE" w:rsidR="00804F25" w:rsidRPr="00632B6C" w:rsidRDefault="005B3B9F" w:rsidP="00804F25">
            <w:pPr>
              <w:pStyle w:val="zSoquijdatCabinetProcureurDef"/>
              <w:rPr>
                <w:lang w:val="en-CA"/>
              </w:rPr>
            </w:pPr>
            <w:r w:rsidRPr="00632B6C">
              <w:rPr>
                <w:lang w:val="en-CA"/>
              </w:rPr>
              <w:t>M</w:t>
            </w:r>
            <w:r w:rsidR="00912666" w:rsidRPr="00632B6C">
              <w:rPr>
                <w:lang w:val="en-CA"/>
              </w:rPr>
              <w:t>tr</w:t>
            </w:r>
            <w:r w:rsidRPr="00632B6C">
              <w:rPr>
                <w:lang w:val="en-CA"/>
              </w:rPr>
              <w:t>e Jacinthe Savoie</w:t>
            </w:r>
          </w:p>
        </w:tc>
      </w:tr>
      <w:tr w:rsidR="003D055F" w:rsidRPr="00632B6C" w14:paraId="11429DAD" w14:textId="77777777" w:rsidTr="00423DF1">
        <w:tc>
          <w:tcPr>
            <w:tcW w:w="9362" w:type="dxa"/>
            <w:gridSpan w:val="3"/>
          </w:tcPr>
          <w:p w14:paraId="3449E0D2" w14:textId="752AB9AC" w:rsidR="005A78BF" w:rsidRPr="00E41931" w:rsidRDefault="00912666" w:rsidP="005A78BF">
            <w:pPr>
              <w:pStyle w:val="zSoquijlblProcureurDef"/>
            </w:pPr>
            <w:r w:rsidRPr="00E41931">
              <w:t xml:space="preserve">For </w:t>
            </w:r>
            <w:r w:rsidR="005B3B9F" w:rsidRPr="00E41931">
              <w:t>Garantie des immeubles résidentiels inc.</w:t>
            </w:r>
          </w:p>
        </w:tc>
      </w:tr>
      <w:tr w:rsidR="003D055F" w:rsidRPr="00632B6C" w14:paraId="133CD9A3" w14:textId="77777777" w:rsidTr="00423DF1">
        <w:tc>
          <w:tcPr>
            <w:tcW w:w="9362" w:type="dxa"/>
            <w:gridSpan w:val="3"/>
          </w:tcPr>
          <w:p w14:paraId="43A7B0F7" w14:textId="77777777" w:rsidR="005A78BF" w:rsidRPr="00E41931" w:rsidRDefault="00DF4B78" w:rsidP="005A78BF"/>
        </w:tc>
      </w:tr>
      <w:tr w:rsidR="003D055F" w:rsidRPr="00632B6C" w14:paraId="114BC01A" w14:textId="77777777" w:rsidTr="00423DF1">
        <w:tc>
          <w:tcPr>
            <w:tcW w:w="1997" w:type="dxa"/>
          </w:tcPr>
          <w:p w14:paraId="2075F6E4" w14:textId="461D5B8A" w:rsidR="005A78BF" w:rsidRPr="00632B6C" w:rsidRDefault="005B3B9F" w:rsidP="005A78BF">
            <w:pPr>
              <w:pStyle w:val="zSoquijlblDateAudience"/>
              <w:rPr>
                <w:lang w:val="en-CA"/>
              </w:rPr>
            </w:pPr>
            <w:r w:rsidRPr="00632B6C">
              <w:rPr>
                <w:lang w:val="en-CA"/>
              </w:rPr>
              <w:t xml:space="preserve">Date </w:t>
            </w:r>
            <w:r w:rsidR="00912666" w:rsidRPr="00632B6C">
              <w:rPr>
                <w:lang w:val="en-CA"/>
              </w:rPr>
              <w:t>of hearing</w:t>
            </w:r>
            <w:r w:rsidRPr="00632B6C">
              <w:rPr>
                <w:lang w:val="en-CA"/>
              </w:rPr>
              <w:t>:</w:t>
            </w:r>
          </w:p>
        </w:tc>
        <w:tc>
          <w:tcPr>
            <w:tcW w:w="7365" w:type="dxa"/>
            <w:gridSpan w:val="2"/>
          </w:tcPr>
          <w:p w14:paraId="688D56E7" w14:textId="37FF01A3" w:rsidR="005A78BF" w:rsidRPr="00632B6C" w:rsidRDefault="00912666" w:rsidP="005A78BF">
            <w:pPr>
              <w:pStyle w:val="zSoquijdatDateAudience"/>
              <w:rPr>
                <w:lang w:val="en-CA"/>
              </w:rPr>
            </w:pPr>
            <w:r w:rsidRPr="00632B6C">
              <w:rPr>
                <w:lang w:val="en-CA"/>
              </w:rPr>
              <w:t xml:space="preserve">May </w:t>
            </w:r>
            <w:r w:rsidR="005B3B9F" w:rsidRPr="00632B6C">
              <w:rPr>
                <w:lang w:val="en-CA"/>
              </w:rPr>
              <w:t>9</w:t>
            </w:r>
            <w:r w:rsidRPr="00632B6C">
              <w:rPr>
                <w:lang w:val="en-CA"/>
              </w:rPr>
              <w:t>,</w:t>
            </w:r>
            <w:r w:rsidR="005B3B9F" w:rsidRPr="00632B6C">
              <w:rPr>
                <w:lang w:val="en-CA"/>
              </w:rPr>
              <w:t xml:space="preserve"> 2022</w:t>
            </w:r>
          </w:p>
        </w:tc>
      </w:tr>
      <w:tr w:rsidR="003D055F" w:rsidRPr="00632B6C" w14:paraId="00B09460" w14:textId="77777777" w:rsidTr="004B23F4">
        <w:tc>
          <w:tcPr>
            <w:tcW w:w="1997" w:type="dxa"/>
          </w:tcPr>
          <w:p w14:paraId="2215534E" w14:textId="322AD9A4" w:rsidR="004B23F4" w:rsidRPr="00632B6C" w:rsidRDefault="00D220F3" w:rsidP="004B23F4">
            <w:pPr>
              <w:pStyle w:val="zSoquijlblDateAudience"/>
              <w:rPr>
                <w:lang w:val="en-CA"/>
              </w:rPr>
            </w:pPr>
            <w:r>
              <w:rPr>
                <w:lang w:val="en-CA"/>
              </w:rPr>
              <w:t>Date t</w:t>
            </w:r>
            <w:r w:rsidR="000125A2" w:rsidRPr="00632B6C">
              <w:rPr>
                <w:lang w:val="en-CA"/>
              </w:rPr>
              <w:t>aken under advisement</w:t>
            </w:r>
            <w:r w:rsidR="005B3B9F" w:rsidRPr="00632B6C">
              <w:rPr>
                <w:lang w:val="en-CA"/>
              </w:rPr>
              <w:t>:</w:t>
            </w:r>
          </w:p>
        </w:tc>
        <w:tc>
          <w:tcPr>
            <w:tcW w:w="7365" w:type="dxa"/>
            <w:gridSpan w:val="2"/>
          </w:tcPr>
          <w:p w14:paraId="2729911C" w14:textId="73BC6E2D" w:rsidR="004B23F4" w:rsidRPr="00632B6C" w:rsidRDefault="000125A2" w:rsidP="00A136D7">
            <w:pPr>
              <w:pStyle w:val="zSoquijdatDateAudience"/>
              <w:rPr>
                <w:lang w:val="en-CA"/>
              </w:rPr>
            </w:pPr>
            <w:r w:rsidRPr="00632B6C">
              <w:rPr>
                <w:lang w:val="en-CA"/>
              </w:rPr>
              <w:t>May 1</w:t>
            </w:r>
            <w:r w:rsidR="005B3B9F" w:rsidRPr="00632B6C">
              <w:rPr>
                <w:lang w:val="en-CA"/>
              </w:rPr>
              <w:t>3</w:t>
            </w:r>
            <w:r w:rsidRPr="00632B6C">
              <w:rPr>
                <w:lang w:val="en-CA"/>
              </w:rPr>
              <w:t>,</w:t>
            </w:r>
            <w:r w:rsidR="005B3B9F" w:rsidRPr="00632B6C">
              <w:rPr>
                <w:lang w:val="en-CA"/>
              </w:rPr>
              <w:t xml:space="preserve"> 2022</w:t>
            </w:r>
          </w:p>
        </w:tc>
      </w:tr>
      <w:tr w:rsidR="003D055F" w:rsidRPr="00632B6C" w14:paraId="3EDF0902" w14:textId="77777777" w:rsidTr="00423DF1">
        <w:tc>
          <w:tcPr>
            <w:tcW w:w="1997" w:type="dxa"/>
          </w:tcPr>
          <w:p w14:paraId="1138D901" w14:textId="77777777" w:rsidR="004B23F4" w:rsidRPr="00632B6C" w:rsidRDefault="00DF4B78" w:rsidP="005A78BF">
            <w:pPr>
              <w:pStyle w:val="zSoquijlblDateAudience"/>
              <w:rPr>
                <w:lang w:val="en-CA"/>
              </w:rPr>
            </w:pPr>
          </w:p>
        </w:tc>
        <w:tc>
          <w:tcPr>
            <w:tcW w:w="7365" w:type="dxa"/>
            <w:gridSpan w:val="2"/>
          </w:tcPr>
          <w:p w14:paraId="4CE9C2B2" w14:textId="77777777" w:rsidR="004B23F4" w:rsidRPr="00632B6C" w:rsidRDefault="00DF4B78" w:rsidP="005A78BF">
            <w:pPr>
              <w:pStyle w:val="zSoquijdatDateAudience"/>
              <w:rPr>
                <w:lang w:val="en-CA"/>
              </w:rPr>
            </w:pPr>
          </w:p>
        </w:tc>
      </w:tr>
      <w:bookmarkEnd w:id="4"/>
    </w:tbl>
    <w:p w14:paraId="0D6967E6" w14:textId="77777777" w:rsidR="00740A17" w:rsidRPr="00632B6C" w:rsidRDefault="00DF4B78" w:rsidP="004B23F4">
      <w:pPr>
        <w:pStyle w:val="zSoquijlblDateAudience"/>
        <w:rPr>
          <w:lang w:val="en-CA"/>
        </w:rPr>
      </w:pPr>
    </w:p>
    <w:sectPr w:rsidR="00740A17" w:rsidRPr="00632B6C" w:rsidSect="00B16CCA">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0C340" w14:textId="77777777" w:rsidR="00DF4B78" w:rsidRDefault="00DF4B78">
      <w:pPr>
        <w:spacing w:line="240" w:lineRule="auto"/>
      </w:pPr>
      <w:r>
        <w:separator/>
      </w:r>
    </w:p>
  </w:endnote>
  <w:endnote w:type="continuationSeparator" w:id="0">
    <w:p w14:paraId="344DFF1D" w14:textId="77777777" w:rsidR="00DF4B78" w:rsidRDefault="00DF4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9EC0" w14:textId="77777777" w:rsidR="00DF4B78" w:rsidRDefault="00DF4B78">
      <w:r>
        <w:separator/>
      </w:r>
    </w:p>
  </w:footnote>
  <w:footnote w:type="continuationSeparator" w:id="0">
    <w:p w14:paraId="56A19487" w14:textId="77777777" w:rsidR="00DF4B78" w:rsidRDefault="00DF4B78">
      <w:r>
        <w:continuationSeparator/>
      </w:r>
    </w:p>
  </w:footnote>
  <w:footnote w:id="1">
    <w:p w14:paraId="64B2209F" w14:textId="06FABA4C"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00912666" w:rsidRPr="00632B6C">
        <w:rPr>
          <w:lang w:val="en-CA"/>
        </w:rPr>
        <w:t>See for example</w:t>
      </w:r>
      <w:r w:rsidRPr="00632B6C">
        <w:rPr>
          <w:lang w:val="en-CA"/>
        </w:rPr>
        <w:t xml:space="preserve"> </w:t>
      </w:r>
      <w:r w:rsidR="00912666" w:rsidRPr="00632B6C">
        <w:rPr>
          <w:lang w:val="en-CA"/>
        </w:rPr>
        <w:t>exhibit</w:t>
      </w:r>
      <w:r w:rsidRPr="00632B6C">
        <w:rPr>
          <w:lang w:val="en-CA"/>
        </w:rPr>
        <w:t> P-1b: Prom</w:t>
      </w:r>
      <w:r w:rsidR="008663B5" w:rsidRPr="00632B6C">
        <w:rPr>
          <w:lang w:val="en-CA"/>
        </w:rPr>
        <w:t>ise to purchase</w:t>
      </w:r>
      <w:r w:rsidRPr="00632B6C">
        <w:rPr>
          <w:lang w:val="en-CA"/>
        </w:rPr>
        <w:t xml:space="preserve"> </w:t>
      </w:r>
      <w:r w:rsidR="008663B5" w:rsidRPr="00632B6C">
        <w:rPr>
          <w:lang w:val="en-CA"/>
        </w:rPr>
        <w:t>of</w:t>
      </w:r>
      <w:r w:rsidRPr="00632B6C">
        <w:rPr>
          <w:lang w:val="en-CA"/>
        </w:rPr>
        <w:t xml:space="preserve"> Louise Gélinas </w:t>
      </w:r>
      <w:r w:rsidR="008663B5" w:rsidRPr="00632B6C">
        <w:rPr>
          <w:lang w:val="en-CA"/>
        </w:rPr>
        <w:t>and</w:t>
      </w:r>
      <w:r w:rsidRPr="00632B6C">
        <w:rPr>
          <w:lang w:val="en-CA"/>
        </w:rPr>
        <w:t xml:space="preserve"> Patrice Champigny date</w:t>
      </w:r>
      <w:r w:rsidR="008663B5" w:rsidRPr="00632B6C">
        <w:rPr>
          <w:lang w:val="en-CA"/>
        </w:rPr>
        <w:t>d</w:t>
      </w:r>
      <w:r w:rsidRPr="00632B6C">
        <w:rPr>
          <w:lang w:val="en-CA"/>
        </w:rPr>
        <w:t xml:space="preserve"> </w:t>
      </w:r>
      <w:r w:rsidR="008663B5" w:rsidRPr="00632B6C">
        <w:rPr>
          <w:lang w:val="en-CA"/>
        </w:rPr>
        <w:t>November</w:t>
      </w:r>
      <w:r w:rsidRPr="00632B6C">
        <w:rPr>
          <w:lang w:val="en-CA"/>
        </w:rPr>
        <w:t xml:space="preserve"> 10</w:t>
      </w:r>
      <w:r w:rsidR="008663B5" w:rsidRPr="00632B6C">
        <w:rPr>
          <w:lang w:val="en-CA"/>
        </w:rPr>
        <w:t>,</w:t>
      </w:r>
      <w:r w:rsidRPr="00632B6C">
        <w:rPr>
          <w:lang w:val="en-CA"/>
        </w:rPr>
        <w:t xml:space="preserve"> 2012.</w:t>
      </w:r>
    </w:p>
  </w:footnote>
  <w:footnote w:id="2">
    <w:p w14:paraId="209A52D9" w14:textId="4D7A8C64"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t>T</w:t>
      </w:r>
      <w:r w:rsidR="008663B5" w:rsidRPr="00632B6C">
        <w:rPr>
          <w:lang w:val="en-CA"/>
        </w:rPr>
        <w:t>estimony of</w:t>
      </w:r>
      <w:r w:rsidRPr="00632B6C">
        <w:rPr>
          <w:lang w:val="en-CA"/>
        </w:rPr>
        <w:t xml:space="preserve"> Jean-Pascal Labrosse, </w:t>
      </w:r>
      <w:r w:rsidR="008663B5" w:rsidRPr="00632B6C">
        <w:rPr>
          <w:lang w:val="en-CA"/>
        </w:rPr>
        <w:t xml:space="preserve">September </w:t>
      </w:r>
      <w:r w:rsidRPr="00632B6C">
        <w:rPr>
          <w:lang w:val="en-CA"/>
        </w:rPr>
        <w:t>24</w:t>
      </w:r>
      <w:r w:rsidR="008663B5" w:rsidRPr="00632B6C">
        <w:rPr>
          <w:lang w:val="en-CA"/>
        </w:rPr>
        <w:t>,</w:t>
      </w:r>
      <w:r w:rsidRPr="00632B6C">
        <w:rPr>
          <w:lang w:val="en-CA"/>
        </w:rPr>
        <w:t xml:space="preserve"> 2019, </w:t>
      </w:r>
      <w:r w:rsidR="008663B5" w:rsidRPr="00632B6C">
        <w:rPr>
          <w:lang w:val="en-CA"/>
        </w:rPr>
        <w:t>at</w:t>
      </w:r>
      <w:r w:rsidRPr="00632B6C">
        <w:rPr>
          <w:lang w:val="en-CA"/>
        </w:rPr>
        <w:t> 2740 (</w:t>
      </w:r>
      <w:r w:rsidR="008663B5" w:rsidRPr="00632B6C">
        <w:rPr>
          <w:lang w:val="en-CA"/>
        </w:rPr>
        <w:t>at</w:t>
      </w:r>
      <w:r w:rsidRPr="00632B6C">
        <w:rPr>
          <w:lang w:val="en-CA"/>
        </w:rPr>
        <w:t> 275)</w:t>
      </w:r>
      <w:r w:rsidR="0016190D">
        <w:rPr>
          <w:lang w:val="en-CA"/>
        </w:rPr>
        <w:t>,</w:t>
      </w:r>
      <w:r w:rsidRPr="00632B6C">
        <w:rPr>
          <w:lang w:val="en-CA"/>
        </w:rPr>
        <w:t xml:space="preserve"> 2747 (</w:t>
      </w:r>
      <w:r w:rsidR="008663B5" w:rsidRPr="00632B6C">
        <w:rPr>
          <w:lang w:val="en-CA"/>
        </w:rPr>
        <w:t>at</w:t>
      </w:r>
      <w:r w:rsidRPr="00632B6C">
        <w:rPr>
          <w:lang w:val="en-CA"/>
        </w:rPr>
        <w:t> 301), 2763 (</w:t>
      </w:r>
      <w:r w:rsidR="008663B5" w:rsidRPr="00632B6C">
        <w:rPr>
          <w:lang w:val="en-CA"/>
        </w:rPr>
        <w:t>at</w:t>
      </w:r>
      <w:r w:rsidRPr="00632B6C">
        <w:rPr>
          <w:lang w:val="en-CA"/>
        </w:rPr>
        <w:t> 368)</w:t>
      </w:r>
      <w:r w:rsidR="0016190D">
        <w:rPr>
          <w:lang w:val="en-CA"/>
        </w:rPr>
        <w:t>,</w:t>
      </w:r>
      <w:r w:rsidRPr="00632B6C">
        <w:rPr>
          <w:lang w:val="en-CA"/>
        </w:rPr>
        <w:t xml:space="preserve"> </w:t>
      </w:r>
      <w:r w:rsidR="008663B5" w:rsidRPr="00632B6C">
        <w:rPr>
          <w:lang w:val="en-CA"/>
        </w:rPr>
        <w:t>and</w:t>
      </w:r>
      <w:r w:rsidRPr="00632B6C">
        <w:rPr>
          <w:lang w:val="en-CA"/>
        </w:rPr>
        <w:t> 2764 (</w:t>
      </w:r>
      <w:r w:rsidR="008663B5" w:rsidRPr="00632B6C">
        <w:rPr>
          <w:lang w:val="en-CA"/>
        </w:rPr>
        <w:t>at</w:t>
      </w:r>
      <w:r w:rsidRPr="00632B6C">
        <w:rPr>
          <w:lang w:val="en-CA"/>
        </w:rPr>
        <w:t> 371).</w:t>
      </w:r>
    </w:p>
  </w:footnote>
  <w:footnote w:id="3">
    <w:p w14:paraId="5B691590" w14:textId="30631239"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t>T</w:t>
      </w:r>
      <w:r w:rsidR="008663B5" w:rsidRPr="00632B6C">
        <w:rPr>
          <w:lang w:val="en-CA"/>
        </w:rPr>
        <w:t>estimony of</w:t>
      </w:r>
      <w:r w:rsidRPr="00632B6C">
        <w:rPr>
          <w:lang w:val="en-CA"/>
        </w:rPr>
        <w:t xml:space="preserve"> Martin Gosselin, </w:t>
      </w:r>
      <w:r w:rsidR="008663B5" w:rsidRPr="00632B6C">
        <w:rPr>
          <w:lang w:val="en-CA"/>
        </w:rPr>
        <w:t>September</w:t>
      </w:r>
      <w:r w:rsidRPr="00632B6C">
        <w:rPr>
          <w:lang w:val="en-CA"/>
        </w:rPr>
        <w:t xml:space="preserve"> 17</w:t>
      </w:r>
      <w:r w:rsidR="008663B5" w:rsidRPr="00632B6C">
        <w:rPr>
          <w:lang w:val="en-CA"/>
        </w:rPr>
        <w:t>,</w:t>
      </w:r>
      <w:r w:rsidRPr="00632B6C">
        <w:rPr>
          <w:lang w:val="en-CA"/>
        </w:rPr>
        <w:t xml:space="preserve"> 2019, A.</w:t>
      </w:r>
      <w:r w:rsidR="008663B5" w:rsidRPr="00632B6C">
        <w:rPr>
          <w:lang w:val="en-CA"/>
        </w:rPr>
        <w:t>B.</w:t>
      </w:r>
      <w:r w:rsidRPr="00632B6C">
        <w:rPr>
          <w:lang w:val="en-CA"/>
        </w:rPr>
        <w:t xml:space="preserve"> </w:t>
      </w:r>
      <w:r w:rsidR="008663B5" w:rsidRPr="00632B6C">
        <w:rPr>
          <w:lang w:val="en-CA"/>
        </w:rPr>
        <w:t>at</w:t>
      </w:r>
      <w:r w:rsidRPr="00632B6C">
        <w:rPr>
          <w:lang w:val="en-CA"/>
        </w:rPr>
        <w:t> 2205 (</w:t>
      </w:r>
      <w:r w:rsidR="008663B5" w:rsidRPr="00632B6C">
        <w:rPr>
          <w:lang w:val="en-CA"/>
        </w:rPr>
        <w:t>at</w:t>
      </w:r>
      <w:r w:rsidRPr="00632B6C">
        <w:rPr>
          <w:lang w:val="en-CA"/>
        </w:rPr>
        <w:t xml:space="preserve"> 148).</w:t>
      </w:r>
    </w:p>
  </w:footnote>
  <w:footnote w:id="4">
    <w:p w14:paraId="696D2122" w14:textId="2D1C495D" w:rsidR="00B2165C" w:rsidRPr="00E41931" w:rsidRDefault="005B3B9F" w:rsidP="00B2165C">
      <w:pPr>
        <w:pStyle w:val="Notedebasdepage"/>
      </w:pPr>
      <w:r w:rsidRPr="00632B6C">
        <w:rPr>
          <w:rStyle w:val="Appelnotedebasdep"/>
          <w:lang w:val="en-CA"/>
        </w:rPr>
        <w:footnoteRef/>
      </w:r>
      <w:r w:rsidRPr="00E41931">
        <w:t xml:space="preserve"> </w:t>
      </w:r>
      <w:r w:rsidRPr="00E41931">
        <w:tab/>
      </w:r>
      <w:r w:rsidRPr="00E41931">
        <w:rPr>
          <w:i/>
        </w:rPr>
        <w:t>I</w:t>
      </w:r>
      <w:r w:rsidR="008663B5" w:rsidRPr="00E41931">
        <w:rPr>
          <w:i/>
        </w:rPr>
        <w:t>bi</w:t>
      </w:r>
      <w:r w:rsidRPr="00E41931">
        <w:rPr>
          <w:i/>
        </w:rPr>
        <w:t>d.</w:t>
      </w:r>
      <w:r w:rsidRPr="00E41931">
        <w:t xml:space="preserve"> A.</w:t>
      </w:r>
      <w:r w:rsidR="008663B5" w:rsidRPr="00E41931">
        <w:t>B. at</w:t>
      </w:r>
      <w:r w:rsidRPr="00E41931">
        <w:t> 2208.</w:t>
      </w:r>
    </w:p>
    <w:p w14:paraId="1A9CFDCE" w14:textId="77777777" w:rsidR="00B2165C" w:rsidRPr="00E41931" w:rsidRDefault="00DF4B78" w:rsidP="00B2165C">
      <w:pPr>
        <w:pStyle w:val="Notedebasdepage"/>
      </w:pPr>
    </w:p>
  </w:footnote>
  <w:footnote w:id="5">
    <w:p w14:paraId="13C18342" w14:textId="31520E03" w:rsidR="00B2165C" w:rsidRPr="00E41931" w:rsidRDefault="005B3B9F" w:rsidP="00B2165C">
      <w:pPr>
        <w:pStyle w:val="Notedebasdepage"/>
      </w:pPr>
      <w:r w:rsidRPr="00632B6C">
        <w:rPr>
          <w:rStyle w:val="Appelnotedebasdep"/>
          <w:lang w:val="en-CA"/>
        </w:rPr>
        <w:footnoteRef/>
      </w:r>
      <w:r w:rsidRPr="00E41931">
        <w:t xml:space="preserve"> </w:t>
      </w:r>
      <w:r w:rsidRPr="00E41931">
        <w:tab/>
      </w:r>
      <w:r w:rsidRPr="00E41931">
        <w:rPr>
          <w:rStyle w:val="Lienhypertexte"/>
          <w:i/>
          <w:color w:val="auto"/>
          <w:u w:val="none"/>
        </w:rPr>
        <w:t>Règlement sur la comptabilité en fidéicommis des notaires</w:t>
      </w:r>
      <w:r w:rsidRPr="00E41931">
        <w:t xml:space="preserve">, c. N-3, r. 5.1, </w:t>
      </w:r>
      <w:r w:rsidR="008663B5" w:rsidRPr="00E41931">
        <w:t>s</w:t>
      </w:r>
      <w:r w:rsidRPr="00E41931">
        <w:t>. 31.</w:t>
      </w:r>
    </w:p>
  </w:footnote>
  <w:footnote w:id="6">
    <w:p w14:paraId="01D53008" w14:textId="3B7689A8"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Pr="00632B6C">
        <w:rPr>
          <w:i/>
          <w:lang w:val="en-CA"/>
        </w:rPr>
        <w:t xml:space="preserve">Salomon </w:t>
      </w:r>
      <w:r w:rsidR="008663B5" w:rsidRPr="00632B6C">
        <w:rPr>
          <w:i/>
          <w:lang w:val="en-CA"/>
        </w:rPr>
        <w:t>v</w:t>
      </w:r>
      <w:r w:rsidRPr="00632B6C">
        <w:rPr>
          <w:i/>
          <w:lang w:val="en-CA"/>
        </w:rPr>
        <w:t>. Matte</w:t>
      </w:r>
      <w:r w:rsidRPr="00632B6C">
        <w:rPr>
          <w:rFonts w:ascii="Cambria Math" w:hAnsi="Cambria Math" w:cs="Cambria Math"/>
          <w:i/>
          <w:lang w:val="en-CA"/>
        </w:rPr>
        <w:t>‑</w:t>
      </w:r>
      <w:r w:rsidRPr="00632B6C">
        <w:rPr>
          <w:i/>
          <w:lang w:val="en-CA"/>
        </w:rPr>
        <w:t>Thompson</w:t>
      </w:r>
      <w:r w:rsidRPr="00632B6C">
        <w:rPr>
          <w:lang w:val="en-CA"/>
        </w:rPr>
        <w:t xml:space="preserve">, </w:t>
      </w:r>
      <w:r w:rsidRPr="00632B6C">
        <w:rPr>
          <w:rStyle w:val="Lienhypertexte"/>
          <w:color w:val="auto"/>
          <w:u w:val="none"/>
          <w:lang w:val="en-CA"/>
        </w:rPr>
        <w:t>2019 S</w:t>
      </w:r>
      <w:r w:rsidR="008663B5" w:rsidRPr="00632B6C">
        <w:rPr>
          <w:rStyle w:val="Lienhypertexte"/>
          <w:color w:val="auto"/>
          <w:u w:val="none"/>
          <w:lang w:val="en-CA"/>
        </w:rPr>
        <w:t>C</w:t>
      </w:r>
      <w:r w:rsidRPr="00632B6C">
        <w:rPr>
          <w:rStyle w:val="Lienhypertexte"/>
          <w:color w:val="auto"/>
          <w:u w:val="none"/>
          <w:lang w:val="en-CA"/>
        </w:rPr>
        <w:t>C 14</w:t>
      </w:r>
      <w:r w:rsidR="008663B5" w:rsidRPr="00632B6C">
        <w:rPr>
          <w:rStyle w:val="Lienhypertexte"/>
          <w:color w:val="auto"/>
          <w:u w:val="none"/>
          <w:lang w:val="en-CA"/>
        </w:rPr>
        <w:t xml:space="preserve"> at</w:t>
      </w:r>
      <w:r w:rsidRPr="00632B6C">
        <w:rPr>
          <w:lang w:val="en-CA"/>
        </w:rPr>
        <w:t xml:space="preserve"> para. 33</w:t>
      </w:r>
      <w:r w:rsidRPr="00632B6C">
        <w:rPr>
          <w:i/>
          <w:lang w:val="en-CA"/>
        </w:rPr>
        <w:t>; Bertrand c. Hoppenheim</w:t>
      </w:r>
      <w:r w:rsidRPr="00632B6C">
        <w:rPr>
          <w:lang w:val="en-CA"/>
        </w:rPr>
        <w:t xml:space="preserve">, </w:t>
      </w:r>
      <w:r w:rsidRPr="00632B6C">
        <w:rPr>
          <w:rStyle w:val="Lienhypertexte"/>
          <w:color w:val="auto"/>
          <w:u w:val="none"/>
          <w:lang w:val="en-CA"/>
        </w:rPr>
        <w:t>2019 QCCA 769</w:t>
      </w:r>
      <w:r w:rsidR="008663B5" w:rsidRPr="00632B6C">
        <w:rPr>
          <w:rStyle w:val="Lienhypertexte"/>
          <w:color w:val="auto"/>
          <w:u w:val="none"/>
          <w:lang w:val="en-CA"/>
        </w:rPr>
        <w:t xml:space="preserve"> at</w:t>
      </w:r>
      <w:r w:rsidRPr="00632B6C">
        <w:rPr>
          <w:lang w:val="en-CA"/>
        </w:rPr>
        <w:t xml:space="preserve"> para. 5.</w:t>
      </w:r>
    </w:p>
  </w:footnote>
  <w:footnote w:id="7">
    <w:p w14:paraId="6AA04718" w14:textId="736B9013"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Pr="00632B6C">
        <w:rPr>
          <w:i/>
          <w:lang w:val="en-CA"/>
        </w:rPr>
        <w:t xml:space="preserve">Nelson (City) </w:t>
      </w:r>
      <w:r w:rsidR="008663B5" w:rsidRPr="00632B6C">
        <w:rPr>
          <w:i/>
          <w:lang w:val="en-CA"/>
        </w:rPr>
        <w:t>v</w:t>
      </w:r>
      <w:r w:rsidRPr="00632B6C">
        <w:rPr>
          <w:i/>
          <w:lang w:val="en-CA"/>
        </w:rPr>
        <w:t>. Mowatt</w:t>
      </w:r>
      <w:r w:rsidRPr="00632B6C">
        <w:rPr>
          <w:lang w:val="en-CA"/>
        </w:rPr>
        <w:t xml:space="preserve">, </w:t>
      </w:r>
      <w:r w:rsidRPr="00632B6C">
        <w:rPr>
          <w:rStyle w:val="Lienhypertexte"/>
          <w:color w:val="auto"/>
          <w:u w:val="none"/>
          <w:lang w:val="en-CA"/>
        </w:rPr>
        <w:t>2017 S</w:t>
      </w:r>
      <w:r w:rsidR="008663B5" w:rsidRPr="00632B6C">
        <w:rPr>
          <w:rStyle w:val="Lienhypertexte"/>
          <w:color w:val="auto"/>
          <w:u w:val="none"/>
          <w:lang w:val="en-CA"/>
        </w:rPr>
        <w:t>C</w:t>
      </w:r>
      <w:r w:rsidRPr="00632B6C">
        <w:rPr>
          <w:rStyle w:val="Lienhypertexte"/>
          <w:color w:val="auto"/>
          <w:u w:val="none"/>
          <w:lang w:val="en-CA"/>
        </w:rPr>
        <w:t>C 8</w:t>
      </w:r>
      <w:r w:rsidR="008663B5" w:rsidRPr="00632B6C">
        <w:rPr>
          <w:rStyle w:val="Lienhypertexte"/>
          <w:color w:val="auto"/>
          <w:u w:val="none"/>
          <w:lang w:val="en-CA"/>
        </w:rPr>
        <w:t xml:space="preserve"> at</w:t>
      </w:r>
      <w:r w:rsidRPr="00632B6C">
        <w:rPr>
          <w:lang w:val="en-CA"/>
        </w:rPr>
        <w:t xml:space="preserve"> para. 38.</w:t>
      </w:r>
    </w:p>
  </w:footnote>
  <w:footnote w:id="8">
    <w:p w14:paraId="21D459A9" w14:textId="6E1578AD" w:rsidR="00B2165C" w:rsidRPr="00E41931" w:rsidRDefault="005B3B9F" w:rsidP="00B2165C">
      <w:pPr>
        <w:pStyle w:val="Notedebasdepage"/>
        <w:ind w:left="357" w:hanging="357"/>
      </w:pPr>
      <w:r w:rsidRPr="00632B6C">
        <w:rPr>
          <w:rStyle w:val="Appelnotedebasdep"/>
          <w:lang w:val="en-CA"/>
        </w:rPr>
        <w:footnoteRef/>
      </w:r>
      <w:r w:rsidRPr="00632B6C">
        <w:rPr>
          <w:lang w:val="en-CA"/>
        </w:rPr>
        <w:t xml:space="preserve"> </w:t>
      </w:r>
      <w:r w:rsidRPr="00632B6C">
        <w:rPr>
          <w:lang w:val="en-CA"/>
        </w:rPr>
        <w:tab/>
      </w:r>
      <w:r w:rsidRPr="00632B6C">
        <w:rPr>
          <w:i/>
          <w:iCs/>
          <w:lang w:val="en-CA"/>
        </w:rPr>
        <w:t>Xiao c. Lo</w:t>
      </w:r>
      <w:r w:rsidRPr="00632B6C">
        <w:rPr>
          <w:lang w:val="en-CA"/>
        </w:rPr>
        <w:t xml:space="preserve">, </w:t>
      </w:r>
      <w:r w:rsidRPr="00632B6C">
        <w:rPr>
          <w:rStyle w:val="Lienhypertexte"/>
          <w:color w:val="auto"/>
          <w:u w:val="none"/>
          <w:lang w:val="en-CA"/>
        </w:rPr>
        <w:t>2021 QCCA 984</w:t>
      </w:r>
      <w:r w:rsidRPr="00632B6C">
        <w:rPr>
          <w:lang w:val="en-CA"/>
        </w:rPr>
        <w:t xml:space="preserve"> </w:t>
      </w:r>
      <w:r w:rsidR="008663B5" w:rsidRPr="00632B6C">
        <w:rPr>
          <w:lang w:val="en-CA"/>
        </w:rPr>
        <w:t xml:space="preserve">at </w:t>
      </w:r>
      <w:r w:rsidRPr="00632B6C">
        <w:rPr>
          <w:lang w:val="en-CA"/>
        </w:rPr>
        <w:t xml:space="preserve">para. </w:t>
      </w:r>
      <w:r w:rsidRPr="00E41931">
        <w:t xml:space="preserve">3; </w:t>
      </w:r>
      <w:r w:rsidRPr="00E41931">
        <w:rPr>
          <w:i/>
        </w:rPr>
        <w:t>Édifices St-Georges inc. c. Ville de Québec</w:t>
      </w:r>
      <w:r w:rsidRPr="00E41931">
        <w:t xml:space="preserve">, </w:t>
      </w:r>
      <w:r w:rsidRPr="00E41931">
        <w:rPr>
          <w:rStyle w:val="Lienhypertexte"/>
          <w:color w:val="auto"/>
          <w:u w:val="none"/>
        </w:rPr>
        <w:t>2021 QCCA 198</w:t>
      </w:r>
      <w:r w:rsidR="008663B5" w:rsidRPr="00E41931">
        <w:rPr>
          <w:rStyle w:val="Lienhypertexte"/>
          <w:color w:val="auto"/>
          <w:u w:val="none"/>
        </w:rPr>
        <w:t xml:space="preserve"> at</w:t>
      </w:r>
      <w:r w:rsidRPr="00E41931">
        <w:t xml:space="preserve"> para. </w:t>
      </w:r>
      <w:r w:rsidRPr="00632B6C">
        <w:rPr>
          <w:lang w:val="en-CA"/>
        </w:rPr>
        <w:t xml:space="preserve">6; </w:t>
      </w:r>
      <w:r w:rsidRPr="00632B6C">
        <w:rPr>
          <w:i/>
          <w:lang w:val="en-CA"/>
        </w:rPr>
        <w:t>Garcia Lorenzo c. Miga (Migas Home Inspections)</w:t>
      </w:r>
      <w:r w:rsidRPr="00632B6C">
        <w:rPr>
          <w:lang w:val="en-CA"/>
        </w:rPr>
        <w:t xml:space="preserve">, </w:t>
      </w:r>
      <w:r w:rsidRPr="00632B6C">
        <w:rPr>
          <w:rStyle w:val="Lienhypertexte"/>
          <w:color w:val="auto"/>
          <w:u w:val="none"/>
          <w:lang w:val="en-CA"/>
        </w:rPr>
        <w:t>2016 QCCA 1661</w:t>
      </w:r>
      <w:r w:rsidR="008663B5" w:rsidRPr="00632B6C">
        <w:rPr>
          <w:lang w:val="en-CA"/>
        </w:rPr>
        <w:t xml:space="preserve"> at</w:t>
      </w:r>
      <w:r w:rsidRPr="00632B6C">
        <w:rPr>
          <w:lang w:val="en-CA"/>
        </w:rPr>
        <w:t xml:space="preserve"> para. </w:t>
      </w:r>
      <w:r w:rsidRPr="00E41931">
        <w:t xml:space="preserve">8; </w:t>
      </w:r>
      <w:r w:rsidRPr="00E41931">
        <w:rPr>
          <w:i/>
        </w:rPr>
        <w:t>London Life Insurance Company c. Long</w:t>
      </w:r>
      <w:r w:rsidRPr="00E41931">
        <w:t xml:space="preserve">, </w:t>
      </w:r>
      <w:r w:rsidRPr="00E41931">
        <w:rPr>
          <w:rStyle w:val="Lienhypertexte"/>
          <w:color w:val="auto"/>
          <w:u w:val="none"/>
        </w:rPr>
        <w:t>2016 QCCA 1434</w:t>
      </w:r>
      <w:r w:rsidR="008663B5" w:rsidRPr="00E41931">
        <w:t xml:space="preserve"> at</w:t>
      </w:r>
      <w:r w:rsidRPr="00E41931">
        <w:t xml:space="preserve"> para</w:t>
      </w:r>
      <w:r w:rsidR="008663B5" w:rsidRPr="00E41931">
        <w:t>s</w:t>
      </w:r>
      <w:r w:rsidRPr="00E41931">
        <w:t>. 72</w:t>
      </w:r>
      <w:r w:rsidR="008663B5" w:rsidRPr="00E41931">
        <w:t>–</w:t>
      </w:r>
      <w:r w:rsidRPr="00E41931">
        <w:t>74.</w:t>
      </w:r>
    </w:p>
  </w:footnote>
  <w:footnote w:id="9">
    <w:p w14:paraId="6A806F20" w14:textId="72E76A3E" w:rsidR="00B2165C" w:rsidRPr="00632B6C" w:rsidRDefault="005B3B9F" w:rsidP="00B2165C">
      <w:pPr>
        <w:pStyle w:val="Notedebasdepage"/>
        <w:rPr>
          <w:lang w:val="en-CA"/>
        </w:rPr>
      </w:pPr>
      <w:r w:rsidRPr="00632B6C">
        <w:rPr>
          <w:rStyle w:val="Appelnotedebasdep"/>
          <w:lang w:val="en-CA"/>
        </w:rPr>
        <w:footnoteRef/>
      </w:r>
      <w:r w:rsidRPr="00E41931">
        <w:t xml:space="preserve"> </w:t>
      </w:r>
      <w:r w:rsidRPr="00E41931">
        <w:tab/>
      </w:r>
      <w:r w:rsidRPr="00E41931">
        <w:rPr>
          <w:i/>
        </w:rPr>
        <w:t>Dicaire c. Chambly (Ville de)</w:t>
      </w:r>
      <w:r w:rsidRPr="00E41931">
        <w:t xml:space="preserve">, </w:t>
      </w:r>
      <w:r w:rsidRPr="00E41931">
        <w:rPr>
          <w:rStyle w:val="Lienhypertexte"/>
          <w:color w:val="auto"/>
          <w:u w:val="none"/>
        </w:rPr>
        <w:t>2008 QCCA 54</w:t>
      </w:r>
      <w:r w:rsidR="008663B5" w:rsidRPr="00E41931">
        <w:rPr>
          <w:rStyle w:val="Lienhypertexte"/>
          <w:color w:val="auto"/>
          <w:u w:val="none"/>
        </w:rPr>
        <w:t xml:space="preserve"> at</w:t>
      </w:r>
      <w:r w:rsidRPr="00E41931">
        <w:t xml:space="preserve"> para. 25; </w:t>
      </w:r>
      <w:r w:rsidRPr="00E41931">
        <w:rPr>
          <w:i/>
        </w:rPr>
        <w:t>Lafortune c. Financière agricole du Québec</w:t>
      </w:r>
      <w:r w:rsidRPr="00E41931">
        <w:t xml:space="preserve">, </w:t>
      </w:r>
      <w:r w:rsidRPr="00E41931">
        <w:rPr>
          <w:rStyle w:val="Lienhypertexte"/>
          <w:color w:val="auto"/>
          <w:u w:val="none"/>
        </w:rPr>
        <w:t>2014 QCCA 1891</w:t>
      </w:r>
      <w:r w:rsidR="008663B5" w:rsidRPr="00E41931">
        <w:rPr>
          <w:rStyle w:val="Lienhypertexte"/>
          <w:color w:val="auto"/>
          <w:u w:val="none"/>
        </w:rPr>
        <w:t xml:space="preserve"> at</w:t>
      </w:r>
      <w:r w:rsidRPr="00E41931">
        <w:t xml:space="preserve"> para. </w:t>
      </w:r>
      <w:r w:rsidRPr="00632B6C">
        <w:rPr>
          <w:lang w:val="en-CA"/>
        </w:rPr>
        <w:t xml:space="preserve">41; </w:t>
      </w:r>
      <w:r w:rsidRPr="00632B6C">
        <w:rPr>
          <w:i/>
          <w:lang w:val="en-CA"/>
        </w:rPr>
        <w:t>London Life Insurance Company c. Long</w:t>
      </w:r>
      <w:r w:rsidRPr="00632B6C">
        <w:rPr>
          <w:lang w:val="en-CA"/>
        </w:rPr>
        <w:t xml:space="preserve">, </w:t>
      </w:r>
      <w:r w:rsidRPr="00632B6C">
        <w:rPr>
          <w:rStyle w:val="Lienhypertexte"/>
          <w:color w:val="auto"/>
          <w:u w:val="none"/>
          <w:lang w:val="en-CA"/>
        </w:rPr>
        <w:t>2016 QCCA 1434</w:t>
      </w:r>
      <w:r w:rsidRPr="00632B6C">
        <w:rPr>
          <w:lang w:val="en-CA"/>
        </w:rPr>
        <w:t xml:space="preserve"> </w:t>
      </w:r>
      <w:r w:rsidR="008663B5" w:rsidRPr="00632B6C">
        <w:rPr>
          <w:lang w:val="en-CA"/>
        </w:rPr>
        <w:t xml:space="preserve">at </w:t>
      </w:r>
      <w:r w:rsidRPr="00632B6C">
        <w:rPr>
          <w:lang w:val="en-CA"/>
        </w:rPr>
        <w:t>para. 72.</w:t>
      </w:r>
    </w:p>
  </w:footnote>
  <w:footnote w:id="10">
    <w:p w14:paraId="5C340A72" w14:textId="2C3C222B"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Pr="00632B6C">
        <w:rPr>
          <w:i/>
          <w:iCs/>
          <w:lang w:val="en-CA"/>
        </w:rPr>
        <w:t>P.L. c. Benchetrit</w:t>
      </w:r>
      <w:r w:rsidRPr="00632B6C">
        <w:rPr>
          <w:lang w:val="en-CA"/>
        </w:rPr>
        <w:t xml:space="preserve">, </w:t>
      </w:r>
      <w:r w:rsidRPr="00632B6C">
        <w:rPr>
          <w:rStyle w:val="Lienhypertexte"/>
          <w:color w:val="auto"/>
          <w:u w:val="none"/>
          <w:lang w:val="en-CA"/>
        </w:rPr>
        <w:t>2010 QCCA 1505</w:t>
      </w:r>
      <w:r w:rsidR="008663B5" w:rsidRPr="00632B6C">
        <w:rPr>
          <w:rStyle w:val="Lienhypertexte"/>
          <w:color w:val="auto"/>
          <w:u w:val="none"/>
          <w:lang w:val="en-CA"/>
        </w:rPr>
        <w:t xml:space="preserve"> at</w:t>
      </w:r>
      <w:r w:rsidRPr="00632B6C">
        <w:rPr>
          <w:lang w:val="en-CA"/>
        </w:rPr>
        <w:t xml:space="preserve"> para. 24; </w:t>
      </w:r>
      <w:r w:rsidRPr="00632B6C">
        <w:rPr>
          <w:i/>
          <w:iCs/>
          <w:lang w:val="en-CA"/>
        </w:rPr>
        <w:t>J.G. c. Nadeau</w:t>
      </w:r>
      <w:r w:rsidRPr="00632B6C">
        <w:rPr>
          <w:lang w:val="en-CA"/>
        </w:rPr>
        <w:t xml:space="preserve">, </w:t>
      </w:r>
      <w:r w:rsidRPr="00632B6C">
        <w:rPr>
          <w:rStyle w:val="Lienhypertexte"/>
          <w:color w:val="auto"/>
          <w:u w:val="none"/>
          <w:lang w:val="en-CA"/>
        </w:rPr>
        <w:t>2016 QCCA 167</w:t>
      </w:r>
      <w:r w:rsidR="008663B5" w:rsidRPr="00632B6C">
        <w:rPr>
          <w:rStyle w:val="Lienhypertexte"/>
          <w:color w:val="auto"/>
          <w:u w:val="none"/>
          <w:lang w:val="en-CA"/>
        </w:rPr>
        <w:t xml:space="preserve"> at</w:t>
      </w:r>
      <w:r w:rsidRPr="00632B6C">
        <w:rPr>
          <w:lang w:val="en-CA"/>
        </w:rPr>
        <w:t xml:space="preserve"> para</w:t>
      </w:r>
      <w:r w:rsidR="008663B5" w:rsidRPr="00632B6C">
        <w:rPr>
          <w:lang w:val="en-CA"/>
        </w:rPr>
        <w:t>s</w:t>
      </w:r>
      <w:r w:rsidRPr="00632B6C">
        <w:rPr>
          <w:lang w:val="en-CA"/>
        </w:rPr>
        <w:t>. 76, 77; </w:t>
      </w:r>
      <w:r w:rsidRPr="00632B6C">
        <w:rPr>
          <w:i/>
          <w:iCs/>
          <w:lang w:val="en-CA"/>
        </w:rPr>
        <w:t>CWB National Leasing Inc. c. Gagné</w:t>
      </w:r>
      <w:r w:rsidRPr="00632B6C">
        <w:rPr>
          <w:lang w:val="en-CA"/>
        </w:rPr>
        <w:t xml:space="preserve">, </w:t>
      </w:r>
      <w:r w:rsidRPr="00632B6C">
        <w:rPr>
          <w:rStyle w:val="Lienhypertexte"/>
          <w:color w:val="auto"/>
          <w:u w:val="none"/>
          <w:lang w:val="en-CA"/>
        </w:rPr>
        <w:t>2020 QCCA 1734</w:t>
      </w:r>
      <w:r w:rsidR="008663B5" w:rsidRPr="00632B6C">
        <w:rPr>
          <w:rStyle w:val="Lienhypertexte"/>
          <w:color w:val="auto"/>
          <w:u w:val="none"/>
          <w:lang w:val="en-CA"/>
        </w:rPr>
        <w:t xml:space="preserve"> at</w:t>
      </w:r>
      <w:r w:rsidRPr="00632B6C">
        <w:rPr>
          <w:lang w:val="en-CA"/>
        </w:rPr>
        <w:t xml:space="preserve"> para</w:t>
      </w:r>
      <w:r w:rsidR="008663B5" w:rsidRPr="00632B6C">
        <w:rPr>
          <w:lang w:val="en-CA"/>
        </w:rPr>
        <w:t>s</w:t>
      </w:r>
      <w:r w:rsidRPr="00632B6C">
        <w:rPr>
          <w:lang w:val="en-CA"/>
        </w:rPr>
        <w:t>. 14</w:t>
      </w:r>
      <w:r w:rsidR="008663B5" w:rsidRPr="00632B6C">
        <w:rPr>
          <w:lang w:val="en-CA"/>
        </w:rPr>
        <w:t>–</w:t>
      </w:r>
      <w:r w:rsidRPr="00632B6C">
        <w:rPr>
          <w:lang w:val="en-CA"/>
        </w:rPr>
        <w:t>18.</w:t>
      </w:r>
    </w:p>
  </w:footnote>
  <w:footnote w:id="11">
    <w:p w14:paraId="53819FDD" w14:textId="2B257386"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t>T</w:t>
      </w:r>
      <w:r w:rsidR="008663B5" w:rsidRPr="00632B6C">
        <w:rPr>
          <w:lang w:val="en-CA"/>
        </w:rPr>
        <w:t>estimony of</w:t>
      </w:r>
      <w:r w:rsidRPr="00632B6C">
        <w:rPr>
          <w:lang w:val="en-CA"/>
        </w:rPr>
        <w:t xml:space="preserve"> Martin Gosselin, </w:t>
      </w:r>
      <w:r w:rsidRPr="00632B6C">
        <w:rPr>
          <w:i/>
          <w:lang w:val="en-CA"/>
        </w:rPr>
        <w:t>supra</w:t>
      </w:r>
      <w:r w:rsidRPr="00632B6C">
        <w:rPr>
          <w:lang w:val="en-CA"/>
        </w:rPr>
        <w:t xml:space="preserve"> note 3</w:t>
      </w:r>
      <w:r w:rsidR="008663B5" w:rsidRPr="00632B6C">
        <w:rPr>
          <w:lang w:val="en-CA"/>
        </w:rPr>
        <w:t xml:space="preserve"> at</w:t>
      </w:r>
      <w:r w:rsidRPr="00632B6C">
        <w:rPr>
          <w:lang w:val="en-CA"/>
        </w:rPr>
        <w:t xml:space="preserve"> 2217 (</w:t>
      </w:r>
      <w:r w:rsidR="008663B5" w:rsidRPr="00632B6C">
        <w:rPr>
          <w:lang w:val="en-CA"/>
        </w:rPr>
        <w:t>at</w:t>
      </w:r>
      <w:r w:rsidRPr="00632B6C">
        <w:rPr>
          <w:lang w:val="en-CA"/>
        </w:rPr>
        <w:t xml:space="preserve"> 194).</w:t>
      </w:r>
    </w:p>
  </w:footnote>
  <w:footnote w:id="12">
    <w:p w14:paraId="2EDEC311" w14:textId="25786A1C"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t>T</w:t>
      </w:r>
      <w:r w:rsidR="008663B5" w:rsidRPr="00632B6C">
        <w:rPr>
          <w:lang w:val="en-CA"/>
        </w:rPr>
        <w:t>estimony of</w:t>
      </w:r>
      <w:r w:rsidRPr="00632B6C">
        <w:rPr>
          <w:lang w:val="en-CA"/>
        </w:rPr>
        <w:t xml:space="preserve"> Martin Gosselin, </w:t>
      </w:r>
      <w:r w:rsidRPr="00632B6C">
        <w:rPr>
          <w:i/>
          <w:lang w:val="en-CA"/>
        </w:rPr>
        <w:t>supra</w:t>
      </w:r>
      <w:r w:rsidRPr="00632B6C">
        <w:rPr>
          <w:lang w:val="en-CA"/>
        </w:rPr>
        <w:t xml:space="preserve"> note 3</w:t>
      </w:r>
      <w:r w:rsidR="008663B5" w:rsidRPr="00632B6C">
        <w:rPr>
          <w:lang w:val="en-CA"/>
        </w:rPr>
        <w:t xml:space="preserve"> at</w:t>
      </w:r>
      <w:r w:rsidRPr="00632B6C">
        <w:rPr>
          <w:lang w:val="en-CA"/>
        </w:rPr>
        <w:t xml:space="preserve"> 2197 (</w:t>
      </w:r>
      <w:r w:rsidR="008663B5" w:rsidRPr="00632B6C">
        <w:rPr>
          <w:lang w:val="en-CA"/>
        </w:rPr>
        <w:t>at</w:t>
      </w:r>
      <w:r w:rsidRPr="00632B6C">
        <w:rPr>
          <w:lang w:val="en-CA"/>
        </w:rPr>
        <w:t xml:space="preserve"> 114) </w:t>
      </w:r>
      <w:r w:rsidR="008663B5" w:rsidRPr="00632B6C">
        <w:rPr>
          <w:lang w:val="en-CA"/>
        </w:rPr>
        <w:t>and</w:t>
      </w:r>
      <w:r w:rsidRPr="00632B6C">
        <w:rPr>
          <w:lang w:val="en-CA"/>
        </w:rPr>
        <w:t xml:space="preserve"> 2217 (</w:t>
      </w:r>
      <w:r w:rsidR="008663B5" w:rsidRPr="00632B6C">
        <w:rPr>
          <w:lang w:val="en-CA"/>
        </w:rPr>
        <w:t>at</w:t>
      </w:r>
      <w:r w:rsidRPr="00632B6C">
        <w:rPr>
          <w:lang w:val="en-CA"/>
        </w:rPr>
        <w:t xml:space="preserve"> 194).</w:t>
      </w:r>
    </w:p>
  </w:footnote>
  <w:footnote w:id="13">
    <w:p w14:paraId="32EE3E97" w14:textId="4A10A4A9" w:rsidR="00B2165C" w:rsidRPr="00E41931" w:rsidRDefault="005B3B9F" w:rsidP="00B2165C">
      <w:pPr>
        <w:pStyle w:val="Notedebasdepage"/>
      </w:pPr>
      <w:r w:rsidRPr="00632B6C">
        <w:rPr>
          <w:rStyle w:val="Appelnotedebasdep"/>
          <w:lang w:val="en-CA"/>
        </w:rPr>
        <w:footnoteRef/>
      </w:r>
      <w:r w:rsidRPr="00E41931">
        <w:t xml:space="preserve"> </w:t>
      </w:r>
      <w:r w:rsidRPr="00E41931">
        <w:tab/>
        <w:t>Jean-Louis Baudouin, Patrice Deslauriers</w:t>
      </w:r>
      <w:r w:rsidR="008663B5" w:rsidRPr="00E41931">
        <w:t xml:space="preserve"> &amp;</w:t>
      </w:r>
      <w:r w:rsidRPr="00E41931">
        <w:t xml:space="preserve"> Benoît Moore, </w:t>
      </w:r>
      <w:r w:rsidRPr="00E41931">
        <w:rPr>
          <w:i/>
        </w:rPr>
        <w:t>La responsabilité civile, Volume 2 — Responsabilité professionnelle</w:t>
      </w:r>
      <w:r w:rsidRPr="00E41931">
        <w:t>, 9</w:t>
      </w:r>
      <w:r w:rsidR="008663B5" w:rsidRPr="00E41931">
        <w:t>th</w:t>
      </w:r>
      <w:r w:rsidRPr="00E41931">
        <w:t> </w:t>
      </w:r>
      <w:r w:rsidR="008663B5" w:rsidRPr="00E41931">
        <w:t>e</w:t>
      </w:r>
      <w:r w:rsidRPr="00E41931">
        <w:t xml:space="preserve">d. </w:t>
      </w:r>
      <w:r w:rsidR="008663B5" w:rsidRPr="00E41931">
        <w:t>(</w:t>
      </w:r>
      <w:r w:rsidRPr="00E41931">
        <w:t>Montr</w:t>
      </w:r>
      <w:r w:rsidR="008663B5" w:rsidRPr="00E41931">
        <w:t>e</w:t>
      </w:r>
      <w:r w:rsidRPr="00E41931">
        <w:t>al</w:t>
      </w:r>
      <w:r w:rsidR="008B6C5D">
        <w:t>:</w:t>
      </w:r>
      <w:r w:rsidRPr="00E41931">
        <w:t xml:space="preserve"> Yvon Blais, 2020</w:t>
      </w:r>
      <w:r w:rsidR="008663B5" w:rsidRPr="00E41931">
        <w:t>) at</w:t>
      </w:r>
      <w:r w:rsidRPr="00E41931">
        <w:t xml:space="preserve"> para. 2-165 (La Référence) [Baudouin, Deslauriers </w:t>
      </w:r>
      <w:r w:rsidR="008663B5" w:rsidRPr="00E41931">
        <w:t>&amp;</w:t>
      </w:r>
      <w:r w:rsidRPr="00E41931">
        <w:t xml:space="preserve"> Moore].</w:t>
      </w:r>
    </w:p>
  </w:footnote>
  <w:footnote w:id="14">
    <w:p w14:paraId="78E3F168" w14:textId="2B2CC456" w:rsidR="00B2165C" w:rsidRPr="00910781"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00425021" w:rsidRPr="00632B6C">
        <w:rPr>
          <w:lang w:val="en-CA"/>
        </w:rPr>
        <w:t>As explained by author</w:t>
      </w:r>
      <w:r w:rsidRPr="00632B6C">
        <w:rPr>
          <w:lang w:val="en-CA"/>
        </w:rPr>
        <w:t xml:space="preserve"> Gabriel-Arnaud Berthold </w:t>
      </w:r>
      <w:r w:rsidR="00425021" w:rsidRPr="00632B6C">
        <w:rPr>
          <w:lang w:val="en-CA"/>
        </w:rPr>
        <w:t>in his work</w:t>
      </w:r>
      <w:r w:rsidRPr="00632B6C">
        <w:rPr>
          <w:lang w:val="en-CA"/>
        </w:rPr>
        <w:t xml:space="preserve"> </w:t>
      </w:r>
      <w:r w:rsidRPr="00632B6C">
        <w:rPr>
          <w:i/>
          <w:lang w:val="en-CA"/>
        </w:rPr>
        <w:t xml:space="preserve">La responsabilité civile du notaire </w:t>
      </w:r>
      <w:r w:rsidR="00425021" w:rsidRPr="00006F9D">
        <w:rPr>
          <w:iCs/>
          <w:lang w:val="en-CA"/>
        </w:rPr>
        <w:t>(</w:t>
      </w:r>
      <w:r w:rsidRPr="00632B6C">
        <w:rPr>
          <w:lang w:val="en-CA"/>
        </w:rPr>
        <w:t>Montr</w:t>
      </w:r>
      <w:r w:rsidR="00425021" w:rsidRPr="00632B6C">
        <w:rPr>
          <w:lang w:val="en-CA"/>
        </w:rPr>
        <w:t>e</w:t>
      </w:r>
      <w:r w:rsidRPr="00632B6C">
        <w:rPr>
          <w:lang w:val="en-CA"/>
        </w:rPr>
        <w:t>al</w:t>
      </w:r>
      <w:r w:rsidR="00425021" w:rsidRPr="00632B6C">
        <w:rPr>
          <w:lang w:val="en-CA"/>
        </w:rPr>
        <w:t>:</w:t>
      </w:r>
      <w:r w:rsidRPr="00632B6C">
        <w:rPr>
          <w:lang w:val="en-CA"/>
        </w:rPr>
        <w:t xml:space="preserve"> Wilson &amp; Lafleur, 2017</w:t>
      </w:r>
      <w:r w:rsidR="00425021" w:rsidRPr="00632B6C">
        <w:rPr>
          <w:lang w:val="en-CA"/>
        </w:rPr>
        <w:t>)</w:t>
      </w:r>
      <w:r w:rsidRPr="00632B6C">
        <w:rPr>
          <w:lang w:val="en-CA"/>
        </w:rPr>
        <w:t xml:space="preserve"> </w:t>
      </w:r>
      <w:r w:rsidR="00425021" w:rsidRPr="00632B6C">
        <w:rPr>
          <w:lang w:val="en-CA"/>
        </w:rPr>
        <w:t>at</w:t>
      </w:r>
      <w:r w:rsidRPr="00632B6C">
        <w:rPr>
          <w:lang w:val="en-CA"/>
        </w:rPr>
        <w:t> 112</w:t>
      </w:r>
      <w:r w:rsidR="00425021" w:rsidRPr="00632B6C">
        <w:rPr>
          <w:lang w:val="en-CA"/>
        </w:rPr>
        <w:t>–</w:t>
      </w:r>
      <w:r w:rsidRPr="00632B6C">
        <w:rPr>
          <w:lang w:val="en-CA"/>
        </w:rPr>
        <w:t xml:space="preserve">113, para. </w:t>
      </w:r>
      <w:r w:rsidRPr="00910781">
        <w:rPr>
          <w:lang w:val="en-CA"/>
        </w:rPr>
        <w:t>246:</w:t>
      </w:r>
    </w:p>
    <w:p w14:paraId="5BB118B8" w14:textId="2FC680E3" w:rsidR="00B2165C" w:rsidRPr="00632B6C" w:rsidRDefault="00910781" w:rsidP="00B2165C">
      <w:pPr>
        <w:pStyle w:val="Notedebasdepage"/>
        <w:ind w:left="720" w:firstLine="0"/>
        <w:rPr>
          <w:lang w:val="en-CA"/>
        </w:rPr>
      </w:pPr>
      <w:r w:rsidRPr="00C779B0">
        <w:rPr>
          <w:rFonts w:cs="Arial"/>
          <w:sz w:val="18"/>
          <w:szCs w:val="18"/>
          <w:lang w:val="en-CA"/>
        </w:rPr>
        <w:t>[</w:t>
      </w:r>
      <w:r w:rsidRPr="00C779B0">
        <w:rPr>
          <w:rFonts w:cs="Arial"/>
          <w:smallCaps/>
          <w:sz w:val="18"/>
          <w:szCs w:val="18"/>
          <w:lang w:val="en-CA"/>
        </w:rPr>
        <w:t>translation</w:t>
      </w:r>
      <w:r w:rsidRPr="00C779B0">
        <w:rPr>
          <w:rFonts w:cs="Arial"/>
          <w:sz w:val="18"/>
          <w:szCs w:val="18"/>
          <w:lang w:val="en-CA"/>
        </w:rPr>
        <w:t>]</w:t>
      </w:r>
      <w:r w:rsidRPr="00C779B0">
        <w:rPr>
          <w:sz w:val="18"/>
          <w:szCs w:val="18"/>
          <w:lang w:val="en-CA"/>
        </w:rPr>
        <w:t xml:space="preserve"> </w:t>
      </w:r>
      <w:r w:rsidR="005B3B9F" w:rsidRPr="00C779B0">
        <w:rPr>
          <w:sz w:val="18"/>
          <w:szCs w:val="18"/>
          <w:lang w:val="en-CA"/>
        </w:rPr>
        <w:t xml:space="preserve">246. </w:t>
      </w:r>
      <w:r w:rsidR="005B3B9F" w:rsidRPr="00C779B0">
        <w:rPr>
          <w:i/>
          <w:sz w:val="18"/>
          <w:szCs w:val="18"/>
          <w:lang w:val="en-CA"/>
        </w:rPr>
        <w:t>D</w:t>
      </w:r>
      <w:r w:rsidR="00632B6C" w:rsidRPr="00C779B0">
        <w:rPr>
          <w:i/>
          <w:sz w:val="18"/>
          <w:szCs w:val="18"/>
          <w:lang w:val="en-CA"/>
        </w:rPr>
        <w:t>isbursement and parties’ instructions</w:t>
      </w:r>
      <w:r w:rsidR="005B3B9F" w:rsidRPr="00C779B0">
        <w:rPr>
          <w:sz w:val="18"/>
          <w:szCs w:val="18"/>
          <w:lang w:val="en-CA"/>
        </w:rPr>
        <w:t xml:space="preserve"> – </w:t>
      </w:r>
      <w:r w:rsidRPr="00C779B0">
        <w:rPr>
          <w:sz w:val="18"/>
          <w:szCs w:val="18"/>
          <w:lang w:val="en-CA"/>
        </w:rPr>
        <w:t>As the</w:t>
      </w:r>
      <w:r w:rsidR="0014018E">
        <w:rPr>
          <w:sz w:val="18"/>
          <w:szCs w:val="18"/>
          <w:lang w:val="en-CA"/>
        </w:rPr>
        <w:t xml:space="preserve"> prestation of</w:t>
      </w:r>
      <w:r w:rsidRPr="00C779B0">
        <w:rPr>
          <w:sz w:val="18"/>
          <w:szCs w:val="18"/>
          <w:lang w:val="en-CA"/>
        </w:rPr>
        <w:t xml:space="preserve"> </w:t>
      </w:r>
      <w:r w:rsidR="005F05A1" w:rsidRPr="00C779B0">
        <w:rPr>
          <w:sz w:val="18"/>
          <w:szCs w:val="18"/>
          <w:lang w:val="en-CA"/>
        </w:rPr>
        <w:t xml:space="preserve">disbursement the notary is bound </w:t>
      </w:r>
      <w:r w:rsidRPr="00C779B0">
        <w:rPr>
          <w:sz w:val="18"/>
          <w:szCs w:val="18"/>
          <w:lang w:val="en-CA"/>
        </w:rPr>
        <w:t xml:space="preserve">to </w:t>
      </w:r>
      <w:r w:rsidR="0014018E">
        <w:rPr>
          <w:sz w:val="18"/>
          <w:szCs w:val="18"/>
          <w:lang w:val="en-CA"/>
        </w:rPr>
        <w:t>render</w:t>
      </w:r>
      <w:r w:rsidR="0014018E" w:rsidRPr="00C779B0">
        <w:rPr>
          <w:sz w:val="18"/>
          <w:szCs w:val="18"/>
          <w:lang w:val="en-CA"/>
        </w:rPr>
        <w:t xml:space="preserve"> </w:t>
      </w:r>
      <w:r w:rsidR="005F05A1" w:rsidRPr="00C779B0">
        <w:rPr>
          <w:sz w:val="18"/>
          <w:szCs w:val="18"/>
          <w:lang w:val="en-CA"/>
        </w:rPr>
        <w:t>at this step is only a form of delegation</w:t>
      </w:r>
      <w:r w:rsidR="005B3B9F" w:rsidRPr="00C779B0">
        <w:rPr>
          <w:sz w:val="18"/>
          <w:szCs w:val="18"/>
          <w:lang w:val="en-CA"/>
        </w:rPr>
        <w:t xml:space="preserve">, </w:t>
      </w:r>
      <w:r w:rsidRPr="00C779B0">
        <w:rPr>
          <w:sz w:val="18"/>
          <w:szCs w:val="18"/>
          <w:lang w:val="en-CA"/>
        </w:rPr>
        <w:t xml:space="preserve">if not </w:t>
      </w:r>
      <w:r w:rsidR="005F05A1" w:rsidRPr="00C779B0">
        <w:rPr>
          <w:sz w:val="18"/>
          <w:szCs w:val="18"/>
          <w:lang w:val="en-CA"/>
        </w:rPr>
        <w:t xml:space="preserve">a transposition of one </w:t>
      </w:r>
      <w:r w:rsidRPr="00C779B0">
        <w:rPr>
          <w:sz w:val="18"/>
          <w:szCs w:val="18"/>
          <w:lang w:val="en-CA"/>
        </w:rPr>
        <w:t xml:space="preserve">of the </w:t>
      </w:r>
      <w:r w:rsidR="005F05A1" w:rsidRPr="00C779B0">
        <w:rPr>
          <w:sz w:val="18"/>
          <w:szCs w:val="18"/>
          <w:lang w:val="en-CA"/>
        </w:rPr>
        <w:t>part</w:t>
      </w:r>
      <w:r w:rsidRPr="00C779B0">
        <w:rPr>
          <w:sz w:val="18"/>
          <w:szCs w:val="18"/>
          <w:lang w:val="en-CA"/>
        </w:rPr>
        <w:t>ies’ obligations</w:t>
      </w:r>
      <w:r w:rsidR="005B3B9F" w:rsidRPr="00C779B0">
        <w:rPr>
          <w:sz w:val="18"/>
          <w:szCs w:val="18"/>
          <w:lang w:val="en-CA"/>
        </w:rPr>
        <w:t xml:space="preserve">, </w:t>
      </w:r>
      <w:r w:rsidR="005F05A1" w:rsidRPr="00C779B0">
        <w:rPr>
          <w:sz w:val="18"/>
          <w:szCs w:val="18"/>
          <w:u w:val="single"/>
          <w:lang w:val="en-CA"/>
        </w:rPr>
        <w:t xml:space="preserve">the notary must </w:t>
      </w:r>
      <w:r w:rsidR="007D1781">
        <w:rPr>
          <w:sz w:val="18"/>
          <w:szCs w:val="18"/>
          <w:u w:val="single"/>
          <w:lang w:val="en-CA"/>
        </w:rPr>
        <w:t xml:space="preserve">first and foremost </w:t>
      </w:r>
      <w:r w:rsidR="005F05A1" w:rsidRPr="00C779B0">
        <w:rPr>
          <w:sz w:val="18"/>
          <w:szCs w:val="18"/>
          <w:u w:val="single"/>
          <w:lang w:val="en-CA"/>
        </w:rPr>
        <w:t>follow the</w:t>
      </w:r>
      <w:r w:rsidR="00C779B0" w:rsidRPr="00C779B0">
        <w:rPr>
          <w:sz w:val="18"/>
          <w:szCs w:val="18"/>
          <w:u w:val="single"/>
          <w:lang w:val="en-CA"/>
        </w:rPr>
        <w:t>ir</w:t>
      </w:r>
      <w:r w:rsidR="005F05A1" w:rsidRPr="00C779B0">
        <w:rPr>
          <w:sz w:val="18"/>
          <w:szCs w:val="18"/>
          <w:u w:val="single"/>
          <w:lang w:val="en-CA"/>
        </w:rPr>
        <w:t xml:space="preserve"> instruction</w:t>
      </w:r>
      <w:r w:rsidR="007D1781">
        <w:rPr>
          <w:sz w:val="18"/>
          <w:szCs w:val="18"/>
          <w:u w:val="single"/>
          <w:lang w:val="en-CA"/>
        </w:rPr>
        <w:t>s</w:t>
      </w:r>
      <w:r w:rsidR="005B3B9F" w:rsidRPr="00C779B0">
        <w:rPr>
          <w:sz w:val="18"/>
          <w:szCs w:val="18"/>
          <w:lang w:val="en-CA"/>
        </w:rPr>
        <w:t xml:space="preserve">. </w:t>
      </w:r>
      <w:r w:rsidR="00C779B0">
        <w:rPr>
          <w:sz w:val="18"/>
          <w:szCs w:val="18"/>
          <w:lang w:val="en-CA"/>
        </w:rPr>
        <w:t>T</w:t>
      </w:r>
      <w:r w:rsidR="00C779B0" w:rsidRPr="00C779B0">
        <w:rPr>
          <w:sz w:val="18"/>
          <w:szCs w:val="18"/>
          <w:lang w:val="en-CA"/>
        </w:rPr>
        <w:t xml:space="preserve">he notary’s </w:t>
      </w:r>
      <w:r w:rsidR="007D1781">
        <w:rPr>
          <w:sz w:val="18"/>
          <w:szCs w:val="18"/>
          <w:lang w:val="en-CA"/>
        </w:rPr>
        <w:t>prestation</w:t>
      </w:r>
      <w:r w:rsidR="00C779B0">
        <w:rPr>
          <w:sz w:val="18"/>
          <w:szCs w:val="18"/>
          <w:lang w:val="en-CA"/>
        </w:rPr>
        <w:t xml:space="preserve"> is infused with t</w:t>
      </w:r>
      <w:r w:rsidR="00C779B0" w:rsidRPr="00C779B0">
        <w:rPr>
          <w:sz w:val="18"/>
          <w:szCs w:val="18"/>
          <w:lang w:val="en-CA"/>
        </w:rPr>
        <w:t xml:space="preserve">he </w:t>
      </w:r>
      <w:r w:rsidR="007D1781">
        <w:rPr>
          <w:sz w:val="18"/>
          <w:szCs w:val="18"/>
          <w:lang w:val="en-CA"/>
        </w:rPr>
        <w:t>particular</w:t>
      </w:r>
      <w:r w:rsidR="00C779B0">
        <w:rPr>
          <w:sz w:val="18"/>
          <w:szCs w:val="18"/>
          <w:lang w:val="en-CA"/>
        </w:rPr>
        <w:t xml:space="preserve"> </w:t>
      </w:r>
      <w:r w:rsidR="007D1781">
        <w:rPr>
          <w:sz w:val="18"/>
          <w:szCs w:val="18"/>
          <w:lang w:val="en-CA"/>
        </w:rPr>
        <w:t>geometry</w:t>
      </w:r>
      <w:r w:rsidR="00C779B0">
        <w:rPr>
          <w:sz w:val="18"/>
          <w:szCs w:val="18"/>
          <w:lang w:val="en-CA"/>
        </w:rPr>
        <w:t xml:space="preserve"> of the parties’ </w:t>
      </w:r>
      <w:r w:rsidR="00C779B0" w:rsidRPr="00C779B0">
        <w:rPr>
          <w:sz w:val="18"/>
          <w:szCs w:val="18"/>
          <w:lang w:val="en-CA"/>
        </w:rPr>
        <w:t>common intention</w:t>
      </w:r>
      <w:r w:rsidR="005B3B9F" w:rsidRPr="00C779B0">
        <w:rPr>
          <w:sz w:val="18"/>
          <w:szCs w:val="18"/>
          <w:lang w:val="en-CA"/>
        </w:rPr>
        <w:t xml:space="preserve">, </w:t>
      </w:r>
      <w:r w:rsidR="00C779B0">
        <w:rPr>
          <w:sz w:val="18"/>
          <w:szCs w:val="18"/>
          <w:lang w:val="en-CA"/>
        </w:rPr>
        <w:t xml:space="preserve">thus </w:t>
      </w:r>
      <w:r w:rsidR="005F05A1" w:rsidRPr="00C779B0">
        <w:rPr>
          <w:sz w:val="18"/>
          <w:szCs w:val="18"/>
          <w:lang w:val="en-CA"/>
        </w:rPr>
        <w:t>it is th</w:t>
      </w:r>
      <w:r w:rsidR="00C779B0">
        <w:rPr>
          <w:sz w:val="18"/>
          <w:szCs w:val="18"/>
          <w:lang w:val="en-CA"/>
        </w:rPr>
        <w:t>is</w:t>
      </w:r>
      <w:r w:rsidR="005F05A1" w:rsidRPr="00C779B0">
        <w:rPr>
          <w:sz w:val="18"/>
          <w:szCs w:val="18"/>
          <w:lang w:val="en-CA"/>
        </w:rPr>
        <w:t xml:space="preserve"> common intention </w:t>
      </w:r>
      <w:r w:rsidR="00C779B0" w:rsidRPr="00C779B0">
        <w:rPr>
          <w:sz w:val="18"/>
          <w:szCs w:val="18"/>
          <w:lang w:val="en-CA"/>
        </w:rPr>
        <w:t>that</w:t>
      </w:r>
      <w:r w:rsidR="005B3B9F" w:rsidRPr="00C779B0">
        <w:rPr>
          <w:sz w:val="18"/>
          <w:szCs w:val="18"/>
          <w:lang w:val="en-CA"/>
        </w:rPr>
        <w:t xml:space="preserve">, </w:t>
      </w:r>
      <w:r w:rsidR="005F05A1" w:rsidRPr="00C779B0">
        <w:rPr>
          <w:sz w:val="18"/>
          <w:szCs w:val="18"/>
          <w:lang w:val="en-CA"/>
        </w:rPr>
        <w:t>fairly often</w:t>
      </w:r>
      <w:r w:rsidR="005B3B9F" w:rsidRPr="00C779B0">
        <w:rPr>
          <w:sz w:val="18"/>
          <w:szCs w:val="18"/>
          <w:lang w:val="en-CA"/>
        </w:rPr>
        <w:t xml:space="preserve">, </w:t>
      </w:r>
      <w:r w:rsidR="005F05A1" w:rsidRPr="00C779B0">
        <w:rPr>
          <w:sz w:val="18"/>
          <w:szCs w:val="18"/>
          <w:lang w:val="en-CA"/>
        </w:rPr>
        <w:t>dictate</w:t>
      </w:r>
      <w:r w:rsidR="00C779B0" w:rsidRPr="00C779B0">
        <w:rPr>
          <w:sz w:val="18"/>
          <w:szCs w:val="18"/>
          <w:lang w:val="en-CA"/>
        </w:rPr>
        <w:t>s</w:t>
      </w:r>
      <w:r w:rsidR="005F05A1" w:rsidRPr="00C779B0">
        <w:rPr>
          <w:sz w:val="18"/>
          <w:szCs w:val="18"/>
          <w:lang w:val="en-CA"/>
        </w:rPr>
        <w:t xml:space="preserve"> the allocation of payments</w:t>
      </w:r>
      <w:r w:rsidR="005B3B9F" w:rsidRPr="00C779B0">
        <w:rPr>
          <w:sz w:val="18"/>
          <w:szCs w:val="18"/>
          <w:lang w:val="en-CA"/>
        </w:rPr>
        <w:t xml:space="preserve">, </w:t>
      </w:r>
      <w:r w:rsidR="005F05A1" w:rsidRPr="00C779B0">
        <w:rPr>
          <w:sz w:val="18"/>
          <w:szCs w:val="18"/>
          <w:lang w:val="en-CA"/>
        </w:rPr>
        <w:t>that is, their distribution</w:t>
      </w:r>
      <w:r w:rsidR="005B3B9F" w:rsidRPr="00C779B0">
        <w:rPr>
          <w:sz w:val="18"/>
          <w:szCs w:val="18"/>
          <w:lang w:val="en-CA"/>
        </w:rPr>
        <w:t xml:space="preserve">, </w:t>
      </w:r>
      <w:r w:rsidR="005F05A1" w:rsidRPr="00C779B0">
        <w:rPr>
          <w:sz w:val="18"/>
          <w:szCs w:val="18"/>
          <w:u w:val="single"/>
          <w:lang w:val="en-CA"/>
        </w:rPr>
        <w:t xml:space="preserve">when they should be </w:t>
      </w:r>
      <w:r w:rsidR="00C779B0" w:rsidRPr="00C779B0">
        <w:rPr>
          <w:sz w:val="18"/>
          <w:szCs w:val="18"/>
          <w:u w:val="single"/>
          <w:lang w:val="en-CA"/>
        </w:rPr>
        <w:t>made</w:t>
      </w:r>
      <w:r w:rsidR="005B3B9F" w:rsidRPr="00C779B0">
        <w:rPr>
          <w:sz w:val="18"/>
          <w:szCs w:val="18"/>
          <w:lang w:val="en-CA"/>
        </w:rPr>
        <w:t xml:space="preserve">, </w:t>
      </w:r>
      <w:r w:rsidR="004559FA">
        <w:rPr>
          <w:sz w:val="18"/>
          <w:szCs w:val="18"/>
          <w:u w:val="single"/>
          <w:lang w:val="en-CA"/>
        </w:rPr>
        <w:t>the</w:t>
      </w:r>
      <w:r w:rsidR="004559FA" w:rsidRPr="00C779B0">
        <w:rPr>
          <w:sz w:val="18"/>
          <w:szCs w:val="18"/>
          <w:u w:val="single"/>
          <w:lang w:val="en-CA"/>
        </w:rPr>
        <w:t xml:space="preserve"> </w:t>
      </w:r>
      <w:r w:rsidR="005B3B9F" w:rsidRPr="00C779B0">
        <w:rPr>
          <w:sz w:val="18"/>
          <w:szCs w:val="18"/>
          <w:u w:val="single"/>
          <w:lang w:val="en-CA"/>
        </w:rPr>
        <w:t>conditions</w:t>
      </w:r>
      <w:r w:rsidR="004559FA">
        <w:rPr>
          <w:sz w:val="18"/>
          <w:szCs w:val="18"/>
          <w:u w:val="single"/>
          <w:lang w:val="en-CA"/>
        </w:rPr>
        <w:t xml:space="preserve"> to which they are subject</w:t>
      </w:r>
      <w:r w:rsidR="00C779B0" w:rsidRPr="00C779B0">
        <w:rPr>
          <w:sz w:val="18"/>
          <w:szCs w:val="18"/>
          <w:lang w:val="en-CA"/>
        </w:rPr>
        <w:t>,</w:t>
      </w:r>
      <w:r w:rsidR="005B3B9F" w:rsidRPr="00C779B0">
        <w:rPr>
          <w:sz w:val="18"/>
          <w:szCs w:val="18"/>
          <w:lang w:val="en-CA"/>
        </w:rPr>
        <w:t xml:space="preserve"> </w:t>
      </w:r>
      <w:r w:rsidR="005F05A1" w:rsidRPr="00C779B0">
        <w:rPr>
          <w:sz w:val="18"/>
          <w:szCs w:val="18"/>
          <w:lang w:val="en-CA"/>
        </w:rPr>
        <w:t xml:space="preserve">and who will be the </w:t>
      </w:r>
      <w:r w:rsidR="005B3B9F" w:rsidRPr="00C779B0">
        <w:rPr>
          <w:i/>
          <w:sz w:val="18"/>
          <w:szCs w:val="18"/>
          <w:lang w:val="en-CA"/>
        </w:rPr>
        <w:t xml:space="preserve">accipiens. </w:t>
      </w:r>
      <w:r w:rsidR="00673940" w:rsidRPr="00C779B0">
        <w:rPr>
          <w:sz w:val="18"/>
          <w:szCs w:val="18"/>
          <w:lang w:val="en-CA"/>
        </w:rPr>
        <w:t>[Emphasis added; references omitted]</w:t>
      </w:r>
    </w:p>
  </w:footnote>
  <w:footnote w:id="15">
    <w:p w14:paraId="340E2116" w14:textId="341B7AA8"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Pr="00632B6C">
        <w:rPr>
          <w:i/>
          <w:lang w:val="en-CA"/>
        </w:rPr>
        <w:t>I</w:t>
      </w:r>
      <w:r w:rsidR="00425021" w:rsidRPr="00632B6C">
        <w:rPr>
          <w:i/>
          <w:lang w:val="en-CA"/>
        </w:rPr>
        <w:t>bi</w:t>
      </w:r>
      <w:r w:rsidRPr="00632B6C">
        <w:rPr>
          <w:i/>
          <w:lang w:val="en-CA"/>
        </w:rPr>
        <w:t>d</w:t>
      </w:r>
      <w:r w:rsidRPr="00632B6C">
        <w:rPr>
          <w:lang w:val="en-CA"/>
        </w:rPr>
        <w:t xml:space="preserve">. </w:t>
      </w:r>
      <w:r w:rsidR="00425021" w:rsidRPr="00632B6C">
        <w:rPr>
          <w:lang w:val="en-CA"/>
        </w:rPr>
        <w:t xml:space="preserve">at </w:t>
      </w:r>
      <w:r w:rsidRPr="00632B6C">
        <w:rPr>
          <w:lang w:val="en-CA"/>
        </w:rPr>
        <w:t>para. 247.</w:t>
      </w:r>
    </w:p>
  </w:footnote>
  <w:footnote w:id="16">
    <w:p w14:paraId="1D182575" w14:textId="4EC6EDAF"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t xml:space="preserve">Baudouin, Deslauriers </w:t>
      </w:r>
      <w:r w:rsidR="00425021" w:rsidRPr="00632B6C">
        <w:rPr>
          <w:lang w:val="en-CA"/>
        </w:rPr>
        <w:t>&amp;</w:t>
      </w:r>
      <w:r w:rsidRPr="00632B6C">
        <w:rPr>
          <w:lang w:val="en-CA"/>
        </w:rPr>
        <w:t xml:space="preserve"> Moore, </w:t>
      </w:r>
      <w:r w:rsidRPr="00632B6C">
        <w:rPr>
          <w:i/>
          <w:lang w:val="en-CA"/>
        </w:rPr>
        <w:t>supra</w:t>
      </w:r>
      <w:r w:rsidRPr="00632B6C">
        <w:rPr>
          <w:lang w:val="en-CA"/>
        </w:rPr>
        <w:t xml:space="preserve"> note 13</w:t>
      </w:r>
      <w:r w:rsidR="008663B5" w:rsidRPr="00632B6C">
        <w:rPr>
          <w:lang w:val="en-CA"/>
        </w:rPr>
        <w:t xml:space="preserve"> at</w:t>
      </w:r>
      <w:r w:rsidRPr="00632B6C">
        <w:rPr>
          <w:lang w:val="en-CA"/>
        </w:rPr>
        <w:t xml:space="preserve"> para</w:t>
      </w:r>
      <w:r w:rsidR="008663B5" w:rsidRPr="00632B6C">
        <w:rPr>
          <w:lang w:val="en-CA"/>
        </w:rPr>
        <w:t>s</w:t>
      </w:r>
      <w:r w:rsidRPr="00632B6C">
        <w:rPr>
          <w:lang w:val="en-CA"/>
        </w:rPr>
        <w:t xml:space="preserve">. 2-165 </w:t>
      </w:r>
      <w:r w:rsidR="008663B5" w:rsidRPr="00632B6C">
        <w:rPr>
          <w:lang w:val="en-CA"/>
        </w:rPr>
        <w:t>and</w:t>
      </w:r>
      <w:r w:rsidRPr="00632B6C">
        <w:rPr>
          <w:lang w:val="en-CA"/>
        </w:rPr>
        <w:t xml:space="preserve"> 2-167.</w:t>
      </w:r>
    </w:p>
  </w:footnote>
  <w:footnote w:id="17">
    <w:p w14:paraId="4261B286" w14:textId="06260659" w:rsidR="00B2165C" w:rsidRPr="00632B6C" w:rsidRDefault="005B3B9F" w:rsidP="00B2165C">
      <w:pPr>
        <w:pStyle w:val="Notedebasdepage"/>
        <w:rPr>
          <w:lang w:val="en-CA"/>
        </w:rPr>
      </w:pPr>
      <w:r w:rsidRPr="00632B6C">
        <w:rPr>
          <w:rStyle w:val="Appelnotedebasdep"/>
          <w:lang w:val="en-CA"/>
        </w:rPr>
        <w:footnoteRef/>
      </w:r>
      <w:r w:rsidRPr="00632B6C">
        <w:rPr>
          <w:lang w:val="en-CA"/>
        </w:rPr>
        <w:t xml:space="preserve"> </w:t>
      </w:r>
      <w:r w:rsidRPr="00632B6C">
        <w:rPr>
          <w:lang w:val="en-CA"/>
        </w:rPr>
        <w:tab/>
      </w:r>
      <w:r w:rsidR="008663B5" w:rsidRPr="00632B6C">
        <w:rPr>
          <w:lang w:val="en-CA"/>
        </w:rPr>
        <w:t>Expert report prepared by</w:t>
      </w:r>
      <w:r w:rsidRPr="00632B6C">
        <w:rPr>
          <w:lang w:val="en-CA"/>
        </w:rPr>
        <w:t xml:space="preserve"> nota</w:t>
      </w:r>
      <w:r w:rsidR="008663B5" w:rsidRPr="00632B6C">
        <w:rPr>
          <w:lang w:val="en-CA"/>
        </w:rPr>
        <w:t>ry</w:t>
      </w:r>
      <w:r w:rsidRPr="00632B6C">
        <w:rPr>
          <w:lang w:val="en-CA"/>
        </w:rPr>
        <w:t xml:space="preserve"> Steve Collins, dat</w:t>
      </w:r>
      <w:r w:rsidR="008663B5" w:rsidRPr="00632B6C">
        <w:rPr>
          <w:lang w:val="en-CA"/>
        </w:rPr>
        <w:t>ed</w:t>
      </w:r>
      <w:r w:rsidRPr="00632B6C">
        <w:rPr>
          <w:lang w:val="en-CA"/>
        </w:rPr>
        <w:t xml:space="preserve"> </w:t>
      </w:r>
      <w:r w:rsidR="008663B5" w:rsidRPr="00632B6C">
        <w:rPr>
          <w:lang w:val="en-CA"/>
        </w:rPr>
        <w:t xml:space="preserve">July </w:t>
      </w:r>
      <w:r w:rsidRPr="00632B6C">
        <w:rPr>
          <w:lang w:val="en-CA"/>
        </w:rPr>
        <w:t>13</w:t>
      </w:r>
      <w:r w:rsidR="008663B5" w:rsidRPr="00632B6C">
        <w:rPr>
          <w:lang w:val="en-CA"/>
        </w:rPr>
        <w:t>,</w:t>
      </w:r>
      <w:r w:rsidRPr="00632B6C">
        <w:rPr>
          <w:lang w:val="en-CA"/>
        </w:rPr>
        <w:t xml:space="preserve"> 2017, A.</w:t>
      </w:r>
      <w:r w:rsidR="008663B5" w:rsidRPr="00632B6C">
        <w:rPr>
          <w:lang w:val="en-CA"/>
        </w:rPr>
        <w:t>B. at</w:t>
      </w:r>
      <w:r w:rsidRPr="00632B6C">
        <w:rPr>
          <w:lang w:val="en-CA"/>
        </w:rPr>
        <w:t> 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E630" w14:textId="024F99D9" w:rsidR="007E33E4" w:rsidRDefault="005B3B9F" w:rsidP="00DB2119">
    <w:pPr>
      <w:tabs>
        <w:tab w:val="center" w:pos="4709"/>
        <w:tab w:val="right" w:pos="9360"/>
      </w:tabs>
      <w:spacing w:line="360" w:lineRule="auto"/>
      <w:ind w:right="524"/>
    </w:pPr>
    <w:bookmarkStart w:id="12" w:name="EntDossier"/>
    <w:r>
      <w:t>500-09-029438-215</w:t>
    </w:r>
    <w:bookmarkEnd w:id="12"/>
    <w:r>
      <w:t xml:space="preserve"> </w:t>
    </w:r>
    <w:r>
      <w:tab/>
    </w:r>
    <w:r>
      <w:tab/>
    </w:r>
    <w:r w:rsidRPr="00FF3BB7">
      <w:t>PAGE:</w:t>
    </w:r>
    <w:r>
      <w:t xml:space="preserve"> </w:t>
    </w:r>
    <w:r>
      <w:fldChar w:fldCharType="begin"/>
    </w:r>
    <w:r>
      <w:instrText xml:space="preserve"> PAGE </w:instrText>
    </w:r>
    <w:r>
      <w:fldChar w:fldCharType="separate"/>
    </w:r>
    <w:r w:rsidR="00F06035">
      <w:rPr>
        <w:noProof/>
      </w:rPr>
      <w:t>20</w:t>
    </w:r>
    <w:r>
      <w:fldChar w:fldCharType="end"/>
    </w:r>
  </w:p>
  <w:p w14:paraId="75B17B4D" w14:textId="77777777" w:rsidR="007E33E4" w:rsidRPr="008574CD" w:rsidRDefault="00DF4B78" w:rsidP="00DB2119">
    <w:pPr>
      <w:tabs>
        <w:tab w:val="center" w:pos="4709"/>
        <w:tab w:val="right" w:pos="9360"/>
      </w:tabs>
      <w:spacing w:line="360" w:lineRule="auto"/>
      <w:ind w:right="52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A190B"/>
    <w:multiLevelType w:val="hybridMultilevel"/>
    <w:tmpl w:val="E294F42E"/>
    <w:lvl w:ilvl="0" w:tplc="DA522804">
      <w:start w:val="1"/>
      <w:numFmt w:val="bullet"/>
      <w:lvlText w:val=""/>
      <w:lvlJc w:val="left"/>
      <w:pPr>
        <w:ind w:left="1440" w:hanging="360"/>
      </w:pPr>
      <w:rPr>
        <w:rFonts w:ascii="Symbol" w:hAnsi="Symbol" w:hint="default"/>
      </w:rPr>
    </w:lvl>
    <w:lvl w:ilvl="1" w:tplc="759079BA" w:tentative="1">
      <w:start w:val="1"/>
      <w:numFmt w:val="bullet"/>
      <w:lvlText w:val="o"/>
      <w:lvlJc w:val="left"/>
      <w:pPr>
        <w:ind w:left="2160" w:hanging="360"/>
      </w:pPr>
      <w:rPr>
        <w:rFonts w:ascii="Courier New" w:hAnsi="Courier New" w:cs="Courier New" w:hint="default"/>
      </w:rPr>
    </w:lvl>
    <w:lvl w:ilvl="2" w:tplc="6C5435F0" w:tentative="1">
      <w:start w:val="1"/>
      <w:numFmt w:val="bullet"/>
      <w:lvlText w:val=""/>
      <w:lvlJc w:val="left"/>
      <w:pPr>
        <w:ind w:left="2880" w:hanging="360"/>
      </w:pPr>
      <w:rPr>
        <w:rFonts w:ascii="Wingdings" w:hAnsi="Wingdings" w:hint="default"/>
      </w:rPr>
    </w:lvl>
    <w:lvl w:ilvl="3" w:tplc="A04AE8D0" w:tentative="1">
      <w:start w:val="1"/>
      <w:numFmt w:val="bullet"/>
      <w:lvlText w:val=""/>
      <w:lvlJc w:val="left"/>
      <w:pPr>
        <w:ind w:left="3600" w:hanging="360"/>
      </w:pPr>
      <w:rPr>
        <w:rFonts w:ascii="Symbol" w:hAnsi="Symbol" w:hint="default"/>
      </w:rPr>
    </w:lvl>
    <w:lvl w:ilvl="4" w:tplc="064624F2" w:tentative="1">
      <w:start w:val="1"/>
      <w:numFmt w:val="bullet"/>
      <w:lvlText w:val="o"/>
      <w:lvlJc w:val="left"/>
      <w:pPr>
        <w:ind w:left="4320" w:hanging="360"/>
      </w:pPr>
      <w:rPr>
        <w:rFonts w:ascii="Courier New" w:hAnsi="Courier New" w:cs="Courier New" w:hint="default"/>
      </w:rPr>
    </w:lvl>
    <w:lvl w:ilvl="5" w:tplc="BFBC08F8" w:tentative="1">
      <w:start w:val="1"/>
      <w:numFmt w:val="bullet"/>
      <w:lvlText w:val=""/>
      <w:lvlJc w:val="left"/>
      <w:pPr>
        <w:ind w:left="5040" w:hanging="360"/>
      </w:pPr>
      <w:rPr>
        <w:rFonts w:ascii="Wingdings" w:hAnsi="Wingdings" w:hint="default"/>
      </w:rPr>
    </w:lvl>
    <w:lvl w:ilvl="6" w:tplc="7430CDDE" w:tentative="1">
      <w:start w:val="1"/>
      <w:numFmt w:val="bullet"/>
      <w:lvlText w:val=""/>
      <w:lvlJc w:val="left"/>
      <w:pPr>
        <w:ind w:left="5760" w:hanging="360"/>
      </w:pPr>
      <w:rPr>
        <w:rFonts w:ascii="Symbol" w:hAnsi="Symbol" w:hint="default"/>
      </w:rPr>
    </w:lvl>
    <w:lvl w:ilvl="7" w:tplc="69F8EEEA" w:tentative="1">
      <w:start w:val="1"/>
      <w:numFmt w:val="bullet"/>
      <w:lvlText w:val="o"/>
      <w:lvlJc w:val="left"/>
      <w:pPr>
        <w:ind w:left="6480" w:hanging="360"/>
      </w:pPr>
      <w:rPr>
        <w:rFonts w:ascii="Courier New" w:hAnsi="Courier New" w:cs="Courier New" w:hint="default"/>
      </w:rPr>
    </w:lvl>
    <w:lvl w:ilvl="8" w:tplc="41548412" w:tentative="1">
      <w:start w:val="1"/>
      <w:numFmt w:val="bullet"/>
      <w:lvlText w:val=""/>
      <w:lvlJc w:val="left"/>
      <w:pPr>
        <w:ind w:left="7200" w:hanging="360"/>
      </w:pPr>
      <w:rPr>
        <w:rFonts w:ascii="Wingdings" w:hAnsi="Wingdings" w:hint="default"/>
      </w:rPr>
    </w:lvl>
  </w:abstractNum>
  <w:abstractNum w:abstractNumId="11" w15:restartNumberingAfterBreak="0">
    <w:nsid w:val="28BB52DE"/>
    <w:multiLevelType w:val="multilevel"/>
    <w:tmpl w:val="A4B8D4B6"/>
    <w:lvl w:ilvl="0">
      <w:start w:val="1"/>
      <w:numFmt w:val="decimal"/>
      <w:pStyle w:val="Paragraphe"/>
      <w:lvlText w:val="[%1]"/>
      <w:lvlJc w:val="left"/>
      <w:pPr>
        <w:tabs>
          <w:tab w:val="num" w:pos="720"/>
        </w:tabs>
        <w:ind w:left="0" w:firstLine="0"/>
      </w:pPr>
      <w:rPr>
        <w:rFonts w:hint="default"/>
        <w:i w: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8FB45C8"/>
    <w:multiLevelType w:val="hybridMultilevel"/>
    <w:tmpl w:val="9636198E"/>
    <w:lvl w:ilvl="0" w:tplc="0310D0A8">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2"/>
  </w:num>
  <w:num w:numId="18">
    <w:abstractNumId w:val="11"/>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5F"/>
    <w:rsid w:val="00003778"/>
    <w:rsid w:val="000049FB"/>
    <w:rsid w:val="00006F9D"/>
    <w:rsid w:val="00010B8B"/>
    <w:rsid w:val="000125A2"/>
    <w:rsid w:val="0001406C"/>
    <w:rsid w:val="00060E32"/>
    <w:rsid w:val="00061452"/>
    <w:rsid w:val="000629CC"/>
    <w:rsid w:val="000840BA"/>
    <w:rsid w:val="000B13B7"/>
    <w:rsid w:val="000D0FEB"/>
    <w:rsid w:val="0011464D"/>
    <w:rsid w:val="0014018E"/>
    <w:rsid w:val="001456AD"/>
    <w:rsid w:val="0016190D"/>
    <w:rsid w:val="00163466"/>
    <w:rsid w:val="001728EC"/>
    <w:rsid w:val="0018104F"/>
    <w:rsid w:val="001977D4"/>
    <w:rsid w:val="001B3747"/>
    <w:rsid w:val="001D4A4A"/>
    <w:rsid w:val="001F6FD5"/>
    <w:rsid w:val="00201E1F"/>
    <w:rsid w:val="0020225A"/>
    <w:rsid w:val="00205BB1"/>
    <w:rsid w:val="0020640B"/>
    <w:rsid w:val="00214B8B"/>
    <w:rsid w:val="002216F0"/>
    <w:rsid w:val="002245BD"/>
    <w:rsid w:val="00226F3A"/>
    <w:rsid w:val="0024343A"/>
    <w:rsid w:val="002460C0"/>
    <w:rsid w:val="0025514C"/>
    <w:rsid w:val="00261A8D"/>
    <w:rsid w:val="002920C3"/>
    <w:rsid w:val="002C404D"/>
    <w:rsid w:val="002C512A"/>
    <w:rsid w:val="002E1DD2"/>
    <w:rsid w:val="002F2F77"/>
    <w:rsid w:val="003024A6"/>
    <w:rsid w:val="00303ECE"/>
    <w:rsid w:val="00307FD1"/>
    <w:rsid w:val="003136EC"/>
    <w:rsid w:val="00322B4B"/>
    <w:rsid w:val="00332714"/>
    <w:rsid w:val="00340066"/>
    <w:rsid w:val="00343A58"/>
    <w:rsid w:val="003805AB"/>
    <w:rsid w:val="003A4D0B"/>
    <w:rsid w:val="003A4E86"/>
    <w:rsid w:val="003A5AC7"/>
    <w:rsid w:val="003C2938"/>
    <w:rsid w:val="003D055F"/>
    <w:rsid w:val="003E02E4"/>
    <w:rsid w:val="003E2367"/>
    <w:rsid w:val="003F1B0E"/>
    <w:rsid w:val="004002FF"/>
    <w:rsid w:val="00425021"/>
    <w:rsid w:val="00432BAD"/>
    <w:rsid w:val="004332CE"/>
    <w:rsid w:val="004355AE"/>
    <w:rsid w:val="004559FA"/>
    <w:rsid w:val="004906BA"/>
    <w:rsid w:val="00495273"/>
    <w:rsid w:val="004A5A9B"/>
    <w:rsid w:val="004C2306"/>
    <w:rsid w:val="004C6CEC"/>
    <w:rsid w:val="004E701F"/>
    <w:rsid w:val="004F71F2"/>
    <w:rsid w:val="004F79B2"/>
    <w:rsid w:val="00501C75"/>
    <w:rsid w:val="005038A3"/>
    <w:rsid w:val="00513213"/>
    <w:rsid w:val="0051695E"/>
    <w:rsid w:val="00517696"/>
    <w:rsid w:val="00533C53"/>
    <w:rsid w:val="0054502E"/>
    <w:rsid w:val="00547C57"/>
    <w:rsid w:val="00570890"/>
    <w:rsid w:val="00590B79"/>
    <w:rsid w:val="005B3B9F"/>
    <w:rsid w:val="005C12BE"/>
    <w:rsid w:val="005C676E"/>
    <w:rsid w:val="005D3DAB"/>
    <w:rsid w:val="005F05A1"/>
    <w:rsid w:val="005F09CF"/>
    <w:rsid w:val="00602FC6"/>
    <w:rsid w:val="00606D9C"/>
    <w:rsid w:val="00614302"/>
    <w:rsid w:val="00632B6C"/>
    <w:rsid w:val="0066326B"/>
    <w:rsid w:val="00673940"/>
    <w:rsid w:val="006B25C1"/>
    <w:rsid w:val="006C3788"/>
    <w:rsid w:val="006D65CC"/>
    <w:rsid w:val="006E5D4B"/>
    <w:rsid w:val="007002B5"/>
    <w:rsid w:val="00700B9B"/>
    <w:rsid w:val="00717771"/>
    <w:rsid w:val="00726F18"/>
    <w:rsid w:val="00727E9A"/>
    <w:rsid w:val="00740CE8"/>
    <w:rsid w:val="0075336A"/>
    <w:rsid w:val="007740A5"/>
    <w:rsid w:val="00781380"/>
    <w:rsid w:val="0078683E"/>
    <w:rsid w:val="00786D43"/>
    <w:rsid w:val="00791062"/>
    <w:rsid w:val="007A1B59"/>
    <w:rsid w:val="007B2C02"/>
    <w:rsid w:val="007B5F06"/>
    <w:rsid w:val="007C1677"/>
    <w:rsid w:val="007D1781"/>
    <w:rsid w:val="007F54C1"/>
    <w:rsid w:val="007F714D"/>
    <w:rsid w:val="00806C44"/>
    <w:rsid w:val="00811A7E"/>
    <w:rsid w:val="00821B91"/>
    <w:rsid w:val="00824F2A"/>
    <w:rsid w:val="0083711D"/>
    <w:rsid w:val="008574D0"/>
    <w:rsid w:val="00857C9B"/>
    <w:rsid w:val="00863D4D"/>
    <w:rsid w:val="008656E3"/>
    <w:rsid w:val="008663B5"/>
    <w:rsid w:val="00882317"/>
    <w:rsid w:val="0088722C"/>
    <w:rsid w:val="008B6C5D"/>
    <w:rsid w:val="008D0949"/>
    <w:rsid w:val="008D7DF2"/>
    <w:rsid w:val="008E2E3F"/>
    <w:rsid w:val="008E3ACA"/>
    <w:rsid w:val="009100D9"/>
    <w:rsid w:val="00910781"/>
    <w:rsid w:val="00912666"/>
    <w:rsid w:val="009154A7"/>
    <w:rsid w:val="00925415"/>
    <w:rsid w:val="00932397"/>
    <w:rsid w:val="0093380F"/>
    <w:rsid w:val="0093674E"/>
    <w:rsid w:val="0094438C"/>
    <w:rsid w:val="00944DAF"/>
    <w:rsid w:val="0094514C"/>
    <w:rsid w:val="00952D32"/>
    <w:rsid w:val="00963D50"/>
    <w:rsid w:val="009905AD"/>
    <w:rsid w:val="009935AC"/>
    <w:rsid w:val="009A4876"/>
    <w:rsid w:val="009B6297"/>
    <w:rsid w:val="009C55F6"/>
    <w:rsid w:val="009D2861"/>
    <w:rsid w:val="009D614C"/>
    <w:rsid w:val="00A246F6"/>
    <w:rsid w:val="00A42F49"/>
    <w:rsid w:val="00A65B9E"/>
    <w:rsid w:val="00A72CD8"/>
    <w:rsid w:val="00A8771F"/>
    <w:rsid w:val="00A87BAD"/>
    <w:rsid w:val="00AA01D2"/>
    <w:rsid w:val="00AA7318"/>
    <w:rsid w:val="00AD6B68"/>
    <w:rsid w:val="00AE169B"/>
    <w:rsid w:val="00AF67C4"/>
    <w:rsid w:val="00B05108"/>
    <w:rsid w:val="00B062BF"/>
    <w:rsid w:val="00B1083A"/>
    <w:rsid w:val="00B15B1C"/>
    <w:rsid w:val="00B30814"/>
    <w:rsid w:val="00B31486"/>
    <w:rsid w:val="00B35C6E"/>
    <w:rsid w:val="00B43CB1"/>
    <w:rsid w:val="00B62110"/>
    <w:rsid w:val="00B9676E"/>
    <w:rsid w:val="00BA2F6A"/>
    <w:rsid w:val="00BB3642"/>
    <w:rsid w:val="00BD5607"/>
    <w:rsid w:val="00BE5D1C"/>
    <w:rsid w:val="00BE7380"/>
    <w:rsid w:val="00C047CF"/>
    <w:rsid w:val="00C10DD9"/>
    <w:rsid w:val="00C11078"/>
    <w:rsid w:val="00C12B6B"/>
    <w:rsid w:val="00C2218B"/>
    <w:rsid w:val="00C26767"/>
    <w:rsid w:val="00C56F1E"/>
    <w:rsid w:val="00C60BB5"/>
    <w:rsid w:val="00C6225F"/>
    <w:rsid w:val="00C779B0"/>
    <w:rsid w:val="00C81CD3"/>
    <w:rsid w:val="00C84C59"/>
    <w:rsid w:val="00C90A9E"/>
    <w:rsid w:val="00CA78F8"/>
    <w:rsid w:val="00CB2243"/>
    <w:rsid w:val="00D059C0"/>
    <w:rsid w:val="00D164B7"/>
    <w:rsid w:val="00D220F3"/>
    <w:rsid w:val="00D26632"/>
    <w:rsid w:val="00D7020D"/>
    <w:rsid w:val="00D70D88"/>
    <w:rsid w:val="00D71EFD"/>
    <w:rsid w:val="00D86BC6"/>
    <w:rsid w:val="00D935D0"/>
    <w:rsid w:val="00DA4B00"/>
    <w:rsid w:val="00DF4B78"/>
    <w:rsid w:val="00E05A19"/>
    <w:rsid w:val="00E07600"/>
    <w:rsid w:val="00E37618"/>
    <w:rsid w:val="00E41931"/>
    <w:rsid w:val="00E6390E"/>
    <w:rsid w:val="00E65F72"/>
    <w:rsid w:val="00E86F57"/>
    <w:rsid w:val="00E9677E"/>
    <w:rsid w:val="00EA250C"/>
    <w:rsid w:val="00EB7086"/>
    <w:rsid w:val="00ED72C6"/>
    <w:rsid w:val="00F003E3"/>
    <w:rsid w:val="00F06035"/>
    <w:rsid w:val="00F06DBB"/>
    <w:rsid w:val="00F32FD9"/>
    <w:rsid w:val="00F87F73"/>
    <w:rsid w:val="00FF3BB7"/>
    <w:rsid w:val="00FF58C6"/>
    <w:rsid w:val="00FF72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0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paragraph" w:customStyle="1" w:styleId="zSoquijdatNomPartieMec">
    <w:name w:val="zSoquij_datNomPartieMec"/>
    <w:basedOn w:val="Normal"/>
    <w:qFormat/>
    <w:rsid w:val="00804F25"/>
    <w:pPr>
      <w:spacing w:line="240" w:lineRule="auto"/>
      <w:jc w:val="center"/>
    </w:pPr>
    <w:rPr>
      <w:b/>
      <w:bCs/>
    </w:rPr>
  </w:style>
  <w:style w:type="character" w:customStyle="1" w:styleId="NotedebasdepageCar">
    <w:name w:val="Note de bas de page Car"/>
    <w:basedOn w:val="Policepardfaut"/>
    <w:link w:val="Notedebasdepage"/>
    <w:rsid w:val="00B2165C"/>
    <w:rPr>
      <w:rFonts w:ascii="Arial" w:hAnsi="Arial"/>
      <w:lang w:eastAsia="fr-FR"/>
    </w:rPr>
  </w:style>
  <w:style w:type="character" w:customStyle="1" w:styleId="ParagrapheCar">
    <w:name w:val="Paragraphe Car"/>
    <w:link w:val="Paragraphe"/>
    <w:qFormat/>
    <w:rsid w:val="00B2165C"/>
    <w:rPr>
      <w:rFonts w:ascii="Arial" w:hAnsi="Arial"/>
      <w:kern w:val="28"/>
      <w:sz w:val="24"/>
      <w:lang w:eastAsia="fr-FR"/>
    </w:rPr>
  </w:style>
  <w:style w:type="character" w:styleId="Lienhypertexte">
    <w:name w:val="Hyperlink"/>
    <w:uiPriority w:val="99"/>
    <w:rsid w:val="00B2165C"/>
    <w:rPr>
      <w:noProof w:val="0"/>
      <w:color w:val="0000FF"/>
      <w:u w:val="single"/>
      <w:lang w:val="fr-CA"/>
    </w:rPr>
  </w:style>
  <w:style w:type="character" w:customStyle="1" w:styleId="CitationenretraitCar">
    <w:name w:val="Citation en retrait Car"/>
    <w:link w:val="Citationenretrait"/>
    <w:rsid w:val="00B2165C"/>
    <w:rPr>
      <w:rFonts w:ascii="Arial" w:hAnsi="Arial"/>
      <w:kern w:val="24"/>
      <w:sz w:val="22"/>
      <w:lang w:eastAsia="fr-FR"/>
    </w:rPr>
  </w:style>
  <w:style w:type="table" w:customStyle="1" w:styleId="Grilledutableau1">
    <w:name w:val="Grille du tableau1"/>
    <w:basedOn w:val="TableauNormal"/>
    <w:next w:val="Grilledutableau"/>
    <w:rsid w:val="00B2165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E169B"/>
    <w:rPr>
      <w:sz w:val="16"/>
      <w:szCs w:val="16"/>
    </w:rPr>
  </w:style>
  <w:style w:type="paragraph" w:styleId="Commentaire">
    <w:name w:val="annotation text"/>
    <w:basedOn w:val="Normal"/>
    <w:link w:val="CommentaireCar"/>
    <w:uiPriority w:val="99"/>
    <w:semiHidden/>
    <w:unhideWhenUsed/>
    <w:rsid w:val="00AE169B"/>
    <w:pPr>
      <w:spacing w:line="240" w:lineRule="auto"/>
    </w:pPr>
    <w:rPr>
      <w:sz w:val="20"/>
    </w:rPr>
  </w:style>
  <w:style w:type="character" w:customStyle="1" w:styleId="CommentaireCar">
    <w:name w:val="Commentaire Car"/>
    <w:basedOn w:val="Policepardfaut"/>
    <w:link w:val="Commentaire"/>
    <w:uiPriority w:val="99"/>
    <w:semiHidden/>
    <w:rsid w:val="00AE169B"/>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AE169B"/>
    <w:rPr>
      <w:b/>
      <w:bCs/>
    </w:rPr>
  </w:style>
  <w:style w:type="character" w:customStyle="1" w:styleId="ObjetducommentaireCar">
    <w:name w:val="Objet du commentaire Car"/>
    <w:basedOn w:val="CommentaireCar"/>
    <w:link w:val="Objetducommentaire"/>
    <w:uiPriority w:val="99"/>
    <w:semiHidden/>
    <w:rsid w:val="00AE169B"/>
    <w:rPr>
      <w:rFonts w:ascii="Arial" w:hAnsi="Arial"/>
      <w:b/>
      <w:bCs/>
      <w:lang w:eastAsia="fr-FR"/>
    </w:rPr>
  </w:style>
  <w:style w:type="character" w:customStyle="1" w:styleId="UnresolvedMention">
    <w:name w:val="Unresolved Mention"/>
    <w:basedOn w:val="Policepardfaut"/>
    <w:uiPriority w:val="99"/>
    <w:rsid w:val="00D71EFD"/>
    <w:rPr>
      <w:color w:val="605E5C"/>
      <w:shd w:val="clear" w:color="auto" w:fill="E1DFDD"/>
    </w:rPr>
  </w:style>
  <w:style w:type="character" w:customStyle="1" w:styleId="italic">
    <w:name w:val="italic"/>
    <w:basedOn w:val="Policepardfaut"/>
    <w:rsid w:val="00E07600"/>
  </w:style>
  <w:style w:type="character" w:styleId="Lienhypertextesuivivisit">
    <w:name w:val="FollowedHyperlink"/>
    <w:basedOn w:val="Policepardfaut"/>
    <w:uiPriority w:val="99"/>
    <w:semiHidden/>
    <w:unhideWhenUsed/>
    <w:rsid w:val="00EB7086"/>
    <w:rPr>
      <w:color w:val="954F72" w:themeColor="followedHyperlink"/>
      <w:u w:val="single"/>
    </w:rPr>
  </w:style>
  <w:style w:type="paragraph" w:customStyle="1" w:styleId="Paragrdouble">
    <w:name w:val="Paragr. double"/>
    <w:basedOn w:val="Normal"/>
    <w:rsid w:val="008656E3"/>
    <w:pPr>
      <w:tabs>
        <w:tab w:val="num" w:pos="360"/>
      </w:tabs>
      <w:spacing w:before="120" w:after="120" w:line="500" w:lineRule="exact"/>
      <w:jc w:val="both"/>
    </w:pPr>
    <w:rPr>
      <w:rFonts w:ascii="Calibri" w:eastAsia="Calibri" w:hAnsi="Calibri"/>
      <w:kern w:val="28"/>
      <w:szCs w:val="24"/>
      <w:lang w:val="en-CA" w:eastAsia="en-US"/>
    </w:rPr>
  </w:style>
  <w:style w:type="paragraph" w:styleId="Rvision">
    <w:name w:val="Revision"/>
    <w:hidden/>
    <w:uiPriority w:val="99"/>
    <w:semiHidden/>
    <w:rsid w:val="00781380"/>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C321-924F-4E64-8F0A-80FE9185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6285</Words>
  <Characters>34570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2023-02-23T14:33:00Z</dcterms:created>
  <dcterms:modified xsi:type="dcterms:W3CDTF">2023-02-23T14:33:00Z</dcterms:modified>
</cp:coreProperties>
</file>