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C27112" w14:textId="77777777" w:rsidR="00BE0425" w:rsidRDefault="00BE0425" w:rsidP="00BE0425">
      <w:pPr>
        <w:pStyle w:val="zsoquijdatrepertorie0"/>
        <w:spacing w:before="0" w:after="0"/>
        <w:rPr>
          <w:rFonts w:ascii="Arial" w:hAnsi="Arial" w:cs="Arial"/>
          <w:b/>
          <w:bCs/>
          <w:sz w:val="22"/>
          <w:szCs w:val="22"/>
        </w:rPr>
      </w:pPr>
      <w:proofErr w:type="spellStart"/>
      <w:r>
        <w:rPr>
          <w:rFonts w:ascii="Arial" w:hAnsi="Arial" w:cs="Arial"/>
          <w:b/>
          <w:bCs/>
          <w:sz w:val="22"/>
          <w:szCs w:val="22"/>
        </w:rPr>
        <w:t>Unofficial</w:t>
      </w:r>
      <w:proofErr w:type="spellEnd"/>
      <w:r>
        <w:rPr>
          <w:rFonts w:ascii="Arial" w:hAnsi="Arial" w:cs="Arial"/>
          <w:b/>
          <w:bCs/>
          <w:sz w:val="22"/>
          <w:szCs w:val="22"/>
        </w:rPr>
        <w:t xml:space="preserve"> English Translation</w:t>
      </w:r>
    </w:p>
    <w:tbl>
      <w:tblPr>
        <w:tblW w:w="9568" w:type="dxa"/>
        <w:tblLayout w:type="fixed"/>
        <w:tblCellMar>
          <w:left w:w="70" w:type="dxa"/>
          <w:right w:w="70" w:type="dxa"/>
        </w:tblCellMar>
        <w:tblLook w:val="0000" w:firstRow="0" w:lastRow="0" w:firstColumn="0" w:lastColumn="0" w:noHBand="0" w:noVBand="0"/>
      </w:tblPr>
      <w:tblGrid>
        <w:gridCol w:w="1913"/>
        <w:gridCol w:w="2739"/>
        <w:gridCol w:w="310"/>
        <w:gridCol w:w="4536"/>
        <w:gridCol w:w="70"/>
      </w:tblGrid>
      <w:tr w:rsidR="00BE0425" w:rsidRPr="00D44D74" w14:paraId="4AB3B204" w14:textId="77777777" w:rsidTr="00070D64">
        <w:trPr>
          <w:gridAfter w:val="1"/>
          <w:wAfter w:w="70" w:type="dxa"/>
          <w:trHeight w:val="360"/>
        </w:trPr>
        <w:tc>
          <w:tcPr>
            <w:tcW w:w="4652" w:type="dxa"/>
            <w:gridSpan w:val="2"/>
          </w:tcPr>
          <w:p w14:paraId="606BD1A5" w14:textId="2BC54A54" w:rsidR="00BE0425" w:rsidRPr="005F6408" w:rsidRDefault="00BE0425" w:rsidP="00BE0425">
            <w:pPr>
              <w:pStyle w:val="zSoquijdatRefNeutre"/>
              <w:rPr>
                <w:rFonts w:cs="Arial"/>
                <w:b w:val="0"/>
                <w:bCs/>
                <w:szCs w:val="22"/>
              </w:rPr>
            </w:pPr>
            <w:bookmarkStart w:id="0" w:name="_GoBack"/>
            <w:bookmarkEnd w:id="0"/>
            <w:r>
              <w:rPr>
                <w:rFonts w:cs="Arial"/>
              </w:rPr>
              <w:t>Autorité des marchés financiers c. Technologies Timechain inc.</w:t>
            </w:r>
          </w:p>
        </w:tc>
        <w:tc>
          <w:tcPr>
            <w:tcW w:w="4846" w:type="dxa"/>
            <w:gridSpan w:val="2"/>
          </w:tcPr>
          <w:p w14:paraId="23568EDE" w14:textId="4AC13C40" w:rsidR="00BE0425" w:rsidRPr="00D44D74" w:rsidRDefault="00BE0425" w:rsidP="00BE0425">
            <w:pPr>
              <w:pStyle w:val="zSoquijdatRefNeutre"/>
              <w:jc w:val="right"/>
            </w:pPr>
            <w:r w:rsidRPr="00323061">
              <w:rPr>
                <w:rFonts w:cs="Arial"/>
              </w:rPr>
              <w:t>2022 QCTMF 60</w:t>
            </w:r>
          </w:p>
        </w:tc>
      </w:tr>
      <w:tr w:rsidR="00BE0425" w:rsidRPr="00D44D74" w14:paraId="0C5CE5A1" w14:textId="77777777" w:rsidTr="00070D64">
        <w:trPr>
          <w:gridAfter w:val="1"/>
          <w:wAfter w:w="70" w:type="dxa"/>
          <w:trHeight w:val="900"/>
        </w:trPr>
        <w:tc>
          <w:tcPr>
            <w:tcW w:w="9498" w:type="dxa"/>
            <w:gridSpan w:val="4"/>
            <w:vAlign w:val="bottom"/>
          </w:tcPr>
          <w:p w14:paraId="6AC11559" w14:textId="77777777" w:rsidR="00BE0425" w:rsidRPr="00D44D74" w:rsidRDefault="00BE0425" w:rsidP="00BE0425">
            <w:pPr>
              <w:pStyle w:val="zSoquijlblCour"/>
            </w:pPr>
            <w:r w:rsidRPr="00D44D74">
              <w:rPr>
                <w:bCs/>
                <w:lang w:val="en-CA"/>
              </w:rPr>
              <w:t>FINANCIAL MARKETS</w:t>
            </w:r>
            <w:r w:rsidRPr="00D44D74">
              <w:rPr>
                <w:b w:val="0"/>
                <w:lang w:val="en-CA"/>
              </w:rPr>
              <w:br/>
            </w:r>
            <w:r w:rsidRPr="00D44D74">
              <w:rPr>
                <w:bCs/>
                <w:lang w:val="en-CA"/>
              </w:rPr>
              <w:t>ADMINISTRATIVE TRIBUNAL</w:t>
            </w:r>
          </w:p>
        </w:tc>
      </w:tr>
      <w:tr w:rsidR="00BE0425" w:rsidRPr="00D44D74" w14:paraId="160D3093" w14:textId="77777777" w:rsidTr="00070D64">
        <w:trPr>
          <w:gridAfter w:val="1"/>
          <w:wAfter w:w="70" w:type="dxa"/>
          <w:trHeight w:val="540"/>
        </w:trPr>
        <w:tc>
          <w:tcPr>
            <w:tcW w:w="9498" w:type="dxa"/>
            <w:gridSpan w:val="4"/>
          </w:tcPr>
          <w:p w14:paraId="62E21359" w14:textId="77777777" w:rsidR="00BE0425" w:rsidRPr="00D44D74" w:rsidRDefault="00BE0425" w:rsidP="00BE0425">
            <w:pPr>
              <w:pStyle w:val="zSoquijdatDivision"/>
            </w:pPr>
          </w:p>
        </w:tc>
      </w:tr>
      <w:tr w:rsidR="00BE0425" w:rsidRPr="00D44D74" w14:paraId="7D49735A" w14:textId="77777777" w:rsidTr="00070D64">
        <w:trPr>
          <w:gridAfter w:val="1"/>
          <w:wAfter w:w="70" w:type="dxa"/>
        </w:trPr>
        <w:tc>
          <w:tcPr>
            <w:tcW w:w="9498" w:type="dxa"/>
            <w:gridSpan w:val="4"/>
          </w:tcPr>
          <w:p w14:paraId="130D38D1" w14:textId="77777777" w:rsidR="00BE0425" w:rsidRPr="00D44D74" w:rsidRDefault="00BE0425" w:rsidP="00BE0425">
            <w:pPr>
              <w:pStyle w:val="zSoquijlblPays"/>
            </w:pPr>
            <w:r w:rsidRPr="00D44D74">
              <w:rPr>
                <w:lang w:val="en-CA"/>
              </w:rPr>
              <w:t>CANADA</w:t>
            </w:r>
          </w:p>
        </w:tc>
      </w:tr>
      <w:tr w:rsidR="00BE0425" w:rsidRPr="00D44D74" w14:paraId="47D41FC9" w14:textId="77777777" w:rsidTr="00070D64">
        <w:trPr>
          <w:gridAfter w:val="1"/>
          <w:wAfter w:w="70" w:type="dxa"/>
        </w:trPr>
        <w:tc>
          <w:tcPr>
            <w:tcW w:w="9498" w:type="dxa"/>
            <w:gridSpan w:val="4"/>
          </w:tcPr>
          <w:p w14:paraId="05DB4434" w14:textId="77777777" w:rsidR="00BE0425" w:rsidRPr="00D44D74" w:rsidRDefault="00BE0425" w:rsidP="00BE0425">
            <w:pPr>
              <w:pStyle w:val="zSoquijlblProvince"/>
            </w:pPr>
            <w:r w:rsidRPr="00D44D74">
              <w:rPr>
                <w:lang w:val="en-CA"/>
              </w:rPr>
              <w:t>PROVINCE OF QUÉBEC</w:t>
            </w:r>
          </w:p>
        </w:tc>
      </w:tr>
      <w:tr w:rsidR="00BE0425" w:rsidRPr="00D44D74" w14:paraId="7A8AE9CA" w14:textId="77777777" w:rsidTr="00070D64">
        <w:trPr>
          <w:gridAfter w:val="1"/>
          <w:wAfter w:w="70" w:type="dxa"/>
        </w:trPr>
        <w:tc>
          <w:tcPr>
            <w:tcW w:w="9498" w:type="dxa"/>
            <w:gridSpan w:val="4"/>
          </w:tcPr>
          <w:p w14:paraId="2FD431E5" w14:textId="77777777" w:rsidR="00BE0425" w:rsidRPr="00D44D74" w:rsidRDefault="00BE0425" w:rsidP="00BE0425">
            <w:pPr>
              <w:pStyle w:val="zSoquijdatGreffe"/>
              <w:ind w:left="0"/>
            </w:pPr>
            <w:r w:rsidRPr="00D44D74">
              <w:rPr>
                <w:lang w:val="en-CA"/>
              </w:rPr>
              <w:t>MONTRÉAL</w:t>
            </w:r>
          </w:p>
        </w:tc>
      </w:tr>
      <w:tr w:rsidR="00BE0425" w:rsidRPr="00D44D74" w14:paraId="03C49BEF" w14:textId="77777777" w:rsidTr="00070D64">
        <w:trPr>
          <w:gridAfter w:val="1"/>
          <w:wAfter w:w="70" w:type="dxa"/>
          <w:trHeight w:val="540"/>
        </w:trPr>
        <w:tc>
          <w:tcPr>
            <w:tcW w:w="9498" w:type="dxa"/>
            <w:gridSpan w:val="4"/>
          </w:tcPr>
          <w:p w14:paraId="3E37F527" w14:textId="77777777" w:rsidR="00BE0425" w:rsidRPr="00D44D74" w:rsidRDefault="00BE0425" w:rsidP="00BE0425">
            <w:pPr>
              <w:pStyle w:val="zSoquijlblNomChambre"/>
            </w:pPr>
          </w:p>
        </w:tc>
      </w:tr>
      <w:tr w:rsidR="00BE0425" w:rsidRPr="00D44D74" w14:paraId="3FB3CC30" w14:textId="77777777" w:rsidTr="00070D64">
        <w:trPr>
          <w:gridAfter w:val="1"/>
          <w:wAfter w:w="70" w:type="dxa"/>
        </w:trPr>
        <w:tc>
          <w:tcPr>
            <w:tcW w:w="1913" w:type="dxa"/>
          </w:tcPr>
          <w:p w14:paraId="289ECD3C" w14:textId="77777777" w:rsidR="00BE0425" w:rsidRPr="00D44D74" w:rsidRDefault="00BE0425" w:rsidP="00BE0425">
            <w:pPr>
              <w:pStyle w:val="zSoquijlblNoDossier"/>
            </w:pPr>
            <w:r w:rsidRPr="00D44D74">
              <w:rPr>
                <w:lang w:val="en-CA"/>
              </w:rPr>
              <w:t>FILE NO.:</w:t>
            </w:r>
          </w:p>
        </w:tc>
        <w:bookmarkStart w:id="1" w:name="_Hlk115943349" w:displacedByCustomXml="next"/>
        <w:sdt>
          <w:sdtPr>
            <w:alias w:val="Dossier No"/>
            <w:tag w:val="bdrqc.dossier_no--v1"/>
            <w:id w:val="1925535250"/>
            <w:placeholder>
              <w:docPart w:val="7E5AC0DF001443FF85AD31CB98B7EBF2"/>
            </w:placeholder>
            <w:text/>
          </w:sdtPr>
          <w:sdtContent>
            <w:tc>
              <w:tcPr>
                <w:tcW w:w="7585" w:type="dxa"/>
                <w:gridSpan w:val="3"/>
              </w:tcPr>
              <w:p w14:paraId="6F342D1E" w14:textId="6B5DFD80" w:rsidR="00BE0425" w:rsidRPr="00D44D74" w:rsidRDefault="00BE0425" w:rsidP="00BE0425">
                <w:pPr>
                  <w:pStyle w:val="zSoquijdatNoDossier"/>
                </w:pPr>
                <w:r w:rsidRPr="00D44D74">
                  <w:rPr>
                    <w:lang w:val="en-CA"/>
                  </w:rPr>
                  <w:t>2022-015</w:t>
                </w:r>
              </w:p>
            </w:tc>
          </w:sdtContent>
        </w:sdt>
        <w:bookmarkEnd w:id="1" w:displacedByCustomXml="prev"/>
      </w:tr>
      <w:tr w:rsidR="00BE0425" w:rsidRPr="00D44D74" w14:paraId="603EA6AC" w14:textId="77777777" w:rsidTr="00070D64">
        <w:trPr>
          <w:gridAfter w:val="1"/>
          <w:wAfter w:w="70" w:type="dxa"/>
        </w:trPr>
        <w:tc>
          <w:tcPr>
            <w:tcW w:w="9498" w:type="dxa"/>
            <w:gridSpan w:val="4"/>
          </w:tcPr>
          <w:p w14:paraId="6FAD23AD" w14:textId="77777777" w:rsidR="00BE0425" w:rsidRPr="00D44D74" w:rsidRDefault="00BE0425" w:rsidP="00BE0425"/>
        </w:tc>
      </w:tr>
      <w:tr w:rsidR="00BE0425" w:rsidRPr="00D44D74" w14:paraId="4A4362BB" w14:textId="77777777" w:rsidTr="00070D64">
        <w:trPr>
          <w:gridAfter w:val="1"/>
          <w:wAfter w:w="70" w:type="dxa"/>
        </w:trPr>
        <w:tc>
          <w:tcPr>
            <w:tcW w:w="1913" w:type="dxa"/>
          </w:tcPr>
          <w:p w14:paraId="5E8CF404" w14:textId="77777777" w:rsidR="00BE0425" w:rsidRPr="00D44D74" w:rsidRDefault="00BE0425" w:rsidP="00BE0425">
            <w:pPr>
              <w:pStyle w:val="zSoquijlblNoDossier"/>
            </w:pPr>
            <w:r w:rsidRPr="00D44D74">
              <w:rPr>
                <w:lang w:val="en-CA"/>
              </w:rPr>
              <w:t>DECISION NO.:</w:t>
            </w:r>
          </w:p>
        </w:tc>
        <w:bookmarkStart w:id="2" w:name="_Hlk115943350" w:displacedByCustomXml="next"/>
        <w:sdt>
          <w:sdtPr>
            <w:alias w:val="Décision No"/>
            <w:tag w:val="bdrqc.decision_no--v2"/>
            <w:id w:val="-2102867213"/>
            <w:placeholder>
              <w:docPart w:val="C0475FFF57334F089D99DDEC71C018A2"/>
            </w:placeholder>
            <w:text/>
          </w:sdtPr>
          <w:sdtContent>
            <w:tc>
              <w:tcPr>
                <w:tcW w:w="7585" w:type="dxa"/>
                <w:gridSpan w:val="3"/>
              </w:tcPr>
              <w:p w14:paraId="607A2DFE" w14:textId="2154946D" w:rsidR="00BE0425" w:rsidRPr="00D44D74" w:rsidRDefault="00BE0425" w:rsidP="00BE0425">
                <w:pPr>
                  <w:pStyle w:val="zSoquijdatNoDossier"/>
                </w:pPr>
                <w:r w:rsidRPr="00D44D74">
                  <w:rPr>
                    <w:lang w:val="en-CA"/>
                  </w:rPr>
                  <w:t>2022-015-002</w:t>
                </w:r>
              </w:p>
            </w:tc>
          </w:sdtContent>
        </w:sdt>
        <w:bookmarkEnd w:id="2" w:displacedByCustomXml="prev"/>
      </w:tr>
      <w:tr w:rsidR="00BE0425" w:rsidRPr="00D44D74" w14:paraId="38E63581" w14:textId="77777777" w:rsidTr="00070D64">
        <w:trPr>
          <w:gridAfter w:val="1"/>
          <w:wAfter w:w="70" w:type="dxa"/>
          <w:cantSplit/>
          <w:trHeight w:val="235"/>
        </w:trPr>
        <w:tc>
          <w:tcPr>
            <w:tcW w:w="9498" w:type="dxa"/>
            <w:gridSpan w:val="4"/>
          </w:tcPr>
          <w:p w14:paraId="162F8AA2" w14:textId="77777777" w:rsidR="00BE0425" w:rsidRPr="00D44D74" w:rsidRDefault="00BE0425" w:rsidP="00BE0425"/>
        </w:tc>
      </w:tr>
      <w:tr w:rsidR="00BE0425" w:rsidRPr="00D44D74" w14:paraId="5632AD72" w14:textId="77777777" w:rsidTr="0002722E">
        <w:trPr>
          <w:gridAfter w:val="1"/>
          <w:wAfter w:w="70" w:type="dxa"/>
        </w:trPr>
        <w:tc>
          <w:tcPr>
            <w:tcW w:w="1913" w:type="dxa"/>
          </w:tcPr>
          <w:p w14:paraId="729F68BB" w14:textId="77777777" w:rsidR="00BE0425" w:rsidRPr="00D44D74" w:rsidRDefault="00BE0425" w:rsidP="00BE0425">
            <w:pPr>
              <w:pStyle w:val="zSoquijlblDateJugement"/>
            </w:pPr>
            <w:r w:rsidRPr="00D44D74">
              <w:rPr>
                <w:lang w:val="en-CA"/>
              </w:rPr>
              <w:t>DATE:</w:t>
            </w:r>
          </w:p>
        </w:tc>
        <w:tc>
          <w:tcPr>
            <w:tcW w:w="7585" w:type="dxa"/>
            <w:gridSpan w:val="3"/>
          </w:tcPr>
          <w:p w14:paraId="6881CA16" w14:textId="767D6DF6" w:rsidR="00BE0425" w:rsidRPr="00D44D74" w:rsidRDefault="00BE0425" w:rsidP="00BE0425">
            <w:pPr>
              <w:pStyle w:val="zSoquijdatDateJugement"/>
            </w:pPr>
            <w:bookmarkStart w:id="3" w:name="_Hlk115943351"/>
            <w:r w:rsidRPr="00D44D74">
              <w:rPr>
                <w:lang w:val="en-CA"/>
              </w:rPr>
              <w:t>October 18, 2022</w:t>
            </w:r>
            <w:bookmarkEnd w:id="3"/>
          </w:p>
        </w:tc>
      </w:tr>
      <w:tr w:rsidR="00BE0425" w:rsidRPr="00D44D74" w14:paraId="10C8193A" w14:textId="77777777" w:rsidTr="0002722E">
        <w:trPr>
          <w:gridAfter w:val="1"/>
          <w:wAfter w:w="70" w:type="dxa"/>
        </w:trPr>
        <w:tc>
          <w:tcPr>
            <w:tcW w:w="9498" w:type="dxa"/>
            <w:gridSpan w:val="4"/>
            <w:tcBorders>
              <w:bottom w:val="single" w:sz="4" w:space="0" w:color="auto"/>
            </w:tcBorders>
          </w:tcPr>
          <w:p w14:paraId="7134C720" w14:textId="77777777" w:rsidR="00BE0425" w:rsidRPr="00D44D74" w:rsidRDefault="00BE0425" w:rsidP="00BE0425">
            <w:pPr>
              <w:ind w:left="14" w:right="-67"/>
            </w:pPr>
          </w:p>
        </w:tc>
      </w:tr>
      <w:tr w:rsidR="00BE0425" w:rsidRPr="00D44D74" w14:paraId="30C519B3" w14:textId="77777777" w:rsidTr="0002722E">
        <w:trPr>
          <w:gridAfter w:val="1"/>
          <w:wAfter w:w="70" w:type="dxa"/>
        </w:trPr>
        <w:tc>
          <w:tcPr>
            <w:tcW w:w="9498" w:type="dxa"/>
            <w:gridSpan w:val="4"/>
            <w:tcBorders>
              <w:top w:val="single" w:sz="4" w:space="0" w:color="auto"/>
            </w:tcBorders>
          </w:tcPr>
          <w:p w14:paraId="677C909F" w14:textId="77777777" w:rsidR="00BE0425" w:rsidRPr="00D44D74" w:rsidRDefault="00BE0425" w:rsidP="00BE0425"/>
        </w:tc>
      </w:tr>
      <w:tr w:rsidR="00BE0425" w:rsidRPr="00D44D74" w14:paraId="42DDFBA5" w14:textId="77777777" w:rsidTr="007637CD">
        <w:tblPrEx>
          <w:tblCellMar>
            <w:left w:w="0" w:type="dxa"/>
            <w:right w:w="0" w:type="dxa"/>
          </w:tblCellMar>
        </w:tblPrEx>
        <w:tc>
          <w:tcPr>
            <w:tcW w:w="4962" w:type="dxa"/>
            <w:gridSpan w:val="3"/>
          </w:tcPr>
          <w:p w14:paraId="1477BE1F" w14:textId="3AC8B359" w:rsidR="00BE0425" w:rsidRPr="00D44D74" w:rsidRDefault="00BE0425" w:rsidP="00BE0425">
            <w:pPr>
              <w:pStyle w:val="zSoquijdatQteJuge"/>
            </w:pPr>
            <w:r w:rsidRPr="00D44D74">
              <w:rPr>
                <w:bCs/>
                <w:lang w:val="en-CA"/>
              </w:rPr>
              <w:t>BEFORE:</w:t>
            </w:r>
          </w:p>
        </w:tc>
        <w:tc>
          <w:tcPr>
            <w:tcW w:w="4606" w:type="dxa"/>
            <w:gridSpan w:val="2"/>
          </w:tcPr>
          <w:p w14:paraId="6E3E2953" w14:textId="23DF77B7" w:rsidR="00BE0425" w:rsidRPr="00D44D74" w:rsidRDefault="00BE0425" w:rsidP="00BE0425">
            <w:pPr>
              <w:pStyle w:val="zSoquijdatJuge"/>
            </w:pPr>
            <w:proofErr w:type="spellStart"/>
            <w:r w:rsidRPr="0011076A">
              <w:rPr>
                <w:bCs/>
              </w:rPr>
              <w:t>Mtre</w:t>
            </w:r>
            <w:proofErr w:type="spellEnd"/>
            <w:r w:rsidRPr="0011076A">
              <w:rPr>
                <w:bCs/>
              </w:rPr>
              <w:t>. ANTONIETTA MELCHIORRE</w:t>
            </w:r>
          </w:p>
          <w:p w14:paraId="50C579C9" w14:textId="063CA16A" w:rsidR="00BE0425" w:rsidRPr="00BD2FA0" w:rsidRDefault="00BE0425" w:rsidP="00BE0425">
            <w:pPr>
              <w:pStyle w:val="zSoquijdatJuge"/>
            </w:pPr>
            <w:proofErr w:type="spellStart"/>
            <w:r w:rsidRPr="0011076A">
              <w:rPr>
                <w:bCs/>
              </w:rPr>
              <w:t>Mtre</w:t>
            </w:r>
            <w:proofErr w:type="spellEnd"/>
            <w:r w:rsidRPr="0011076A">
              <w:rPr>
                <w:bCs/>
              </w:rPr>
              <w:t>. CHRISTINE DUBÉ</w:t>
            </w:r>
          </w:p>
        </w:tc>
      </w:tr>
      <w:tr w:rsidR="00BE0425" w:rsidRPr="00D44D74" w14:paraId="346FD67E" w14:textId="77777777" w:rsidTr="0002722E">
        <w:trPr>
          <w:gridAfter w:val="1"/>
          <w:wAfter w:w="70" w:type="dxa"/>
        </w:trPr>
        <w:tc>
          <w:tcPr>
            <w:tcW w:w="9498" w:type="dxa"/>
            <w:gridSpan w:val="4"/>
            <w:tcBorders>
              <w:bottom w:val="single" w:sz="4" w:space="0" w:color="auto"/>
            </w:tcBorders>
          </w:tcPr>
          <w:p w14:paraId="590BCACC" w14:textId="77777777" w:rsidR="00BE0425" w:rsidRPr="00D44D74" w:rsidRDefault="00BE0425" w:rsidP="00BE0425">
            <w:pPr>
              <w:ind w:left="14" w:right="-67"/>
            </w:pPr>
          </w:p>
        </w:tc>
      </w:tr>
      <w:tr w:rsidR="00BE0425" w:rsidRPr="00D44D74" w14:paraId="0F51CF35" w14:textId="77777777" w:rsidTr="0002722E">
        <w:trPr>
          <w:gridAfter w:val="1"/>
          <w:wAfter w:w="70" w:type="dxa"/>
        </w:trPr>
        <w:tc>
          <w:tcPr>
            <w:tcW w:w="9498" w:type="dxa"/>
            <w:gridSpan w:val="4"/>
            <w:tcBorders>
              <w:top w:val="single" w:sz="4" w:space="0" w:color="auto"/>
            </w:tcBorders>
          </w:tcPr>
          <w:p w14:paraId="41846635" w14:textId="77777777" w:rsidR="00BE0425" w:rsidRPr="00D44D74" w:rsidRDefault="00BE0425" w:rsidP="00BE0425">
            <w:pPr>
              <w:pStyle w:val="zSoquijlblTitrePartie"/>
            </w:pPr>
          </w:p>
        </w:tc>
      </w:tr>
      <w:tr w:rsidR="00BE0425" w:rsidRPr="00D44D74" w14:paraId="5EF81F26" w14:textId="77777777" w:rsidTr="00070D64">
        <w:trPr>
          <w:gridAfter w:val="1"/>
          <w:wAfter w:w="70" w:type="dxa"/>
        </w:trPr>
        <w:tc>
          <w:tcPr>
            <w:tcW w:w="9498" w:type="dxa"/>
            <w:gridSpan w:val="4"/>
          </w:tcPr>
          <w:p w14:paraId="5086D076" w14:textId="77777777" w:rsidR="00BE0425" w:rsidRPr="00D44D74" w:rsidRDefault="00BE0425" w:rsidP="00BE0425"/>
        </w:tc>
      </w:tr>
      <w:tr w:rsidR="00BE0425" w:rsidRPr="00D44D74" w14:paraId="14902696" w14:textId="77777777" w:rsidTr="00070D64">
        <w:trPr>
          <w:gridAfter w:val="1"/>
          <w:wAfter w:w="70" w:type="dxa"/>
        </w:trPr>
        <w:tc>
          <w:tcPr>
            <w:tcW w:w="9498" w:type="dxa"/>
            <w:gridSpan w:val="4"/>
          </w:tcPr>
          <w:p w14:paraId="6FCFDE4D" w14:textId="6DB1A49F" w:rsidR="00BE0425" w:rsidRPr="00D44D74" w:rsidRDefault="00BE0425" w:rsidP="00BE0425">
            <w:pPr>
              <w:pStyle w:val="zSoquijdatNomPartieDem"/>
              <w:jc w:val="both"/>
            </w:pPr>
            <w:r w:rsidRPr="00D44D74">
              <w:rPr>
                <w:lang w:val="en-CA"/>
              </w:rPr>
              <w:t>AUTORITÉ DES MARCHÉS FINANCIERS</w:t>
            </w:r>
          </w:p>
        </w:tc>
      </w:tr>
      <w:tr w:rsidR="00BE0425" w:rsidRPr="00D44D74" w14:paraId="7BD6A490" w14:textId="77777777" w:rsidTr="00070D64">
        <w:trPr>
          <w:gridAfter w:val="1"/>
          <w:wAfter w:w="70" w:type="dxa"/>
        </w:trPr>
        <w:tc>
          <w:tcPr>
            <w:tcW w:w="9498" w:type="dxa"/>
            <w:gridSpan w:val="4"/>
          </w:tcPr>
          <w:p w14:paraId="792510A5" w14:textId="29BA08DA" w:rsidR="00BE0425" w:rsidRPr="00D44D74" w:rsidRDefault="00BE0425" w:rsidP="00BE0425">
            <w:pPr>
              <w:pStyle w:val="zSoquijdatQtePartieDem"/>
              <w:ind w:left="709"/>
              <w:jc w:val="both"/>
            </w:pPr>
            <w:r w:rsidRPr="00D44D74">
              <w:rPr>
                <w:lang w:val="en-CA"/>
              </w:rPr>
              <w:t>Applicant</w:t>
            </w:r>
          </w:p>
          <w:p w14:paraId="1DFC8713" w14:textId="77777777" w:rsidR="00BE0425" w:rsidRPr="00D44D74" w:rsidRDefault="00BE0425" w:rsidP="00BE0425">
            <w:pPr>
              <w:pStyle w:val="zSoquijdatQtePartieDem"/>
              <w:ind w:left="0"/>
              <w:jc w:val="both"/>
            </w:pPr>
            <w:r w:rsidRPr="00D44D74">
              <w:rPr>
                <w:lang w:val="en-CA"/>
              </w:rPr>
              <w:t>v.</w:t>
            </w:r>
          </w:p>
        </w:tc>
      </w:tr>
      <w:tr w:rsidR="00BE0425" w:rsidRPr="00BE0425" w14:paraId="772BC554" w14:textId="77777777" w:rsidTr="00070D64">
        <w:trPr>
          <w:gridAfter w:val="1"/>
          <w:wAfter w:w="70" w:type="dxa"/>
        </w:trPr>
        <w:tc>
          <w:tcPr>
            <w:tcW w:w="9498" w:type="dxa"/>
            <w:gridSpan w:val="4"/>
          </w:tcPr>
          <w:p w14:paraId="5203E8DC" w14:textId="3C4FD672" w:rsidR="00BE0425" w:rsidRPr="00BE0425" w:rsidRDefault="00BE0425" w:rsidP="00BE0425">
            <w:pPr>
              <w:jc w:val="both"/>
              <w:rPr>
                <w:rFonts w:cs="Arial"/>
              </w:rPr>
            </w:pPr>
            <w:r w:rsidRPr="00BE0425">
              <w:rPr>
                <w:rFonts w:eastAsia="Calibri" w:cs="Arial"/>
                <w:b/>
                <w:bCs/>
              </w:rPr>
              <w:t>TECHNOLOGIES TIMECHAIN INC.</w:t>
            </w:r>
          </w:p>
          <w:p w14:paraId="609C7E0A" w14:textId="141BA81D" w:rsidR="00BE0425" w:rsidRPr="00BE0425" w:rsidRDefault="00BE0425" w:rsidP="00BE0425">
            <w:pPr>
              <w:jc w:val="both"/>
              <w:rPr>
                <w:rFonts w:cs="Arial"/>
              </w:rPr>
            </w:pPr>
            <w:proofErr w:type="gramStart"/>
            <w:r w:rsidRPr="00BE0425">
              <w:rPr>
                <w:rFonts w:eastAsia="Calibri" w:cs="Arial"/>
              </w:rPr>
              <w:t>and</w:t>
            </w:r>
            <w:proofErr w:type="gramEnd"/>
          </w:p>
          <w:p w14:paraId="6E9C2F6E" w14:textId="5DE2B199" w:rsidR="00BE0425" w:rsidRPr="00BE0425" w:rsidRDefault="00BE0425" w:rsidP="00BE0425">
            <w:pPr>
              <w:jc w:val="both"/>
              <w:rPr>
                <w:rFonts w:eastAsia="Calibri" w:cs="Arial"/>
                <w:bCs/>
              </w:rPr>
            </w:pPr>
            <w:r w:rsidRPr="00BE0425">
              <w:rPr>
                <w:rFonts w:eastAsia="Calibri" w:cs="Arial"/>
                <w:b/>
                <w:bCs/>
              </w:rPr>
              <w:t>LOUIS CLÉROUX</w:t>
            </w:r>
            <w:bookmarkStart w:id="4" w:name="_Hlk104418964"/>
          </w:p>
          <w:bookmarkEnd w:id="4"/>
          <w:p w14:paraId="0A82B2AB" w14:textId="77777777" w:rsidR="00BE0425" w:rsidRPr="00BE0425" w:rsidRDefault="00BE0425" w:rsidP="00BE0425">
            <w:pPr>
              <w:jc w:val="both"/>
              <w:rPr>
                <w:rFonts w:eastAsia="Calibri" w:cs="Arial"/>
                <w:bCs/>
              </w:rPr>
            </w:pPr>
            <w:proofErr w:type="gramStart"/>
            <w:r w:rsidRPr="00BE0425">
              <w:rPr>
                <w:rFonts w:eastAsia="Calibri" w:cs="Arial"/>
              </w:rPr>
              <w:t>and</w:t>
            </w:r>
            <w:proofErr w:type="gramEnd"/>
          </w:p>
          <w:p w14:paraId="34302AD7" w14:textId="5CC420C8" w:rsidR="00BE0425" w:rsidRPr="00BE0425" w:rsidRDefault="00BE0425" w:rsidP="00BE0425">
            <w:pPr>
              <w:jc w:val="both"/>
              <w:rPr>
                <w:rFonts w:eastAsia="Calibri" w:cs="Arial"/>
                <w:b/>
              </w:rPr>
            </w:pPr>
            <w:r w:rsidRPr="00BE0425">
              <w:rPr>
                <w:rFonts w:eastAsia="Calibri" w:cs="Arial"/>
                <w:b/>
                <w:bCs/>
              </w:rPr>
              <w:t>JÉRÉMIE PICARD</w:t>
            </w:r>
          </w:p>
          <w:p w14:paraId="0AB27389" w14:textId="77777777" w:rsidR="00BE0425" w:rsidRPr="00BE0425" w:rsidRDefault="00BE0425" w:rsidP="00BE0425">
            <w:pPr>
              <w:jc w:val="both"/>
              <w:rPr>
                <w:rFonts w:eastAsia="Calibri" w:cs="Arial"/>
                <w:bCs/>
              </w:rPr>
            </w:pPr>
            <w:proofErr w:type="gramStart"/>
            <w:r w:rsidRPr="00BE0425">
              <w:rPr>
                <w:rFonts w:eastAsia="Calibri" w:cs="Arial"/>
              </w:rPr>
              <w:t>and</w:t>
            </w:r>
            <w:proofErr w:type="gramEnd"/>
          </w:p>
          <w:p w14:paraId="599FDD85" w14:textId="697484E7" w:rsidR="00BE0425" w:rsidRPr="00BE0425" w:rsidRDefault="00BE0425" w:rsidP="00BE0425">
            <w:pPr>
              <w:jc w:val="both"/>
              <w:rPr>
                <w:rFonts w:eastAsia="Calibri" w:cs="Arial"/>
                <w:bCs/>
              </w:rPr>
            </w:pPr>
            <w:r w:rsidRPr="00BE0425">
              <w:rPr>
                <w:rFonts w:eastAsia="Calibri" w:cs="Arial"/>
                <w:b/>
                <w:bCs/>
              </w:rPr>
              <w:t>MATHIEU COCHER</w:t>
            </w:r>
          </w:p>
          <w:p w14:paraId="3131B07C" w14:textId="77777777" w:rsidR="00BE0425" w:rsidRPr="00BE0425" w:rsidRDefault="00BE0425" w:rsidP="00BE0425">
            <w:pPr>
              <w:pStyle w:val="zSoquijdatQtePartieDem"/>
              <w:ind w:left="709"/>
              <w:jc w:val="both"/>
            </w:pPr>
            <w:proofErr w:type="spellStart"/>
            <w:r w:rsidRPr="00BE0425">
              <w:t>Respondents</w:t>
            </w:r>
            <w:proofErr w:type="spellEnd"/>
          </w:p>
          <w:p w14:paraId="5A4C5FC9" w14:textId="77777777" w:rsidR="00BE0425" w:rsidRPr="00BE0425" w:rsidRDefault="00BE0425" w:rsidP="00BE0425">
            <w:pPr>
              <w:pStyle w:val="zSoquijlblLienParties"/>
              <w:jc w:val="both"/>
            </w:pPr>
            <w:proofErr w:type="gramStart"/>
            <w:r w:rsidRPr="00BE0425">
              <w:t>and</w:t>
            </w:r>
            <w:proofErr w:type="gramEnd"/>
            <w:r w:rsidRPr="00BE0425">
              <w:t xml:space="preserve"> </w:t>
            </w:r>
          </w:p>
          <w:p w14:paraId="487DDEC9" w14:textId="361B7AD2" w:rsidR="00BE0425" w:rsidRPr="00BE0425" w:rsidRDefault="00BE0425" w:rsidP="00BE0425">
            <w:pPr>
              <w:jc w:val="both"/>
              <w:rPr>
                <w:rFonts w:eastAsia="Calibri" w:cs="Arial"/>
                <w:b/>
              </w:rPr>
            </w:pPr>
            <w:r w:rsidRPr="00BE0425">
              <w:rPr>
                <w:rFonts w:eastAsia="Calibri" w:cs="Arial"/>
                <w:b/>
                <w:bCs/>
              </w:rPr>
              <w:t>HUI YING SUN</w:t>
            </w:r>
          </w:p>
          <w:p w14:paraId="56CB9324" w14:textId="77777777" w:rsidR="00BE0425" w:rsidRPr="00BE0425" w:rsidRDefault="00BE0425" w:rsidP="00BE0425">
            <w:pPr>
              <w:jc w:val="both"/>
              <w:rPr>
                <w:rFonts w:eastAsia="Calibri" w:cs="Arial"/>
                <w:bCs/>
              </w:rPr>
            </w:pPr>
            <w:proofErr w:type="gramStart"/>
            <w:r w:rsidRPr="00BE0425">
              <w:rPr>
                <w:rFonts w:eastAsia="Calibri" w:cs="Arial"/>
              </w:rPr>
              <w:t>and</w:t>
            </w:r>
            <w:proofErr w:type="gramEnd"/>
          </w:p>
          <w:p w14:paraId="466D2281" w14:textId="57438927" w:rsidR="00BE0425" w:rsidRPr="009F394C" w:rsidRDefault="00BE0425" w:rsidP="00BE0425">
            <w:pPr>
              <w:jc w:val="both"/>
              <w:rPr>
                <w:rFonts w:eastAsia="Calibri" w:cs="Arial"/>
                <w:bCs/>
              </w:rPr>
            </w:pPr>
            <w:r w:rsidRPr="009F394C">
              <w:rPr>
                <w:rFonts w:eastAsia="Calibri" w:cs="Arial"/>
                <w:b/>
                <w:bCs/>
              </w:rPr>
              <w:t>NATANIA LEMIEUX</w:t>
            </w:r>
          </w:p>
          <w:p w14:paraId="7AFA1617" w14:textId="77777777" w:rsidR="00BE0425" w:rsidRPr="009F394C" w:rsidRDefault="00BE0425" w:rsidP="00BE0425">
            <w:pPr>
              <w:jc w:val="both"/>
              <w:rPr>
                <w:rFonts w:eastAsia="Calibri" w:cs="Arial"/>
                <w:bCs/>
              </w:rPr>
            </w:pPr>
            <w:proofErr w:type="gramStart"/>
            <w:r w:rsidRPr="009F394C">
              <w:rPr>
                <w:rFonts w:eastAsia="Calibri" w:cs="Arial"/>
              </w:rPr>
              <w:t>and</w:t>
            </w:r>
            <w:proofErr w:type="gramEnd"/>
          </w:p>
          <w:p w14:paraId="7B33B49B" w14:textId="4E74F141" w:rsidR="00BE0425" w:rsidRPr="009F394C" w:rsidRDefault="00BE0425" w:rsidP="00BE0425">
            <w:pPr>
              <w:jc w:val="both"/>
              <w:rPr>
                <w:bCs/>
              </w:rPr>
            </w:pPr>
            <w:r w:rsidRPr="009F394C">
              <w:rPr>
                <w:b/>
                <w:bCs/>
              </w:rPr>
              <w:t>CAISSE DESJARDINS</w:t>
            </w:r>
          </w:p>
          <w:p w14:paraId="0CD4A895" w14:textId="77777777" w:rsidR="00BE0425" w:rsidRPr="00BE0425" w:rsidRDefault="00BE0425" w:rsidP="00BE0425">
            <w:pPr>
              <w:rPr>
                <w:bCs/>
                <w:lang w:val="en-CA"/>
              </w:rPr>
            </w:pPr>
            <w:r w:rsidRPr="00BE0425">
              <w:rPr>
                <w:lang w:val="en-CA"/>
              </w:rPr>
              <w:t>and</w:t>
            </w:r>
          </w:p>
          <w:p w14:paraId="15A81652" w14:textId="5A8BA99C" w:rsidR="00BE0425" w:rsidRPr="00D44D74" w:rsidRDefault="00BE0425" w:rsidP="00BE0425">
            <w:pPr>
              <w:jc w:val="both"/>
              <w:rPr>
                <w:bCs/>
                <w:lang w:val="en-CA"/>
              </w:rPr>
            </w:pPr>
            <w:r w:rsidRPr="00D44D74">
              <w:rPr>
                <w:b/>
                <w:bCs/>
                <w:lang w:val="en-CA"/>
              </w:rPr>
              <w:t>SCOTIABANK</w:t>
            </w:r>
          </w:p>
          <w:p w14:paraId="2ABC9F37" w14:textId="77777777" w:rsidR="00BE0425" w:rsidRPr="00D44D74" w:rsidRDefault="00BE0425" w:rsidP="00BE0425">
            <w:pPr>
              <w:rPr>
                <w:bCs/>
                <w:lang w:val="en-CA"/>
              </w:rPr>
            </w:pPr>
            <w:r w:rsidRPr="00D44D74">
              <w:rPr>
                <w:lang w:val="en-CA"/>
              </w:rPr>
              <w:lastRenderedPageBreak/>
              <w:t>and</w:t>
            </w:r>
          </w:p>
          <w:p w14:paraId="00C49E1B" w14:textId="7FFE03F5" w:rsidR="00BE0425" w:rsidRPr="00D44D74" w:rsidRDefault="00BE0425" w:rsidP="00BE0425">
            <w:pPr>
              <w:jc w:val="both"/>
              <w:rPr>
                <w:bCs/>
                <w:lang w:val="en-CA"/>
              </w:rPr>
            </w:pPr>
            <w:r w:rsidRPr="00D44D74">
              <w:rPr>
                <w:b/>
                <w:bCs/>
                <w:lang w:val="en-CA"/>
              </w:rPr>
              <w:t>BINANCE CANADA LTD.</w:t>
            </w:r>
          </w:p>
          <w:p w14:paraId="138CDC2D" w14:textId="77777777" w:rsidR="00BE0425" w:rsidRPr="00D44D74" w:rsidRDefault="00BE0425" w:rsidP="00BE0425">
            <w:pPr>
              <w:rPr>
                <w:bCs/>
                <w:lang w:val="en-CA"/>
              </w:rPr>
            </w:pPr>
            <w:r w:rsidRPr="00D44D74">
              <w:rPr>
                <w:lang w:val="en-CA"/>
              </w:rPr>
              <w:t>and</w:t>
            </w:r>
          </w:p>
          <w:p w14:paraId="50FCFE44" w14:textId="27C2398F" w:rsidR="00BE0425" w:rsidRPr="00D44D74" w:rsidRDefault="00BE0425" w:rsidP="00BE0425">
            <w:pPr>
              <w:jc w:val="both"/>
              <w:rPr>
                <w:b/>
                <w:lang w:val="en-CA"/>
              </w:rPr>
            </w:pPr>
            <w:r w:rsidRPr="00D44D74">
              <w:rPr>
                <w:b/>
                <w:bCs/>
                <w:lang w:val="en-CA"/>
              </w:rPr>
              <w:t>FTX</w:t>
            </w:r>
            <w:r w:rsidRPr="00D44D74">
              <w:rPr>
                <w:lang w:val="en-CA"/>
              </w:rPr>
              <w:t xml:space="preserve"> </w:t>
            </w:r>
            <w:r w:rsidRPr="00D44D74">
              <w:rPr>
                <w:b/>
                <w:bCs/>
                <w:lang w:val="en-CA"/>
              </w:rPr>
              <w:t>EXCHANGE PLATFORM</w:t>
            </w:r>
          </w:p>
          <w:p w14:paraId="3FE4B218" w14:textId="77777777" w:rsidR="00BE0425" w:rsidRPr="00D44D74" w:rsidRDefault="00BE0425" w:rsidP="00BE0425">
            <w:pPr>
              <w:rPr>
                <w:bCs/>
                <w:lang w:val="en-CA"/>
              </w:rPr>
            </w:pPr>
            <w:r w:rsidRPr="00D44D74">
              <w:rPr>
                <w:lang w:val="en-CA"/>
              </w:rPr>
              <w:t>and</w:t>
            </w:r>
          </w:p>
          <w:p w14:paraId="332952CB" w14:textId="4F529FE9" w:rsidR="00BE0425" w:rsidRPr="00D44D74" w:rsidRDefault="00BE0425" w:rsidP="00BE0425">
            <w:pPr>
              <w:jc w:val="both"/>
              <w:rPr>
                <w:bCs/>
                <w:lang w:val="en-CA"/>
              </w:rPr>
            </w:pPr>
            <w:r w:rsidRPr="00D44D74">
              <w:rPr>
                <w:b/>
                <w:bCs/>
                <w:lang w:val="en-CA"/>
              </w:rPr>
              <w:t>FIREBLOCKS</w:t>
            </w:r>
          </w:p>
          <w:p w14:paraId="3D6BA953" w14:textId="77777777" w:rsidR="00BE0425" w:rsidRPr="00D44D74" w:rsidRDefault="00BE0425" w:rsidP="00BE0425">
            <w:pPr>
              <w:rPr>
                <w:bCs/>
                <w:lang w:val="en-CA"/>
              </w:rPr>
            </w:pPr>
            <w:r w:rsidRPr="00D44D74">
              <w:rPr>
                <w:lang w:val="en-CA"/>
              </w:rPr>
              <w:t>and</w:t>
            </w:r>
          </w:p>
          <w:p w14:paraId="0090976F" w14:textId="50345560" w:rsidR="00BE0425" w:rsidRPr="00D44D74" w:rsidRDefault="00BE0425" w:rsidP="00BE0425">
            <w:pPr>
              <w:jc w:val="both"/>
              <w:rPr>
                <w:bCs/>
                <w:lang w:val="en-CA"/>
              </w:rPr>
            </w:pPr>
            <w:r w:rsidRPr="00D44D74">
              <w:rPr>
                <w:b/>
                <w:bCs/>
                <w:lang w:val="en-CA"/>
              </w:rPr>
              <w:t>VIRGOCX INC.</w:t>
            </w:r>
          </w:p>
          <w:p w14:paraId="26E95760" w14:textId="77777777" w:rsidR="00BE0425" w:rsidRPr="00D44D74" w:rsidRDefault="00BE0425" w:rsidP="00BE0425">
            <w:pPr>
              <w:jc w:val="both"/>
              <w:rPr>
                <w:bCs/>
                <w:lang w:val="en-CA"/>
              </w:rPr>
            </w:pPr>
            <w:r w:rsidRPr="00D44D74">
              <w:rPr>
                <w:lang w:val="en-CA"/>
              </w:rPr>
              <w:t>and</w:t>
            </w:r>
          </w:p>
          <w:p w14:paraId="37E455FE" w14:textId="6B549570" w:rsidR="00BE0425" w:rsidRPr="00D44D74" w:rsidRDefault="00BE0425" w:rsidP="00BE0425">
            <w:pPr>
              <w:jc w:val="both"/>
              <w:rPr>
                <w:bCs/>
                <w:lang w:val="en-CA"/>
              </w:rPr>
            </w:pPr>
            <w:r w:rsidRPr="00D44D74">
              <w:rPr>
                <w:b/>
                <w:bCs/>
                <w:lang w:val="en-CA"/>
              </w:rPr>
              <w:t>APAYLO FINANCE TECHNOLOGY INC.</w:t>
            </w:r>
          </w:p>
          <w:p w14:paraId="6B008CF5" w14:textId="77777777" w:rsidR="00BE0425" w:rsidRPr="00A92CA2" w:rsidRDefault="00BE0425" w:rsidP="00BE0425">
            <w:pPr>
              <w:jc w:val="both"/>
              <w:rPr>
                <w:bCs/>
                <w:lang w:val="en-CA"/>
              </w:rPr>
            </w:pPr>
            <w:r w:rsidRPr="00A92CA2">
              <w:rPr>
                <w:lang w:val="en-CA"/>
              </w:rPr>
              <w:t>and</w:t>
            </w:r>
          </w:p>
          <w:p w14:paraId="4DCD66AC" w14:textId="4A173BC5" w:rsidR="00BE0425" w:rsidRPr="00207B58" w:rsidRDefault="00BE0425" w:rsidP="00BE0425">
            <w:pPr>
              <w:jc w:val="both"/>
              <w:rPr>
                <w:bCs/>
                <w:lang w:val="en-CA"/>
              </w:rPr>
            </w:pPr>
            <w:r w:rsidRPr="00207B58">
              <w:rPr>
                <w:b/>
                <w:bCs/>
                <w:lang w:val="en-CA"/>
              </w:rPr>
              <w:t>THE LAND REGISTRAR</w:t>
            </w:r>
          </w:p>
          <w:p w14:paraId="1635BA4F" w14:textId="77777777" w:rsidR="00BE0425" w:rsidRPr="00207B58" w:rsidRDefault="00BE0425" w:rsidP="00BE0425">
            <w:pPr>
              <w:pStyle w:val="zSoquijdatQtePartieDem"/>
              <w:ind w:left="709"/>
              <w:jc w:val="both"/>
              <w:rPr>
                <w:lang w:val="en-CA"/>
              </w:rPr>
            </w:pPr>
            <w:r w:rsidRPr="00D44D74">
              <w:rPr>
                <w:lang w:val="en-CA"/>
              </w:rPr>
              <w:t>Impleaded parties</w:t>
            </w:r>
          </w:p>
          <w:p w14:paraId="263916C8" w14:textId="77777777" w:rsidR="00BE0425" w:rsidRPr="00207B58" w:rsidRDefault="00BE0425" w:rsidP="00BE0425">
            <w:pPr>
              <w:pStyle w:val="zSoquijlblLienParties"/>
              <w:jc w:val="both"/>
              <w:rPr>
                <w:lang w:val="en-CA"/>
              </w:rPr>
            </w:pPr>
          </w:p>
        </w:tc>
      </w:tr>
      <w:tr w:rsidR="00BE0425" w:rsidRPr="00BE0425" w14:paraId="1AEE61F5" w14:textId="77777777" w:rsidTr="0002722E">
        <w:trPr>
          <w:gridAfter w:val="1"/>
          <w:wAfter w:w="70" w:type="dxa"/>
        </w:trPr>
        <w:tc>
          <w:tcPr>
            <w:tcW w:w="9498" w:type="dxa"/>
            <w:gridSpan w:val="4"/>
            <w:tcBorders>
              <w:top w:val="single" w:sz="4" w:space="0" w:color="auto"/>
            </w:tcBorders>
          </w:tcPr>
          <w:p w14:paraId="653E1D14" w14:textId="77777777" w:rsidR="00BE0425" w:rsidRPr="00207B58" w:rsidRDefault="00BE0425" w:rsidP="00BE0425">
            <w:pPr>
              <w:jc w:val="center"/>
              <w:rPr>
                <w:lang w:val="en-CA"/>
              </w:rPr>
            </w:pPr>
          </w:p>
        </w:tc>
      </w:tr>
      <w:tr w:rsidR="00BE0425" w:rsidRPr="00BE0425" w14:paraId="33229DB9" w14:textId="77777777" w:rsidTr="00070D64">
        <w:trPr>
          <w:gridAfter w:val="1"/>
          <w:wAfter w:w="70" w:type="dxa"/>
        </w:trPr>
        <w:tc>
          <w:tcPr>
            <w:tcW w:w="9498" w:type="dxa"/>
            <w:gridSpan w:val="4"/>
          </w:tcPr>
          <w:p w14:paraId="3FC7513F" w14:textId="77777777" w:rsidR="00BE0425" w:rsidRPr="00D44D74" w:rsidRDefault="00BE0425" w:rsidP="00BE0425">
            <w:pPr>
              <w:pStyle w:val="zSoquijlblTypeDocument"/>
              <w:rPr>
                <w:lang w:val="en-CA"/>
              </w:rPr>
            </w:pPr>
            <w:r w:rsidRPr="00D44D74">
              <w:rPr>
                <w:bCs/>
                <w:lang w:val="en-CA"/>
              </w:rPr>
              <w:t xml:space="preserve">DECISION </w:t>
            </w:r>
          </w:p>
          <w:p w14:paraId="5605AF4A" w14:textId="4A162940" w:rsidR="00BE0425" w:rsidRPr="00D44D74" w:rsidRDefault="00BE0425" w:rsidP="00BE0425">
            <w:pPr>
              <w:pStyle w:val="zSoquijlblTypeDocument"/>
              <w:rPr>
                <w:lang w:val="en-CA"/>
              </w:rPr>
            </w:pPr>
            <w:r w:rsidRPr="00D44D74">
              <w:rPr>
                <w:bCs/>
                <w:lang w:val="en-CA"/>
              </w:rPr>
              <w:t>(Partial lifting of freeze orders)</w:t>
            </w:r>
          </w:p>
        </w:tc>
      </w:tr>
      <w:tr w:rsidR="00BE0425" w:rsidRPr="00BE0425" w14:paraId="6A2534C6" w14:textId="77777777" w:rsidTr="00BC2FC2">
        <w:trPr>
          <w:gridAfter w:val="1"/>
          <w:wAfter w:w="70" w:type="dxa"/>
        </w:trPr>
        <w:tc>
          <w:tcPr>
            <w:tcW w:w="9498" w:type="dxa"/>
            <w:gridSpan w:val="4"/>
            <w:tcBorders>
              <w:bottom w:val="single" w:sz="4" w:space="0" w:color="auto"/>
            </w:tcBorders>
          </w:tcPr>
          <w:p w14:paraId="02AE0C94" w14:textId="77777777" w:rsidR="00BE0425" w:rsidRPr="00D44D74" w:rsidRDefault="00BE0425" w:rsidP="00BE0425">
            <w:pPr>
              <w:pStyle w:val="zSoquijlblNosArticles"/>
              <w:rPr>
                <w:lang w:val="en-CA"/>
              </w:rPr>
            </w:pPr>
          </w:p>
        </w:tc>
      </w:tr>
      <w:tr w:rsidR="00BE0425" w:rsidRPr="00BE0425" w14:paraId="6575C1E9" w14:textId="77777777" w:rsidTr="00BC2FC2">
        <w:trPr>
          <w:gridAfter w:val="1"/>
          <w:wAfter w:w="70" w:type="dxa"/>
        </w:trPr>
        <w:tc>
          <w:tcPr>
            <w:tcW w:w="9498" w:type="dxa"/>
            <w:gridSpan w:val="4"/>
            <w:tcBorders>
              <w:top w:val="single" w:sz="4" w:space="0" w:color="auto"/>
            </w:tcBorders>
          </w:tcPr>
          <w:p w14:paraId="306673D0" w14:textId="77777777" w:rsidR="00BE0425" w:rsidRPr="00D44D74" w:rsidRDefault="00BE0425" w:rsidP="00BE0425">
            <w:pPr>
              <w:pStyle w:val="zSoquijlblNosArticles"/>
              <w:rPr>
                <w:lang w:val="en-CA"/>
              </w:rPr>
            </w:pPr>
          </w:p>
        </w:tc>
      </w:tr>
    </w:tbl>
    <w:p w14:paraId="00668DCF" w14:textId="724B7837" w:rsidR="00BF64B9" w:rsidRPr="00D44D74" w:rsidRDefault="00BF64B9" w:rsidP="00BC2FC2">
      <w:pPr>
        <w:pStyle w:val="Titre1"/>
        <w:jc w:val="both"/>
        <w:rPr>
          <w:lang w:val="en-CA"/>
        </w:rPr>
      </w:pPr>
      <w:bookmarkStart w:id="5" w:name="_Ref456356564"/>
      <w:r w:rsidRPr="00D44D74">
        <w:rPr>
          <w:bCs/>
          <w:szCs w:val="24"/>
          <w:lang w:val="en-CA"/>
        </w:rPr>
        <w:t xml:space="preserve">WARNING: On June 2, 2022, the </w:t>
      </w:r>
      <w:r w:rsidR="002517DE">
        <w:rPr>
          <w:bCs/>
          <w:szCs w:val="24"/>
          <w:lang w:val="en-CA"/>
        </w:rPr>
        <w:t>Financial Markets Administrative Tribunal</w:t>
      </w:r>
      <w:r w:rsidR="002517DE" w:rsidRPr="00D44D74" w:rsidDel="002517DE">
        <w:rPr>
          <w:bCs/>
          <w:szCs w:val="24"/>
          <w:lang w:val="en-CA"/>
        </w:rPr>
        <w:t xml:space="preserve"> </w:t>
      </w:r>
      <w:r w:rsidR="005025A5">
        <w:rPr>
          <w:bCs/>
          <w:szCs w:val="24"/>
          <w:lang w:val="en-CA"/>
        </w:rPr>
        <w:t xml:space="preserve">(“Tribunal”) </w:t>
      </w:r>
      <w:r w:rsidRPr="00D44D74">
        <w:rPr>
          <w:bCs/>
          <w:szCs w:val="24"/>
          <w:lang w:val="en-CA"/>
        </w:rPr>
        <w:t>issued an order for the non-disclosure, non-dissemination and non-publication of the identity of the investors and the residential addresses of the respondents and the impleaded parties, as well as the bank account numbers subject to the Tribunal’s freeze orders in this case, which applies to the entire file</w:t>
      </w:r>
      <w:r w:rsidRPr="00D44D74">
        <w:rPr>
          <w:rStyle w:val="Appelnotedebasdep"/>
          <w:bCs/>
          <w:lang w:val="en-CA"/>
        </w:rPr>
        <w:footnoteReference w:id="1"/>
      </w:r>
      <w:r w:rsidRPr="00D44D74">
        <w:rPr>
          <w:bCs/>
          <w:szCs w:val="24"/>
          <w:lang w:val="en-CA"/>
        </w:rPr>
        <w:t>.</w:t>
      </w:r>
    </w:p>
    <w:p w14:paraId="719CEF31" w14:textId="3BB09590" w:rsidR="00415DCB" w:rsidRPr="00D44D74" w:rsidRDefault="00930949" w:rsidP="00825D7D">
      <w:pPr>
        <w:pStyle w:val="Titre1"/>
      </w:pPr>
      <w:r w:rsidRPr="00D44D74">
        <w:rPr>
          <w:bCs/>
          <w:lang w:val="en-CA"/>
        </w:rPr>
        <w:t>OVERVIEW</w:t>
      </w:r>
    </w:p>
    <w:p w14:paraId="72D29985" w14:textId="3D329BF4" w:rsidR="00B352B5" w:rsidRPr="00D44D74" w:rsidRDefault="00574E28" w:rsidP="00B352B5">
      <w:pPr>
        <w:pStyle w:val="Paragraphe"/>
        <w:rPr>
          <w:lang w:val="en-CA"/>
        </w:rPr>
      </w:pPr>
      <w:r w:rsidRPr="00D44D74">
        <w:rPr>
          <w:lang w:val="en-CA"/>
        </w:rPr>
        <w:t xml:space="preserve">On May 30, 2022, the </w:t>
      </w:r>
      <w:r w:rsidRPr="00AA1AA3">
        <w:rPr>
          <w:lang w:val="en-CA"/>
        </w:rPr>
        <w:t xml:space="preserve">Tribunal </w:t>
      </w:r>
      <w:r w:rsidR="008E0DCC">
        <w:rPr>
          <w:lang w:val="en-CA"/>
        </w:rPr>
        <w:t>issues</w:t>
      </w:r>
      <w:r w:rsidRPr="00AA1AA3">
        <w:rPr>
          <w:lang w:val="en-CA"/>
        </w:rPr>
        <w:t xml:space="preserve">, as a matter of urgency and </w:t>
      </w:r>
      <w:r w:rsidRPr="00AA1AA3">
        <w:rPr>
          <w:i/>
          <w:iCs/>
          <w:lang w:val="en-CA"/>
        </w:rPr>
        <w:t>ex parte</w:t>
      </w:r>
      <w:r w:rsidR="00AA1AA3" w:rsidRPr="00AA1AA3">
        <w:rPr>
          <w:lang w:val="en-CA"/>
        </w:rPr>
        <w:t>, freeze orders,</w:t>
      </w:r>
      <w:r w:rsidRPr="00AA1AA3">
        <w:rPr>
          <w:lang w:val="en-CA"/>
        </w:rPr>
        <w:t xml:space="preserve"> </w:t>
      </w:r>
      <w:r w:rsidR="00445034" w:rsidRPr="00AA1AA3">
        <w:rPr>
          <w:lang w:val="en-CA"/>
        </w:rPr>
        <w:t>cease trade</w:t>
      </w:r>
      <w:r w:rsidR="004C509E" w:rsidRPr="00AA1AA3">
        <w:rPr>
          <w:lang w:val="en-CA"/>
        </w:rPr>
        <w:t xml:space="preserve"> </w:t>
      </w:r>
      <w:r w:rsidRPr="00AA1AA3">
        <w:rPr>
          <w:lang w:val="en-CA"/>
        </w:rPr>
        <w:t xml:space="preserve">orders, </w:t>
      </w:r>
      <w:r w:rsidR="004C509E" w:rsidRPr="00AA1AA3">
        <w:rPr>
          <w:lang w:val="en-CA"/>
        </w:rPr>
        <w:t xml:space="preserve">orders </w:t>
      </w:r>
      <w:r w:rsidR="007F4C2B" w:rsidRPr="00AA1AA3">
        <w:rPr>
          <w:lang w:val="en-CA"/>
        </w:rPr>
        <w:t xml:space="preserve">to cease </w:t>
      </w:r>
      <w:r w:rsidRPr="00AA1AA3">
        <w:rPr>
          <w:lang w:val="en-CA"/>
        </w:rPr>
        <w:t>the activity of broker or advis</w:t>
      </w:r>
      <w:r w:rsidR="005025A5" w:rsidRPr="00AA1AA3">
        <w:rPr>
          <w:lang w:val="en-CA"/>
        </w:rPr>
        <w:t>e</w:t>
      </w:r>
      <w:r w:rsidRPr="00AA1AA3">
        <w:rPr>
          <w:lang w:val="en-CA"/>
        </w:rPr>
        <w:t xml:space="preserve">r without </w:t>
      </w:r>
      <w:r w:rsidR="007F4C2B" w:rsidRPr="00AA1AA3">
        <w:rPr>
          <w:lang w:val="en-CA"/>
        </w:rPr>
        <w:t>being registered</w:t>
      </w:r>
      <w:r w:rsidRPr="00D44D74">
        <w:rPr>
          <w:lang w:val="en-CA"/>
        </w:rPr>
        <w:t xml:space="preserve"> and measures </w:t>
      </w:r>
      <w:r w:rsidR="00AA1AA3">
        <w:rPr>
          <w:lang w:val="en-CA"/>
        </w:rPr>
        <w:t>conducive</w:t>
      </w:r>
      <w:r w:rsidRPr="00D44D74">
        <w:rPr>
          <w:lang w:val="en-CA"/>
        </w:rPr>
        <w:t xml:space="preserve"> to ensuring compliance with the law, against respondents Technologies </w:t>
      </w:r>
      <w:proofErr w:type="spellStart"/>
      <w:r w:rsidRPr="00D44D74">
        <w:rPr>
          <w:lang w:val="en-CA"/>
        </w:rPr>
        <w:t>Timechain</w:t>
      </w:r>
      <w:proofErr w:type="spellEnd"/>
      <w:r w:rsidRPr="00D44D74">
        <w:rPr>
          <w:lang w:val="en-CA"/>
        </w:rPr>
        <w:t xml:space="preserve"> </w:t>
      </w:r>
      <w:proofErr w:type="spellStart"/>
      <w:r w:rsidRPr="00D44D74">
        <w:rPr>
          <w:lang w:val="en-CA"/>
        </w:rPr>
        <w:t>inc.</w:t>
      </w:r>
      <w:proofErr w:type="spellEnd"/>
      <w:r w:rsidRPr="00D44D74">
        <w:rPr>
          <w:lang w:val="en-CA"/>
        </w:rPr>
        <w:t xml:space="preserve"> (“</w:t>
      </w:r>
      <w:proofErr w:type="spellStart"/>
      <w:r w:rsidRPr="00D44D74">
        <w:rPr>
          <w:lang w:val="en-CA"/>
        </w:rPr>
        <w:t>Timechain</w:t>
      </w:r>
      <w:proofErr w:type="spellEnd"/>
      <w:r w:rsidRPr="00D44D74">
        <w:rPr>
          <w:lang w:val="en-CA"/>
        </w:rPr>
        <w:t xml:space="preserve">”), Louis </w:t>
      </w:r>
      <w:proofErr w:type="spellStart"/>
      <w:r w:rsidRPr="00D44D74">
        <w:rPr>
          <w:lang w:val="en-CA"/>
        </w:rPr>
        <w:t>Cléroux</w:t>
      </w:r>
      <w:proofErr w:type="spellEnd"/>
      <w:r w:rsidRPr="00D44D74">
        <w:rPr>
          <w:lang w:val="en-CA"/>
        </w:rPr>
        <w:t xml:space="preserve">, </w:t>
      </w:r>
      <w:proofErr w:type="spellStart"/>
      <w:r w:rsidRPr="00D44D74">
        <w:rPr>
          <w:lang w:val="en-CA"/>
        </w:rPr>
        <w:t>Jérémie</w:t>
      </w:r>
      <w:proofErr w:type="spellEnd"/>
      <w:r w:rsidRPr="00D44D74">
        <w:rPr>
          <w:lang w:val="en-CA"/>
        </w:rPr>
        <w:t xml:space="preserve"> Picard and Mathieu </w:t>
      </w:r>
      <w:proofErr w:type="spellStart"/>
      <w:r w:rsidRPr="00D44D74">
        <w:rPr>
          <w:lang w:val="en-CA"/>
        </w:rPr>
        <w:t>Cocher</w:t>
      </w:r>
      <w:proofErr w:type="spellEnd"/>
      <w:r w:rsidRPr="00D44D74">
        <w:rPr>
          <w:lang w:val="en-CA"/>
        </w:rPr>
        <w:t xml:space="preserve"> as well as the impleaded parties.</w:t>
      </w:r>
    </w:p>
    <w:p w14:paraId="314A3377" w14:textId="1F54C226" w:rsidR="00574E28" w:rsidRPr="00D44D74" w:rsidRDefault="00574E28" w:rsidP="00574E28">
      <w:pPr>
        <w:pStyle w:val="Paragraphe"/>
        <w:rPr>
          <w:lang w:val="en-CA"/>
        </w:rPr>
      </w:pPr>
      <w:r w:rsidRPr="00D44D74">
        <w:rPr>
          <w:lang w:val="en-CA"/>
        </w:rPr>
        <w:t xml:space="preserve">The freeze orders were made in the context of an investigation conducted by the </w:t>
      </w:r>
      <w:proofErr w:type="spellStart"/>
      <w:r w:rsidRPr="00D44D74">
        <w:rPr>
          <w:lang w:val="en-CA"/>
        </w:rPr>
        <w:t>Autorité</w:t>
      </w:r>
      <w:proofErr w:type="spellEnd"/>
      <w:r w:rsidRPr="00D44D74">
        <w:rPr>
          <w:lang w:val="en-CA"/>
        </w:rPr>
        <w:t xml:space="preserve"> des </w:t>
      </w:r>
      <w:proofErr w:type="spellStart"/>
      <w:r w:rsidRPr="00D44D74">
        <w:rPr>
          <w:lang w:val="en-CA"/>
        </w:rPr>
        <w:t>marchés</w:t>
      </w:r>
      <w:proofErr w:type="spellEnd"/>
      <w:r w:rsidRPr="00D44D74">
        <w:rPr>
          <w:lang w:val="en-CA"/>
        </w:rPr>
        <w:t xml:space="preserve"> financiers (“</w:t>
      </w:r>
      <w:proofErr w:type="spellStart"/>
      <w:r w:rsidRPr="00D44D74">
        <w:rPr>
          <w:lang w:val="en-CA"/>
        </w:rPr>
        <w:t>Autorité</w:t>
      </w:r>
      <w:proofErr w:type="spellEnd"/>
      <w:r w:rsidRPr="00D44D74">
        <w:rPr>
          <w:lang w:val="en-CA"/>
        </w:rPr>
        <w:t xml:space="preserve">”) against the respondents. This investigation pertains, in particular, to alleged breaches </w:t>
      </w:r>
      <w:r w:rsidR="00AA1AA3">
        <w:rPr>
          <w:lang w:val="en-CA"/>
        </w:rPr>
        <w:t>for</w:t>
      </w:r>
      <w:r w:rsidRPr="00D44D74">
        <w:rPr>
          <w:lang w:val="en-CA"/>
        </w:rPr>
        <w:t xml:space="preserve"> distributions without a prospectus and </w:t>
      </w:r>
      <w:r w:rsidR="00AA1AA3">
        <w:rPr>
          <w:lang w:val="en-CA"/>
        </w:rPr>
        <w:t>acting as securities dealer</w:t>
      </w:r>
      <w:r w:rsidR="00510EF5">
        <w:rPr>
          <w:lang w:val="en-CA"/>
        </w:rPr>
        <w:t xml:space="preserve"> without being registered</w:t>
      </w:r>
      <w:r w:rsidRPr="00D44D74">
        <w:rPr>
          <w:lang w:val="en-CA"/>
        </w:rPr>
        <w:t xml:space="preserve">, contrary to the provisions of the </w:t>
      </w:r>
      <w:r w:rsidRPr="00D44D74">
        <w:rPr>
          <w:i/>
          <w:iCs/>
          <w:lang w:val="en-CA"/>
        </w:rPr>
        <w:t>Securities Act</w:t>
      </w:r>
      <w:r w:rsidRPr="00D44D74">
        <w:rPr>
          <w:rStyle w:val="Appelnotedebasdep"/>
          <w:lang w:val="en-CA"/>
        </w:rPr>
        <w:footnoteReference w:id="2"/>
      </w:r>
      <w:r w:rsidRPr="00D44D74">
        <w:rPr>
          <w:lang w:val="en-CA"/>
        </w:rPr>
        <w:t>.</w:t>
      </w:r>
    </w:p>
    <w:p w14:paraId="54DEF80F" w14:textId="34D73882" w:rsidR="009334C7" w:rsidRPr="00D44D74" w:rsidRDefault="00574E28" w:rsidP="00574E28">
      <w:pPr>
        <w:pStyle w:val="Paragraphe"/>
        <w:rPr>
          <w:lang w:val="en-CA"/>
        </w:rPr>
      </w:pPr>
      <w:r w:rsidRPr="00D44D74">
        <w:rPr>
          <w:lang w:val="en-CA"/>
        </w:rPr>
        <w:t xml:space="preserve">On June 14, 2022, </w:t>
      </w:r>
      <w:proofErr w:type="spellStart"/>
      <w:r w:rsidRPr="00D44D74">
        <w:rPr>
          <w:lang w:val="en-CA"/>
        </w:rPr>
        <w:t>Timechain</w:t>
      </w:r>
      <w:proofErr w:type="spellEnd"/>
      <w:r w:rsidRPr="00D44D74">
        <w:rPr>
          <w:lang w:val="en-CA"/>
        </w:rPr>
        <w:t xml:space="preserve"> and Louis </w:t>
      </w:r>
      <w:proofErr w:type="spellStart"/>
      <w:r w:rsidRPr="00D44D74">
        <w:rPr>
          <w:lang w:val="en-CA"/>
        </w:rPr>
        <w:t>Cléroux</w:t>
      </w:r>
      <w:proofErr w:type="spellEnd"/>
      <w:r w:rsidRPr="00D44D74">
        <w:rPr>
          <w:lang w:val="en-CA"/>
        </w:rPr>
        <w:t xml:space="preserve">, as well as </w:t>
      </w:r>
      <w:proofErr w:type="spellStart"/>
      <w:r w:rsidRPr="00D44D74">
        <w:rPr>
          <w:lang w:val="en-CA"/>
        </w:rPr>
        <w:t>Jérémie</w:t>
      </w:r>
      <w:proofErr w:type="spellEnd"/>
      <w:r w:rsidRPr="00D44D74">
        <w:rPr>
          <w:lang w:val="en-CA"/>
        </w:rPr>
        <w:t xml:space="preserve"> Picard, file notices of contestation with the Tribunal</w:t>
      </w:r>
      <w:r w:rsidRPr="00D44D74">
        <w:rPr>
          <w:rStyle w:val="Appelnotedebasdep"/>
          <w:lang w:val="en-CA"/>
        </w:rPr>
        <w:footnoteReference w:id="3"/>
      </w:r>
      <w:r w:rsidRPr="00D44D74">
        <w:rPr>
          <w:lang w:val="en-CA"/>
        </w:rPr>
        <w:t xml:space="preserve"> of the orders issued by the Tribunal. The hearing </w:t>
      </w:r>
      <w:r w:rsidRPr="00D44D74">
        <w:rPr>
          <w:lang w:val="en-CA"/>
        </w:rPr>
        <w:lastRenderedPageBreak/>
        <w:t xml:space="preserve">following the notices of contestation </w:t>
      </w:r>
      <w:r w:rsidR="00673AC2">
        <w:rPr>
          <w:lang w:val="en-CA"/>
        </w:rPr>
        <w:t>was</w:t>
      </w:r>
      <w:r w:rsidR="00AE493E" w:rsidRPr="00D44D74">
        <w:rPr>
          <w:lang w:val="en-CA"/>
        </w:rPr>
        <w:t xml:space="preserve"> </w:t>
      </w:r>
      <w:r w:rsidR="00AF2E09">
        <w:rPr>
          <w:lang w:val="en-CA"/>
        </w:rPr>
        <w:t>scheduled</w:t>
      </w:r>
      <w:r w:rsidRPr="00D44D74">
        <w:rPr>
          <w:lang w:val="en-CA"/>
        </w:rPr>
        <w:t xml:space="preserve"> for November 14, 15, 16, 17, 21, 23 and 25, 2022.</w:t>
      </w:r>
    </w:p>
    <w:p w14:paraId="17C1F380" w14:textId="218B218D" w:rsidR="00E57C42" w:rsidRPr="00D44D74" w:rsidRDefault="00E57C42" w:rsidP="00574E28">
      <w:pPr>
        <w:pStyle w:val="Paragraphe"/>
        <w:rPr>
          <w:lang w:val="en-CA"/>
        </w:rPr>
      </w:pPr>
      <w:r w:rsidRPr="00D44D74">
        <w:rPr>
          <w:lang w:val="en-CA"/>
        </w:rPr>
        <w:t xml:space="preserve">On September 16, 2022, </w:t>
      </w:r>
      <w:proofErr w:type="spellStart"/>
      <w:r w:rsidRPr="00D44D74">
        <w:rPr>
          <w:lang w:val="en-CA"/>
        </w:rPr>
        <w:t>T</w:t>
      </w:r>
      <w:r w:rsidR="008E0DCC">
        <w:rPr>
          <w:lang w:val="en-CA"/>
        </w:rPr>
        <w:t>imechain</w:t>
      </w:r>
      <w:proofErr w:type="spellEnd"/>
      <w:r w:rsidR="008E0DCC">
        <w:rPr>
          <w:lang w:val="en-CA"/>
        </w:rPr>
        <w:t xml:space="preserve"> and Louis </w:t>
      </w:r>
      <w:proofErr w:type="spellStart"/>
      <w:r w:rsidR="008E0DCC">
        <w:rPr>
          <w:lang w:val="en-CA"/>
        </w:rPr>
        <w:t>Cléroux</w:t>
      </w:r>
      <w:proofErr w:type="spellEnd"/>
      <w:r w:rsidR="008E0DCC">
        <w:rPr>
          <w:lang w:val="en-CA"/>
        </w:rPr>
        <w:t xml:space="preserve"> file</w:t>
      </w:r>
      <w:r w:rsidRPr="00D44D74">
        <w:rPr>
          <w:lang w:val="en-CA"/>
        </w:rPr>
        <w:t xml:space="preserve"> an application with the Tribunal</w:t>
      </w:r>
      <w:r w:rsidR="00AF2E09">
        <w:rPr>
          <w:lang w:val="en-CA"/>
        </w:rPr>
        <w:t xml:space="preserve"> to partially lift</w:t>
      </w:r>
      <w:r w:rsidRPr="00D44D74">
        <w:rPr>
          <w:lang w:val="en-CA"/>
        </w:rPr>
        <w:t xml:space="preserve"> the f</w:t>
      </w:r>
      <w:r w:rsidR="008E0DCC">
        <w:rPr>
          <w:lang w:val="en-CA"/>
        </w:rPr>
        <w:t>reeze orders, which they amend</w:t>
      </w:r>
      <w:r w:rsidRPr="00D44D74">
        <w:rPr>
          <w:lang w:val="en-CA"/>
        </w:rPr>
        <w:t xml:space="preserve"> a few weeks later.</w:t>
      </w:r>
    </w:p>
    <w:p w14:paraId="6F53E502" w14:textId="7F32BAA2" w:rsidR="00F63C73" w:rsidRPr="00D44D74" w:rsidRDefault="00261A3E" w:rsidP="00574E28">
      <w:pPr>
        <w:pStyle w:val="Paragraphe"/>
        <w:rPr>
          <w:lang w:val="en-CA"/>
        </w:rPr>
      </w:pPr>
      <w:proofErr w:type="gramStart"/>
      <w:r w:rsidRPr="00D44D74">
        <w:rPr>
          <w:lang w:val="en-CA"/>
        </w:rPr>
        <w:t xml:space="preserve">In their amended application, </w:t>
      </w:r>
      <w:proofErr w:type="spellStart"/>
      <w:r w:rsidRPr="00D44D74">
        <w:rPr>
          <w:lang w:val="en-CA"/>
        </w:rPr>
        <w:t>Timechain</w:t>
      </w:r>
      <w:proofErr w:type="spellEnd"/>
      <w:r w:rsidRPr="00D44D74">
        <w:rPr>
          <w:lang w:val="en-CA"/>
        </w:rPr>
        <w:t xml:space="preserve"> and Louis </w:t>
      </w:r>
      <w:proofErr w:type="spellStart"/>
      <w:r w:rsidRPr="00D44D74">
        <w:rPr>
          <w:lang w:val="en-CA"/>
        </w:rPr>
        <w:t>Cléroux</w:t>
      </w:r>
      <w:proofErr w:type="spellEnd"/>
      <w:r w:rsidRPr="00D44D74">
        <w:rPr>
          <w:lang w:val="en-CA"/>
        </w:rPr>
        <w:t xml:space="preserve"> essentially ask the Tribunal to partially lift the freeze orders issued in this case in order to enable: (</w:t>
      </w:r>
      <w:proofErr w:type="spellStart"/>
      <w:r w:rsidRPr="00D44D74">
        <w:rPr>
          <w:lang w:val="en-CA"/>
        </w:rPr>
        <w:t>i</w:t>
      </w:r>
      <w:proofErr w:type="spellEnd"/>
      <w:r w:rsidRPr="00D44D74">
        <w:rPr>
          <w:lang w:val="en-CA"/>
        </w:rPr>
        <w:t xml:space="preserve">) the payment of unpaid salaries owed to certain </w:t>
      </w:r>
      <w:proofErr w:type="spellStart"/>
      <w:r w:rsidRPr="00D44D74">
        <w:rPr>
          <w:lang w:val="en-CA"/>
        </w:rPr>
        <w:t>Timechain</w:t>
      </w:r>
      <w:proofErr w:type="spellEnd"/>
      <w:r w:rsidRPr="00D44D74">
        <w:rPr>
          <w:lang w:val="en-CA"/>
        </w:rPr>
        <w:t xml:space="preserve"> employees; (ii) the reimbursement of deductions at source </w:t>
      </w:r>
      <w:r w:rsidR="00673AC2">
        <w:rPr>
          <w:lang w:val="en-CA"/>
        </w:rPr>
        <w:t>owing</w:t>
      </w:r>
      <w:r w:rsidRPr="00D44D74">
        <w:rPr>
          <w:lang w:val="en-CA"/>
        </w:rPr>
        <w:t xml:space="preserve"> to </w:t>
      </w:r>
      <w:proofErr w:type="spellStart"/>
      <w:r w:rsidRPr="00D44D74">
        <w:rPr>
          <w:lang w:val="en-CA"/>
        </w:rPr>
        <w:t>Revenu</w:t>
      </w:r>
      <w:proofErr w:type="spellEnd"/>
      <w:r w:rsidRPr="00D44D74">
        <w:rPr>
          <w:lang w:val="en-CA"/>
        </w:rPr>
        <w:t xml:space="preserve"> Québec; (iii) the reimbursement of deductions at source </w:t>
      </w:r>
      <w:r w:rsidR="00673AC2">
        <w:rPr>
          <w:lang w:val="en-CA"/>
        </w:rPr>
        <w:t>owing</w:t>
      </w:r>
      <w:r w:rsidRPr="00D44D74">
        <w:rPr>
          <w:lang w:val="en-CA"/>
        </w:rPr>
        <w:t xml:space="preserve"> to the Canada Revenue Agency; and (iv) the partial payment of </w:t>
      </w:r>
      <w:r w:rsidR="00BC66B6">
        <w:rPr>
          <w:lang w:val="en-CA"/>
        </w:rPr>
        <w:t>legal</w:t>
      </w:r>
      <w:r w:rsidRPr="00D44D74">
        <w:rPr>
          <w:lang w:val="en-CA"/>
        </w:rPr>
        <w:t xml:space="preserve"> fees.</w:t>
      </w:r>
      <w:proofErr w:type="gramEnd"/>
    </w:p>
    <w:p w14:paraId="63D46331" w14:textId="2670FB3B" w:rsidR="0090071A" w:rsidRPr="00AF2E09" w:rsidRDefault="0090071A" w:rsidP="00574E28">
      <w:pPr>
        <w:pStyle w:val="Paragraphe"/>
        <w:rPr>
          <w:lang w:val="en-CA"/>
        </w:rPr>
      </w:pPr>
      <w:r w:rsidRPr="00D44D74">
        <w:rPr>
          <w:lang w:val="en-CA"/>
        </w:rPr>
        <w:t xml:space="preserve">A hearing </w:t>
      </w:r>
      <w:r w:rsidR="00673AC2">
        <w:rPr>
          <w:lang w:val="en-CA"/>
        </w:rPr>
        <w:t xml:space="preserve">of </w:t>
      </w:r>
      <w:r w:rsidRPr="00D44D74">
        <w:rPr>
          <w:lang w:val="en-CA"/>
        </w:rPr>
        <w:t>the amended application for a partial lifting of the freeze orders</w:t>
      </w:r>
      <w:r w:rsidR="00673AC2">
        <w:rPr>
          <w:lang w:val="en-CA"/>
        </w:rPr>
        <w:t xml:space="preserve"> took place on October 4, 2022</w:t>
      </w:r>
      <w:r w:rsidRPr="00D44D74">
        <w:rPr>
          <w:lang w:val="en-CA"/>
        </w:rPr>
        <w:t xml:space="preserve">. The Tribunal </w:t>
      </w:r>
      <w:r w:rsidR="00AB2E34">
        <w:rPr>
          <w:lang w:val="en-CA"/>
        </w:rPr>
        <w:t>reject</w:t>
      </w:r>
      <w:r w:rsidR="003A2090">
        <w:rPr>
          <w:lang w:val="en-CA"/>
        </w:rPr>
        <w:t xml:space="preserve">s </w:t>
      </w:r>
      <w:r w:rsidRPr="00D44D74">
        <w:rPr>
          <w:lang w:val="en-CA"/>
        </w:rPr>
        <w:t>the application.</w:t>
      </w:r>
    </w:p>
    <w:p w14:paraId="6235C889" w14:textId="68959530" w:rsidR="00F02CCA" w:rsidRPr="00D44D74" w:rsidRDefault="00F02CCA" w:rsidP="00F02CCA">
      <w:pPr>
        <w:pStyle w:val="Paragraphe"/>
        <w:numPr>
          <w:ilvl w:val="0"/>
          <w:numId w:val="1"/>
        </w:numPr>
        <w:rPr>
          <w:lang w:val="en-CA"/>
        </w:rPr>
      </w:pPr>
      <w:r w:rsidRPr="00D44D74">
        <w:rPr>
          <w:lang w:val="en-CA"/>
        </w:rPr>
        <w:t xml:space="preserve">In </w:t>
      </w:r>
      <w:r w:rsidR="00673AC2">
        <w:rPr>
          <w:lang w:val="en-CA"/>
        </w:rPr>
        <w:t xml:space="preserve">reaching </w:t>
      </w:r>
      <w:r w:rsidRPr="00D44D74">
        <w:rPr>
          <w:lang w:val="en-CA"/>
        </w:rPr>
        <w:t>this conclusion, the Tribunal had to answer the following question in dispute:</w:t>
      </w:r>
    </w:p>
    <w:p w14:paraId="445B2422" w14:textId="310439BB" w:rsidR="00F02CCA" w:rsidRPr="00D44D74" w:rsidRDefault="00B60838" w:rsidP="007B4880">
      <w:pPr>
        <w:pStyle w:val="Sous-paragraphe"/>
        <w:numPr>
          <w:ilvl w:val="0"/>
          <w:numId w:val="40"/>
        </w:numPr>
        <w:rPr>
          <w:rFonts w:cs="Arial"/>
          <w:color w:val="000000"/>
          <w:lang w:val="en-CA"/>
        </w:rPr>
      </w:pPr>
      <w:r w:rsidRPr="00D44D74">
        <w:rPr>
          <w:lang w:val="en-CA"/>
        </w:rPr>
        <w:t xml:space="preserve">Should the Tribunal partially lift the freeze orders to allow </w:t>
      </w:r>
      <w:proofErr w:type="spellStart"/>
      <w:r w:rsidRPr="00D44D74">
        <w:rPr>
          <w:lang w:val="en-CA"/>
        </w:rPr>
        <w:t>Timechain</w:t>
      </w:r>
      <w:proofErr w:type="spellEnd"/>
      <w:r w:rsidRPr="00D44D74">
        <w:rPr>
          <w:lang w:val="en-CA"/>
        </w:rPr>
        <w:t xml:space="preserve"> and Louis </w:t>
      </w:r>
      <w:proofErr w:type="spellStart"/>
      <w:r w:rsidRPr="00D44D74">
        <w:rPr>
          <w:lang w:val="en-CA"/>
        </w:rPr>
        <w:t>Cléroux</w:t>
      </w:r>
      <w:proofErr w:type="spellEnd"/>
      <w:r w:rsidRPr="00D44D74">
        <w:rPr>
          <w:lang w:val="en-CA"/>
        </w:rPr>
        <w:t xml:space="preserve"> to use the frozen funds to enable (</w:t>
      </w:r>
      <w:proofErr w:type="spellStart"/>
      <w:r w:rsidRPr="00D44D74">
        <w:rPr>
          <w:lang w:val="en-CA"/>
        </w:rPr>
        <w:t>i</w:t>
      </w:r>
      <w:proofErr w:type="spellEnd"/>
      <w:r w:rsidRPr="00D44D74">
        <w:rPr>
          <w:lang w:val="en-CA"/>
        </w:rPr>
        <w:t xml:space="preserve">) the payment of unpaid salaries owed to certain </w:t>
      </w:r>
      <w:proofErr w:type="spellStart"/>
      <w:r w:rsidRPr="00D44D74">
        <w:rPr>
          <w:lang w:val="en-CA"/>
        </w:rPr>
        <w:t>Timechain</w:t>
      </w:r>
      <w:proofErr w:type="spellEnd"/>
      <w:r w:rsidRPr="00D44D74">
        <w:rPr>
          <w:lang w:val="en-CA"/>
        </w:rPr>
        <w:t xml:space="preserve"> employees; (ii) the reimbursement of deductions at source </w:t>
      </w:r>
      <w:r w:rsidR="00673AC2">
        <w:rPr>
          <w:lang w:val="en-CA"/>
        </w:rPr>
        <w:t>owed</w:t>
      </w:r>
      <w:r w:rsidRPr="00D44D74">
        <w:rPr>
          <w:lang w:val="en-CA"/>
        </w:rPr>
        <w:t xml:space="preserve"> to </w:t>
      </w:r>
      <w:proofErr w:type="spellStart"/>
      <w:r w:rsidRPr="00D44D74">
        <w:rPr>
          <w:lang w:val="en-CA"/>
        </w:rPr>
        <w:t>Revenu</w:t>
      </w:r>
      <w:proofErr w:type="spellEnd"/>
      <w:r w:rsidRPr="00D44D74">
        <w:rPr>
          <w:lang w:val="en-CA"/>
        </w:rPr>
        <w:t xml:space="preserve"> Québec; (iii) the reimbursement of deductions at source </w:t>
      </w:r>
      <w:r w:rsidR="00673AC2">
        <w:rPr>
          <w:lang w:val="en-CA"/>
        </w:rPr>
        <w:t>owed</w:t>
      </w:r>
      <w:r w:rsidRPr="00D44D74">
        <w:rPr>
          <w:lang w:val="en-CA"/>
        </w:rPr>
        <w:t xml:space="preserve"> to the Canada Revenue Agency; and (iv) the partial payment of </w:t>
      </w:r>
      <w:r w:rsidR="00BC66B6">
        <w:rPr>
          <w:lang w:val="en-CA"/>
        </w:rPr>
        <w:t>legal</w:t>
      </w:r>
      <w:r w:rsidRPr="00D44D74">
        <w:rPr>
          <w:lang w:val="en-CA"/>
        </w:rPr>
        <w:t xml:space="preserve"> fees</w:t>
      </w:r>
      <w:r w:rsidRPr="00D44D74">
        <w:rPr>
          <w:color w:val="000000"/>
          <w:lang w:val="en-CA"/>
        </w:rPr>
        <w:t>?</w:t>
      </w:r>
    </w:p>
    <w:p w14:paraId="51E44B0E" w14:textId="2EFB1D4E" w:rsidR="0051245F" w:rsidRPr="00D44D74" w:rsidRDefault="0051245F" w:rsidP="0051245F">
      <w:pPr>
        <w:pStyle w:val="Paragraphe"/>
        <w:rPr>
          <w:rFonts w:cs="Arial"/>
          <w:color w:val="000000"/>
          <w:lang w:val="en-CA"/>
        </w:rPr>
      </w:pPr>
      <w:r w:rsidRPr="00D44D74">
        <w:rPr>
          <w:rFonts w:cs="Arial"/>
          <w:color w:val="000000"/>
          <w:lang w:val="en-CA"/>
        </w:rPr>
        <w:t>The Tribunal</w:t>
      </w:r>
      <w:r w:rsidR="00AE493E">
        <w:rPr>
          <w:rFonts w:cs="Arial"/>
          <w:color w:val="000000"/>
          <w:lang w:val="en-CA"/>
        </w:rPr>
        <w:t>’s</w:t>
      </w:r>
      <w:r w:rsidRPr="00D44D74">
        <w:rPr>
          <w:rFonts w:cs="Arial"/>
          <w:color w:val="000000"/>
          <w:lang w:val="en-CA"/>
        </w:rPr>
        <w:t xml:space="preserve"> answer to this question in dispute</w:t>
      </w:r>
      <w:r w:rsidR="00AE493E">
        <w:rPr>
          <w:rFonts w:cs="Arial"/>
          <w:color w:val="000000"/>
          <w:lang w:val="en-CA"/>
        </w:rPr>
        <w:t xml:space="preserve"> is no</w:t>
      </w:r>
      <w:r w:rsidR="004B7D2A">
        <w:rPr>
          <w:rFonts w:cs="Arial"/>
          <w:color w:val="000000"/>
          <w:lang w:val="en-CA"/>
        </w:rPr>
        <w:t>,</w:t>
      </w:r>
      <w:r w:rsidRPr="00D44D74">
        <w:rPr>
          <w:rFonts w:cs="Arial"/>
          <w:color w:val="000000"/>
          <w:lang w:val="en-CA"/>
        </w:rPr>
        <w:t xml:space="preserve"> as there is no reason to favour certain </w:t>
      </w:r>
      <w:proofErr w:type="spellStart"/>
      <w:r w:rsidRPr="00D44D74">
        <w:rPr>
          <w:rFonts w:cs="Arial"/>
          <w:color w:val="000000"/>
          <w:lang w:val="en-CA"/>
        </w:rPr>
        <w:t>Timechain</w:t>
      </w:r>
      <w:proofErr w:type="spellEnd"/>
      <w:r w:rsidRPr="00D44D74">
        <w:rPr>
          <w:rFonts w:cs="Arial"/>
          <w:color w:val="000000"/>
          <w:lang w:val="en-CA"/>
        </w:rPr>
        <w:t xml:space="preserve"> “creditors”</w:t>
      </w:r>
      <w:r w:rsidRPr="00D44D74">
        <w:rPr>
          <w:rStyle w:val="Appelnotedebasdep"/>
          <w:rFonts w:cs="Arial"/>
          <w:color w:val="000000"/>
          <w:lang w:val="en-CA"/>
        </w:rPr>
        <w:footnoteReference w:id="4"/>
      </w:r>
      <w:r w:rsidRPr="00D44D74">
        <w:rPr>
          <w:rFonts w:cs="Arial"/>
          <w:color w:val="000000"/>
          <w:lang w:val="en-CA"/>
        </w:rPr>
        <w:t xml:space="preserve"> while the investigation by the </w:t>
      </w:r>
      <w:proofErr w:type="spellStart"/>
      <w:r w:rsidRPr="00D44D74">
        <w:rPr>
          <w:rFonts w:cs="Arial"/>
          <w:color w:val="000000"/>
          <w:lang w:val="en-CA"/>
        </w:rPr>
        <w:t>Autorit</w:t>
      </w:r>
      <w:r w:rsidR="004B7D2A">
        <w:rPr>
          <w:rFonts w:cs="Arial"/>
          <w:color w:val="000000"/>
          <w:lang w:val="en-CA"/>
        </w:rPr>
        <w:t>é</w:t>
      </w:r>
      <w:proofErr w:type="spellEnd"/>
      <w:r w:rsidRPr="00D44D74">
        <w:rPr>
          <w:rFonts w:cs="Arial"/>
          <w:color w:val="000000"/>
          <w:lang w:val="en-CA"/>
        </w:rPr>
        <w:t xml:space="preserve"> is still ongoing and investors have not been repaid. Moreover, this is not a case where the payment of these creditors is intended to protect or even increase the sums </w:t>
      </w:r>
      <w:r w:rsidR="008D2EA0">
        <w:rPr>
          <w:rFonts w:cs="Arial"/>
          <w:color w:val="000000"/>
          <w:lang w:val="en-CA"/>
        </w:rPr>
        <w:t xml:space="preserve">owed </w:t>
      </w:r>
      <w:r w:rsidRPr="00D44D74">
        <w:rPr>
          <w:rFonts w:cs="Arial"/>
          <w:color w:val="000000"/>
          <w:lang w:val="en-CA"/>
        </w:rPr>
        <w:t xml:space="preserve">to investors. Finally, with regard to the payment of the </w:t>
      </w:r>
      <w:r w:rsidR="00354916">
        <w:rPr>
          <w:rFonts w:cs="Arial"/>
          <w:color w:val="000000"/>
          <w:lang w:val="en-CA"/>
        </w:rPr>
        <w:t>legal</w:t>
      </w:r>
      <w:r w:rsidRPr="00D44D74">
        <w:rPr>
          <w:rFonts w:cs="Arial"/>
          <w:color w:val="000000"/>
          <w:lang w:val="en-CA"/>
        </w:rPr>
        <w:t xml:space="preserve"> fees, Louis </w:t>
      </w:r>
      <w:proofErr w:type="spellStart"/>
      <w:r w:rsidRPr="00D44D74">
        <w:rPr>
          <w:rFonts w:cs="Arial"/>
          <w:color w:val="000000"/>
          <w:lang w:val="en-CA"/>
        </w:rPr>
        <w:t>Cléroux</w:t>
      </w:r>
      <w:proofErr w:type="spellEnd"/>
      <w:r w:rsidRPr="00D44D74">
        <w:rPr>
          <w:rFonts w:cs="Arial"/>
          <w:color w:val="000000"/>
          <w:lang w:val="en-CA"/>
        </w:rPr>
        <w:t xml:space="preserve"> has </w:t>
      </w:r>
      <w:r w:rsidR="008D2EA0">
        <w:rPr>
          <w:rFonts w:cs="Arial"/>
          <w:color w:val="000000"/>
          <w:lang w:val="en-CA"/>
        </w:rPr>
        <w:t xml:space="preserve">sufficient </w:t>
      </w:r>
      <w:r w:rsidRPr="00D44D74">
        <w:rPr>
          <w:rFonts w:cs="Arial"/>
          <w:color w:val="000000"/>
          <w:lang w:val="en-CA"/>
        </w:rPr>
        <w:t xml:space="preserve">assets to </w:t>
      </w:r>
      <w:r w:rsidR="008D2EA0">
        <w:rPr>
          <w:rFonts w:cs="Arial"/>
          <w:color w:val="000000"/>
          <w:lang w:val="en-CA"/>
        </w:rPr>
        <w:t xml:space="preserve">cover his needs and </w:t>
      </w:r>
      <w:r w:rsidRPr="00D44D74">
        <w:rPr>
          <w:rFonts w:cs="Arial"/>
          <w:color w:val="000000"/>
          <w:lang w:val="en-CA"/>
        </w:rPr>
        <w:t xml:space="preserve">defend himself and </w:t>
      </w:r>
      <w:proofErr w:type="spellStart"/>
      <w:r w:rsidRPr="00D44D74">
        <w:rPr>
          <w:rFonts w:cs="Arial"/>
          <w:color w:val="000000"/>
          <w:lang w:val="en-CA"/>
        </w:rPr>
        <w:t>Timechain</w:t>
      </w:r>
      <w:proofErr w:type="spellEnd"/>
      <w:r w:rsidRPr="00D44D74">
        <w:rPr>
          <w:rFonts w:cs="Arial"/>
          <w:color w:val="000000"/>
          <w:lang w:val="en-CA"/>
        </w:rPr>
        <w:t>, if necessary.</w:t>
      </w:r>
    </w:p>
    <w:p w14:paraId="328400C0" w14:textId="60A99979" w:rsidR="005D3851" w:rsidRPr="00D44D74" w:rsidRDefault="005D3851" w:rsidP="005D3851">
      <w:pPr>
        <w:pStyle w:val="Titre1"/>
      </w:pPr>
      <w:r w:rsidRPr="00D44D74">
        <w:rPr>
          <w:bCs/>
          <w:lang w:val="en-CA"/>
        </w:rPr>
        <w:t>ANALYSIS</w:t>
      </w:r>
    </w:p>
    <w:p w14:paraId="294FC798" w14:textId="777E4F2B" w:rsidR="00C57BC2" w:rsidRPr="00D44D74" w:rsidRDefault="00C57BC2" w:rsidP="002A2532">
      <w:pPr>
        <w:pStyle w:val="Titre2"/>
      </w:pPr>
      <w:r w:rsidRPr="00D44D74">
        <w:rPr>
          <w:bCs/>
          <w:lang w:val="en-CA"/>
        </w:rPr>
        <w:t>Applicable law</w:t>
      </w:r>
    </w:p>
    <w:p w14:paraId="36045C09" w14:textId="422DAB2C" w:rsidR="002F0C3A" w:rsidRPr="00D44D74" w:rsidRDefault="002F0C3A" w:rsidP="002F0C3A">
      <w:pPr>
        <w:pStyle w:val="Paragraphe"/>
        <w:rPr>
          <w:lang w:val="en-CA"/>
        </w:rPr>
      </w:pPr>
      <w:r w:rsidRPr="00D44D74">
        <w:rPr>
          <w:shd w:val="clear" w:color="auto" w:fill="FFFFFF"/>
          <w:lang w:val="en-CA"/>
        </w:rPr>
        <w:t xml:space="preserve">In order to answer the question in dispute, it is first necessary to recall the principles </w:t>
      </w:r>
      <w:r w:rsidR="008D2EA0">
        <w:rPr>
          <w:shd w:val="clear" w:color="auto" w:fill="FFFFFF"/>
          <w:lang w:val="en-CA"/>
        </w:rPr>
        <w:t xml:space="preserve">underlying </w:t>
      </w:r>
      <w:r w:rsidRPr="00D44D74">
        <w:rPr>
          <w:shd w:val="clear" w:color="auto" w:fill="FFFFFF"/>
          <w:lang w:val="en-CA"/>
        </w:rPr>
        <w:t xml:space="preserve">the freeze orders and the conditions enabling them to </w:t>
      </w:r>
      <w:proofErr w:type="gramStart"/>
      <w:r w:rsidRPr="00D44D74">
        <w:rPr>
          <w:shd w:val="clear" w:color="auto" w:fill="FFFFFF"/>
          <w:lang w:val="en-CA"/>
        </w:rPr>
        <w:t>be lifted</w:t>
      </w:r>
      <w:proofErr w:type="gramEnd"/>
      <w:r w:rsidRPr="00D44D74">
        <w:rPr>
          <w:shd w:val="clear" w:color="auto" w:fill="FFFFFF"/>
          <w:lang w:val="en-CA"/>
        </w:rPr>
        <w:t xml:space="preserve">. These are the principles </w:t>
      </w:r>
      <w:r w:rsidR="00A30C80">
        <w:rPr>
          <w:shd w:val="clear" w:color="auto" w:fill="FFFFFF"/>
          <w:lang w:val="en-CA"/>
        </w:rPr>
        <w:t>guiding</w:t>
      </w:r>
      <w:r w:rsidRPr="00D44D74">
        <w:rPr>
          <w:shd w:val="clear" w:color="auto" w:fill="FFFFFF"/>
          <w:lang w:val="en-CA"/>
        </w:rPr>
        <w:t xml:space="preserve"> the Tribunal in </w:t>
      </w:r>
      <w:r w:rsidR="008D2EA0">
        <w:rPr>
          <w:shd w:val="clear" w:color="auto" w:fill="FFFFFF"/>
          <w:lang w:val="en-CA"/>
        </w:rPr>
        <w:t>making</w:t>
      </w:r>
      <w:r w:rsidR="00121C76">
        <w:rPr>
          <w:shd w:val="clear" w:color="auto" w:fill="FFFFFF"/>
          <w:lang w:val="en-CA"/>
        </w:rPr>
        <w:t xml:space="preserve"> </w:t>
      </w:r>
      <w:r w:rsidRPr="00D44D74">
        <w:rPr>
          <w:shd w:val="clear" w:color="auto" w:fill="FFFFFF"/>
          <w:lang w:val="en-CA"/>
        </w:rPr>
        <w:t>this decision.</w:t>
      </w:r>
    </w:p>
    <w:p w14:paraId="604B942B" w14:textId="71E6B2E4" w:rsidR="002F0C3A" w:rsidRPr="00D44D74" w:rsidRDefault="003A2090" w:rsidP="002F0C3A">
      <w:pPr>
        <w:pStyle w:val="Paragraphe"/>
        <w:rPr>
          <w:lang w:val="en-CA"/>
        </w:rPr>
      </w:pPr>
      <w:r>
        <w:rPr>
          <w:shd w:val="clear" w:color="auto" w:fill="FFFFFF"/>
          <w:lang w:val="en-CA"/>
        </w:rPr>
        <w:t>The Tribunal</w:t>
      </w:r>
      <w:r w:rsidR="002F0C3A" w:rsidRPr="00D44D74">
        <w:rPr>
          <w:shd w:val="clear" w:color="auto" w:fill="FFFFFF"/>
          <w:lang w:val="en-CA"/>
        </w:rPr>
        <w:t xml:space="preserve"> </w:t>
      </w:r>
      <w:r w:rsidR="00A30C80" w:rsidRPr="00D44D74">
        <w:rPr>
          <w:shd w:val="clear" w:color="auto" w:fill="FFFFFF"/>
          <w:lang w:val="en-CA"/>
        </w:rPr>
        <w:t>point</w:t>
      </w:r>
      <w:r w:rsidR="00A30C80">
        <w:rPr>
          <w:shd w:val="clear" w:color="auto" w:fill="FFFFFF"/>
          <w:lang w:val="en-CA"/>
        </w:rPr>
        <w:t>s</w:t>
      </w:r>
      <w:r w:rsidR="00A30C80" w:rsidRPr="00D44D74">
        <w:rPr>
          <w:shd w:val="clear" w:color="auto" w:fill="FFFFFF"/>
          <w:lang w:val="en-CA"/>
        </w:rPr>
        <w:t xml:space="preserve"> </w:t>
      </w:r>
      <w:r w:rsidR="002F0C3A" w:rsidRPr="00D44D74">
        <w:rPr>
          <w:shd w:val="clear" w:color="auto" w:fill="FFFFFF"/>
          <w:lang w:val="en-CA"/>
        </w:rPr>
        <w:t xml:space="preserve">out that a freeze order is a protective measure intended to protect sums of money collected from </w:t>
      </w:r>
      <w:r w:rsidR="00354916">
        <w:rPr>
          <w:shd w:val="clear" w:color="auto" w:fill="FFFFFF"/>
          <w:lang w:val="en-CA"/>
        </w:rPr>
        <w:t xml:space="preserve">investors </w:t>
      </w:r>
      <w:r w:rsidR="002F0C3A" w:rsidRPr="00D44D74">
        <w:rPr>
          <w:shd w:val="clear" w:color="auto" w:fill="FFFFFF"/>
          <w:lang w:val="en-CA"/>
        </w:rPr>
        <w:t xml:space="preserve">in a potentially illegal manner, and that </w:t>
      </w:r>
      <w:r w:rsidR="008D2EA0">
        <w:rPr>
          <w:shd w:val="clear" w:color="auto" w:fill="FFFFFF"/>
          <w:lang w:val="en-CA"/>
        </w:rPr>
        <w:t xml:space="preserve">such sums </w:t>
      </w:r>
      <w:r w:rsidR="002F0C3A" w:rsidRPr="00D44D74">
        <w:rPr>
          <w:shd w:val="clear" w:color="auto" w:fill="FFFFFF"/>
          <w:lang w:val="en-CA"/>
        </w:rPr>
        <w:t>are considered better protected if they are beyond the reach of those who collected them</w:t>
      </w:r>
      <w:r w:rsidR="002F0C3A" w:rsidRPr="00D44D74">
        <w:rPr>
          <w:rStyle w:val="Appelnotedebasdep"/>
          <w:shd w:val="clear" w:color="auto" w:fill="FFFFFF"/>
          <w:lang w:val="en-CA"/>
        </w:rPr>
        <w:footnoteReference w:id="5"/>
      </w:r>
      <w:r w:rsidR="00CB1AA2">
        <w:rPr>
          <w:shd w:val="clear" w:color="auto" w:fill="FFFFFF"/>
          <w:lang w:val="en-CA"/>
        </w:rPr>
        <w:t>.</w:t>
      </w:r>
    </w:p>
    <w:p w14:paraId="4E8019BA" w14:textId="4E490761" w:rsidR="002F0C3A" w:rsidRPr="00D44D74" w:rsidRDefault="00675A66" w:rsidP="002F0C3A">
      <w:pPr>
        <w:pStyle w:val="Paragraphe"/>
        <w:rPr>
          <w:lang w:val="en-CA"/>
        </w:rPr>
      </w:pPr>
      <w:r w:rsidRPr="00D44D74">
        <w:rPr>
          <w:lang w:val="en-CA"/>
        </w:rPr>
        <w:lastRenderedPageBreak/>
        <w:t xml:space="preserve">Frequently cited by the Tribunal, the </w:t>
      </w:r>
      <w:r w:rsidR="008D2EA0">
        <w:rPr>
          <w:lang w:val="en-CA"/>
        </w:rPr>
        <w:t xml:space="preserve">decision by the </w:t>
      </w:r>
      <w:r w:rsidRPr="00D44D74">
        <w:rPr>
          <w:lang w:val="en-CA"/>
        </w:rPr>
        <w:t>British Columbia Securities Commission</w:t>
      </w:r>
      <w:r w:rsidR="008D2EA0">
        <w:rPr>
          <w:lang w:val="en-CA"/>
        </w:rPr>
        <w:t xml:space="preserve"> in </w:t>
      </w:r>
      <w:proofErr w:type="spellStart"/>
      <w:r w:rsidRPr="00D44D74">
        <w:rPr>
          <w:i/>
          <w:iCs/>
          <w:lang w:val="en-CA"/>
        </w:rPr>
        <w:t>Amswiss</w:t>
      </w:r>
      <w:proofErr w:type="spellEnd"/>
      <w:r w:rsidRPr="00D44D74">
        <w:rPr>
          <w:lang w:val="en-CA"/>
        </w:rPr>
        <w:t xml:space="preserve"> clearly sets out the purpose of such orders, namely: “</w:t>
      </w:r>
      <w:r w:rsidRPr="00D44D74">
        <w:rPr>
          <w:i/>
          <w:iCs/>
          <w:lang w:val="en-CA"/>
        </w:rPr>
        <w:t>the purpose […] is to preserve property for persons who may have common law or statutory claims to or interests in it, for example by way of rescission or damages</w:t>
      </w:r>
      <w:r w:rsidRPr="00D44D74">
        <w:rPr>
          <w:lang w:val="en-CA"/>
        </w:rPr>
        <w:t>”</w:t>
      </w:r>
      <w:r w:rsidRPr="00D44D74">
        <w:rPr>
          <w:rStyle w:val="Appelnotedebasdep"/>
          <w:rFonts w:cs="Arial"/>
          <w:color w:val="000000"/>
          <w:lang w:val="en-CA"/>
        </w:rPr>
        <w:footnoteReference w:id="6"/>
      </w:r>
      <w:r w:rsidRPr="00D44D74">
        <w:rPr>
          <w:lang w:val="en-CA"/>
        </w:rPr>
        <w:t>.</w:t>
      </w:r>
    </w:p>
    <w:p w14:paraId="5D3357F4" w14:textId="67C9932F" w:rsidR="00E77ABE" w:rsidRPr="00D44D74" w:rsidRDefault="00AA07DF" w:rsidP="0095648E">
      <w:pPr>
        <w:pStyle w:val="Paragraphe"/>
        <w:rPr>
          <w:lang w:val="en-CA"/>
        </w:rPr>
      </w:pPr>
      <w:r w:rsidRPr="00D44D74">
        <w:rPr>
          <w:lang w:val="en-CA"/>
        </w:rPr>
        <w:t xml:space="preserve">Normally, freeze orders remain in place unless or until they are lifted by the </w:t>
      </w:r>
      <w:r w:rsidR="00207B58">
        <w:rPr>
          <w:lang w:val="en-CA"/>
        </w:rPr>
        <w:t xml:space="preserve">Tribunal, at the end of the </w:t>
      </w:r>
      <w:proofErr w:type="spellStart"/>
      <w:r w:rsidR="00207B58">
        <w:rPr>
          <w:lang w:val="en-CA"/>
        </w:rPr>
        <w:t>Autorité</w:t>
      </w:r>
      <w:r w:rsidRPr="00D44D74">
        <w:rPr>
          <w:lang w:val="en-CA"/>
        </w:rPr>
        <w:t>’s</w:t>
      </w:r>
      <w:proofErr w:type="spellEnd"/>
      <w:r w:rsidRPr="00D44D74">
        <w:rPr>
          <w:lang w:val="en-CA"/>
        </w:rPr>
        <w:t xml:space="preserve"> investigation in the broad sense</w:t>
      </w:r>
      <w:r w:rsidRPr="00D44D74">
        <w:rPr>
          <w:rStyle w:val="Appelnotedebasdep"/>
          <w:lang w:val="en-CA"/>
        </w:rPr>
        <w:footnoteReference w:id="7"/>
      </w:r>
      <w:r w:rsidRPr="00D44D74">
        <w:rPr>
          <w:lang w:val="en-CA"/>
        </w:rPr>
        <w:t>.</w:t>
      </w:r>
    </w:p>
    <w:p w14:paraId="05CA330F" w14:textId="1F9D3CCD" w:rsidR="00AA07DF" w:rsidRPr="00D44D74" w:rsidRDefault="00AA07DF" w:rsidP="0095648E">
      <w:pPr>
        <w:pStyle w:val="Paragraphe"/>
        <w:rPr>
          <w:lang w:val="en-CA"/>
        </w:rPr>
      </w:pPr>
      <w:r w:rsidRPr="00D44D74">
        <w:rPr>
          <w:lang w:val="en-CA"/>
        </w:rPr>
        <w:t xml:space="preserve">However, </w:t>
      </w:r>
      <w:r w:rsidR="00A77FB6">
        <w:rPr>
          <w:lang w:val="en-CA"/>
        </w:rPr>
        <w:t xml:space="preserve">application can </w:t>
      </w:r>
      <w:r w:rsidRPr="00D44D74">
        <w:rPr>
          <w:lang w:val="en-CA"/>
        </w:rPr>
        <w:t xml:space="preserve">still </w:t>
      </w:r>
      <w:r w:rsidR="00A77FB6">
        <w:rPr>
          <w:lang w:val="en-CA"/>
        </w:rPr>
        <w:t xml:space="preserve">be made </w:t>
      </w:r>
      <w:r w:rsidRPr="00D44D74">
        <w:rPr>
          <w:lang w:val="en-CA"/>
        </w:rPr>
        <w:t>to have freeze order</w:t>
      </w:r>
      <w:r w:rsidR="00BE03FE">
        <w:rPr>
          <w:lang w:val="en-CA"/>
        </w:rPr>
        <w:t>s</w:t>
      </w:r>
      <w:r w:rsidRPr="00D44D74">
        <w:rPr>
          <w:lang w:val="en-CA"/>
        </w:rPr>
        <w:t xml:space="preserve"> lifted, </w:t>
      </w:r>
      <w:r w:rsidR="00A77FB6">
        <w:rPr>
          <w:lang w:val="en-CA"/>
        </w:rPr>
        <w:t xml:space="preserve">in whole or </w:t>
      </w:r>
      <w:r w:rsidRPr="00D44D74">
        <w:rPr>
          <w:lang w:val="en-CA"/>
        </w:rPr>
        <w:t>in part, amended or revoked</w:t>
      </w:r>
      <w:r w:rsidRPr="00D44D74">
        <w:rPr>
          <w:rStyle w:val="Appelnotedebasdep"/>
          <w:lang w:val="en-CA"/>
        </w:rPr>
        <w:footnoteReference w:id="8"/>
      </w:r>
      <w:r w:rsidRPr="00D44D74">
        <w:rPr>
          <w:lang w:val="en-CA"/>
        </w:rPr>
        <w:t>.</w:t>
      </w:r>
    </w:p>
    <w:p w14:paraId="2181180D" w14:textId="7FEB63DA" w:rsidR="005D3851" w:rsidRPr="00D44D74" w:rsidRDefault="00B21D62" w:rsidP="009334C7">
      <w:pPr>
        <w:pStyle w:val="Paragraphe"/>
        <w:rPr>
          <w:lang w:val="en-CA"/>
        </w:rPr>
      </w:pPr>
      <w:r w:rsidRPr="00D44D74">
        <w:rPr>
          <w:lang w:val="en-CA"/>
        </w:rPr>
        <w:t xml:space="preserve">The Tribunal refers to its recent decision in </w:t>
      </w:r>
      <w:proofErr w:type="spellStart"/>
      <w:r w:rsidRPr="00D44D74">
        <w:rPr>
          <w:i/>
          <w:iCs/>
          <w:lang w:val="en-CA"/>
        </w:rPr>
        <w:t>Autorité</w:t>
      </w:r>
      <w:proofErr w:type="spellEnd"/>
      <w:r w:rsidRPr="00D44D74">
        <w:rPr>
          <w:i/>
          <w:iCs/>
          <w:lang w:val="en-CA"/>
        </w:rPr>
        <w:t xml:space="preserve"> des </w:t>
      </w:r>
      <w:proofErr w:type="spellStart"/>
      <w:r w:rsidRPr="00D44D74">
        <w:rPr>
          <w:i/>
          <w:iCs/>
          <w:lang w:val="en-CA"/>
        </w:rPr>
        <w:t>marchés</w:t>
      </w:r>
      <w:proofErr w:type="spellEnd"/>
      <w:r w:rsidRPr="00D44D74">
        <w:rPr>
          <w:lang w:val="en-CA"/>
        </w:rPr>
        <w:t xml:space="preserve"> </w:t>
      </w:r>
      <w:r w:rsidRPr="00D44D74">
        <w:rPr>
          <w:i/>
          <w:iCs/>
          <w:lang w:val="en-CA"/>
        </w:rPr>
        <w:t xml:space="preserve">financiers </w:t>
      </w:r>
      <w:r w:rsidRPr="00D44D74">
        <w:rPr>
          <w:lang w:val="en-CA"/>
        </w:rPr>
        <w:t xml:space="preserve">c. </w:t>
      </w:r>
      <w:r w:rsidRPr="00D44D74">
        <w:rPr>
          <w:i/>
          <w:iCs/>
          <w:lang w:val="en-CA"/>
        </w:rPr>
        <w:t>Tremblay</w:t>
      </w:r>
      <w:r w:rsidRPr="00D44D74">
        <w:rPr>
          <w:rStyle w:val="Appelnotedebasdep"/>
          <w:lang w:val="en-CA"/>
        </w:rPr>
        <w:footnoteReference w:id="9"/>
      </w:r>
      <w:r w:rsidRPr="00D44D74">
        <w:rPr>
          <w:lang w:val="en-CA"/>
        </w:rPr>
        <w:t xml:space="preserve">, which establishes the general principle </w:t>
      </w:r>
      <w:r w:rsidR="00A77FB6">
        <w:rPr>
          <w:lang w:val="en-CA"/>
        </w:rPr>
        <w:t>whereby</w:t>
      </w:r>
      <w:r w:rsidRPr="00D44D74">
        <w:rPr>
          <w:lang w:val="en-CA"/>
        </w:rPr>
        <w:t xml:space="preserve"> a freeze order can be lifted:</w:t>
      </w:r>
    </w:p>
    <w:p w14:paraId="2BC2D67A" w14:textId="5979B34C" w:rsidR="00B21D62" w:rsidRPr="00D44D74" w:rsidRDefault="00B21D62" w:rsidP="005B2A84">
      <w:pPr>
        <w:pStyle w:val="Citationendoubleretrait"/>
      </w:pPr>
      <w:r w:rsidRPr="00D44D74">
        <w:rPr>
          <w:lang w:val="en-CA"/>
        </w:rPr>
        <w:t>[TRANSLATION] “[28] A freeze order may be lifted by the Tribunal once th</w:t>
      </w:r>
      <w:r w:rsidR="00207B58">
        <w:rPr>
          <w:lang w:val="en-CA"/>
        </w:rPr>
        <w:t xml:space="preserve">e investigation by the </w:t>
      </w:r>
      <w:proofErr w:type="spellStart"/>
      <w:r w:rsidR="00207B58">
        <w:rPr>
          <w:lang w:val="en-CA"/>
        </w:rPr>
        <w:t>Autorité</w:t>
      </w:r>
      <w:proofErr w:type="spellEnd"/>
      <w:r w:rsidRPr="00D44D74">
        <w:rPr>
          <w:lang w:val="en-CA"/>
        </w:rPr>
        <w:t xml:space="preserve"> has enabled it to determine that the assets affected by the order were not collected in contravention of the law. Alternatively, the fre</w:t>
      </w:r>
      <w:r w:rsidRPr="00CB4D44">
        <w:rPr>
          <w:szCs w:val="22"/>
          <w:lang w:val="en-CA"/>
        </w:rPr>
        <w:t xml:space="preserve">eze order </w:t>
      </w:r>
      <w:r w:rsidR="00A41CD9" w:rsidRPr="00CB4D44">
        <w:rPr>
          <w:szCs w:val="22"/>
          <w:lang w:val="en-CA"/>
        </w:rPr>
        <w:t xml:space="preserve">may </w:t>
      </w:r>
      <w:r w:rsidRPr="00CB4D44">
        <w:rPr>
          <w:szCs w:val="22"/>
          <w:lang w:val="en-CA"/>
        </w:rPr>
        <w:t xml:space="preserve">also be lifted once it has been </w:t>
      </w:r>
      <w:r w:rsidR="00A4313A" w:rsidRPr="00CB4D44">
        <w:rPr>
          <w:szCs w:val="22"/>
          <w:lang w:val="en-CA"/>
        </w:rPr>
        <w:t>determine</w:t>
      </w:r>
      <w:r w:rsidR="00001C03" w:rsidRPr="00CB4D44">
        <w:rPr>
          <w:szCs w:val="22"/>
          <w:lang w:val="en-CA"/>
        </w:rPr>
        <w:t>d</w:t>
      </w:r>
      <w:r w:rsidR="00A4313A" w:rsidRPr="00CB4D44">
        <w:rPr>
          <w:szCs w:val="22"/>
          <w:lang w:val="en-CA"/>
        </w:rPr>
        <w:t xml:space="preserve"> </w:t>
      </w:r>
      <w:r w:rsidRPr="00CB4D44">
        <w:rPr>
          <w:szCs w:val="22"/>
          <w:lang w:val="en-CA"/>
        </w:rPr>
        <w:t xml:space="preserve">who owns the assets affected by the order and how the Tribunal should </w:t>
      </w:r>
      <w:r w:rsidR="00A4313A" w:rsidRPr="00CB4D44">
        <w:rPr>
          <w:szCs w:val="22"/>
          <w:lang w:val="en-CA"/>
        </w:rPr>
        <w:t xml:space="preserve">dispose of </w:t>
      </w:r>
      <w:r w:rsidRPr="00CB4D44">
        <w:rPr>
          <w:szCs w:val="22"/>
          <w:lang w:val="en-CA"/>
        </w:rPr>
        <w:t xml:space="preserve">the rights and interests of such persons in the assets. In every case, the Tribunal must ensure that the lifting of the freeze orders </w:t>
      </w:r>
      <w:r w:rsidR="00A41CD9" w:rsidRPr="00CB4D44">
        <w:rPr>
          <w:szCs w:val="22"/>
          <w:lang w:val="en-CA"/>
        </w:rPr>
        <w:t xml:space="preserve">is not contrary to </w:t>
      </w:r>
      <w:r w:rsidRPr="00CB4D44">
        <w:rPr>
          <w:szCs w:val="22"/>
          <w:lang w:val="en-CA"/>
        </w:rPr>
        <w:t xml:space="preserve">the public interest or </w:t>
      </w:r>
      <w:r w:rsidR="00A41CD9" w:rsidRPr="00CB4D44">
        <w:rPr>
          <w:szCs w:val="22"/>
          <w:lang w:val="en-CA"/>
        </w:rPr>
        <w:t xml:space="preserve">does not affect </w:t>
      </w:r>
      <w:r w:rsidRPr="00CB4D44">
        <w:rPr>
          <w:szCs w:val="22"/>
          <w:lang w:val="en-CA"/>
        </w:rPr>
        <w:t>the protection of the public.” The Tribunal may grant a lifting of the freeze orders when the claims are justified on the condition that “</w:t>
      </w:r>
      <w:r w:rsidRPr="00CB4D44">
        <w:rPr>
          <w:i/>
          <w:iCs/>
          <w:szCs w:val="22"/>
          <w:lang w:val="en-CA"/>
        </w:rPr>
        <w:t xml:space="preserve">the funds are not the result of illegal transactions carried out in contravention of the Securities Act or the </w:t>
      </w:r>
      <w:hyperlink r:id="rId8" w:history="1">
        <w:r w:rsidRPr="00CB4D44">
          <w:rPr>
            <w:i/>
            <w:iCs/>
            <w:szCs w:val="22"/>
            <w:lang w:val="en-CA"/>
          </w:rPr>
          <w:t>Act respecting the distribution of financial products and services</w:t>
        </w:r>
      </w:hyperlink>
      <w:r w:rsidRPr="00CB4D44">
        <w:rPr>
          <w:i/>
          <w:iCs/>
          <w:szCs w:val="22"/>
          <w:lang w:val="en-CA"/>
        </w:rPr>
        <w:t xml:space="preserve">, whether from verified sources </w:t>
      </w:r>
      <w:r w:rsidRPr="00CB4D44">
        <w:rPr>
          <w:color w:val="000000"/>
          <w:szCs w:val="22"/>
          <w:shd w:val="clear" w:color="auto" w:fill="FEFDF9"/>
          <w:lang w:val="en-CA"/>
        </w:rPr>
        <w:t>[...]</w:t>
      </w:r>
      <w:r w:rsidRPr="00CB4D44">
        <w:rPr>
          <w:szCs w:val="22"/>
          <w:lang w:val="en-CA"/>
        </w:rPr>
        <w:t>”</w:t>
      </w:r>
      <w:r w:rsidRPr="00CB4D44">
        <w:rPr>
          <w:rStyle w:val="Appelnotedebasdep"/>
          <w:rFonts w:cs="Arial"/>
          <w:color w:val="000000"/>
          <w:kern w:val="0"/>
          <w:szCs w:val="22"/>
          <w:lang w:val="en-CA"/>
        </w:rPr>
        <w:footnoteReference w:id="10"/>
      </w:r>
      <w:r w:rsidRPr="00CB4D44">
        <w:rPr>
          <w:szCs w:val="22"/>
          <w:lang w:val="en-CA"/>
        </w:rPr>
        <w:t>.</w:t>
      </w:r>
    </w:p>
    <w:p w14:paraId="3BD7BB28" w14:textId="71016D0C" w:rsidR="000F7644" w:rsidRPr="00D44D74" w:rsidRDefault="00405439" w:rsidP="000F0051">
      <w:pPr>
        <w:pStyle w:val="Paragraphe"/>
        <w:rPr>
          <w:lang w:val="en-CA"/>
        </w:rPr>
      </w:pPr>
      <w:r w:rsidRPr="00D44D74">
        <w:rPr>
          <w:lang w:val="en-CA"/>
        </w:rPr>
        <w:t xml:space="preserve">As the case law shows, in order to succeed, the party applying to have the freeze order lifted must demonstrate that the frozen funds do not belong in any way to investors and </w:t>
      </w:r>
      <w:proofErr w:type="gramStart"/>
      <w:r w:rsidRPr="00D44D74">
        <w:rPr>
          <w:lang w:val="en-CA"/>
        </w:rPr>
        <w:t>were not collected</w:t>
      </w:r>
      <w:proofErr w:type="gramEnd"/>
      <w:r w:rsidRPr="00D44D74">
        <w:rPr>
          <w:lang w:val="en-CA"/>
        </w:rPr>
        <w:t xml:space="preserve"> through illegal activities</w:t>
      </w:r>
      <w:r w:rsidRPr="00D44D74">
        <w:rPr>
          <w:rStyle w:val="Appelnotedebasdep"/>
          <w:lang w:val="en-CA"/>
        </w:rPr>
        <w:footnoteReference w:id="11"/>
      </w:r>
      <w:r w:rsidRPr="00D44D74">
        <w:rPr>
          <w:lang w:val="en-CA"/>
        </w:rPr>
        <w:t>.</w:t>
      </w:r>
    </w:p>
    <w:p w14:paraId="6873852F" w14:textId="65DAD282" w:rsidR="00571F5F" w:rsidRPr="00D44D74" w:rsidRDefault="000F0051" w:rsidP="000F0051">
      <w:pPr>
        <w:pStyle w:val="Paragraphe"/>
        <w:rPr>
          <w:lang w:val="en-CA"/>
        </w:rPr>
      </w:pPr>
      <w:r w:rsidRPr="00D44D74">
        <w:rPr>
          <w:lang w:val="en-CA"/>
        </w:rPr>
        <w:t xml:space="preserve"> In addition, regarding the lifting of a freeze order to pay </w:t>
      </w:r>
      <w:r w:rsidR="00287E05">
        <w:rPr>
          <w:lang w:val="en-CA"/>
        </w:rPr>
        <w:t>legal</w:t>
      </w:r>
      <w:r w:rsidRPr="00D44D74">
        <w:rPr>
          <w:lang w:val="en-CA"/>
        </w:rPr>
        <w:t xml:space="preserve"> fees, the party must also demonstrate that it </w:t>
      </w:r>
      <w:r w:rsidR="00A77FB6">
        <w:rPr>
          <w:lang w:val="en-CA"/>
        </w:rPr>
        <w:t xml:space="preserve">has no </w:t>
      </w:r>
      <w:r w:rsidRPr="00D44D74">
        <w:rPr>
          <w:lang w:val="en-CA"/>
        </w:rPr>
        <w:t xml:space="preserve">other assets to meet </w:t>
      </w:r>
      <w:r w:rsidR="00A77FB6">
        <w:rPr>
          <w:lang w:val="en-CA"/>
        </w:rPr>
        <w:t xml:space="preserve">their </w:t>
      </w:r>
      <w:r w:rsidRPr="00D44D74">
        <w:rPr>
          <w:lang w:val="en-CA"/>
        </w:rPr>
        <w:t xml:space="preserve">needs and </w:t>
      </w:r>
      <w:r w:rsidR="00A77FB6">
        <w:rPr>
          <w:lang w:val="en-CA"/>
        </w:rPr>
        <w:t xml:space="preserve">the needs of their </w:t>
      </w:r>
      <w:r w:rsidRPr="00D44D74">
        <w:rPr>
          <w:lang w:val="en-CA"/>
        </w:rPr>
        <w:t>family, and to ensure a full and complete defence</w:t>
      </w:r>
      <w:r w:rsidRPr="00D44D74">
        <w:rPr>
          <w:rStyle w:val="Appelnotedebasdep"/>
          <w:lang w:val="en-CA"/>
        </w:rPr>
        <w:footnoteReference w:id="12"/>
      </w:r>
      <w:r w:rsidRPr="00D44D74">
        <w:rPr>
          <w:lang w:val="en-CA"/>
        </w:rPr>
        <w:t>.</w:t>
      </w:r>
    </w:p>
    <w:p w14:paraId="5D97C77A" w14:textId="5C611337" w:rsidR="000F0051" w:rsidRPr="00D44D74" w:rsidRDefault="0010760D" w:rsidP="000F0051">
      <w:pPr>
        <w:pStyle w:val="Paragraphe"/>
        <w:rPr>
          <w:lang w:val="en-CA"/>
        </w:rPr>
      </w:pPr>
      <w:r w:rsidRPr="00D44D74">
        <w:rPr>
          <w:lang w:val="en-CA"/>
        </w:rPr>
        <w:t xml:space="preserve">Finally, some decisions have permitted the lifting of freeze orders when this was necessary to preserve the integrity of the </w:t>
      </w:r>
      <w:r w:rsidR="004D7060">
        <w:rPr>
          <w:lang w:val="en-CA"/>
        </w:rPr>
        <w:t xml:space="preserve">frozen </w:t>
      </w:r>
      <w:r w:rsidRPr="00D44D74">
        <w:rPr>
          <w:lang w:val="en-CA"/>
        </w:rPr>
        <w:t>assets during the investigation for the benefit of investors</w:t>
      </w:r>
      <w:r w:rsidRPr="00D44D74">
        <w:rPr>
          <w:rStyle w:val="Appelnotedebasdep"/>
          <w:lang w:val="en-CA"/>
        </w:rPr>
        <w:footnoteReference w:id="13"/>
      </w:r>
      <w:r w:rsidRPr="00D44D74">
        <w:rPr>
          <w:lang w:val="en-CA"/>
        </w:rPr>
        <w:t xml:space="preserve"> or the sale of </w:t>
      </w:r>
      <w:r w:rsidR="00617E4C">
        <w:rPr>
          <w:lang w:val="en-CA"/>
        </w:rPr>
        <w:t xml:space="preserve">depreciating </w:t>
      </w:r>
      <w:r w:rsidRPr="00D44D74">
        <w:rPr>
          <w:lang w:val="en-CA"/>
        </w:rPr>
        <w:t>assets</w:t>
      </w:r>
      <w:r w:rsidRPr="00D44D74">
        <w:rPr>
          <w:rStyle w:val="Appelnotedebasdep"/>
          <w:lang w:val="en-CA"/>
        </w:rPr>
        <w:footnoteReference w:id="14"/>
      </w:r>
      <w:r w:rsidRPr="00D44D74">
        <w:rPr>
          <w:lang w:val="en-CA"/>
        </w:rPr>
        <w:t xml:space="preserve">. </w:t>
      </w:r>
    </w:p>
    <w:p w14:paraId="7D25B700" w14:textId="27573A63" w:rsidR="000F7644" w:rsidRPr="00D44D74" w:rsidRDefault="000F7644" w:rsidP="000F0051">
      <w:pPr>
        <w:pStyle w:val="Paragraphe"/>
        <w:rPr>
          <w:lang w:val="en-CA"/>
        </w:rPr>
      </w:pPr>
      <w:r w:rsidRPr="00D44D74">
        <w:rPr>
          <w:lang w:val="en-CA"/>
        </w:rPr>
        <w:lastRenderedPageBreak/>
        <w:t>The lifting of freeze orders is exceptionally permitted by the Tribunal when necessary to avoid causing further harm to investors.</w:t>
      </w:r>
    </w:p>
    <w:p w14:paraId="64BE0BB4" w14:textId="2C10ADAA" w:rsidR="00BD10C4" w:rsidRPr="00D44D74" w:rsidRDefault="00BD10C4" w:rsidP="002A2532">
      <w:pPr>
        <w:pStyle w:val="Titre2"/>
        <w:rPr>
          <w:lang w:val="en-CA"/>
        </w:rPr>
      </w:pPr>
      <w:r w:rsidRPr="00D44D74">
        <w:rPr>
          <w:bCs/>
          <w:lang w:val="en-CA"/>
        </w:rPr>
        <w:t>Application of the facts to the law</w:t>
      </w:r>
    </w:p>
    <w:p w14:paraId="418557DD" w14:textId="378A5018" w:rsidR="00644288" w:rsidRPr="00D44D74" w:rsidRDefault="00644288" w:rsidP="003833EF">
      <w:pPr>
        <w:pStyle w:val="Paragraphe"/>
        <w:rPr>
          <w:lang w:val="en-CA"/>
        </w:rPr>
      </w:pPr>
      <w:r w:rsidRPr="00D44D74">
        <w:rPr>
          <w:lang w:val="en-CA"/>
        </w:rPr>
        <w:t xml:space="preserve"> </w:t>
      </w:r>
      <w:proofErr w:type="spellStart"/>
      <w:r w:rsidRPr="00D44D74">
        <w:rPr>
          <w:lang w:val="en-CA"/>
        </w:rPr>
        <w:t>Timechain</w:t>
      </w:r>
      <w:proofErr w:type="spellEnd"/>
      <w:r w:rsidRPr="00D44D74">
        <w:rPr>
          <w:lang w:val="en-CA"/>
        </w:rPr>
        <w:t xml:space="preserve"> and Louis </w:t>
      </w:r>
      <w:proofErr w:type="spellStart"/>
      <w:r w:rsidRPr="00D44D74">
        <w:rPr>
          <w:lang w:val="en-CA"/>
        </w:rPr>
        <w:t>Cléroux</w:t>
      </w:r>
      <w:proofErr w:type="spellEnd"/>
      <w:r w:rsidRPr="00D44D74">
        <w:rPr>
          <w:lang w:val="en-CA"/>
        </w:rPr>
        <w:t xml:space="preserve"> claim that the Tribunal must authorize the payments </w:t>
      </w:r>
      <w:r w:rsidR="00355B86">
        <w:rPr>
          <w:lang w:val="en-CA"/>
        </w:rPr>
        <w:t xml:space="preserve">sought </w:t>
      </w:r>
      <w:r w:rsidRPr="00D44D74">
        <w:rPr>
          <w:lang w:val="en-CA"/>
        </w:rPr>
        <w:t xml:space="preserve">because they are part of </w:t>
      </w:r>
      <w:proofErr w:type="spellStart"/>
      <w:r w:rsidRPr="00D44D74">
        <w:rPr>
          <w:lang w:val="en-CA"/>
        </w:rPr>
        <w:t>Timechain’s</w:t>
      </w:r>
      <w:proofErr w:type="spellEnd"/>
      <w:r w:rsidRPr="00D44D74">
        <w:rPr>
          <w:lang w:val="en-CA"/>
        </w:rPr>
        <w:t xml:space="preserve"> current expenses, are </w:t>
      </w:r>
      <w:proofErr w:type="gramStart"/>
      <w:r w:rsidRPr="00D44D74">
        <w:rPr>
          <w:lang w:val="en-CA"/>
        </w:rPr>
        <w:t>not unreasonable</w:t>
      </w:r>
      <w:proofErr w:type="gramEnd"/>
      <w:r w:rsidRPr="00D44D74">
        <w:rPr>
          <w:lang w:val="en-CA"/>
        </w:rPr>
        <w:t xml:space="preserve"> and aim to pay employees for work actually done and governments for deductions at source. With regard to the payment of </w:t>
      </w:r>
      <w:r w:rsidR="00287E05">
        <w:rPr>
          <w:lang w:val="en-CA"/>
        </w:rPr>
        <w:t>legal</w:t>
      </w:r>
      <w:r w:rsidRPr="00D44D74">
        <w:rPr>
          <w:lang w:val="en-CA"/>
        </w:rPr>
        <w:t xml:space="preserve"> fees, they consider </w:t>
      </w:r>
      <w:r w:rsidR="00355B86">
        <w:rPr>
          <w:lang w:val="en-CA"/>
        </w:rPr>
        <w:t xml:space="preserve">themselves </w:t>
      </w:r>
      <w:r w:rsidRPr="00D44D74">
        <w:rPr>
          <w:lang w:val="en-CA"/>
        </w:rPr>
        <w:t xml:space="preserve">entitled to pay </w:t>
      </w:r>
      <w:r w:rsidR="00355B86">
        <w:rPr>
          <w:lang w:val="en-CA"/>
        </w:rPr>
        <w:t xml:space="preserve">them </w:t>
      </w:r>
      <w:r w:rsidRPr="00D44D74">
        <w:rPr>
          <w:lang w:val="en-CA"/>
        </w:rPr>
        <w:t xml:space="preserve">at least </w:t>
      </w:r>
      <w:r w:rsidR="00207B58">
        <w:rPr>
          <w:lang w:val="en-CA"/>
        </w:rPr>
        <w:t xml:space="preserve">in </w:t>
      </w:r>
      <w:r w:rsidRPr="00D44D74">
        <w:rPr>
          <w:lang w:val="en-CA"/>
        </w:rPr>
        <w:t xml:space="preserve">part, in particular </w:t>
      </w:r>
      <w:r w:rsidR="00355B86">
        <w:rPr>
          <w:lang w:val="en-CA"/>
        </w:rPr>
        <w:t xml:space="preserve">considering </w:t>
      </w:r>
      <w:r w:rsidRPr="00D44D74">
        <w:rPr>
          <w:lang w:val="en-CA"/>
        </w:rPr>
        <w:t>the</w:t>
      </w:r>
      <w:r w:rsidR="00355B86">
        <w:rPr>
          <w:lang w:val="en-CA"/>
        </w:rPr>
        <w:t>ir</w:t>
      </w:r>
      <w:r w:rsidRPr="00D44D74">
        <w:rPr>
          <w:lang w:val="en-CA"/>
        </w:rPr>
        <w:t xml:space="preserve"> collaboration </w:t>
      </w:r>
      <w:r w:rsidR="00355B86">
        <w:rPr>
          <w:lang w:val="en-CA"/>
        </w:rPr>
        <w:t xml:space="preserve">with </w:t>
      </w:r>
      <w:r w:rsidR="00207B58">
        <w:rPr>
          <w:lang w:val="en-CA"/>
        </w:rPr>
        <w:t xml:space="preserve">the </w:t>
      </w:r>
      <w:proofErr w:type="spellStart"/>
      <w:r w:rsidR="00207B58">
        <w:rPr>
          <w:lang w:val="en-CA"/>
        </w:rPr>
        <w:t>Autorité</w:t>
      </w:r>
      <w:proofErr w:type="spellEnd"/>
      <w:r w:rsidRPr="00D44D74">
        <w:rPr>
          <w:lang w:val="en-CA"/>
        </w:rPr>
        <w:t xml:space="preserve">. </w:t>
      </w:r>
    </w:p>
    <w:p w14:paraId="092D1254" w14:textId="67DA62F1" w:rsidR="00BD10C4" w:rsidRPr="00D44D74" w:rsidRDefault="002A21F9" w:rsidP="00BD10C4">
      <w:pPr>
        <w:pStyle w:val="Paragraphe"/>
        <w:rPr>
          <w:rFonts w:cs="Arial"/>
          <w:color w:val="000000"/>
          <w:lang w:val="en-CA"/>
        </w:rPr>
      </w:pPr>
      <w:r w:rsidRPr="00D44D74">
        <w:rPr>
          <w:rFonts w:cs="Arial"/>
          <w:color w:val="000000"/>
          <w:lang w:val="en-CA"/>
        </w:rPr>
        <w:t xml:space="preserve">At the hearing, Louis </w:t>
      </w:r>
      <w:proofErr w:type="spellStart"/>
      <w:r w:rsidRPr="00D44D74">
        <w:rPr>
          <w:rFonts w:cs="Arial"/>
          <w:color w:val="000000"/>
          <w:lang w:val="en-CA"/>
        </w:rPr>
        <w:t>Cléroux</w:t>
      </w:r>
      <w:proofErr w:type="spellEnd"/>
      <w:r w:rsidRPr="00D44D74">
        <w:rPr>
          <w:rFonts w:cs="Arial"/>
          <w:color w:val="000000"/>
          <w:lang w:val="en-CA"/>
        </w:rPr>
        <w:t xml:space="preserve"> </w:t>
      </w:r>
      <w:r w:rsidR="003A2090">
        <w:rPr>
          <w:rFonts w:cs="Arial"/>
          <w:color w:val="000000"/>
          <w:lang w:val="en-CA"/>
        </w:rPr>
        <w:t>describes</w:t>
      </w:r>
      <w:r w:rsidR="00207B58">
        <w:rPr>
          <w:rFonts w:cs="Arial"/>
          <w:color w:val="000000"/>
          <w:lang w:val="en-CA"/>
        </w:rPr>
        <w:t xml:space="preserve"> </w:t>
      </w:r>
      <w:r w:rsidRPr="00D44D74">
        <w:rPr>
          <w:rFonts w:cs="Arial"/>
          <w:color w:val="000000"/>
          <w:lang w:val="en-CA"/>
        </w:rPr>
        <w:t xml:space="preserve">the history of </w:t>
      </w:r>
      <w:proofErr w:type="spellStart"/>
      <w:r w:rsidRPr="00D44D74">
        <w:rPr>
          <w:rFonts w:cs="Arial"/>
          <w:color w:val="000000"/>
          <w:lang w:val="en-CA"/>
        </w:rPr>
        <w:t>Timechain’s</w:t>
      </w:r>
      <w:proofErr w:type="spellEnd"/>
      <w:r w:rsidRPr="00D44D74">
        <w:rPr>
          <w:rFonts w:cs="Arial"/>
          <w:color w:val="000000"/>
          <w:lang w:val="en-CA"/>
        </w:rPr>
        <w:t xml:space="preserve"> activities and its financing. He </w:t>
      </w:r>
      <w:r w:rsidR="003A2090">
        <w:rPr>
          <w:rFonts w:cs="Arial"/>
          <w:color w:val="000000"/>
          <w:lang w:val="en-CA"/>
        </w:rPr>
        <w:t>says</w:t>
      </w:r>
      <w:r w:rsidR="00C76D19">
        <w:rPr>
          <w:rFonts w:cs="Arial"/>
          <w:color w:val="000000"/>
          <w:lang w:val="en-CA"/>
        </w:rPr>
        <w:t xml:space="preserve"> </w:t>
      </w:r>
      <w:r w:rsidRPr="00D44D74">
        <w:rPr>
          <w:rFonts w:cs="Arial"/>
          <w:color w:val="000000"/>
          <w:lang w:val="en-CA"/>
        </w:rPr>
        <w:t xml:space="preserve">that </w:t>
      </w:r>
      <w:proofErr w:type="spellStart"/>
      <w:r w:rsidRPr="00D44D74">
        <w:rPr>
          <w:rFonts w:cs="Arial"/>
          <w:color w:val="000000"/>
          <w:lang w:val="en-CA"/>
        </w:rPr>
        <w:t>Timechain</w:t>
      </w:r>
      <w:proofErr w:type="spellEnd"/>
      <w:r w:rsidRPr="00D44D74">
        <w:rPr>
          <w:rFonts w:cs="Arial"/>
          <w:color w:val="000000"/>
          <w:lang w:val="en-CA"/>
        </w:rPr>
        <w:t xml:space="preserve"> </w:t>
      </w:r>
      <w:r w:rsidR="00C76D19">
        <w:rPr>
          <w:rFonts w:cs="Arial"/>
          <w:color w:val="000000"/>
          <w:lang w:val="en-CA"/>
        </w:rPr>
        <w:t xml:space="preserve">had obtained </w:t>
      </w:r>
      <w:r w:rsidRPr="00D44D74">
        <w:rPr>
          <w:rFonts w:cs="Arial"/>
          <w:color w:val="000000"/>
          <w:lang w:val="en-CA"/>
        </w:rPr>
        <w:t>its financing through incubators made up of entrepreneurs and by issuing convertible notes.</w:t>
      </w:r>
    </w:p>
    <w:p w14:paraId="0B79B5B5" w14:textId="3B61D1EA" w:rsidR="00BD10C4" w:rsidRPr="00D44D74" w:rsidRDefault="00F66387" w:rsidP="00CA349B">
      <w:pPr>
        <w:pStyle w:val="Paragraphe"/>
        <w:rPr>
          <w:rFonts w:cs="Arial"/>
          <w:color w:val="000000"/>
          <w:lang w:val="en-CA"/>
        </w:rPr>
      </w:pPr>
      <w:r w:rsidRPr="00D44D74">
        <w:rPr>
          <w:rFonts w:cs="Arial"/>
          <w:color w:val="000000"/>
          <w:lang w:val="en-CA"/>
        </w:rPr>
        <w:t xml:space="preserve">According to Louis </w:t>
      </w:r>
      <w:proofErr w:type="spellStart"/>
      <w:r w:rsidRPr="00D44D74">
        <w:rPr>
          <w:rFonts w:cs="Arial"/>
          <w:color w:val="000000"/>
          <w:lang w:val="en-CA"/>
        </w:rPr>
        <w:t>Cléroux</w:t>
      </w:r>
      <w:proofErr w:type="spellEnd"/>
      <w:r w:rsidRPr="00D44D74">
        <w:rPr>
          <w:rFonts w:cs="Arial"/>
          <w:color w:val="000000"/>
          <w:lang w:val="en-CA"/>
        </w:rPr>
        <w:t xml:space="preserve">, only 12 or 13 investors </w:t>
      </w:r>
      <w:r w:rsidR="00C76D19">
        <w:rPr>
          <w:rFonts w:cs="Arial"/>
          <w:color w:val="000000"/>
          <w:lang w:val="en-CA"/>
        </w:rPr>
        <w:t xml:space="preserve">had </w:t>
      </w:r>
      <w:bookmarkEnd w:id="5"/>
      <w:r w:rsidRPr="00D44D74">
        <w:rPr>
          <w:rFonts w:cs="Arial"/>
          <w:color w:val="000000"/>
          <w:lang w:val="en-CA"/>
        </w:rPr>
        <w:t xml:space="preserve">acquired convertible notes and, to date, six investors </w:t>
      </w:r>
      <w:proofErr w:type="gramStart"/>
      <w:r w:rsidRPr="00D44D74">
        <w:rPr>
          <w:rFonts w:cs="Arial"/>
          <w:color w:val="000000"/>
          <w:lang w:val="en-CA"/>
        </w:rPr>
        <w:t>have still not been reimbursed</w:t>
      </w:r>
      <w:proofErr w:type="gramEnd"/>
      <w:r w:rsidRPr="00D44D74">
        <w:rPr>
          <w:rFonts w:cs="Arial"/>
          <w:color w:val="000000"/>
          <w:lang w:val="en-CA"/>
        </w:rPr>
        <w:t xml:space="preserve">. </w:t>
      </w:r>
    </w:p>
    <w:p w14:paraId="70E04FE1" w14:textId="32BEDC92" w:rsidR="00DB73D0" w:rsidRPr="00D44D74" w:rsidRDefault="002C4CAC" w:rsidP="00DB73D0">
      <w:pPr>
        <w:pStyle w:val="Paragraphe"/>
        <w:rPr>
          <w:rFonts w:cs="Arial"/>
          <w:color w:val="000000"/>
          <w:lang w:val="en-CA"/>
        </w:rPr>
      </w:pPr>
      <w:r w:rsidRPr="00D44D74">
        <w:rPr>
          <w:rFonts w:cs="Arial"/>
          <w:color w:val="000000"/>
          <w:lang w:val="en-CA"/>
        </w:rPr>
        <w:t xml:space="preserve">He claims that </w:t>
      </w:r>
      <w:proofErr w:type="spellStart"/>
      <w:r w:rsidRPr="00D44D74">
        <w:rPr>
          <w:rFonts w:cs="Arial"/>
          <w:color w:val="000000"/>
          <w:lang w:val="en-CA"/>
        </w:rPr>
        <w:t>Timechain</w:t>
      </w:r>
      <w:proofErr w:type="spellEnd"/>
      <w:r w:rsidRPr="00D44D74">
        <w:rPr>
          <w:rFonts w:cs="Arial"/>
          <w:color w:val="000000"/>
          <w:lang w:val="en-CA"/>
        </w:rPr>
        <w:t xml:space="preserve"> is indebted to these six investors only and he does not consider the people who acquired </w:t>
      </w:r>
      <w:proofErr w:type="spellStart"/>
      <w:r w:rsidRPr="00D44D74">
        <w:rPr>
          <w:rFonts w:cs="Arial"/>
          <w:color w:val="000000"/>
          <w:lang w:val="en-CA"/>
        </w:rPr>
        <w:t>Timechain's</w:t>
      </w:r>
      <w:proofErr w:type="spellEnd"/>
      <w:r w:rsidRPr="00D44D74">
        <w:rPr>
          <w:rFonts w:cs="Arial"/>
          <w:color w:val="000000"/>
          <w:lang w:val="en-CA"/>
        </w:rPr>
        <w:t xml:space="preserve"> TCS token to be "investors." Moreover, in their application to have the freeze orders partially lifted, </w:t>
      </w:r>
      <w:proofErr w:type="spellStart"/>
      <w:r w:rsidRPr="00D44D74">
        <w:rPr>
          <w:rFonts w:cs="Arial"/>
          <w:color w:val="000000"/>
          <w:lang w:val="en-CA"/>
        </w:rPr>
        <w:t>Timechain</w:t>
      </w:r>
      <w:proofErr w:type="spellEnd"/>
      <w:r w:rsidRPr="00D44D74">
        <w:rPr>
          <w:rFonts w:cs="Arial"/>
          <w:color w:val="000000"/>
          <w:lang w:val="en-CA"/>
        </w:rPr>
        <w:t xml:space="preserve"> and Louis </w:t>
      </w:r>
      <w:proofErr w:type="spellStart"/>
      <w:r w:rsidRPr="00D44D74">
        <w:rPr>
          <w:rFonts w:cs="Arial"/>
          <w:color w:val="000000"/>
          <w:lang w:val="en-CA"/>
        </w:rPr>
        <w:t>Cléroux</w:t>
      </w:r>
      <w:proofErr w:type="spellEnd"/>
      <w:r w:rsidRPr="00D44D74">
        <w:rPr>
          <w:rFonts w:cs="Arial"/>
          <w:color w:val="000000"/>
          <w:lang w:val="en-CA"/>
        </w:rPr>
        <w:t xml:space="preserve"> allege that </w:t>
      </w:r>
      <w:r w:rsidR="00C76D19">
        <w:rPr>
          <w:rFonts w:cs="Arial"/>
          <w:color w:val="000000"/>
          <w:lang w:val="en-CA"/>
        </w:rPr>
        <w:t xml:space="preserve">the payments they wish to make will cause no prejudice to </w:t>
      </w:r>
      <w:r w:rsidRPr="00D44D74">
        <w:rPr>
          <w:rFonts w:cs="Arial"/>
          <w:color w:val="000000"/>
          <w:lang w:val="en-CA"/>
        </w:rPr>
        <w:t xml:space="preserve">the unpaid investors. </w:t>
      </w:r>
    </w:p>
    <w:p w14:paraId="4A16A6A7" w14:textId="11DBB791" w:rsidR="00DB73D0" w:rsidRPr="00D44D74" w:rsidRDefault="00207B58" w:rsidP="0035629B">
      <w:pPr>
        <w:pStyle w:val="Paragraphe"/>
        <w:rPr>
          <w:lang w:val="en-CA"/>
        </w:rPr>
      </w:pPr>
      <w:r>
        <w:rPr>
          <w:lang w:val="en-CA"/>
        </w:rPr>
        <w:t xml:space="preserve">The </w:t>
      </w:r>
      <w:proofErr w:type="spellStart"/>
      <w:r>
        <w:rPr>
          <w:lang w:val="en-CA"/>
        </w:rPr>
        <w:t>Autorité</w:t>
      </w:r>
      <w:proofErr w:type="spellEnd"/>
      <w:r w:rsidR="00DB73D0" w:rsidRPr="00D44D74">
        <w:rPr>
          <w:lang w:val="en-CA"/>
        </w:rPr>
        <w:t xml:space="preserve"> disputes the number of investors </w:t>
      </w:r>
      <w:r w:rsidR="00C76D19">
        <w:rPr>
          <w:lang w:val="en-CA"/>
        </w:rPr>
        <w:t>purported</w:t>
      </w:r>
      <w:r w:rsidR="00DB73D0" w:rsidRPr="00D44D74">
        <w:rPr>
          <w:lang w:val="en-CA"/>
        </w:rPr>
        <w:t xml:space="preserve"> by Louis </w:t>
      </w:r>
      <w:proofErr w:type="spellStart"/>
      <w:r w:rsidR="00DB73D0" w:rsidRPr="00D44D74">
        <w:rPr>
          <w:lang w:val="en-CA"/>
        </w:rPr>
        <w:t>Cléroux</w:t>
      </w:r>
      <w:proofErr w:type="spellEnd"/>
      <w:r w:rsidR="00DB73D0" w:rsidRPr="00D44D74">
        <w:rPr>
          <w:lang w:val="en-CA"/>
        </w:rPr>
        <w:t>. According to the investigator who testifi</w:t>
      </w:r>
      <w:r>
        <w:rPr>
          <w:lang w:val="en-CA"/>
        </w:rPr>
        <w:t xml:space="preserve">ed at the hearing, the </w:t>
      </w:r>
      <w:proofErr w:type="spellStart"/>
      <w:r>
        <w:rPr>
          <w:lang w:val="en-CA"/>
        </w:rPr>
        <w:t>Autorité</w:t>
      </w:r>
      <w:r w:rsidR="00DB73D0" w:rsidRPr="00D44D74">
        <w:rPr>
          <w:lang w:val="en-CA"/>
        </w:rPr>
        <w:t>'s</w:t>
      </w:r>
      <w:proofErr w:type="spellEnd"/>
      <w:r w:rsidR="00DB73D0" w:rsidRPr="00D44D74">
        <w:rPr>
          <w:lang w:val="en-CA"/>
        </w:rPr>
        <w:t xml:space="preserve"> investigation identified more than 20 potential investors in addition to the 6,000 people who acquired the TCS token. In addition, several people holding cryptocurrencies on the </w:t>
      </w:r>
      <w:proofErr w:type="spellStart"/>
      <w:r w:rsidR="00DB73D0" w:rsidRPr="00D44D74">
        <w:rPr>
          <w:lang w:val="en-CA"/>
        </w:rPr>
        <w:t>Timechain</w:t>
      </w:r>
      <w:proofErr w:type="spellEnd"/>
      <w:r w:rsidR="00DB73D0" w:rsidRPr="00D44D74">
        <w:rPr>
          <w:lang w:val="en-CA"/>
        </w:rPr>
        <w:t xml:space="preserve"> platform have still not been reimbursed.</w:t>
      </w:r>
    </w:p>
    <w:p w14:paraId="25D92153" w14:textId="50F1742E" w:rsidR="007C2690" w:rsidRPr="00D44D74" w:rsidRDefault="00F94DC0" w:rsidP="00CA349B">
      <w:pPr>
        <w:pStyle w:val="Paragraphe"/>
        <w:rPr>
          <w:rFonts w:cs="Arial"/>
          <w:color w:val="000000"/>
          <w:lang w:val="en-CA"/>
        </w:rPr>
      </w:pPr>
      <w:r w:rsidRPr="00D44D74">
        <w:rPr>
          <w:rFonts w:cs="Arial"/>
          <w:color w:val="000000"/>
          <w:lang w:val="en-CA"/>
        </w:rPr>
        <w:t xml:space="preserve">Louis </w:t>
      </w:r>
      <w:proofErr w:type="spellStart"/>
      <w:r w:rsidRPr="00D44D74">
        <w:rPr>
          <w:rFonts w:cs="Arial"/>
          <w:color w:val="000000"/>
          <w:lang w:val="en-CA"/>
        </w:rPr>
        <w:t>Cléroux</w:t>
      </w:r>
      <w:proofErr w:type="spellEnd"/>
      <w:r w:rsidRPr="00D44D74">
        <w:rPr>
          <w:rFonts w:cs="Arial"/>
          <w:color w:val="000000"/>
          <w:lang w:val="en-CA"/>
        </w:rPr>
        <w:t xml:space="preserve"> explain</w:t>
      </w:r>
      <w:r w:rsidR="008E0DCC">
        <w:rPr>
          <w:rFonts w:cs="Arial"/>
          <w:color w:val="000000"/>
          <w:lang w:val="en-CA"/>
        </w:rPr>
        <w:t>s</w:t>
      </w:r>
      <w:r w:rsidRPr="00D44D74">
        <w:rPr>
          <w:rFonts w:cs="Arial"/>
          <w:color w:val="000000"/>
          <w:lang w:val="en-CA"/>
        </w:rPr>
        <w:t xml:space="preserve"> to the Tribunal that </w:t>
      </w:r>
      <w:proofErr w:type="spellStart"/>
      <w:r w:rsidRPr="00D44D74">
        <w:rPr>
          <w:rFonts w:cs="Arial"/>
          <w:color w:val="000000"/>
          <w:lang w:val="en-CA"/>
        </w:rPr>
        <w:t>Timechain</w:t>
      </w:r>
      <w:proofErr w:type="spellEnd"/>
      <w:r w:rsidRPr="00D44D74">
        <w:rPr>
          <w:rFonts w:cs="Arial"/>
          <w:color w:val="000000"/>
          <w:lang w:val="en-CA"/>
        </w:rPr>
        <w:t xml:space="preserve"> receiv</w:t>
      </w:r>
      <w:r w:rsidR="00207B58">
        <w:rPr>
          <w:rFonts w:cs="Arial"/>
          <w:color w:val="000000"/>
          <w:lang w:val="en-CA"/>
        </w:rPr>
        <w:t xml:space="preserve">ed a formal notice from the </w:t>
      </w:r>
      <w:proofErr w:type="spellStart"/>
      <w:r w:rsidR="00207B58">
        <w:rPr>
          <w:rFonts w:cs="Arial"/>
          <w:color w:val="000000"/>
          <w:lang w:val="en-CA"/>
        </w:rPr>
        <w:t>Aut</w:t>
      </w:r>
      <w:r w:rsidRPr="00D44D74">
        <w:rPr>
          <w:rFonts w:cs="Arial"/>
          <w:color w:val="000000"/>
          <w:lang w:val="en-CA"/>
        </w:rPr>
        <w:t>orit</w:t>
      </w:r>
      <w:r w:rsidR="00207B58">
        <w:rPr>
          <w:rFonts w:cs="Arial"/>
          <w:color w:val="000000"/>
          <w:lang w:val="en-CA"/>
        </w:rPr>
        <w:t>é</w:t>
      </w:r>
      <w:proofErr w:type="spellEnd"/>
      <w:r w:rsidRPr="00D44D74">
        <w:rPr>
          <w:rFonts w:cs="Arial"/>
          <w:color w:val="000000"/>
          <w:lang w:val="en-CA"/>
        </w:rPr>
        <w:t xml:space="preserve"> ordering </w:t>
      </w:r>
      <w:proofErr w:type="spellStart"/>
      <w:r w:rsidRPr="00D44D74">
        <w:rPr>
          <w:rFonts w:cs="Arial"/>
          <w:color w:val="000000"/>
          <w:lang w:val="en-CA"/>
        </w:rPr>
        <w:t>Timechain</w:t>
      </w:r>
      <w:proofErr w:type="spellEnd"/>
      <w:r w:rsidR="00C76D19">
        <w:rPr>
          <w:rFonts w:cs="Arial"/>
          <w:color w:val="000000"/>
          <w:lang w:val="en-CA"/>
        </w:rPr>
        <w:t xml:space="preserve"> to cease its</w:t>
      </w:r>
      <w:r w:rsidRPr="00D44D74">
        <w:rPr>
          <w:rFonts w:cs="Arial"/>
          <w:color w:val="000000"/>
          <w:lang w:val="en-CA"/>
        </w:rPr>
        <w:t xml:space="preserve"> activities on May 13, 2022. A few days later, </w:t>
      </w:r>
      <w:proofErr w:type="spellStart"/>
      <w:r w:rsidRPr="00D44D74">
        <w:rPr>
          <w:rFonts w:cs="Arial"/>
          <w:color w:val="000000"/>
          <w:lang w:val="en-CA"/>
        </w:rPr>
        <w:t>Timechain</w:t>
      </w:r>
      <w:proofErr w:type="spellEnd"/>
      <w:r w:rsidRPr="00D44D74">
        <w:rPr>
          <w:rFonts w:cs="Arial"/>
          <w:color w:val="000000"/>
          <w:lang w:val="en-CA"/>
        </w:rPr>
        <w:t xml:space="preserve"> </w:t>
      </w:r>
      <w:r w:rsidR="00A30C80" w:rsidRPr="00D44D74">
        <w:rPr>
          <w:rFonts w:cs="Arial"/>
          <w:color w:val="000000"/>
          <w:lang w:val="en-CA"/>
        </w:rPr>
        <w:t>la</w:t>
      </w:r>
      <w:r w:rsidR="00A30C80">
        <w:rPr>
          <w:rFonts w:cs="Arial"/>
          <w:color w:val="000000"/>
          <w:lang w:val="en-CA"/>
        </w:rPr>
        <w:t>ys</w:t>
      </w:r>
      <w:r w:rsidR="00A30C80" w:rsidRPr="00D44D74">
        <w:rPr>
          <w:rFonts w:cs="Arial"/>
          <w:color w:val="000000"/>
          <w:lang w:val="en-CA"/>
        </w:rPr>
        <w:t xml:space="preserve"> </w:t>
      </w:r>
      <w:r w:rsidRPr="00D44D74">
        <w:rPr>
          <w:rFonts w:cs="Arial"/>
          <w:color w:val="000000"/>
          <w:lang w:val="en-CA"/>
        </w:rPr>
        <w:t>off all its employees and</w:t>
      </w:r>
      <w:r w:rsidR="008E0DCC">
        <w:rPr>
          <w:rFonts w:cs="Arial"/>
          <w:color w:val="000000"/>
          <w:lang w:val="en-CA"/>
        </w:rPr>
        <w:t xml:space="preserve"> ceases</w:t>
      </w:r>
      <w:r w:rsidRPr="00D44D74">
        <w:rPr>
          <w:rFonts w:cs="Arial"/>
          <w:color w:val="000000"/>
          <w:lang w:val="en-CA"/>
        </w:rPr>
        <w:t xml:space="preserve"> its operations. </w:t>
      </w:r>
    </w:p>
    <w:p w14:paraId="599540B2" w14:textId="17CD388D" w:rsidR="00356420" w:rsidRPr="00D44D74" w:rsidRDefault="00E83425" w:rsidP="00CA349B">
      <w:pPr>
        <w:pStyle w:val="Paragraphe"/>
        <w:rPr>
          <w:rFonts w:cs="Arial"/>
          <w:color w:val="000000"/>
          <w:lang w:val="en-CA"/>
        </w:rPr>
      </w:pPr>
      <w:r w:rsidRPr="00D44D74">
        <w:rPr>
          <w:rFonts w:cs="Arial"/>
          <w:color w:val="000000"/>
          <w:lang w:val="en-CA"/>
        </w:rPr>
        <w:t xml:space="preserve">Between May 13, 2022 and May 30, 2022, Louis </w:t>
      </w:r>
      <w:proofErr w:type="spellStart"/>
      <w:r w:rsidRPr="00D44D74">
        <w:rPr>
          <w:rFonts w:cs="Arial"/>
          <w:color w:val="000000"/>
          <w:lang w:val="en-CA"/>
        </w:rPr>
        <w:t>Cléroux</w:t>
      </w:r>
      <w:proofErr w:type="spellEnd"/>
      <w:r w:rsidRPr="00D44D74">
        <w:rPr>
          <w:rFonts w:cs="Arial"/>
          <w:color w:val="000000"/>
          <w:lang w:val="en-CA"/>
        </w:rPr>
        <w:t xml:space="preserve"> cho</w:t>
      </w:r>
      <w:r w:rsidR="00A30C80">
        <w:rPr>
          <w:rFonts w:cs="Arial"/>
          <w:color w:val="000000"/>
          <w:lang w:val="en-CA"/>
        </w:rPr>
        <w:t>o</w:t>
      </w:r>
      <w:r w:rsidRPr="00D44D74">
        <w:rPr>
          <w:rFonts w:cs="Arial"/>
          <w:color w:val="000000"/>
          <w:lang w:val="en-CA"/>
        </w:rPr>
        <w:t>se</w:t>
      </w:r>
      <w:r w:rsidR="00A30C80">
        <w:rPr>
          <w:rFonts w:cs="Arial"/>
          <w:color w:val="000000"/>
          <w:lang w:val="en-CA"/>
        </w:rPr>
        <w:t>s</w:t>
      </w:r>
      <w:r w:rsidRPr="00D44D74">
        <w:rPr>
          <w:rFonts w:cs="Arial"/>
          <w:color w:val="000000"/>
          <w:lang w:val="en-CA"/>
        </w:rPr>
        <w:t xml:space="preserve"> to make certain reimbursements. Louis </w:t>
      </w:r>
      <w:proofErr w:type="spellStart"/>
      <w:r w:rsidRPr="00D44D74">
        <w:rPr>
          <w:rFonts w:cs="Arial"/>
          <w:color w:val="000000"/>
          <w:lang w:val="en-CA"/>
        </w:rPr>
        <w:t>Cléroux</w:t>
      </w:r>
      <w:proofErr w:type="spellEnd"/>
      <w:r w:rsidRPr="00D44D74">
        <w:rPr>
          <w:rFonts w:cs="Arial"/>
          <w:color w:val="000000"/>
          <w:lang w:val="en-CA"/>
        </w:rPr>
        <w:t xml:space="preserve"> </w:t>
      </w:r>
      <w:r w:rsidR="00A30C80" w:rsidRPr="00D44D74">
        <w:rPr>
          <w:rFonts w:cs="Arial"/>
          <w:color w:val="000000"/>
          <w:lang w:val="en-CA"/>
        </w:rPr>
        <w:t>state</w:t>
      </w:r>
      <w:r w:rsidR="00A30C80">
        <w:rPr>
          <w:rFonts w:cs="Arial"/>
          <w:color w:val="000000"/>
          <w:lang w:val="en-CA"/>
        </w:rPr>
        <w:t>s</w:t>
      </w:r>
      <w:r w:rsidR="00C76D19">
        <w:rPr>
          <w:rFonts w:cs="Arial"/>
          <w:color w:val="000000"/>
          <w:lang w:val="en-CA"/>
        </w:rPr>
        <w:t xml:space="preserve"> </w:t>
      </w:r>
      <w:r w:rsidRPr="00D44D74">
        <w:rPr>
          <w:rFonts w:cs="Arial"/>
          <w:color w:val="000000"/>
          <w:lang w:val="en-CA"/>
        </w:rPr>
        <w:t xml:space="preserve">that he had no doubt </w:t>
      </w:r>
      <w:r w:rsidR="00287E05">
        <w:rPr>
          <w:rFonts w:cs="Arial"/>
          <w:color w:val="000000"/>
          <w:lang w:val="en-CA"/>
        </w:rPr>
        <w:t xml:space="preserve">did not anticipate </w:t>
      </w:r>
      <w:r w:rsidR="00207B58">
        <w:rPr>
          <w:rFonts w:cs="Arial"/>
          <w:color w:val="000000"/>
          <w:lang w:val="en-CA"/>
        </w:rPr>
        <w:t xml:space="preserve">that the </w:t>
      </w:r>
      <w:proofErr w:type="spellStart"/>
      <w:r w:rsidR="00207B58">
        <w:rPr>
          <w:rFonts w:cs="Arial"/>
          <w:color w:val="000000"/>
          <w:lang w:val="en-CA"/>
        </w:rPr>
        <w:t>Aut</w:t>
      </w:r>
      <w:r w:rsidRPr="00D44D74">
        <w:rPr>
          <w:rFonts w:cs="Arial"/>
          <w:color w:val="000000"/>
          <w:lang w:val="en-CA"/>
        </w:rPr>
        <w:t>orit</w:t>
      </w:r>
      <w:r w:rsidR="00207B58">
        <w:rPr>
          <w:rFonts w:cs="Arial"/>
          <w:color w:val="000000"/>
          <w:lang w:val="en-CA"/>
        </w:rPr>
        <w:t>é</w:t>
      </w:r>
      <w:proofErr w:type="spellEnd"/>
      <w:r w:rsidRPr="00D44D74">
        <w:rPr>
          <w:rFonts w:cs="Arial"/>
          <w:color w:val="000000"/>
          <w:lang w:val="en-CA"/>
        </w:rPr>
        <w:t xml:space="preserve"> would ask the Tribunal to issue the freeze orders on May 30, 2022. He </w:t>
      </w:r>
      <w:r w:rsidR="00A30C80" w:rsidRPr="00D44D74">
        <w:rPr>
          <w:rFonts w:cs="Arial"/>
          <w:color w:val="000000"/>
          <w:lang w:val="en-CA"/>
        </w:rPr>
        <w:t>decide</w:t>
      </w:r>
      <w:r w:rsidR="00A30C80">
        <w:rPr>
          <w:rFonts w:cs="Arial"/>
          <w:color w:val="000000"/>
          <w:lang w:val="en-CA"/>
        </w:rPr>
        <w:t>s</w:t>
      </w:r>
      <w:r w:rsidR="00A30C80" w:rsidRPr="00D44D74">
        <w:rPr>
          <w:rFonts w:cs="Arial"/>
          <w:color w:val="000000"/>
          <w:lang w:val="en-CA"/>
        </w:rPr>
        <w:t xml:space="preserve"> </w:t>
      </w:r>
      <w:r w:rsidRPr="00D44D74">
        <w:rPr>
          <w:rFonts w:cs="Arial"/>
          <w:color w:val="000000"/>
          <w:lang w:val="en-CA"/>
        </w:rPr>
        <w:t xml:space="preserve">to reimburse some people rather than others because he </w:t>
      </w:r>
      <w:r w:rsidR="00A30C80" w:rsidRPr="00D44D74">
        <w:rPr>
          <w:rFonts w:cs="Arial"/>
          <w:color w:val="000000"/>
          <w:lang w:val="en-CA"/>
        </w:rPr>
        <w:t>believe</w:t>
      </w:r>
      <w:r w:rsidR="00A30C80">
        <w:rPr>
          <w:rFonts w:cs="Arial"/>
          <w:color w:val="000000"/>
          <w:lang w:val="en-CA"/>
        </w:rPr>
        <w:t>s</w:t>
      </w:r>
      <w:r w:rsidR="00A30C80" w:rsidRPr="00D44D74">
        <w:rPr>
          <w:rFonts w:cs="Arial"/>
          <w:color w:val="000000"/>
          <w:lang w:val="en-CA"/>
        </w:rPr>
        <w:t xml:space="preserve"> </w:t>
      </w:r>
      <w:r w:rsidRPr="00D44D74">
        <w:rPr>
          <w:rFonts w:cs="Arial"/>
          <w:color w:val="000000"/>
          <w:lang w:val="en-CA"/>
        </w:rPr>
        <w:t xml:space="preserve">he </w:t>
      </w:r>
      <w:r w:rsidR="00A30C80" w:rsidRPr="00D44D74">
        <w:rPr>
          <w:rFonts w:cs="Arial"/>
          <w:color w:val="000000"/>
          <w:lang w:val="en-CA"/>
        </w:rPr>
        <w:t>ha</w:t>
      </w:r>
      <w:r w:rsidR="00A30C80">
        <w:rPr>
          <w:rFonts w:cs="Arial"/>
          <w:color w:val="000000"/>
          <w:lang w:val="en-CA"/>
        </w:rPr>
        <w:t>s</w:t>
      </w:r>
      <w:r w:rsidR="00A30C80" w:rsidRPr="00D44D74">
        <w:rPr>
          <w:rFonts w:cs="Arial"/>
          <w:color w:val="000000"/>
          <w:lang w:val="en-CA"/>
        </w:rPr>
        <w:t xml:space="preserve"> </w:t>
      </w:r>
      <w:r w:rsidRPr="00D44D74">
        <w:rPr>
          <w:rFonts w:cs="Arial"/>
          <w:color w:val="000000"/>
          <w:lang w:val="en-CA"/>
        </w:rPr>
        <w:t xml:space="preserve">time to reimburse all of the investors. </w:t>
      </w:r>
    </w:p>
    <w:p w14:paraId="1A728D22" w14:textId="482B26BE" w:rsidR="00356420" w:rsidRPr="00D44D74" w:rsidRDefault="00411998" w:rsidP="00CA349B">
      <w:pPr>
        <w:pStyle w:val="Paragraphe"/>
        <w:rPr>
          <w:rFonts w:cs="Arial"/>
          <w:color w:val="000000"/>
          <w:lang w:val="en-CA"/>
        </w:rPr>
      </w:pPr>
      <w:r w:rsidRPr="00D44D74">
        <w:rPr>
          <w:rFonts w:cs="Arial"/>
          <w:color w:val="000000"/>
          <w:lang w:val="en-CA"/>
        </w:rPr>
        <w:t xml:space="preserve">Regarding the payment of salaries and deductions at source </w:t>
      </w:r>
      <w:r w:rsidR="00C76D19">
        <w:rPr>
          <w:rFonts w:cs="Arial"/>
          <w:color w:val="000000"/>
          <w:lang w:val="en-CA"/>
        </w:rPr>
        <w:t xml:space="preserve">owing </w:t>
      </w:r>
      <w:r w:rsidRPr="00D44D74">
        <w:rPr>
          <w:rFonts w:cs="Arial"/>
          <w:color w:val="000000"/>
          <w:lang w:val="en-CA"/>
        </w:rPr>
        <w:t xml:space="preserve">to </w:t>
      </w:r>
      <w:proofErr w:type="spellStart"/>
      <w:r w:rsidRPr="00D44D74">
        <w:rPr>
          <w:rFonts w:cs="Arial"/>
          <w:color w:val="000000"/>
          <w:lang w:val="en-CA"/>
        </w:rPr>
        <w:t>Revenu</w:t>
      </w:r>
      <w:proofErr w:type="spellEnd"/>
      <w:r w:rsidRPr="00D44D74">
        <w:rPr>
          <w:rFonts w:cs="Arial"/>
          <w:color w:val="000000"/>
          <w:lang w:val="en-CA"/>
        </w:rPr>
        <w:t xml:space="preserve"> Québec and the Canada Revenue Agency, Louis </w:t>
      </w:r>
      <w:proofErr w:type="spellStart"/>
      <w:r w:rsidRPr="00D44D74">
        <w:rPr>
          <w:rFonts w:cs="Arial"/>
          <w:color w:val="000000"/>
          <w:lang w:val="en-CA"/>
        </w:rPr>
        <w:t>Cléroux</w:t>
      </w:r>
      <w:proofErr w:type="spellEnd"/>
      <w:r w:rsidRPr="00D44D74">
        <w:rPr>
          <w:rFonts w:cs="Arial"/>
          <w:color w:val="000000"/>
          <w:lang w:val="en-CA"/>
        </w:rPr>
        <w:t xml:space="preserve"> </w:t>
      </w:r>
      <w:r w:rsidR="00A30C80" w:rsidRPr="00D44D74">
        <w:rPr>
          <w:rFonts w:cs="Arial"/>
          <w:color w:val="000000"/>
          <w:lang w:val="en-CA"/>
        </w:rPr>
        <w:t>testifie</w:t>
      </w:r>
      <w:r w:rsidR="00A30C80">
        <w:rPr>
          <w:rFonts w:cs="Arial"/>
          <w:color w:val="000000"/>
          <w:lang w:val="en-CA"/>
        </w:rPr>
        <w:t>s</w:t>
      </w:r>
      <w:r w:rsidR="00C76D19">
        <w:rPr>
          <w:rFonts w:cs="Arial"/>
          <w:color w:val="000000"/>
          <w:lang w:val="en-CA"/>
        </w:rPr>
        <w:t xml:space="preserve"> </w:t>
      </w:r>
      <w:r w:rsidRPr="00D44D74">
        <w:rPr>
          <w:rFonts w:cs="Arial"/>
          <w:color w:val="000000"/>
          <w:lang w:val="en-CA"/>
        </w:rPr>
        <w:t xml:space="preserve">that </w:t>
      </w:r>
      <w:proofErr w:type="spellStart"/>
      <w:r w:rsidRPr="00D44D74">
        <w:rPr>
          <w:rFonts w:cs="Arial"/>
          <w:color w:val="000000"/>
          <w:lang w:val="en-CA"/>
        </w:rPr>
        <w:t>Timechain</w:t>
      </w:r>
      <w:proofErr w:type="spellEnd"/>
      <w:r w:rsidRPr="00D44D74">
        <w:rPr>
          <w:rFonts w:cs="Arial"/>
          <w:color w:val="000000"/>
          <w:lang w:val="en-CA"/>
        </w:rPr>
        <w:t xml:space="preserve"> did not pay them because he was waiting for the amounts to be calculated. Those amounts were only to be calculated at the end of May 2022. </w:t>
      </w:r>
    </w:p>
    <w:p w14:paraId="61B83CC9" w14:textId="416E29FF" w:rsidR="008B6A06" w:rsidRPr="00D44D74" w:rsidRDefault="008B6A06" w:rsidP="00CA349B">
      <w:pPr>
        <w:pStyle w:val="Paragraphe"/>
        <w:rPr>
          <w:rFonts w:cs="Arial"/>
          <w:color w:val="000000"/>
          <w:lang w:val="en-CA"/>
        </w:rPr>
      </w:pPr>
      <w:r w:rsidRPr="00D44D74">
        <w:rPr>
          <w:rFonts w:cs="Arial"/>
          <w:color w:val="000000"/>
          <w:lang w:val="en-CA"/>
        </w:rPr>
        <w:t xml:space="preserve">The Tribunal cannot lift freeze orders to allow the payment of salaries owed to certain </w:t>
      </w:r>
      <w:proofErr w:type="spellStart"/>
      <w:r w:rsidRPr="00D44D74">
        <w:rPr>
          <w:rFonts w:cs="Arial"/>
          <w:color w:val="000000"/>
          <w:lang w:val="en-CA"/>
        </w:rPr>
        <w:t>Timechain</w:t>
      </w:r>
      <w:proofErr w:type="spellEnd"/>
      <w:r w:rsidRPr="00D44D74">
        <w:rPr>
          <w:rFonts w:cs="Arial"/>
          <w:color w:val="000000"/>
          <w:lang w:val="en-CA"/>
        </w:rPr>
        <w:t xml:space="preserve"> employees or to </w:t>
      </w:r>
      <w:proofErr w:type="spellStart"/>
      <w:r w:rsidRPr="00D44D74">
        <w:rPr>
          <w:rFonts w:cs="Arial"/>
          <w:color w:val="000000"/>
          <w:lang w:val="en-CA"/>
        </w:rPr>
        <w:t>Revenu</w:t>
      </w:r>
      <w:proofErr w:type="spellEnd"/>
      <w:r w:rsidRPr="00D44D74">
        <w:rPr>
          <w:rFonts w:cs="Arial"/>
          <w:color w:val="000000"/>
          <w:lang w:val="en-CA"/>
        </w:rPr>
        <w:t xml:space="preserve"> Québec or the Canada Revenue Agency to the detriment of investors who remain unpaid.</w:t>
      </w:r>
    </w:p>
    <w:p w14:paraId="53EBAE89" w14:textId="1E7F7119" w:rsidR="0080402E" w:rsidRPr="00D44D74" w:rsidRDefault="0080402E" w:rsidP="00CA349B">
      <w:pPr>
        <w:pStyle w:val="Paragraphe"/>
        <w:rPr>
          <w:rFonts w:cs="Arial"/>
          <w:color w:val="000000"/>
          <w:lang w:val="en-CA"/>
        </w:rPr>
      </w:pPr>
      <w:r w:rsidRPr="00D44D74">
        <w:rPr>
          <w:rFonts w:cs="Arial"/>
          <w:color w:val="000000"/>
          <w:lang w:val="en-CA"/>
        </w:rPr>
        <w:lastRenderedPageBreak/>
        <w:t xml:space="preserve">The Tribunal understands that the frozen funds consist of funds that belong to investors and that were collected through activities at first </w:t>
      </w:r>
      <w:r w:rsidR="00FE4DAA">
        <w:rPr>
          <w:rFonts w:cs="Arial"/>
          <w:color w:val="000000"/>
          <w:lang w:val="en-CA"/>
        </w:rPr>
        <w:t>glance</w:t>
      </w:r>
      <w:r w:rsidRPr="00D44D74">
        <w:rPr>
          <w:rFonts w:cs="Arial"/>
          <w:color w:val="000000"/>
          <w:lang w:val="en-CA"/>
        </w:rPr>
        <w:t xml:space="preserve"> deemed potentially illegal by the Tribunal, which issued several orders against the respondents, including freeze orders referred to in th</w:t>
      </w:r>
      <w:r w:rsidR="008533C9">
        <w:rPr>
          <w:rFonts w:cs="Arial"/>
          <w:color w:val="000000"/>
          <w:lang w:val="en-CA"/>
        </w:rPr>
        <w:t>is</w:t>
      </w:r>
      <w:r w:rsidRPr="00D44D74">
        <w:rPr>
          <w:rFonts w:cs="Arial"/>
          <w:color w:val="000000"/>
          <w:lang w:val="en-CA"/>
        </w:rPr>
        <w:t xml:space="preserve"> application. Furthermore, during the hearing, Louis </w:t>
      </w:r>
      <w:proofErr w:type="spellStart"/>
      <w:r w:rsidRPr="00D44D74">
        <w:rPr>
          <w:rFonts w:cs="Arial"/>
          <w:color w:val="000000"/>
          <w:lang w:val="en-CA"/>
        </w:rPr>
        <w:t>Clé</w:t>
      </w:r>
      <w:r w:rsidR="00FC43DE">
        <w:rPr>
          <w:rFonts w:cs="Arial"/>
          <w:color w:val="000000"/>
          <w:lang w:val="en-CA"/>
        </w:rPr>
        <w:t>r</w:t>
      </w:r>
      <w:r w:rsidRPr="00D44D74">
        <w:rPr>
          <w:rFonts w:cs="Arial"/>
          <w:color w:val="000000"/>
          <w:lang w:val="en-CA"/>
        </w:rPr>
        <w:t>oux</w:t>
      </w:r>
      <w:proofErr w:type="spellEnd"/>
      <w:r w:rsidRPr="00D44D74">
        <w:rPr>
          <w:rFonts w:cs="Arial"/>
          <w:color w:val="000000"/>
          <w:lang w:val="en-CA"/>
        </w:rPr>
        <w:t xml:space="preserve"> </w:t>
      </w:r>
      <w:r w:rsidR="008533C9" w:rsidRPr="00D44D74">
        <w:rPr>
          <w:rFonts w:cs="Arial"/>
          <w:color w:val="000000"/>
          <w:lang w:val="en-CA"/>
        </w:rPr>
        <w:t>admit</w:t>
      </w:r>
      <w:r w:rsidR="008533C9">
        <w:rPr>
          <w:rFonts w:cs="Arial"/>
          <w:color w:val="000000"/>
          <w:lang w:val="en-CA"/>
        </w:rPr>
        <w:t>s</w:t>
      </w:r>
      <w:r w:rsidR="00FE4DAA">
        <w:rPr>
          <w:rFonts w:cs="Arial"/>
          <w:color w:val="000000"/>
          <w:lang w:val="en-CA"/>
        </w:rPr>
        <w:t xml:space="preserve"> </w:t>
      </w:r>
      <w:r w:rsidRPr="00D44D74">
        <w:rPr>
          <w:rFonts w:cs="Arial"/>
          <w:color w:val="000000"/>
          <w:lang w:val="en-CA"/>
        </w:rPr>
        <w:t xml:space="preserve">that the sums from investors </w:t>
      </w:r>
      <w:r w:rsidR="00FE4DAA">
        <w:rPr>
          <w:rFonts w:cs="Arial"/>
          <w:color w:val="000000"/>
          <w:lang w:val="en-CA"/>
        </w:rPr>
        <w:t xml:space="preserve">transited through </w:t>
      </w:r>
      <w:r w:rsidRPr="00D44D74">
        <w:rPr>
          <w:rFonts w:cs="Arial"/>
          <w:color w:val="000000"/>
          <w:lang w:val="en-CA"/>
        </w:rPr>
        <w:t>the accounts blocked by the Tribunal’s orders.</w:t>
      </w:r>
    </w:p>
    <w:p w14:paraId="03E8067E" w14:textId="631DF531" w:rsidR="0080402E" w:rsidRPr="00D44D74" w:rsidRDefault="00207B58" w:rsidP="0080402E">
      <w:pPr>
        <w:pStyle w:val="Paragraphe"/>
        <w:rPr>
          <w:rFonts w:cs="Arial"/>
          <w:color w:val="000000"/>
          <w:lang w:val="en-CA"/>
        </w:rPr>
      </w:pPr>
      <w:r>
        <w:rPr>
          <w:rFonts w:cs="Arial"/>
          <w:color w:val="000000"/>
          <w:lang w:val="en-CA"/>
        </w:rPr>
        <w:t xml:space="preserve">The Tribunal notes that the </w:t>
      </w:r>
      <w:proofErr w:type="spellStart"/>
      <w:r>
        <w:rPr>
          <w:rFonts w:cs="Arial"/>
          <w:color w:val="000000"/>
          <w:lang w:val="en-CA"/>
        </w:rPr>
        <w:t>Autorité</w:t>
      </w:r>
      <w:r w:rsidR="0080402E" w:rsidRPr="00D44D74">
        <w:rPr>
          <w:rFonts w:cs="Arial"/>
          <w:color w:val="000000"/>
          <w:lang w:val="en-CA"/>
        </w:rPr>
        <w:t>’s</w:t>
      </w:r>
      <w:proofErr w:type="spellEnd"/>
      <w:r w:rsidR="0080402E" w:rsidRPr="00D44D74">
        <w:rPr>
          <w:rFonts w:cs="Arial"/>
          <w:color w:val="000000"/>
          <w:lang w:val="en-CA"/>
        </w:rPr>
        <w:t xml:space="preserve"> investigation is still ongoing.</w:t>
      </w:r>
    </w:p>
    <w:p w14:paraId="0D0B9161" w14:textId="66F9DC3D" w:rsidR="00DB73D0" w:rsidRPr="00D44D74" w:rsidRDefault="00DB73D0" w:rsidP="0035629B">
      <w:pPr>
        <w:pStyle w:val="Paragraphe"/>
        <w:rPr>
          <w:lang w:val="en-CA"/>
        </w:rPr>
      </w:pPr>
      <w:r w:rsidRPr="00D44D74">
        <w:rPr>
          <w:lang w:val="en-CA"/>
        </w:rPr>
        <w:t>At the hearing, an investor not yet reimbursed</w:t>
      </w:r>
      <w:r w:rsidR="0043259E">
        <w:rPr>
          <w:lang w:val="en-CA"/>
        </w:rPr>
        <w:t xml:space="preserve"> testifies</w:t>
      </w:r>
      <w:r w:rsidR="008533C9" w:rsidRPr="00D44D74">
        <w:rPr>
          <w:lang w:val="en-CA"/>
        </w:rPr>
        <w:t xml:space="preserve"> </w:t>
      </w:r>
      <w:r w:rsidRPr="00D44D74">
        <w:rPr>
          <w:lang w:val="en-CA"/>
        </w:rPr>
        <w:t xml:space="preserve">that he </w:t>
      </w:r>
      <w:r w:rsidR="008533C9" w:rsidRPr="00D44D74">
        <w:rPr>
          <w:lang w:val="en-CA"/>
        </w:rPr>
        <w:t>d</w:t>
      </w:r>
      <w:r w:rsidR="008533C9">
        <w:rPr>
          <w:lang w:val="en-CA"/>
        </w:rPr>
        <w:t>oes</w:t>
      </w:r>
      <w:r w:rsidR="008533C9" w:rsidRPr="00D44D74">
        <w:rPr>
          <w:lang w:val="en-CA"/>
        </w:rPr>
        <w:t xml:space="preserve"> </w:t>
      </w:r>
      <w:r w:rsidRPr="00D44D74">
        <w:rPr>
          <w:lang w:val="en-CA"/>
        </w:rPr>
        <w:t xml:space="preserve">not object to the reimbursement of deductions at source due to </w:t>
      </w:r>
      <w:proofErr w:type="spellStart"/>
      <w:r w:rsidRPr="00D44D74">
        <w:rPr>
          <w:lang w:val="en-CA"/>
        </w:rPr>
        <w:t>Revenu</w:t>
      </w:r>
      <w:proofErr w:type="spellEnd"/>
      <w:r w:rsidRPr="00D44D74">
        <w:rPr>
          <w:lang w:val="en-CA"/>
        </w:rPr>
        <w:t xml:space="preserve"> Québec and the Canada Revenue Agency only. In the Tribunal</w:t>
      </w:r>
      <w:r w:rsidR="00FE4DAA">
        <w:rPr>
          <w:lang w:val="en-CA"/>
        </w:rPr>
        <w:t>’s view</w:t>
      </w:r>
      <w:r w:rsidRPr="00D44D74">
        <w:rPr>
          <w:lang w:val="en-CA"/>
        </w:rPr>
        <w:t xml:space="preserve">, freeze orders cannot be lifted based on investor consent. </w:t>
      </w:r>
    </w:p>
    <w:p w14:paraId="1BEFB65B" w14:textId="1A916F31" w:rsidR="00CE3FD1" w:rsidRPr="00D44D74" w:rsidRDefault="00CE3FD1" w:rsidP="004F1099">
      <w:pPr>
        <w:pStyle w:val="Paragraphe"/>
        <w:rPr>
          <w:lang w:val="en-CA"/>
        </w:rPr>
      </w:pPr>
      <w:r w:rsidRPr="00D44D74">
        <w:rPr>
          <w:lang w:val="en-CA"/>
        </w:rPr>
        <w:t xml:space="preserve">Moreover, none of the payments referred to in the application for partial lifting of the freeze orders is necessary to protect </w:t>
      </w:r>
      <w:r w:rsidR="00FE4DAA">
        <w:rPr>
          <w:lang w:val="en-CA"/>
        </w:rPr>
        <w:t xml:space="preserve">or increase </w:t>
      </w:r>
      <w:r w:rsidRPr="00D44D74">
        <w:rPr>
          <w:lang w:val="en-CA"/>
        </w:rPr>
        <w:t xml:space="preserve">the value of the investments since </w:t>
      </w:r>
      <w:proofErr w:type="spellStart"/>
      <w:r w:rsidRPr="00D44D74">
        <w:rPr>
          <w:lang w:val="en-CA"/>
        </w:rPr>
        <w:t>Timechain</w:t>
      </w:r>
      <w:proofErr w:type="spellEnd"/>
      <w:r w:rsidRPr="00D44D74">
        <w:rPr>
          <w:lang w:val="en-CA"/>
        </w:rPr>
        <w:t xml:space="preserve"> has ceased its activities.</w:t>
      </w:r>
    </w:p>
    <w:p w14:paraId="4986846B" w14:textId="5DD6C323" w:rsidR="007A3CF8" w:rsidRPr="00D44D74" w:rsidRDefault="007A3CF8" w:rsidP="00603EAB">
      <w:pPr>
        <w:pStyle w:val="Paragraphe"/>
        <w:rPr>
          <w:rFonts w:cs="Arial"/>
          <w:color w:val="000000"/>
          <w:lang w:val="en-CA"/>
        </w:rPr>
      </w:pPr>
      <w:r w:rsidRPr="00D44D74">
        <w:rPr>
          <w:rFonts w:cs="Arial"/>
          <w:color w:val="000000"/>
          <w:lang w:val="en-CA"/>
        </w:rPr>
        <w:t xml:space="preserve">With regard to the payment of </w:t>
      </w:r>
      <w:r w:rsidR="000C1982">
        <w:rPr>
          <w:rFonts w:cs="Arial"/>
          <w:color w:val="000000"/>
          <w:lang w:val="en-CA"/>
        </w:rPr>
        <w:t>legal</w:t>
      </w:r>
      <w:r w:rsidRPr="00D44D74">
        <w:rPr>
          <w:rFonts w:cs="Arial"/>
          <w:color w:val="000000"/>
          <w:lang w:val="en-CA"/>
        </w:rPr>
        <w:t xml:space="preserve"> fees, Louis </w:t>
      </w:r>
      <w:proofErr w:type="spellStart"/>
      <w:r w:rsidRPr="00D44D74">
        <w:rPr>
          <w:rFonts w:cs="Arial"/>
          <w:color w:val="000000"/>
          <w:lang w:val="en-CA"/>
        </w:rPr>
        <w:t>Cléroux</w:t>
      </w:r>
      <w:proofErr w:type="spellEnd"/>
      <w:r w:rsidRPr="00D44D74">
        <w:rPr>
          <w:rFonts w:cs="Arial"/>
          <w:color w:val="000000"/>
          <w:lang w:val="en-CA"/>
        </w:rPr>
        <w:t xml:space="preserve"> </w:t>
      </w:r>
      <w:r w:rsidR="001A2907">
        <w:rPr>
          <w:rFonts w:cs="Arial"/>
          <w:color w:val="000000"/>
          <w:lang w:val="en-CA"/>
        </w:rPr>
        <w:t>testifies</w:t>
      </w:r>
      <w:r w:rsidR="00FE4DAA">
        <w:rPr>
          <w:rFonts w:cs="Arial"/>
          <w:color w:val="000000"/>
          <w:lang w:val="en-CA"/>
        </w:rPr>
        <w:t xml:space="preserve"> </w:t>
      </w:r>
      <w:r w:rsidRPr="00D44D74">
        <w:rPr>
          <w:rFonts w:cs="Arial"/>
          <w:color w:val="000000"/>
          <w:lang w:val="en-CA"/>
        </w:rPr>
        <w:t xml:space="preserve">that he had not worked in the last four months. However, he owns a building that generates monthly rental income of $4,500. The property is currently for sale and </w:t>
      </w:r>
      <w:r w:rsidR="00FE4DAA">
        <w:rPr>
          <w:rFonts w:cs="Arial"/>
          <w:color w:val="000000"/>
          <w:lang w:val="en-CA"/>
        </w:rPr>
        <w:t xml:space="preserve">is said to </w:t>
      </w:r>
      <w:r w:rsidRPr="00D44D74">
        <w:rPr>
          <w:rFonts w:cs="Arial"/>
          <w:color w:val="000000"/>
          <w:lang w:val="en-CA"/>
        </w:rPr>
        <w:t xml:space="preserve">have equity </w:t>
      </w:r>
      <w:r w:rsidR="00FE4DAA">
        <w:rPr>
          <w:rFonts w:cs="Arial"/>
          <w:color w:val="000000"/>
          <w:lang w:val="en-CA"/>
        </w:rPr>
        <w:t xml:space="preserve">amounting to </w:t>
      </w:r>
      <w:r w:rsidRPr="00D44D74">
        <w:rPr>
          <w:rFonts w:cs="Arial"/>
          <w:color w:val="000000"/>
          <w:lang w:val="en-CA"/>
        </w:rPr>
        <w:t xml:space="preserve">approximately $350,000. This amount is </w:t>
      </w:r>
      <w:r w:rsidR="00207B58">
        <w:rPr>
          <w:rFonts w:cs="Arial"/>
          <w:color w:val="000000"/>
          <w:lang w:val="en-CA"/>
        </w:rPr>
        <w:t xml:space="preserve">challenged by the </w:t>
      </w:r>
      <w:proofErr w:type="spellStart"/>
      <w:r w:rsidR="00207B58">
        <w:rPr>
          <w:rFonts w:cs="Arial"/>
          <w:color w:val="000000"/>
          <w:lang w:val="en-CA"/>
        </w:rPr>
        <w:t>Autorité</w:t>
      </w:r>
      <w:r w:rsidRPr="00D44D74">
        <w:rPr>
          <w:rFonts w:cs="Arial"/>
          <w:color w:val="000000"/>
          <w:lang w:val="en-CA"/>
        </w:rPr>
        <w:t>’s</w:t>
      </w:r>
      <w:proofErr w:type="spellEnd"/>
      <w:r w:rsidRPr="00D44D74">
        <w:rPr>
          <w:rFonts w:cs="Arial"/>
          <w:color w:val="000000"/>
          <w:lang w:val="en-CA"/>
        </w:rPr>
        <w:t xml:space="preserve"> investigator, who is more inclined to </w:t>
      </w:r>
      <w:r w:rsidR="00FE4DAA">
        <w:rPr>
          <w:rFonts w:cs="Arial"/>
          <w:color w:val="000000"/>
          <w:lang w:val="en-CA"/>
        </w:rPr>
        <w:t xml:space="preserve">value </w:t>
      </w:r>
      <w:r w:rsidRPr="00D44D74">
        <w:rPr>
          <w:rFonts w:cs="Arial"/>
          <w:color w:val="000000"/>
          <w:lang w:val="en-CA"/>
        </w:rPr>
        <w:t xml:space="preserve">it at approximately $530,000. </w:t>
      </w:r>
    </w:p>
    <w:p w14:paraId="1BA253D8" w14:textId="308F965B" w:rsidR="00CE3FD1" w:rsidRPr="00D44D74" w:rsidRDefault="00631F5B" w:rsidP="004F1099">
      <w:pPr>
        <w:pStyle w:val="Paragraphe"/>
        <w:rPr>
          <w:rFonts w:cs="Arial"/>
          <w:color w:val="000000"/>
          <w:lang w:val="en-CA"/>
        </w:rPr>
      </w:pPr>
      <w:r w:rsidRPr="00D44D74">
        <w:rPr>
          <w:rFonts w:cs="Arial"/>
          <w:color w:val="000000"/>
          <w:lang w:val="en-CA"/>
        </w:rPr>
        <w:t xml:space="preserve">Given </w:t>
      </w:r>
      <w:r w:rsidR="00FE4DAA">
        <w:rPr>
          <w:rFonts w:cs="Arial"/>
          <w:color w:val="000000"/>
          <w:lang w:val="en-CA"/>
        </w:rPr>
        <w:t xml:space="preserve">the Tribunal’s view </w:t>
      </w:r>
      <w:r w:rsidRPr="00D44D74">
        <w:rPr>
          <w:rFonts w:cs="Arial"/>
          <w:color w:val="000000"/>
          <w:lang w:val="en-CA"/>
        </w:rPr>
        <w:t xml:space="preserve">that Louis </w:t>
      </w:r>
      <w:proofErr w:type="spellStart"/>
      <w:r w:rsidRPr="00D44D74">
        <w:rPr>
          <w:rFonts w:cs="Arial"/>
          <w:color w:val="000000"/>
          <w:lang w:val="en-CA"/>
        </w:rPr>
        <w:t>Cléroux</w:t>
      </w:r>
      <w:proofErr w:type="spellEnd"/>
      <w:r w:rsidRPr="00D44D74">
        <w:rPr>
          <w:rFonts w:cs="Arial"/>
          <w:color w:val="000000"/>
          <w:lang w:val="en-CA"/>
        </w:rPr>
        <w:t xml:space="preserve"> has </w:t>
      </w:r>
      <w:r w:rsidR="00FE4DAA">
        <w:rPr>
          <w:rFonts w:cs="Arial"/>
          <w:color w:val="000000"/>
          <w:lang w:val="en-CA"/>
        </w:rPr>
        <w:t xml:space="preserve">sufficient </w:t>
      </w:r>
      <w:r w:rsidRPr="00D44D74">
        <w:rPr>
          <w:rFonts w:cs="Arial"/>
          <w:color w:val="000000"/>
          <w:lang w:val="en-CA"/>
        </w:rPr>
        <w:t xml:space="preserve">assets to meet his needs and defend himself, there is no </w:t>
      </w:r>
      <w:r w:rsidR="00FE4DAA">
        <w:rPr>
          <w:rFonts w:cs="Arial"/>
          <w:color w:val="000000"/>
          <w:lang w:val="en-CA"/>
        </w:rPr>
        <w:t>reason</w:t>
      </w:r>
      <w:r w:rsidRPr="00D44D74">
        <w:rPr>
          <w:rFonts w:cs="Arial"/>
          <w:color w:val="000000"/>
          <w:lang w:val="en-CA"/>
        </w:rPr>
        <w:t xml:space="preserve"> </w:t>
      </w:r>
      <w:r w:rsidR="00FE4DAA">
        <w:rPr>
          <w:rFonts w:cs="Arial"/>
          <w:color w:val="000000"/>
          <w:lang w:val="en-CA"/>
        </w:rPr>
        <w:t xml:space="preserve">to lift </w:t>
      </w:r>
      <w:r w:rsidRPr="00D44D74">
        <w:rPr>
          <w:rFonts w:cs="Arial"/>
          <w:color w:val="000000"/>
          <w:lang w:val="en-CA"/>
        </w:rPr>
        <w:t xml:space="preserve">the freeze orders in order to allow the payment of </w:t>
      </w:r>
      <w:proofErr w:type="spellStart"/>
      <w:r w:rsidRPr="00D44D74">
        <w:rPr>
          <w:rFonts w:cs="Arial"/>
          <w:color w:val="000000"/>
          <w:lang w:val="en-CA"/>
        </w:rPr>
        <w:t>Timechain’s</w:t>
      </w:r>
      <w:proofErr w:type="spellEnd"/>
      <w:r w:rsidRPr="00D44D74">
        <w:rPr>
          <w:rFonts w:cs="Arial"/>
          <w:color w:val="000000"/>
          <w:lang w:val="en-CA"/>
        </w:rPr>
        <w:t xml:space="preserve"> and Louis </w:t>
      </w:r>
      <w:proofErr w:type="spellStart"/>
      <w:r w:rsidRPr="00D44D74">
        <w:rPr>
          <w:rFonts w:cs="Arial"/>
          <w:color w:val="000000"/>
          <w:lang w:val="en-CA"/>
        </w:rPr>
        <w:t>Cléroux’s</w:t>
      </w:r>
      <w:proofErr w:type="spellEnd"/>
      <w:r w:rsidRPr="00D44D74">
        <w:rPr>
          <w:rFonts w:cs="Arial"/>
          <w:color w:val="000000"/>
          <w:lang w:val="en-CA"/>
        </w:rPr>
        <w:t xml:space="preserve"> </w:t>
      </w:r>
      <w:r w:rsidR="00621D8C">
        <w:rPr>
          <w:rFonts w:cs="Arial"/>
          <w:color w:val="000000"/>
          <w:lang w:val="en-CA"/>
        </w:rPr>
        <w:t>legal</w:t>
      </w:r>
      <w:r w:rsidRPr="00D44D74">
        <w:rPr>
          <w:rFonts w:cs="Arial"/>
          <w:color w:val="000000"/>
          <w:lang w:val="en-CA"/>
        </w:rPr>
        <w:t xml:space="preserve"> fees.</w:t>
      </w:r>
    </w:p>
    <w:p w14:paraId="63352CB9" w14:textId="29DE5FCB" w:rsidR="00B772C0" w:rsidRPr="00D44D74" w:rsidRDefault="00AF2198" w:rsidP="00B772C0">
      <w:pPr>
        <w:pStyle w:val="Paragraphe"/>
        <w:rPr>
          <w:rFonts w:cs="Arial"/>
          <w:color w:val="000000"/>
          <w:lang w:val="en-CA"/>
        </w:rPr>
      </w:pPr>
      <w:r w:rsidRPr="00D44D74">
        <w:rPr>
          <w:rFonts w:cs="Arial"/>
          <w:color w:val="000000"/>
          <w:lang w:val="en-CA"/>
        </w:rPr>
        <w:t xml:space="preserve">Given the apparent breaches of the </w:t>
      </w:r>
      <w:r w:rsidRPr="00D44D74">
        <w:rPr>
          <w:rFonts w:cs="Arial"/>
          <w:i/>
          <w:iCs/>
          <w:color w:val="000000"/>
          <w:lang w:val="en-CA"/>
        </w:rPr>
        <w:t>Securities Act</w:t>
      </w:r>
      <w:r w:rsidRPr="00D44D74">
        <w:rPr>
          <w:rFonts w:cs="Arial"/>
          <w:color w:val="000000"/>
          <w:lang w:val="en-CA"/>
        </w:rPr>
        <w:t xml:space="preserve">, </w:t>
      </w:r>
      <w:r w:rsidR="00FE4DAA">
        <w:rPr>
          <w:rFonts w:cs="Arial"/>
          <w:color w:val="000000"/>
          <w:lang w:val="en-CA"/>
        </w:rPr>
        <w:t xml:space="preserve">and because </w:t>
      </w:r>
      <w:r w:rsidR="00207B58">
        <w:rPr>
          <w:rFonts w:cs="Arial"/>
          <w:color w:val="000000"/>
          <w:lang w:val="en-CA"/>
        </w:rPr>
        <w:t xml:space="preserve">the </w:t>
      </w:r>
      <w:proofErr w:type="spellStart"/>
      <w:r w:rsidR="00207B58">
        <w:rPr>
          <w:rFonts w:cs="Arial"/>
          <w:color w:val="000000"/>
          <w:lang w:val="en-CA"/>
        </w:rPr>
        <w:t>Autorité</w:t>
      </w:r>
      <w:r w:rsidRPr="00D44D74">
        <w:rPr>
          <w:rFonts w:cs="Arial"/>
          <w:color w:val="000000"/>
          <w:lang w:val="en-CA"/>
        </w:rPr>
        <w:t>’s</w:t>
      </w:r>
      <w:proofErr w:type="spellEnd"/>
      <w:r w:rsidRPr="00D44D74">
        <w:rPr>
          <w:rFonts w:cs="Arial"/>
          <w:color w:val="000000"/>
          <w:lang w:val="en-CA"/>
        </w:rPr>
        <w:t xml:space="preserve"> investigation is ongoing and not all investors have been reimbursed, the Tribunal considers that the freeze orders must be maintained in the public interest and</w:t>
      </w:r>
      <w:r w:rsidR="00D873F8">
        <w:rPr>
          <w:rFonts w:cs="Arial"/>
          <w:color w:val="000000"/>
          <w:lang w:val="en-CA"/>
        </w:rPr>
        <w:t>,</w:t>
      </w:r>
      <w:r w:rsidRPr="00D44D74">
        <w:rPr>
          <w:rFonts w:cs="Arial"/>
          <w:color w:val="000000"/>
          <w:lang w:val="en-CA"/>
        </w:rPr>
        <w:t xml:space="preserve"> more specifically</w:t>
      </w:r>
      <w:r w:rsidR="00D873F8">
        <w:rPr>
          <w:rFonts w:cs="Arial"/>
          <w:color w:val="000000"/>
          <w:lang w:val="en-CA"/>
        </w:rPr>
        <w:t>,</w:t>
      </w:r>
      <w:r w:rsidRPr="00D44D74">
        <w:rPr>
          <w:rFonts w:cs="Arial"/>
          <w:color w:val="000000"/>
          <w:lang w:val="en-CA"/>
        </w:rPr>
        <w:t xml:space="preserve"> in order to protect </w:t>
      </w:r>
      <w:r w:rsidR="000C1982">
        <w:rPr>
          <w:rFonts w:cs="Arial"/>
          <w:color w:val="000000"/>
          <w:lang w:val="en-CA"/>
        </w:rPr>
        <w:t>the investors</w:t>
      </w:r>
      <w:r w:rsidR="000C1982" w:rsidRPr="00D44D74">
        <w:rPr>
          <w:rFonts w:cs="Arial"/>
          <w:color w:val="000000"/>
          <w:lang w:val="en-CA"/>
        </w:rPr>
        <w:t xml:space="preserve"> </w:t>
      </w:r>
      <w:r w:rsidRPr="00D44D74">
        <w:rPr>
          <w:rFonts w:cs="Arial"/>
          <w:color w:val="000000"/>
          <w:lang w:val="en-CA"/>
        </w:rPr>
        <w:t>and pr</w:t>
      </w:r>
      <w:r w:rsidR="00BE03FE">
        <w:rPr>
          <w:rFonts w:cs="Arial"/>
          <w:color w:val="000000"/>
          <w:lang w:val="en-CA"/>
        </w:rPr>
        <w:t xml:space="preserve">eserve </w:t>
      </w:r>
      <w:r w:rsidRPr="00D44D74">
        <w:rPr>
          <w:rFonts w:cs="Arial"/>
          <w:color w:val="000000"/>
          <w:lang w:val="en-CA"/>
        </w:rPr>
        <w:t xml:space="preserve"> the</w:t>
      </w:r>
      <w:r w:rsidR="000C1982">
        <w:rPr>
          <w:rFonts w:cs="Arial"/>
          <w:color w:val="000000"/>
          <w:lang w:val="en-CA"/>
        </w:rPr>
        <w:t>ir</w:t>
      </w:r>
      <w:r w:rsidRPr="00D44D74">
        <w:rPr>
          <w:rFonts w:cs="Arial"/>
          <w:color w:val="000000"/>
          <w:lang w:val="en-CA"/>
        </w:rPr>
        <w:t xml:space="preserve"> interests.</w:t>
      </w:r>
    </w:p>
    <w:p w14:paraId="43BF82FF" w14:textId="75805978" w:rsidR="00585FBC" w:rsidRPr="00D44D74" w:rsidRDefault="00202987" w:rsidP="008069BD">
      <w:pPr>
        <w:pStyle w:val="Paragraphe"/>
        <w:numPr>
          <w:ilvl w:val="0"/>
          <w:numId w:val="0"/>
        </w:numPr>
        <w:rPr>
          <w:b/>
          <w:lang w:val="en-CA"/>
        </w:rPr>
      </w:pPr>
      <w:r w:rsidRPr="00D44D74">
        <w:rPr>
          <w:b/>
          <w:bCs/>
          <w:lang w:val="en-CA"/>
        </w:rPr>
        <w:t>DISPOSITION</w:t>
      </w:r>
    </w:p>
    <w:p w14:paraId="27079B1B" w14:textId="218B31C4" w:rsidR="00202987" w:rsidRPr="00D44D74" w:rsidRDefault="005D3851" w:rsidP="008069BD">
      <w:pPr>
        <w:pStyle w:val="Paragraphe"/>
        <w:numPr>
          <w:ilvl w:val="0"/>
          <w:numId w:val="0"/>
        </w:numPr>
        <w:rPr>
          <w:b/>
          <w:lang w:val="en-CA"/>
        </w:rPr>
      </w:pPr>
      <w:r w:rsidRPr="00D44D74">
        <w:rPr>
          <w:rFonts w:cs="Arial"/>
          <w:b/>
          <w:bCs/>
          <w:color w:val="000000"/>
          <w:kern w:val="0"/>
          <w:lang w:val="en-CA"/>
        </w:rPr>
        <w:t>FOR THESE REASONS</w:t>
      </w:r>
      <w:r w:rsidRPr="00D44D74">
        <w:rPr>
          <w:rFonts w:cs="Arial"/>
          <w:color w:val="000000"/>
          <w:kern w:val="0"/>
          <w:lang w:val="en-CA"/>
        </w:rPr>
        <w:t xml:space="preserve">, the Financial Markets Administrative Tribunal, pursuant to sections 93 and 94 of the </w:t>
      </w:r>
      <w:r w:rsidRPr="00D44D74">
        <w:rPr>
          <w:rFonts w:cs="Arial"/>
          <w:i/>
          <w:iCs/>
          <w:color w:val="000000"/>
          <w:kern w:val="0"/>
          <w:lang w:val="en-CA"/>
        </w:rPr>
        <w:t>Act respecting the regulation of the financial sector</w:t>
      </w:r>
      <w:r w:rsidRPr="00D44D74">
        <w:rPr>
          <w:rFonts w:cs="Arial"/>
          <w:color w:val="000000"/>
          <w:kern w:val="0"/>
          <w:lang w:val="en-CA"/>
        </w:rPr>
        <w:t xml:space="preserve"> and sections 249, 250 and 255 of the </w:t>
      </w:r>
      <w:r w:rsidRPr="00D44D74">
        <w:rPr>
          <w:rFonts w:cs="Arial"/>
          <w:i/>
          <w:iCs/>
          <w:color w:val="000000"/>
          <w:kern w:val="0"/>
          <w:lang w:val="en-CA"/>
        </w:rPr>
        <w:t>Securities Act</w:t>
      </w:r>
      <w:r w:rsidRPr="00D44D74">
        <w:rPr>
          <w:rFonts w:cs="Arial"/>
          <w:color w:val="000000"/>
          <w:kern w:val="0"/>
          <w:lang w:val="en-CA"/>
        </w:rPr>
        <w:t xml:space="preserve">﻿﻿: </w:t>
      </w:r>
    </w:p>
    <w:p w14:paraId="1EBEFACF" w14:textId="4216F9B7" w:rsidR="003755E5" w:rsidRPr="00D44D74" w:rsidRDefault="003B46BF" w:rsidP="003B46BF">
      <w:pPr>
        <w:pStyle w:val="Paragraphe"/>
        <w:numPr>
          <w:ilvl w:val="0"/>
          <w:numId w:val="0"/>
        </w:numPr>
        <w:rPr>
          <w:rFonts w:cs="Arial"/>
          <w:szCs w:val="24"/>
          <w:lang w:val="en-CA"/>
        </w:rPr>
      </w:pPr>
      <w:r w:rsidRPr="00D44D74">
        <w:rPr>
          <w:b/>
          <w:bCs/>
          <w:lang w:val="en-CA"/>
        </w:rPr>
        <w:t>REJECTS</w:t>
      </w:r>
      <w:r w:rsidRPr="00D44D74">
        <w:rPr>
          <w:lang w:val="en-CA"/>
        </w:rPr>
        <w:t xml:space="preserve"> the amended application to partially lift the freeze orders of Technologies </w:t>
      </w:r>
      <w:proofErr w:type="spellStart"/>
      <w:r w:rsidRPr="00D44D74">
        <w:rPr>
          <w:lang w:val="en-CA"/>
        </w:rPr>
        <w:t>Timechain</w:t>
      </w:r>
      <w:proofErr w:type="spellEnd"/>
      <w:r w:rsidRPr="00D44D74">
        <w:rPr>
          <w:lang w:val="en-CA"/>
        </w:rPr>
        <w:t xml:space="preserve"> </w:t>
      </w:r>
      <w:proofErr w:type="spellStart"/>
      <w:r w:rsidRPr="00D44D74">
        <w:rPr>
          <w:lang w:val="en-CA"/>
        </w:rPr>
        <w:t>inc.</w:t>
      </w:r>
      <w:proofErr w:type="spellEnd"/>
      <w:r w:rsidRPr="00D44D74">
        <w:rPr>
          <w:lang w:val="en-CA"/>
        </w:rPr>
        <w:t xml:space="preserve"> and Louis </w:t>
      </w:r>
      <w:proofErr w:type="spellStart"/>
      <w:r w:rsidRPr="00D44D74">
        <w:rPr>
          <w:lang w:val="en-CA"/>
        </w:rPr>
        <w:t>Cléroux</w:t>
      </w:r>
      <w:proofErr w:type="spellEnd"/>
      <w:r w:rsidRPr="00D44D74">
        <w:rPr>
          <w:lang w:val="en-CA"/>
        </w:rPr>
        <w:t>.</w:t>
      </w:r>
    </w:p>
    <w:p w14:paraId="54CA8E82" w14:textId="360AD7BA" w:rsidR="00F8631F" w:rsidRPr="00D44D74" w:rsidRDefault="00F8631F" w:rsidP="00F8631F">
      <w:pPr>
        <w:pStyle w:val="Paragraphe"/>
        <w:numPr>
          <w:ilvl w:val="0"/>
          <w:numId w:val="0"/>
        </w:numPr>
        <w:rPr>
          <w:rFonts w:cs="Arial"/>
          <w:szCs w:val="24"/>
          <w:lang w:val="en-CA"/>
        </w:rPr>
      </w:pPr>
    </w:p>
    <w:tbl>
      <w:tblPr>
        <w:tblW w:w="9568" w:type="dxa"/>
        <w:tblInd w:w="-70" w:type="dxa"/>
        <w:tblLayout w:type="fixed"/>
        <w:tblCellMar>
          <w:left w:w="0" w:type="dxa"/>
          <w:right w:w="0" w:type="dxa"/>
        </w:tblCellMar>
        <w:tblLook w:val="0000" w:firstRow="0" w:lastRow="0" w:firstColumn="0" w:lastColumn="0" w:noHBand="0" w:noVBand="0"/>
      </w:tblPr>
      <w:tblGrid>
        <w:gridCol w:w="6"/>
        <w:gridCol w:w="2191"/>
        <w:gridCol w:w="2638"/>
        <w:gridCol w:w="4670"/>
        <w:gridCol w:w="63"/>
      </w:tblGrid>
      <w:tr w:rsidR="0002722E" w:rsidRPr="00BE0425" w14:paraId="73E7BFB4" w14:textId="77777777" w:rsidTr="0002722E">
        <w:trPr>
          <w:gridBefore w:val="1"/>
          <w:gridAfter w:val="1"/>
          <w:wBefore w:w="6" w:type="dxa"/>
          <w:wAfter w:w="63" w:type="dxa"/>
          <w:cantSplit/>
        </w:trPr>
        <w:tc>
          <w:tcPr>
            <w:tcW w:w="4829" w:type="dxa"/>
            <w:gridSpan w:val="2"/>
          </w:tcPr>
          <w:p w14:paraId="10D430F8" w14:textId="77777777" w:rsidR="0002722E" w:rsidRPr="00D44D74" w:rsidRDefault="0002722E">
            <w:pPr>
              <w:rPr>
                <w:lang w:val="en-CA"/>
              </w:rPr>
            </w:pPr>
          </w:p>
          <w:p w14:paraId="37674328" w14:textId="77777777" w:rsidR="004638B4" w:rsidRPr="00D44D74" w:rsidRDefault="004638B4">
            <w:pPr>
              <w:rPr>
                <w:lang w:val="en-CA"/>
              </w:rPr>
            </w:pPr>
          </w:p>
        </w:tc>
        <w:tc>
          <w:tcPr>
            <w:tcW w:w="4670" w:type="dxa"/>
          </w:tcPr>
          <w:p w14:paraId="0F881DB1" w14:textId="77777777" w:rsidR="0002722E" w:rsidRPr="00D44D74" w:rsidRDefault="0002722E" w:rsidP="0002722E">
            <w:pPr>
              <w:pStyle w:val="zSoquijdatSignature3Juge"/>
              <w:rPr>
                <w:b/>
                <w:lang w:val="en-CA"/>
              </w:rPr>
            </w:pPr>
          </w:p>
        </w:tc>
      </w:tr>
      <w:tr w:rsidR="0002722E" w:rsidRPr="00BE0425" w14:paraId="00AE890C" w14:textId="77777777" w:rsidTr="0002722E">
        <w:trPr>
          <w:gridBefore w:val="1"/>
          <w:gridAfter w:val="1"/>
          <w:wBefore w:w="6" w:type="dxa"/>
          <w:wAfter w:w="63" w:type="dxa"/>
          <w:cantSplit/>
        </w:trPr>
        <w:tc>
          <w:tcPr>
            <w:tcW w:w="4829" w:type="dxa"/>
            <w:gridSpan w:val="2"/>
          </w:tcPr>
          <w:p w14:paraId="1CB24345" w14:textId="77777777" w:rsidR="0002722E" w:rsidRPr="00D44D74" w:rsidRDefault="0002722E">
            <w:pPr>
              <w:rPr>
                <w:lang w:val="en-CA"/>
              </w:rPr>
            </w:pPr>
          </w:p>
        </w:tc>
        <w:tc>
          <w:tcPr>
            <w:tcW w:w="4670" w:type="dxa"/>
            <w:tcBorders>
              <w:bottom w:val="single" w:sz="6" w:space="0" w:color="auto"/>
            </w:tcBorders>
          </w:tcPr>
          <w:p w14:paraId="7DCB70AD" w14:textId="77777777" w:rsidR="0002722E" w:rsidRPr="00D44D74" w:rsidRDefault="0002722E" w:rsidP="0002722E">
            <w:pPr>
              <w:pStyle w:val="zSoquijdatSignature3Juge"/>
              <w:rPr>
                <w:b/>
                <w:lang w:val="en-CA"/>
              </w:rPr>
            </w:pPr>
          </w:p>
        </w:tc>
      </w:tr>
      <w:tr w:rsidR="00B4030F" w:rsidRPr="00D44D74" w14:paraId="6829EE00" w14:textId="77777777" w:rsidTr="0002722E">
        <w:trPr>
          <w:gridBefore w:val="1"/>
          <w:gridAfter w:val="1"/>
          <w:wBefore w:w="6" w:type="dxa"/>
          <w:wAfter w:w="63" w:type="dxa"/>
          <w:cantSplit/>
        </w:trPr>
        <w:tc>
          <w:tcPr>
            <w:tcW w:w="4829" w:type="dxa"/>
            <w:gridSpan w:val="2"/>
          </w:tcPr>
          <w:p w14:paraId="42CC4FED" w14:textId="77777777" w:rsidR="00B4030F" w:rsidRPr="00D44D74" w:rsidRDefault="00B4030F" w:rsidP="00561AD8">
            <w:pPr>
              <w:jc w:val="center"/>
              <w:rPr>
                <w:lang w:val="en-CA"/>
              </w:rPr>
            </w:pPr>
          </w:p>
        </w:tc>
        <w:tc>
          <w:tcPr>
            <w:tcW w:w="4670" w:type="dxa"/>
          </w:tcPr>
          <w:p w14:paraId="02847C06" w14:textId="46127CC2" w:rsidR="007427AC" w:rsidRPr="00D44D74" w:rsidRDefault="007427AC" w:rsidP="00561AD8">
            <w:pPr>
              <w:pStyle w:val="zSoquijdatSignature3Juge"/>
              <w:jc w:val="center"/>
              <w:rPr>
                <w:b/>
              </w:rPr>
            </w:pPr>
            <w:proofErr w:type="spellStart"/>
            <w:r w:rsidRPr="00D44D74">
              <w:rPr>
                <w:b/>
                <w:bCs/>
                <w:lang w:val="en-CA"/>
              </w:rPr>
              <w:t>Mtre</w:t>
            </w:r>
            <w:proofErr w:type="spellEnd"/>
            <w:r w:rsidRPr="00D44D74">
              <w:rPr>
                <w:b/>
                <w:bCs/>
                <w:lang w:val="en-CA"/>
              </w:rPr>
              <w:t>. A</w:t>
            </w:r>
            <w:r w:rsidR="00173820">
              <w:rPr>
                <w:b/>
                <w:bCs/>
                <w:lang w:val="en-CA"/>
              </w:rPr>
              <w:t>ntonietta</w:t>
            </w:r>
            <w:r w:rsidRPr="00D44D74">
              <w:rPr>
                <w:b/>
                <w:bCs/>
                <w:lang w:val="en-CA"/>
              </w:rPr>
              <w:t xml:space="preserve"> M</w:t>
            </w:r>
            <w:r w:rsidR="00173820">
              <w:rPr>
                <w:b/>
                <w:bCs/>
                <w:lang w:val="en-CA"/>
              </w:rPr>
              <w:t>elchiorre</w:t>
            </w:r>
          </w:p>
          <w:p w14:paraId="6167DA2D" w14:textId="7C5710D6" w:rsidR="00B4030F" w:rsidRPr="00D44D74" w:rsidRDefault="00561AD8" w:rsidP="00561AD8">
            <w:pPr>
              <w:pStyle w:val="zSoquijdatSignature3Juge"/>
              <w:jc w:val="center"/>
            </w:pPr>
            <w:r w:rsidRPr="00D44D74">
              <w:rPr>
                <w:b/>
                <w:bCs/>
                <w:lang w:val="en-CA"/>
              </w:rPr>
              <w:t>Administrative Judge</w:t>
            </w:r>
          </w:p>
        </w:tc>
      </w:tr>
      <w:tr w:rsidR="00B4030F" w:rsidRPr="00D44D74" w14:paraId="13016F77" w14:textId="77777777" w:rsidTr="0002722E">
        <w:trPr>
          <w:gridBefore w:val="1"/>
          <w:gridAfter w:val="1"/>
          <w:wBefore w:w="6" w:type="dxa"/>
          <w:wAfter w:w="63" w:type="dxa"/>
          <w:cantSplit/>
        </w:trPr>
        <w:tc>
          <w:tcPr>
            <w:tcW w:w="4829" w:type="dxa"/>
            <w:gridSpan w:val="2"/>
          </w:tcPr>
          <w:p w14:paraId="2B9C674B" w14:textId="77777777" w:rsidR="00B4030F" w:rsidRPr="00D44D74" w:rsidRDefault="00B4030F"/>
        </w:tc>
        <w:tc>
          <w:tcPr>
            <w:tcW w:w="4670" w:type="dxa"/>
          </w:tcPr>
          <w:p w14:paraId="2A33744D" w14:textId="77777777" w:rsidR="00B4030F" w:rsidRPr="00D44D74" w:rsidRDefault="00B4030F">
            <w:pPr>
              <w:pStyle w:val="zSoquijdatSignature3Juge"/>
            </w:pPr>
          </w:p>
        </w:tc>
      </w:tr>
      <w:tr w:rsidR="00FC3E9B" w:rsidRPr="00D44D74" w14:paraId="45775051" w14:textId="77777777" w:rsidTr="0002722E">
        <w:trPr>
          <w:gridBefore w:val="1"/>
          <w:gridAfter w:val="1"/>
          <w:wBefore w:w="6" w:type="dxa"/>
          <w:wAfter w:w="63" w:type="dxa"/>
          <w:cantSplit/>
        </w:trPr>
        <w:tc>
          <w:tcPr>
            <w:tcW w:w="4829" w:type="dxa"/>
            <w:gridSpan w:val="2"/>
          </w:tcPr>
          <w:p w14:paraId="56B0B3AC" w14:textId="77777777" w:rsidR="00FC3E9B" w:rsidRPr="00D44D74" w:rsidRDefault="00FC3E9B"/>
        </w:tc>
        <w:tc>
          <w:tcPr>
            <w:tcW w:w="4670" w:type="dxa"/>
          </w:tcPr>
          <w:p w14:paraId="53E9A54D" w14:textId="77777777" w:rsidR="00FC3E9B" w:rsidRPr="00D44D74" w:rsidRDefault="00FC3E9B">
            <w:pPr>
              <w:pStyle w:val="zSoquijdatSignature3Juge"/>
            </w:pPr>
          </w:p>
        </w:tc>
      </w:tr>
      <w:tr w:rsidR="00946471" w:rsidRPr="00D44D74" w14:paraId="4CEBD521" w14:textId="77777777" w:rsidTr="0002722E">
        <w:trPr>
          <w:gridBefore w:val="1"/>
          <w:gridAfter w:val="1"/>
          <w:wBefore w:w="6" w:type="dxa"/>
          <w:wAfter w:w="63" w:type="dxa"/>
          <w:cantSplit/>
        </w:trPr>
        <w:tc>
          <w:tcPr>
            <w:tcW w:w="4829" w:type="dxa"/>
            <w:gridSpan w:val="2"/>
          </w:tcPr>
          <w:p w14:paraId="3ED2B7F6" w14:textId="77777777" w:rsidR="00946471" w:rsidRPr="00D44D74" w:rsidRDefault="00946471"/>
        </w:tc>
        <w:tc>
          <w:tcPr>
            <w:tcW w:w="4670" w:type="dxa"/>
          </w:tcPr>
          <w:p w14:paraId="34E83FFE" w14:textId="77777777" w:rsidR="00946471" w:rsidRPr="00D44D74" w:rsidRDefault="00946471">
            <w:pPr>
              <w:pStyle w:val="zSoquijdatSignature3Juge"/>
            </w:pPr>
          </w:p>
        </w:tc>
      </w:tr>
      <w:tr w:rsidR="00946471" w:rsidRPr="00D44D74" w14:paraId="75ACB709" w14:textId="77777777" w:rsidTr="0002722E">
        <w:trPr>
          <w:gridBefore w:val="1"/>
          <w:gridAfter w:val="1"/>
          <w:wBefore w:w="6" w:type="dxa"/>
          <w:wAfter w:w="63" w:type="dxa"/>
          <w:cantSplit/>
        </w:trPr>
        <w:tc>
          <w:tcPr>
            <w:tcW w:w="4829" w:type="dxa"/>
            <w:gridSpan w:val="2"/>
          </w:tcPr>
          <w:p w14:paraId="0440D6A8" w14:textId="77777777" w:rsidR="00946471" w:rsidRPr="00D44D74" w:rsidRDefault="00946471"/>
        </w:tc>
        <w:tc>
          <w:tcPr>
            <w:tcW w:w="4670" w:type="dxa"/>
          </w:tcPr>
          <w:p w14:paraId="46779C1C" w14:textId="77777777" w:rsidR="00946471" w:rsidRPr="00D44D74" w:rsidRDefault="00946471">
            <w:pPr>
              <w:pStyle w:val="zSoquijdatSignature3Juge"/>
            </w:pPr>
          </w:p>
        </w:tc>
      </w:tr>
      <w:tr w:rsidR="004A3882" w:rsidRPr="00D44D74" w14:paraId="48E29473" w14:textId="77777777" w:rsidTr="00FC3E9B">
        <w:trPr>
          <w:gridBefore w:val="1"/>
          <w:gridAfter w:val="1"/>
          <w:wBefore w:w="6" w:type="dxa"/>
          <w:wAfter w:w="63" w:type="dxa"/>
          <w:cantSplit/>
        </w:trPr>
        <w:tc>
          <w:tcPr>
            <w:tcW w:w="4829" w:type="dxa"/>
            <w:gridSpan w:val="2"/>
          </w:tcPr>
          <w:p w14:paraId="2C187358" w14:textId="77777777" w:rsidR="004A3882" w:rsidRPr="00D44D74" w:rsidRDefault="004A3882"/>
        </w:tc>
        <w:tc>
          <w:tcPr>
            <w:tcW w:w="4670" w:type="dxa"/>
          </w:tcPr>
          <w:p w14:paraId="410DC8F1" w14:textId="77777777" w:rsidR="004A3882" w:rsidRPr="00D44D74" w:rsidRDefault="004A3882">
            <w:pPr>
              <w:pStyle w:val="zSoquijdatSignature3Juge"/>
            </w:pPr>
          </w:p>
        </w:tc>
      </w:tr>
      <w:tr w:rsidR="00FC3E9B" w:rsidRPr="00D44D74" w14:paraId="3A30493A" w14:textId="77777777" w:rsidTr="00FC3E9B">
        <w:trPr>
          <w:gridBefore w:val="1"/>
          <w:gridAfter w:val="1"/>
          <w:wBefore w:w="6" w:type="dxa"/>
          <w:wAfter w:w="63" w:type="dxa"/>
          <w:cantSplit/>
        </w:trPr>
        <w:tc>
          <w:tcPr>
            <w:tcW w:w="4829" w:type="dxa"/>
            <w:gridSpan w:val="2"/>
          </w:tcPr>
          <w:p w14:paraId="53DC57F3" w14:textId="77777777" w:rsidR="00FC3E9B" w:rsidRPr="00D44D74" w:rsidRDefault="00FC3E9B"/>
        </w:tc>
        <w:tc>
          <w:tcPr>
            <w:tcW w:w="4670" w:type="dxa"/>
            <w:tcBorders>
              <w:bottom w:val="single" w:sz="4" w:space="0" w:color="auto"/>
            </w:tcBorders>
          </w:tcPr>
          <w:p w14:paraId="4726E51C" w14:textId="77777777" w:rsidR="00FC3E9B" w:rsidRPr="00D44D74" w:rsidRDefault="00FC3E9B">
            <w:pPr>
              <w:pStyle w:val="zSoquijdatSignature3Juge"/>
            </w:pPr>
          </w:p>
        </w:tc>
      </w:tr>
      <w:tr w:rsidR="00FC3E9B" w:rsidRPr="00D44D74" w14:paraId="36C04575" w14:textId="77777777" w:rsidTr="00FC3E9B">
        <w:trPr>
          <w:gridBefore w:val="1"/>
          <w:gridAfter w:val="1"/>
          <w:wBefore w:w="6" w:type="dxa"/>
          <w:wAfter w:w="63" w:type="dxa"/>
          <w:cantSplit/>
        </w:trPr>
        <w:tc>
          <w:tcPr>
            <w:tcW w:w="4829" w:type="dxa"/>
            <w:gridSpan w:val="2"/>
          </w:tcPr>
          <w:p w14:paraId="28528825" w14:textId="77777777" w:rsidR="00FC3E9B" w:rsidRPr="00D44D74" w:rsidRDefault="00FC3E9B"/>
        </w:tc>
        <w:tc>
          <w:tcPr>
            <w:tcW w:w="4670" w:type="dxa"/>
            <w:tcBorders>
              <w:top w:val="single" w:sz="4" w:space="0" w:color="auto"/>
            </w:tcBorders>
          </w:tcPr>
          <w:p w14:paraId="654A1388" w14:textId="3BFFB46A" w:rsidR="00FC3E9B" w:rsidRPr="00D44D74" w:rsidRDefault="00FC3E9B" w:rsidP="00FC3E9B">
            <w:pPr>
              <w:pStyle w:val="zSoquijdatSignature3Juge"/>
              <w:jc w:val="center"/>
              <w:rPr>
                <w:b/>
              </w:rPr>
            </w:pPr>
            <w:proofErr w:type="spellStart"/>
            <w:r w:rsidRPr="00D44D74">
              <w:rPr>
                <w:b/>
                <w:bCs/>
                <w:lang w:val="en-CA"/>
              </w:rPr>
              <w:t>Mtre</w:t>
            </w:r>
            <w:proofErr w:type="spellEnd"/>
            <w:r w:rsidRPr="00D44D74">
              <w:rPr>
                <w:b/>
                <w:bCs/>
                <w:lang w:val="en-CA"/>
              </w:rPr>
              <w:t>. Christine Dubé</w:t>
            </w:r>
          </w:p>
          <w:p w14:paraId="013DB11D" w14:textId="332DCF37" w:rsidR="00FC3E9B" w:rsidRPr="00D44D74" w:rsidRDefault="00FC3E9B" w:rsidP="00FC3E9B">
            <w:pPr>
              <w:pStyle w:val="zSoquijdatSignature3Juge"/>
              <w:jc w:val="center"/>
            </w:pPr>
            <w:r w:rsidRPr="00D44D74">
              <w:rPr>
                <w:b/>
                <w:bCs/>
                <w:lang w:val="en-CA"/>
              </w:rPr>
              <w:t>Administrative Judge</w:t>
            </w:r>
          </w:p>
        </w:tc>
      </w:tr>
      <w:tr w:rsidR="00FC3E9B" w:rsidRPr="00D44D74" w14:paraId="3EE3910C" w14:textId="77777777" w:rsidTr="0002722E">
        <w:trPr>
          <w:gridBefore w:val="1"/>
          <w:gridAfter w:val="1"/>
          <w:wBefore w:w="6" w:type="dxa"/>
          <w:wAfter w:w="63" w:type="dxa"/>
          <w:cantSplit/>
        </w:trPr>
        <w:tc>
          <w:tcPr>
            <w:tcW w:w="4829" w:type="dxa"/>
            <w:gridSpan w:val="2"/>
          </w:tcPr>
          <w:p w14:paraId="2BDB9762" w14:textId="77777777" w:rsidR="00FC3E9B" w:rsidRPr="00D44D74" w:rsidRDefault="00FC3E9B" w:rsidP="00FC3E9B"/>
        </w:tc>
        <w:tc>
          <w:tcPr>
            <w:tcW w:w="4670" w:type="dxa"/>
          </w:tcPr>
          <w:p w14:paraId="224B5409" w14:textId="77777777" w:rsidR="00FC3E9B" w:rsidRPr="00D44D74" w:rsidRDefault="00FC3E9B" w:rsidP="00FC3E9B">
            <w:pPr>
              <w:pStyle w:val="zSoquijdatSignature3Juge"/>
            </w:pPr>
          </w:p>
        </w:tc>
      </w:tr>
      <w:tr w:rsidR="00FC3E9B" w:rsidRPr="00D44D74" w14:paraId="4B107FF9" w14:textId="77777777" w:rsidTr="0002722E">
        <w:tblPrEx>
          <w:tblCellMar>
            <w:left w:w="70" w:type="dxa"/>
            <w:right w:w="70" w:type="dxa"/>
          </w:tblCellMar>
        </w:tblPrEx>
        <w:tc>
          <w:tcPr>
            <w:tcW w:w="9568" w:type="dxa"/>
            <w:gridSpan w:val="5"/>
          </w:tcPr>
          <w:p w14:paraId="3A077496" w14:textId="77777777" w:rsidR="00FC3E9B" w:rsidRPr="00D44D74" w:rsidRDefault="00FC3E9B" w:rsidP="00FC3E9B"/>
        </w:tc>
      </w:tr>
      <w:tr w:rsidR="00D63B6E" w:rsidRPr="00D44D74" w14:paraId="4C7BD98B" w14:textId="77777777" w:rsidTr="0002722E">
        <w:tblPrEx>
          <w:tblCellMar>
            <w:left w:w="70" w:type="dxa"/>
            <w:right w:w="70" w:type="dxa"/>
          </w:tblCellMar>
        </w:tblPrEx>
        <w:tc>
          <w:tcPr>
            <w:tcW w:w="9568" w:type="dxa"/>
            <w:gridSpan w:val="5"/>
          </w:tcPr>
          <w:p w14:paraId="764B940E" w14:textId="77777777" w:rsidR="00D63B6E" w:rsidRPr="00D44D74" w:rsidRDefault="00D63B6E" w:rsidP="00FC3E9B"/>
        </w:tc>
      </w:tr>
      <w:tr w:rsidR="00070D64" w:rsidRPr="00D44D74" w14:paraId="4F12F976" w14:textId="77777777" w:rsidTr="0002722E">
        <w:tblPrEx>
          <w:tblCellMar>
            <w:left w:w="70" w:type="dxa"/>
            <w:right w:w="70" w:type="dxa"/>
          </w:tblCellMar>
        </w:tblPrEx>
        <w:tc>
          <w:tcPr>
            <w:tcW w:w="9568" w:type="dxa"/>
            <w:gridSpan w:val="5"/>
          </w:tcPr>
          <w:p w14:paraId="530A595C" w14:textId="77777777" w:rsidR="00070D64" w:rsidRPr="00D44D74" w:rsidRDefault="00070D64" w:rsidP="00505DED"/>
        </w:tc>
      </w:tr>
      <w:tr w:rsidR="004A3882" w:rsidRPr="00D44D74" w14:paraId="32D2EEDC" w14:textId="77777777" w:rsidTr="0002722E">
        <w:tblPrEx>
          <w:tblCellMar>
            <w:left w:w="70" w:type="dxa"/>
            <w:right w:w="70" w:type="dxa"/>
          </w:tblCellMar>
        </w:tblPrEx>
        <w:tc>
          <w:tcPr>
            <w:tcW w:w="9568" w:type="dxa"/>
            <w:gridSpan w:val="5"/>
          </w:tcPr>
          <w:p w14:paraId="2111616A" w14:textId="7EC9F538" w:rsidR="004A3882" w:rsidRPr="00D44D74" w:rsidRDefault="004A3882" w:rsidP="00505DED">
            <w:proofErr w:type="spellStart"/>
            <w:r w:rsidRPr="00D44D74">
              <w:rPr>
                <w:lang w:val="en-CA"/>
              </w:rPr>
              <w:t>Mtre</w:t>
            </w:r>
            <w:proofErr w:type="spellEnd"/>
            <w:r w:rsidRPr="00D44D74">
              <w:rPr>
                <w:lang w:val="en-CA"/>
              </w:rPr>
              <w:t xml:space="preserve">. Karine </w:t>
            </w:r>
            <w:proofErr w:type="spellStart"/>
            <w:r w:rsidRPr="00D44D74">
              <w:rPr>
                <w:lang w:val="en-CA"/>
              </w:rPr>
              <w:t>Chênevert</w:t>
            </w:r>
            <w:proofErr w:type="spellEnd"/>
          </w:p>
        </w:tc>
      </w:tr>
      <w:tr w:rsidR="004A3882" w:rsidRPr="00BE0425" w14:paraId="3CC1DC3B" w14:textId="77777777" w:rsidTr="0002722E">
        <w:tblPrEx>
          <w:tblCellMar>
            <w:left w:w="70" w:type="dxa"/>
            <w:right w:w="70" w:type="dxa"/>
          </w:tblCellMar>
        </w:tblPrEx>
        <w:tc>
          <w:tcPr>
            <w:tcW w:w="9568" w:type="dxa"/>
            <w:gridSpan w:val="5"/>
          </w:tcPr>
          <w:p w14:paraId="203F703F" w14:textId="549F40C8" w:rsidR="004A3882" w:rsidRPr="00D44D74" w:rsidRDefault="004A3882" w:rsidP="00505DED">
            <w:pPr>
              <w:rPr>
                <w:lang w:val="en-CA"/>
              </w:rPr>
            </w:pPr>
            <w:r w:rsidRPr="00D44D74">
              <w:rPr>
                <w:lang w:val="en-CA"/>
              </w:rPr>
              <w:t>(Borden Ladner Gervais S.E.N.C.R.L., S.R.L.)</w:t>
            </w:r>
          </w:p>
        </w:tc>
      </w:tr>
      <w:tr w:rsidR="004A3882" w:rsidRPr="00D44D74" w14:paraId="24C7CB84" w14:textId="77777777" w:rsidTr="0002722E">
        <w:tblPrEx>
          <w:tblCellMar>
            <w:left w:w="70" w:type="dxa"/>
            <w:right w:w="70" w:type="dxa"/>
          </w:tblCellMar>
        </w:tblPrEx>
        <w:tc>
          <w:tcPr>
            <w:tcW w:w="9568" w:type="dxa"/>
            <w:gridSpan w:val="5"/>
          </w:tcPr>
          <w:p w14:paraId="30115A73" w14:textId="277BC48D" w:rsidR="004A3882" w:rsidRPr="00D44D74" w:rsidRDefault="004A3882" w:rsidP="00505DED">
            <w:r w:rsidRPr="00D44D74">
              <w:rPr>
                <w:lang w:val="en-CA"/>
              </w:rPr>
              <w:t xml:space="preserve">For Technologies </w:t>
            </w:r>
            <w:proofErr w:type="spellStart"/>
            <w:r w:rsidRPr="00D44D74">
              <w:rPr>
                <w:lang w:val="en-CA"/>
              </w:rPr>
              <w:t>Timechain</w:t>
            </w:r>
            <w:proofErr w:type="spellEnd"/>
            <w:r w:rsidRPr="00D44D74">
              <w:rPr>
                <w:lang w:val="en-CA"/>
              </w:rPr>
              <w:t xml:space="preserve"> </w:t>
            </w:r>
            <w:proofErr w:type="spellStart"/>
            <w:r w:rsidRPr="00D44D74">
              <w:rPr>
                <w:lang w:val="en-CA"/>
              </w:rPr>
              <w:t>inc.</w:t>
            </w:r>
            <w:proofErr w:type="spellEnd"/>
            <w:r w:rsidRPr="00D44D74">
              <w:rPr>
                <w:lang w:val="en-CA"/>
              </w:rPr>
              <w:t xml:space="preserve"> and Louis </w:t>
            </w:r>
            <w:proofErr w:type="spellStart"/>
            <w:r w:rsidRPr="00D44D74">
              <w:rPr>
                <w:lang w:val="en-CA"/>
              </w:rPr>
              <w:t>Cléroux</w:t>
            </w:r>
            <w:proofErr w:type="spellEnd"/>
          </w:p>
        </w:tc>
      </w:tr>
      <w:tr w:rsidR="004A3882" w:rsidRPr="00D44D74" w14:paraId="61E6F629" w14:textId="77777777" w:rsidTr="0002722E">
        <w:tblPrEx>
          <w:tblCellMar>
            <w:left w:w="70" w:type="dxa"/>
            <w:right w:w="70" w:type="dxa"/>
          </w:tblCellMar>
        </w:tblPrEx>
        <w:tc>
          <w:tcPr>
            <w:tcW w:w="9568" w:type="dxa"/>
            <w:gridSpan w:val="5"/>
          </w:tcPr>
          <w:p w14:paraId="07C66A41" w14:textId="77777777" w:rsidR="004A3882" w:rsidRPr="00D44D74" w:rsidRDefault="004A3882" w:rsidP="00505DED"/>
        </w:tc>
      </w:tr>
      <w:tr w:rsidR="004A3882" w:rsidRPr="00D44D74" w14:paraId="5B5E70E6" w14:textId="77777777" w:rsidTr="0002722E">
        <w:tblPrEx>
          <w:tblCellMar>
            <w:left w:w="70" w:type="dxa"/>
            <w:right w:w="70" w:type="dxa"/>
          </w:tblCellMar>
        </w:tblPrEx>
        <w:tc>
          <w:tcPr>
            <w:tcW w:w="9568" w:type="dxa"/>
            <w:gridSpan w:val="5"/>
          </w:tcPr>
          <w:p w14:paraId="258ADD74" w14:textId="7087869B" w:rsidR="004A3882" w:rsidRPr="00D44D74" w:rsidRDefault="004A3882" w:rsidP="00505DED">
            <w:proofErr w:type="spellStart"/>
            <w:r w:rsidRPr="00D44D74">
              <w:rPr>
                <w:lang w:val="en-CA"/>
              </w:rPr>
              <w:t>Mtre</w:t>
            </w:r>
            <w:proofErr w:type="spellEnd"/>
            <w:r w:rsidRPr="00D44D74">
              <w:rPr>
                <w:lang w:val="en-CA"/>
              </w:rPr>
              <w:t>. William Korbatly</w:t>
            </w:r>
          </w:p>
        </w:tc>
      </w:tr>
      <w:tr w:rsidR="004A3882" w:rsidRPr="00D44D74" w14:paraId="7AFD965D" w14:textId="77777777" w:rsidTr="0002722E">
        <w:tblPrEx>
          <w:tblCellMar>
            <w:left w:w="70" w:type="dxa"/>
            <w:right w:w="70" w:type="dxa"/>
          </w:tblCellMar>
        </w:tblPrEx>
        <w:tc>
          <w:tcPr>
            <w:tcW w:w="9568" w:type="dxa"/>
            <w:gridSpan w:val="5"/>
          </w:tcPr>
          <w:p w14:paraId="772FAC9A" w14:textId="58B1D53F" w:rsidR="004A3882" w:rsidRPr="00D44D74" w:rsidRDefault="004A3882" w:rsidP="00505DED">
            <w:r w:rsidRPr="00D44D74">
              <w:rPr>
                <w:lang w:val="en-CA"/>
              </w:rPr>
              <w:t>(</w:t>
            </w:r>
            <w:r w:rsidR="00173820">
              <w:rPr>
                <w:lang w:val="en-CA"/>
              </w:rPr>
              <w:t xml:space="preserve">Droit </w:t>
            </w:r>
            <w:proofErr w:type="spellStart"/>
            <w:r w:rsidR="008533C9">
              <w:rPr>
                <w:lang w:val="en-CA"/>
              </w:rPr>
              <w:t>L</w:t>
            </w:r>
            <w:r w:rsidR="00173820">
              <w:rPr>
                <w:lang w:val="en-CA"/>
              </w:rPr>
              <w:t>égal</w:t>
            </w:r>
            <w:proofErr w:type="spellEnd"/>
            <w:r w:rsidRPr="00D44D74">
              <w:rPr>
                <w:lang w:val="en-CA"/>
              </w:rPr>
              <w:t>)</w:t>
            </w:r>
          </w:p>
        </w:tc>
      </w:tr>
      <w:tr w:rsidR="004A3882" w:rsidRPr="00D44D74" w14:paraId="40A2E0EA" w14:textId="77777777" w:rsidTr="0002722E">
        <w:tblPrEx>
          <w:tblCellMar>
            <w:left w:w="70" w:type="dxa"/>
            <w:right w:w="70" w:type="dxa"/>
          </w:tblCellMar>
        </w:tblPrEx>
        <w:tc>
          <w:tcPr>
            <w:tcW w:w="9568" w:type="dxa"/>
            <w:gridSpan w:val="5"/>
          </w:tcPr>
          <w:p w14:paraId="3B6584C2" w14:textId="2A6F8D51" w:rsidR="004A3882" w:rsidRPr="00D44D74" w:rsidRDefault="004A3882" w:rsidP="00505DED">
            <w:r w:rsidRPr="00D44D74">
              <w:rPr>
                <w:lang w:val="en-CA"/>
              </w:rPr>
              <w:t xml:space="preserve">For </w:t>
            </w:r>
            <w:proofErr w:type="spellStart"/>
            <w:r w:rsidRPr="00D44D74">
              <w:rPr>
                <w:lang w:val="en-CA"/>
              </w:rPr>
              <w:t>Jérémie</w:t>
            </w:r>
            <w:proofErr w:type="spellEnd"/>
            <w:r w:rsidRPr="00D44D74">
              <w:rPr>
                <w:lang w:val="en-CA"/>
              </w:rPr>
              <w:t xml:space="preserve"> Picard</w:t>
            </w:r>
          </w:p>
        </w:tc>
      </w:tr>
      <w:tr w:rsidR="004A3882" w:rsidRPr="00D44D74" w14:paraId="07DDE750" w14:textId="77777777" w:rsidTr="0002722E">
        <w:tblPrEx>
          <w:tblCellMar>
            <w:left w:w="70" w:type="dxa"/>
            <w:right w:w="70" w:type="dxa"/>
          </w:tblCellMar>
        </w:tblPrEx>
        <w:tc>
          <w:tcPr>
            <w:tcW w:w="9568" w:type="dxa"/>
            <w:gridSpan w:val="5"/>
          </w:tcPr>
          <w:p w14:paraId="29CF1178" w14:textId="77777777" w:rsidR="004A3882" w:rsidRPr="00D44D74" w:rsidRDefault="004A3882" w:rsidP="00505DED"/>
        </w:tc>
      </w:tr>
      <w:tr w:rsidR="00070D64" w:rsidRPr="00BE0425" w14:paraId="5A668EBB" w14:textId="77777777" w:rsidTr="0002722E">
        <w:tblPrEx>
          <w:tblCellMar>
            <w:left w:w="70" w:type="dxa"/>
            <w:right w:w="70" w:type="dxa"/>
          </w:tblCellMar>
        </w:tblPrEx>
        <w:tc>
          <w:tcPr>
            <w:tcW w:w="9568" w:type="dxa"/>
            <w:gridSpan w:val="5"/>
          </w:tcPr>
          <w:p w14:paraId="25F8F1F2" w14:textId="67208196" w:rsidR="00070D64" w:rsidRPr="00D44D74" w:rsidRDefault="00561AD8" w:rsidP="00A92CA2">
            <w:pPr>
              <w:pStyle w:val="zSoquijdatNomProcureurDem"/>
              <w:rPr>
                <w:lang w:val="en-CA"/>
              </w:rPr>
            </w:pPr>
            <w:proofErr w:type="spellStart"/>
            <w:r w:rsidRPr="00D44D74">
              <w:rPr>
                <w:lang w:val="en-CA"/>
              </w:rPr>
              <w:t>Mtre</w:t>
            </w:r>
            <w:proofErr w:type="spellEnd"/>
            <w:r w:rsidRPr="00D44D74">
              <w:rPr>
                <w:lang w:val="en-CA"/>
              </w:rPr>
              <w:t xml:space="preserve">. Ilana Amouyal and Hamza Abouabdelmajid, </w:t>
            </w:r>
            <w:r w:rsidR="00A92CA2">
              <w:rPr>
                <w:lang w:val="en-CA"/>
              </w:rPr>
              <w:t>articling student</w:t>
            </w:r>
          </w:p>
        </w:tc>
      </w:tr>
      <w:tr w:rsidR="00070D64" w:rsidRPr="00D44D74" w14:paraId="2CA1684D" w14:textId="77777777" w:rsidTr="0002722E">
        <w:tblPrEx>
          <w:tblCellMar>
            <w:left w:w="70" w:type="dxa"/>
            <w:right w:w="70" w:type="dxa"/>
          </w:tblCellMar>
        </w:tblPrEx>
        <w:tc>
          <w:tcPr>
            <w:tcW w:w="9568" w:type="dxa"/>
            <w:gridSpan w:val="5"/>
          </w:tcPr>
          <w:p w14:paraId="2B7E7028" w14:textId="50660A30" w:rsidR="00070D64" w:rsidRPr="00D44D74" w:rsidRDefault="00070D64" w:rsidP="00121C76">
            <w:pPr>
              <w:pStyle w:val="zSoquijdatCabinetProcureurDem"/>
            </w:pPr>
            <w:r w:rsidRPr="00D44D74">
              <w:t>(</w:t>
            </w:r>
            <w:proofErr w:type="spellStart"/>
            <w:r w:rsidR="00121C76">
              <w:t>Litigation</w:t>
            </w:r>
            <w:proofErr w:type="spellEnd"/>
            <w:r w:rsidR="00121C76">
              <w:t xml:space="preserve"> </w:t>
            </w:r>
            <w:r w:rsidR="00FD2C0F">
              <w:t>Services</w:t>
            </w:r>
            <w:r w:rsidRPr="00D44D74">
              <w:t>, Autorité des marchés financiers)</w:t>
            </w:r>
          </w:p>
        </w:tc>
      </w:tr>
      <w:tr w:rsidR="00070D64" w:rsidRPr="00D44D74" w14:paraId="5E7EB942" w14:textId="77777777" w:rsidTr="0002722E">
        <w:tblPrEx>
          <w:tblCellMar>
            <w:left w:w="70" w:type="dxa"/>
            <w:right w:w="70" w:type="dxa"/>
          </w:tblCellMar>
        </w:tblPrEx>
        <w:tc>
          <w:tcPr>
            <w:tcW w:w="9568" w:type="dxa"/>
            <w:gridSpan w:val="5"/>
          </w:tcPr>
          <w:p w14:paraId="472B2D89" w14:textId="1450BC5A" w:rsidR="00070D64" w:rsidRPr="00D44D74" w:rsidRDefault="0002722E" w:rsidP="005B3528">
            <w:pPr>
              <w:pStyle w:val="zSoquijlblProcureurDem"/>
            </w:pPr>
            <w:r w:rsidRPr="00D44D74">
              <w:t>For the Autorité des marchés financiers</w:t>
            </w:r>
          </w:p>
        </w:tc>
      </w:tr>
      <w:tr w:rsidR="00070D64" w:rsidRPr="00D44D74" w14:paraId="1C8ACB54" w14:textId="77777777" w:rsidTr="0002722E">
        <w:tblPrEx>
          <w:tblCellMar>
            <w:left w:w="70" w:type="dxa"/>
            <w:right w:w="70" w:type="dxa"/>
          </w:tblCellMar>
        </w:tblPrEx>
        <w:tc>
          <w:tcPr>
            <w:tcW w:w="9568" w:type="dxa"/>
            <w:gridSpan w:val="5"/>
          </w:tcPr>
          <w:p w14:paraId="3E9606AC" w14:textId="77777777" w:rsidR="00070D64" w:rsidRPr="00D44D74" w:rsidRDefault="00070D64" w:rsidP="00505DED"/>
        </w:tc>
      </w:tr>
      <w:tr w:rsidR="00070D64" w:rsidRPr="00D44D74" w14:paraId="0D10476B" w14:textId="77777777" w:rsidTr="0002722E">
        <w:tblPrEx>
          <w:tblCellMar>
            <w:left w:w="70" w:type="dxa"/>
            <w:right w:w="70" w:type="dxa"/>
          </w:tblCellMar>
        </w:tblPrEx>
        <w:tc>
          <w:tcPr>
            <w:tcW w:w="9568" w:type="dxa"/>
            <w:gridSpan w:val="5"/>
          </w:tcPr>
          <w:p w14:paraId="13A71D00" w14:textId="77777777" w:rsidR="00070D64" w:rsidRPr="00D44D74" w:rsidRDefault="00070D64" w:rsidP="00505DED">
            <w:pPr>
              <w:pStyle w:val="zSoquijlblProcureurDef"/>
            </w:pPr>
          </w:p>
        </w:tc>
      </w:tr>
      <w:tr w:rsidR="00070D64" w:rsidRPr="00D44D74" w14:paraId="38D17796" w14:textId="77777777" w:rsidTr="002E14CF">
        <w:tblPrEx>
          <w:tblCellMar>
            <w:left w:w="70" w:type="dxa"/>
            <w:right w:w="70" w:type="dxa"/>
          </w:tblCellMar>
        </w:tblPrEx>
        <w:tc>
          <w:tcPr>
            <w:tcW w:w="2197" w:type="dxa"/>
            <w:gridSpan w:val="2"/>
          </w:tcPr>
          <w:p w14:paraId="4490931C" w14:textId="62221652" w:rsidR="00070D64" w:rsidRPr="00D44D74" w:rsidRDefault="00070D64" w:rsidP="00505DED">
            <w:pPr>
              <w:pStyle w:val="zSoquijlblDateAudience"/>
            </w:pPr>
            <w:r w:rsidRPr="00D44D74">
              <w:rPr>
                <w:lang w:val="en-CA"/>
              </w:rPr>
              <w:t>Hearing date:</w:t>
            </w:r>
          </w:p>
        </w:tc>
        <w:tc>
          <w:tcPr>
            <w:tcW w:w="7371" w:type="dxa"/>
            <w:gridSpan w:val="3"/>
          </w:tcPr>
          <w:p w14:paraId="79687EB2" w14:textId="20A7F6EA" w:rsidR="00070D64" w:rsidRPr="00D44D74" w:rsidRDefault="00FC3E9B" w:rsidP="00A7483A">
            <w:pPr>
              <w:pStyle w:val="zSoquijdatDateAudience"/>
            </w:pPr>
            <w:r w:rsidRPr="00D44D74">
              <w:rPr>
                <w:lang w:val="en-CA"/>
              </w:rPr>
              <w:t>October 4, 2022</w:t>
            </w:r>
          </w:p>
        </w:tc>
      </w:tr>
    </w:tbl>
    <w:p w14:paraId="56E59852" w14:textId="77777777" w:rsidR="00070D64" w:rsidRPr="00D44D74" w:rsidRDefault="00070D64" w:rsidP="002523F4"/>
    <w:sectPr w:rsidR="00070D64" w:rsidRPr="00D44D74">
      <w:headerReference w:type="even" r:id="rId9"/>
      <w:headerReference w:type="default" r:id="rId10"/>
      <w:footerReference w:type="even" r:id="rId11"/>
      <w:footerReference w:type="default" r:id="rId12"/>
      <w:headerReference w:type="first" r:id="rId13"/>
      <w:footerReference w:type="first" r:id="rId14"/>
      <w:footnotePr>
        <w:numRestart w:val="eachSect"/>
      </w:footnotePr>
      <w:pgSz w:w="12242" w:h="15842" w:code="1"/>
      <w:pgMar w:top="1440" w:right="1008" w:bottom="1440" w:left="1872" w:header="1440" w:footer="79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15F1A3" w14:textId="77777777" w:rsidR="006B28C6" w:rsidRDefault="006B28C6">
      <w:r>
        <w:separator/>
      </w:r>
    </w:p>
  </w:endnote>
  <w:endnote w:type="continuationSeparator" w:id="0">
    <w:p w14:paraId="77C0C974" w14:textId="77777777" w:rsidR="006B28C6" w:rsidRDefault="006B2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CA499" w14:textId="77777777" w:rsidR="00BC38AE" w:rsidRDefault="00BC38AE">
    <w:pPr>
      <w:framePr w:wrap="around" w:vAnchor="text" w:hAnchor="margin" w:xAlign="right" w:y="1"/>
    </w:pPr>
    <w:r>
      <w:rPr>
        <w:lang w:val="en-CA"/>
      </w:rPr>
      <w:fldChar w:fldCharType="begin"/>
    </w:r>
    <w:r>
      <w:rPr>
        <w:lang w:val="en-CA"/>
      </w:rPr>
      <w:instrText xml:space="preserve">PAGE  </w:instrText>
    </w:r>
    <w:r>
      <w:rPr>
        <w:lang w:val="en-CA"/>
      </w:rPr>
      <w:fldChar w:fldCharType="separate"/>
    </w:r>
    <w:r w:rsidR="00F801AC">
      <w:rPr>
        <w:noProof/>
        <w:lang w:val="en-CA"/>
      </w:rPr>
      <w:t>7</w:t>
    </w:r>
    <w:r>
      <w:rPr>
        <w:lang w:val="en-CA"/>
      </w:rPr>
      <w:fldChar w:fldCharType="end"/>
    </w:r>
  </w:p>
  <w:p w14:paraId="134362EB" w14:textId="77777777" w:rsidR="00BC38AE" w:rsidRDefault="00BC38AE">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C5995" w14:textId="77777777" w:rsidR="004755AA" w:rsidRDefault="004755AA">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49841" w14:textId="77777777" w:rsidR="004755AA" w:rsidRDefault="004755A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8CB4E8" w14:textId="77777777" w:rsidR="006B28C6" w:rsidRDefault="006B28C6">
      <w:r>
        <w:separator/>
      </w:r>
    </w:p>
  </w:footnote>
  <w:footnote w:type="continuationSeparator" w:id="0">
    <w:p w14:paraId="62D2B2B1" w14:textId="77777777" w:rsidR="006B28C6" w:rsidRDefault="006B28C6">
      <w:r>
        <w:continuationSeparator/>
      </w:r>
    </w:p>
  </w:footnote>
  <w:footnote w:id="1">
    <w:p w14:paraId="6E7B8C9B" w14:textId="32C1698A" w:rsidR="00BF64B9" w:rsidRPr="00D44D74" w:rsidRDefault="00BF64B9" w:rsidP="00BF64B9">
      <w:pPr>
        <w:pStyle w:val="Notedebasdepage"/>
        <w:rPr>
          <w:lang w:val="en-CA"/>
        </w:rPr>
      </w:pPr>
      <w:r>
        <w:rPr>
          <w:rStyle w:val="Appelnotedebasdep"/>
          <w:lang w:val="en-CA"/>
        </w:rPr>
        <w:footnoteRef/>
      </w:r>
      <w:r>
        <w:rPr>
          <w:lang w:val="en-CA"/>
        </w:rPr>
        <w:t xml:space="preserve"> </w:t>
      </w:r>
      <w:r>
        <w:rPr>
          <w:lang w:val="en-CA"/>
        </w:rPr>
        <w:tab/>
        <w:t xml:space="preserve">The order was made pursuant to section 115.8 of the </w:t>
      </w:r>
      <w:r>
        <w:rPr>
          <w:i/>
          <w:iCs/>
          <w:lang w:val="en-CA"/>
        </w:rPr>
        <w:t>Act respecting the regulation of the financial sector</w:t>
      </w:r>
      <w:r>
        <w:rPr>
          <w:lang w:val="en-CA"/>
        </w:rPr>
        <w:t>, CQLR, c.E-6.1.</w:t>
      </w:r>
    </w:p>
  </w:footnote>
  <w:footnote w:id="2">
    <w:p w14:paraId="6C5D3F06" w14:textId="2C81D74C" w:rsidR="00A77C76" w:rsidRPr="00D44D74" w:rsidRDefault="00A77C76">
      <w:pPr>
        <w:pStyle w:val="Notedebasdepage"/>
        <w:rPr>
          <w:lang w:val="en-CA"/>
        </w:rPr>
      </w:pPr>
      <w:r>
        <w:rPr>
          <w:rStyle w:val="Appelnotedebasdep"/>
          <w:lang w:val="en-CA"/>
        </w:rPr>
        <w:footnoteRef/>
      </w:r>
      <w:r>
        <w:rPr>
          <w:lang w:val="en-CA"/>
        </w:rPr>
        <w:t xml:space="preserve"> </w:t>
      </w:r>
      <w:r>
        <w:rPr>
          <w:lang w:val="en-CA"/>
        </w:rPr>
        <w:tab/>
      </w:r>
      <w:r>
        <w:rPr>
          <w:color w:val="000000"/>
          <w:lang w:val="en-CA"/>
        </w:rPr>
        <w:t>CQLR, c. V-1.1.</w:t>
      </w:r>
    </w:p>
  </w:footnote>
  <w:footnote w:id="3">
    <w:p w14:paraId="38502AF3" w14:textId="0E819B30" w:rsidR="004A4A51" w:rsidRPr="00D44D74" w:rsidRDefault="004A4A51">
      <w:pPr>
        <w:pStyle w:val="Notedebasdepage"/>
        <w:rPr>
          <w:lang w:val="en-CA"/>
        </w:rPr>
      </w:pPr>
      <w:r>
        <w:rPr>
          <w:rStyle w:val="Appelnotedebasdep"/>
          <w:lang w:val="en-CA"/>
        </w:rPr>
        <w:footnoteRef/>
      </w:r>
      <w:r>
        <w:rPr>
          <w:lang w:val="en-CA"/>
        </w:rPr>
        <w:t xml:space="preserve"> </w:t>
      </w:r>
      <w:r>
        <w:rPr>
          <w:lang w:val="en-CA"/>
        </w:rPr>
        <w:tab/>
        <w:t xml:space="preserve">In accordance with section 115 of the </w:t>
      </w:r>
      <w:r>
        <w:rPr>
          <w:i/>
          <w:iCs/>
          <w:lang w:val="en-CA"/>
        </w:rPr>
        <w:t>Act respecting the regulation of the financial sector</w:t>
      </w:r>
      <w:r>
        <w:rPr>
          <w:lang w:val="en-CA"/>
        </w:rPr>
        <w:t>.</w:t>
      </w:r>
    </w:p>
  </w:footnote>
  <w:footnote w:id="4">
    <w:p w14:paraId="65B7055E" w14:textId="5A598684" w:rsidR="003F6188" w:rsidRPr="00D44D74" w:rsidRDefault="003F6188">
      <w:pPr>
        <w:pStyle w:val="Notedebasdepage"/>
        <w:rPr>
          <w:lang w:val="en-CA"/>
        </w:rPr>
      </w:pPr>
      <w:r>
        <w:rPr>
          <w:rStyle w:val="Appelnotedebasdep"/>
          <w:lang w:val="en-CA"/>
        </w:rPr>
        <w:footnoteRef/>
      </w:r>
      <w:r>
        <w:rPr>
          <w:lang w:val="en-CA"/>
        </w:rPr>
        <w:t xml:space="preserve"> </w:t>
      </w:r>
      <w:r>
        <w:rPr>
          <w:lang w:val="en-CA"/>
        </w:rPr>
        <w:tab/>
      </w:r>
      <w:r w:rsidR="00207B58">
        <w:rPr>
          <w:lang w:val="en-CA"/>
        </w:rPr>
        <w:t xml:space="preserve">The Tribunal noted that the </w:t>
      </w:r>
      <w:proofErr w:type="spellStart"/>
      <w:r w:rsidR="00207B58">
        <w:rPr>
          <w:lang w:val="en-CA"/>
        </w:rPr>
        <w:t>Autorité</w:t>
      </w:r>
      <w:proofErr w:type="spellEnd"/>
      <w:r>
        <w:rPr>
          <w:lang w:val="en-CA"/>
        </w:rPr>
        <w:t xml:space="preserve"> claimed that </w:t>
      </w:r>
      <w:proofErr w:type="spellStart"/>
      <w:r>
        <w:rPr>
          <w:lang w:val="en-CA"/>
        </w:rPr>
        <w:t>Timechain</w:t>
      </w:r>
      <w:proofErr w:type="spellEnd"/>
      <w:r>
        <w:rPr>
          <w:lang w:val="en-CA"/>
        </w:rPr>
        <w:t xml:space="preserve"> and Louis </w:t>
      </w:r>
      <w:proofErr w:type="spellStart"/>
      <w:r>
        <w:rPr>
          <w:lang w:val="en-CA"/>
        </w:rPr>
        <w:t>Cléroux</w:t>
      </w:r>
      <w:proofErr w:type="spellEnd"/>
      <w:r>
        <w:rPr>
          <w:lang w:val="en-CA"/>
        </w:rPr>
        <w:t xml:space="preserve"> did not prove all the amounts allegedly </w:t>
      </w:r>
      <w:r w:rsidR="008D2EA0">
        <w:rPr>
          <w:lang w:val="en-CA"/>
        </w:rPr>
        <w:t>owing</w:t>
      </w:r>
      <w:r>
        <w:rPr>
          <w:lang w:val="en-CA"/>
        </w:rPr>
        <w:t>.</w:t>
      </w:r>
    </w:p>
  </w:footnote>
  <w:footnote w:id="5">
    <w:p w14:paraId="2367C1D3" w14:textId="7610C83C" w:rsidR="002F0C3A" w:rsidRPr="00AD04F9" w:rsidRDefault="002F0C3A" w:rsidP="002F0C3A">
      <w:pPr>
        <w:pStyle w:val="Notedebasdepage"/>
      </w:pPr>
      <w:r>
        <w:rPr>
          <w:rStyle w:val="Appelnotedebasdep"/>
          <w:lang w:val="en-CA"/>
        </w:rPr>
        <w:footnoteRef/>
      </w:r>
      <w:r w:rsidRPr="00D44D74">
        <w:t xml:space="preserve"> </w:t>
      </w:r>
      <w:r w:rsidRPr="00D44D74">
        <w:tab/>
      </w:r>
      <w:r w:rsidRPr="00D44D74">
        <w:rPr>
          <w:i/>
          <w:iCs/>
          <w:color w:val="000000"/>
        </w:rPr>
        <w:t>Nadeau</w:t>
      </w:r>
      <w:r w:rsidRPr="00D44D74">
        <w:rPr>
          <w:color w:val="000000"/>
        </w:rPr>
        <w:t> c. </w:t>
      </w:r>
      <w:r w:rsidRPr="00D44D74">
        <w:rPr>
          <w:i/>
          <w:iCs/>
          <w:color w:val="000000"/>
        </w:rPr>
        <w:t>Autorité des marchés financiers</w:t>
      </w:r>
      <w:r w:rsidRPr="00D44D74">
        <w:rPr>
          <w:color w:val="000000"/>
        </w:rPr>
        <w:t>, 2014 QCBDR 97.</w:t>
      </w:r>
    </w:p>
  </w:footnote>
  <w:footnote w:id="6">
    <w:p w14:paraId="5E83798B" w14:textId="66C50D92" w:rsidR="002F0C3A" w:rsidRPr="00D44D74" w:rsidRDefault="002F0C3A" w:rsidP="002F0C3A">
      <w:pPr>
        <w:pStyle w:val="Notedebasdepage"/>
        <w:rPr>
          <w:lang w:val="en-CA"/>
        </w:rPr>
      </w:pPr>
      <w:r>
        <w:rPr>
          <w:rStyle w:val="Appelnotedebasdep"/>
          <w:lang w:val="en-CA"/>
        </w:rPr>
        <w:footnoteRef/>
      </w:r>
      <w:r>
        <w:rPr>
          <w:lang w:val="en-CA"/>
        </w:rPr>
        <w:t xml:space="preserve"> </w:t>
      </w:r>
      <w:r>
        <w:rPr>
          <w:lang w:val="en-CA"/>
        </w:rPr>
        <w:tab/>
      </w:r>
      <w:proofErr w:type="spellStart"/>
      <w:r>
        <w:rPr>
          <w:i/>
          <w:iCs/>
          <w:color w:val="000000"/>
          <w:lang w:val="en-CA"/>
        </w:rPr>
        <w:t>Amswiss</w:t>
      </w:r>
      <w:proofErr w:type="spellEnd"/>
      <w:r>
        <w:rPr>
          <w:i/>
          <w:iCs/>
          <w:color w:val="000000"/>
          <w:lang w:val="en-CA"/>
        </w:rPr>
        <w:t xml:space="preserve"> Scientific Inc.</w:t>
      </w:r>
      <w:r>
        <w:rPr>
          <w:color w:val="000000"/>
          <w:lang w:val="en-CA"/>
        </w:rPr>
        <w:t> (Re), 1992 LNBCS 40.</w:t>
      </w:r>
    </w:p>
  </w:footnote>
  <w:footnote w:id="7">
    <w:p w14:paraId="642AAFC5" w14:textId="28F1C5C1" w:rsidR="00B7391C" w:rsidRDefault="00B7391C">
      <w:pPr>
        <w:pStyle w:val="Notedebasdepage"/>
      </w:pPr>
      <w:r>
        <w:rPr>
          <w:rStyle w:val="Appelnotedebasdep"/>
          <w:lang w:val="en-CA"/>
        </w:rPr>
        <w:footnoteRef/>
      </w:r>
      <w:r w:rsidRPr="00D44D74">
        <w:t xml:space="preserve"> </w:t>
      </w:r>
      <w:r w:rsidRPr="00D44D74">
        <w:tab/>
      </w:r>
      <w:r w:rsidRPr="00D44D74">
        <w:rPr>
          <w:i/>
          <w:iCs/>
          <w:color w:val="000000"/>
        </w:rPr>
        <w:t xml:space="preserve">Autorité des marchés financiers </w:t>
      </w:r>
      <w:r w:rsidRPr="00D44D74">
        <w:rPr>
          <w:color w:val="000000"/>
        </w:rPr>
        <w:t>c.</w:t>
      </w:r>
      <w:r w:rsidRPr="00D44D74">
        <w:rPr>
          <w:i/>
          <w:iCs/>
          <w:color w:val="000000"/>
        </w:rPr>
        <w:t xml:space="preserve"> Gestion </w:t>
      </w:r>
      <w:proofErr w:type="spellStart"/>
      <w:r w:rsidRPr="00D44D74">
        <w:rPr>
          <w:i/>
          <w:iCs/>
          <w:color w:val="000000"/>
        </w:rPr>
        <w:t>Guychar</w:t>
      </w:r>
      <w:proofErr w:type="spellEnd"/>
      <w:r w:rsidRPr="00D44D74">
        <w:rPr>
          <w:i/>
          <w:iCs/>
          <w:color w:val="000000"/>
        </w:rPr>
        <w:t xml:space="preserve"> (Canada) </w:t>
      </w:r>
      <w:proofErr w:type="spellStart"/>
      <w:r w:rsidRPr="00D44D74">
        <w:rPr>
          <w:i/>
          <w:iCs/>
          <w:color w:val="000000"/>
        </w:rPr>
        <w:t>inc.</w:t>
      </w:r>
      <w:proofErr w:type="spellEnd"/>
      <w:r w:rsidRPr="00D44D74">
        <w:rPr>
          <w:i/>
          <w:iCs/>
          <w:color w:val="000000"/>
        </w:rPr>
        <w:t xml:space="preserve">, </w:t>
      </w:r>
      <w:r w:rsidRPr="00D44D74">
        <w:rPr>
          <w:color w:val="000000"/>
        </w:rPr>
        <w:t>2010 QCBDRVM 13.</w:t>
      </w:r>
    </w:p>
  </w:footnote>
  <w:footnote w:id="8">
    <w:p w14:paraId="259CE8C4" w14:textId="07AFCB1D" w:rsidR="00FB09F8" w:rsidRDefault="00FB09F8">
      <w:pPr>
        <w:pStyle w:val="Notedebasdepage"/>
      </w:pPr>
      <w:r>
        <w:rPr>
          <w:rStyle w:val="Appelnotedebasdep"/>
          <w:lang w:val="en-CA"/>
        </w:rPr>
        <w:footnoteRef/>
      </w:r>
      <w:r w:rsidRPr="00D44D74">
        <w:t xml:space="preserve"> </w:t>
      </w:r>
      <w:r w:rsidRPr="00D44D74">
        <w:tab/>
        <w:t xml:space="preserve">Section 255 </w:t>
      </w:r>
      <w:r w:rsidRPr="00D44D74">
        <w:rPr>
          <w:i/>
          <w:iCs/>
        </w:rPr>
        <w:t xml:space="preserve">Securities </w:t>
      </w:r>
      <w:proofErr w:type="spellStart"/>
      <w:r w:rsidRPr="00D44D74">
        <w:rPr>
          <w:i/>
          <w:iCs/>
        </w:rPr>
        <w:t>Act</w:t>
      </w:r>
      <w:proofErr w:type="spellEnd"/>
      <w:r w:rsidRPr="00D44D74">
        <w:t>.</w:t>
      </w:r>
    </w:p>
  </w:footnote>
  <w:footnote w:id="9">
    <w:p w14:paraId="2D86F9E9" w14:textId="57B3A080" w:rsidR="00B21D62" w:rsidRDefault="00B21D62">
      <w:pPr>
        <w:pStyle w:val="Notedebasdepage"/>
      </w:pPr>
      <w:r>
        <w:rPr>
          <w:rStyle w:val="Appelnotedebasdep"/>
          <w:lang w:val="en-CA"/>
        </w:rPr>
        <w:footnoteRef/>
      </w:r>
      <w:r w:rsidRPr="00D44D74">
        <w:t xml:space="preserve"> </w:t>
      </w:r>
      <w:r w:rsidRPr="00D44D74">
        <w:tab/>
        <w:t>2022 QCTMF 11.</w:t>
      </w:r>
    </w:p>
  </w:footnote>
  <w:footnote w:id="10">
    <w:p w14:paraId="639C3B3D" w14:textId="5F9FDEFF" w:rsidR="00571F5F" w:rsidRPr="00223FD1" w:rsidRDefault="00571F5F" w:rsidP="00571F5F">
      <w:pPr>
        <w:pStyle w:val="Notedebasdepage"/>
        <w:rPr>
          <w:rFonts w:cs="Arial"/>
        </w:rPr>
      </w:pPr>
      <w:r>
        <w:rPr>
          <w:rStyle w:val="Appelnotedebasdep"/>
          <w:lang w:val="en-CA"/>
        </w:rPr>
        <w:footnoteRef/>
      </w:r>
      <w:r w:rsidRPr="00D44D74">
        <w:t xml:space="preserve"> </w:t>
      </w:r>
      <w:r w:rsidRPr="00D44D74">
        <w:tab/>
      </w:r>
      <w:r w:rsidRPr="00D44D74">
        <w:rPr>
          <w:i/>
          <w:iCs/>
        </w:rPr>
        <w:t xml:space="preserve">Autorité des marchés financiers </w:t>
      </w:r>
      <w:r w:rsidRPr="00D44D74">
        <w:t>c.</w:t>
      </w:r>
      <w:r w:rsidRPr="00D44D74">
        <w:rPr>
          <w:i/>
          <w:iCs/>
        </w:rPr>
        <w:t xml:space="preserve"> Guilbault</w:t>
      </w:r>
      <w:r w:rsidRPr="00D44D74">
        <w:t>, 2016 QCTMF 55.</w:t>
      </w:r>
    </w:p>
  </w:footnote>
  <w:footnote w:id="11">
    <w:p w14:paraId="2B984062" w14:textId="757A74F0" w:rsidR="00405439" w:rsidRDefault="00405439">
      <w:pPr>
        <w:pStyle w:val="Notedebasdepage"/>
      </w:pPr>
      <w:r>
        <w:rPr>
          <w:rStyle w:val="Appelnotedebasdep"/>
          <w:lang w:val="en-CA"/>
        </w:rPr>
        <w:footnoteRef/>
      </w:r>
      <w:r w:rsidRPr="00D44D74">
        <w:t xml:space="preserve"> </w:t>
      </w:r>
      <w:r w:rsidRPr="00D44D74">
        <w:tab/>
      </w:r>
      <w:r w:rsidRPr="00D44D74">
        <w:rPr>
          <w:i/>
          <w:iCs/>
        </w:rPr>
        <w:t>Autorité des marchés financiers</w:t>
      </w:r>
      <w:r w:rsidRPr="00D44D74">
        <w:t xml:space="preserve"> c. </w:t>
      </w:r>
      <w:proofErr w:type="spellStart"/>
      <w:r w:rsidRPr="00D44D74">
        <w:rPr>
          <w:i/>
          <w:iCs/>
        </w:rPr>
        <w:t>Norbourg</w:t>
      </w:r>
      <w:proofErr w:type="spellEnd"/>
      <w:r w:rsidRPr="00D44D74">
        <w:rPr>
          <w:i/>
          <w:iCs/>
        </w:rPr>
        <w:t xml:space="preserve"> gestion d’actifs </w:t>
      </w:r>
      <w:proofErr w:type="spellStart"/>
      <w:r w:rsidRPr="00D44D74">
        <w:rPr>
          <w:i/>
          <w:iCs/>
        </w:rPr>
        <w:t>inc</w:t>
      </w:r>
      <w:r w:rsidRPr="00D44D74">
        <w:t>.</w:t>
      </w:r>
      <w:proofErr w:type="spellEnd"/>
      <w:r w:rsidRPr="00D44D74">
        <w:t xml:space="preserve">, 2006 QCBDRVM 12; </w:t>
      </w:r>
      <w:r w:rsidRPr="00D44D74">
        <w:rPr>
          <w:i/>
          <w:iCs/>
        </w:rPr>
        <w:t>Dumais</w:t>
      </w:r>
      <w:r w:rsidRPr="00D44D74">
        <w:t xml:space="preserve"> c. </w:t>
      </w:r>
      <w:r w:rsidRPr="00D44D74">
        <w:rPr>
          <w:i/>
          <w:iCs/>
        </w:rPr>
        <w:t>Autorité des marchés financiers</w:t>
      </w:r>
      <w:r w:rsidRPr="00D44D74">
        <w:t>, 2014 QCBDR 46.</w:t>
      </w:r>
    </w:p>
  </w:footnote>
  <w:footnote w:id="12">
    <w:p w14:paraId="016497B2" w14:textId="7B9EE23B" w:rsidR="0010760D" w:rsidRDefault="0010760D">
      <w:pPr>
        <w:pStyle w:val="Notedebasdepage"/>
      </w:pPr>
      <w:r>
        <w:rPr>
          <w:rStyle w:val="Appelnotedebasdep"/>
          <w:lang w:val="en-CA"/>
        </w:rPr>
        <w:footnoteRef/>
      </w:r>
      <w:r w:rsidRPr="00D44D74">
        <w:t xml:space="preserve"> </w:t>
      </w:r>
      <w:r w:rsidRPr="00D44D74">
        <w:tab/>
      </w:r>
      <w:r w:rsidRPr="00D44D74">
        <w:rPr>
          <w:i/>
          <w:iCs/>
        </w:rPr>
        <w:t>Ibid.</w:t>
      </w:r>
    </w:p>
  </w:footnote>
  <w:footnote w:id="13">
    <w:p w14:paraId="22AC4548" w14:textId="1268D385" w:rsidR="003D66D9" w:rsidRDefault="003D66D9">
      <w:pPr>
        <w:pStyle w:val="Notedebasdepage"/>
      </w:pPr>
      <w:r>
        <w:rPr>
          <w:rStyle w:val="Appelnotedebasdep"/>
          <w:lang w:val="en-CA"/>
        </w:rPr>
        <w:footnoteRef/>
      </w:r>
      <w:r w:rsidRPr="00D44D74">
        <w:t xml:space="preserve"> </w:t>
      </w:r>
      <w:r w:rsidRPr="00D44D74">
        <w:tab/>
      </w:r>
      <w:r w:rsidRPr="00D44D74">
        <w:rPr>
          <w:i/>
          <w:iCs/>
        </w:rPr>
        <w:t>Autorité des marchés financiers</w:t>
      </w:r>
      <w:r w:rsidRPr="00D44D74">
        <w:t xml:space="preserve"> c. </w:t>
      </w:r>
      <w:proofErr w:type="spellStart"/>
      <w:r w:rsidRPr="00D44D74">
        <w:rPr>
          <w:i/>
          <w:iCs/>
        </w:rPr>
        <w:t>McKeown</w:t>
      </w:r>
      <w:proofErr w:type="spellEnd"/>
      <w:r w:rsidRPr="00D44D74">
        <w:t>, 2010 QCBDR 60.</w:t>
      </w:r>
    </w:p>
  </w:footnote>
  <w:footnote w:id="14">
    <w:p w14:paraId="5BC84461" w14:textId="6B9668FE" w:rsidR="00EF5D2E" w:rsidRDefault="00EF5D2E">
      <w:pPr>
        <w:pStyle w:val="Notedebasdepage"/>
      </w:pPr>
      <w:r>
        <w:rPr>
          <w:rStyle w:val="Appelnotedebasdep"/>
          <w:lang w:val="en-CA"/>
        </w:rPr>
        <w:footnoteRef/>
      </w:r>
      <w:r w:rsidRPr="00D44D74">
        <w:t xml:space="preserve"> </w:t>
      </w:r>
      <w:r w:rsidRPr="00D44D74">
        <w:tab/>
      </w:r>
      <w:r w:rsidRPr="00D44D74">
        <w:rPr>
          <w:i/>
          <w:iCs/>
        </w:rPr>
        <w:t>Autorité des marchés financiers</w:t>
      </w:r>
      <w:r w:rsidRPr="00D44D74">
        <w:t xml:space="preserve"> c. </w:t>
      </w:r>
      <w:r w:rsidRPr="00D44D74">
        <w:rPr>
          <w:i/>
          <w:iCs/>
        </w:rPr>
        <w:t>Tremblay</w:t>
      </w:r>
      <w:r w:rsidRPr="00D44D74">
        <w:t>, 2022 QTMF 44.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F8E18" w14:textId="77777777" w:rsidR="004755AA" w:rsidRDefault="004755A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1DB5A" w14:textId="7D7F7C9D" w:rsidR="00BC38AE" w:rsidRDefault="00BC38AE">
    <w:pPr>
      <w:tabs>
        <w:tab w:val="center" w:pos="4709"/>
        <w:tab w:val="right" w:pos="9360"/>
      </w:tabs>
      <w:ind w:right="524"/>
    </w:pPr>
    <w:r>
      <w:rPr>
        <w:lang w:val="en-CA"/>
      </w:rPr>
      <w:t>2022-015-002</w:t>
    </w:r>
    <w:r>
      <w:rPr>
        <w:lang w:val="en-CA"/>
      </w:rPr>
      <w:tab/>
    </w:r>
    <w:r>
      <w:rPr>
        <w:lang w:val="en-CA"/>
      </w:rPr>
      <w:tab/>
    </w:r>
    <w:proofErr w:type="gramStart"/>
    <w:r>
      <w:rPr>
        <w:lang w:val="en-CA"/>
      </w:rPr>
      <w:t>PAGE :</w:t>
    </w:r>
    <w:proofErr w:type="gramEnd"/>
    <w:r>
      <w:rPr>
        <w:lang w:val="en-CA"/>
      </w:rPr>
      <w:t xml:space="preserve"> </w:t>
    </w:r>
    <w:r>
      <w:rPr>
        <w:lang w:val="en-CA"/>
      </w:rPr>
      <w:fldChar w:fldCharType="begin"/>
    </w:r>
    <w:r>
      <w:rPr>
        <w:lang w:val="en-CA"/>
      </w:rPr>
      <w:instrText xml:space="preserve"> PAGE </w:instrText>
    </w:r>
    <w:r>
      <w:rPr>
        <w:lang w:val="en-CA"/>
      </w:rPr>
      <w:fldChar w:fldCharType="separate"/>
    </w:r>
    <w:r w:rsidR="00BE0425">
      <w:rPr>
        <w:noProof/>
        <w:lang w:val="en-CA"/>
      </w:rPr>
      <w:t>7</w:t>
    </w:r>
    <w:r>
      <w:rPr>
        <w:lang w:val="en-CA"/>
      </w:rPr>
      <w:fldChar w:fldCharType="end"/>
    </w:r>
  </w:p>
  <w:p w14:paraId="3A691317" w14:textId="77777777" w:rsidR="00BC38AE" w:rsidRDefault="00BC38AE">
    <w:pPr>
      <w:tabs>
        <w:tab w:val="center" w:pos="4709"/>
        <w:tab w:val="right" w:pos="9090"/>
      </w:tabs>
      <w:ind w:right="524"/>
    </w:pPr>
  </w:p>
  <w:p w14:paraId="6C0E3BE2" w14:textId="77777777" w:rsidR="00BC38AE" w:rsidRDefault="00BC38AE">
    <w:pPr>
      <w:tabs>
        <w:tab w:val="center" w:pos="4709"/>
        <w:tab w:val="right" w:pos="9090"/>
      </w:tabs>
      <w:ind w:right="52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4C2C2" w14:textId="77777777" w:rsidR="004755AA" w:rsidRDefault="004755A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AF2C9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BF6520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C2CBF8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754779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A28E7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5927B4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0C5F9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51CC29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AA8F92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CA23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C6FFE"/>
    <w:multiLevelType w:val="hybridMultilevel"/>
    <w:tmpl w:val="76E26208"/>
    <w:lvl w:ilvl="0" w:tplc="0C0C000F">
      <w:start w:val="1"/>
      <w:numFmt w:val="decimal"/>
      <w:lvlText w:val="%1."/>
      <w:lvlJc w:val="left"/>
      <w:pPr>
        <w:ind w:left="360" w:hanging="360"/>
      </w:pPr>
    </w:lvl>
    <w:lvl w:ilvl="1" w:tplc="0C0C0017">
      <w:start w:val="1"/>
      <w:numFmt w:val="lowerLetter"/>
      <w:lvlText w:val="%2)"/>
      <w:lvlJc w:val="left"/>
      <w:pPr>
        <w:ind w:left="1080" w:hanging="360"/>
      </w:pPr>
    </w:lvl>
    <w:lvl w:ilvl="2" w:tplc="2D3A8488">
      <w:start w:val="1850"/>
      <w:numFmt w:val="bullet"/>
      <w:lvlText w:val="-"/>
      <w:lvlJc w:val="left"/>
      <w:pPr>
        <w:ind w:left="1980" w:hanging="360"/>
      </w:pPr>
      <w:rPr>
        <w:rFonts w:ascii="Arial" w:eastAsiaTheme="minorHAnsi" w:hAnsi="Arial" w:cs="Arial" w:hint="default"/>
      </w:r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15:restartNumberingAfterBreak="0">
    <w:nsid w:val="07B72AE4"/>
    <w:multiLevelType w:val="hybridMultilevel"/>
    <w:tmpl w:val="C9E61B2E"/>
    <w:lvl w:ilvl="0" w:tplc="31389F90">
      <w:start w:val="1"/>
      <w:numFmt w:val="decimal"/>
      <w:pStyle w:val="Paragraphedeliste"/>
      <w:lvlText w:val="%1."/>
      <w:lvlJc w:val="left"/>
      <w:pPr>
        <w:ind w:left="107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080" w:hanging="360"/>
      </w:pPr>
    </w:lvl>
    <w:lvl w:ilvl="2" w:tplc="0C0C001B">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1CA765BB"/>
    <w:multiLevelType w:val="hybridMultilevel"/>
    <w:tmpl w:val="0F405D9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272B4D10"/>
    <w:multiLevelType w:val="hybridMultilevel"/>
    <w:tmpl w:val="A4A86AEC"/>
    <w:lvl w:ilvl="0" w:tplc="C81A0A1E">
      <w:start w:val="1"/>
      <w:numFmt w:val="decimal"/>
      <w:lvlText w:val="%1-"/>
      <w:lvlJc w:val="left"/>
      <w:pPr>
        <w:ind w:left="720" w:hanging="360"/>
      </w:pPr>
      <w:rPr>
        <w:rFonts w:cs="Times New Roman" w:hint="default"/>
        <w:color w:val="auto"/>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2F8422B1"/>
    <w:multiLevelType w:val="hybridMultilevel"/>
    <w:tmpl w:val="32CE9530"/>
    <w:lvl w:ilvl="0" w:tplc="04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08923E1"/>
    <w:multiLevelType w:val="hybridMultilevel"/>
    <w:tmpl w:val="726873E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15:restartNumberingAfterBreak="0">
    <w:nsid w:val="32D002F3"/>
    <w:multiLevelType w:val="hybridMultilevel"/>
    <w:tmpl w:val="BE929C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4A710EC6"/>
    <w:multiLevelType w:val="hybridMultilevel"/>
    <w:tmpl w:val="A4A86AEC"/>
    <w:lvl w:ilvl="0" w:tplc="FFFFFFFF">
      <w:start w:val="1"/>
      <w:numFmt w:val="decimal"/>
      <w:lvlText w:val="%1-"/>
      <w:lvlJc w:val="left"/>
      <w:pPr>
        <w:ind w:left="720" w:hanging="360"/>
      </w:pPr>
      <w:rPr>
        <w:rFonts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B083D80"/>
    <w:multiLevelType w:val="hybridMultilevel"/>
    <w:tmpl w:val="E5C68DF8"/>
    <w:lvl w:ilvl="0" w:tplc="B6EC0A8A">
      <w:start w:val="1"/>
      <w:numFmt w:val="decimal"/>
      <w:lvlText w:val="%1."/>
      <w:lvlJc w:val="center"/>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B8156A2"/>
    <w:multiLevelType w:val="hybridMultilevel"/>
    <w:tmpl w:val="ADB68C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09C0DCC"/>
    <w:multiLevelType w:val="multilevel"/>
    <w:tmpl w:val="078E11EA"/>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62797C4B"/>
    <w:multiLevelType w:val="hybridMultilevel"/>
    <w:tmpl w:val="2A02E01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2843572"/>
    <w:multiLevelType w:val="hybridMultilevel"/>
    <w:tmpl w:val="06F4132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63951A97"/>
    <w:multiLevelType w:val="hybridMultilevel"/>
    <w:tmpl w:val="C3DE9CE2"/>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6B4C0E23"/>
    <w:multiLevelType w:val="hybridMultilevel"/>
    <w:tmpl w:val="0B760C18"/>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71730EBF"/>
    <w:multiLevelType w:val="hybridMultilevel"/>
    <w:tmpl w:val="C116E270"/>
    <w:lvl w:ilvl="0" w:tplc="0C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3A30182"/>
    <w:multiLevelType w:val="hybridMultilevel"/>
    <w:tmpl w:val="0D0AB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73F670B7"/>
    <w:multiLevelType w:val="hybridMultilevel"/>
    <w:tmpl w:val="FB5216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20"/>
  </w:num>
  <w:num w:numId="2">
    <w:abstractNumId w:val="20"/>
  </w:num>
  <w:num w:numId="3">
    <w:abstractNumId w:val="2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8"/>
  </w:num>
  <w:num w:numId="15">
    <w:abstractNumId w:val="27"/>
  </w:num>
  <w:num w:numId="16">
    <w:abstractNumId w:val="11"/>
  </w:num>
  <w:num w:numId="17">
    <w:abstractNumId w:val="20"/>
  </w:num>
  <w:num w:numId="18">
    <w:abstractNumId w:val="20"/>
  </w:num>
  <w:num w:numId="19">
    <w:abstractNumId w:val="20"/>
  </w:num>
  <w:num w:numId="20">
    <w:abstractNumId w:val="10"/>
  </w:num>
  <w:num w:numId="21">
    <w:abstractNumId w:val="25"/>
  </w:num>
  <w:num w:numId="22">
    <w:abstractNumId w:val="24"/>
  </w:num>
  <w:num w:numId="23">
    <w:abstractNumId w:val="12"/>
  </w:num>
  <w:num w:numId="24">
    <w:abstractNumId w:val="15"/>
  </w:num>
  <w:num w:numId="25">
    <w:abstractNumId w:val="19"/>
  </w:num>
  <w:num w:numId="26">
    <w:abstractNumId w:val="22"/>
  </w:num>
  <w:num w:numId="27">
    <w:abstractNumId w:val="16"/>
  </w:num>
  <w:num w:numId="28">
    <w:abstractNumId w:val="21"/>
  </w:num>
  <w:num w:numId="29">
    <w:abstractNumId w:val="26"/>
  </w:num>
  <w:num w:numId="30">
    <w:abstractNumId w:val="23"/>
  </w:num>
  <w:num w:numId="31">
    <w:abstractNumId w:val="20"/>
  </w:num>
  <w:num w:numId="32">
    <w:abstractNumId w:val="13"/>
  </w:num>
  <w:num w:numId="33">
    <w:abstractNumId w:val="20"/>
  </w:num>
  <w:num w:numId="34">
    <w:abstractNumId w:val="17"/>
  </w:num>
  <w:num w:numId="35">
    <w:abstractNumId w:val="20"/>
  </w:num>
  <w:num w:numId="36">
    <w:abstractNumId w:val="20"/>
  </w:num>
  <w:num w:numId="37">
    <w:abstractNumId w:val="20"/>
  </w:num>
  <w:num w:numId="38">
    <w:abstractNumId w:val="20"/>
  </w:num>
  <w:num w:numId="39">
    <w:abstractNumId w:val="20"/>
  </w:num>
  <w:num w:numId="40">
    <w:abstractNumId w:val="14"/>
  </w:num>
  <w:num w:numId="41">
    <w:abstractNumId w:val="20"/>
  </w:num>
  <w:num w:numId="42">
    <w:abstractNumId w:val="20"/>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4"/>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E45"/>
    <w:rsid w:val="0000124E"/>
    <w:rsid w:val="00001C03"/>
    <w:rsid w:val="00003619"/>
    <w:rsid w:val="00004595"/>
    <w:rsid w:val="000045EE"/>
    <w:rsid w:val="000076E2"/>
    <w:rsid w:val="00007A43"/>
    <w:rsid w:val="00015AF0"/>
    <w:rsid w:val="0001707E"/>
    <w:rsid w:val="000177C6"/>
    <w:rsid w:val="00017E63"/>
    <w:rsid w:val="00023A7A"/>
    <w:rsid w:val="00023C94"/>
    <w:rsid w:val="00024B03"/>
    <w:rsid w:val="0002722E"/>
    <w:rsid w:val="000300EA"/>
    <w:rsid w:val="000357A1"/>
    <w:rsid w:val="00050C87"/>
    <w:rsid w:val="000510FE"/>
    <w:rsid w:val="00051C29"/>
    <w:rsid w:val="0005293D"/>
    <w:rsid w:val="00052F42"/>
    <w:rsid w:val="0005625B"/>
    <w:rsid w:val="00061213"/>
    <w:rsid w:val="000617DC"/>
    <w:rsid w:val="00063E39"/>
    <w:rsid w:val="00064915"/>
    <w:rsid w:val="00065A33"/>
    <w:rsid w:val="00070D1D"/>
    <w:rsid w:val="00070D64"/>
    <w:rsid w:val="00077161"/>
    <w:rsid w:val="00081831"/>
    <w:rsid w:val="00081859"/>
    <w:rsid w:val="00083532"/>
    <w:rsid w:val="000949D6"/>
    <w:rsid w:val="000951FB"/>
    <w:rsid w:val="000976EC"/>
    <w:rsid w:val="000A7378"/>
    <w:rsid w:val="000A7582"/>
    <w:rsid w:val="000C11A2"/>
    <w:rsid w:val="000C1982"/>
    <w:rsid w:val="000C2FEA"/>
    <w:rsid w:val="000C4038"/>
    <w:rsid w:val="000D0989"/>
    <w:rsid w:val="000D170C"/>
    <w:rsid w:val="000D2FD5"/>
    <w:rsid w:val="000D4EFE"/>
    <w:rsid w:val="000E0DB3"/>
    <w:rsid w:val="000E5610"/>
    <w:rsid w:val="000F0051"/>
    <w:rsid w:val="000F122C"/>
    <w:rsid w:val="000F27AC"/>
    <w:rsid w:val="000F437E"/>
    <w:rsid w:val="000F7644"/>
    <w:rsid w:val="0010326D"/>
    <w:rsid w:val="00105E97"/>
    <w:rsid w:val="0010760D"/>
    <w:rsid w:val="0011076A"/>
    <w:rsid w:val="0011280F"/>
    <w:rsid w:val="00116313"/>
    <w:rsid w:val="00121C76"/>
    <w:rsid w:val="00124878"/>
    <w:rsid w:val="0013149C"/>
    <w:rsid w:val="00135FF6"/>
    <w:rsid w:val="001415E2"/>
    <w:rsid w:val="00141C71"/>
    <w:rsid w:val="0014576E"/>
    <w:rsid w:val="00152367"/>
    <w:rsid w:val="001529FB"/>
    <w:rsid w:val="001533DF"/>
    <w:rsid w:val="00153828"/>
    <w:rsid w:val="00154C9C"/>
    <w:rsid w:val="00156369"/>
    <w:rsid w:val="0016105D"/>
    <w:rsid w:val="00171BD5"/>
    <w:rsid w:val="00171F83"/>
    <w:rsid w:val="00173820"/>
    <w:rsid w:val="00182A6B"/>
    <w:rsid w:val="00190014"/>
    <w:rsid w:val="00191C9C"/>
    <w:rsid w:val="0019592A"/>
    <w:rsid w:val="00196BC4"/>
    <w:rsid w:val="00197E8D"/>
    <w:rsid w:val="001A1307"/>
    <w:rsid w:val="001A23BA"/>
    <w:rsid w:val="001A2907"/>
    <w:rsid w:val="001A5CF3"/>
    <w:rsid w:val="001B00C0"/>
    <w:rsid w:val="001B4589"/>
    <w:rsid w:val="001C6069"/>
    <w:rsid w:val="001D082D"/>
    <w:rsid w:val="001D27BB"/>
    <w:rsid w:val="001D374E"/>
    <w:rsid w:val="001E7011"/>
    <w:rsid w:val="001F1AF8"/>
    <w:rsid w:val="001F5DC5"/>
    <w:rsid w:val="00200983"/>
    <w:rsid w:val="00202987"/>
    <w:rsid w:val="0020341D"/>
    <w:rsid w:val="002034D3"/>
    <w:rsid w:val="00207B58"/>
    <w:rsid w:val="0021245A"/>
    <w:rsid w:val="0021280F"/>
    <w:rsid w:val="00217C8B"/>
    <w:rsid w:val="0022039B"/>
    <w:rsid w:val="00221E84"/>
    <w:rsid w:val="002220D7"/>
    <w:rsid w:val="00227B1D"/>
    <w:rsid w:val="00227DD0"/>
    <w:rsid w:val="00230656"/>
    <w:rsid w:val="0023779B"/>
    <w:rsid w:val="00241729"/>
    <w:rsid w:val="002433CD"/>
    <w:rsid w:val="00247D9A"/>
    <w:rsid w:val="002517DE"/>
    <w:rsid w:val="002523F4"/>
    <w:rsid w:val="00261A3E"/>
    <w:rsid w:val="00263872"/>
    <w:rsid w:val="002652A8"/>
    <w:rsid w:val="0027278C"/>
    <w:rsid w:val="00273719"/>
    <w:rsid w:val="002769A5"/>
    <w:rsid w:val="002772F1"/>
    <w:rsid w:val="00277751"/>
    <w:rsid w:val="00283C13"/>
    <w:rsid w:val="00287C3B"/>
    <w:rsid w:val="00287E05"/>
    <w:rsid w:val="00290CBE"/>
    <w:rsid w:val="00294524"/>
    <w:rsid w:val="00294E80"/>
    <w:rsid w:val="002974E4"/>
    <w:rsid w:val="002A0100"/>
    <w:rsid w:val="002A21F9"/>
    <w:rsid w:val="002A2532"/>
    <w:rsid w:val="002A3098"/>
    <w:rsid w:val="002B02A3"/>
    <w:rsid w:val="002B0FA0"/>
    <w:rsid w:val="002B1F19"/>
    <w:rsid w:val="002B5BEF"/>
    <w:rsid w:val="002C1213"/>
    <w:rsid w:val="002C2FA0"/>
    <w:rsid w:val="002C4CAC"/>
    <w:rsid w:val="002D4E69"/>
    <w:rsid w:val="002D7B9E"/>
    <w:rsid w:val="002E14CF"/>
    <w:rsid w:val="002E46B3"/>
    <w:rsid w:val="002F0C3A"/>
    <w:rsid w:val="002F27FA"/>
    <w:rsid w:val="002F34CB"/>
    <w:rsid w:val="002F52F5"/>
    <w:rsid w:val="0031407B"/>
    <w:rsid w:val="00314537"/>
    <w:rsid w:val="003164D9"/>
    <w:rsid w:val="003177F3"/>
    <w:rsid w:val="00321FEB"/>
    <w:rsid w:val="00335181"/>
    <w:rsid w:val="00337696"/>
    <w:rsid w:val="00344099"/>
    <w:rsid w:val="00354916"/>
    <w:rsid w:val="00355B86"/>
    <w:rsid w:val="0035629B"/>
    <w:rsid w:val="00356420"/>
    <w:rsid w:val="00360F42"/>
    <w:rsid w:val="00372E95"/>
    <w:rsid w:val="003730EE"/>
    <w:rsid w:val="00374872"/>
    <w:rsid w:val="003755E5"/>
    <w:rsid w:val="00376EF8"/>
    <w:rsid w:val="00377264"/>
    <w:rsid w:val="00380F5E"/>
    <w:rsid w:val="003827DF"/>
    <w:rsid w:val="00382A5D"/>
    <w:rsid w:val="003833EF"/>
    <w:rsid w:val="00387817"/>
    <w:rsid w:val="003A0662"/>
    <w:rsid w:val="003A1319"/>
    <w:rsid w:val="003A2090"/>
    <w:rsid w:val="003A2392"/>
    <w:rsid w:val="003A2E23"/>
    <w:rsid w:val="003B32E1"/>
    <w:rsid w:val="003B3888"/>
    <w:rsid w:val="003B44CB"/>
    <w:rsid w:val="003B46BF"/>
    <w:rsid w:val="003B4D55"/>
    <w:rsid w:val="003B4DCE"/>
    <w:rsid w:val="003B7D9A"/>
    <w:rsid w:val="003C4872"/>
    <w:rsid w:val="003D3FFE"/>
    <w:rsid w:val="003D66D9"/>
    <w:rsid w:val="003F05F5"/>
    <w:rsid w:val="003F19A6"/>
    <w:rsid w:val="003F2494"/>
    <w:rsid w:val="003F6188"/>
    <w:rsid w:val="003F713E"/>
    <w:rsid w:val="004000F0"/>
    <w:rsid w:val="00405439"/>
    <w:rsid w:val="00410B98"/>
    <w:rsid w:val="00411998"/>
    <w:rsid w:val="004125E4"/>
    <w:rsid w:val="00414C42"/>
    <w:rsid w:val="00415DCB"/>
    <w:rsid w:val="00417C84"/>
    <w:rsid w:val="00421F0F"/>
    <w:rsid w:val="004231D9"/>
    <w:rsid w:val="0043259E"/>
    <w:rsid w:val="00432F3E"/>
    <w:rsid w:val="00434B13"/>
    <w:rsid w:val="004352D0"/>
    <w:rsid w:val="00442194"/>
    <w:rsid w:val="00444267"/>
    <w:rsid w:val="00445034"/>
    <w:rsid w:val="00445069"/>
    <w:rsid w:val="00451D67"/>
    <w:rsid w:val="00452BF4"/>
    <w:rsid w:val="00454582"/>
    <w:rsid w:val="00456358"/>
    <w:rsid w:val="004606BA"/>
    <w:rsid w:val="00460EB3"/>
    <w:rsid w:val="00461D2E"/>
    <w:rsid w:val="004638B4"/>
    <w:rsid w:val="00463A2A"/>
    <w:rsid w:val="0046775E"/>
    <w:rsid w:val="00470299"/>
    <w:rsid w:val="0047082E"/>
    <w:rsid w:val="0047532E"/>
    <w:rsid w:val="004755AA"/>
    <w:rsid w:val="00477AED"/>
    <w:rsid w:val="0048189B"/>
    <w:rsid w:val="00482C41"/>
    <w:rsid w:val="00487550"/>
    <w:rsid w:val="00487F4A"/>
    <w:rsid w:val="00491260"/>
    <w:rsid w:val="004A1B32"/>
    <w:rsid w:val="004A3882"/>
    <w:rsid w:val="004A4A51"/>
    <w:rsid w:val="004B4345"/>
    <w:rsid w:val="004B67CC"/>
    <w:rsid w:val="004B7D07"/>
    <w:rsid w:val="004B7D2A"/>
    <w:rsid w:val="004C1042"/>
    <w:rsid w:val="004C10EE"/>
    <w:rsid w:val="004C12AD"/>
    <w:rsid w:val="004C3407"/>
    <w:rsid w:val="004C509E"/>
    <w:rsid w:val="004D0652"/>
    <w:rsid w:val="004D2C24"/>
    <w:rsid w:val="004D40F5"/>
    <w:rsid w:val="004D6285"/>
    <w:rsid w:val="004D7060"/>
    <w:rsid w:val="004D758F"/>
    <w:rsid w:val="004E25A6"/>
    <w:rsid w:val="004E47AA"/>
    <w:rsid w:val="004F00C8"/>
    <w:rsid w:val="004F1099"/>
    <w:rsid w:val="004F1EF4"/>
    <w:rsid w:val="004F2C1D"/>
    <w:rsid w:val="004F7455"/>
    <w:rsid w:val="004F7C6A"/>
    <w:rsid w:val="005025A5"/>
    <w:rsid w:val="005051D2"/>
    <w:rsid w:val="00505DED"/>
    <w:rsid w:val="00510EF5"/>
    <w:rsid w:val="0051245F"/>
    <w:rsid w:val="0053069C"/>
    <w:rsid w:val="00537E47"/>
    <w:rsid w:val="00542AE1"/>
    <w:rsid w:val="005454FB"/>
    <w:rsid w:val="00553B1F"/>
    <w:rsid w:val="00555286"/>
    <w:rsid w:val="00561338"/>
    <w:rsid w:val="00561AD8"/>
    <w:rsid w:val="00563067"/>
    <w:rsid w:val="00564DE6"/>
    <w:rsid w:val="00567C3A"/>
    <w:rsid w:val="00571D19"/>
    <w:rsid w:val="00571F5F"/>
    <w:rsid w:val="00572F05"/>
    <w:rsid w:val="00574E28"/>
    <w:rsid w:val="005765A9"/>
    <w:rsid w:val="0058249C"/>
    <w:rsid w:val="00585FBC"/>
    <w:rsid w:val="0058711A"/>
    <w:rsid w:val="005902EA"/>
    <w:rsid w:val="005A3FDF"/>
    <w:rsid w:val="005A6A7B"/>
    <w:rsid w:val="005B2A84"/>
    <w:rsid w:val="005B3528"/>
    <w:rsid w:val="005B3619"/>
    <w:rsid w:val="005B54A6"/>
    <w:rsid w:val="005C42D0"/>
    <w:rsid w:val="005D2402"/>
    <w:rsid w:val="005D340E"/>
    <w:rsid w:val="005D3851"/>
    <w:rsid w:val="005D41AE"/>
    <w:rsid w:val="005D7129"/>
    <w:rsid w:val="005E24E7"/>
    <w:rsid w:val="005F6408"/>
    <w:rsid w:val="00601FDC"/>
    <w:rsid w:val="00603EAB"/>
    <w:rsid w:val="00612C34"/>
    <w:rsid w:val="006149C5"/>
    <w:rsid w:val="00616C5F"/>
    <w:rsid w:val="00617E4C"/>
    <w:rsid w:val="00621D8C"/>
    <w:rsid w:val="006253AA"/>
    <w:rsid w:val="0062706D"/>
    <w:rsid w:val="00631F5B"/>
    <w:rsid w:val="00632CF2"/>
    <w:rsid w:val="006333DB"/>
    <w:rsid w:val="00633CC6"/>
    <w:rsid w:val="00635B49"/>
    <w:rsid w:val="00644288"/>
    <w:rsid w:val="00644D27"/>
    <w:rsid w:val="00647F31"/>
    <w:rsid w:val="00653CF1"/>
    <w:rsid w:val="00664CC8"/>
    <w:rsid w:val="006700B4"/>
    <w:rsid w:val="006736C4"/>
    <w:rsid w:val="00673AC2"/>
    <w:rsid w:val="00675484"/>
    <w:rsid w:val="00675A66"/>
    <w:rsid w:val="00677AC2"/>
    <w:rsid w:val="006807C4"/>
    <w:rsid w:val="00682241"/>
    <w:rsid w:val="00682781"/>
    <w:rsid w:val="00683299"/>
    <w:rsid w:val="00693DF6"/>
    <w:rsid w:val="00694E3E"/>
    <w:rsid w:val="00696B70"/>
    <w:rsid w:val="006A16FA"/>
    <w:rsid w:val="006A33A9"/>
    <w:rsid w:val="006B28C6"/>
    <w:rsid w:val="006B5FC5"/>
    <w:rsid w:val="006C03AA"/>
    <w:rsid w:val="006C2080"/>
    <w:rsid w:val="006D1E0A"/>
    <w:rsid w:val="006D2B6B"/>
    <w:rsid w:val="006D513A"/>
    <w:rsid w:val="006D54D9"/>
    <w:rsid w:val="006E1538"/>
    <w:rsid w:val="006E1622"/>
    <w:rsid w:val="006E3A38"/>
    <w:rsid w:val="006E4E23"/>
    <w:rsid w:val="006F1437"/>
    <w:rsid w:val="006F2538"/>
    <w:rsid w:val="006F35AB"/>
    <w:rsid w:val="007156AF"/>
    <w:rsid w:val="0071703F"/>
    <w:rsid w:val="00730283"/>
    <w:rsid w:val="00731059"/>
    <w:rsid w:val="00731437"/>
    <w:rsid w:val="007331D7"/>
    <w:rsid w:val="00733682"/>
    <w:rsid w:val="007416CE"/>
    <w:rsid w:val="007422F7"/>
    <w:rsid w:val="007427AC"/>
    <w:rsid w:val="00743812"/>
    <w:rsid w:val="007448FF"/>
    <w:rsid w:val="00745A21"/>
    <w:rsid w:val="00750166"/>
    <w:rsid w:val="00750C47"/>
    <w:rsid w:val="0075444B"/>
    <w:rsid w:val="00756639"/>
    <w:rsid w:val="007573F0"/>
    <w:rsid w:val="00757AD0"/>
    <w:rsid w:val="00761561"/>
    <w:rsid w:val="00761717"/>
    <w:rsid w:val="007624C1"/>
    <w:rsid w:val="007626C2"/>
    <w:rsid w:val="007637CD"/>
    <w:rsid w:val="0076462D"/>
    <w:rsid w:val="00765D61"/>
    <w:rsid w:val="00767000"/>
    <w:rsid w:val="0077615A"/>
    <w:rsid w:val="007830F9"/>
    <w:rsid w:val="00785101"/>
    <w:rsid w:val="00787508"/>
    <w:rsid w:val="007875B0"/>
    <w:rsid w:val="00790838"/>
    <w:rsid w:val="00796A66"/>
    <w:rsid w:val="007A3CF8"/>
    <w:rsid w:val="007A7C59"/>
    <w:rsid w:val="007B165B"/>
    <w:rsid w:val="007B1DF3"/>
    <w:rsid w:val="007B4880"/>
    <w:rsid w:val="007B4F83"/>
    <w:rsid w:val="007B57CE"/>
    <w:rsid w:val="007B5918"/>
    <w:rsid w:val="007C2690"/>
    <w:rsid w:val="007C6C43"/>
    <w:rsid w:val="007E1368"/>
    <w:rsid w:val="007E37C9"/>
    <w:rsid w:val="007E649B"/>
    <w:rsid w:val="007E7D3B"/>
    <w:rsid w:val="007F4C2B"/>
    <w:rsid w:val="007F55CC"/>
    <w:rsid w:val="00802218"/>
    <w:rsid w:val="0080402E"/>
    <w:rsid w:val="008069BD"/>
    <w:rsid w:val="00806AB8"/>
    <w:rsid w:val="008140AF"/>
    <w:rsid w:val="0081632C"/>
    <w:rsid w:val="008176FC"/>
    <w:rsid w:val="00824F12"/>
    <w:rsid w:val="008255F9"/>
    <w:rsid w:val="00825D7D"/>
    <w:rsid w:val="00825FD1"/>
    <w:rsid w:val="00826B95"/>
    <w:rsid w:val="0083607A"/>
    <w:rsid w:val="00841B72"/>
    <w:rsid w:val="00842670"/>
    <w:rsid w:val="00844995"/>
    <w:rsid w:val="00845E3F"/>
    <w:rsid w:val="008533C9"/>
    <w:rsid w:val="00854757"/>
    <w:rsid w:val="00854FBE"/>
    <w:rsid w:val="00857FD6"/>
    <w:rsid w:val="0086017D"/>
    <w:rsid w:val="008615E5"/>
    <w:rsid w:val="0086376B"/>
    <w:rsid w:val="00870BE7"/>
    <w:rsid w:val="00871F94"/>
    <w:rsid w:val="0087272A"/>
    <w:rsid w:val="008818C8"/>
    <w:rsid w:val="0089104F"/>
    <w:rsid w:val="008975ED"/>
    <w:rsid w:val="008A2827"/>
    <w:rsid w:val="008A37D1"/>
    <w:rsid w:val="008B0126"/>
    <w:rsid w:val="008B0B0E"/>
    <w:rsid w:val="008B0BC5"/>
    <w:rsid w:val="008B1CAC"/>
    <w:rsid w:val="008B306D"/>
    <w:rsid w:val="008B51AC"/>
    <w:rsid w:val="008B6A06"/>
    <w:rsid w:val="008C031F"/>
    <w:rsid w:val="008C1C63"/>
    <w:rsid w:val="008C539F"/>
    <w:rsid w:val="008C5A86"/>
    <w:rsid w:val="008D0DE6"/>
    <w:rsid w:val="008D25C7"/>
    <w:rsid w:val="008D2D86"/>
    <w:rsid w:val="008D2EA0"/>
    <w:rsid w:val="008D4EB3"/>
    <w:rsid w:val="008E066E"/>
    <w:rsid w:val="008E0DCC"/>
    <w:rsid w:val="008E7443"/>
    <w:rsid w:val="008F227E"/>
    <w:rsid w:val="008F73CB"/>
    <w:rsid w:val="0090071A"/>
    <w:rsid w:val="00903E84"/>
    <w:rsid w:val="00906A99"/>
    <w:rsid w:val="00915AC8"/>
    <w:rsid w:val="00916B10"/>
    <w:rsid w:val="00930949"/>
    <w:rsid w:val="00932040"/>
    <w:rsid w:val="009334C7"/>
    <w:rsid w:val="00934EDC"/>
    <w:rsid w:val="009361AA"/>
    <w:rsid w:val="0093756A"/>
    <w:rsid w:val="00944202"/>
    <w:rsid w:val="0094486C"/>
    <w:rsid w:val="00946471"/>
    <w:rsid w:val="009471D3"/>
    <w:rsid w:val="009549E3"/>
    <w:rsid w:val="00955EA9"/>
    <w:rsid w:val="0095648E"/>
    <w:rsid w:val="00962C2E"/>
    <w:rsid w:val="0096322E"/>
    <w:rsid w:val="00966217"/>
    <w:rsid w:val="00974723"/>
    <w:rsid w:val="00982E3C"/>
    <w:rsid w:val="00983B92"/>
    <w:rsid w:val="00984066"/>
    <w:rsid w:val="00993B26"/>
    <w:rsid w:val="009963C2"/>
    <w:rsid w:val="009A035A"/>
    <w:rsid w:val="009A24B2"/>
    <w:rsid w:val="009B2EA1"/>
    <w:rsid w:val="009B3F2A"/>
    <w:rsid w:val="009B4DE7"/>
    <w:rsid w:val="009B6D58"/>
    <w:rsid w:val="009C054C"/>
    <w:rsid w:val="009D0C1C"/>
    <w:rsid w:val="009D54F8"/>
    <w:rsid w:val="009E066E"/>
    <w:rsid w:val="009E758E"/>
    <w:rsid w:val="009F09E4"/>
    <w:rsid w:val="009F25A5"/>
    <w:rsid w:val="009F394C"/>
    <w:rsid w:val="009F5BED"/>
    <w:rsid w:val="009F6E18"/>
    <w:rsid w:val="00A0124C"/>
    <w:rsid w:val="00A031E8"/>
    <w:rsid w:val="00A03DD5"/>
    <w:rsid w:val="00A10010"/>
    <w:rsid w:val="00A12BDE"/>
    <w:rsid w:val="00A16381"/>
    <w:rsid w:val="00A2656F"/>
    <w:rsid w:val="00A30C80"/>
    <w:rsid w:val="00A312BD"/>
    <w:rsid w:val="00A31AB4"/>
    <w:rsid w:val="00A33A47"/>
    <w:rsid w:val="00A34D8C"/>
    <w:rsid w:val="00A41CD9"/>
    <w:rsid w:val="00A4281B"/>
    <w:rsid w:val="00A4313A"/>
    <w:rsid w:val="00A43A5B"/>
    <w:rsid w:val="00A45014"/>
    <w:rsid w:val="00A51D38"/>
    <w:rsid w:val="00A6026F"/>
    <w:rsid w:val="00A6230C"/>
    <w:rsid w:val="00A6417C"/>
    <w:rsid w:val="00A67A3E"/>
    <w:rsid w:val="00A7082F"/>
    <w:rsid w:val="00A713FD"/>
    <w:rsid w:val="00A7209F"/>
    <w:rsid w:val="00A7483A"/>
    <w:rsid w:val="00A75F81"/>
    <w:rsid w:val="00A77C76"/>
    <w:rsid w:val="00A77FB6"/>
    <w:rsid w:val="00A82557"/>
    <w:rsid w:val="00A8384B"/>
    <w:rsid w:val="00A838AC"/>
    <w:rsid w:val="00A86504"/>
    <w:rsid w:val="00A8765B"/>
    <w:rsid w:val="00A900A7"/>
    <w:rsid w:val="00A92CA2"/>
    <w:rsid w:val="00A92E6C"/>
    <w:rsid w:val="00A94EC2"/>
    <w:rsid w:val="00AA07DF"/>
    <w:rsid w:val="00AA1AA3"/>
    <w:rsid w:val="00AA4298"/>
    <w:rsid w:val="00AA4652"/>
    <w:rsid w:val="00AA49AC"/>
    <w:rsid w:val="00AB15C6"/>
    <w:rsid w:val="00AB2C08"/>
    <w:rsid w:val="00AB2E34"/>
    <w:rsid w:val="00AB3C34"/>
    <w:rsid w:val="00AB413A"/>
    <w:rsid w:val="00AC014C"/>
    <w:rsid w:val="00AC0300"/>
    <w:rsid w:val="00AC1127"/>
    <w:rsid w:val="00AC6D8C"/>
    <w:rsid w:val="00AD09EA"/>
    <w:rsid w:val="00AD333E"/>
    <w:rsid w:val="00AD45AE"/>
    <w:rsid w:val="00AE2C56"/>
    <w:rsid w:val="00AE493E"/>
    <w:rsid w:val="00AE56A0"/>
    <w:rsid w:val="00AF1A55"/>
    <w:rsid w:val="00AF2198"/>
    <w:rsid w:val="00AF2E09"/>
    <w:rsid w:val="00AF4DD6"/>
    <w:rsid w:val="00AF6BAD"/>
    <w:rsid w:val="00B007BC"/>
    <w:rsid w:val="00B02CD7"/>
    <w:rsid w:val="00B06C10"/>
    <w:rsid w:val="00B07E93"/>
    <w:rsid w:val="00B13596"/>
    <w:rsid w:val="00B14989"/>
    <w:rsid w:val="00B14E95"/>
    <w:rsid w:val="00B15D93"/>
    <w:rsid w:val="00B16211"/>
    <w:rsid w:val="00B17BAC"/>
    <w:rsid w:val="00B203AC"/>
    <w:rsid w:val="00B2060B"/>
    <w:rsid w:val="00B21D62"/>
    <w:rsid w:val="00B22530"/>
    <w:rsid w:val="00B26186"/>
    <w:rsid w:val="00B2706E"/>
    <w:rsid w:val="00B31B7E"/>
    <w:rsid w:val="00B352B5"/>
    <w:rsid w:val="00B37E68"/>
    <w:rsid w:val="00B400AB"/>
    <w:rsid w:val="00B4030F"/>
    <w:rsid w:val="00B44D39"/>
    <w:rsid w:val="00B57FF5"/>
    <w:rsid w:val="00B60838"/>
    <w:rsid w:val="00B72FEF"/>
    <w:rsid w:val="00B7391C"/>
    <w:rsid w:val="00B74446"/>
    <w:rsid w:val="00B75506"/>
    <w:rsid w:val="00B7648B"/>
    <w:rsid w:val="00B772C0"/>
    <w:rsid w:val="00B8263C"/>
    <w:rsid w:val="00B8309A"/>
    <w:rsid w:val="00B84844"/>
    <w:rsid w:val="00B84E9A"/>
    <w:rsid w:val="00B9160E"/>
    <w:rsid w:val="00BA20A0"/>
    <w:rsid w:val="00BA3C47"/>
    <w:rsid w:val="00BA562F"/>
    <w:rsid w:val="00BB1A16"/>
    <w:rsid w:val="00BB2D39"/>
    <w:rsid w:val="00BC02D1"/>
    <w:rsid w:val="00BC2FC2"/>
    <w:rsid w:val="00BC38AE"/>
    <w:rsid w:val="00BC4E17"/>
    <w:rsid w:val="00BC66B6"/>
    <w:rsid w:val="00BD0C9B"/>
    <w:rsid w:val="00BD10C4"/>
    <w:rsid w:val="00BD2FA0"/>
    <w:rsid w:val="00BD6B5A"/>
    <w:rsid w:val="00BD73A1"/>
    <w:rsid w:val="00BE03FE"/>
    <w:rsid w:val="00BE0425"/>
    <w:rsid w:val="00BE2763"/>
    <w:rsid w:val="00BE41B2"/>
    <w:rsid w:val="00BE5F79"/>
    <w:rsid w:val="00BE7978"/>
    <w:rsid w:val="00BF0352"/>
    <w:rsid w:val="00BF3F8C"/>
    <w:rsid w:val="00BF64B9"/>
    <w:rsid w:val="00BF74E1"/>
    <w:rsid w:val="00C0222E"/>
    <w:rsid w:val="00C0616D"/>
    <w:rsid w:val="00C115C0"/>
    <w:rsid w:val="00C134EC"/>
    <w:rsid w:val="00C13764"/>
    <w:rsid w:val="00C17428"/>
    <w:rsid w:val="00C22F29"/>
    <w:rsid w:val="00C25D9B"/>
    <w:rsid w:val="00C27E03"/>
    <w:rsid w:val="00C3027A"/>
    <w:rsid w:val="00C31212"/>
    <w:rsid w:val="00C34532"/>
    <w:rsid w:val="00C356A7"/>
    <w:rsid w:val="00C35766"/>
    <w:rsid w:val="00C36790"/>
    <w:rsid w:val="00C374FC"/>
    <w:rsid w:val="00C44719"/>
    <w:rsid w:val="00C527AA"/>
    <w:rsid w:val="00C54723"/>
    <w:rsid w:val="00C57BC2"/>
    <w:rsid w:val="00C606EB"/>
    <w:rsid w:val="00C612DE"/>
    <w:rsid w:val="00C63C1B"/>
    <w:rsid w:val="00C65260"/>
    <w:rsid w:val="00C66AB2"/>
    <w:rsid w:val="00C751A8"/>
    <w:rsid w:val="00C76D19"/>
    <w:rsid w:val="00C81ED2"/>
    <w:rsid w:val="00C82731"/>
    <w:rsid w:val="00C95612"/>
    <w:rsid w:val="00C95C45"/>
    <w:rsid w:val="00C9690D"/>
    <w:rsid w:val="00CA349B"/>
    <w:rsid w:val="00CB1AA2"/>
    <w:rsid w:val="00CB2940"/>
    <w:rsid w:val="00CB4A4B"/>
    <w:rsid w:val="00CB4D44"/>
    <w:rsid w:val="00CB5B95"/>
    <w:rsid w:val="00CC6C79"/>
    <w:rsid w:val="00CC7524"/>
    <w:rsid w:val="00CD07FA"/>
    <w:rsid w:val="00CD1581"/>
    <w:rsid w:val="00CD2EF6"/>
    <w:rsid w:val="00CE0988"/>
    <w:rsid w:val="00CE0F11"/>
    <w:rsid w:val="00CE193F"/>
    <w:rsid w:val="00CE1BEA"/>
    <w:rsid w:val="00CE38D4"/>
    <w:rsid w:val="00CE3FD1"/>
    <w:rsid w:val="00CF563F"/>
    <w:rsid w:val="00CF6813"/>
    <w:rsid w:val="00CF7ADA"/>
    <w:rsid w:val="00D0129F"/>
    <w:rsid w:val="00D05198"/>
    <w:rsid w:val="00D06D07"/>
    <w:rsid w:val="00D12BC3"/>
    <w:rsid w:val="00D15548"/>
    <w:rsid w:val="00D15968"/>
    <w:rsid w:val="00D165E6"/>
    <w:rsid w:val="00D16C8B"/>
    <w:rsid w:val="00D201EF"/>
    <w:rsid w:val="00D2066B"/>
    <w:rsid w:val="00D2277C"/>
    <w:rsid w:val="00D31E26"/>
    <w:rsid w:val="00D44D74"/>
    <w:rsid w:val="00D45204"/>
    <w:rsid w:val="00D46B70"/>
    <w:rsid w:val="00D63B2F"/>
    <w:rsid w:val="00D63B6E"/>
    <w:rsid w:val="00D64524"/>
    <w:rsid w:val="00D64BAD"/>
    <w:rsid w:val="00D7694E"/>
    <w:rsid w:val="00D83D3F"/>
    <w:rsid w:val="00D871B1"/>
    <w:rsid w:val="00D873F8"/>
    <w:rsid w:val="00D9369B"/>
    <w:rsid w:val="00DA7B31"/>
    <w:rsid w:val="00DB167D"/>
    <w:rsid w:val="00DB1EE9"/>
    <w:rsid w:val="00DB6778"/>
    <w:rsid w:val="00DB73D0"/>
    <w:rsid w:val="00DC5FE5"/>
    <w:rsid w:val="00DC664A"/>
    <w:rsid w:val="00DC7579"/>
    <w:rsid w:val="00DD3233"/>
    <w:rsid w:val="00DD3A53"/>
    <w:rsid w:val="00DD4EB5"/>
    <w:rsid w:val="00DD6630"/>
    <w:rsid w:val="00DE2A91"/>
    <w:rsid w:val="00DE3A92"/>
    <w:rsid w:val="00DF28B6"/>
    <w:rsid w:val="00DF294C"/>
    <w:rsid w:val="00DF2DA2"/>
    <w:rsid w:val="00DF4490"/>
    <w:rsid w:val="00E05070"/>
    <w:rsid w:val="00E05188"/>
    <w:rsid w:val="00E06678"/>
    <w:rsid w:val="00E10C7B"/>
    <w:rsid w:val="00E15FAE"/>
    <w:rsid w:val="00E16928"/>
    <w:rsid w:val="00E17CDC"/>
    <w:rsid w:val="00E266D3"/>
    <w:rsid w:val="00E26745"/>
    <w:rsid w:val="00E26888"/>
    <w:rsid w:val="00E274E3"/>
    <w:rsid w:val="00E37216"/>
    <w:rsid w:val="00E379D0"/>
    <w:rsid w:val="00E4008D"/>
    <w:rsid w:val="00E53FF1"/>
    <w:rsid w:val="00E54E09"/>
    <w:rsid w:val="00E5634E"/>
    <w:rsid w:val="00E576FD"/>
    <w:rsid w:val="00E57C42"/>
    <w:rsid w:val="00E61E49"/>
    <w:rsid w:val="00E73E6C"/>
    <w:rsid w:val="00E77ABE"/>
    <w:rsid w:val="00E807BF"/>
    <w:rsid w:val="00E81581"/>
    <w:rsid w:val="00E81BD8"/>
    <w:rsid w:val="00E81F35"/>
    <w:rsid w:val="00E82A86"/>
    <w:rsid w:val="00E83425"/>
    <w:rsid w:val="00E846EE"/>
    <w:rsid w:val="00E90473"/>
    <w:rsid w:val="00E90948"/>
    <w:rsid w:val="00E935FC"/>
    <w:rsid w:val="00E97898"/>
    <w:rsid w:val="00EA04D8"/>
    <w:rsid w:val="00EA1D85"/>
    <w:rsid w:val="00EA30C1"/>
    <w:rsid w:val="00EA4B63"/>
    <w:rsid w:val="00EA5071"/>
    <w:rsid w:val="00EB1995"/>
    <w:rsid w:val="00EB39E3"/>
    <w:rsid w:val="00EB5D21"/>
    <w:rsid w:val="00EC1E0D"/>
    <w:rsid w:val="00EC5721"/>
    <w:rsid w:val="00EC57E8"/>
    <w:rsid w:val="00EC728D"/>
    <w:rsid w:val="00ED37CB"/>
    <w:rsid w:val="00ED438F"/>
    <w:rsid w:val="00EE0C8B"/>
    <w:rsid w:val="00EE1E88"/>
    <w:rsid w:val="00EE4B1E"/>
    <w:rsid w:val="00EF139F"/>
    <w:rsid w:val="00EF5D2E"/>
    <w:rsid w:val="00EF72F1"/>
    <w:rsid w:val="00F01279"/>
    <w:rsid w:val="00F02CCA"/>
    <w:rsid w:val="00F06BEC"/>
    <w:rsid w:val="00F06FA3"/>
    <w:rsid w:val="00F11270"/>
    <w:rsid w:val="00F162C1"/>
    <w:rsid w:val="00F212AD"/>
    <w:rsid w:val="00F215FF"/>
    <w:rsid w:val="00F21AB7"/>
    <w:rsid w:val="00F33E65"/>
    <w:rsid w:val="00F37BB8"/>
    <w:rsid w:val="00F4225E"/>
    <w:rsid w:val="00F43A54"/>
    <w:rsid w:val="00F44D06"/>
    <w:rsid w:val="00F45729"/>
    <w:rsid w:val="00F45AF5"/>
    <w:rsid w:val="00F50EFB"/>
    <w:rsid w:val="00F52D44"/>
    <w:rsid w:val="00F53DC1"/>
    <w:rsid w:val="00F53F1E"/>
    <w:rsid w:val="00F54EA1"/>
    <w:rsid w:val="00F5595F"/>
    <w:rsid w:val="00F55CBD"/>
    <w:rsid w:val="00F616F8"/>
    <w:rsid w:val="00F63C73"/>
    <w:rsid w:val="00F66387"/>
    <w:rsid w:val="00F716D9"/>
    <w:rsid w:val="00F7277B"/>
    <w:rsid w:val="00F74F96"/>
    <w:rsid w:val="00F772C7"/>
    <w:rsid w:val="00F801AC"/>
    <w:rsid w:val="00F83D31"/>
    <w:rsid w:val="00F84565"/>
    <w:rsid w:val="00F8631F"/>
    <w:rsid w:val="00F94DC0"/>
    <w:rsid w:val="00F9531C"/>
    <w:rsid w:val="00F95F12"/>
    <w:rsid w:val="00FA00BA"/>
    <w:rsid w:val="00FA3C17"/>
    <w:rsid w:val="00FA48F2"/>
    <w:rsid w:val="00FB09F8"/>
    <w:rsid w:val="00FB41E4"/>
    <w:rsid w:val="00FC3E9B"/>
    <w:rsid w:val="00FC43DE"/>
    <w:rsid w:val="00FC4A3E"/>
    <w:rsid w:val="00FC50C6"/>
    <w:rsid w:val="00FC5D9D"/>
    <w:rsid w:val="00FD2C0F"/>
    <w:rsid w:val="00FD4E45"/>
    <w:rsid w:val="00FE4DAA"/>
    <w:rsid w:val="00FE72C4"/>
    <w:rsid w:val="00FF0ACD"/>
    <w:rsid w:val="00FF0E55"/>
    <w:rsid w:val="00FF6AB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215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lang w:eastAsia="fr-FR"/>
    </w:rPr>
  </w:style>
  <w:style w:type="paragraph" w:styleId="Titre1">
    <w:name w:val="heading 1"/>
    <w:basedOn w:val="Normal"/>
    <w:next w:val="Paragraphe"/>
    <w:qFormat/>
    <w:rsid w:val="00825D7D"/>
    <w:pPr>
      <w:keepNext/>
      <w:spacing w:before="120" w:after="120"/>
      <w:outlineLvl w:val="0"/>
    </w:pPr>
    <w:rPr>
      <w:b/>
      <w:kern w:val="28"/>
    </w:rPr>
  </w:style>
  <w:style w:type="paragraph" w:styleId="Titre2">
    <w:name w:val="heading 2"/>
    <w:basedOn w:val="Paragraphe"/>
    <w:next w:val="Paragraphe"/>
    <w:qFormat/>
    <w:rsid w:val="00825D7D"/>
    <w:pPr>
      <w:numPr>
        <w:numId w:val="0"/>
      </w:numPr>
      <w:outlineLvl w:val="1"/>
    </w:pPr>
    <w:rPr>
      <w:b/>
    </w:rPr>
  </w:style>
  <w:style w:type="paragraph" w:styleId="Titre3">
    <w:name w:val="heading 3"/>
    <w:basedOn w:val="Normal"/>
    <w:next w:val="Paragraphe"/>
    <w:qFormat/>
    <w:rsid w:val="00D9369B"/>
    <w:pPr>
      <w:keepNext/>
      <w:spacing w:before="120" w:after="120"/>
      <w:outlineLvl w:val="2"/>
    </w:pPr>
    <w:rPr>
      <w:i/>
    </w:rPr>
  </w:style>
  <w:style w:type="paragraph" w:styleId="Titre4">
    <w:name w:val="heading 4"/>
    <w:basedOn w:val="Normal"/>
    <w:next w:val="Paragraphe"/>
    <w:qFormat/>
    <w:rsid w:val="0096322E"/>
    <w:pPr>
      <w:keepNext/>
      <w:spacing w:before="240" w:after="60"/>
      <w:outlineLvl w:val="3"/>
    </w:pPr>
  </w:style>
  <w:style w:type="paragraph" w:styleId="Titre5">
    <w:name w:val="heading 5"/>
    <w:basedOn w:val="Normal"/>
    <w:next w:val="Normal"/>
    <w:qFormat/>
    <w:pPr>
      <w:spacing w:before="240" w:after="60"/>
      <w:outlineLvl w:val="4"/>
    </w:pPr>
    <w:rPr>
      <w:sz w:val="22"/>
    </w:rPr>
  </w:style>
  <w:style w:type="paragraph" w:styleId="Titre6">
    <w:name w:val="heading 6"/>
    <w:basedOn w:val="Normal"/>
    <w:next w:val="Normal"/>
    <w:qFormat/>
    <w:pPr>
      <w:spacing w:before="240" w:after="60"/>
      <w:outlineLvl w:val="5"/>
    </w:pPr>
    <w:rPr>
      <w:i/>
      <w:sz w:val="22"/>
    </w:rPr>
  </w:style>
  <w:style w:type="paragraph" w:styleId="Titre7">
    <w:name w:val="heading 7"/>
    <w:basedOn w:val="Normal"/>
    <w:next w:val="Normal"/>
    <w:qFormat/>
    <w:pPr>
      <w:spacing w:before="240" w:after="60"/>
      <w:outlineLvl w:val="6"/>
    </w:pPr>
    <w:rPr>
      <w:sz w:val="20"/>
    </w:rPr>
  </w:style>
  <w:style w:type="paragraph" w:styleId="Titre8">
    <w:name w:val="heading 8"/>
    <w:basedOn w:val="Normal"/>
    <w:next w:val="Normal"/>
    <w:qFormat/>
    <w:pPr>
      <w:spacing w:before="240" w:after="60"/>
      <w:outlineLvl w:val="7"/>
    </w:pPr>
    <w:rPr>
      <w:i/>
      <w:sz w:val="20"/>
    </w:rPr>
  </w:style>
  <w:style w:type="paragraph" w:styleId="Titre9">
    <w:name w:val="heading 9"/>
    <w:basedOn w:val="Normal"/>
    <w:next w:val="Normal"/>
    <w:qFormat/>
    <w:pPr>
      <w:spacing w:before="240" w:after="60"/>
      <w:outlineLvl w:val="8"/>
    </w:pPr>
    <w:rPr>
      <w:b/>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e">
    <w:name w:val="Paragraphe"/>
    <w:basedOn w:val="Normal"/>
    <w:link w:val="ParagrapheCar"/>
    <w:qFormat/>
    <w:rsid w:val="0096322E"/>
    <w:pPr>
      <w:numPr>
        <w:numId w:val="2"/>
      </w:numPr>
      <w:spacing w:before="120" w:after="120"/>
      <w:jc w:val="both"/>
    </w:pPr>
    <w:rPr>
      <w:kern w:val="28"/>
    </w:rPr>
  </w:style>
  <w:style w:type="paragraph" w:customStyle="1" w:styleId="Citationenretrait">
    <w:name w:val="Citation en retrait"/>
    <w:basedOn w:val="Normal"/>
    <w:pPr>
      <w:spacing w:before="120" w:after="120"/>
      <w:ind w:left="720" w:right="720"/>
      <w:jc w:val="both"/>
    </w:pPr>
    <w:rPr>
      <w:kern w:val="24"/>
      <w:sz w:val="22"/>
    </w:rPr>
  </w:style>
  <w:style w:type="character" w:customStyle="1" w:styleId="Citationintgre">
    <w:name w:val="Citation intégrée"/>
    <w:rPr>
      <w:rFonts w:ascii="Arial" w:hAnsi="Arial"/>
      <w:i/>
      <w:noProof w:val="0"/>
      <w:sz w:val="22"/>
      <w:lang w:val="fr-CA"/>
    </w:rPr>
  </w:style>
  <w:style w:type="paragraph" w:styleId="Corpsdetexte">
    <w:name w:val="Body Text"/>
    <w:basedOn w:val="Normal"/>
    <w:pPr>
      <w:spacing w:after="120"/>
    </w:pPr>
  </w:style>
  <w:style w:type="paragraph" w:styleId="Notedebasdepage">
    <w:name w:val="footnote text"/>
    <w:basedOn w:val="Normal"/>
    <w:link w:val="NotedebasdepageCar"/>
    <w:uiPriority w:val="99"/>
    <w:pPr>
      <w:ind w:left="360" w:hanging="360"/>
      <w:jc w:val="both"/>
    </w:pPr>
    <w:rPr>
      <w:sz w:val="20"/>
    </w:rPr>
  </w:style>
  <w:style w:type="paragraph" w:styleId="Notedefin">
    <w:name w:val="endnote text"/>
    <w:basedOn w:val="Normal"/>
    <w:semiHidden/>
    <w:pPr>
      <w:ind w:left="-360"/>
      <w:jc w:val="both"/>
    </w:pPr>
    <w:rPr>
      <w:sz w:val="20"/>
    </w:rPr>
  </w:style>
  <w:style w:type="paragraph" w:customStyle="1" w:styleId="zSoquijlblCour">
    <w:name w:val="zSoquij_lblCour"/>
    <w:basedOn w:val="Normal"/>
    <w:rsid w:val="00B4030F"/>
    <w:pPr>
      <w:jc w:val="center"/>
    </w:pPr>
    <w:rPr>
      <w:b/>
      <w:sz w:val="32"/>
    </w:rPr>
  </w:style>
  <w:style w:type="paragraph" w:customStyle="1" w:styleId="zSoquijlblPays">
    <w:name w:val="zSoquij_lblPays"/>
    <w:basedOn w:val="Normal"/>
  </w:style>
  <w:style w:type="paragraph" w:customStyle="1" w:styleId="zSoquijlblProvince">
    <w:name w:val="zSoquij_lblProvince"/>
    <w:basedOn w:val="Normal"/>
  </w:style>
  <w:style w:type="paragraph" w:customStyle="1" w:styleId="zSoquijlblGreffe">
    <w:name w:val="zSoquij_lblGreffe"/>
    <w:basedOn w:val="Normal"/>
    <w:pPr>
      <w:ind w:left="70"/>
    </w:pPr>
  </w:style>
  <w:style w:type="paragraph" w:customStyle="1" w:styleId="zSoquijdatGreffe">
    <w:name w:val="zSoquij_datGreffe"/>
    <w:basedOn w:val="Normal"/>
    <w:pPr>
      <w:ind w:left="29"/>
    </w:pPr>
  </w:style>
  <w:style w:type="paragraph" w:customStyle="1" w:styleId="zSoquijdatDivision">
    <w:name w:val="zSoquij_datDivision"/>
    <w:basedOn w:val="Normal"/>
    <w:pPr>
      <w:jc w:val="center"/>
    </w:pPr>
    <w:rPr>
      <w:sz w:val="22"/>
    </w:rPr>
  </w:style>
  <w:style w:type="paragraph" w:customStyle="1" w:styleId="zSoquijlblNoDossier">
    <w:name w:val="zSoquij_lblNoDossier"/>
    <w:basedOn w:val="Normal"/>
  </w:style>
  <w:style w:type="paragraph" w:customStyle="1" w:styleId="zSoquijdatNoDossier">
    <w:name w:val="zSoquij_datNoDossier"/>
    <w:basedOn w:val="Normal"/>
  </w:style>
  <w:style w:type="paragraph" w:customStyle="1" w:styleId="zSoquijdatNoDossierAnt">
    <w:name w:val="zSoquij_datNoDossierAnt"/>
    <w:basedOn w:val="Normal"/>
  </w:style>
  <w:style w:type="paragraph" w:customStyle="1" w:styleId="zSoquijdatDateJugement">
    <w:name w:val="zSoquij_datDateJugement"/>
    <w:basedOn w:val="Normal"/>
  </w:style>
  <w:style w:type="paragraph" w:customStyle="1" w:styleId="zSoquijlblDateJugement">
    <w:name w:val="zSoquij_lblDateJugement"/>
    <w:basedOn w:val="Normal"/>
  </w:style>
  <w:style w:type="paragraph" w:customStyle="1" w:styleId="zSoquijlblJuge">
    <w:name w:val="zSoquij_lblJuge"/>
    <w:basedOn w:val="Normal"/>
    <w:pPr>
      <w:ind w:left="70"/>
    </w:pPr>
    <w:rPr>
      <w:b/>
    </w:rPr>
  </w:style>
  <w:style w:type="paragraph" w:customStyle="1" w:styleId="zSoquijdatQteJuge">
    <w:name w:val="zSoquij_datQteJuge"/>
    <w:basedOn w:val="Normal"/>
    <w:pPr>
      <w:ind w:left="29"/>
    </w:pPr>
    <w:rPr>
      <w:b/>
    </w:rPr>
  </w:style>
  <w:style w:type="paragraph" w:customStyle="1" w:styleId="zSoquijdatJuge">
    <w:name w:val="zSoquij_datJuge"/>
    <w:basedOn w:val="Normal"/>
    <w:pPr>
      <w:ind w:left="52"/>
    </w:pPr>
    <w:rPr>
      <w:b/>
    </w:rPr>
  </w:style>
  <w:style w:type="paragraph" w:customStyle="1" w:styleId="zSoquijdatNomPartieDem">
    <w:name w:val="zSoquij_datNomPartieDem"/>
    <w:basedOn w:val="Normal"/>
    <w:rPr>
      <w:b/>
      <w:bCs/>
    </w:rPr>
  </w:style>
  <w:style w:type="paragraph" w:customStyle="1" w:styleId="zSoquijdatQtePartieDem">
    <w:name w:val="zSoquij_datQtePartieDem"/>
    <w:basedOn w:val="Normal"/>
    <w:pPr>
      <w:ind w:left="708"/>
    </w:pPr>
  </w:style>
  <w:style w:type="paragraph" w:customStyle="1" w:styleId="zSoquijlblLienParties">
    <w:name w:val="zSoquij_lblLienParties"/>
    <w:basedOn w:val="Normal"/>
  </w:style>
  <w:style w:type="paragraph" w:customStyle="1" w:styleId="zSoquijdatNomPartieDef">
    <w:name w:val="zSoquij_datNomPartieDef"/>
    <w:basedOn w:val="Normal"/>
    <w:rPr>
      <w:b/>
      <w:bCs/>
    </w:rPr>
  </w:style>
  <w:style w:type="paragraph" w:customStyle="1" w:styleId="zSoquijdatQtePartieDef">
    <w:name w:val="zSoquij_datQtePartieDef"/>
    <w:basedOn w:val="Normal"/>
    <w:pPr>
      <w:ind w:left="708"/>
    </w:pPr>
  </w:style>
  <w:style w:type="paragraph" w:customStyle="1" w:styleId="zSoquijlblTypeDocument">
    <w:name w:val="zSoquij_lblTypeDocument"/>
    <w:basedOn w:val="Normal"/>
    <w:rsid w:val="00B203AC"/>
    <w:pPr>
      <w:jc w:val="center"/>
    </w:pPr>
    <w:rPr>
      <w:b/>
      <w:smallCaps/>
    </w:rPr>
  </w:style>
  <w:style w:type="paragraph" w:customStyle="1" w:styleId="zSoquijlblProcureurDem">
    <w:name w:val="zSoquij_lblProcureurDem"/>
    <w:basedOn w:val="Normal"/>
  </w:style>
  <w:style w:type="paragraph" w:customStyle="1" w:styleId="zSoquijlblProcureurDef">
    <w:name w:val="zSoquij_lblProcureurDef"/>
    <w:basedOn w:val="Normal"/>
  </w:style>
  <w:style w:type="paragraph" w:customStyle="1" w:styleId="zSoquijlblDateAudience">
    <w:name w:val="zSoquij_lblDateAudience"/>
    <w:basedOn w:val="Normal"/>
  </w:style>
  <w:style w:type="paragraph" w:customStyle="1" w:styleId="zSoquijdatDateAudience">
    <w:name w:val="zSoquij_datDateAudience"/>
    <w:basedOn w:val="Normal"/>
  </w:style>
  <w:style w:type="paragraph" w:customStyle="1" w:styleId="zSoquijlblNomChambre">
    <w:name w:val="zSoquij_lblNomChambre"/>
    <w:basedOn w:val="Normal"/>
  </w:style>
  <w:style w:type="paragraph" w:customStyle="1" w:styleId="zSoquijlblOpinionJuge">
    <w:name w:val="zSoquij_lblOpinionJuge"/>
    <w:basedOn w:val="Normal"/>
    <w:pPr>
      <w:tabs>
        <w:tab w:val="left" w:pos="720"/>
      </w:tabs>
      <w:jc w:val="center"/>
    </w:pPr>
  </w:style>
  <w:style w:type="character" w:customStyle="1" w:styleId="zSoquijlblEntNoDossier">
    <w:name w:val="zSoquij_lblEntNoDossier"/>
    <w:basedOn w:val="Policepardfaut"/>
    <w:rPr>
      <w:lang w:val="fr-CA"/>
    </w:rPr>
  </w:style>
  <w:style w:type="paragraph" w:customStyle="1" w:styleId="zSoquijlblTitrePartie">
    <w:name w:val="zSoquij_lblTitrePartie"/>
    <w:basedOn w:val="Normal"/>
  </w:style>
  <w:style w:type="paragraph" w:customStyle="1" w:styleId="zSoquijdatSignature3Juge">
    <w:name w:val="zSoquij_datSignature3Juge"/>
    <w:basedOn w:val="Normal"/>
  </w:style>
  <w:style w:type="paragraph" w:customStyle="1" w:styleId="ParagNonNum">
    <w:name w:val="ParagNonNum"/>
    <w:basedOn w:val="Paragraphe"/>
    <w:next w:val="Paragraphe"/>
    <w:pPr>
      <w:numPr>
        <w:numId w:val="0"/>
      </w:numPr>
      <w:ind w:firstLine="734"/>
    </w:pPr>
  </w:style>
  <w:style w:type="paragraph" w:customStyle="1" w:styleId="zSoquijdatIdJuge">
    <w:name w:val="zSoquij_datIdJuge"/>
    <w:basedOn w:val="Normal"/>
    <w:pPr>
      <w:jc w:val="center"/>
    </w:pPr>
    <w:rPr>
      <w:sz w:val="20"/>
    </w:rPr>
  </w:style>
  <w:style w:type="paragraph" w:customStyle="1" w:styleId="Sous-paragraphe">
    <w:name w:val="Sous-paragraphe"/>
    <w:basedOn w:val="Normal"/>
    <w:pPr>
      <w:widowControl w:val="0"/>
      <w:numPr>
        <w:ilvl w:val="1"/>
        <w:numId w:val="2"/>
      </w:numPr>
      <w:spacing w:after="120"/>
      <w:jc w:val="both"/>
    </w:pPr>
    <w:rPr>
      <w:kern w:val="28"/>
    </w:rPr>
  </w:style>
  <w:style w:type="paragraph" w:customStyle="1" w:styleId="zSoquijdatNomProcureurDem">
    <w:name w:val="zSoquij_datNomProcureurDem"/>
    <w:basedOn w:val="zSoquijlblProcureurDem"/>
  </w:style>
  <w:style w:type="paragraph" w:customStyle="1" w:styleId="zSoquijdatNomProcureurDef">
    <w:name w:val="zSoquij_datNomProcureurDef"/>
    <w:basedOn w:val="zSoquijlblProcureurDef"/>
  </w:style>
  <w:style w:type="paragraph" w:customStyle="1" w:styleId="zSoquijdatCabinetProcureurDem">
    <w:name w:val="zSoquij_datCabinetProcureurDem"/>
    <w:basedOn w:val="Normal"/>
  </w:style>
  <w:style w:type="paragraph" w:customStyle="1" w:styleId="zSoquijdatCabinetProcureurDef">
    <w:name w:val="zSoquij_datCabinetProcureurDef"/>
    <w:basedOn w:val="zSoquijlblProcureurDef"/>
  </w:style>
  <w:style w:type="paragraph" w:customStyle="1" w:styleId="zSoquijdatSignatureJuge1">
    <w:name w:val="zSoquij_datSignatureJuge1"/>
    <w:basedOn w:val="Normal"/>
  </w:style>
  <w:style w:type="paragraph" w:customStyle="1" w:styleId="zSoquijdatSignatureJuge2">
    <w:name w:val="zSoquij_datSignatureJuge2"/>
    <w:basedOn w:val="Normal"/>
  </w:style>
  <w:style w:type="paragraph" w:customStyle="1" w:styleId="zSoquijdatSignatureJuge3">
    <w:name w:val="zSoquij_datSignatureJuge3"/>
    <w:basedOn w:val="Normal"/>
  </w:style>
  <w:style w:type="paragraph" w:customStyle="1" w:styleId="zSoquijdatRepertorie">
    <w:name w:val="zSoquij_datRepertorie"/>
    <w:basedOn w:val="zSoquijlblCour"/>
    <w:pPr>
      <w:jc w:val="left"/>
    </w:pPr>
    <w:rPr>
      <w:noProof/>
      <w:sz w:val="22"/>
    </w:rPr>
  </w:style>
  <w:style w:type="paragraph" w:customStyle="1" w:styleId="zSoquijdatRefNeutre">
    <w:name w:val="zSoquij_datRefNeutre"/>
    <w:basedOn w:val="zSoquijlblCour"/>
    <w:pPr>
      <w:jc w:val="left"/>
    </w:pPr>
    <w:rPr>
      <w:noProof/>
      <w:sz w:val="22"/>
    </w:rPr>
  </w:style>
  <w:style w:type="paragraph" w:customStyle="1" w:styleId="zSoquijdatSignature2Juge">
    <w:name w:val="zSoquij_datSignature2Juge"/>
    <w:basedOn w:val="zSoquijdatSignatureJuge3"/>
  </w:style>
  <w:style w:type="paragraph" w:customStyle="1" w:styleId="ParagAlaMarge">
    <w:name w:val="ParagAlaMarge"/>
    <w:basedOn w:val="ParagNonNum"/>
    <w:next w:val="Paragraphe"/>
    <w:pPr>
      <w:ind w:firstLine="0"/>
    </w:pPr>
  </w:style>
  <w:style w:type="paragraph" w:customStyle="1" w:styleId="zSoquijlblAssesseurs">
    <w:name w:val="zSoquij_lblAssesseurs"/>
    <w:basedOn w:val="Normal"/>
    <w:pPr>
      <w:ind w:left="14" w:right="-67"/>
    </w:pPr>
  </w:style>
  <w:style w:type="paragraph" w:customStyle="1" w:styleId="zSoquijdatAssesseurs">
    <w:name w:val="zSoquij_datAssesseurs"/>
    <w:basedOn w:val="Normal"/>
    <w:pPr>
      <w:ind w:left="14" w:right="-67"/>
    </w:pPr>
  </w:style>
  <w:style w:type="paragraph" w:customStyle="1" w:styleId="zSoquijlblLocalite">
    <w:name w:val="zSoquij_lblLocalite"/>
    <w:basedOn w:val="zSoquijlblGreffe"/>
  </w:style>
  <w:style w:type="paragraph" w:customStyle="1" w:styleId="zSoquijdatLocalite">
    <w:name w:val="zSoquij_datLocalite"/>
    <w:basedOn w:val="zSoquijdatGreffe"/>
  </w:style>
  <w:style w:type="paragraph" w:customStyle="1" w:styleId="zSoquijlblNoDecision">
    <w:name w:val="zSoquij_lblNoDecision"/>
    <w:basedOn w:val="zSoquijlblNoDossier"/>
    <w:rsid w:val="00EB39E3"/>
  </w:style>
  <w:style w:type="paragraph" w:customStyle="1" w:styleId="zSoquijdatNoDecision">
    <w:name w:val="zSoquij_datNoDecision"/>
    <w:basedOn w:val="zSoquijdatNoDossier"/>
    <w:rsid w:val="00EB39E3"/>
  </w:style>
  <w:style w:type="paragraph" w:styleId="En-tte">
    <w:name w:val="header"/>
    <w:basedOn w:val="Normal"/>
    <w:rsid w:val="00B4030F"/>
    <w:pPr>
      <w:tabs>
        <w:tab w:val="center" w:pos="4320"/>
        <w:tab w:val="right" w:pos="8640"/>
      </w:tabs>
    </w:pPr>
  </w:style>
  <w:style w:type="paragraph" w:styleId="Pieddepage">
    <w:name w:val="footer"/>
    <w:basedOn w:val="Normal"/>
    <w:rsid w:val="00B4030F"/>
    <w:pPr>
      <w:tabs>
        <w:tab w:val="center" w:pos="4320"/>
        <w:tab w:val="right" w:pos="8640"/>
      </w:tabs>
    </w:pPr>
  </w:style>
  <w:style w:type="paragraph" w:customStyle="1" w:styleId="Citationendoubleretrait">
    <w:name w:val="Citation en double retrait"/>
    <w:basedOn w:val="Citationenretrait"/>
    <w:qFormat/>
    <w:rsid w:val="000976EC"/>
    <w:pPr>
      <w:ind w:left="992" w:right="992"/>
    </w:pPr>
  </w:style>
  <w:style w:type="paragraph" w:customStyle="1" w:styleId="zSoquijlblNosArticles">
    <w:name w:val="zSoquij_lblNosArticles"/>
    <w:basedOn w:val="zSoquijlblTypeDocument"/>
    <w:rsid w:val="00B203AC"/>
    <w:rPr>
      <w:b w:val="0"/>
      <w:smallCaps w:val="0"/>
    </w:rPr>
  </w:style>
  <w:style w:type="character" w:styleId="Appelnotedebasdep">
    <w:name w:val="footnote reference"/>
    <w:basedOn w:val="Policepardfaut"/>
    <w:uiPriority w:val="99"/>
    <w:rsid w:val="00BA3C47"/>
    <w:rPr>
      <w:vertAlign w:val="superscript"/>
    </w:rPr>
  </w:style>
  <w:style w:type="paragraph" w:customStyle="1" w:styleId="paragraphe0">
    <w:name w:val="paragraphe"/>
    <w:basedOn w:val="Normal"/>
    <w:rsid w:val="00415DCB"/>
    <w:pPr>
      <w:spacing w:before="100" w:beforeAutospacing="1" w:after="100" w:afterAutospacing="1"/>
    </w:pPr>
    <w:rPr>
      <w:rFonts w:ascii="Times New Roman" w:hAnsi="Times New Roman"/>
      <w:szCs w:val="24"/>
      <w:lang w:eastAsia="fr-CA"/>
    </w:rPr>
  </w:style>
  <w:style w:type="character" w:customStyle="1" w:styleId="ParagrapheCar">
    <w:name w:val="Paragraphe Car"/>
    <w:link w:val="Paragraphe"/>
    <w:locked/>
    <w:rsid w:val="00415DCB"/>
    <w:rPr>
      <w:rFonts w:ascii="Arial" w:hAnsi="Arial"/>
      <w:kern w:val="28"/>
      <w:sz w:val="24"/>
      <w:lang w:eastAsia="fr-FR"/>
    </w:rPr>
  </w:style>
  <w:style w:type="character" w:customStyle="1" w:styleId="NotedebasdepageCar">
    <w:name w:val="Note de bas de page Car"/>
    <w:link w:val="Notedebasdepage"/>
    <w:uiPriority w:val="99"/>
    <w:rsid w:val="00415DCB"/>
    <w:rPr>
      <w:rFonts w:ascii="Arial" w:hAnsi="Arial"/>
      <w:lang w:eastAsia="fr-FR"/>
    </w:rPr>
  </w:style>
  <w:style w:type="character" w:styleId="Textedelespacerserv">
    <w:name w:val="Placeholder Text"/>
    <w:basedOn w:val="Policepardfaut"/>
    <w:uiPriority w:val="99"/>
    <w:semiHidden/>
    <w:rsid w:val="000D2FD5"/>
    <w:rPr>
      <w:color w:val="808080"/>
    </w:rPr>
  </w:style>
  <w:style w:type="paragraph" w:styleId="Paragraphedeliste">
    <w:name w:val="List Paragraph"/>
    <w:basedOn w:val="Normal"/>
    <w:link w:val="ParagraphedelisteCar"/>
    <w:uiPriority w:val="34"/>
    <w:qFormat/>
    <w:rsid w:val="00745A21"/>
    <w:pPr>
      <w:numPr>
        <w:numId w:val="16"/>
      </w:numPr>
      <w:spacing w:after="240"/>
      <w:ind w:left="567" w:hanging="567"/>
      <w:jc w:val="both"/>
    </w:pPr>
    <w:rPr>
      <w:rFonts w:eastAsiaTheme="minorHAnsi" w:cs="Arial"/>
      <w:sz w:val="22"/>
      <w:szCs w:val="22"/>
      <w:lang w:eastAsia="en-US"/>
    </w:rPr>
  </w:style>
  <w:style w:type="character" w:customStyle="1" w:styleId="ParagraphedelisteCar">
    <w:name w:val="Paragraphe de liste Car"/>
    <w:basedOn w:val="Policepardfaut"/>
    <w:link w:val="Paragraphedeliste"/>
    <w:uiPriority w:val="34"/>
    <w:rsid w:val="00745A21"/>
    <w:rPr>
      <w:rFonts w:ascii="Arial" w:eastAsiaTheme="minorHAnsi" w:hAnsi="Arial" w:cs="Arial"/>
      <w:sz w:val="22"/>
      <w:szCs w:val="22"/>
      <w:lang w:eastAsia="en-US"/>
    </w:rPr>
  </w:style>
  <w:style w:type="character" w:customStyle="1" w:styleId="label-section">
    <w:name w:val="label-section"/>
    <w:basedOn w:val="Policepardfaut"/>
    <w:rsid w:val="00B14E95"/>
  </w:style>
  <w:style w:type="character" w:customStyle="1" w:styleId="subsection">
    <w:name w:val="subsection"/>
    <w:basedOn w:val="Policepardfaut"/>
    <w:rsid w:val="00B14E95"/>
  </w:style>
  <w:style w:type="character" w:styleId="Marquedecommentaire">
    <w:name w:val="annotation reference"/>
    <w:basedOn w:val="Policepardfaut"/>
    <w:uiPriority w:val="99"/>
    <w:semiHidden/>
    <w:unhideWhenUsed/>
    <w:rsid w:val="007E37C9"/>
  </w:style>
  <w:style w:type="paragraph" w:styleId="Commentaire">
    <w:name w:val="annotation text"/>
    <w:basedOn w:val="Normal"/>
    <w:link w:val="CommentaireCar"/>
    <w:unhideWhenUsed/>
    <w:rsid w:val="00633CC6"/>
    <w:rPr>
      <w:sz w:val="20"/>
    </w:rPr>
  </w:style>
  <w:style w:type="character" w:customStyle="1" w:styleId="CommentaireCar">
    <w:name w:val="Commentaire Car"/>
    <w:basedOn w:val="Policepardfaut"/>
    <w:link w:val="Commentaire"/>
    <w:rsid w:val="00633CC6"/>
    <w:rPr>
      <w:rFonts w:ascii="Arial" w:hAnsi="Arial"/>
      <w:lang w:eastAsia="fr-FR"/>
    </w:rPr>
  </w:style>
  <w:style w:type="paragraph" w:styleId="Objetducommentaire">
    <w:name w:val="annotation subject"/>
    <w:basedOn w:val="Commentaire"/>
    <w:next w:val="Commentaire"/>
    <w:link w:val="ObjetducommentaireCar"/>
    <w:semiHidden/>
    <w:unhideWhenUsed/>
    <w:rsid w:val="00633CC6"/>
    <w:rPr>
      <w:b/>
      <w:bCs/>
    </w:rPr>
  </w:style>
  <w:style w:type="character" w:customStyle="1" w:styleId="ObjetducommentaireCar">
    <w:name w:val="Objet du commentaire Car"/>
    <w:basedOn w:val="CommentaireCar"/>
    <w:link w:val="Objetducommentaire"/>
    <w:semiHidden/>
    <w:rsid w:val="00633CC6"/>
    <w:rPr>
      <w:rFonts w:ascii="Arial" w:hAnsi="Arial"/>
      <w:b/>
      <w:bCs/>
      <w:lang w:eastAsia="fr-FR"/>
    </w:rPr>
  </w:style>
  <w:style w:type="paragraph" w:styleId="Textedebulles">
    <w:name w:val="Balloon Text"/>
    <w:basedOn w:val="Normal"/>
    <w:link w:val="TextedebullesCar"/>
    <w:semiHidden/>
    <w:unhideWhenUsed/>
    <w:rsid w:val="00633CC6"/>
    <w:rPr>
      <w:rFonts w:ascii="Segoe UI" w:hAnsi="Segoe UI" w:cs="Segoe UI"/>
      <w:sz w:val="18"/>
      <w:szCs w:val="18"/>
    </w:rPr>
  </w:style>
  <w:style w:type="character" w:customStyle="1" w:styleId="TextedebullesCar">
    <w:name w:val="Texte de bulles Car"/>
    <w:basedOn w:val="Policepardfaut"/>
    <w:link w:val="Textedebulles"/>
    <w:semiHidden/>
    <w:rsid w:val="00633CC6"/>
    <w:rPr>
      <w:rFonts w:ascii="Segoe UI" w:hAnsi="Segoe UI" w:cs="Segoe UI"/>
      <w:sz w:val="18"/>
      <w:szCs w:val="18"/>
      <w:lang w:eastAsia="fr-FR"/>
    </w:rPr>
  </w:style>
  <w:style w:type="character" w:styleId="Lienhypertexte">
    <w:name w:val="Hyperlink"/>
    <w:uiPriority w:val="99"/>
    <w:unhideWhenUsed/>
    <w:rsid w:val="00675484"/>
    <w:rPr>
      <w:color w:val="0000FF"/>
      <w:u w:val="single"/>
    </w:rPr>
  </w:style>
  <w:style w:type="character" w:customStyle="1" w:styleId="solexhl">
    <w:name w:val="solexhl"/>
    <w:basedOn w:val="Policepardfaut"/>
    <w:rsid w:val="00202987"/>
  </w:style>
  <w:style w:type="paragraph" w:styleId="Rvision">
    <w:name w:val="Revision"/>
    <w:hidden/>
    <w:uiPriority w:val="99"/>
    <w:semiHidden/>
    <w:rsid w:val="00BF64B9"/>
    <w:rPr>
      <w:rFonts w:ascii="Arial" w:hAnsi="Arial"/>
      <w:sz w:val="24"/>
      <w:lang w:eastAsia="fr-FR"/>
    </w:rPr>
  </w:style>
  <w:style w:type="character" w:customStyle="1" w:styleId="cf01">
    <w:name w:val="cf01"/>
    <w:basedOn w:val="Policepardfaut"/>
    <w:rsid w:val="00B74446"/>
    <w:rPr>
      <w:rFonts w:ascii="Segoe UI" w:hAnsi="Segoe UI" w:cs="Segoe UI" w:hint="default"/>
      <w:sz w:val="18"/>
      <w:szCs w:val="18"/>
    </w:rPr>
  </w:style>
  <w:style w:type="character" w:customStyle="1" w:styleId="Mentionnonrsolue1">
    <w:name w:val="Mention non résolue1"/>
    <w:basedOn w:val="Policepardfaut"/>
    <w:uiPriority w:val="99"/>
    <w:semiHidden/>
    <w:unhideWhenUsed/>
    <w:rsid w:val="00983B92"/>
    <w:rPr>
      <w:color w:val="605E5C"/>
      <w:shd w:val="clear" w:color="auto" w:fill="E1DFDD"/>
    </w:rPr>
  </w:style>
  <w:style w:type="paragraph" w:customStyle="1" w:styleId="zsoquijdatrepertorie0">
    <w:name w:val="zsoquijdatrepertorie"/>
    <w:basedOn w:val="Normal"/>
    <w:rsid w:val="005F6408"/>
    <w:pPr>
      <w:spacing w:before="100" w:beforeAutospacing="1" w:after="100" w:afterAutospacing="1"/>
    </w:pPr>
    <w:rPr>
      <w:rFonts w:ascii="Times New Roman" w:hAnsi="Times New Roman"/>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561326">
      <w:bodyDiv w:val="1"/>
      <w:marLeft w:val="0"/>
      <w:marRight w:val="0"/>
      <w:marTop w:val="0"/>
      <w:marBottom w:val="0"/>
      <w:divBdr>
        <w:top w:val="none" w:sz="0" w:space="0" w:color="auto"/>
        <w:left w:val="none" w:sz="0" w:space="0" w:color="auto"/>
        <w:bottom w:val="none" w:sz="0" w:space="0" w:color="auto"/>
        <w:right w:val="none" w:sz="0" w:space="0" w:color="auto"/>
      </w:divBdr>
    </w:div>
    <w:div w:id="420033762">
      <w:bodyDiv w:val="1"/>
      <w:marLeft w:val="0"/>
      <w:marRight w:val="0"/>
      <w:marTop w:val="0"/>
      <w:marBottom w:val="0"/>
      <w:divBdr>
        <w:top w:val="none" w:sz="0" w:space="0" w:color="auto"/>
        <w:left w:val="none" w:sz="0" w:space="0" w:color="auto"/>
        <w:bottom w:val="none" w:sz="0" w:space="0" w:color="auto"/>
        <w:right w:val="none" w:sz="0" w:space="0" w:color="auto"/>
      </w:divBdr>
      <w:divsChild>
        <w:div w:id="719016949">
          <w:marLeft w:val="30"/>
          <w:marRight w:val="0"/>
          <w:marTop w:val="0"/>
          <w:marBottom w:val="0"/>
          <w:divBdr>
            <w:top w:val="none" w:sz="0" w:space="0" w:color="auto"/>
            <w:left w:val="none" w:sz="0" w:space="0" w:color="auto"/>
            <w:bottom w:val="none" w:sz="0" w:space="0" w:color="auto"/>
            <w:right w:val="none" w:sz="0" w:space="0" w:color="auto"/>
          </w:divBdr>
        </w:div>
        <w:div w:id="1940984587">
          <w:marLeft w:val="30"/>
          <w:marRight w:val="0"/>
          <w:marTop w:val="0"/>
          <w:marBottom w:val="0"/>
          <w:divBdr>
            <w:top w:val="none" w:sz="0" w:space="0" w:color="auto"/>
            <w:left w:val="none" w:sz="0" w:space="0" w:color="auto"/>
            <w:bottom w:val="none" w:sz="0" w:space="0" w:color="auto"/>
            <w:right w:val="none" w:sz="0" w:space="0" w:color="auto"/>
          </w:divBdr>
        </w:div>
      </w:divsChild>
    </w:div>
    <w:div w:id="745033649">
      <w:bodyDiv w:val="1"/>
      <w:marLeft w:val="0"/>
      <w:marRight w:val="0"/>
      <w:marTop w:val="0"/>
      <w:marBottom w:val="0"/>
      <w:divBdr>
        <w:top w:val="none" w:sz="0" w:space="0" w:color="auto"/>
        <w:left w:val="none" w:sz="0" w:space="0" w:color="auto"/>
        <w:bottom w:val="none" w:sz="0" w:space="0" w:color="auto"/>
        <w:right w:val="none" w:sz="0" w:space="0" w:color="auto"/>
      </w:divBdr>
    </w:div>
    <w:div w:id="813452833">
      <w:bodyDiv w:val="1"/>
      <w:marLeft w:val="0"/>
      <w:marRight w:val="0"/>
      <w:marTop w:val="0"/>
      <w:marBottom w:val="0"/>
      <w:divBdr>
        <w:top w:val="none" w:sz="0" w:space="0" w:color="auto"/>
        <w:left w:val="none" w:sz="0" w:space="0" w:color="auto"/>
        <w:bottom w:val="none" w:sz="0" w:space="0" w:color="auto"/>
        <w:right w:val="none" w:sz="0" w:space="0" w:color="auto"/>
      </w:divBdr>
    </w:div>
    <w:div w:id="1075473415">
      <w:bodyDiv w:val="1"/>
      <w:marLeft w:val="0"/>
      <w:marRight w:val="0"/>
      <w:marTop w:val="0"/>
      <w:marBottom w:val="0"/>
      <w:divBdr>
        <w:top w:val="none" w:sz="0" w:space="0" w:color="auto"/>
        <w:left w:val="none" w:sz="0" w:space="0" w:color="auto"/>
        <w:bottom w:val="none" w:sz="0" w:space="0" w:color="auto"/>
        <w:right w:val="none" w:sz="0" w:space="0" w:color="auto"/>
      </w:divBdr>
      <w:divsChild>
        <w:div w:id="1948150436">
          <w:marLeft w:val="30"/>
          <w:marRight w:val="0"/>
          <w:marTop w:val="0"/>
          <w:marBottom w:val="0"/>
          <w:divBdr>
            <w:top w:val="none" w:sz="0" w:space="0" w:color="auto"/>
            <w:left w:val="none" w:sz="0" w:space="0" w:color="auto"/>
            <w:bottom w:val="none" w:sz="0" w:space="0" w:color="auto"/>
            <w:right w:val="none" w:sz="0" w:space="0" w:color="auto"/>
          </w:divBdr>
        </w:div>
        <w:div w:id="712072093">
          <w:marLeft w:val="30"/>
          <w:marRight w:val="0"/>
          <w:marTop w:val="0"/>
          <w:marBottom w:val="0"/>
          <w:divBdr>
            <w:top w:val="none" w:sz="0" w:space="0" w:color="auto"/>
            <w:left w:val="none" w:sz="0" w:space="0" w:color="auto"/>
            <w:bottom w:val="none" w:sz="0" w:space="0" w:color="auto"/>
            <w:right w:val="none" w:sz="0" w:space="0" w:color="auto"/>
          </w:divBdr>
        </w:div>
      </w:divsChild>
    </w:div>
    <w:div w:id="1324237588">
      <w:bodyDiv w:val="1"/>
      <w:marLeft w:val="0"/>
      <w:marRight w:val="0"/>
      <w:marTop w:val="0"/>
      <w:marBottom w:val="0"/>
      <w:divBdr>
        <w:top w:val="none" w:sz="0" w:space="0" w:color="auto"/>
        <w:left w:val="none" w:sz="0" w:space="0" w:color="auto"/>
        <w:bottom w:val="none" w:sz="0" w:space="0" w:color="auto"/>
        <w:right w:val="none" w:sz="0" w:space="0" w:color="auto"/>
      </w:divBdr>
      <w:divsChild>
        <w:div w:id="581987069">
          <w:marLeft w:val="30"/>
          <w:marRight w:val="0"/>
          <w:marTop w:val="0"/>
          <w:marBottom w:val="0"/>
          <w:divBdr>
            <w:top w:val="none" w:sz="0" w:space="0" w:color="auto"/>
            <w:left w:val="none" w:sz="0" w:space="0" w:color="auto"/>
            <w:bottom w:val="none" w:sz="0" w:space="0" w:color="auto"/>
            <w:right w:val="none" w:sz="0" w:space="0" w:color="auto"/>
          </w:divBdr>
        </w:div>
        <w:div w:id="406193111">
          <w:marLeft w:val="30"/>
          <w:marRight w:val="0"/>
          <w:marTop w:val="0"/>
          <w:marBottom w:val="0"/>
          <w:divBdr>
            <w:top w:val="none" w:sz="0" w:space="0" w:color="auto"/>
            <w:left w:val="none" w:sz="0" w:space="0" w:color="auto"/>
            <w:bottom w:val="none" w:sz="0" w:space="0" w:color="auto"/>
            <w:right w:val="none" w:sz="0" w:space="0" w:color="auto"/>
          </w:divBdr>
        </w:div>
        <w:div w:id="1288926982">
          <w:marLeft w:val="30"/>
          <w:marRight w:val="0"/>
          <w:marTop w:val="0"/>
          <w:marBottom w:val="0"/>
          <w:divBdr>
            <w:top w:val="none" w:sz="0" w:space="0" w:color="auto"/>
            <w:left w:val="none" w:sz="0" w:space="0" w:color="auto"/>
            <w:bottom w:val="none" w:sz="0" w:space="0" w:color="auto"/>
            <w:right w:val="none" w:sz="0" w:space="0" w:color="auto"/>
          </w:divBdr>
        </w:div>
      </w:divsChild>
    </w:div>
    <w:div w:id="1446923586">
      <w:bodyDiv w:val="1"/>
      <w:marLeft w:val="0"/>
      <w:marRight w:val="0"/>
      <w:marTop w:val="0"/>
      <w:marBottom w:val="0"/>
      <w:divBdr>
        <w:top w:val="none" w:sz="0" w:space="0" w:color="auto"/>
        <w:left w:val="none" w:sz="0" w:space="0" w:color="auto"/>
        <w:bottom w:val="none" w:sz="0" w:space="0" w:color="auto"/>
        <w:right w:val="none" w:sz="0" w:space="0" w:color="auto"/>
      </w:divBdr>
      <w:divsChild>
        <w:div w:id="169297602">
          <w:marLeft w:val="30"/>
          <w:marRight w:val="0"/>
          <w:marTop w:val="0"/>
          <w:marBottom w:val="0"/>
          <w:divBdr>
            <w:top w:val="none" w:sz="0" w:space="0" w:color="auto"/>
            <w:left w:val="none" w:sz="0" w:space="0" w:color="auto"/>
            <w:bottom w:val="none" w:sz="0" w:space="0" w:color="auto"/>
            <w:right w:val="none" w:sz="0" w:space="0" w:color="auto"/>
          </w:divBdr>
        </w:div>
        <w:div w:id="268506740">
          <w:marLeft w:val="30"/>
          <w:marRight w:val="0"/>
          <w:marTop w:val="0"/>
          <w:marBottom w:val="0"/>
          <w:divBdr>
            <w:top w:val="none" w:sz="0" w:space="0" w:color="auto"/>
            <w:left w:val="none" w:sz="0" w:space="0" w:color="auto"/>
            <w:bottom w:val="none" w:sz="0" w:space="0" w:color="auto"/>
            <w:right w:val="none" w:sz="0" w:space="0" w:color="auto"/>
          </w:divBdr>
        </w:div>
        <w:div w:id="1871990695">
          <w:marLeft w:val="30"/>
          <w:marRight w:val="0"/>
          <w:marTop w:val="0"/>
          <w:marBottom w:val="0"/>
          <w:divBdr>
            <w:top w:val="none" w:sz="0" w:space="0" w:color="auto"/>
            <w:left w:val="none" w:sz="0" w:space="0" w:color="auto"/>
            <w:bottom w:val="none" w:sz="0" w:space="0" w:color="auto"/>
            <w:right w:val="none" w:sz="0" w:space="0" w:color="auto"/>
          </w:divBdr>
        </w:div>
      </w:divsChild>
    </w:div>
    <w:div w:id="1550919188">
      <w:bodyDiv w:val="1"/>
      <w:marLeft w:val="0"/>
      <w:marRight w:val="0"/>
      <w:marTop w:val="0"/>
      <w:marBottom w:val="0"/>
      <w:divBdr>
        <w:top w:val="none" w:sz="0" w:space="0" w:color="auto"/>
        <w:left w:val="none" w:sz="0" w:space="0" w:color="auto"/>
        <w:bottom w:val="none" w:sz="0" w:space="0" w:color="auto"/>
        <w:right w:val="none" w:sz="0" w:space="0" w:color="auto"/>
      </w:divBdr>
    </w:div>
    <w:div w:id="1627422206">
      <w:bodyDiv w:val="1"/>
      <w:marLeft w:val="0"/>
      <w:marRight w:val="0"/>
      <w:marTop w:val="0"/>
      <w:marBottom w:val="0"/>
      <w:divBdr>
        <w:top w:val="none" w:sz="0" w:space="0" w:color="auto"/>
        <w:left w:val="none" w:sz="0" w:space="0" w:color="auto"/>
        <w:bottom w:val="none" w:sz="0" w:space="0" w:color="auto"/>
        <w:right w:val="none" w:sz="0" w:space="0" w:color="auto"/>
      </w:divBdr>
      <w:divsChild>
        <w:div w:id="753402094">
          <w:marLeft w:val="30"/>
          <w:marRight w:val="0"/>
          <w:marTop w:val="0"/>
          <w:marBottom w:val="0"/>
          <w:divBdr>
            <w:top w:val="none" w:sz="0" w:space="0" w:color="auto"/>
            <w:left w:val="none" w:sz="0" w:space="0" w:color="auto"/>
            <w:bottom w:val="none" w:sz="0" w:space="0" w:color="auto"/>
            <w:right w:val="none" w:sz="0" w:space="0" w:color="auto"/>
          </w:divBdr>
        </w:div>
        <w:div w:id="583538619">
          <w:marLeft w:val="30"/>
          <w:marRight w:val="0"/>
          <w:marTop w:val="0"/>
          <w:marBottom w:val="0"/>
          <w:divBdr>
            <w:top w:val="none" w:sz="0" w:space="0" w:color="auto"/>
            <w:left w:val="none" w:sz="0" w:space="0" w:color="auto"/>
            <w:bottom w:val="none" w:sz="0" w:space="0" w:color="auto"/>
            <w:right w:val="none" w:sz="0" w:space="0" w:color="auto"/>
          </w:divBdr>
        </w:div>
      </w:divsChild>
    </w:div>
    <w:div w:id="2084794453">
      <w:bodyDiv w:val="1"/>
      <w:marLeft w:val="0"/>
      <w:marRight w:val="0"/>
      <w:marTop w:val="0"/>
      <w:marBottom w:val="0"/>
      <w:divBdr>
        <w:top w:val="none" w:sz="0" w:space="0" w:color="auto"/>
        <w:left w:val="none" w:sz="0" w:space="0" w:color="auto"/>
        <w:bottom w:val="none" w:sz="0" w:space="0" w:color="auto"/>
        <w:right w:val="none" w:sz="0" w:space="0" w:color="auto"/>
      </w:divBdr>
      <w:divsChild>
        <w:div w:id="667906355">
          <w:marLeft w:val="30"/>
          <w:marRight w:val="0"/>
          <w:marTop w:val="0"/>
          <w:marBottom w:val="0"/>
          <w:divBdr>
            <w:top w:val="none" w:sz="0" w:space="0" w:color="auto"/>
            <w:left w:val="none" w:sz="0" w:space="0" w:color="auto"/>
            <w:bottom w:val="none" w:sz="0" w:space="0" w:color="auto"/>
            <w:right w:val="none" w:sz="0" w:space="0" w:color="auto"/>
          </w:divBdr>
        </w:div>
        <w:div w:id="1481072336">
          <w:marLeft w:val="30"/>
          <w:marRight w:val="0"/>
          <w:marTop w:val="0"/>
          <w:marBottom w:val="0"/>
          <w:divBdr>
            <w:top w:val="none" w:sz="0" w:space="0" w:color="auto"/>
            <w:left w:val="none" w:sz="0" w:space="0" w:color="auto"/>
            <w:bottom w:val="none" w:sz="0" w:space="0" w:color="auto"/>
            <w:right w:val="none" w:sz="0" w:space="0" w:color="auto"/>
          </w:divBdr>
        </w:div>
        <w:div w:id="1876386534">
          <w:marLeft w:val="30"/>
          <w:marRight w:val="0"/>
          <w:marTop w:val="0"/>
          <w:marBottom w:val="0"/>
          <w:divBdr>
            <w:top w:val="none" w:sz="0" w:space="0" w:color="auto"/>
            <w:left w:val="none" w:sz="0" w:space="0" w:color="auto"/>
            <w:bottom w:val="none" w:sz="0" w:space="0" w:color="auto"/>
            <w:right w:val="none" w:sz="0" w:space="0" w:color="auto"/>
          </w:divBdr>
        </w:div>
        <w:div w:id="962540873">
          <w:marLeft w:val="30"/>
          <w:marRight w:val="0"/>
          <w:marTop w:val="0"/>
          <w:marBottom w:val="0"/>
          <w:divBdr>
            <w:top w:val="none" w:sz="0" w:space="0" w:color="auto"/>
            <w:left w:val="none" w:sz="0" w:space="0" w:color="auto"/>
            <w:bottom w:val="none" w:sz="0" w:space="0" w:color="auto"/>
            <w:right w:val="none" w:sz="0" w:space="0" w:color="auto"/>
          </w:divBdr>
        </w:div>
        <w:div w:id="1270435263">
          <w:marLeft w:val="30"/>
          <w:marRight w:val="0"/>
          <w:marTop w:val="0"/>
          <w:marBottom w:val="0"/>
          <w:divBdr>
            <w:top w:val="none" w:sz="0" w:space="0" w:color="auto"/>
            <w:left w:val="none" w:sz="0" w:space="0" w:color="auto"/>
            <w:bottom w:val="none" w:sz="0" w:space="0" w:color="auto"/>
            <w:right w:val="none" w:sz="0" w:space="0" w:color="auto"/>
          </w:divBdr>
        </w:div>
        <w:div w:id="877359335">
          <w:marLeft w:val="3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E5AC0DF001443FF85AD31CB98B7EBF2"/>
        <w:category>
          <w:name w:val="Général"/>
          <w:gallery w:val="placeholder"/>
        </w:category>
        <w:types>
          <w:type w:val="bbPlcHdr"/>
        </w:types>
        <w:behaviors>
          <w:behavior w:val="content"/>
        </w:behaviors>
        <w:guid w:val="{28A919E3-9EC8-4705-A83F-3681F9944B84}"/>
      </w:docPartPr>
      <w:docPartBody>
        <w:p w:rsidR="00000000" w:rsidRDefault="00476B9B" w:rsidP="00476B9B">
          <w:pPr>
            <w:pStyle w:val="7E5AC0DF001443FF85AD31CB98B7EBF2"/>
          </w:pPr>
          <w:r w:rsidRPr="00EF7030">
            <w:rPr>
              <w:rStyle w:val="Textedelespacerserv"/>
            </w:rPr>
            <w:t>Dossier No</w:t>
          </w:r>
        </w:p>
      </w:docPartBody>
    </w:docPart>
    <w:docPart>
      <w:docPartPr>
        <w:name w:val="C0475FFF57334F089D99DDEC71C018A2"/>
        <w:category>
          <w:name w:val="Général"/>
          <w:gallery w:val="placeholder"/>
        </w:category>
        <w:types>
          <w:type w:val="bbPlcHdr"/>
        </w:types>
        <w:behaviors>
          <w:behavior w:val="content"/>
        </w:behaviors>
        <w:guid w:val="{2FF6DF5F-C4FC-437C-A2F5-F122E99F2F17}"/>
      </w:docPartPr>
      <w:docPartBody>
        <w:p w:rsidR="00000000" w:rsidRDefault="00476B9B" w:rsidP="00476B9B">
          <w:pPr>
            <w:pStyle w:val="C0475FFF57334F089D99DDEC71C018A2"/>
          </w:pPr>
          <w:r w:rsidRPr="00EF7030">
            <w:rPr>
              <w:rStyle w:val="Textedelespacerserv"/>
            </w:rPr>
            <w:t>Décision No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CEC"/>
    <w:rsid w:val="000807EF"/>
    <w:rsid w:val="00083CE6"/>
    <w:rsid w:val="000D052E"/>
    <w:rsid w:val="000E612C"/>
    <w:rsid w:val="0011296B"/>
    <w:rsid w:val="001518D8"/>
    <w:rsid w:val="001B1F97"/>
    <w:rsid w:val="00261457"/>
    <w:rsid w:val="00274928"/>
    <w:rsid w:val="00290182"/>
    <w:rsid w:val="002F225B"/>
    <w:rsid w:val="00343B55"/>
    <w:rsid w:val="003C353F"/>
    <w:rsid w:val="003E2110"/>
    <w:rsid w:val="00436D26"/>
    <w:rsid w:val="00476B9B"/>
    <w:rsid w:val="00510637"/>
    <w:rsid w:val="005346A7"/>
    <w:rsid w:val="005732B5"/>
    <w:rsid w:val="00586D4D"/>
    <w:rsid w:val="0065603D"/>
    <w:rsid w:val="006F2351"/>
    <w:rsid w:val="00747DEF"/>
    <w:rsid w:val="00752C7D"/>
    <w:rsid w:val="00791358"/>
    <w:rsid w:val="007B5FAF"/>
    <w:rsid w:val="00835D86"/>
    <w:rsid w:val="00851133"/>
    <w:rsid w:val="00854A34"/>
    <w:rsid w:val="00883F5B"/>
    <w:rsid w:val="0090708F"/>
    <w:rsid w:val="00A73496"/>
    <w:rsid w:val="00AE722A"/>
    <w:rsid w:val="00B16EF8"/>
    <w:rsid w:val="00BC522E"/>
    <w:rsid w:val="00C1229D"/>
    <w:rsid w:val="00D60C0C"/>
    <w:rsid w:val="00DE17BD"/>
    <w:rsid w:val="00DE6D36"/>
    <w:rsid w:val="00E15E86"/>
    <w:rsid w:val="00E272F7"/>
    <w:rsid w:val="00E809F6"/>
    <w:rsid w:val="00EA74E9"/>
    <w:rsid w:val="00F424DA"/>
    <w:rsid w:val="00F90CE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76B9B"/>
    <w:rPr>
      <w:color w:val="808080"/>
    </w:rPr>
  </w:style>
  <w:style w:type="paragraph" w:customStyle="1" w:styleId="7E5AC0DF001443FF85AD31CB98B7EBF2">
    <w:name w:val="7E5AC0DF001443FF85AD31CB98B7EBF2"/>
    <w:rsid w:val="00476B9B"/>
  </w:style>
  <w:style w:type="paragraph" w:customStyle="1" w:styleId="C0475FFF57334F089D99DDEC71C018A2">
    <w:name w:val="C0475FFF57334F089D99DDEC71C018A2"/>
    <w:rsid w:val="00476B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91865-A927-4E43-ABC3-2C7F7F19F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1999</Words>
  <Characters>10472</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2023-01-27T23:13:00Z</dcterms:created>
  <dcterms:modified xsi:type="dcterms:W3CDTF">2023-01-27T23:13:00Z</dcterms:modified>
  <cp:category/>
</cp:coreProperties>
</file>