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68" w:type="dxa"/>
        <w:tblLayout w:type="fixed"/>
        <w:tblCellMar>
          <w:left w:w="70" w:type="dxa"/>
          <w:right w:w="70" w:type="dxa"/>
        </w:tblCellMar>
        <w:tblLook w:val="0000" w:firstRow="0" w:lastRow="0" w:firstColumn="0" w:lastColumn="0" w:noHBand="0" w:noVBand="0"/>
      </w:tblPr>
      <w:tblGrid>
        <w:gridCol w:w="1913"/>
        <w:gridCol w:w="2482"/>
        <w:gridCol w:w="257"/>
        <w:gridCol w:w="4846"/>
        <w:gridCol w:w="70"/>
      </w:tblGrid>
      <w:tr w:rsidR="00C5036B" w:rsidRPr="004C15FE" w14:paraId="73918FDE" w14:textId="77777777" w:rsidTr="00F15A50">
        <w:trPr>
          <w:gridAfter w:val="1"/>
          <w:wAfter w:w="70" w:type="dxa"/>
          <w:trHeight w:val="360"/>
        </w:trPr>
        <w:tc>
          <w:tcPr>
            <w:tcW w:w="4652" w:type="dxa"/>
            <w:gridSpan w:val="3"/>
          </w:tcPr>
          <w:p w14:paraId="01C7B8DF" w14:textId="77777777" w:rsidR="00C5036B" w:rsidRPr="00332B75" w:rsidRDefault="00C5036B" w:rsidP="00F15A50">
            <w:pPr>
              <w:pStyle w:val="zSoquijdatRepertorie"/>
            </w:pPr>
            <w:r w:rsidRPr="00332B75">
              <w:t>Unofficial English Translation</w:t>
            </w:r>
          </w:p>
        </w:tc>
        <w:tc>
          <w:tcPr>
            <w:tcW w:w="4846" w:type="dxa"/>
          </w:tcPr>
          <w:p w14:paraId="660BF3B7" w14:textId="77777777" w:rsidR="00C5036B" w:rsidRPr="004C15FE" w:rsidRDefault="00C5036B" w:rsidP="00F15A50">
            <w:pPr>
              <w:pStyle w:val="zSoquijdatRefNeutre"/>
            </w:pPr>
          </w:p>
        </w:tc>
      </w:tr>
      <w:tr w:rsidR="00332B75" w:rsidRPr="004C15FE" w14:paraId="51EAEE29" w14:textId="77777777" w:rsidTr="00F15A50">
        <w:trPr>
          <w:gridAfter w:val="1"/>
          <w:wAfter w:w="70" w:type="dxa"/>
          <w:trHeight w:val="360"/>
        </w:trPr>
        <w:tc>
          <w:tcPr>
            <w:tcW w:w="4652" w:type="dxa"/>
            <w:gridSpan w:val="3"/>
          </w:tcPr>
          <w:p w14:paraId="1AF3D2B9" w14:textId="16061382" w:rsidR="00332B75" w:rsidRPr="00053E3B" w:rsidRDefault="00332B75" w:rsidP="00F15A50">
            <w:pPr>
              <w:pStyle w:val="zSoquijdatRepertorie"/>
            </w:pPr>
            <w:r>
              <w:rPr>
                <w:rFonts w:cs="Arial"/>
              </w:rPr>
              <w:t>Autorité des marchés financiers c. Technologies Timechain inc.</w:t>
            </w:r>
          </w:p>
        </w:tc>
        <w:tc>
          <w:tcPr>
            <w:tcW w:w="4846" w:type="dxa"/>
          </w:tcPr>
          <w:p w14:paraId="16E7B3D7" w14:textId="74001CFE" w:rsidR="00332B75" w:rsidRPr="004C15FE" w:rsidRDefault="00332B75" w:rsidP="00332B75">
            <w:pPr>
              <w:pStyle w:val="zSoquijdatRefNeutre"/>
              <w:jc w:val="right"/>
            </w:pPr>
            <w:r w:rsidRPr="00D01C8B">
              <w:rPr>
                <w:rFonts w:cs="Arial"/>
              </w:rPr>
              <w:t>2022 QCTMF 74</w:t>
            </w:r>
          </w:p>
        </w:tc>
      </w:tr>
      <w:tr w:rsidR="00B4030F" w14:paraId="0C5CE5A1" w14:textId="77777777" w:rsidTr="00070D64">
        <w:trPr>
          <w:gridAfter w:val="1"/>
          <w:wAfter w:w="70" w:type="dxa"/>
          <w:trHeight w:val="900"/>
        </w:trPr>
        <w:tc>
          <w:tcPr>
            <w:tcW w:w="9498" w:type="dxa"/>
            <w:gridSpan w:val="4"/>
            <w:vAlign w:val="bottom"/>
          </w:tcPr>
          <w:p w14:paraId="6AC11559" w14:textId="141AFF57" w:rsidR="00B4030F" w:rsidRDefault="00D15968" w:rsidP="00D15968">
            <w:pPr>
              <w:pStyle w:val="zSoquijlblCour"/>
            </w:pPr>
            <w:r>
              <w:rPr>
                <w:bCs/>
                <w:lang w:val="en-CA"/>
              </w:rPr>
              <w:t xml:space="preserve">FINANCIAL MARKETS </w:t>
            </w:r>
            <w:r>
              <w:rPr>
                <w:b w:val="0"/>
                <w:lang w:val="en-CA"/>
              </w:rPr>
              <w:br/>
            </w:r>
            <w:r>
              <w:rPr>
                <w:bCs/>
                <w:lang w:val="en-CA"/>
              </w:rPr>
              <w:t>ADMINISTRATIVE TRIBUNAL</w:t>
            </w:r>
          </w:p>
        </w:tc>
      </w:tr>
      <w:tr w:rsidR="00B4030F" w14:paraId="160D3093" w14:textId="77777777" w:rsidTr="00070D64">
        <w:trPr>
          <w:gridAfter w:val="1"/>
          <w:wAfter w:w="70" w:type="dxa"/>
          <w:trHeight w:val="540"/>
        </w:trPr>
        <w:tc>
          <w:tcPr>
            <w:tcW w:w="9498" w:type="dxa"/>
            <w:gridSpan w:val="4"/>
          </w:tcPr>
          <w:p w14:paraId="62E21359" w14:textId="77777777" w:rsidR="00B4030F" w:rsidRDefault="00B4030F">
            <w:pPr>
              <w:pStyle w:val="zSoquijdatDivision"/>
            </w:pPr>
          </w:p>
        </w:tc>
      </w:tr>
      <w:tr w:rsidR="00B4030F" w14:paraId="7D49735A" w14:textId="77777777" w:rsidTr="00070D64">
        <w:trPr>
          <w:gridAfter w:val="1"/>
          <w:wAfter w:w="70" w:type="dxa"/>
        </w:trPr>
        <w:tc>
          <w:tcPr>
            <w:tcW w:w="9498" w:type="dxa"/>
            <w:gridSpan w:val="4"/>
          </w:tcPr>
          <w:p w14:paraId="130D38D1" w14:textId="77777777" w:rsidR="00B4030F" w:rsidRDefault="00B4030F">
            <w:pPr>
              <w:pStyle w:val="zSoquijlblPays"/>
            </w:pPr>
            <w:r>
              <w:rPr>
                <w:lang w:val="en-CA"/>
              </w:rPr>
              <w:t>CANADA</w:t>
            </w:r>
          </w:p>
        </w:tc>
      </w:tr>
      <w:tr w:rsidR="00B4030F" w14:paraId="47D41FC9" w14:textId="77777777" w:rsidTr="00070D64">
        <w:trPr>
          <w:gridAfter w:val="1"/>
          <w:wAfter w:w="70" w:type="dxa"/>
        </w:trPr>
        <w:tc>
          <w:tcPr>
            <w:tcW w:w="9498" w:type="dxa"/>
            <w:gridSpan w:val="4"/>
          </w:tcPr>
          <w:p w14:paraId="05DB4434" w14:textId="77777777" w:rsidR="00B4030F" w:rsidRDefault="00B4030F">
            <w:pPr>
              <w:pStyle w:val="zSoquijlblProvince"/>
            </w:pPr>
            <w:r>
              <w:rPr>
                <w:lang w:val="en-CA"/>
              </w:rPr>
              <w:t>PROVINCE OF QUÉBEC</w:t>
            </w:r>
          </w:p>
        </w:tc>
      </w:tr>
      <w:tr w:rsidR="00EB39E3" w14:paraId="7A8AE9CA" w14:textId="77777777" w:rsidTr="00070D64">
        <w:trPr>
          <w:gridAfter w:val="1"/>
          <w:wAfter w:w="70" w:type="dxa"/>
        </w:trPr>
        <w:tc>
          <w:tcPr>
            <w:tcW w:w="9498" w:type="dxa"/>
            <w:gridSpan w:val="4"/>
          </w:tcPr>
          <w:p w14:paraId="2FD431E5" w14:textId="77777777" w:rsidR="00EB39E3" w:rsidRDefault="00EB39E3" w:rsidP="00EB39E3">
            <w:pPr>
              <w:pStyle w:val="zSoquijdatGreffe"/>
            </w:pPr>
            <w:r>
              <w:rPr>
                <w:lang w:val="en-CA"/>
              </w:rPr>
              <w:t>MONTRÉAL</w:t>
            </w:r>
          </w:p>
        </w:tc>
      </w:tr>
      <w:tr w:rsidR="00B4030F" w14:paraId="03C49BEF" w14:textId="77777777" w:rsidTr="00070D64">
        <w:trPr>
          <w:gridAfter w:val="1"/>
          <w:wAfter w:w="70" w:type="dxa"/>
          <w:trHeight w:val="540"/>
        </w:trPr>
        <w:tc>
          <w:tcPr>
            <w:tcW w:w="9498" w:type="dxa"/>
            <w:gridSpan w:val="4"/>
          </w:tcPr>
          <w:p w14:paraId="3E37F527" w14:textId="77777777" w:rsidR="00B4030F" w:rsidRDefault="00B4030F">
            <w:pPr>
              <w:pStyle w:val="zSoquijlblNomChambre"/>
            </w:pPr>
          </w:p>
        </w:tc>
      </w:tr>
      <w:tr w:rsidR="00B4030F" w14:paraId="3FB3CC30" w14:textId="77777777" w:rsidTr="00070D64">
        <w:trPr>
          <w:gridAfter w:val="1"/>
          <w:wAfter w:w="70" w:type="dxa"/>
        </w:trPr>
        <w:tc>
          <w:tcPr>
            <w:tcW w:w="1913" w:type="dxa"/>
          </w:tcPr>
          <w:p w14:paraId="289ECD3C" w14:textId="77777777" w:rsidR="00B4030F" w:rsidRDefault="00EB39E3">
            <w:pPr>
              <w:pStyle w:val="zSoquijlblNoDossier"/>
            </w:pPr>
            <w:r>
              <w:rPr>
                <w:lang w:val="en-CA"/>
              </w:rPr>
              <w:t>FILE NO.:</w:t>
            </w:r>
          </w:p>
        </w:tc>
        <w:bookmarkStart w:id="0" w:name="_Hlk115943349" w:displacedByCustomXml="next"/>
        <w:sdt>
          <w:sdtPr>
            <w:alias w:val="Dossier No"/>
            <w:tag w:val="bdrqc.dossier_no--v1"/>
            <w:id w:val="1925535250"/>
            <w:placeholder>
              <w:docPart w:val="5E4FB6135DC64C3BBAF380B5BC754CD0"/>
            </w:placeholder>
            <w:text/>
          </w:sdtPr>
          <w:sdtEndPr/>
          <w:sdtContent>
            <w:tc>
              <w:tcPr>
                <w:tcW w:w="7585" w:type="dxa"/>
                <w:gridSpan w:val="3"/>
              </w:tcPr>
              <w:p w14:paraId="6F342D1E" w14:textId="6B5DFD80" w:rsidR="00B4030F" w:rsidRDefault="00417C84" w:rsidP="00BC38AE">
                <w:pPr>
                  <w:pStyle w:val="zSoquijdatNoDossier"/>
                </w:pPr>
                <w:r>
                  <w:rPr>
                    <w:lang w:val="en-CA"/>
                  </w:rPr>
                  <w:t>2022-015</w:t>
                </w:r>
              </w:p>
            </w:tc>
          </w:sdtContent>
        </w:sdt>
        <w:bookmarkEnd w:id="0" w:displacedByCustomXml="prev"/>
      </w:tr>
      <w:tr w:rsidR="00EB39E3" w14:paraId="603EA6AC" w14:textId="77777777" w:rsidTr="00070D64">
        <w:trPr>
          <w:gridAfter w:val="1"/>
          <w:wAfter w:w="70" w:type="dxa"/>
        </w:trPr>
        <w:tc>
          <w:tcPr>
            <w:tcW w:w="9498" w:type="dxa"/>
            <w:gridSpan w:val="4"/>
          </w:tcPr>
          <w:p w14:paraId="6FAD23AD" w14:textId="77777777" w:rsidR="00EB39E3" w:rsidRDefault="00EB39E3" w:rsidP="00EB39E3"/>
        </w:tc>
      </w:tr>
      <w:tr w:rsidR="00EB39E3" w14:paraId="4A4362BB" w14:textId="77777777" w:rsidTr="00070D64">
        <w:trPr>
          <w:gridAfter w:val="1"/>
          <w:wAfter w:w="70" w:type="dxa"/>
        </w:trPr>
        <w:tc>
          <w:tcPr>
            <w:tcW w:w="1913" w:type="dxa"/>
          </w:tcPr>
          <w:p w14:paraId="5E8CF404" w14:textId="77777777" w:rsidR="00EB39E3" w:rsidRDefault="00EB39E3">
            <w:pPr>
              <w:pStyle w:val="zSoquijlblNoDossier"/>
            </w:pPr>
            <w:r>
              <w:rPr>
                <w:lang w:val="en-CA"/>
              </w:rPr>
              <w:t>DECISION NO.:</w:t>
            </w:r>
          </w:p>
        </w:tc>
        <w:tc>
          <w:tcPr>
            <w:tcW w:w="7585" w:type="dxa"/>
            <w:gridSpan w:val="3"/>
          </w:tcPr>
          <w:p w14:paraId="607A2DFE" w14:textId="71E26754" w:rsidR="00EB39E3" w:rsidRDefault="00583369" w:rsidP="00BC38AE">
            <w:pPr>
              <w:pStyle w:val="zSoquijdatNoDossier"/>
            </w:pPr>
            <w:bookmarkStart w:id="1" w:name="_Hlk115943350"/>
            <w:r>
              <w:rPr>
                <w:lang w:val="en-CA"/>
              </w:rPr>
              <w:t>2022-015-004</w:t>
            </w:r>
            <w:bookmarkEnd w:id="1"/>
          </w:p>
        </w:tc>
      </w:tr>
      <w:tr w:rsidR="00B4030F" w14:paraId="38E63581" w14:textId="77777777" w:rsidTr="00070D64">
        <w:trPr>
          <w:gridAfter w:val="1"/>
          <w:wAfter w:w="70" w:type="dxa"/>
          <w:cantSplit/>
          <w:trHeight w:val="235"/>
        </w:trPr>
        <w:tc>
          <w:tcPr>
            <w:tcW w:w="9498" w:type="dxa"/>
            <w:gridSpan w:val="4"/>
          </w:tcPr>
          <w:p w14:paraId="162F8AA2" w14:textId="77777777" w:rsidR="00B4030F" w:rsidRDefault="00B4030F"/>
        </w:tc>
      </w:tr>
      <w:tr w:rsidR="00B4030F" w14:paraId="5632AD72" w14:textId="77777777" w:rsidTr="0002722E">
        <w:trPr>
          <w:gridAfter w:val="1"/>
          <w:wAfter w:w="70" w:type="dxa"/>
        </w:trPr>
        <w:tc>
          <w:tcPr>
            <w:tcW w:w="1913" w:type="dxa"/>
          </w:tcPr>
          <w:p w14:paraId="729F68BB" w14:textId="77777777" w:rsidR="00B4030F" w:rsidRDefault="00B4030F">
            <w:pPr>
              <w:pStyle w:val="zSoquijlblDateJugement"/>
            </w:pPr>
            <w:r>
              <w:rPr>
                <w:lang w:val="en-CA"/>
              </w:rPr>
              <w:t>DATE:</w:t>
            </w:r>
          </w:p>
        </w:tc>
        <w:tc>
          <w:tcPr>
            <w:tcW w:w="7585" w:type="dxa"/>
            <w:gridSpan w:val="3"/>
          </w:tcPr>
          <w:p w14:paraId="6881CA16" w14:textId="120A3B0D" w:rsidR="00B4030F" w:rsidRDefault="00541515" w:rsidP="00BC38AE">
            <w:pPr>
              <w:pStyle w:val="zSoquijdatDateJugement"/>
            </w:pPr>
            <w:r>
              <w:rPr>
                <w:lang w:val="en-CA"/>
              </w:rPr>
              <w:t>December 1, 2022</w:t>
            </w:r>
          </w:p>
        </w:tc>
      </w:tr>
      <w:tr w:rsidR="00B4030F" w14:paraId="10C8193A" w14:textId="77777777" w:rsidTr="0002722E">
        <w:trPr>
          <w:gridAfter w:val="1"/>
          <w:wAfter w:w="70" w:type="dxa"/>
        </w:trPr>
        <w:tc>
          <w:tcPr>
            <w:tcW w:w="9498" w:type="dxa"/>
            <w:gridSpan w:val="4"/>
            <w:tcBorders>
              <w:bottom w:val="single" w:sz="4" w:space="0" w:color="auto"/>
            </w:tcBorders>
          </w:tcPr>
          <w:p w14:paraId="7134C720" w14:textId="77777777" w:rsidR="00B4030F" w:rsidRDefault="00B4030F" w:rsidP="0002722E">
            <w:pPr>
              <w:ind w:left="14" w:right="-67"/>
            </w:pPr>
          </w:p>
        </w:tc>
      </w:tr>
      <w:tr w:rsidR="00B4030F" w14:paraId="30C519B3" w14:textId="77777777" w:rsidTr="0002722E">
        <w:trPr>
          <w:gridAfter w:val="1"/>
          <w:wAfter w:w="70" w:type="dxa"/>
        </w:trPr>
        <w:tc>
          <w:tcPr>
            <w:tcW w:w="9498" w:type="dxa"/>
            <w:gridSpan w:val="4"/>
            <w:tcBorders>
              <w:top w:val="single" w:sz="4" w:space="0" w:color="auto"/>
            </w:tcBorders>
          </w:tcPr>
          <w:p w14:paraId="677C909F" w14:textId="77777777" w:rsidR="00B4030F" w:rsidRDefault="00B4030F"/>
        </w:tc>
      </w:tr>
      <w:tr w:rsidR="00D201EF" w14:paraId="42DDFBA5" w14:textId="77777777" w:rsidTr="00B205A6">
        <w:tblPrEx>
          <w:tblCellMar>
            <w:left w:w="0" w:type="dxa"/>
            <w:right w:w="0" w:type="dxa"/>
          </w:tblCellMar>
        </w:tblPrEx>
        <w:tc>
          <w:tcPr>
            <w:tcW w:w="4395" w:type="dxa"/>
            <w:gridSpan w:val="2"/>
          </w:tcPr>
          <w:p w14:paraId="1477BE1F" w14:textId="475A8C56" w:rsidR="00D201EF" w:rsidRDefault="00B205A6">
            <w:pPr>
              <w:pStyle w:val="zSoquijdatQteJuge"/>
            </w:pPr>
            <w:r>
              <w:rPr>
                <w:bCs/>
                <w:lang w:val="en-CA"/>
              </w:rPr>
              <w:t xml:space="preserve">BEFORE: </w:t>
            </w:r>
          </w:p>
        </w:tc>
        <w:tc>
          <w:tcPr>
            <w:tcW w:w="5173" w:type="dxa"/>
            <w:gridSpan w:val="3"/>
          </w:tcPr>
          <w:p w14:paraId="50C579C9" w14:textId="2C820A7E" w:rsidR="00601FDC" w:rsidRDefault="0014576E" w:rsidP="00541515">
            <w:pPr>
              <w:pStyle w:val="zSoquijdatJuge"/>
            </w:pPr>
            <w:r>
              <w:rPr>
                <w:bCs/>
                <w:lang w:val="en-CA"/>
              </w:rPr>
              <w:t>Mtre. Antonietta Melchiorre</w:t>
            </w:r>
          </w:p>
        </w:tc>
      </w:tr>
      <w:tr w:rsidR="00B4030F" w14:paraId="346FD67E" w14:textId="77777777" w:rsidTr="0002722E">
        <w:trPr>
          <w:gridAfter w:val="1"/>
          <w:wAfter w:w="70" w:type="dxa"/>
        </w:trPr>
        <w:tc>
          <w:tcPr>
            <w:tcW w:w="9498" w:type="dxa"/>
            <w:gridSpan w:val="4"/>
            <w:tcBorders>
              <w:bottom w:val="single" w:sz="4" w:space="0" w:color="auto"/>
            </w:tcBorders>
          </w:tcPr>
          <w:p w14:paraId="590BCACC" w14:textId="77777777" w:rsidR="00B4030F" w:rsidRDefault="00B4030F" w:rsidP="0002722E">
            <w:pPr>
              <w:ind w:left="14" w:right="-67"/>
            </w:pPr>
          </w:p>
        </w:tc>
      </w:tr>
      <w:tr w:rsidR="00B4030F" w14:paraId="0F51CF35" w14:textId="77777777" w:rsidTr="0002722E">
        <w:trPr>
          <w:gridAfter w:val="1"/>
          <w:wAfter w:w="70" w:type="dxa"/>
        </w:trPr>
        <w:tc>
          <w:tcPr>
            <w:tcW w:w="9498" w:type="dxa"/>
            <w:gridSpan w:val="4"/>
            <w:tcBorders>
              <w:top w:val="single" w:sz="4" w:space="0" w:color="auto"/>
            </w:tcBorders>
          </w:tcPr>
          <w:p w14:paraId="41846635" w14:textId="77777777" w:rsidR="00B4030F" w:rsidRDefault="00B4030F">
            <w:pPr>
              <w:pStyle w:val="zSoquijlblTitrePartie"/>
            </w:pPr>
          </w:p>
        </w:tc>
      </w:tr>
      <w:tr w:rsidR="00B4030F" w14:paraId="5EF81F26" w14:textId="77777777" w:rsidTr="00070D64">
        <w:trPr>
          <w:gridAfter w:val="1"/>
          <w:wAfter w:w="70" w:type="dxa"/>
        </w:trPr>
        <w:tc>
          <w:tcPr>
            <w:tcW w:w="9498" w:type="dxa"/>
            <w:gridSpan w:val="4"/>
          </w:tcPr>
          <w:p w14:paraId="5086D076" w14:textId="77777777" w:rsidR="00B4030F" w:rsidRDefault="00B4030F"/>
        </w:tc>
      </w:tr>
      <w:tr w:rsidR="00B4030F" w14:paraId="14902696" w14:textId="77777777" w:rsidTr="00070D64">
        <w:trPr>
          <w:gridAfter w:val="1"/>
          <w:wAfter w:w="70" w:type="dxa"/>
        </w:trPr>
        <w:tc>
          <w:tcPr>
            <w:tcW w:w="9498" w:type="dxa"/>
            <w:gridSpan w:val="4"/>
          </w:tcPr>
          <w:p w14:paraId="6FCFDE4D" w14:textId="4D0BAE2C" w:rsidR="00B4030F" w:rsidRDefault="00417C84" w:rsidP="00BD73A1">
            <w:pPr>
              <w:pStyle w:val="zSoquijdatNomPartieDem"/>
              <w:jc w:val="both"/>
            </w:pPr>
            <w:r>
              <w:rPr>
                <w:lang w:val="en-CA"/>
              </w:rPr>
              <w:t>AUTORITÉ DES MARCHÉS FINANCIERS</w:t>
            </w:r>
          </w:p>
        </w:tc>
      </w:tr>
      <w:tr w:rsidR="00B4030F" w14:paraId="7BD6A490" w14:textId="77777777" w:rsidTr="00070D64">
        <w:trPr>
          <w:gridAfter w:val="1"/>
          <w:wAfter w:w="70" w:type="dxa"/>
        </w:trPr>
        <w:tc>
          <w:tcPr>
            <w:tcW w:w="9498" w:type="dxa"/>
            <w:gridSpan w:val="4"/>
          </w:tcPr>
          <w:p w14:paraId="792510A5" w14:textId="29BA08DA" w:rsidR="00B4030F" w:rsidRDefault="00E54E09" w:rsidP="00BD73A1">
            <w:pPr>
              <w:pStyle w:val="zSoquijdatQtePartieDem"/>
              <w:ind w:left="709"/>
              <w:jc w:val="both"/>
            </w:pPr>
            <w:r>
              <w:rPr>
                <w:lang w:val="en-CA"/>
              </w:rPr>
              <w:t>Applicant</w:t>
            </w:r>
          </w:p>
          <w:p w14:paraId="1DFC8713" w14:textId="77777777" w:rsidR="00417C84" w:rsidRDefault="00417C84" w:rsidP="00BD73A1">
            <w:pPr>
              <w:pStyle w:val="zSoquijdatQtePartieDem"/>
              <w:ind w:left="0"/>
              <w:jc w:val="both"/>
            </w:pPr>
            <w:r>
              <w:rPr>
                <w:lang w:val="en-CA"/>
              </w:rPr>
              <w:t>v.</w:t>
            </w:r>
          </w:p>
        </w:tc>
      </w:tr>
      <w:tr w:rsidR="00B4030F" w:rsidRPr="00332B75" w14:paraId="772BC554" w14:textId="77777777" w:rsidTr="00070D64">
        <w:trPr>
          <w:gridAfter w:val="1"/>
          <w:wAfter w:w="70" w:type="dxa"/>
        </w:trPr>
        <w:tc>
          <w:tcPr>
            <w:tcW w:w="9498" w:type="dxa"/>
            <w:gridSpan w:val="4"/>
          </w:tcPr>
          <w:p w14:paraId="5203E8DC" w14:textId="3C4FD672" w:rsidR="00004595" w:rsidRPr="00E56BA1" w:rsidRDefault="00004595" w:rsidP="00004595">
            <w:pPr>
              <w:jc w:val="both"/>
              <w:rPr>
                <w:rFonts w:cs="Arial"/>
                <w:lang w:val="en-CA"/>
              </w:rPr>
            </w:pPr>
            <w:r>
              <w:rPr>
                <w:rFonts w:eastAsia="Calibri" w:cs="Arial"/>
                <w:b/>
                <w:bCs/>
                <w:lang w:val="en-CA"/>
              </w:rPr>
              <w:t>TECHNOLOGIES TIMECHAIN INC.</w:t>
            </w:r>
          </w:p>
          <w:p w14:paraId="609C7E0A" w14:textId="141BA81D" w:rsidR="00004595" w:rsidRPr="00E56BA1" w:rsidRDefault="00004595" w:rsidP="00004595">
            <w:pPr>
              <w:jc w:val="both"/>
              <w:rPr>
                <w:rFonts w:cs="Arial"/>
                <w:lang w:val="en-CA"/>
              </w:rPr>
            </w:pPr>
            <w:r>
              <w:rPr>
                <w:rFonts w:eastAsia="Calibri" w:cs="Arial"/>
                <w:lang w:val="en-CA"/>
              </w:rPr>
              <w:t>and</w:t>
            </w:r>
          </w:p>
          <w:p w14:paraId="6E9C2F6E" w14:textId="5DE2B199" w:rsidR="00004595" w:rsidRPr="00E56BA1" w:rsidRDefault="00004595" w:rsidP="00004595">
            <w:pPr>
              <w:jc w:val="both"/>
              <w:rPr>
                <w:rFonts w:eastAsia="Calibri" w:cs="Arial"/>
                <w:bCs/>
                <w:lang w:val="en-CA"/>
              </w:rPr>
            </w:pPr>
            <w:r>
              <w:rPr>
                <w:rFonts w:eastAsia="Calibri" w:cs="Arial"/>
                <w:b/>
                <w:bCs/>
                <w:lang w:val="en-CA"/>
              </w:rPr>
              <w:t>LOUIS CLÉROUX</w:t>
            </w:r>
            <w:bookmarkStart w:id="2" w:name="_Hlk104418964"/>
          </w:p>
          <w:bookmarkEnd w:id="2"/>
          <w:p w14:paraId="0A82B2AB" w14:textId="77777777" w:rsidR="00004595" w:rsidRPr="00E56BA1" w:rsidRDefault="00004595" w:rsidP="00004595">
            <w:pPr>
              <w:jc w:val="both"/>
              <w:rPr>
                <w:rFonts w:eastAsia="Calibri" w:cs="Arial"/>
                <w:bCs/>
                <w:lang w:val="en-CA"/>
              </w:rPr>
            </w:pPr>
            <w:r>
              <w:rPr>
                <w:rFonts w:eastAsia="Calibri" w:cs="Arial"/>
                <w:lang w:val="en-CA"/>
              </w:rPr>
              <w:t>and</w:t>
            </w:r>
          </w:p>
          <w:p w14:paraId="34302AD7" w14:textId="5CC420C8" w:rsidR="00004595" w:rsidRPr="00E56BA1" w:rsidRDefault="00004595" w:rsidP="00004595">
            <w:pPr>
              <w:jc w:val="both"/>
              <w:rPr>
                <w:rFonts w:eastAsia="Calibri" w:cs="Arial"/>
                <w:b/>
                <w:lang w:val="en-CA"/>
              </w:rPr>
            </w:pPr>
            <w:r>
              <w:rPr>
                <w:rFonts w:eastAsia="Calibri" w:cs="Arial"/>
                <w:b/>
                <w:bCs/>
                <w:lang w:val="en-CA"/>
              </w:rPr>
              <w:t>JÉRÉMIE PICARD</w:t>
            </w:r>
          </w:p>
          <w:p w14:paraId="0AB27389" w14:textId="77777777" w:rsidR="00004595" w:rsidRPr="00E56BA1" w:rsidRDefault="00004595" w:rsidP="00004595">
            <w:pPr>
              <w:jc w:val="both"/>
              <w:rPr>
                <w:rFonts w:eastAsia="Calibri" w:cs="Arial"/>
                <w:bCs/>
                <w:lang w:val="en-CA"/>
              </w:rPr>
            </w:pPr>
            <w:r>
              <w:rPr>
                <w:rFonts w:eastAsia="Calibri" w:cs="Arial"/>
                <w:lang w:val="en-CA"/>
              </w:rPr>
              <w:t>and</w:t>
            </w:r>
          </w:p>
          <w:p w14:paraId="599FDD85" w14:textId="697484E7" w:rsidR="00004595" w:rsidRPr="00E56BA1" w:rsidRDefault="00004595" w:rsidP="00004595">
            <w:pPr>
              <w:jc w:val="both"/>
              <w:rPr>
                <w:rFonts w:eastAsia="Calibri" w:cs="Arial"/>
                <w:bCs/>
                <w:lang w:val="en-CA"/>
              </w:rPr>
            </w:pPr>
            <w:r>
              <w:rPr>
                <w:rFonts w:eastAsia="Calibri" w:cs="Arial"/>
                <w:b/>
                <w:bCs/>
                <w:lang w:val="en-CA"/>
              </w:rPr>
              <w:t>MATHIEU COCHER</w:t>
            </w:r>
          </w:p>
          <w:p w14:paraId="3131B07C" w14:textId="77777777" w:rsidR="00417C84" w:rsidRPr="00E56BA1" w:rsidRDefault="00417C84" w:rsidP="00BD73A1">
            <w:pPr>
              <w:pStyle w:val="zSoquijdatQtePartieDem"/>
              <w:ind w:left="709"/>
              <w:jc w:val="both"/>
              <w:rPr>
                <w:lang w:val="en-CA"/>
              </w:rPr>
            </w:pPr>
            <w:r>
              <w:rPr>
                <w:lang w:val="en-CA"/>
              </w:rPr>
              <w:t>Respondents</w:t>
            </w:r>
          </w:p>
          <w:p w14:paraId="5A4C5FC9" w14:textId="77777777" w:rsidR="00417C84" w:rsidRPr="00E56BA1" w:rsidRDefault="00417C84" w:rsidP="00004595">
            <w:pPr>
              <w:pStyle w:val="zSoquijlblLienParties"/>
              <w:jc w:val="both"/>
              <w:rPr>
                <w:lang w:val="en-CA"/>
              </w:rPr>
            </w:pPr>
            <w:r>
              <w:rPr>
                <w:lang w:val="en-CA"/>
              </w:rPr>
              <w:t xml:space="preserve">and </w:t>
            </w:r>
          </w:p>
          <w:p w14:paraId="487DDEC9" w14:textId="361B7AD2" w:rsidR="00004595" w:rsidRPr="00E56BA1" w:rsidRDefault="00004595" w:rsidP="00004595">
            <w:pPr>
              <w:jc w:val="both"/>
              <w:rPr>
                <w:rFonts w:eastAsia="Calibri" w:cs="Arial"/>
                <w:b/>
                <w:lang w:val="en-CA"/>
              </w:rPr>
            </w:pPr>
            <w:r>
              <w:rPr>
                <w:rFonts w:eastAsia="Calibri" w:cs="Arial"/>
                <w:b/>
                <w:bCs/>
                <w:lang w:val="en-CA"/>
              </w:rPr>
              <w:t>HUI YING SUN</w:t>
            </w:r>
          </w:p>
          <w:p w14:paraId="56CB9324" w14:textId="77777777" w:rsidR="00004595" w:rsidRPr="00E56BA1" w:rsidRDefault="00004595" w:rsidP="00004595">
            <w:pPr>
              <w:jc w:val="both"/>
              <w:rPr>
                <w:rFonts w:eastAsia="Calibri" w:cs="Arial"/>
                <w:bCs/>
                <w:lang w:val="en-CA"/>
              </w:rPr>
            </w:pPr>
            <w:r>
              <w:rPr>
                <w:rFonts w:eastAsia="Calibri" w:cs="Arial"/>
                <w:lang w:val="en-CA"/>
              </w:rPr>
              <w:t>and</w:t>
            </w:r>
          </w:p>
          <w:p w14:paraId="466D2281" w14:textId="57438927" w:rsidR="00004595" w:rsidRPr="00332B75" w:rsidRDefault="00004595" w:rsidP="00004595">
            <w:pPr>
              <w:jc w:val="both"/>
              <w:rPr>
                <w:rFonts w:eastAsia="Calibri" w:cs="Arial"/>
                <w:bCs/>
              </w:rPr>
            </w:pPr>
            <w:r w:rsidRPr="00332B75">
              <w:rPr>
                <w:rFonts w:eastAsia="Calibri" w:cs="Arial"/>
                <w:b/>
                <w:bCs/>
              </w:rPr>
              <w:t>NATANIA LEMIEUX</w:t>
            </w:r>
          </w:p>
          <w:p w14:paraId="7AFA1617" w14:textId="77777777" w:rsidR="00004595" w:rsidRPr="00332B75" w:rsidRDefault="00004595" w:rsidP="00004595">
            <w:pPr>
              <w:jc w:val="both"/>
              <w:rPr>
                <w:rFonts w:eastAsia="Calibri" w:cs="Arial"/>
                <w:bCs/>
              </w:rPr>
            </w:pPr>
            <w:proofErr w:type="gramStart"/>
            <w:r w:rsidRPr="00332B75">
              <w:rPr>
                <w:rFonts w:eastAsia="Calibri" w:cs="Arial"/>
              </w:rPr>
              <w:t>and</w:t>
            </w:r>
            <w:proofErr w:type="gramEnd"/>
          </w:p>
          <w:p w14:paraId="7B33B49B" w14:textId="5CFC4852" w:rsidR="00004595" w:rsidRPr="00332B75" w:rsidRDefault="00004595" w:rsidP="00004595">
            <w:pPr>
              <w:jc w:val="both"/>
              <w:rPr>
                <w:bCs/>
              </w:rPr>
            </w:pPr>
            <w:r w:rsidRPr="00332B75">
              <w:rPr>
                <w:b/>
                <w:bCs/>
              </w:rPr>
              <w:t>CAISSE DESJARDINS</w:t>
            </w:r>
          </w:p>
          <w:p w14:paraId="0CD4A895" w14:textId="77777777" w:rsidR="00004595" w:rsidRPr="00332B75" w:rsidRDefault="00004595" w:rsidP="00004595">
            <w:pPr>
              <w:rPr>
                <w:bCs/>
              </w:rPr>
            </w:pPr>
            <w:proofErr w:type="gramStart"/>
            <w:r w:rsidRPr="00332B75">
              <w:t>and</w:t>
            </w:r>
            <w:proofErr w:type="gramEnd"/>
          </w:p>
          <w:p w14:paraId="15A81652" w14:textId="3D8655B0" w:rsidR="00004595" w:rsidRPr="00E56BA1" w:rsidRDefault="00004595" w:rsidP="00004595">
            <w:pPr>
              <w:jc w:val="both"/>
              <w:rPr>
                <w:bCs/>
                <w:lang w:val="en-CA"/>
              </w:rPr>
            </w:pPr>
            <w:r>
              <w:rPr>
                <w:b/>
                <w:bCs/>
                <w:lang w:val="en-CA"/>
              </w:rPr>
              <w:t>SCOTIABANK</w:t>
            </w:r>
            <w:r>
              <w:rPr>
                <w:lang w:val="en-CA"/>
              </w:rPr>
              <w:t xml:space="preserve"> </w:t>
            </w:r>
          </w:p>
          <w:p w14:paraId="2ABC9F37" w14:textId="77777777" w:rsidR="00004595" w:rsidRPr="00E56BA1" w:rsidRDefault="00004595" w:rsidP="00004595">
            <w:pPr>
              <w:rPr>
                <w:bCs/>
                <w:lang w:val="en-CA"/>
              </w:rPr>
            </w:pPr>
            <w:r>
              <w:rPr>
                <w:lang w:val="en-CA"/>
              </w:rPr>
              <w:t>and</w:t>
            </w:r>
          </w:p>
          <w:p w14:paraId="00C49E1B" w14:textId="2578C540" w:rsidR="00004595" w:rsidRPr="00E56BA1" w:rsidRDefault="00004595" w:rsidP="00004595">
            <w:pPr>
              <w:jc w:val="both"/>
              <w:rPr>
                <w:bCs/>
                <w:lang w:val="en-CA"/>
              </w:rPr>
            </w:pPr>
            <w:r>
              <w:rPr>
                <w:b/>
                <w:bCs/>
                <w:lang w:val="en-CA"/>
              </w:rPr>
              <w:t>BINANCE CANADA LTD.</w:t>
            </w:r>
            <w:r>
              <w:rPr>
                <w:lang w:val="en-CA"/>
              </w:rPr>
              <w:t xml:space="preserve"> </w:t>
            </w:r>
          </w:p>
          <w:p w14:paraId="138CDC2D" w14:textId="77777777" w:rsidR="00004595" w:rsidRPr="00E56BA1" w:rsidRDefault="00004595" w:rsidP="00004595">
            <w:pPr>
              <w:rPr>
                <w:bCs/>
                <w:lang w:val="en-CA"/>
              </w:rPr>
            </w:pPr>
            <w:r>
              <w:rPr>
                <w:lang w:val="en-CA"/>
              </w:rPr>
              <w:t>and</w:t>
            </w:r>
          </w:p>
          <w:p w14:paraId="50FCFE44" w14:textId="4F02839C" w:rsidR="00004595" w:rsidRPr="00E56BA1" w:rsidRDefault="00004595" w:rsidP="00004595">
            <w:pPr>
              <w:jc w:val="both"/>
              <w:rPr>
                <w:b/>
                <w:lang w:val="en-CA"/>
              </w:rPr>
            </w:pPr>
            <w:r>
              <w:rPr>
                <w:b/>
                <w:bCs/>
                <w:lang w:val="en-CA"/>
              </w:rPr>
              <w:lastRenderedPageBreak/>
              <w:t>FTX</w:t>
            </w:r>
            <w:r>
              <w:rPr>
                <w:lang w:val="en-CA"/>
              </w:rPr>
              <w:t xml:space="preserve"> </w:t>
            </w:r>
            <w:r>
              <w:rPr>
                <w:b/>
                <w:bCs/>
                <w:lang w:val="en-CA"/>
              </w:rPr>
              <w:t>EXCHANGE PLATFORM</w:t>
            </w:r>
          </w:p>
          <w:p w14:paraId="3FE4B218" w14:textId="77777777" w:rsidR="00004595" w:rsidRPr="00E56BA1" w:rsidRDefault="00004595" w:rsidP="00004595">
            <w:pPr>
              <w:rPr>
                <w:bCs/>
                <w:lang w:val="en-CA"/>
              </w:rPr>
            </w:pPr>
            <w:r>
              <w:rPr>
                <w:lang w:val="en-CA"/>
              </w:rPr>
              <w:t>and</w:t>
            </w:r>
          </w:p>
          <w:p w14:paraId="332952CB" w14:textId="7C74927C" w:rsidR="00004595" w:rsidRPr="00E56BA1" w:rsidRDefault="00004595" w:rsidP="00004595">
            <w:pPr>
              <w:jc w:val="both"/>
              <w:rPr>
                <w:bCs/>
                <w:lang w:val="en-CA"/>
              </w:rPr>
            </w:pPr>
            <w:r>
              <w:rPr>
                <w:b/>
                <w:bCs/>
                <w:lang w:val="en-CA"/>
              </w:rPr>
              <w:t>FIREBLOCKS</w:t>
            </w:r>
            <w:r>
              <w:rPr>
                <w:lang w:val="en-CA"/>
              </w:rPr>
              <w:t xml:space="preserve"> </w:t>
            </w:r>
          </w:p>
          <w:p w14:paraId="3D6BA953" w14:textId="77777777" w:rsidR="00004595" w:rsidRPr="00E56BA1" w:rsidRDefault="00004595" w:rsidP="00004595">
            <w:pPr>
              <w:rPr>
                <w:bCs/>
                <w:lang w:val="en-CA"/>
              </w:rPr>
            </w:pPr>
            <w:r>
              <w:rPr>
                <w:lang w:val="en-CA"/>
              </w:rPr>
              <w:t>and</w:t>
            </w:r>
          </w:p>
          <w:p w14:paraId="0090976F" w14:textId="3FD0E952" w:rsidR="00004595" w:rsidRPr="00E56BA1" w:rsidRDefault="00004595" w:rsidP="00004595">
            <w:pPr>
              <w:jc w:val="both"/>
              <w:rPr>
                <w:bCs/>
                <w:lang w:val="en-CA"/>
              </w:rPr>
            </w:pPr>
            <w:r>
              <w:rPr>
                <w:b/>
                <w:bCs/>
                <w:lang w:val="en-CA"/>
              </w:rPr>
              <w:t>VIRGOCX INC.</w:t>
            </w:r>
            <w:r>
              <w:rPr>
                <w:lang w:val="en-CA"/>
              </w:rPr>
              <w:t xml:space="preserve"> </w:t>
            </w:r>
          </w:p>
          <w:p w14:paraId="26E95760" w14:textId="77777777" w:rsidR="00004595" w:rsidRPr="00E56BA1" w:rsidRDefault="00004595" w:rsidP="00004595">
            <w:pPr>
              <w:jc w:val="both"/>
              <w:rPr>
                <w:bCs/>
                <w:lang w:val="en-CA"/>
              </w:rPr>
            </w:pPr>
            <w:r>
              <w:rPr>
                <w:lang w:val="en-CA"/>
              </w:rPr>
              <w:t>and</w:t>
            </w:r>
          </w:p>
          <w:p w14:paraId="37E455FE" w14:textId="23F9DFC4" w:rsidR="00004595" w:rsidRPr="00E56BA1" w:rsidRDefault="00004595" w:rsidP="00004595">
            <w:pPr>
              <w:jc w:val="both"/>
              <w:rPr>
                <w:bCs/>
                <w:lang w:val="en-CA"/>
              </w:rPr>
            </w:pPr>
            <w:r>
              <w:rPr>
                <w:b/>
                <w:bCs/>
                <w:lang w:val="en-CA"/>
              </w:rPr>
              <w:t>APAYLO FINANCE TECHNOLOGY INC.</w:t>
            </w:r>
            <w:r>
              <w:rPr>
                <w:lang w:val="en-CA"/>
              </w:rPr>
              <w:t xml:space="preserve"> </w:t>
            </w:r>
          </w:p>
          <w:p w14:paraId="6B008CF5" w14:textId="77777777" w:rsidR="00004595" w:rsidRPr="00E56BA1" w:rsidRDefault="00004595" w:rsidP="00004595">
            <w:pPr>
              <w:jc w:val="both"/>
              <w:rPr>
                <w:bCs/>
                <w:lang w:val="en-CA"/>
              </w:rPr>
            </w:pPr>
            <w:r>
              <w:rPr>
                <w:lang w:val="en-CA"/>
              </w:rPr>
              <w:t>and</w:t>
            </w:r>
          </w:p>
          <w:p w14:paraId="4DCD66AC" w14:textId="35936E08" w:rsidR="00004595" w:rsidRPr="00E56BA1" w:rsidRDefault="00004595" w:rsidP="00004595">
            <w:pPr>
              <w:jc w:val="both"/>
              <w:rPr>
                <w:bCs/>
                <w:lang w:val="en-CA"/>
              </w:rPr>
            </w:pPr>
            <w:r>
              <w:rPr>
                <w:b/>
                <w:bCs/>
                <w:lang w:val="en-CA"/>
              </w:rPr>
              <w:t>THE LAND REGISTRAR</w:t>
            </w:r>
          </w:p>
          <w:p w14:paraId="1635BA4F" w14:textId="77777777" w:rsidR="00417C84" w:rsidRPr="00E56BA1" w:rsidRDefault="00417C84" w:rsidP="00BD73A1">
            <w:pPr>
              <w:pStyle w:val="zSoquijdatQtePartieDem"/>
              <w:ind w:left="709"/>
              <w:jc w:val="both"/>
              <w:rPr>
                <w:lang w:val="en-CA"/>
              </w:rPr>
            </w:pPr>
            <w:r>
              <w:rPr>
                <w:lang w:val="en-CA"/>
              </w:rPr>
              <w:t>Impleaded parties</w:t>
            </w:r>
          </w:p>
          <w:p w14:paraId="263916C8" w14:textId="77777777" w:rsidR="00B4030F" w:rsidRPr="00E56BA1" w:rsidRDefault="00B4030F" w:rsidP="00BD73A1">
            <w:pPr>
              <w:pStyle w:val="zSoquijlblLienParties"/>
              <w:jc w:val="both"/>
              <w:rPr>
                <w:lang w:val="en-CA"/>
              </w:rPr>
            </w:pPr>
          </w:p>
        </w:tc>
      </w:tr>
      <w:tr w:rsidR="00FF6ABC" w:rsidRPr="00332B75" w14:paraId="1AEE61F5" w14:textId="77777777" w:rsidTr="0002722E">
        <w:trPr>
          <w:gridAfter w:val="1"/>
          <w:wAfter w:w="70" w:type="dxa"/>
        </w:trPr>
        <w:tc>
          <w:tcPr>
            <w:tcW w:w="9498" w:type="dxa"/>
            <w:gridSpan w:val="4"/>
            <w:tcBorders>
              <w:top w:val="single" w:sz="4" w:space="0" w:color="auto"/>
            </w:tcBorders>
          </w:tcPr>
          <w:p w14:paraId="653E1D14" w14:textId="77777777" w:rsidR="00FF6ABC" w:rsidRPr="00E56BA1" w:rsidRDefault="00FF6ABC" w:rsidP="00B4030F">
            <w:pPr>
              <w:jc w:val="center"/>
              <w:rPr>
                <w:lang w:val="en-CA"/>
              </w:rPr>
            </w:pPr>
          </w:p>
        </w:tc>
      </w:tr>
      <w:tr w:rsidR="00FF6ABC" w:rsidRPr="00332B75" w14:paraId="33229DB9" w14:textId="77777777" w:rsidTr="00070D64">
        <w:trPr>
          <w:gridAfter w:val="1"/>
          <w:wAfter w:w="70" w:type="dxa"/>
        </w:trPr>
        <w:tc>
          <w:tcPr>
            <w:tcW w:w="9498" w:type="dxa"/>
            <w:gridSpan w:val="4"/>
          </w:tcPr>
          <w:p w14:paraId="19E35881" w14:textId="77777777" w:rsidR="003B46BF" w:rsidRPr="00E56BA1" w:rsidRDefault="003B46BF" w:rsidP="003B46BF">
            <w:pPr>
              <w:pStyle w:val="zSoquijlblTypeDocument"/>
              <w:rPr>
                <w:lang w:val="en-CA"/>
              </w:rPr>
            </w:pPr>
          </w:p>
          <w:p w14:paraId="3FC7513F" w14:textId="77777777" w:rsidR="00202987" w:rsidRPr="00E56BA1" w:rsidRDefault="0010326D" w:rsidP="003B46BF">
            <w:pPr>
              <w:pStyle w:val="zSoquijlblTypeDocument"/>
              <w:rPr>
                <w:lang w:val="en-CA"/>
              </w:rPr>
            </w:pPr>
            <w:r>
              <w:rPr>
                <w:bCs/>
                <w:lang w:val="en-CA"/>
              </w:rPr>
              <w:t xml:space="preserve">DECISION </w:t>
            </w:r>
          </w:p>
          <w:p w14:paraId="5605AF4A" w14:textId="2DE89D1B" w:rsidR="00D165E6" w:rsidRPr="00E56BA1" w:rsidRDefault="00D165E6" w:rsidP="003B46BF">
            <w:pPr>
              <w:pStyle w:val="zSoquijlblTypeDocument"/>
              <w:rPr>
                <w:lang w:val="en-CA"/>
              </w:rPr>
            </w:pPr>
            <w:r>
              <w:rPr>
                <w:bCs/>
                <w:lang w:val="en-CA"/>
              </w:rPr>
              <w:t>(Lifting of the order for non-publication, non-dissemination and non-disclosure of the names of the investors involved in the case)</w:t>
            </w:r>
          </w:p>
        </w:tc>
      </w:tr>
      <w:tr w:rsidR="00A34D8C" w:rsidRPr="00332B75" w14:paraId="54A61630" w14:textId="77777777" w:rsidTr="0002722E">
        <w:trPr>
          <w:gridAfter w:val="1"/>
          <w:wAfter w:w="70" w:type="dxa"/>
        </w:trPr>
        <w:tc>
          <w:tcPr>
            <w:tcW w:w="9498" w:type="dxa"/>
            <w:gridSpan w:val="4"/>
          </w:tcPr>
          <w:p w14:paraId="52099501" w14:textId="0FCEE0A3" w:rsidR="008B0126" w:rsidRPr="00E56BA1" w:rsidRDefault="008B0126" w:rsidP="00AE2C56">
            <w:pPr>
              <w:pStyle w:val="zSoquijlblNosArticles"/>
              <w:jc w:val="left"/>
              <w:rPr>
                <w:lang w:val="en-CA"/>
              </w:rPr>
            </w:pPr>
          </w:p>
        </w:tc>
      </w:tr>
      <w:tr w:rsidR="0002722E" w:rsidRPr="00332B75" w14:paraId="6A2534C6" w14:textId="77777777" w:rsidTr="00BC2FC2">
        <w:trPr>
          <w:gridAfter w:val="1"/>
          <w:wAfter w:w="70" w:type="dxa"/>
        </w:trPr>
        <w:tc>
          <w:tcPr>
            <w:tcW w:w="9498" w:type="dxa"/>
            <w:gridSpan w:val="4"/>
            <w:tcBorders>
              <w:bottom w:val="single" w:sz="4" w:space="0" w:color="auto"/>
            </w:tcBorders>
          </w:tcPr>
          <w:p w14:paraId="02AE0C94" w14:textId="77777777" w:rsidR="0002722E" w:rsidRPr="00E56BA1" w:rsidRDefault="0002722E" w:rsidP="0010326D">
            <w:pPr>
              <w:pStyle w:val="zSoquijlblNosArticles"/>
              <w:rPr>
                <w:lang w:val="en-CA"/>
              </w:rPr>
            </w:pPr>
          </w:p>
        </w:tc>
      </w:tr>
      <w:tr w:rsidR="0002722E" w:rsidRPr="00332B75" w14:paraId="6575C1E9" w14:textId="77777777" w:rsidTr="00BC2FC2">
        <w:trPr>
          <w:gridAfter w:val="1"/>
          <w:wAfter w:w="70" w:type="dxa"/>
        </w:trPr>
        <w:tc>
          <w:tcPr>
            <w:tcW w:w="9498" w:type="dxa"/>
            <w:gridSpan w:val="4"/>
            <w:tcBorders>
              <w:top w:val="single" w:sz="4" w:space="0" w:color="auto"/>
            </w:tcBorders>
          </w:tcPr>
          <w:p w14:paraId="306673D0" w14:textId="77777777" w:rsidR="0002722E" w:rsidRPr="00E56BA1" w:rsidRDefault="0002722E" w:rsidP="0010326D">
            <w:pPr>
              <w:pStyle w:val="zSoquijlblNosArticles"/>
              <w:rPr>
                <w:lang w:val="en-CA"/>
              </w:rPr>
            </w:pPr>
          </w:p>
        </w:tc>
      </w:tr>
    </w:tbl>
    <w:p w14:paraId="0E993654" w14:textId="7BB1D422" w:rsidR="00541515" w:rsidRPr="00E56BA1" w:rsidRDefault="00541515" w:rsidP="00541515">
      <w:pPr>
        <w:pStyle w:val="Titre1"/>
        <w:jc w:val="both"/>
        <w:rPr>
          <w:lang w:val="en-CA"/>
        </w:rPr>
      </w:pPr>
      <w:bookmarkStart w:id="3" w:name="_Ref456356564"/>
      <w:r>
        <w:rPr>
          <w:bCs/>
          <w:lang w:val="en-CA"/>
        </w:rPr>
        <w:t>WARNING: An order for the non-publication, non-</w:t>
      </w:r>
      <w:proofErr w:type="gramStart"/>
      <w:r>
        <w:rPr>
          <w:bCs/>
          <w:lang w:val="en-CA"/>
        </w:rPr>
        <w:t>dissemination</w:t>
      </w:r>
      <w:proofErr w:type="gramEnd"/>
      <w:r>
        <w:rPr>
          <w:bCs/>
          <w:lang w:val="en-CA"/>
        </w:rPr>
        <w:t xml:space="preserve"> and non-disclosure of the residential addresses of the respondents and the impleaded parties, as well as the bank account numbers subject to the Tribunal’s freeze orders, has effect in this case.</w:t>
      </w:r>
    </w:p>
    <w:p w14:paraId="5C2B1BD3" w14:textId="16D543DD" w:rsidR="00835C88" w:rsidRPr="00835C88" w:rsidRDefault="00930949" w:rsidP="00835C88">
      <w:pPr>
        <w:pStyle w:val="Titre1"/>
      </w:pPr>
      <w:r>
        <w:rPr>
          <w:bCs/>
          <w:lang w:val="en-CA"/>
        </w:rPr>
        <w:t>OVERVIEW</w:t>
      </w:r>
    </w:p>
    <w:p w14:paraId="486DA1CB" w14:textId="0E058573" w:rsidR="00734C72" w:rsidRPr="00E56BA1" w:rsidRDefault="00734C72" w:rsidP="00B352B5">
      <w:pPr>
        <w:pStyle w:val="Paragraphe"/>
        <w:rPr>
          <w:lang w:val="en-CA"/>
        </w:rPr>
      </w:pPr>
      <w:r>
        <w:rPr>
          <w:lang w:val="en-CA"/>
        </w:rPr>
        <w:t>The Autorité des marchés financiers (“the AMF”) is asking the Financial Markets Administrative Tribunal (the “Tribunal”) to lift an order for the non-publication, non-</w:t>
      </w:r>
      <w:proofErr w:type="gramStart"/>
      <w:r>
        <w:rPr>
          <w:lang w:val="en-CA"/>
        </w:rPr>
        <w:t>dissemination</w:t>
      </w:r>
      <w:proofErr w:type="gramEnd"/>
      <w:r>
        <w:rPr>
          <w:lang w:val="en-CA"/>
        </w:rPr>
        <w:t xml:space="preserve"> and non-disclosure of the names of the investors involved in the case, issued ex officio by the Tribunal on June 2, 2022. </w:t>
      </w:r>
    </w:p>
    <w:p w14:paraId="6CF34687" w14:textId="406800F5" w:rsidR="00175C70" w:rsidRDefault="004B1035" w:rsidP="00734C72">
      <w:pPr>
        <w:pStyle w:val="Paragraphe"/>
      </w:pPr>
      <w:r>
        <w:rPr>
          <w:lang w:val="en-CA"/>
        </w:rPr>
        <w:t xml:space="preserve">According to the AMF, this order is no longer necessary from this point on in the case. Maintaining the order is no longer relevant. </w:t>
      </w:r>
    </w:p>
    <w:p w14:paraId="5F8843E5" w14:textId="0C42779C" w:rsidR="00734C72" w:rsidRPr="00E56BA1" w:rsidRDefault="00930400" w:rsidP="00734C72">
      <w:pPr>
        <w:pStyle w:val="Paragraphe"/>
        <w:rPr>
          <w:lang w:val="en-CA"/>
        </w:rPr>
      </w:pPr>
      <w:r>
        <w:rPr>
          <w:lang w:val="en-CA"/>
        </w:rPr>
        <w:t>The respondents are not contesting this request.</w:t>
      </w:r>
    </w:p>
    <w:p w14:paraId="09A18674" w14:textId="4A566E76" w:rsidR="00734C72" w:rsidRPr="00E56BA1" w:rsidRDefault="00734C72" w:rsidP="00734C72">
      <w:pPr>
        <w:pStyle w:val="Paragraphe"/>
        <w:rPr>
          <w:lang w:val="en-CA"/>
        </w:rPr>
      </w:pPr>
      <w:r>
        <w:rPr>
          <w:lang w:val="en-CA"/>
        </w:rPr>
        <w:t>The Tribunal must therefore decide whether to lift the order for the non-publication, non-</w:t>
      </w:r>
      <w:proofErr w:type="gramStart"/>
      <w:r>
        <w:rPr>
          <w:lang w:val="en-CA"/>
        </w:rPr>
        <w:t>dissemination</w:t>
      </w:r>
      <w:proofErr w:type="gramEnd"/>
      <w:r>
        <w:rPr>
          <w:lang w:val="en-CA"/>
        </w:rPr>
        <w:t xml:space="preserve"> and non-disclosure of the names of the investors involved in the case.</w:t>
      </w:r>
    </w:p>
    <w:p w14:paraId="116ECF1B" w14:textId="77777777" w:rsidR="00FD1C24" w:rsidRPr="00E56BA1" w:rsidRDefault="00734C72" w:rsidP="00FD1C24">
      <w:pPr>
        <w:pStyle w:val="Paragraphe"/>
        <w:rPr>
          <w:lang w:val="en-CA"/>
        </w:rPr>
      </w:pPr>
      <w:r>
        <w:rPr>
          <w:rStyle w:val="cf01"/>
          <w:rFonts w:ascii="Arial" w:hAnsi="Arial" w:cs="Arial"/>
          <w:sz w:val="24"/>
          <w:szCs w:val="24"/>
          <w:lang w:val="en-CA"/>
        </w:rPr>
        <w:t xml:space="preserve">After analysis, the Tribunal has decided that the order should be </w:t>
      </w:r>
      <w:r>
        <w:rPr>
          <w:lang w:val="en-CA"/>
        </w:rPr>
        <w:t>lifted.</w:t>
      </w:r>
    </w:p>
    <w:p w14:paraId="783CB976" w14:textId="5EAC420D" w:rsidR="00084B49" w:rsidRDefault="002B19B5" w:rsidP="00C4079D">
      <w:pPr>
        <w:pStyle w:val="Titre1"/>
      </w:pPr>
      <w:r>
        <w:rPr>
          <w:bCs/>
          <w:lang w:val="en-CA"/>
        </w:rPr>
        <w:t>ANALYSIS</w:t>
      </w:r>
    </w:p>
    <w:p w14:paraId="005453C5" w14:textId="0DA191F0" w:rsidR="00175C70" w:rsidRPr="00E56BA1" w:rsidRDefault="00084B49" w:rsidP="002B19B5">
      <w:pPr>
        <w:pStyle w:val="Paragraphe"/>
        <w:rPr>
          <w:lang w:val="en-CA"/>
        </w:rPr>
      </w:pPr>
      <w:r>
        <w:rPr>
          <w:szCs w:val="24"/>
          <w:lang w:val="en-CA"/>
        </w:rPr>
        <w:t>On May 30, 2022</w:t>
      </w:r>
      <w:r>
        <w:rPr>
          <w:rStyle w:val="Appelnotedebasdep"/>
          <w:rFonts w:cs="Arial"/>
          <w:szCs w:val="24"/>
          <w:lang w:val="en-CA"/>
        </w:rPr>
        <w:footnoteReference w:id="1"/>
      </w:r>
      <w:r>
        <w:rPr>
          <w:szCs w:val="24"/>
          <w:lang w:val="en-CA"/>
        </w:rPr>
        <w:t>, as a matter of urgency and following a hearing that was not</w:t>
      </w:r>
      <w:r>
        <w:rPr>
          <w:lang w:val="en-CA"/>
        </w:rPr>
        <w:t xml:space="preserve"> attended by the respondents or the impleaded parties, the Tribunal issued a decision that </w:t>
      </w:r>
      <w:r>
        <w:rPr>
          <w:lang w:val="en-CA"/>
        </w:rPr>
        <w:lastRenderedPageBreak/>
        <w:t>included various orders, including orders to cease engaging in any transaction in securities and to cease acting as securities dealers or advisers, as well as freeze orders.</w:t>
      </w:r>
    </w:p>
    <w:p w14:paraId="6F699EED" w14:textId="55AD8D7A" w:rsidR="002B19B5" w:rsidRDefault="00084B49" w:rsidP="002B19B5">
      <w:pPr>
        <w:pStyle w:val="Paragraphe"/>
      </w:pPr>
      <w:r>
        <w:rPr>
          <w:lang w:val="en-CA"/>
        </w:rPr>
        <w:t xml:space="preserve"> Lacking sufficient time to provide detailed reasons for its decision and recognizing the urgency of the situation, the Tribunal mentioned, upon rendering the operative part of its decision, that its reasons would follow soon as possible. The Tribunal gave its detailed reasons on July 19, 2022.</w:t>
      </w:r>
    </w:p>
    <w:p w14:paraId="24B3C1E8" w14:textId="53DDE57B" w:rsidR="00AA6296" w:rsidRPr="00E56BA1" w:rsidRDefault="009E09AC" w:rsidP="00084B49">
      <w:pPr>
        <w:pStyle w:val="Paragraphe"/>
        <w:rPr>
          <w:lang w:val="en-CA"/>
        </w:rPr>
      </w:pPr>
      <w:r>
        <w:rPr>
          <w:rStyle w:val="cf01"/>
          <w:rFonts w:ascii="Arial" w:hAnsi="Arial" w:cs="Arial"/>
          <w:sz w:val="24"/>
          <w:szCs w:val="24"/>
          <w:lang w:val="en-CA"/>
        </w:rPr>
        <w:t>At</w:t>
      </w:r>
      <w:r>
        <w:rPr>
          <w:lang w:val="en-CA"/>
        </w:rPr>
        <w:t xml:space="preserve"> a hearing of the AMF’s request, the Tribunal issued several orders prohibiting or restricting access to representations made before Tribunal or the disclosure of the information contained in such representations. </w:t>
      </w:r>
    </w:p>
    <w:p w14:paraId="31BA33DB" w14:textId="01CB889B" w:rsidR="00AA6296" w:rsidRPr="00E56BA1" w:rsidRDefault="007B6A49" w:rsidP="00B352B5">
      <w:pPr>
        <w:pStyle w:val="Paragraphe"/>
        <w:rPr>
          <w:lang w:val="en-CA"/>
        </w:rPr>
      </w:pPr>
      <w:r>
        <w:rPr>
          <w:lang w:val="en-CA"/>
        </w:rPr>
        <w:t>More specifically, at the request of the AMF, the Tribunal issued an order prohibiting publication of the names of the investors involved in the case.</w:t>
      </w:r>
      <w:r>
        <w:rPr>
          <w:rStyle w:val="Appelnotedebasdep"/>
          <w:lang w:val="en-CA"/>
        </w:rPr>
        <w:footnoteReference w:id="2"/>
      </w:r>
    </w:p>
    <w:p w14:paraId="427B82A3" w14:textId="5B610DB0" w:rsidR="000504E5" w:rsidRPr="00E56BA1" w:rsidRDefault="003D4F67" w:rsidP="00574E28">
      <w:pPr>
        <w:pStyle w:val="Paragraphe"/>
        <w:rPr>
          <w:lang w:val="en-CA"/>
        </w:rPr>
      </w:pPr>
      <w:r>
        <w:rPr>
          <w:lang w:val="en-CA"/>
        </w:rPr>
        <w:t xml:space="preserve">On June 2, 2022, between the time that the Tribunal issued the operative part of its decision (May 30, 2022) and the time it gave detailed reasons for its decision (July 19, 2022), the Tribunal issued the following orders </w:t>
      </w:r>
      <w:r>
        <w:rPr>
          <w:i/>
          <w:iCs/>
          <w:lang w:val="en-CA"/>
        </w:rPr>
        <w:t>ex officio</w:t>
      </w:r>
      <w:r>
        <w:rPr>
          <w:lang w:val="en-CA"/>
        </w:rPr>
        <w:t>:</w:t>
      </w:r>
    </w:p>
    <w:p w14:paraId="36F21D21" w14:textId="77777777" w:rsidR="00047E62" w:rsidRPr="00E56BA1" w:rsidRDefault="00047E62" w:rsidP="000504E5">
      <w:pPr>
        <w:pStyle w:val="Paragraphe"/>
        <w:numPr>
          <w:ilvl w:val="0"/>
          <w:numId w:val="46"/>
        </w:numPr>
        <w:rPr>
          <w:lang w:val="en-CA"/>
        </w:rPr>
      </w:pPr>
      <w:r>
        <w:rPr>
          <w:lang w:val="en-CA"/>
        </w:rPr>
        <w:t xml:space="preserve">An order for the non-publication, non-dissemination and non-disclosure of the names of investors involved in the </w:t>
      </w:r>
      <w:proofErr w:type="gramStart"/>
      <w:r>
        <w:rPr>
          <w:lang w:val="en-CA"/>
        </w:rPr>
        <w:t>case;</w:t>
      </w:r>
      <w:proofErr w:type="gramEnd"/>
    </w:p>
    <w:p w14:paraId="532C2D46" w14:textId="64269369" w:rsidR="000504E5" w:rsidRPr="00E56BA1" w:rsidRDefault="000504E5" w:rsidP="000504E5">
      <w:pPr>
        <w:pStyle w:val="Paragraphe"/>
        <w:numPr>
          <w:ilvl w:val="0"/>
          <w:numId w:val="46"/>
        </w:numPr>
        <w:rPr>
          <w:lang w:val="en-CA"/>
        </w:rPr>
      </w:pPr>
      <w:r>
        <w:rPr>
          <w:lang w:val="en-CA"/>
        </w:rPr>
        <w:t xml:space="preserve">An order </w:t>
      </w:r>
      <w:bookmarkStart w:id="4" w:name="_Hlk120530136"/>
      <w:r>
        <w:rPr>
          <w:lang w:val="en-CA"/>
        </w:rPr>
        <w:t xml:space="preserve">for the non-publication, non-dissemination and non-disclosure </w:t>
      </w:r>
      <w:bookmarkEnd w:id="4"/>
      <w:r>
        <w:rPr>
          <w:lang w:val="en-CA"/>
        </w:rPr>
        <w:t xml:space="preserve">of the residential addresses of the respondents and the impleaded parties, as well as the bank account numbers subject to the freeze orders of the Tribunal referred to in the originating application and in the operative part of the Tribunal’s </w:t>
      </w:r>
      <w:proofErr w:type="gramStart"/>
      <w:r>
        <w:rPr>
          <w:lang w:val="en-CA"/>
        </w:rPr>
        <w:t>decision;</w:t>
      </w:r>
      <w:proofErr w:type="gramEnd"/>
    </w:p>
    <w:p w14:paraId="6797D669" w14:textId="05217AB2" w:rsidR="000504E5" w:rsidRPr="00E56BA1" w:rsidRDefault="000504E5" w:rsidP="00DA366B">
      <w:pPr>
        <w:pStyle w:val="Paragraphe"/>
        <w:numPr>
          <w:ilvl w:val="0"/>
          <w:numId w:val="46"/>
        </w:numPr>
        <w:rPr>
          <w:lang w:val="en-CA"/>
        </w:rPr>
      </w:pPr>
      <w:r>
        <w:rPr>
          <w:lang w:val="en-CA"/>
        </w:rPr>
        <w:t>An order sealing certain exhibits and sealing the original version of redacted exhibits, while allowing the redacted version of exhibits to remain publicly available</w:t>
      </w:r>
      <w:r>
        <w:rPr>
          <w:rStyle w:val="Appelnotedebasdep"/>
          <w:lang w:val="en-CA"/>
        </w:rPr>
        <w:footnoteReference w:id="3"/>
      </w:r>
      <w:r>
        <w:rPr>
          <w:lang w:val="en-CA"/>
        </w:rPr>
        <w:t>.</w:t>
      </w:r>
    </w:p>
    <w:p w14:paraId="76C65452" w14:textId="25953892" w:rsidR="006A40B3" w:rsidRPr="00E56BA1" w:rsidRDefault="001921A9" w:rsidP="000504E5">
      <w:pPr>
        <w:pStyle w:val="Paragraphe"/>
        <w:rPr>
          <w:lang w:val="en-CA"/>
        </w:rPr>
      </w:pPr>
      <w:r>
        <w:rPr>
          <w:lang w:val="en-CA"/>
        </w:rPr>
        <w:t xml:space="preserve">The open court principle is a fundamental principle of our law.  This principle is entrenched in section 115.7 of the </w:t>
      </w:r>
      <w:r>
        <w:rPr>
          <w:i/>
          <w:iCs/>
          <w:lang w:val="en-CA"/>
        </w:rPr>
        <w:t xml:space="preserve">Act respecting the </w:t>
      </w:r>
      <w:bookmarkStart w:id="5" w:name="_Hlk120099703"/>
      <w:r>
        <w:rPr>
          <w:i/>
          <w:iCs/>
          <w:lang w:val="en-CA"/>
        </w:rPr>
        <w:t>regulation</w:t>
      </w:r>
      <w:r>
        <w:rPr>
          <w:lang w:val="en-CA"/>
        </w:rPr>
        <w:t xml:space="preserve"> </w:t>
      </w:r>
      <w:bookmarkEnd w:id="5"/>
      <w:r>
        <w:rPr>
          <w:i/>
          <w:iCs/>
          <w:lang w:val="en-CA"/>
        </w:rPr>
        <w:t>of the financial sector</w:t>
      </w:r>
      <w:r>
        <w:rPr>
          <w:rStyle w:val="Appelnotedebasdep"/>
          <w:lang w:val="en-CA"/>
        </w:rPr>
        <w:footnoteReference w:id="4"/>
      </w:r>
      <w:r>
        <w:rPr>
          <w:lang w:val="en-CA"/>
        </w:rPr>
        <w:t xml:space="preserve">. </w:t>
      </w:r>
    </w:p>
    <w:p w14:paraId="1C73B4C4" w14:textId="5068777A" w:rsidR="0026738D" w:rsidRPr="00E56BA1" w:rsidRDefault="00A13297" w:rsidP="00A13297">
      <w:pPr>
        <w:pStyle w:val="Paragraphe"/>
        <w:rPr>
          <w:lang w:val="en-CA"/>
        </w:rPr>
      </w:pPr>
      <w:r>
        <w:rPr>
          <w:lang w:val="en-CA"/>
        </w:rPr>
        <w:t>However, this principle is not absolute. The Tribunal may, even ex-officio, deviate from this principle when necessary “in the interest of good morals and public order” or to preserve them</w:t>
      </w:r>
      <w:r>
        <w:rPr>
          <w:rStyle w:val="Appelnotedebasdep"/>
          <w:lang w:val="en-CA"/>
        </w:rPr>
        <w:footnoteReference w:id="5"/>
      </w:r>
      <w:r>
        <w:rPr>
          <w:lang w:val="en-CA"/>
        </w:rPr>
        <w:t>. Whenever the Tribunal is asked to restrict or limit open judicial proceedings</w:t>
      </w:r>
      <w:r>
        <w:rPr>
          <w:rStyle w:val="Appelnotedebasdep"/>
          <w:lang w:val="en-CA"/>
        </w:rPr>
        <w:footnoteReference w:id="6"/>
      </w:r>
      <w:r>
        <w:rPr>
          <w:lang w:val="en-CA"/>
        </w:rPr>
        <w:t>, the Tribunal exercises discretion based on the facts and circumstances of the case at the time of the application, with consideration for the applicable law</w:t>
      </w:r>
      <w:r>
        <w:rPr>
          <w:rStyle w:val="Appelnotedebasdep"/>
          <w:lang w:val="en-CA"/>
        </w:rPr>
        <w:footnoteReference w:id="7"/>
      </w:r>
      <w:r>
        <w:rPr>
          <w:lang w:val="en-CA"/>
        </w:rPr>
        <w:t>.</w:t>
      </w:r>
    </w:p>
    <w:p w14:paraId="020C2A10" w14:textId="3245BBA5" w:rsidR="00A470EB" w:rsidRDefault="00A470EB" w:rsidP="00A470EB">
      <w:pPr>
        <w:pStyle w:val="Paragraphe"/>
      </w:pPr>
      <w:r>
        <w:rPr>
          <w:lang w:val="en-CA"/>
        </w:rPr>
        <w:lastRenderedPageBreak/>
        <w:t xml:space="preserve">The Tribunal may or may not, at its discretion, issue an order preventing the publication, </w:t>
      </w:r>
      <w:proofErr w:type="gramStart"/>
      <w:r>
        <w:rPr>
          <w:lang w:val="en-CA"/>
        </w:rPr>
        <w:t>dissemination</w:t>
      </w:r>
      <w:proofErr w:type="gramEnd"/>
      <w:r>
        <w:rPr>
          <w:lang w:val="en-CA"/>
        </w:rPr>
        <w:t xml:space="preserve"> or disclosure of information for a specified period. This decision depends on the circumstances of the case. </w:t>
      </w:r>
    </w:p>
    <w:p w14:paraId="0D6CD23B" w14:textId="60E15295" w:rsidR="00A470EB" w:rsidRPr="00E56BA1" w:rsidRDefault="00835C88" w:rsidP="00A13297">
      <w:pPr>
        <w:pStyle w:val="Paragraphe"/>
        <w:rPr>
          <w:lang w:val="en-CA"/>
        </w:rPr>
      </w:pPr>
      <w:r>
        <w:rPr>
          <w:lang w:val="en-CA"/>
        </w:rPr>
        <w:t>Furthermore, the order by the Tribunal could at some point become less necessary or even unnecessary. The question is whether the Tribunal, in this case, may change or even revoke the order.</w:t>
      </w:r>
    </w:p>
    <w:p w14:paraId="17328574" w14:textId="3F2BAFCE" w:rsidR="007B6A49" w:rsidRPr="00E56BA1" w:rsidRDefault="007B6A49" w:rsidP="007B6A49">
      <w:pPr>
        <w:pStyle w:val="Paragraphe"/>
        <w:rPr>
          <w:lang w:val="en-CA"/>
        </w:rPr>
      </w:pPr>
      <w:r>
        <w:rPr>
          <w:lang w:val="en-CA"/>
        </w:rPr>
        <w:t>In a recent decision</w:t>
      </w:r>
      <w:r>
        <w:rPr>
          <w:rStyle w:val="Appelnotedebasdep"/>
          <w:lang w:val="en-CA"/>
        </w:rPr>
        <w:footnoteReference w:id="8"/>
      </w:r>
      <w:r>
        <w:rPr>
          <w:lang w:val="en-CA"/>
        </w:rPr>
        <w:t xml:space="preserve">, the Supreme Court set down the possibility that a court could amend or revoke an order, particularly </w:t>
      </w:r>
      <w:proofErr w:type="gramStart"/>
      <w:r>
        <w:rPr>
          <w:lang w:val="en-CA"/>
        </w:rPr>
        <w:t>in light of</w:t>
      </w:r>
      <w:proofErr w:type="gramEnd"/>
      <w:r>
        <w:rPr>
          <w:lang w:val="en-CA"/>
        </w:rPr>
        <w:t xml:space="preserve"> material changes in the circumstances that initially justified the order, or at the request of an affected party unable to make submissions during the initial proceeding.</w:t>
      </w:r>
    </w:p>
    <w:p w14:paraId="08367BAD" w14:textId="102A12A2" w:rsidR="007B6A49" w:rsidRPr="00E56BA1" w:rsidRDefault="007B6A49" w:rsidP="007B6A49">
      <w:pPr>
        <w:pStyle w:val="Paragraphe"/>
        <w:rPr>
          <w:i/>
          <w:iCs/>
          <w:lang w:val="en-CA"/>
        </w:rPr>
      </w:pPr>
      <w:r>
        <w:rPr>
          <w:lang w:val="en-CA"/>
        </w:rPr>
        <w:t xml:space="preserve">This Supreme Court decision was recently cited in </w:t>
      </w:r>
      <w:r>
        <w:rPr>
          <w:i/>
          <w:iCs/>
          <w:lang w:val="en-CA"/>
        </w:rPr>
        <w:t>Automobile Protection Association</w:t>
      </w:r>
      <w:r>
        <w:rPr>
          <w:lang w:val="en-CA"/>
        </w:rPr>
        <w:t xml:space="preserve"> </w:t>
      </w:r>
      <w:r>
        <w:rPr>
          <w:i/>
          <w:iCs/>
          <w:lang w:val="en-CA"/>
        </w:rPr>
        <w:t xml:space="preserve">(APA) </w:t>
      </w:r>
      <w:r>
        <w:rPr>
          <w:lang w:val="en-CA"/>
        </w:rPr>
        <w:t>v.</w:t>
      </w:r>
      <w:r>
        <w:rPr>
          <w:i/>
          <w:iCs/>
          <w:lang w:val="en-CA"/>
        </w:rPr>
        <w:t xml:space="preserve"> Bank of Nova Scotia</w:t>
      </w:r>
      <w:r>
        <w:rPr>
          <w:lang w:val="en-CA"/>
        </w:rPr>
        <w:t xml:space="preserve">. The Superior Court noted that decisions leading to orders </w:t>
      </w:r>
      <w:r>
        <w:rPr>
          <w:i/>
          <w:iCs/>
          <w:lang w:val="en-CA"/>
        </w:rPr>
        <w:t>[Translation] “[…] can always be revised or amended in the event of material changes in the factual or legal circumstances or simply if changes in the evidence allow the Court a fuller picture of the situation”</w:t>
      </w:r>
      <w:r>
        <w:rPr>
          <w:rStyle w:val="Appelnotedebasdep"/>
          <w:lang w:val="en-CA"/>
        </w:rPr>
        <w:footnoteReference w:id="9"/>
      </w:r>
      <w:r>
        <w:rPr>
          <w:i/>
          <w:iCs/>
          <w:lang w:val="en-CA"/>
        </w:rPr>
        <w:t xml:space="preserve"> </w:t>
      </w:r>
      <w:r>
        <w:rPr>
          <w:lang w:val="en-CA"/>
        </w:rPr>
        <w:t>(references omitted).</w:t>
      </w:r>
    </w:p>
    <w:p w14:paraId="7980452B" w14:textId="2F461BBA" w:rsidR="007B6A49" w:rsidRPr="00E56BA1" w:rsidRDefault="00AB3141" w:rsidP="00A13297">
      <w:pPr>
        <w:pStyle w:val="Paragraphe"/>
        <w:rPr>
          <w:lang w:val="en-CA"/>
        </w:rPr>
      </w:pPr>
      <w:r>
        <w:rPr>
          <w:lang w:val="en-CA"/>
        </w:rPr>
        <w:t>However, the authority of a court to review its own decisions must be set out in law.</w:t>
      </w:r>
      <w:r>
        <w:rPr>
          <w:rStyle w:val="Appelnotedebasdep"/>
          <w:lang w:val="en-CA"/>
        </w:rPr>
        <w:footnoteReference w:id="10"/>
      </w:r>
      <w:r>
        <w:rPr>
          <w:lang w:val="en-CA"/>
        </w:rPr>
        <w:t xml:space="preserve"> The </w:t>
      </w:r>
      <w:r>
        <w:rPr>
          <w:i/>
          <w:iCs/>
          <w:lang w:val="en-CA"/>
        </w:rPr>
        <w:t xml:space="preserve">Act respecting the regulation of the financial sector </w:t>
      </w:r>
      <w:r>
        <w:rPr>
          <w:lang w:val="en-CA"/>
        </w:rPr>
        <w:t>makes such provision.</w:t>
      </w:r>
    </w:p>
    <w:p w14:paraId="0E52B8A2" w14:textId="2F8AB5A1" w:rsidR="007A2F38" w:rsidRPr="00E56BA1" w:rsidRDefault="0049156B" w:rsidP="00A13297">
      <w:pPr>
        <w:pStyle w:val="Paragraphe"/>
        <w:rPr>
          <w:lang w:val="en-CA"/>
        </w:rPr>
      </w:pPr>
      <w:r>
        <w:rPr>
          <w:lang w:val="en-CA"/>
        </w:rPr>
        <w:t xml:space="preserve">The order issued in this case may be reviewed or revoked by the Tribunal in accordance with section 115.15.7 of the </w:t>
      </w:r>
      <w:r>
        <w:rPr>
          <w:i/>
          <w:iCs/>
          <w:lang w:val="en-CA"/>
        </w:rPr>
        <w:t>Act respecting the regulation of the financial sector</w:t>
      </w:r>
      <w:r>
        <w:rPr>
          <w:lang w:val="en-CA"/>
        </w:rPr>
        <w:t>, which reads as follows:</w:t>
      </w:r>
    </w:p>
    <w:p w14:paraId="5EC4E122" w14:textId="22967E36" w:rsidR="0026738D" w:rsidRPr="00E56BA1" w:rsidRDefault="0026738D" w:rsidP="0026738D">
      <w:pPr>
        <w:pStyle w:val="Citationendoubleretrait"/>
        <w:rPr>
          <w:lang w:val="en-CA"/>
        </w:rPr>
      </w:pPr>
      <w:r>
        <w:rPr>
          <w:lang w:val="en-CA"/>
        </w:rPr>
        <w:t xml:space="preserve"> “115.15.7 The Tribunal may, on application, review or revoke a decision or an order it has rendered or made</w:t>
      </w:r>
    </w:p>
    <w:p w14:paraId="526A934C" w14:textId="5767950A" w:rsidR="0026738D" w:rsidRPr="00E56BA1" w:rsidRDefault="0026738D" w:rsidP="0026738D">
      <w:pPr>
        <w:pStyle w:val="Citationendoubleretrait"/>
        <w:rPr>
          <w:lang w:val="en-CA"/>
        </w:rPr>
      </w:pPr>
      <w:r>
        <w:rPr>
          <w:lang w:val="en-CA"/>
        </w:rPr>
        <w:t xml:space="preserve">(1) if a new fact is discovered which, </w:t>
      </w:r>
      <w:bookmarkStart w:id="7" w:name="_Hlk120265466"/>
      <w:r>
        <w:rPr>
          <w:lang w:val="en-CA"/>
        </w:rPr>
        <w:t xml:space="preserve">had it been known in sufficient time, could have warranted a different </w:t>
      </w:r>
      <w:proofErr w:type="gramStart"/>
      <w:r>
        <w:rPr>
          <w:lang w:val="en-CA"/>
        </w:rPr>
        <w:t>decision;</w:t>
      </w:r>
      <w:proofErr w:type="gramEnd"/>
    </w:p>
    <w:bookmarkEnd w:id="7"/>
    <w:p w14:paraId="42176A01" w14:textId="720A40F9" w:rsidR="007C4C60" w:rsidRPr="00E56BA1" w:rsidRDefault="007C4C60" w:rsidP="0026738D">
      <w:pPr>
        <w:pStyle w:val="Citationendoubleretrait"/>
        <w:rPr>
          <w:lang w:val="en-CA"/>
        </w:rPr>
      </w:pPr>
      <w:r>
        <w:rPr>
          <w:lang w:val="en-CA"/>
        </w:rPr>
        <w:t xml:space="preserve">(2) if an interested party, owing to reasons considered sufficient, could not make </w:t>
      </w:r>
      <w:proofErr w:type="gramStart"/>
      <w:r>
        <w:rPr>
          <w:lang w:val="en-CA"/>
        </w:rPr>
        <w:t>representations</w:t>
      </w:r>
      <w:proofErr w:type="gramEnd"/>
      <w:r>
        <w:rPr>
          <w:lang w:val="en-CA"/>
        </w:rPr>
        <w:t xml:space="preserve"> or be heard; or</w:t>
      </w:r>
    </w:p>
    <w:p w14:paraId="4C98310E" w14:textId="62A248D4" w:rsidR="007C4C60" w:rsidRDefault="00117D82" w:rsidP="00117D82">
      <w:pPr>
        <w:pStyle w:val="Citationendoubleretrait"/>
      </w:pPr>
      <w:r>
        <w:rPr>
          <w:lang w:val="en-CA"/>
        </w:rPr>
        <w:t xml:space="preserve">[…]." </w:t>
      </w:r>
    </w:p>
    <w:p w14:paraId="73DF0A1F" w14:textId="3F29F98B" w:rsidR="0026738D" w:rsidRPr="00E56BA1" w:rsidRDefault="007C4C60" w:rsidP="00DE7535">
      <w:pPr>
        <w:pStyle w:val="Paragraphe"/>
        <w:rPr>
          <w:lang w:val="en-CA"/>
        </w:rPr>
      </w:pPr>
      <w:r>
        <w:rPr>
          <w:lang w:val="en-CA"/>
        </w:rPr>
        <w:t xml:space="preserve">According to the AMF, its request to lift the order is not a request to “review or revoke” a decision within the meaning of section 115.15.7 of the </w:t>
      </w:r>
      <w:r>
        <w:rPr>
          <w:i/>
          <w:iCs/>
          <w:lang w:val="en-CA"/>
        </w:rPr>
        <w:t>Act respecting the regulation of the financial sector</w:t>
      </w:r>
      <w:r>
        <w:rPr>
          <w:lang w:val="en-CA"/>
        </w:rPr>
        <w:t xml:space="preserve">. Rather, its request is meant to terminate the order. The AMF underscored that the Tribunal had not specified the term of the order. </w:t>
      </w:r>
    </w:p>
    <w:p w14:paraId="1BD13523" w14:textId="3CAF1ABB" w:rsidR="00E346DF" w:rsidRPr="00E56BA1" w:rsidRDefault="00E346DF" w:rsidP="00DE7535">
      <w:pPr>
        <w:pStyle w:val="Paragraphe"/>
        <w:rPr>
          <w:lang w:val="en-CA"/>
        </w:rPr>
      </w:pPr>
      <w:r>
        <w:rPr>
          <w:lang w:val="en-CA"/>
        </w:rPr>
        <w:t xml:space="preserve">With respect, the Tribunal disagrees with this interpretation. First, orders need not be issued for a specific term. The fact that the order does not include a time limit does not preclude the need to comply with s. 115.15.7 of the </w:t>
      </w:r>
      <w:r>
        <w:rPr>
          <w:i/>
          <w:iCs/>
          <w:lang w:val="en-CA"/>
        </w:rPr>
        <w:t>Act respecting the regulation of the financial sector</w:t>
      </w:r>
      <w:r>
        <w:rPr>
          <w:lang w:val="en-CA"/>
        </w:rPr>
        <w:t xml:space="preserve">. </w:t>
      </w:r>
    </w:p>
    <w:p w14:paraId="037F24D3" w14:textId="3A9690BF" w:rsidR="00602CB5" w:rsidRPr="00E56BA1" w:rsidRDefault="0049156B" w:rsidP="00DE7535">
      <w:pPr>
        <w:pStyle w:val="Paragraphe"/>
        <w:rPr>
          <w:lang w:val="en-CA"/>
        </w:rPr>
      </w:pPr>
      <w:r>
        <w:rPr>
          <w:lang w:val="en-CA"/>
        </w:rPr>
        <w:lastRenderedPageBreak/>
        <w:t>An application to lift an order does constitute an application for revocation within the meaning of section 115.15.7 para. 1 (1</w:t>
      </w:r>
      <w:r>
        <w:rPr>
          <w:vertAlign w:val="superscript"/>
          <w:lang w:val="en-CA"/>
        </w:rPr>
        <w:t>o</w:t>
      </w:r>
      <w:r>
        <w:rPr>
          <w:lang w:val="en-CA"/>
        </w:rPr>
        <w:t xml:space="preserve">) of the </w:t>
      </w:r>
      <w:r>
        <w:rPr>
          <w:i/>
          <w:iCs/>
          <w:lang w:val="en-CA"/>
        </w:rPr>
        <w:t>Act respecting the regulation of the financial sector,</w:t>
      </w:r>
      <w:r>
        <w:rPr>
          <w:lang w:val="en-CA"/>
        </w:rPr>
        <w:t xml:space="preserve"> whereby a party must establish the existence of new facts that would justify a different decision by the Tribunal.</w:t>
      </w:r>
    </w:p>
    <w:p w14:paraId="0DE22C05" w14:textId="505288E8" w:rsidR="00AB3141" w:rsidRPr="00E56BA1" w:rsidRDefault="00AB3141" w:rsidP="00DE7535">
      <w:pPr>
        <w:pStyle w:val="Paragraphe"/>
        <w:rPr>
          <w:lang w:val="en-CA"/>
        </w:rPr>
      </w:pPr>
      <w:r>
        <w:rPr>
          <w:lang w:val="en-CA"/>
        </w:rPr>
        <w:t xml:space="preserve">Proof of the existence of “new facts” is akin to the existence of significant changes in the circumstances affecting the initial order, as mentioned by the Supreme Court in </w:t>
      </w:r>
      <w:r>
        <w:rPr>
          <w:i/>
          <w:iCs/>
          <w:lang w:val="en-CA"/>
        </w:rPr>
        <w:t xml:space="preserve">Canadian Broadcasting Corporation </w:t>
      </w:r>
      <w:r>
        <w:rPr>
          <w:lang w:val="en-CA"/>
        </w:rPr>
        <w:t>v.</w:t>
      </w:r>
      <w:r>
        <w:rPr>
          <w:i/>
          <w:iCs/>
          <w:lang w:val="en-CA"/>
        </w:rPr>
        <w:t xml:space="preserve"> Manitoba, supra.</w:t>
      </w:r>
    </w:p>
    <w:p w14:paraId="5F905D9B" w14:textId="3F477A38" w:rsidR="00B822D3" w:rsidRPr="00E56BA1" w:rsidRDefault="00100225" w:rsidP="00B822D3">
      <w:pPr>
        <w:pStyle w:val="Paragraphe"/>
        <w:rPr>
          <w:i/>
          <w:iCs/>
          <w:lang w:val="en-CA"/>
        </w:rPr>
      </w:pPr>
      <w:r>
        <w:rPr>
          <w:lang w:val="en-CA"/>
        </w:rPr>
        <w:t>In any event, in reviewing an order it has given, the Tribunal is not sitting on an appeal of a decision initially given by the Tribunal.</w:t>
      </w:r>
    </w:p>
    <w:p w14:paraId="6CBDC8A5" w14:textId="2ED05402" w:rsidR="00B822D3" w:rsidRPr="00E56BA1" w:rsidRDefault="00B822D3" w:rsidP="00DE7535">
      <w:pPr>
        <w:pStyle w:val="Paragraphe"/>
        <w:rPr>
          <w:lang w:val="en-CA"/>
        </w:rPr>
      </w:pPr>
      <w:r>
        <w:rPr>
          <w:lang w:val="en-CA"/>
        </w:rPr>
        <w:t xml:space="preserve">To persuade the Tribunal to revoke the order, the party must establish the existence of material facts or circumstances that, had they been known to the Tribunal, could have warranted a different decision. </w:t>
      </w:r>
    </w:p>
    <w:p w14:paraId="0DCCDB74" w14:textId="7758174F" w:rsidR="007514A9" w:rsidRPr="00E56BA1" w:rsidRDefault="00BA1906" w:rsidP="009F3090">
      <w:pPr>
        <w:pStyle w:val="Paragraphe"/>
        <w:rPr>
          <w:i/>
          <w:iCs/>
          <w:lang w:val="en-CA"/>
        </w:rPr>
      </w:pPr>
      <w:r>
        <w:rPr>
          <w:lang w:val="en-CA"/>
        </w:rPr>
        <w:t xml:space="preserve">Furthermore, the Tribunal issued the non-publication, non-dissemination and non-disclosure order on June 2, </w:t>
      </w:r>
      <w:proofErr w:type="gramStart"/>
      <w:r>
        <w:rPr>
          <w:lang w:val="en-CA"/>
        </w:rPr>
        <w:t>2022</w:t>
      </w:r>
      <w:proofErr w:type="gramEnd"/>
      <w:r>
        <w:rPr>
          <w:lang w:val="en-CA"/>
        </w:rPr>
        <w:t xml:space="preserve"> before hearing the arguments of the parties</w:t>
      </w:r>
      <w:r>
        <w:rPr>
          <w:rStyle w:val="Appelnotedebasdep"/>
          <w:lang w:val="en-CA"/>
        </w:rPr>
        <w:footnoteReference w:id="11"/>
      </w:r>
      <w:r>
        <w:rPr>
          <w:lang w:val="en-CA"/>
        </w:rPr>
        <w:t xml:space="preserve">. The AMF therefore had the opportunity to later make representations or be heard in accordance with s. 115.15.7 para. 1 (2) of the </w:t>
      </w:r>
      <w:r>
        <w:rPr>
          <w:i/>
          <w:iCs/>
          <w:lang w:val="en-CA"/>
        </w:rPr>
        <w:t>Act respecting the regulation of the financial sector</w:t>
      </w:r>
      <w:r>
        <w:rPr>
          <w:lang w:val="en-CA"/>
        </w:rPr>
        <w:t xml:space="preserve">. In the latter case, an application to contest the order must be made as soon as possible after the contested order is issued. </w:t>
      </w:r>
    </w:p>
    <w:p w14:paraId="14FD8AC2" w14:textId="5AE35672" w:rsidR="0045774B" w:rsidRPr="00E56BA1" w:rsidRDefault="0063147E" w:rsidP="009D62AC">
      <w:pPr>
        <w:pStyle w:val="Paragraphe"/>
        <w:rPr>
          <w:lang w:val="en-CA"/>
        </w:rPr>
      </w:pPr>
      <w:r>
        <w:rPr>
          <w:lang w:val="en-CA"/>
        </w:rPr>
        <w:t>To support its request to have the order lifted, the AMF essentially contends that it has taken a series of reasonable and effective measures to protect the confidentiality of the investors most sensitive personal information and to protect their right to privacy.</w:t>
      </w:r>
    </w:p>
    <w:p w14:paraId="0E7E8F85" w14:textId="0B26BC3B" w:rsidR="006C14DA" w:rsidRPr="00E56BA1" w:rsidRDefault="009D62AC" w:rsidP="00FA4983">
      <w:pPr>
        <w:pStyle w:val="Paragraphe"/>
        <w:rPr>
          <w:lang w:val="en-CA"/>
        </w:rPr>
      </w:pPr>
      <w:r>
        <w:rPr>
          <w:lang w:val="en-CA"/>
        </w:rPr>
        <w:t xml:space="preserve"> More specifically, the AMF redacted the investors’ personal contact information (addresses, telephone numbers, email addresses, etc.) and the bank account numbers of the investors named in the exhibits entered on the </w:t>
      </w:r>
      <w:proofErr w:type="gramStart"/>
      <w:r>
        <w:rPr>
          <w:lang w:val="en-CA"/>
        </w:rPr>
        <w:t>record, and</w:t>
      </w:r>
      <w:proofErr w:type="gramEnd"/>
      <w:r>
        <w:rPr>
          <w:lang w:val="en-CA"/>
        </w:rPr>
        <w:t xml:space="preserve"> will continue to do so. </w:t>
      </w:r>
    </w:p>
    <w:p w14:paraId="6EC62993" w14:textId="5CA82576" w:rsidR="008E7631" w:rsidRPr="00E56BA1" w:rsidRDefault="006C14DA" w:rsidP="00155075">
      <w:pPr>
        <w:pStyle w:val="Paragraphe"/>
        <w:rPr>
          <w:lang w:val="en-CA"/>
        </w:rPr>
      </w:pPr>
      <w:r>
        <w:rPr>
          <w:lang w:val="en-CA"/>
        </w:rPr>
        <w:t>The AMF asked the Tribunal to order the sealing of certain exhibits and original redacted exhibits containing the personal information of the investors involved in the case, and the Tribunal agreed.</w:t>
      </w:r>
    </w:p>
    <w:p w14:paraId="3D658F4C" w14:textId="4B3962EA" w:rsidR="002F2986" w:rsidRPr="00E56BA1" w:rsidRDefault="009D62AC" w:rsidP="006C14DA">
      <w:pPr>
        <w:pStyle w:val="Paragraphe"/>
        <w:rPr>
          <w:lang w:val="en-CA"/>
        </w:rPr>
      </w:pPr>
      <w:r>
        <w:rPr>
          <w:lang w:val="en-CA"/>
        </w:rPr>
        <w:t xml:space="preserve">The AMF also identified investors involved in the case by their initials in the originating instrument. </w:t>
      </w:r>
    </w:p>
    <w:p w14:paraId="5ABC4084" w14:textId="2010A17F" w:rsidR="00BA1906" w:rsidRPr="00E56BA1" w:rsidRDefault="002F0FAF" w:rsidP="00155075">
      <w:pPr>
        <w:pStyle w:val="Paragraphe"/>
        <w:rPr>
          <w:lang w:val="en-CA"/>
        </w:rPr>
      </w:pPr>
      <w:r>
        <w:rPr>
          <w:lang w:val="en-CA"/>
        </w:rPr>
        <w:t xml:space="preserve">The AMF added that the investors referred to in its proceedings and subject to the sealing order are in direct contact with the respondents. When the request for partial lifting of a freeze order was made, respondent Louis Cléroux testified before the Tribunal that he had been in contact with the investors concerned by the application. This testimony was confirmed by one of the investors during his testimony before the Tribunal. </w:t>
      </w:r>
      <w:proofErr w:type="gramStart"/>
      <w:r>
        <w:rPr>
          <w:lang w:val="en-CA"/>
        </w:rPr>
        <w:t>In light of</w:t>
      </w:r>
      <w:proofErr w:type="gramEnd"/>
      <w:r>
        <w:rPr>
          <w:lang w:val="en-CA"/>
        </w:rPr>
        <w:t xml:space="preserve"> such contact, identification of the investors by name does not raise issues for their safety, reputations or dignity.</w:t>
      </w:r>
    </w:p>
    <w:p w14:paraId="1BA253D8" w14:textId="08E7C7E7" w:rsidR="00CE3FD1" w:rsidRPr="00E56BA1" w:rsidRDefault="007767D5" w:rsidP="006356D5">
      <w:pPr>
        <w:pStyle w:val="Paragraphe"/>
        <w:rPr>
          <w:lang w:val="en-CA"/>
        </w:rPr>
      </w:pPr>
      <w:proofErr w:type="gramStart"/>
      <w:r>
        <w:rPr>
          <w:lang w:val="en-CA"/>
        </w:rPr>
        <w:lastRenderedPageBreak/>
        <w:t>In light of</w:t>
      </w:r>
      <w:proofErr w:type="gramEnd"/>
      <w:r>
        <w:rPr>
          <w:lang w:val="en-CA"/>
        </w:rPr>
        <w:t xml:space="preserve"> the new facts brought before the Tribunal and steps by the AMF to protect the privacy of investors, the Tribunal considers that the non-publication, non-dissemination and non-disclosure order with respect to the names of the investors involved in the case is no longer necessary.</w:t>
      </w:r>
      <w:bookmarkEnd w:id="3"/>
    </w:p>
    <w:p w14:paraId="43BF82FF" w14:textId="75805978" w:rsidR="00585FBC" w:rsidRPr="00E56BA1" w:rsidRDefault="00202987" w:rsidP="008069BD">
      <w:pPr>
        <w:pStyle w:val="Paragraphe"/>
        <w:numPr>
          <w:ilvl w:val="0"/>
          <w:numId w:val="0"/>
        </w:numPr>
        <w:rPr>
          <w:b/>
          <w:lang w:val="en-CA"/>
        </w:rPr>
      </w:pPr>
      <w:r>
        <w:rPr>
          <w:b/>
          <w:bCs/>
          <w:lang w:val="en-CA"/>
        </w:rPr>
        <w:t>DISPOSITION</w:t>
      </w:r>
    </w:p>
    <w:p w14:paraId="27079B1B" w14:textId="0265DB3E" w:rsidR="00202987" w:rsidRPr="00E56BA1" w:rsidRDefault="005D3851" w:rsidP="008069BD">
      <w:pPr>
        <w:pStyle w:val="Paragraphe"/>
        <w:numPr>
          <w:ilvl w:val="0"/>
          <w:numId w:val="0"/>
        </w:numPr>
        <w:rPr>
          <w:b/>
          <w:bCs/>
          <w:lang w:val="en-CA"/>
        </w:rPr>
      </w:pPr>
      <w:r>
        <w:rPr>
          <w:b/>
          <w:bCs/>
          <w:color w:val="000000"/>
          <w:kern w:val="0"/>
          <w:lang w:val="en-CA"/>
        </w:rPr>
        <w:t>FOR THESE REASONS</w:t>
      </w:r>
      <w:r>
        <w:rPr>
          <w:color w:val="000000"/>
          <w:kern w:val="0"/>
          <w:lang w:val="en-CA"/>
        </w:rPr>
        <w:t xml:space="preserve">, the Financial Markets Administrative Tribunal, pursuant to sections 93, 97 paragraph 1, 115.7, 115.8 and 115.15.7 of the </w:t>
      </w:r>
      <w:r>
        <w:rPr>
          <w:i/>
          <w:iCs/>
          <w:color w:val="000000"/>
          <w:kern w:val="0"/>
          <w:lang w:val="en-CA"/>
        </w:rPr>
        <w:t xml:space="preserve">Act respecting the regulation of the </w:t>
      </w:r>
      <w:r>
        <w:rPr>
          <w:i/>
          <w:iCs/>
          <w:lang w:val="en-CA"/>
        </w:rPr>
        <w:t>financial sector</w:t>
      </w:r>
      <w:r>
        <w:rPr>
          <w:lang w:val="en-CA"/>
        </w:rPr>
        <w:t>:</w:t>
      </w:r>
    </w:p>
    <w:p w14:paraId="1EBEFACF" w14:textId="2BD509D9" w:rsidR="003755E5" w:rsidRPr="00E56BA1" w:rsidRDefault="006356D5" w:rsidP="003B46BF">
      <w:pPr>
        <w:pStyle w:val="Paragraphe"/>
        <w:numPr>
          <w:ilvl w:val="0"/>
          <w:numId w:val="0"/>
        </w:numPr>
        <w:rPr>
          <w:lang w:val="en-CA"/>
        </w:rPr>
      </w:pPr>
      <w:r>
        <w:rPr>
          <w:b/>
          <w:bCs/>
          <w:lang w:val="en-CA"/>
        </w:rPr>
        <w:t xml:space="preserve">ALLOWS </w:t>
      </w:r>
      <w:r>
        <w:rPr>
          <w:lang w:val="en-CA"/>
        </w:rPr>
        <w:t xml:space="preserve">the request by the Autorité des marchés financiers to lift the order for non-publication, non-dissemination and non-disclosure of the names of investors involved in the </w:t>
      </w:r>
      <w:proofErr w:type="gramStart"/>
      <w:r>
        <w:rPr>
          <w:lang w:val="en-CA"/>
        </w:rPr>
        <w:t>case;</w:t>
      </w:r>
      <w:proofErr w:type="gramEnd"/>
    </w:p>
    <w:p w14:paraId="196A2DAE" w14:textId="0CE27B20" w:rsidR="006356D5" w:rsidRPr="00E56BA1" w:rsidRDefault="006356D5" w:rsidP="006356D5">
      <w:pPr>
        <w:pStyle w:val="Paragraphe"/>
        <w:numPr>
          <w:ilvl w:val="0"/>
          <w:numId w:val="0"/>
        </w:numPr>
        <w:rPr>
          <w:lang w:val="en-CA"/>
        </w:rPr>
      </w:pPr>
      <w:r>
        <w:rPr>
          <w:b/>
          <w:bCs/>
          <w:lang w:val="en-CA"/>
        </w:rPr>
        <w:t xml:space="preserve">LIFTS </w:t>
      </w:r>
      <w:r>
        <w:rPr>
          <w:lang w:val="en-CA"/>
        </w:rPr>
        <w:t xml:space="preserve">the order for non-publication, non-dissemination and non-disclosure of the names of investors involved in the </w:t>
      </w:r>
      <w:proofErr w:type="gramStart"/>
      <w:r>
        <w:rPr>
          <w:lang w:val="en-CA"/>
        </w:rPr>
        <w:t>case;</w:t>
      </w:r>
      <w:proofErr w:type="gramEnd"/>
    </w:p>
    <w:p w14:paraId="4BF03C5C" w14:textId="5866428B" w:rsidR="006356D5" w:rsidRPr="00E56BA1" w:rsidRDefault="006356D5" w:rsidP="006356D5">
      <w:pPr>
        <w:pStyle w:val="Paragraphe"/>
        <w:numPr>
          <w:ilvl w:val="0"/>
          <w:numId w:val="0"/>
        </w:numPr>
        <w:rPr>
          <w:lang w:val="en-CA"/>
        </w:rPr>
      </w:pPr>
      <w:r>
        <w:rPr>
          <w:b/>
          <w:bCs/>
          <w:lang w:val="en-CA"/>
        </w:rPr>
        <w:t xml:space="preserve">ORDERS </w:t>
      </w:r>
      <w:r>
        <w:rPr>
          <w:lang w:val="en-CA"/>
        </w:rPr>
        <w:t xml:space="preserve">the </w:t>
      </w:r>
      <w:proofErr w:type="spellStart"/>
      <w:r>
        <w:rPr>
          <w:lang w:val="en-CA"/>
        </w:rPr>
        <w:t>Autorité</w:t>
      </w:r>
      <w:proofErr w:type="spellEnd"/>
      <w:r>
        <w:rPr>
          <w:lang w:val="en-CA"/>
        </w:rPr>
        <w:t xml:space="preserve"> des </w:t>
      </w:r>
      <w:proofErr w:type="spellStart"/>
      <w:r>
        <w:rPr>
          <w:lang w:val="en-CA"/>
        </w:rPr>
        <w:t>marchés</w:t>
      </w:r>
      <w:proofErr w:type="spellEnd"/>
      <w:r>
        <w:rPr>
          <w:lang w:val="en-CA"/>
        </w:rPr>
        <w:t xml:space="preserve"> financiers to notify the respondents and impleaded parties of this decision.</w:t>
      </w:r>
    </w:p>
    <w:p w14:paraId="641F0933" w14:textId="19673259" w:rsidR="006356D5" w:rsidRPr="00E56BA1" w:rsidRDefault="006356D5" w:rsidP="003B46BF">
      <w:pPr>
        <w:pStyle w:val="Paragraphe"/>
        <w:numPr>
          <w:ilvl w:val="0"/>
          <w:numId w:val="0"/>
        </w:numPr>
        <w:rPr>
          <w:rFonts w:cs="Arial"/>
          <w:b/>
          <w:bCs/>
          <w:szCs w:val="24"/>
          <w:lang w:val="en-CA"/>
        </w:rPr>
      </w:pPr>
    </w:p>
    <w:p w14:paraId="54CA8E82" w14:textId="360AD7BA" w:rsidR="00F8631F" w:rsidRPr="00E56BA1" w:rsidRDefault="00F8631F" w:rsidP="00F8631F">
      <w:pPr>
        <w:pStyle w:val="Paragraphe"/>
        <w:numPr>
          <w:ilvl w:val="0"/>
          <w:numId w:val="0"/>
        </w:numPr>
        <w:rPr>
          <w:rFonts w:cs="Arial"/>
          <w:szCs w:val="24"/>
          <w:lang w:val="en-CA"/>
        </w:rPr>
      </w:pPr>
    </w:p>
    <w:tbl>
      <w:tblPr>
        <w:tblW w:w="9568" w:type="dxa"/>
        <w:tblInd w:w="-70" w:type="dxa"/>
        <w:tblLayout w:type="fixed"/>
        <w:tblCellMar>
          <w:left w:w="0" w:type="dxa"/>
          <w:right w:w="0" w:type="dxa"/>
        </w:tblCellMar>
        <w:tblLook w:val="0000" w:firstRow="0" w:lastRow="0" w:firstColumn="0" w:lastColumn="0" w:noHBand="0" w:noVBand="0"/>
      </w:tblPr>
      <w:tblGrid>
        <w:gridCol w:w="6"/>
        <w:gridCol w:w="2191"/>
        <w:gridCol w:w="2638"/>
        <w:gridCol w:w="4670"/>
        <w:gridCol w:w="63"/>
      </w:tblGrid>
      <w:tr w:rsidR="00397850" w:rsidRPr="00332B75" w14:paraId="2AA5CADC" w14:textId="77777777" w:rsidTr="00155075">
        <w:trPr>
          <w:gridBefore w:val="1"/>
          <w:gridAfter w:val="1"/>
          <w:wBefore w:w="6" w:type="dxa"/>
          <w:wAfter w:w="63" w:type="dxa"/>
          <w:cantSplit/>
        </w:trPr>
        <w:tc>
          <w:tcPr>
            <w:tcW w:w="4829" w:type="dxa"/>
            <w:gridSpan w:val="2"/>
          </w:tcPr>
          <w:p w14:paraId="4DF8C7DD" w14:textId="77777777" w:rsidR="00397850" w:rsidRPr="00E56BA1" w:rsidRDefault="00397850" w:rsidP="007D37E3">
            <w:pPr>
              <w:rPr>
                <w:lang w:val="en-CA"/>
              </w:rPr>
            </w:pPr>
          </w:p>
        </w:tc>
        <w:tc>
          <w:tcPr>
            <w:tcW w:w="4670" w:type="dxa"/>
          </w:tcPr>
          <w:p w14:paraId="5C184898" w14:textId="77777777" w:rsidR="00397850" w:rsidRPr="00E56BA1" w:rsidRDefault="00397850" w:rsidP="007D37E3">
            <w:pPr>
              <w:pStyle w:val="zSoquijdatSignature3Juge"/>
              <w:rPr>
                <w:b/>
                <w:lang w:val="en-CA"/>
              </w:rPr>
            </w:pPr>
          </w:p>
        </w:tc>
      </w:tr>
      <w:tr w:rsidR="0002722E" w:rsidRPr="00332B75" w14:paraId="73E7BFB4" w14:textId="77777777" w:rsidTr="00155075">
        <w:trPr>
          <w:gridBefore w:val="1"/>
          <w:gridAfter w:val="1"/>
          <w:wBefore w:w="6" w:type="dxa"/>
          <w:wAfter w:w="63" w:type="dxa"/>
          <w:cantSplit/>
        </w:trPr>
        <w:tc>
          <w:tcPr>
            <w:tcW w:w="4829" w:type="dxa"/>
            <w:gridSpan w:val="2"/>
          </w:tcPr>
          <w:p w14:paraId="10D430F8" w14:textId="77777777" w:rsidR="0002722E" w:rsidRPr="00E56BA1" w:rsidRDefault="0002722E">
            <w:pPr>
              <w:rPr>
                <w:lang w:val="en-CA"/>
              </w:rPr>
            </w:pPr>
          </w:p>
          <w:p w14:paraId="37674328" w14:textId="77777777" w:rsidR="004638B4" w:rsidRPr="00E56BA1" w:rsidRDefault="004638B4">
            <w:pPr>
              <w:rPr>
                <w:lang w:val="en-CA"/>
              </w:rPr>
            </w:pPr>
          </w:p>
        </w:tc>
        <w:tc>
          <w:tcPr>
            <w:tcW w:w="4670" w:type="dxa"/>
            <w:tcBorders>
              <w:bottom w:val="single" w:sz="4" w:space="0" w:color="auto"/>
            </w:tcBorders>
          </w:tcPr>
          <w:p w14:paraId="0F881DB1" w14:textId="77777777" w:rsidR="0002722E" w:rsidRPr="00E56BA1" w:rsidRDefault="0002722E" w:rsidP="0002722E">
            <w:pPr>
              <w:pStyle w:val="zSoquijdatSignature3Juge"/>
              <w:rPr>
                <w:b/>
                <w:lang w:val="en-CA"/>
              </w:rPr>
            </w:pPr>
          </w:p>
        </w:tc>
      </w:tr>
      <w:tr w:rsidR="00B4030F" w14:paraId="6829EE00" w14:textId="77777777" w:rsidTr="00155075">
        <w:trPr>
          <w:gridBefore w:val="1"/>
          <w:gridAfter w:val="1"/>
          <w:wBefore w:w="6" w:type="dxa"/>
          <w:wAfter w:w="63" w:type="dxa"/>
          <w:cantSplit/>
        </w:trPr>
        <w:tc>
          <w:tcPr>
            <w:tcW w:w="4829" w:type="dxa"/>
            <w:gridSpan w:val="2"/>
          </w:tcPr>
          <w:p w14:paraId="42CC4FED" w14:textId="77777777" w:rsidR="00B4030F" w:rsidRPr="00E56BA1" w:rsidRDefault="00B4030F" w:rsidP="00561AD8">
            <w:pPr>
              <w:jc w:val="center"/>
              <w:rPr>
                <w:lang w:val="en-CA"/>
              </w:rPr>
            </w:pPr>
          </w:p>
        </w:tc>
        <w:tc>
          <w:tcPr>
            <w:tcW w:w="4670" w:type="dxa"/>
            <w:tcBorders>
              <w:top w:val="single" w:sz="4" w:space="0" w:color="auto"/>
            </w:tcBorders>
          </w:tcPr>
          <w:p w14:paraId="02847C06" w14:textId="2E8C3A04" w:rsidR="007427AC" w:rsidRDefault="007427AC" w:rsidP="00561AD8">
            <w:pPr>
              <w:pStyle w:val="zSoquijdatSignature3Juge"/>
              <w:jc w:val="center"/>
              <w:rPr>
                <w:b/>
              </w:rPr>
            </w:pPr>
            <w:proofErr w:type="spellStart"/>
            <w:r>
              <w:rPr>
                <w:b/>
                <w:bCs/>
                <w:lang w:val="en-CA"/>
              </w:rPr>
              <w:t>Mtre</w:t>
            </w:r>
            <w:proofErr w:type="spellEnd"/>
            <w:r>
              <w:rPr>
                <w:b/>
                <w:bCs/>
                <w:lang w:val="en-CA"/>
              </w:rPr>
              <w:t>. Antonietta Melchiorre</w:t>
            </w:r>
          </w:p>
          <w:p w14:paraId="6167DA2D" w14:textId="45B2B55F" w:rsidR="00B4030F" w:rsidRDefault="00561AD8" w:rsidP="00561AD8">
            <w:pPr>
              <w:pStyle w:val="zSoquijdatSignature3Juge"/>
              <w:jc w:val="center"/>
            </w:pPr>
            <w:r>
              <w:rPr>
                <w:b/>
                <w:bCs/>
                <w:lang w:val="en-CA"/>
              </w:rPr>
              <w:t>Administrative Judge</w:t>
            </w:r>
          </w:p>
        </w:tc>
      </w:tr>
      <w:tr w:rsidR="00B4030F" w14:paraId="13016F77" w14:textId="77777777" w:rsidTr="00504E78">
        <w:trPr>
          <w:gridBefore w:val="1"/>
          <w:gridAfter w:val="1"/>
          <w:wBefore w:w="6" w:type="dxa"/>
          <w:wAfter w:w="63" w:type="dxa"/>
          <w:cantSplit/>
        </w:trPr>
        <w:tc>
          <w:tcPr>
            <w:tcW w:w="4829" w:type="dxa"/>
            <w:gridSpan w:val="2"/>
          </w:tcPr>
          <w:p w14:paraId="2B9C674B" w14:textId="77777777" w:rsidR="00B4030F" w:rsidRDefault="00B4030F"/>
        </w:tc>
        <w:tc>
          <w:tcPr>
            <w:tcW w:w="4670" w:type="dxa"/>
          </w:tcPr>
          <w:p w14:paraId="2A33744D" w14:textId="77777777" w:rsidR="00B4030F" w:rsidRDefault="00B4030F">
            <w:pPr>
              <w:pStyle w:val="zSoquijdatSignature3Juge"/>
            </w:pPr>
          </w:p>
        </w:tc>
      </w:tr>
      <w:tr w:rsidR="00FC3E9B" w14:paraId="45775051" w14:textId="77777777" w:rsidTr="00504E78">
        <w:trPr>
          <w:gridBefore w:val="1"/>
          <w:gridAfter w:val="1"/>
          <w:wBefore w:w="6" w:type="dxa"/>
          <w:wAfter w:w="63" w:type="dxa"/>
          <w:cantSplit/>
        </w:trPr>
        <w:tc>
          <w:tcPr>
            <w:tcW w:w="4829" w:type="dxa"/>
            <w:gridSpan w:val="2"/>
          </w:tcPr>
          <w:p w14:paraId="56B0B3AC" w14:textId="77777777" w:rsidR="00FC3E9B" w:rsidRDefault="00FC3E9B"/>
        </w:tc>
        <w:tc>
          <w:tcPr>
            <w:tcW w:w="4670" w:type="dxa"/>
          </w:tcPr>
          <w:p w14:paraId="53E9A54D" w14:textId="77777777" w:rsidR="00FC3E9B" w:rsidRDefault="00FC3E9B">
            <w:pPr>
              <w:pStyle w:val="zSoquijdatSignature3Juge"/>
            </w:pPr>
          </w:p>
        </w:tc>
      </w:tr>
      <w:tr w:rsidR="00FC3E9B" w14:paraId="7CFC1E66" w14:textId="77777777" w:rsidTr="00504E78">
        <w:trPr>
          <w:gridBefore w:val="1"/>
          <w:gridAfter w:val="1"/>
          <w:wBefore w:w="6" w:type="dxa"/>
          <w:wAfter w:w="63" w:type="dxa"/>
          <w:cantSplit/>
        </w:trPr>
        <w:tc>
          <w:tcPr>
            <w:tcW w:w="4829" w:type="dxa"/>
            <w:gridSpan w:val="2"/>
          </w:tcPr>
          <w:p w14:paraId="2FD8D5B6" w14:textId="77777777" w:rsidR="00FC3E9B" w:rsidRDefault="00FC3E9B"/>
        </w:tc>
        <w:tc>
          <w:tcPr>
            <w:tcW w:w="4670" w:type="dxa"/>
          </w:tcPr>
          <w:p w14:paraId="2C8B745F" w14:textId="77777777" w:rsidR="00FC3E9B" w:rsidRDefault="00FC3E9B">
            <w:pPr>
              <w:pStyle w:val="zSoquijdatSignature3Juge"/>
            </w:pPr>
          </w:p>
        </w:tc>
      </w:tr>
      <w:tr w:rsidR="004A3882" w14:paraId="33DCCC52" w14:textId="77777777" w:rsidTr="00504E78">
        <w:trPr>
          <w:gridBefore w:val="1"/>
          <w:gridAfter w:val="1"/>
          <w:wBefore w:w="6" w:type="dxa"/>
          <w:wAfter w:w="63" w:type="dxa"/>
          <w:cantSplit/>
        </w:trPr>
        <w:tc>
          <w:tcPr>
            <w:tcW w:w="4829" w:type="dxa"/>
            <w:gridSpan w:val="2"/>
          </w:tcPr>
          <w:p w14:paraId="7D06BAF2" w14:textId="77777777" w:rsidR="004A3882" w:rsidRDefault="004A3882"/>
        </w:tc>
        <w:tc>
          <w:tcPr>
            <w:tcW w:w="4670" w:type="dxa"/>
          </w:tcPr>
          <w:p w14:paraId="063ED778" w14:textId="77777777" w:rsidR="004A3882" w:rsidRDefault="004A3882">
            <w:pPr>
              <w:pStyle w:val="zSoquijdatSignature3Juge"/>
            </w:pPr>
          </w:p>
        </w:tc>
      </w:tr>
      <w:tr w:rsidR="004A3882" w14:paraId="48E29473" w14:textId="77777777" w:rsidTr="00504E78">
        <w:trPr>
          <w:gridBefore w:val="1"/>
          <w:gridAfter w:val="1"/>
          <w:wBefore w:w="6" w:type="dxa"/>
          <w:wAfter w:w="63" w:type="dxa"/>
          <w:cantSplit/>
        </w:trPr>
        <w:tc>
          <w:tcPr>
            <w:tcW w:w="4829" w:type="dxa"/>
            <w:gridSpan w:val="2"/>
          </w:tcPr>
          <w:p w14:paraId="2C187358" w14:textId="77777777" w:rsidR="004A3882" w:rsidRDefault="004A3882"/>
        </w:tc>
        <w:tc>
          <w:tcPr>
            <w:tcW w:w="4670" w:type="dxa"/>
          </w:tcPr>
          <w:p w14:paraId="5A5DAC87" w14:textId="77777777" w:rsidR="00746C0D" w:rsidRDefault="00746C0D">
            <w:pPr>
              <w:pStyle w:val="zSoquijdatSignature3Juge"/>
            </w:pPr>
          </w:p>
          <w:p w14:paraId="521718B7" w14:textId="77777777" w:rsidR="00746C0D" w:rsidRDefault="00746C0D">
            <w:pPr>
              <w:pStyle w:val="zSoquijdatSignature3Juge"/>
            </w:pPr>
          </w:p>
          <w:p w14:paraId="410DC8F1" w14:textId="56B0A782" w:rsidR="00746C0D" w:rsidRDefault="00746C0D">
            <w:pPr>
              <w:pStyle w:val="zSoquijdatSignature3Juge"/>
            </w:pPr>
          </w:p>
        </w:tc>
      </w:tr>
      <w:tr w:rsidR="006356D5" w14:paraId="4B107FF9" w14:textId="77777777" w:rsidTr="0002722E">
        <w:tblPrEx>
          <w:tblCellMar>
            <w:left w:w="70" w:type="dxa"/>
            <w:right w:w="70" w:type="dxa"/>
          </w:tblCellMar>
        </w:tblPrEx>
        <w:tc>
          <w:tcPr>
            <w:tcW w:w="9568" w:type="dxa"/>
            <w:gridSpan w:val="5"/>
          </w:tcPr>
          <w:p w14:paraId="3F3144C9" w14:textId="4B7008AF" w:rsidR="00504E78" w:rsidRDefault="00504E78" w:rsidP="006356D5">
            <w:pPr>
              <w:rPr>
                <w:rFonts w:cs="Arial"/>
              </w:rPr>
            </w:pPr>
            <w:r>
              <w:rPr>
                <w:lang w:val="en-CA"/>
              </w:rPr>
              <w:t>Mtre.</w:t>
            </w:r>
            <w:r>
              <w:rPr>
                <w:vertAlign w:val="superscript"/>
                <w:lang w:val="en-CA"/>
              </w:rPr>
              <w:t xml:space="preserve"> </w:t>
            </w:r>
            <w:r>
              <w:rPr>
                <w:lang w:val="en-CA"/>
              </w:rPr>
              <w:t>Ilana Amouyal and Mtre.</w:t>
            </w:r>
            <w:r>
              <w:rPr>
                <w:vertAlign w:val="superscript"/>
                <w:lang w:val="en-CA"/>
              </w:rPr>
              <w:t xml:space="preserve"> </w:t>
            </w:r>
            <w:r w:rsidRPr="00E56BA1">
              <w:t>Hamza Abouabdelmajid</w:t>
            </w:r>
          </w:p>
          <w:p w14:paraId="4715FBD9" w14:textId="4E950EB3" w:rsidR="00504E78" w:rsidRDefault="00504E78" w:rsidP="006356D5">
            <w:r w:rsidRPr="00E56BA1">
              <w:t>(</w:t>
            </w:r>
            <w:proofErr w:type="spellStart"/>
            <w:r w:rsidRPr="00E56BA1">
              <w:t>Counsel</w:t>
            </w:r>
            <w:proofErr w:type="spellEnd"/>
            <w:r w:rsidRPr="00E56BA1">
              <w:t xml:space="preserve"> for the Autorité des marchés financiers)</w:t>
            </w:r>
          </w:p>
          <w:p w14:paraId="3A077496" w14:textId="15C87C1C" w:rsidR="006356D5" w:rsidRDefault="006356D5" w:rsidP="006356D5">
            <w:r w:rsidRPr="00E56BA1">
              <w:t>For the Autorité des marchés financiers</w:t>
            </w:r>
          </w:p>
        </w:tc>
      </w:tr>
      <w:tr w:rsidR="006356D5" w14:paraId="4F12F976" w14:textId="77777777" w:rsidTr="0002722E">
        <w:tblPrEx>
          <w:tblCellMar>
            <w:left w:w="70" w:type="dxa"/>
            <w:right w:w="70" w:type="dxa"/>
          </w:tblCellMar>
        </w:tblPrEx>
        <w:tc>
          <w:tcPr>
            <w:tcW w:w="9568" w:type="dxa"/>
            <w:gridSpan w:val="5"/>
          </w:tcPr>
          <w:p w14:paraId="530A595C" w14:textId="77777777" w:rsidR="006356D5" w:rsidRDefault="006356D5" w:rsidP="006356D5"/>
        </w:tc>
      </w:tr>
      <w:tr w:rsidR="006356D5" w14:paraId="07DDE750" w14:textId="77777777" w:rsidTr="0002722E">
        <w:tblPrEx>
          <w:tblCellMar>
            <w:left w:w="70" w:type="dxa"/>
            <w:right w:w="70" w:type="dxa"/>
          </w:tblCellMar>
        </w:tblPrEx>
        <w:tc>
          <w:tcPr>
            <w:tcW w:w="9568" w:type="dxa"/>
            <w:gridSpan w:val="5"/>
          </w:tcPr>
          <w:p w14:paraId="29CF1178" w14:textId="77777777" w:rsidR="006356D5" w:rsidRDefault="006356D5" w:rsidP="006356D5"/>
        </w:tc>
      </w:tr>
      <w:tr w:rsidR="006356D5" w14:paraId="7D1102B5" w14:textId="77777777" w:rsidTr="0002722E">
        <w:tblPrEx>
          <w:tblCellMar>
            <w:left w:w="70" w:type="dxa"/>
            <w:right w:w="70" w:type="dxa"/>
          </w:tblCellMar>
        </w:tblPrEx>
        <w:tc>
          <w:tcPr>
            <w:tcW w:w="9568" w:type="dxa"/>
            <w:gridSpan w:val="5"/>
          </w:tcPr>
          <w:p w14:paraId="064E1890" w14:textId="77777777" w:rsidR="006356D5" w:rsidRDefault="006356D5" w:rsidP="006356D5"/>
        </w:tc>
      </w:tr>
      <w:tr w:rsidR="006356D5" w:rsidRPr="00332B75" w14:paraId="105A1DC1" w14:textId="77777777" w:rsidTr="0002722E">
        <w:tblPrEx>
          <w:tblCellMar>
            <w:left w:w="70" w:type="dxa"/>
            <w:right w:w="70" w:type="dxa"/>
          </w:tblCellMar>
        </w:tblPrEx>
        <w:tc>
          <w:tcPr>
            <w:tcW w:w="9568" w:type="dxa"/>
            <w:gridSpan w:val="5"/>
          </w:tcPr>
          <w:p w14:paraId="0C8CE3E4" w14:textId="77777777" w:rsidR="00504E78" w:rsidRPr="00E56BA1" w:rsidRDefault="00504E78" w:rsidP="00504E78">
            <w:pPr>
              <w:rPr>
                <w:lang w:val="en-CA"/>
              </w:rPr>
            </w:pPr>
            <w:r>
              <w:rPr>
                <w:lang w:val="en-CA"/>
              </w:rPr>
              <w:t xml:space="preserve">Louis Cléroux </w:t>
            </w:r>
          </w:p>
          <w:p w14:paraId="01435D2C" w14:textId="58DAC208" w:rsidR="006356D5" w:rsidRPr="00E56BA1" w:rsidRDefault="00504E78" w:rsidP="00504E78">
            <w:pPr>
              <w:rPr>
                <w:lang w:val="en-CA"/>
              </w:rPr>
            </w:pPr>
            <w:r>
              <w:rPr>
                <w:lang w:val="en-CA"/>
              </w:rPr>
              <w:t>Appearing in person</w:t>
            </w:r>
          </w:p>
        </w:tc>
      </w:tr>
      <w:tr w:rsidR="006356D5" w:rsidRPr="00332B75" w14:paraId="5A668EBB" w14:textId="77777777" w:rsidTr="0002722E">
        <w:tblPrEx>
          <w:tblCellMar>
            <w:left w:w="70" w:type="dxa"/>
            <w:right w:w="70" w:type="dxa"/>
          </w:tblCellMar>
        </w:tblPrEx>
        <w:tc>
          <w:tcPr>
            <w:tcW w:w="9568" w:type="dxa"/>
            <w:gridSpan w:val="5"/>
          </w:tcPr>
          <w:p w14:paraId="25F8F1F2" w14:textId="1B63004F" w:rsidR="006356D5" w:rsidRPr="00E56BA1" w:rsidRDefault="006356D5" w:rsidP="006356D5">
            <w:pPr>
              <w:pStyle w:val="zSoquijdatNomProcureurDem"/>
              <w:rPr>
                <w:lang w:val="en-CA"/>
              </w:rPr>
            </w:pPr>
          </w:p>
        </w:tc>
      </w:tr>
      <w:tr w:rsidR="006356D5" w:rsidRPr="00332B75" w14:paraId="2CA1684D" w14:textId="77777777" w:rsidTr="0002722E">
        <w:tblPrEx>
          <w:tblCellMar>
            <w:left w:w="70" w:type="dxa"/>
            <w:right w:w="70" w:type="dxa"/>
          </w:tblCellMar>
        </w:tblPrEx>
        <w:tc>
          <w:tcPr>
            <w:tcW w:w="9568" w:type="dxa"/>
            <w:gridSpan w:val="5"/>
          </w:tcPr>
          <w:p w14:paraId="2B7E7028" w14:textId="400F9FC1" w:rsidR="006356D5" w:rsidRPr="00E56BA1" w:rsidRDefault="006356D5" w:rsidP="006356D5">
            <w:pPr>
              <w:pStyle w:val="zSoquijdatCabinetProcureurDem"/>
              <w:rPr>
                <w:lang w:val="en-CA"/>
              </w:rPr>
            </w:pPr>
          </w:p>
        </w:tc>
      </w:tr>
      <w:tr w:rsidR="006356D5" w:rsidRPr="00332B75" w14:paraId="5E7EB942" w14:textId="77777777" w:rsidTr="0002722E">
        <w:tblPrEx>
          <w:tblCellMar>
            <w:left w:w="70" w:type="dxa"/>
            <w:right w:w="70" w:type="dxa"/>
          </w:tblCellMar>
        </w:tblPrEx>
        <w:tc>
          <w:tcPr>
            <w:tcW w:w="9568" w:type="dxa"/>
            <w:gridSpan w:val="5"/>
          </w:tcPr>
          <w:p w14:paraId="472B2D89" w14:textId="32708CC6" w:rsidR="006356D5" w:rsidRPr="00E56BA1" w:rsidRDefault="006356D5" w:rsidP="006356D5">
            <w:pPr>
              <w:pStyle w:val="zSoquijlblProcureurDem"/>
              <w:rPr>
                <w:lang w:val="en-CA"/>
              </w:rPr>
            </w:pPr>
          </w:p>
        </w:tc>
      </w:tr>
      <w:tr w:rsidR="006356D5" w:rsidRPr="00332B75" w14:paraId="1C8ACB54" w14:textId="77777777" w:rsidTr="0002722E">
        <w:tblPrEx>
          <w:tblCellMar>
            <w:left w:w="70" w:type="dxa"/>
            <w:right w:w="70" w:type="dxa"/>
          </w:tblCellMar>
        </w:tblPrEx>
        <w:tc>
          <w:tcPr>
            <w:tcW w:w="9568" w:type="dxa"/>
            <w:gridSpan w:val="5"/>
          </w:tcPr>
          <w:p w14:paraId="3E9606AC" w14:textId="77777777" w:rsidR="006356D5" w:rsidRPr="00E56BA1" w:rsidRDefault="006356D5" w:rsidP="006356D5">
            <w:pPr>
              <w:rPr>
                <w:lang w:val="en-CA"/>
              </w:rPr>
            </w:pPr>
          </w:p>
        </w:tc>
      </w:tr>
      <w:tr w:rsidR="006356D5" w:rsidRPr="00332B75" w14:paraId="0D10476B" w14:textId="77777777" w:rsidTr="0002722E">
        <w:tblPrEx>
          <w:tblCellMar>
            <w:left w:w="70" w:type="dxa"/>
            <w:right w:w="70" w:type="dxa"/>
          </w:tblCellMar>
        </w:tblPrEx>
        <w:tc>
          <w:tcPr>
            <w:tcW w:w="9568" w:type="dxa"/>
            <w:gridSpan w:val="5"/>
          </w:tcPr>
          <w:p w14:paraId="13A71D00" w14:textId="77777777" w:rsidR="006356D5" w:rsidRPr="00E56BA1" w:rsidRDefault="006356D5" w:rsidP="006356D5">
            <w:pPr>
              <w:pStyle w:val="zSoquijlblProcureurDef"/>
              <w:rPr>
                <w:lang w:val="en-CA"/>
              </w:rPr>
            </w:pPr>
          </w:p>
        </w:tc>
      </w:tr>
      <w:tr w:rsidR="006356D5" w14:paraId="38D17796" w14:textId="77777777" w:rsidTr="002E14CF">
        <w:tblPrEx>
          <w:tblCellMar>
            <w:left w:w="70" w:type="dxa"/>
            <w:right w:w="70" w:type="dxa"/>
          </w:tblCellMar>
        </w:tblPrEx>
        <w:tc>
          <w:tcPr>
            <w:tcW w:w="2197" w:type="dxa"/>
            <w:gridSpan w:val="2"/>
          </w:tcPr>
          <w:p w14:paraId="4490931C" w14:textId="292E3444" w:rsidR="006356D5" w:rsidRDefault="006356D5" w:rsidP="006356D5">
            <w:pPr>
              <w:pStyle w:val="zSoquijlblDateAudience"/>
            </w:pPr>
            <w:r>
              <w:rPr>
                <w:lang w:val="en-CA"/>
              </w:rPr>
              <w:t>Hearing dates:</w:t>
            </w:r>
          </w:p>
        </w:tc>
        <w:tc>
          <w:tcPr>
            <w:tcW w:w="7371" w:type="dxa"/>
            <w:gridSpan w:val="3"/>
          </w:tcPr>
          <w:p w14:paraId="79687EB2" w14:textId="73D7A207" w:rsidR="006356D5" w:rsidRDefault="00B9785F" w:rsidP="006356D5">
            <w:pPr>
              <w:pStyle w:val="zSoquijdatDateAudience"/>
            </w:pPr>
            <w:r>
              <w:rPr>
                <w:lang w:val="en-CA"/>
              </w:rPr>
              <w:t>October 28 and November 7, 2022</w:t>
            </w:r>
          </w:p>
        </w:tc>
      </w:tr>
    </w:tbl>
    <w:p w14:paraId="56E59852" w14:textId="77777777" w:rsidR="00070D64" w:rsidRDefault="00070D64" w:rsidP="002523F4"/>
    <w:sectPr w:rsidR="00070D64">
      <w:headerReference w:type="default" r:id="rId8"/>
      <w:footerReference w:type="even" r:id="rId9"/>
      <w:footnotePr>
        <w:numRestart w:val="eachSect"/>
      </w:footnotePr>
      <w:pgSz w:w="12242" w:h="15842" w:code="1"/>
      <w:pgMar w:top="1440" w:right="1008" w:bottom="1440" w:left="1872" w:header="1440" w:footer="7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8A675" w14:textId="77777777" w:rsidR="008C3ED2" w:rsidRDefault="008C3ED2">
      <w:r>
        <w:separator/>
      </w:r>
    </w:p>
  </w:endnote>
  <w:endnote w:type="continuationSeparator" w:id="0">
    <w:p w14:paraId="46B785D1" w14:textId="77777777" w:rsidR="008C3ED2" w:rsidRDefault="008C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CA499" w14:textId="77777777" w:rsidR="00BC38AE" w:rsidRDefault="00BC38AE">
    <w:pPr>
      <w:framePr w:wrap="around" w:vAnchor="text" w:hAnchor="margin" w:xAlign="right" w:y="1"/>
    </w:pPr>
    <w:r>
      <w:rPr>
        <w:lang w:val="en-CA"/>
      </w:rPr>
      <w:fldChar w:fldCharType="begin"/>
    </w:r>
    <w:r>
      <w:rPr>
        <w:lang w:val="en-CA"/>
      </w:rPr>
      <w:instrText xml:space="preserve">PAGE  </w:instrText>
    </w:r>
    <w:r>
      <w:rPr>
        <w:lang w:val="en-CA"/>
      </w:rPr>
      <w:fldChar w:fldCharType="separate"/>
    </w:r>
    <w:r>
      <w:rPr>
        <w:noProof/>
        <w:lang w:val="en-CA"/>
      </w:rPr>
      <w:t>4</w:t>
    </w:r>
    <w:r>
      <w:rPr>
        <w:lang w:val="en-CA"/>
      </w:rPr>
      <w:fldChar w:fldCharType="end"/>
    </w:r>
  </w:p>
  <w:p w14:paraId="134362EB" w14:textId="77777777" w:rsidR="00BC38AE" w:rsidRDefault="00BC38AE">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A50C5" w14:textId="77777777" w:rsidR="008C3ED2" w:rsidRDefault="008C3ED2">
      <w:r>
        <w:separator/>
      </w:r>
    </w:p>
  </w:footnote>
  <w:footnote w:type="continuationSeparator" w:id="0">
    <w:p w14:paraId="5063E5F6" w14:textId="77777777" w:rsidR="008C3ED2" w:rsidRDefault="008C3ED2">
      <w:r>
        <w:continuationSeparator/>
      </w:r>
    </w:p>
  </w:footnote>
  <w:footnote w:id="1">
    <w:p w14:paraId="43A885B3" w14:textId="56EB7457" w:rsidR="002A1554" w:rsidRDefault="002A1554">
      <w:pPr>
        <w:pStyle w:val="Notedebasdepage"/>
      </w:pPr>
      <w:r>
        <w:rPr>
          <w:rStyle w:val="Appelnotedebasdep"/>
          <w:lang w:val="en-CA"/>
        </w:rPr>
        <w:footnoteRef/>
      </w:r>
      <w:r w:rsidRPr="00E56BA1">
        <w:t xml:space="preserve"> </w:t>
      </w:r>
      <w:r w:rsidRPr="00E56BA1">
        <w:tab/>
      </w:r>
      <w:r w:rsidRPr="00E56BA1">
        <w:rPr>
          <w:i/>
          <w:iCs/>
        </w:rPr>
        <w:t xml:space="preserve">Autorité des marchés financiers </w:t>
      </w:r>
      <w:r w:rsidRPr="00E56BA1">
        <w:t>v.</w:t>
      </w:r>
      <w:r w:rsidRPr="00E56BA1">
        <w:rPr>
          <w:i/>
          <w:iCs/>
        </w:rPr>
        <w:t xml:space="preserve"> </w:t>
      </w:r>
      <w:proofErr w:type="spellStart"/>
      <w:r w:rsidRPr="00E56BA1">
        <w:rPr>
          <w:i/>
          <w:iCs/>
        </w:rPr>
        <w:t>Timechain</w:t>
      </w:r>
      <w:proofErr w:type="spellEnd"/>
      <w:r w:rsidRPr="00E56BA1">
        <w:rPr>
          <w:i/>
          <w:iCs/>
        </w:rPr>
        <w:t xml:space="preserve"> Technologies Inc.</w:t>
      </w:r>
      <w:r w:rsidRPr="00E56BA1">
        <w:t xml:space="preserve">, 2022 QCTMF 36. </w:t>
      </w:r>
    </w:p>
  </w:footnote>
  <w:footnote w:id="2">
    <w:p w14:paraId="41DEA19A" w14:textId="183C6D5E" w:rsidR="007D4E45" w:rsidRPr="00E56BA1" w:rsidRDefault="007D4E45">
      <w:pPr>
        <w:pStyle w:val="Notedebasdepage"/>
        <w:rPr>
          <w:lang w:val="en-CA"/>
        </w:rPr>
      </w:pPr>
      <w:r>
        <w:rPr>
          <w:rStyle w:val="Appelnotedebasdep"/>
          <w:lang w:val="en-CA"/>
        </w:rPr>
        <w:footnoteRef/>
      </w:r>
      <w:r>
        <w:rPr>
          <w:lang w:val="en-CA"/>
        </w:rPr>
        <w:t xml:space="preserve"> </w:t>
      </w:r>
      <w:r>
        <w:rPr>
          <w:lang w:val="en-CA"/>
        </w:rPr>
        <w:tab/>
        <w:t>Corrected minutes of May 27, 2022.</w:t>
      </w:r>
    </w:p>
  </w:footnote>
  <w:footnote w:id="3">
    <w:p w14:paraId="191487E8" w14:textId="77777777" w:rsidR="00DA366B" w:rsidRPr="00E56BA1" w:rsidRDefault="00DA366B" w:rsidP="00DA366B">
      <w:pPr>
        <w:pStyle w:val="Notedebasdepage"/>
        <w:rPr>
          <w:lang w:val="en-CA"/>
        </w:rPr>
      </w:pPr>
      <w:r>
        <w:rPr>
          <w:rStyle w:val="Appelnotedebasdep"/>
          <w:lang w:val="en-CA"/>
        </w:rPr>
        <w:footnoteRef/>
      </w:r>
      <w:r>
        <w:rPr>
          <w:lang w:val="en-CA"/>
        </w:rPr>
        <w:t xml:space="preserve"> </w:t>
      </w:r>
      <w:r>
        <w:rPr>
          <w:lang w:val="en-CA"/>
        </w:rPr>
        <w:tab/>
        <w:t xml:space="preserve">Email dated June 2, </w:t>
      </w:r>
      <w:proofErr w:type="gramStart"/>
      <w:r>
        <w:rPr>
          <w:lang w:val="en-CA"/>
        </w:rPr>
        <w:t>2022</w:t>
      </w:r>
      <w:proofErr w:type="gramEnd"/>
      <w:r>
        <w:rPr>
          <w:lang w:val="en-CA"/>
        </w:rPr>
        <w:t xml:space="preserve"> from the Tribunal Secretariat.</w:t>
      </w:r>
    </w:p>
  </w:footnote>
  <w:footnote w:id="4">
    <w:p w14:paraId="371E8697" w14:textId="19690468" w:rsidR="001921A9" w:rsidRPr="00E56BA1" w:rsidRDefault="001921A9" w:rsidP="00EF649F">
      <w:pPr>
        <w:pStyle w:val="Paragraphe"/>
        <w:numPr>
          <w:ilvl w:val="0"/>
          <w:numId w:val="0"/>
        </w:numPr>
        <w:spacing w:before="0" w:after="0"/>
        <w:ind w:left="360" w:hanging="360"/>
        <w:rPr>
          <w:lang w:val="en-CA"/>
        </w:rPr>
      </w:pPr>
      <w:r>
        <w:rPr>
          <w:rStyle w:val="Appelnotedebasdep"/>
          <w:sz w:val="20"/>
          <w:szCs w:val="16"/>
          <w:lang w:val="en-CA"/>
        </w:rPr>
        <w:footnoteRef/>
      </w:r>
      <w:r>
        <w:rPr>
          <w:lang w:val="en-CA"/>
        </w:rPr>
        <w:t xml:space="preserve"> </w:t>
      </w:r>
      <w:r>
        <w:rPr>
          <w:lang w:val="en-CA"/>
        </w:rPr>
        <w:tab/>
      </w:r>
      <w:r>
        <w:rPr>
          <w:kern w:val="0"/>
          <w:sz w:val="20"/>
          <w:lang w:val="en-CA"/>
        </w:rPr>
        <w:t xml:space="preserve">CQLR, c E-6.1. It also appears in section 59 of the </w:t>
      </w:r>
      <w:r>
        <w:rPr>
          <w:i/>
          <w:iCs/>
          <w:kern w:val="0"/>
          <w:sz w:val="20"/>
          <w:lang w:val="en-CA"/>
        </w:rPr>
        <w:t xml:space="preserve">Rules of Procedure of the Financial Markets Administrative Tribunal </w:t>
      </w:r>
      <w:r>
        <w:rPr>
          <w:kern w:val="0"/>
          <w:sz w:val="20"/>
          <w:lang w:val="en-CA"/>
        </w:rPr>
        <w:t>(“Rules of Procedure of the Tribunal”), CQLR, c E-6.1, r 1</w:t>
      </w:r>
    </w:p>
  </w:footnote>
  <w:footnote w:id="5">
    <w:p w14:paraId="4A5F0995" w14:textId="2E91BFC6" w:rsidR="00A13297" w:rsidRPr="00E56BA1" w:rsidRDefault="00A13297">
      <w:pPr>
        <w:pStyle w:val="Notedebasdepage"/>
        <w:rPr>
          <w:lang w:val="en-CA"/>
        </w:rPr>
      </w:pPr>
      <w:r>
        <w:rPr>
          <w:rStyle w:val="Appelnotedebasdep"/>
          <w:lang w:val="en-CA"/>
        </w:rPr>
        <w:footnoteRef/>
      </w:r>
      <w:r>
        <w:rPr>
          <w:lang w:val="en-CA"/>
        </w:rPr>
        <w:t xml:space="preserve"> </w:t>
      </w:r>
      <w:r>
        <w:rPr>
          <w:lang w:val="en-CA"/>
        </w:rPr>
        <w:tab/>
        <w:t xml:space="preserve">Sections 115.7 and 115.8 of the </w:t>
      </w:r>
      <w:r>
        <w:rPr>
          <w:i/>
          <w:iCs/>
          <w:lang w:val="en-CA"/>
        </w:rPr>
        <w:t xml:space="preserve">Act respecting the regulation of the financial sector </w:t>
      </w:r>
      <w:r>
        <w:rPr>
          <w:lang w:val="en-CA"/>
        </w:rPr>
        <w:t>and sections 59 and 62 of the Tribunal’s Rules of Procedure.</w:t>
      </w:r>
    </w:p>
  </w:footnote>
  <w:footnote w:id="6">
    <w:p w14:paraId="444644BE" w14:textId="6105CFE0" w:rsidR="007C487D" w:rsidRPr="00E56BA1" w:rsidRDefault="007C487D">
      <w:pPr>
        <w:pStyle w:val="Notedebasdepage"/>
        <w:rPr>
          <w:lang w:val="en-CA"/>
        </w:rPr>
      </w:pPr>
      <w:r>
        <w:rPr>
          <w:rStyle w:val="Appelnotedebasdep"/>
          <w:lang w:val="en-CA"/>
        </w:rPr>
        <w:footnoteRef/>
      </w:r>
      <w:r>
        <w:rPr>
          <w:lang w:val="en-CA"/>
        </w:rPr>
        <w:t xml:space="preserve"> </w:t>
      </w:r>
      <w:r>
        <w:rPr>
          <w:lang w:val="en-CA"/>
        </w:rPr>
        <w:tab/>
        <w:t>Unless the right to restrict or limit open sittings is provided by law.</w:t>
      </w:r>
    </w:p>
  </w:footnote>
  <w:footnote w:id="7">
    <w:p w14:paraId="549666E0" w14:textId="6FD862A5" w:rsidR="007A2F38" w:rsidRPr="00E56BA1" w:rsidRDefault="007A2F38">
      <w:pPr>
        <w:pStyle w:val="Notedebasdepage"/>
        <w:rPr>
          <w:lang w:val="en-CA"/>
        </w:rPr>
      </w:pPr>
      <w:r>
        <w:rPr>
          <w:rStyle w:val="Appelnotedebasdep"/>
          <w:lang w:val="en-CA"/>
        </w:rPr>
        <w:footnoteRef/>
      </w:r>
      <w:r>
        <w:rPr>
          <w:lang w:val="en-CA"/>
        </w:rPr>
        <w:t xml:space="preserve"> </w:t>
      </w:r>
      <w:r>
        <w:rPr>
          <w:lang w:val="en-CA"/>
        </w:rPr>
        <w:tab/>
        <w:t xml:space="preserve">In particular, </w:t>
      </w:r>
      <w:proofErr w:type="gramStart"/>
      <w:r>
        <w:rPr>
          <w:lang w:val="en-CA"/>
        </w:rPr>
        <w:t>taking into account</w:t>
      </w:r>
      <w:proofErr w:type="gramEnd"/>
      <w:r>
        <w:rPr>
          <w:lang w:val="en-CA"/>
        </w:rPr>
        <w:t xml:space="preserve"> the lessons recently learned in </w:t>
      </w:r>
      <w:r>
        <w:rPr>
          <w:i/>
          <w:iCs/>
          <w:lang w:val="en-CA"/>
        </w:rPr>
        <w:t xml:space="preserve">Sherman Estate </w:t>
      </w:r>
      <w:r>
        <w:rPr>
          <w:lang w:val="en-CA"/>
        </w:rPr>
        <w:t xml:space="preserve">v. </w:t>
      </w:r>
      <w:r>
        <w:rPr>
          <w:i/>
          <w:iCs/>
          <w:lang w:val="en-CA"/>
        </w:rPr>
        <w:t>Donovan</w:t>
      </w:r>
      <w:r>
        <w:rPr>
          <w:lang w:val="en-CA"/>
        </w:rPr>
        <w:t>, 2021 SCC 25.</w:t>
      </w:r>
    </w:p>
  </w:footnote>
  <w:footnote w:id="8">
    <w:p w14:paraId="2D3348BB" w14:textId="77777777" w:rsidR="007B6A49" w:rsidRPr="00E56BA1" w:rsidRDefault="007B6A49" w:rsidP="007B6A49">
      <w:pPr>
        <w:pStyle w:val="Notedebasdepage"/>
        <w:rPr>
          <w:lang w:val="en-CA"/>
        </w:rPr>
      </w:pPr>
      <w:r>
        <w:rPr>
          <w:rStyle w:val="Appelnotedebasdep"/>
          <w:lang w:val="en-CA"/>
        </w:rPr>
        <w:footnoteRef/>
      </w:r>
      <w:r>
        <w:rPr>
          <w:lang w:val="en-CA"/>
        </w:rPr>
        <w:t xml:space="preserve"> </w:t>
      </w:r>
      <w:r>
        <w:rPr>
          <w:lang w:val="en-CA"/>
        </w:rPr>
        <w:tab/>
      </w:r>
      <w:bookmarkStart w:id="6" w:name="_Hlk120132966"/>
      <w:r>
        <w:rPr>
          <w:i/>
          <w:iCs/>
          <w:lang w:val="en-CA"/>
        </w:rPr>
        <w:t xml:space="preserve">Canadian Broadcasting Corporation </w:t>
      </w:r>
      <w:r>
        <w:rPr>
          <w:lang w:val="en-CA"/>
        </w:rPr>
        <w:t>v.</w:t>
      </w:r>
      <w:r>
        <w:rPr>
          <w:i/>
          <w:iCs/>
          <w:lang w:val="en-CA"/>
        </w:rPr>
        <w:t xml:space="preserve"> Manitoba</w:t>
      </w:r>
      <w:r>
        <w:rPr>
          <w:lang w:val="en-CA"/>
        </w:rPr>
        <w:t xml:space="preserve"> </w:t>
      </w:r>
      <w:bookmarkEnd w:id="6"/>
      <w:r>
        <w:rPr>
          <w:lang w:val="en-CA"/>
        </w:rPr>
        <w:t>2021 SCC 33.</w:t>
      </w:r>
    </w:p>
  </w:footnote>
  <w:footnote w:id="9">
    <w:p w14:paraId="294FB0D9" w14:textId="77777777" w:rsidR="00006CBC" w:rsidRDefault="00006CBC" w:rsidP="00006CBC">
      <w:pPr>
        <w:pStyle w:val="Notedebasdepage"/>
      </w:pPr>
      <w:r>
        <w:rPr>
          <w:rStyle w:val="Appelnotedebasdep"/>
          <w:lang w:val="en-CA"/>
        </w:rPr>
        <w:footnoteRef/>
      </w:r>
      <w:r w:rsidRPr="00E56BA1">
        <w:t xml:space="preserve"> </w:t>
      </w:r>
      <w:r w:rsidRPr="00E56BA1">
        <w:tab/>
        <w:t>2022 QCCS 935, para. 36.</w:t>
      </w:r>
    </w:p>
  </w:footnote>
  <w:footnote w:id="10">
    <w:p w14:paraId="6DB4FD95" w14:textId="419754D2" w:rsidR="00AB3141" w:rsidRPr="00E56BA1" w:rsidRDefault="00AB3141">
      <w:pPr>
        <w:pStyle w:val="Notedebasdepage"/>
        <w:rPr>
          <w:lang w:val="en-CA"/>
        </w:rPr>
      </w:pPr>
      <w:r>
        <w:rPr>
          <w:rStyle w:val="Appelnotedebasdep"/>
          <w:lang w:val="en-CA"/>
        </w:rPr>
        <w:footnoteRef/>
      </w:r>
      <w:r w:rsidRPr="00E56BA1">
        <w:t xml:space="preserve"> </w:t>
      </w:r>
      <w:r w:rsidRPr="00E56BA1">
        <w:tab/>
      </w:r>
      <w:r w:rsidRPr="00E56BA1">
        <w:rPr>
          <w:i/>
          <w:iCs/>
        </w:rPr>
        <w:t xml:space="preserve">Pop </w:t>
      </w:r>
      <w:r w:rsidRPr="00E56BA1">
        <w:t>v.</w:t>
      </w:r>
      <w:r w:rsidRPr="00E56BA1">
        <w:rPr>
          <w:i/>
          <w:iCs/>
        </w:rPr>
        <w:t xml:space="preserve"> Boulanger</w:t>
      </w:r>
      <w:r w:rsidRPr="00E56BA1">
        <w:t xml:space="preserve">, 2017 QCCA 1009, para. </w:t>
      </w:r>
      <w:r>
        <w:rPr>
          <w:lang w:val="en-CA"/>
        </w:rPr>
        <w:t>39</w:t>
      </w:r>
    </w:p>
  </w:footnote>
  <w:footnote w:id="11">
    <w:p w14:paraId="2D7E7113" w14:textId="7A07FBFC" w:rsidR="00632E15" w:rsidRPr="00E56BA1" w:rsidRDefault="00632E15">
      <w:pPr>
        <w:pStyle w:val="Notedebasdepage"/>
        <w:rPr>
          <w:lang w:val="en-CA"/>
        </w:rPr>
      </w:pPr>
      <w:r>
        <w:rPr>
          <w:rStyle w:val="Appelnotedebasdep"/>
          <w:lang w:val="en-CA"/>
        </w:rPr>
        <w:footnoteRef/>
      </w:r>
      <w:r>
        <w:rPr>
          <w:lang w:val="en-CA"/>
        </w:rPr>
        <w:t xml:space="preserve"> </w:t>
      </w:r>
      <w:r>
        <w:rPr>
          <w:lang w:val="en-CA"/>
        </w:rPr>
        <w:tab/>
        <w:t>This applies even though the Tribunal has the right to make such orders “</w:t>
      </w:r>
      <w:r>
        <w:rPr>
          <w:i/>
          <w:iCs/>
          <w:lang w:val="en-CA"/>
        </w:rPr>
        <w:t>ex officio</w:t>
      </w:r>
      <w:r>
        <w:rPr>
          <w:lang w:val="en-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1DB5A" w14:textId="67263DA5" w:rsidR="00BC38AE" w:rsidRDefault="00BC38AE">
    <w:pPr>
      <w:tabs>
        <w:tab w:val="center" w:pos="4709"/>
        <w:tab w:val="right" w:pos="9360"/>
      </w:tabs>
      <w:ind w:right="524"/>
    </w:pPr>
    <w:r>
      <w:rPr>
        <w:lang w:val="en-CA"/>
      </w:rPr>
      <w:t>2022-015-004</w:t>
    </w:r>
    <w:r>
      <w:rPr>
        <w:lang w:val="en-CA"/>
      </w:rPr>
      <w:tab/>
    </w:r>
    <w:r>
      <w:rPr>
        <w:lang w:val="en-CA"/>
      </w:rPr>
      <w:tab/>
      <w:t xml:space="preserve"> PAGE: </w:t>
    </w:r>
    <w:r>
      <w:rPr>
        <w:lang w:val="en-CA"/>
      </w:rPr>
      <w:fldChar w:fldCharType="begin"/>
    </w:r>
    <w:r>
      <w:rPr>
        <w:lang w:val="en-CA"/>
      </w:rPr>
      <w:instrText xml:space="preserve"> PAGE </w:instrText>
    </w:r>
    <w:r>
      <w:rPr>
        <w:lang w:val="en-CA"/>
      </w:rPr>
      <w:fldChar w:fldCharType="separate"/>
    </w:r>
    <w:r>
      <w:rPr>
        <w:noProof/>
        <w:lang w:val="en-CA"/>
      </w:rPr>
      <w:t>3</w:t>
    </w:r>
    <w:r>
      <w:rPr>
        <w:lang w:val="en-CA"/>
      </w:rPr>
      <w:fldChar w:fldCharType="end"/>
    </w:r>
  </w:p>
  <w:p w14:paraId="3A691317" w14:textId="77777777" w:rsidR="00BC38AE" w:rsidRDefault="00BC38AE">
    <w:pPr>
      <w:tabs>
        <w:tab w:val="center" w:pos="4709"/>
        <w:tab w:val="right" w:pos="9090"/>
      </w:tabs>
      <w:ind w:right="524"/>
    </w:pPr>
  </w:p>
  <w:p w14:paraId="6C0E3BE2" w14:textId="77777777" w:rsidR="00BC38AE" w:rsidRDefault="00BC38AE">
    <w:pPr>
      <w:tabs>
        <w:tab w:val="center" w:pos="4709"/>
        <w:tab w:val="right" w:pos="9090"/>
      </w:tabs>
      <w:ind w:right="52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F2C9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F652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C2CB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75477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A28E7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5927B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0C5F9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51CC2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A8F9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CA23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C6FFE"/>
    <w:multiLevelType w:val="hybridMultilevel"/>
    <w:tmpl w:val="76E26208"/>
    <w:lvl w:ilvl="0" w:tplc="0C0C000F">
      <w:start w:val="1"/>
      <w:numFmt w:val="decimal"/>
      <w:lvlText w:val="%1."/>
      <w:lvlJc w:val="left"/>
      <w:pPr>
        <w:ind w:left="360" w:hanging="360"/>
      </w:pPr>
    </w:lvl>
    <w:lvl w:ilvl="1" w:tplc="0C0C0017">
      <w:start w:val="1"/>
      <w:numFmt w:val="lowerLetter"/>
      <w:lvlText w:val="%2)"/>
      <w:lvlJc w:val="left"/>
      <w:pPr>
        <w:ind w:left="1080" w:hanging="360"/>
      </w:pPr>
    </w:lvl>
    <w:lvl w:ilvl="2" w:tplc="2D3A8488">
      <w:start w:val="1850"/>
      <w:numFmt w:val="bullet"/>
      <w:lvlText w:val="-"/>
      <w:lvlJc w:val="left"/>
      <w:pPr>
        <w:ind w:left="1980" w:hanging="360"/>
      </w:pPr>
      <w:rPr>
        <w:rFonts w:ascii="Arial" w:eastAsiaTheme="minorHAnsi" w:hAnsi="Arial" w:cs="Arial" w:hint="default"/>
      </w:r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1" w15:restartNumberingAfterBreak="0">
    <w:nsid w:val="07B72AE4"/>
    <w:multiLevelType w:val="hybridMultilevel"/>
    <w:tmpl w:val="C9E61B2E"/>
    <w:lvl w:ilvl="0" w:tplc="31389F90">
      <w:start w:val="1"/>
      <w:numFmt w:val="decimal"/>
      <w:pStyle w:val="Paragraphedeliste"/>
      <w:lvlText w:val="%1."/>
      <w:lvlJc w:val="left"/>
      <w:pPr>
        <w:ind w:left="107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2" w15:restartNumberingAfterBreak="0">
    <w:nsid w:val="1053643E"/>
    <w:multiLevelType w:val="hybridMultilevel"/>
    <w:tmpl w:val="B992CE96"/>
    <w:lvl w:ilvl="0" w:tplc="040C0001">
      <w:start w:val="1"/>
      <w:numFmt w:val="bullet"/>
      <w:lvlText w:val=""/>
      <w:lvlJc w:val="left"/>
      <w:pPr>
        <w:ind w:left="790" w:hanging="360"/>
      </w:pPr>
      <w:rPr>
        <w:rFonts w:ascii="Symbol" w:hAnsi="Symbol" w:hint="default"/>
      </w:rPr>
    </w:lvl>
    <w:lvl w:ilvl="1" w:tplc="0C0C0003" w:tentative="1">
      <w:start w:val="1"/>
      <w:numFmt w:val="bullet"/>
      <w:lvlText w:val="o"/>
      <w:lvlJc w:val="left"/>
      <w:pPr>
        <w:ind w:left="1510" w:hanging="360"/>
      </w:pPr>
      <w:rPr>
        <w:rFonts w:ascii="Courier New" w:hAnsi="Courier New" w:cs="Courier New" w:hint="default"/>
      </w:rPr>
    </w:lvl>
    <w:lvl w:ilvl="2" w:tplc="0C0C0005" w:tentative="1">
      <w:start w:val="1"/>
      <w:numFmt w:val="bullet"/>
      <w:lvlText w:val=""/>
      <w:lvlJc w:val="left"/>
      <w:pPr>
        <w:ind w:left="2230" w:hanging="360"/>
      </w:pPr>
      <w:rPr>
        <w:rFonts w:ascii="Wingdings" w:hAnsi="Wingdings" w:hint="default"/>
      </w:rPr>
    </w:lvl>
    <w:lvl w:ilvl="3" w:tplc="0C0C0001" w:tentative="1">
      <w:start w:val="1"/>
      <w:numFmt w:val="bullet"/>
      <w:lvlText w:val=""/>
      <w:lvlJc w:val="left"/>
      <w:pPr>
        <w:ind w:left="2950" w:hanging="360"/>
      </w:pPr>
      <w:rPr>
        <w:rFonts w:ascii="Symbol" w:hAnsi="Symbol" w:hint="default"/>
      </w:rPr>
    </w:lvl>
    <w:lvl w:ilvl="4" w:tplc="0C0C0003" w:tentative="1">
      <w:start w:val="1"/>
      <w:numFmt w:val="bullet"/>
      <w:lvlText w:val="o"/>
      <w:lvlJc w:val="left"/>
      <w:pPr>
        <w:ind w:left="3670" w:hanging="360"/>
      </w:pPr>
      <w:rPr>
        <w:rFonts w:ascii="Courier New" w:hAnsi="Courier New" w:cs="Courier New" w:hint="default"/>
      </w:rPr>
    </w:lvl>
    <w:lvl w:ilvl="5" w:tplc="0C0C0005" w:tentative="1">
      <w:start w:val="1"/>
      <w:numFmt w:val="bullet"/>
      <w:lvlText w:val=""/>
      <w:lvlJc w:val="left"/>
      <w:pPr>
        <w:ind w:left="4390" w:hanging="360"/>
      </w:pPr>
      <w:rPr>
        <w:rFonts w:ascii="Wingdings" w:hAnsi="Wingdings" w:hint="default"/>
      </w:rPr>
    </w:lvl>
    <w:lvl w:ilvl="6" w:tplc="0C0C0001" w:tentative="1">
      <w:start w:val="1"/>
      <w:numFmt w:val="bullet"/>
      <w:lvlText w:val=""/>
      <w:lvlJc w:val="left"/>
      <w:pPr>
        <w:ind w:left="5110" w:hanging="360"/>
      </w:pPr>
      <w:rPr>
        <w:rFonts w:ascii="Symbol" w:hAnsi="Symbol" w:hint="default"/>
      </w:rPr>
    </w:lvl>
    <w:lvl w:ilvl="7" w:tplc="0C0C0003" w:tentative="1">
      <w:start w:val="1"/>
      <w:numFmt w:val="bullet"/>
      <w:lvlText w:val="o"/>
      <w:lvlJc w:val="left"/>
      <w:pPr>
        <w:ind w:left="5830" w:hanging="360"/>
      </w:pPr>
      <w:rPr>
        <w:rFonts w:ascii="Courier New" w:hAnsi="Courier New" w:cs="Courier New" w:hint="default"/>
      </w:rPr>
    </w:lvl>
    <w:lvl w:ilvl="8" w:tplc="0C0C0005" w:tentative="1">
      <w:start w:val="1"/>
      <w:numFmt w:val="bullet"/>
      <w:lvlText w:val=""/>
      <w:lvlJc w:val="left"/>
      <w:pPr>
        <w:ind w:left="6550" w:hanging="360"/>
      </w:pPr>
      <w:rPr>
        <w:rFonts w:ascii="Wingdings" w:hAnsi="Wingdings" w:hint="default"/>
      </w:rPr>
    </w:lvl>
  </w:abstractNum>
  <w:abstractNum w:abstractNumId="13" w15:restartNumberingAfterBreak="0">
    <w:nsid w:val="1CA765BB"/>
    <w:multiLevelType w:val="hybridMultilevel"/>
    <w:tmpl w:val="0F405D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72B4D10"/>
    <w:multiLevelType w:val="hybridMultilevel"/>
    <w:tmpl w:val="A4A86AEC"/>
    <w:lvl w:ilvl="0" w:tplc="C81A0A1E">
      <w:start w:val="1"/>
      <w:numFmt w:val="decimal"/>
      <w:lvlText w:val="%1-"/>
      <w:lvlJc w:val="left"/>
      <w:pPr>
        <w:ind w:left="720" w:hanging="360"/>
      </w:pPr>
      <w:rPr>
        <w:rFonts w:cs="Times New Roman" w:hint="default"/>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2F8422B1"/>
    <w:multiLevelType w:val="hybridMultilevel"/>
    <w:tmpl w:val="32CE9530"/>
    <w:lvl w:ilvl="0" w:tplc="04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08923E1"/>
    <w:multiLevelType w:val="hybridMultilevel"/>
    <w:tmpl w:val="726873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2D002F3"/>
    <w:multiLevelType w:val="hybridMultilevel"/>
    <w:tmpl w:val="BE929C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A710EC6"/>
    <w:multiLevelType w:val="hybridMultilevel"/>
    <w:tmpl w:val="A4A86AEC"/>
    <w:lvl w:ilvl="0" w:tplc="FFFFFFFF">
      <w:start w:val="1"/>
      <w:numFmt w:val="decimal"/>
      <w:lvlText w:val="%1-"/>
      <w:lvlJc w:val="left"/>
      <w:pPr>
        <w:ind w:left="720" w:hanging="360"/>
      </w:pPr>
      <w:rPr>
        <w:rFonts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B083D80"/>
    <w:multiLevelType w:val="hybridMultilevel"/>
    <w:tmpl w:val="E5C68DF8"/>
    <w:lvl w:ilvl="0" w:tplc="B6EC0A8A">
      <w:start w:val="1"/>
      <w:numFmt w:val="decimal"/>
      <w:lvlText w:val="%1."/>
      <w:lvlJc w:val="center"/>
      <w:pPr>
        <w:ind w:left="720" w:hanging="360"/>
      </w:pPr>
      <w:rPr>
        <w:rFont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B8156A2"/>
    <w:multiLevelType w:val="hybridMultilevel"/>
    <w:tmpl w:val="ADB68C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09C0DCC"/>
    <w:multiLevelType w:val="multilevel"/>
    <w:tmpl w:val="078E11EA"/>
    <w:lvl w:ilvl="0">
      <w:start w:val="1"/>
      <w:numFmt w:val="decimal"/>
      <w:pStyle w:val="Paragraphe"/>
      <w:lvlText w:val="[%1]"/>
      <w:lvlJc w:val="left"/>
      <w:pPr>
        <w:tabs>
          <w:tab w:val="num" w:pos="360"/>
        </w:tabs>
        <w:ind w:left="0" w:firstLine="0"/>
      </w:pPr>
      <w:rPr>
        <w:rFonts w:ascii="Arial" w:hAnsi="Arial" w:hint="default"/>
        <w:b w:val="0"/>
        <w:i w:val="0"/>
        <w:sz w:val="24"/>
      </w:rPr>
    </w:lvl>
    <w:lvl w:ilvl="1">
      <w:start w:val="1"/>
      <w:numFmt w:val="decimal"/>
      <w:pStyle w:val="Sous-paragraphe"/>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62797C4B"/>
    <w:multiLevelType w:val="hybridMultilevel"/>
    <w:tmpl w:val="2A02E0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2843572"/>
    <w:multiLevelType w:val="hybridMultilevel"/>
    <w:tmpl w:val="06F413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3951A97"/>
    <w:multiLevelType w:val="hybridMultilevel"/>
    <w:tmpl w:val="C3DE9CE2"/>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6B4C0E23"/>
    <w:multiLevelType w:val="hybridMultilevel"/>
    <w:tmpl w:val="0B760C18"/>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6FEA3610"/>
    <w:multiLevelType w:val="hybridMultilevel"/>
    <w:tmpl w:val="8A2428E4"/>
    <w:lvl w:ilvl="0" w:tplc="04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71730EBF"/>
    <w:multiLevelType w:val="hybridMultilevel"/>
    <w:tmpl w:val="C116E270"/>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73A30182"/>
    <w:multiLevelType w:val="hybridMultilevel"/>
    <w:tmpl w:val="0D0AB1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3F670B7"/>
    <w:multiLevelType w:val="hybridMultilevel"/>
    <w:tmpl w:val="FB5216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92828023">
    <w:abstractNumId w:val="21"/>
  </w:num>
  <w:num w:numId="2" w16cid:durableId="1370181770">
    <w:abstractNumId w:val="21"/>
  </w:num>
  <w:num w:numId="3" w16cid:durableId="2134980539">
    <w:abstractNumId w:val="21"/>
  </w:num>
  <w:num w:numId="4" w16cid:durableId="512693757">
    <w:abstractNumId w:val="8"/>
  </w:num>
  <w:num w:numId="5" w16cid:durableId="1850678271">
    <w:abstractNumId w:val="3"/>
  </w:num>
  <w:num w:numId="6" w16cid:durableId="1427113550">
    <w:abstractNumId w:val="2"/>
  </w:num>
  <w:num w:numId="7" w16cid:durableId="2091198879">
    <w:abstractNumId w:val="1"/>
  </w:num>
  <w:num w:numId="8" w16cid:durableId="1194608862">
    <w:abstractNumId w:val="0"/>
  </w:num>
  <w:num w:numId="9" w16cid:durableId="1206329580">
    <w:abstractNumId w:val="9"/>
  </w:num>
  <w:num w:numId="10" w16cid:durableId="1535653904">
    <w:abstractNumId w:val="7"/>
  </w:num>
  <w:num w:numId="11" w16cid:durableId="1318261770">
    <w:abstractNumId w:val="6"/>
  </w:num>
  <w:num w:numId="12" w16cid:durableId="1160149735">
    <w:abstractNumId w:val="5"/>
  </w:num>
  <w:num w:numId="13" w16cid:durableId="160312846">
    <w:abstractNumId w:val="4"/>
  </w:num>
  <w:num w:numId="14" w16cid:durableId="10955146">
    <w:abstractNumId w:val="19"/>
  </w:num>
  <w:num w:numId="15" w16cid:durableId="1473137887">
    <w:abstractNumId w:val="29"/>
  </w:num>
  <w:num w:numId="16" w16cid:durableId="993411374">
    <w:abstractNumId w:val="11"/>
  </w:num>
  <w:num w:numId="17" w16cid:durableId="358552298">
    <w:abstractNumId w:val="21"/>
  </w:num>
  <w:num w:numId="18" w16cid:durableId="698047450">
    <w:abstractNumId w:val="21"/>
  </w:num>
  <w:num w:numId="19" w16cid:durableId="1546525749">
    <w:abstractNumId w:val="21"/>
  </w:num>
  <w:num w:numId="20" w16cid:durableId="1068303676">
    <w:abstractNumId w:val="10"/>
  </w:num>
  <w:num w:numId="21" w16cid:durableId="76441378">
    <w:abstractNumId w:val="27"/>
  </w:num>
  <w:num w:numId="22" w16cid:durableId="814183539">
    <w:abstractNumId w:val="25"/>
  </w:num>
  <w:num w:numId="23" w16cid:durableId="1765806211">
    <w:abstractNumId w:val="13"/>
  </w:num>
  <w:num w:numId="24" w16cid:durableId="26222904">
    <w:abstractNumId w:val="16"/>
  </w:num>
  <w:num w:numId="25" w16cid:durableId="725111008">
    <w:abstractNumId w:val="20"/>
  </w:num>
  <w:num w:numId="26" w16cid:durableId="1328751074">
    <w:abstractNumId w:val="23"/>
  </w:num>
  <w:num w:numId="27" w16cid:durableId="1493331182">
    <w:abstractNumId w:val="17"/>
  </w:num>
  <w:num w:numId="28" w16cid:durableId="1372464368">
    <w:abstractNumId w:val="22"/>
  </w:num>
  <w:num w:numId="29" w16cid:durableId="131337517">
    <w:abstractNumId w:val="28"/>
  </w:num>
  <w:num w:numId="30" w16cid:durableId="768233488">
    <w:abstractNumId w:val="24"/>
  </w:num>
  <w:num w:numId="31" w16cid:durableId="1026253180">
    <w:abstractNumId w:val="21"/>
  </w:num>
  <w:num w:numId="32" w16cid:durableId="1805657491">
    <w:abstractNumId w:val="14"/>
  </w:num>
  <w:num w:numId="33" w16cid:durableId="814955342">
    <w:abstractNumId w:val="21"/>
  </w:num>
  <w:num w:numId="34" w16cid:durableId="2131239353">
    <w:abstractNumId w:val="18"/>
  </w:num>
  <w:num w:numId="35" w16cid:durableId="2140606959">
    <w:abstractNumId w:val="21"/>
  </w:num>
  <w:num w:numId="36" w16cid:durableId="1457918019">
    <w:abstractNumId w:val="21"/>
  </w:num>
  <w:num w:numId="37" w16cid:durableId="1559709504">
    <w:abstractNumId w:val="21"/>
  </w:num>
  <w:num w:numId="38" w16cid:durableId="1813281513">
    <w:abstractNumId w:val="21"/>
  </w:num>
  <w:num w:numId="39" w16cid:durableId="396710364">
    <w:abstractNumId w:val="21"/>
  </w:num>
  <w:num w:numId="40" w16cid:durableId="1684354535">
    <w:abstractNumId w:val="15"/>
  </w:num>
  <w:num w:numId="41" w16cid:durableId="1677263174">
    <w:abstractNumId w:val="21"/>
  </w:num>
  <w:num w:numId="42" w16cid:durableId="1649556863">
    <w:abstractNumId w:val="21"/>
  </w:num>
  <w:num w:numId="43" w16cid:durableId="581375601">
    <w:abstractNumId w:val="21"/>
  </w:num>
  <w:num w:numId="44" w16cid:durableId="1020008882">
    <w:abstractNumId w:val="26"/>
  </w:num>
  <w:num w:numId="45" w16cid:durableId="472674766">
    <w:abstractNumId w:val="21"/>
  </w:num>
  <w:num w:numId="46" w16cid:durableId="1143422463">
    <w:abstractNumId w:val="12"/>
  </w:num>
  <w:num w:numId="47" w16cid:durableId="166479781">
    <w:abstractNumId w:val="21"/>
  </w:num>
  <w:num w:numId="48" w16cid:durableId="673261145">
    <w:abstractNumId w:val="21"/>
  </w:num>
  <w:num w:numId="49" w16cid:durableId="1196231267">
    <w:abstractNumId w:val="21"/>
  </w:num>
  <w:num w:numId="50" w16cid:durableId="1974482077">
    <w:abstractNumId w:val="21"/>
  </w:num>
  <w:num w:numId="51" w16cid:durableId="1035157783">
    <w:abstractNumId w:val="21"/>
  </w:num>
  <w:num w:numId="52" w16cid:durableId="410858588">
    <w:abstractNumId w:val="21"/>
  </w:num>
  <w:num w:numId="53" w16cid:durableId="369035341">
    <w:abstractNumId w:val="21"/>
  </w:num>
  <w:num w:numId="54" w16cid:durableId="660695031">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E45"/>
    <w:rsid w:val="00003619"/>
    <w:rsid w:val="00004595"/>
    <w:rsid w:val="000045EE"/>
    <w:rsid w:val="00006A7D"/>
    <w:rsid w:val="00006CBC"/>
    <w:rsid w:val="000076E2"/>
    <w:rsid w:val="00007A43"/>
    <w:rsid w:val="00007D28"/>
    <w:rsid w:val="00015AF0"/>
    <w:rsid w:val="0001707E"/>
    <w:rsid w:val="00017E63"/>
    <w:rsid w:val="000230CA"/>
    <w:rsid w:val="00023C94"/>
    <w:rsid w:val="00024B03"/>
    <w:rsid w:val="00025B4C"/>
    <w:rsid w:val="0002722E"/>
    <w:rsid w:val="000300EA"/>
    <w:rsid w:val="000357A1"/>
    <w:rsid w:val="00037C9D"/>
    <w:rsid w:val="00041EA2"/>
    <w:rsid w:val="00047E62"/>
    <w:rsid w:val="000504E5"/>
    <w:rsid w:val="000510FE"/>
    <w:rsid w:val="00051C29"/>
    <w:rsid w:val="0005293D"/>
    <w:rsid w:val="00052F42"/>
    <w:rsid w:val="0005625B"/>
    <w:rsid w:val="00057C7B"/>
    <w:rsid w:val="000617DC"/>
    <w:rsid w:val="00064915"/>
    <w:rsid w:val="00065A33"/>
    <w:rsid w:val="00066FB2"/>
    <w:rsid w:val="000706E9"/>
    <w:rsid w:val="00070D1D"/>
    <w:rsid w:val="00070D64"/>
    <w:rsid w:val="00077161"/>
    <w:rsid w:val="00081831"/>
    <w:rsid w:val="00081859"/>
    <w:rsid w:val="00083532"/>
    <w:rsid w:val="00084B49"/>
    <w:rsid w:val="000949D6"/>
    <w:rsid w:val="000951FB"/>
    <w:rsid w:val="000976EC"/>
    <w:rsid w:val="000A31A7"/>
    <w:rsid w:val="000A4BEF"/>
    <w:rsid w:val="000A5ACA"/>
    <w:rsid w:val="000A5B9A"/>
    <w:rsid w:val="000A7378"/>
    <w:rsid w:val="000A7582"/>
    <w:rsid w:val="000A7B1F"/>
    <w:rsid w:val="000C11A2"/>
    <w:rsid w:val="000C2FEA"/>
    <w:rsid w:val="000C3E8F"/>
    <w:rsid w:val="000C4038"/>
    <w:rsid w:val="000D0989"/>
    <w:rsid w:val="000D170C"/>
    <w:rsid w:val="000D2FD5"/>
    <w:rsid w:val="000D4EFE"/>
    <w:rsid w:val="000E0DB3"/>
    <w:rsid w:val="000E3414"/>
    <w:rsid w:val="000E5610"/>
    <w:rsid w:val="000F0051"/>
    <w:rsid w:val="000F1FA0"/>
    <w:rsid w:val="000F27AC"/>
    <w:rsid w:val="000F437E"/>
    <w:rsid w:val="000F6CBA"/>
    <w:rsid w:val="00100225"/>
    <w:rsid w:val="0010326D"/>
    <w:rsid w:val="00105E97"/>
    <w:rsid w:val="0010760D"/>
    <w:rsid w:val="001104BE"/>
    <w:rsid w:val="0011280F"/>
    <w:rsid w:val="00113890"/>
    <w:rsid w:val="00116313"/>
    <w:rsid w:val="00117D82"/>
    <w:rsid w:val="001245C5"/>
    <w:rsid w:val="00124878"/>
    <w:rsid w:val="00135FF6"/>
    <w:rsid w:val="001415E2"/>
    <w:rsid w:val="00141C71"/>
    <w:rsid w:val="0014576E"/>
    <w:rsid w:val="00152367"/>
    <w:rsid w:val="00153828"/>
    <w:rsid w:val="00154C9C"/>
    <w:rsid w:val="00155075"/>
    <w:rsid w:val="00155C60"/>
    <w:rsid w:val="00156369"/>
    <w:rsid w:val="0016105D"/>
    <w:rsid w:val="00164ACD"/>
    <w:rsid w:val="001711B5"/>
    <w:rsid w:val="00171BD5"/>
    <w:rsid w:val="00171F83"/>
    <w:rsid w:val="00175C70"/>
    <w:rsid w:val="00176703"/>
    <w:rsid w:val="00182A6B"/>
    <w:rsid w:val="00190014"/>
    <w:rsid w:val="00191C9C"/>
    <w:rsid w:val="001921A9"/>
    <w:rsid w:val="0019592A"/>
    <w:rsid w:val="00195C0F"/>
    <w:rsid w:val="00196552"/>
    <w:rsid w:val="00196BC4"/>
    <w:rsid w:val="001A23BA"/>
    <w:rsid w:val="001A5CF3"/>
    <w:rsid w:val="001B00C0"/>
    <w:rsid w:val="001B698B"/>
    <w:rsid w:val="001B78C4"/>
    <w:rsid w:val="001C3B8B"/>
    <w:rsid w:val="001C6069"/>
    <w:rsid w:val="001D082D"/>
    <w:rsid w:val="001D27BB"/>
    <w:rsid w:val="001D374E"/>
    <w:rsid w:val="001E7011"/>
    <w:rsid w:val="001F1AF8"/>
    <w:rsid w:val="001F5DC5"/>
    <w:rsid w:val="001F5F59"/>
    <w:rsid w:val="001F6CF5"/>
    <w:rsid w:val="00200983"/>
    <w:rsid w:val="00201308"/>
    <w:rsid w:val="00202987"/>
    <w:rsid w:val="0020341D"/>
    <w:rsid w:val="002034D3"/>
    <w:rsid w:val="00204062"/>
    <w:rsid w:val="0021245A"/>
    <w:rsid w:val="00217C8B"/>
    <w:rsid w:val="00221E84"/>
    <w:rsid w:val="002220D7"/>
    <w:rsid w:val="002225DA"/>
    <w:rsid w:val="00223768"/>
    <w:rsid w:val="00227B1D"/>
    <w:rsid w:val="00227DD0"/>
    <w:rsid w:val="002320B7"/>
    <w:rsid w:val="00235039"/>
    <w:rsid w:val="0023779B"/>
    <w:rsid w:val="002433CD"/>
    <w:rsid w:val="00246AF4"/>
    <w:rsid w:val="00247C46"/>
    <w:rsid w:val="00247D9A"/>
    <w:rsid w:val="002523F4"/>
    <w:rsid w:val="00252BB4"/>
    <w:rsid w:val="00255BE5"/>
    <w:rsid w:val="00261A3E"/>
    <w:rsid w:val="00263872"/>
    <w:rsid w:val="002652A8"/>
    <w:rsid w:val="0026738D"/>
    <w:rsid w:val="0027278C"/>
    <w:rsid w:val="00273719"/>
    <w:rsid w:val="00275202"/>
    <w:rsid w:val="002769A5"/>
    <w:rsid w:val="00277751"/>
    <w:rsid w:val="00281616"/>
    <w:rsid w:val="00283C13"/>
    <w:rsid w:val="00287C3B"/>
    <w:rsid w:val="00290CBE"/>
    <w:rsid w:val="00293382"/>
    <w:rsid w:val="00294524"/>
    <w:rsid w:val="00294E80"/>
    <w:rsid w:val="002A0100"/>
    <w:rsid w:val="002A1554"/>
    <w:rsid w:val="002A21F9"/>
    <w:rsid w:val="002A2532"/>
    <w:rsid w:val="002A3098"/>
    <w:rsid w:val="002B02A3"/>
    <w:rsid w:val="002B0FA0"/>
    <w:rsid w:val="002B1081"/>
    <w:rsid w:val="002B19B5"/>
    <w:rsid w:val="002B1F19"/>
    <w:rsid w:val="002C1213"/>
    <w:rsid w:val="002C2FA0"/>
    <w:rsid w:val="002C4CAC"/>
    <w:rsid w:val="002C52E9"/>
    <w:rsid w:val="002D4E69"/>
    <w:rsid w:val="002D7B9E"/>
    <w:rsid w:val="002E14CF"/>
    <w:rsid w:val="002E46B3"/>
    <w:rsid w:val="002F0C3A"/>
    <w:rsid w:val="002F0FAF"/>
    <w:rsid w:val="002F27FA"/>
    <w:rsid w:val="002F2986"/>
    <w:rsid w:val="002F34CB"/>
    <w:rsid w:val="002F52F5"/>
    <w:rsid w:val="003011F3"/>
    <w:rsid w:val="0031168C"/>
    <w:rsid w:val="00314537"/>
    <w:rsid w:val="003164D9"/>
    <w:rsid w:val="003168A0"/>
    <w:rsid w:val="003177F3"/>
    <w:rsid w:val="00321FEB"/>
    <w:rsid w:val="00332B75"/>
    <w:rsid w:val="003349A0"/>
    <w:rsid w:val="00335181"/>
    <w:rsid w:val="00337696"/>
    <w:rsid w:val="003434B4"/>
    <w:rsid w:val="00344099"/>
    <w:rsid w:val="00350FF9"/>
    <w:rsid w:val="003531AE"/>
    <w:rsid w:val="0035335B"/>
    <w:rsid w:val="00353530"/>
    <w:rsid w:val="00356420"/>
    <w:rsid w:val="00360F42"/>
    <w:rsid w:val="00363CC0"/>
    <w:rsid w:val="00372E95"/>
    <w:rsid w:val="003730EE"/>
    <w:rsid w:val="00374872"/>
    <w:rsid w:val="00374AC6"/>
    <w:rsid w:val="003755E5"/>
    <w:rsid w:val="00376EF8"/>
    <w:rsid w:val="00377264"/>
    <w:rsid w:val="00377F7E"/>
    <w:rsid w:val="00380F5E"/>
    <w:rsid w:val="003813B4"/>
    <w:rsid w:val="003833EF"/>
    <w:rsid w:val="00387817"/>
    <w:rsid w:val="00396972"/>
    <w:rsid w:val="00397850"/>
    <w:rsid w:val="003A0662"/>
    <w:rsid w:val="003A0CDB"/>
    <w:rsid w:val="003A1319"/>
    <w:rsid w:val="003A168A"/>
    <w:rsid w:val="003A2392"/>
    <w:rsid w:val="003A2E23"/>
    <w:rsid w:val="003B32E1"/>
    <w:rsid w:val="003B3888"/>
    <w:rsid w:val="003B44CB"/>
    <w:rsid w:val="003B46BF"/>
    <w:rsid w:val="003B4D55"/>
    <w:rsid w:val="003B4DCE"/>
    <w:rsid w:val="003B5078"/>
    <w:rsid w:val="003B7D9A"/>
    <w:rsid w:val="003C08F9"/>
    <w:rsid w:val="003D3FFE"/>
    <w:rsid w:val="003D49AD"/>
    <w:rsid w:val="003D4F67"/>
    <w:rsid w:val="003D581B"/>
    <w:rsid w:val="003D66D9"/>
    <w:rsid w:val="003E4520"/>
    <w:rsid w:val="003E5A6D"/>
    <w:rsid w:val="003F05F5"/>
    <w:rsid w:val="003F186A"/>
    <w:rsid w:val="003F19A6"/>
    <w:rsid w:val="003F3C31"/>
    <w:rsid w:val="003F3D4B"/>
    <w:rsid w:val="003F713E"/>
    <w:rsid w:val="004000F0"/>
    <w:rsid w:val="004020E1"/>
    <w:rsid w:val="0040446F"/>
    <w:rsid w:val="00405439"/>
    <w:rsid w:val="00410B98"/>
    <w:rsid w:val="00411998"/>
    <w:rsid w:val="004125E4"/>
    <w:rsid w:val="00415DCB"/>
    <w:rsid w:val="00417C84"/>
    <w:rsid w:val="00421F0F"/>
    <w:rsid w:val="004231D9"/>
    <w:rsid w:val="00432F3E"/>
    <w:rsid w:val="00434B13"/>
    <w:rsid w:val="004352D0"/>
    <w:rsid w:val="00442194"/>
    <w:rsid w:val="00445069"/>
    <w:rsid w:val="00447E93"/>
    <w:rsid w:val="00451D67"/>
    <w:rsid w:val="00454582"/>
    <w:rsid w:val="00456358"/>
    <w:rsid w:val="0045774B"/>
    <w:rsid w:val="00460EB3"/>
    <w:rsid w:val="00461D2E"/>
    <w:rsid w:val="004638B4"/>
    <w:rsid w:val="00463A2A"/>
    <w:rsid w:val="00464CF1"/>
    <w:rsid w:val="0046775E"/>
    <w:rsid w:val="00470299"/>
    <w:rsid w:val="0047082E"/>
    <w:rsid w:val="00472AF6"/>
    <w:rsid w:val="0047532E"/>
    <w:rsid w:val="00477AED"/>
    <w:rsid w:val="0048189B"/>
    <w:rsid w:val="0048223A"/>
    <w:rsid w:val="00487550"/>
    <w:rsid w:val="00487F4A"/>
    <w:rsid w:val="0049156B"/>
    <w:rsid w:val="004A1B32"/>
    <w:rsid w:val="004A3882"/>
    <w:rsid w:val="004A4A51"/>
    <w:rsid w:val="004B1035"/>
    <w:rsid w:val="004B2423"/>
    <w:rsid w:val="004B24C0"/>
    <w:rsid w:val="004B35EA"/>
    <w:rsid w:val="004B4345"/>
    <w:rsid w:val="004B59B4"/>
    <w:rsid w:val="004B67CC"/>
    <w:rsid w:val="004B7D07"/>
    <w:rsid w:val="004C1042"/>
    <w:rsid w:val="004C12AD"/>
    <w:rsid w:val="004C3913"/>
    <w:rsid w:val="004D0652"/>
    <w:rsid w:val="004D1058"/>
    <w:rsid w:val="004D2C24"/>
    <w:rsid w:val="004D40F5"/>
    <w:rsid w:val="004D6285"/>
    <w:rsid w:val="004D758F"/>
    <w:rsid w:val="004E09E1"/>
    <w:rsid w:val="004E44A1"/>
    <w:rsid w:val="004E47AA"/>
    <w:rsid w:val="004E6E92"/>
    <w:rsid w:val="004F00C8"/>
    <w:rsid w:val="004F0890"/>
    <w:rsid w:val="004F1EF4"/>
    <w:rsid w:val="004F231E"/>
    <w:rsid w:val="004F2C1D"/>
    <w:rsid w:val="004F62F0"/>
    <w:rsid w:val="004F7C6A"/>
    <w:rsid w:val="00504E78"/>
    <w:rsid w:val="005051D2"/>
    <w:rsid w:val="00505DED"/>
    <w:rsid w:val="0051245F"/>
    <w:rsid w:val="00515A65"/>
    <w:rsid w:val="00524EFD"/>
    <w:rsid w:val="00534C00"/>
    <w:rsid w:val="00537E47"/>
    <w:rsid w:val="005401E7"/>
    <w:rsid w:val="00541515"/>
    <w:rsid w:val="00542AE1"/>
    <w:rsid w:val="005454FB"/>
    <w:rsid w:val="00553B1F"/>
    <w:rsid w:val="00555286"/>
    <w:rsid w:val="00561338"/>
    <w:rsid w:val="00561AD8"/>
    <w:rsid w:val="00563067"/>
    <w:rsid w:val="00564DE6"/>
    <w:rsid w:val="00567C3A"/>
    <w:rsid w:val="00571D19"/>
    <w:rsid w:val="00571F5F"/>
    <w:rsid w:val="00572F05"/>
    <w:rsid w:val="00573A3B"/>
    <w:rsid w:val="00574E28"/>
    <w:rsid w:val="005765A9"/>
    <w:rsid w:val="0058189B"/>
    <w:rsid w:val="00583369"/>
    <w:rsid w:val="00585FBC"/>
    <w:rsid w:val="0058711A"/>
    <w:rsid w:val="0058721E"/>
    <w:rsid w:val="005902EA"/>
    <w:rsid w:val="005A224C"/>
    <w:rsid w:val="005A3FDF"/>
    <w:rsid w:val="005A60BD"/>
    <w:rsid w:val="005A6A7B"/>
    <w:rsid w:val="005A73C9"/>
    <w:rsid w:val="005B3528"/>
    <w:rsid w:val="005B3619"/>
    <w:rsid w:val="005B54A6"/>
    <w:rsid w:val="005D2402"/>
    <w:rsid w:val="005D340E"/>
    <w:rsid w:val="005D3658"/>
    <w:rsid w:val="005D3851"/>
    <w:rsid w:val="005D41AE"/>
    <w:rsid w:val="005D625E"/>
    <w:rsid w:val="005E1DE7"/>
    <w:rsid w:val="005E24E7"/>
    <w:rsid w:val="005E3235"/>
    <w:rsid w:val="005E7F76"/>
    <w:rsid w:val="005F311B"/>
    <w:rsid w:val="005F4B2C"/>
    <w:rsid w:val="00601FDC"/>
    <w:rsid w:val="00602CB5"/>
    <w:rsid w:val="00603EAB"/>
    <w:rsid w:val="00607F90"/>
    <w:rsid w:val="00612C34"/>
    <w:rsid w:val="006149C5"/>
    <w:rsid w:val="00616C5F"/>
    <w:rsid w:val="006253AA"/>
    <w:rsid w:val="00625778"/>
    <w:rsid w:val="0063147E"/>
    <w:rsid w:val="00631F5B"/>
    <w:rsid w:val="00632CF2"/>
    <w:rsid w:val="00632E15"/>
    <w:rsid w:val="00633CC6"/>
    <w:rsid w:val="006356D5"/>
    <w:rsid w:val="00635B49"/>
    <w:rsid w:val="00644288"/>
    <w:rsid w:val="00644D27"/>
    <w:rsid w:val="00647F31"/>
    <w:rsid w:val="00653CF1"/>
    <w:rsid w:val="006700B4"/>
    <w:rsid w:val="006736C4"/>
    <w:rsid w:val="00675484"/>
    <w:rsid w:val="00677AC2"/>
    <w:rsid w:val="00677C3F"/>
    <w:rsid w:val="006807C4"/>
    <w:rsid w:val="00682781"/>
    <w:rsid w:val="00683299"/>
    <w:rsid w:val="00687BFD"/>
    <w:rsid w:val="00694E3E"/>
    <w:rsid w:val="00696B70"/>
    <w:rsid w:val="006A16FA"/>
    <w:rsid w:val="006A33A9"/>
    <w:rsid w:val="006A40B3"/>
    <w:rsid w:val="006A4A9B"/>
    <w:rsid w:val="006C03AA"/>
    <w:rsid w:val="006C14DA"/>
    <w:rsid w:val="006C2080"/>
    <w:rsid w:val="006C5E98"/>
    <w:rsid w:val="006D1E0A"/>
    <w:rsid w:val="006D2B6B"/>
    <w:rsid w:val="006D513A"/>
    <w:rsid w:val="006D54D9"/>
    <w:rsid w:val="006E1159"/>
    <w:rsid w:val="006E3A38"/>
    <w:rsid w:val="006F1437"/>
    <w:rsid w:val="006F35AB"/>
    <w:rsid w:val="00703A56"/>
    <w:rsid w:val="007156AF"/>
    <w:rsid w:val="0071703F"/>
    <w:rsid w:val="00721F5F"/>
    <w:rsid w:val="00730283"/>
    <w:rsid w:val="00731059"/>
    <w:rsid w:val="00731437"/>
    <w:rsid w:val="007331D7"/>
    <w:rsid w:val="00734C72"/>
    <w:rsid w:val="00735072"/>
    <w:rsid w:val="007416CE"/>
    <w:rsid w:val="007422F7"/>
    <w:rsid w:val="007427AC"/>
    <w:rsid w:val="007448FF"/>
    <w:rsid w:val="00745A21"/>
    <w:rsid w:val="00746C0D"/>
    <w:rsid w:val="00747305"/>
    <w:rsid w:val="00750166"/>
    <w:rsid w:val="00750C47"/>
    <w:rsid w:val="007514A9"/>
    <w:rsid w:val="0075376D"/>
    <w:rsid w:val="00754238"/>
    <w:rsid w:val="007573F0"/>
    <w:rsid w:val="00757AD0"/>
    <w:rsid w:val="00761561"/>
    <w:rsid w:val="00761717"/>
    <w:rsid w:val="007624C1"/>
    <w:rsid w:val="007626C2"/>
    <w:rsid w:val="0076462D"/>
    <w:rsid w:val="00767000"/>
    <w:rsid w:val="00773540"/>
    <w:rsid w:val="007767D5"/>
    <w:rsid w:val="007830F9"/>
    <w:rsid w:val="00785101"/>
    <w:rsid w:val="00787508"/>
    <w:rsid w:val="007875B0"/>
    <w:rsid w:val="00790838"/>
    <w:rsid w:val="00796A66"/>
    <w:rsid w:val="007A2F38"/>
    <w:rsid w:val="007A3CF8"/>
    <w:rsid w:val="007A7C59"/>
    <w:rsid w:val="007B165B"/>
    <w:rsid w:val="007B1DF3"/>
    <w:rsid w:val="007B4880"/>
    <w:rsid w:val="007B4F83"/>
    <w:rsid w:val="007B57CE"/>
    <w:rsid w:val="007B6A49"/>
    <w:rsid w:val="007C2690"/>
    <w:rsid w:val="007C487D"/>
    <w:rsid w:val="007C4C60"/>
    <w:rsid w:val="007C6C43"/>
    <w:rsid w:val="007D3DB2"/>
    <w:rsid w:val="007D4E45"/>
    <w:rsid w:val="007E1368"/>
    <w:rsid w:val="007E37C9"/>
    <w:rsid w:val="007E649B"/>
    <w:rsid w:val="007F0BE2"/>
    <w:rsid w:val="007F55CC"/>
    <w:rsid w:val="00802218"/>
    <w:rsid w:val="0080402E"/>
    <w:rsid w:val="008069BD"/>
    <w:rsid w:val="00806AB8"/>
    <w:rsid w:val="008140AF"/>
    <w:rsid w:val="00814B28"/>
    <w:rsid w:val="0081632C"/>
    <w:rsid w:val="008176FC"/>
    <w:rsid w:val="00824417"/>
    <w:rsid w:val="00824F12"/>
    <w:rsid w:val="008255F9"/>
    <w:rsid w:val="00825D7D"/>
    <w:rsid w:val="00825FD1"/>
    <w:rsid w:val="00826B95"/>
    <w:rsid w:val="00835C88"/>
    <w:rsid w:val="0083607A"/>
    <w:rsid w:val="00841B72"/>
    <w:rsid w:val="00842670"/>
    <w:rsid w:val="00844995"/>
    <w:rsid w:val="00845E3F"/>
    <w:rsid w:val="00854757"/>
    <w:rsid w:val="00854FBE"/>
    <w:rsid w:val="00857765"/>
    <w:rsid w:val="00857F4F"/>
    <w:rsid w:val="00857FD6"/>
    <w:rsid w:val="0086017D"/>
    <w:rsid w:val="008615E5"/>
    <w:rsid w:val="0086376B"/>
    <w:rsid w:val="00870BE7"/>
    <w:rsid w:val="0087272A"/>
    <w:rsid w:val="008818C8"/>
    <w:rsid w:val="0089104F"/>
    <w:rsid w:val="00892DC1"/>
    <w:rsid w:val="008975ED"/>
    <w:rsid w:val="008A12A8"/>
    <w:rsid w:val="008A37D1"/>
    <w:rsid w:val="008B0126"/>
    <w:rsid w:val="008B0B0E"/>
    <w:rsid w:val="008B0BC5"/>
    <w:rsid w:val="008B1CAC"/>
    <w:rsid w:val="008B23DF"/>
    <w:rsid w:val="008B306D"/>
    <w:rsid w:val="008B51AC"/>
    <w:rsid w:val="008B58D4"/>
    <w:rsid w:val="008B6A06"/>
    <w:rsid w:val="008B7E65"/>
    <w:rsid w:val="008C031F"/>
    <w:rsid w:val="008C1C63"/>
    <w:rsid w:val="008C3ED2"/>
    <w:rsid w:val="008C539F"/>
    <w:rsid w:val="008C5A86"/>
    <w:rsid w:val="008D0DE6"/>
    <w:rsid w:val="008D25C7"/>
    <w:rsid w:val="008D2D86"/>
    <w:rsid w:val="008D4EB3"/>
    <w:rsid w:val="008E066E"/>
    <w:rsid w:val="008E15B3"/>
    <w:rsid w:val="008E5E15"/>
    <w:rsid w:val="008E7631"/>
    <w:rsid w:val="008F227E"/>
    <w:rsid w:val="008F2823"/>
    <w:rsid w:val="008F66F6"/>
    <w:rsid w:val="008F73CB"/>
    <w:rsid w:val="0090071A"/>
    <w:rsid w:val="00903E84"/>
    <w:rsid w:val="009111A8"/>
    <w:rsid w:val="00915AC8"/>
    <w:rsid w:val="00916B10"/>
    <w:rsid w:val="00930400"/>
    <w:rsid w:val="00930949"/>
    <w:rsid w:val="00932040"/>
    <w:rsid w:val="009334C7"/>
    <w:rsid w:val="00934EDC"/>
    <w:rsid w:val="0093756A"/>
    <w:rsid w:val="00944030"/>
    <w:rsid w:val="00944202"/>
    <w:rsid w:val="0094486C"/>
    <w:rsid w:val="009471D3"/>
    <w:rsid w:val="00952C54"/>
    <w:rsid w:val="009549E3"/>
    <w:rsid w:val="00955EA9"/>
    <w:rsid w:val="0095648E"/>
    <w:rsid w:val="00962C2E"/>
    <w:rsid w:val="0096322E"/>
    <w:rsid w:val="009638EB"/>
    <w:rsid w:val="00966D46"/>
    <w:rsid w:val="0097395A"/>
    <w:rsid w:val="00974723"/>
    <w:rsid w:val="00982E3C"/>
    <w:rsid w:val="00984066"/>
    <w:rsid w:val="009901C7"/>
    <w:rsid w:val="00993B26"/>
    <w:rsid w:val="009963C2"/>
    <w:rsid w:val="009A035A"/>
    <w:rsid w:val="009A24B2"/>
    <w:rsid w:val="009A5D8A"/>
    <w:rsid w:val="009B0358"/>
    <w:rsid w:val="009B2EA1"/>
    <w:rsid w:val="009B3D49"/>
    <w:rsid w:val="009B3F2A"/>
    <w:rsid w:val="009B4DE7"/>
    <w:rsid w:val="009B542B"/>
    <w:rsid w:val="009C054C"/>
    <w:rsid w:val="009C06C1"/>
    <w:rsid w:val="009D0C1C"/>
    <w:rsid w:val="009D157B"/>
    <w:rsid w:val="009D62AC"/>
    <w:rsid w:val="009D7A43"/>
    <w:rsid w:val="009E066E"/>
    <w:rsid w:val="009E09AC"/>
    <w:rsid w:val="009E4051"/>
    <w:rsid w:val="009E758E"/>
    <w:rsid w:val="009F09E4"/>
    <w:rsid w:val="009F25A5"/>
    <w:rsid w:val="009F3090"/>
    <w:rsid w:val="009F6E18"/>
    <w:rsid w:val="00A0124C"/>
    <w:rsid w:val="00A031E8"/>
    <w:rsid w:val="00A03484"/>
    <w:rsid w:val="00A03DD5"/>
    <w:rsid w:val="00A119C4"/>
    <w:rsid w:val="00A12BDE"/>
    <w:rsid w:val="00A13297"/>
    <w:rsid w:val="00A31EFB"/>
    <w:rsid w:val="00A33A47"/>
    <w:rsid w:val="00A34D8C"/>
    <w:rsid w:val="00A4281B"/>
    <w:rsid w:val="00A45014"/>
    <w:rsid w:val="00A4589E"/>
    <w:rsid w:val="00A470EB"/>
    <w:rsid w:val="00A51D38"/>
    <w:rsid w:val="00A57FE2"/>
    <w:rsid w:val="00A6026F"/>
    <w:rsid w:val="00A6417C"/>
    <w:rsid w:val="00A67A3E"/>
    <w:rsid w:val="00A7092B"/>
    <w:rsid w:val="00A713FD"/>
    <w:rsid w:val="00A7209F"/>
    <w:rsid w:val="00A72DE9"/>
    <w:rsid w:val="00A7483A"/>
    <w:rsid w:val="00A75F81"/>
    <w:rsid w:val="00A77C76"/>
    <w:rsid w:val="00A77D3C"/>
    <w:rsid w:val="00A82557"/>
    <w:rsid w:val="00A8384B"/>
    <w:rsid w:val="00A838AC"/>
    <w:rsid w:val="00A86504"/>
    <w:rsid w:val="00A86522"/>
    <w:rsid w:val="00A8765B"/>
    <w:rsid w:val="00A900A7"/>
    <w:rsid w:val="00A92E6C"/>
    <w:rsid w:val="00A94EC2"/>
    <w:rsid w:val="00AA07DF"/>
    <w:rsid w:val="00AA4298"/>
    <w:rsid w:val="00AA4652"/>
    <w:rsid w:val="00AA49AC"/>
    <w:rsid w:val="00AA4A50"/>
    <w:rsid w:val="00AA6296"/>
    <w:rsid w:val="00AB15C6"/>
    <w:rsid w:val="00AB3141"/>
    <w:rsid w:val="00AB3C34"/>
    <w:rsid w:val="00AB3D2C"/>
    <w:rsid w:val="00AB413A"/>
    <w:rsid w:val="00AC014C"/>
    <w:rsid w:val="00AC0300"/>
    <w:rsid w:val="00AC1127"/>
    <w:rsid w:val="00AC6D8C"/>
    <w:rsid w:val="00AD333E"/>
    <w:rsid w:val="00AD45AE"/>
    <w:rsid w:val="00AE2C56"/>
    <w:rsid w:val="00AE46B9"/>
    <w:rsid w:val="00AE4DE1"/>
    <w:rsid w:val="00AE56A0"/>
    <w:rsid w:val="00AF1A55"/>
    <w:rsid w:val="00AF2198"/>
    <w:rsid w:val="00AF4DD6"/>
    <w:rsid w:val="00AF6BAD"/>
    <w:rsid w:val="00B007BC"/>
    <w:rsid w:val="00B06C10"/>
    <w:rsid w:val="00B07E93"/>
    <w:rsid w:val="00B11E1D"/>
    <w:rsid w:val="00B12497"/>
    <w:rsid w:val="00B14989"/>
    <w:rsid w:val="00B14E95"/>
    <w:rsid w:val="00B17BAC"/>
    <w:rsid w:val="00B203AC"/>
    <w:rsid w:val="00B205A6"/>
    <w:rsid w:val="00B2060B"/>
    <w:rsid w:val="00B21A42"/>
    <w:rsid w:val="00B21D62"/>
    <w:rsid w:val="00B22530"/>
    <w:rsid w:val="00B23ACD"/>
    <w:rsid w:val="00B26186"/>
    <w:rsid w:val="00B2706E"/>
    <w:rsid w:val="00B31B7E"/>
    <w:rsid w:val="00B352B5"/>
    <w:rsid w:val="00B37E68"/>
    <w:rsid w:val="00B400AB"/>
    <w:rsid w:val="00B4030F"/>
    <w:rsid w:val="00B44D39"/>
    <w:rsid w:val="00B531ED"/>
    <w:rsid w:val="00B57FF5"/>
    <w:rsid w:val="00B60838"/>
    <w:rsid w:val="00B61D4D"/>
    <w:rsid w:val="00B72FEF"/>
    <w:rsid w:val="00B7391C"/>
    <w:rsid w:val="00B74446"/>
    <w:rsid w:val="00B7648B"/>
    <w:rsid w:val="00B772C0"/>
    <w:rsid w:val="00B822D3"/>
    <w:rsid w:val="00B8263C"/>
    <w:rsid w:val="00B8309A"/>
    <w:rsid w:val="00B84844"/>
    <w:rsid w:val="00B84E9A"/>
    <w:rsid w:val="00B9160E"/>
    <w:rsid w:val="00B9435E"/>
    <w:rsid w:val="00B95D67"/>
    <w:rsid w:val="00B9785F"/>
    <w:rsid w:val="00BA1906"/>
    <w:rsid w:val="00BA20A0"/>
    <w:rsid w:val="00BA3039"/>
    <w:rsid w:val="00BA3C47"/>
    <w:rsid w:val="00BB1A16"/>
    <w:rsid w:val="00BB2CE7"/>
    <w:rsid w:val="00BB2D39"/>
    <w:rsid w:val="00BC00E0"/>
    <w:rsid w:val="00BC0217"/>
    <w:rsid w:val="00BC02D1"/>
    <w:rsid w:val="00BC2FC2"/>
    <w:rsid w:val="00BC38AE"/>
    <w:rsid w:val="00BC4E17"/>
    <w:rsid w:val="00BD0C9B"/>
    <w:rsid w:val="00BD10C4"/>
    <w:rsid w:val="00BD194D"/>
    <w:rsid w:val="00BD1D72"/>
    <w:rsid w:val="00BD4CB0"/>
    <w:rsid w:val="00BD4E9F"/>
    <w:rsid w:val="00BD5CA6"/>
    <w:rsid w:val="00BD6B5A"/>
    <w:rsid w:val="00BD73A1"/>
    <w:rsid w:val="00BE0253"/>
    <w:rsid w:val="00BE2763"/>
    <w:rsid w:val="00BE7318"/>
    <w:rsid w:val="00BE7978"/>
    <w:rsid w:val="00BF0352"/>
    <w:rsid w:val="00BF3F8C"/>
    <w:rsid w:val="00BF4651"/>
    <w:rsid w:val="00BF64B9"/>
    <w:rsid w:val="00BF74E1"/>
    <w:rsid w:val="00C0222E"/>
    <w:rsid w:val="00C03B69"/>
    <w:rsid w:val="00C03D33"/>
    <w:rsid w:val="00C0616D"/>
    <w:rsid w:val="00C115C0"/>
    <w:rsid w:val="00C134EC"/>
    <w:rsid w:val="00C13764"/>
    <w:rsid w:val="00C14321"/>
    <w:rsid w:val="00C17428"/>
    <w:rsid w:val="00C22F29"/>
    <w:rsid w:val="00C25035"/>
    <w:rsid w:val="00C25D9B"/>
    <w:rsid w:val="00C26B71"/>
    <w:rsid w:val="00C27E03"/>
    <w:rsid w:val="00C3027A"/>
    <w:rsid w:val="00C31212"/>
    <w:rsid w:val="00C32C5D"/>
    <w:rsid w:val="00C34532"/>
    <w:rsid w:val="00C35766"/>
    <w:rsid w:val="00C36790"/>
    <w:rsid w:val="00C374FC"/>
    <w:rsid w:val="00C44719"/>
    <w:rsid w:val="00C4740C"/>
    <w:rsid w:val="00C5036B"/>
    <w:rsid w:val="00C527AA"/>
    <w:rsid w:val="00C54723"/>
    <w:rsid w:val="00C57BC2"/>
    <w:rsid w:val="00C606EB"/>
    <w:rsid w:val="00C612DE"/>
    <w:rsid w:val="00C617DD"/>
    <w:rsid w:val="00C65260"/>
    <w:rsid w:val="00C70CEA"/>
    <w:rsid w:val="00C718F6"/>
    <w:rsid w:val="00C72CDD"/>
    <w:rsid w:val="00C751A8"/>
    <w:rsid w:val="00C7712C"/>
    <w:rsid w:val="00C775E8"/>
    <w:rsid w:val="00C81ED2"/>
    <w:rsid w:val="00C82731"/>
    <w:rsid w:val="00C83FE5"/>
    <w:rsid w:val="00C90DC9"/>
    <w:rsid w:val="00C95612"/>
    <w:rsid w:val="00C9690D"/>
    <w:rsid w:val="00CA349B"/>
    <w:rsid w:val="00CA5142"/>
    <w:rsid w:val="00CA7969"/>
    <w:rsid w:val="00CB2940"/>
    <w:rsid w:val="00CB3304"/>
    <w:rsid w:val="00CB4A4B"/>
    <w:rsid w:val="00CB5B95"/>
    <w:rsid w:val="00CB6637"/>
    <w:rsid w:val="00CC121C"/>
    <w:rsid w:val="00CC60D0"/>
    <w:rsid w:val="00CC7524"/>
    <w:rsid w:val="00CD1581"/>
    <w:rsid w:val="00CD2EF6"/>
    <w:rsid w:val="00CD66C2"/>
    <w:rsid w:val="00CD7EA0"/>
    <w:rsid w:val="00CE0988"/>
    <w:rsid w:val="00CE0F11"/>
    <w:rsid w:val="00CE193F"/>
    <w:rsid w:val="00CE1F96"/>
    <w:rsid w:val="00CE38D4"/>
    <w:rsid w:val="00CE3FD1"/>
    <w:rsid w:val="00CF38B6"/>
    <w:rsid w:val="00CF563F"/>
    <w:rsid w:val="00CF6813"/>
    <w:rsid w:val="00CF7ADA"/>
    <w:rsid w:val="00D012B4"/>
    <w:rsid w:val="00D12BC3"/>
    <w:rsid w:val="00D15548"/>
    <w:rsid w:val="00D15968"/>
    <w:rsid w:val="00D165E6"/>
    <w:rsid w:val="00D16C8B"/>
    <w:rsid w:val="00D201EF"/>
    <w:rsid w:val="00D2066B"/>
    <w:rsid w:val="00D2277C"/>
    <w:rsid w:val="00D24E51"/>
    <w:rsid w:val="00D24F84"/>
    <w:rsid w:val="00D304A1"/>
    <w:rsid w:val="00D31E26"/>
    <w:rsid w:val="00D35886"/>
    <w:rsid w:val="00D46B70"/>
    <w:rsid w:val="00D54CF3"/>
    <w:rsid w:val="00D63B2F"/>
    <w:rsid w:val="00D64524"/>
    <w:rsid w:val="00D64BAD"/>
    <w:rsid w:val="00D6575C"/>
    <w:rsid w:val="00D76C73"/>
    <w:rsid w:val="00D83D3F"/>
    <w:rsid w:val="00D871B1"/>
    <w:rsid w:val="00D90C79"/>
    <w:rsid w:val="00D9369B"/>
    <w:rsid w:val="00DA1C17"/>
    <w:rsid w:val="00DA2ED5"/>
    <w:rsid w:val="00DA366B"/>
    <w:rsid w:val="00DA7B31"/>
    <w:rsid w:val="00DB167D"/>
    <w:rsid w:val="00DB1EE9"/>
    <w:rsid w:val="00DB3783"/>
    <w:rsid w:val="00DB6778"/>
    <w:rsid w:val="00DC5FE5"/>
    <w:rsid w:val="00DC664A"/>
    <w:rsid w:val="00DC7579"/>
    <w:rsid w:val="00DD3233"/>
    <w:rsid w:val="00DD3A53"/>
    <w:rsid w:val="00DD4EB5"/>
    <w:rsid w:val="00DD6630"/>
    <w:rsid w:val="00DE05DC"/>
    <w:rsid w:val="00DE2A91"/>
    <w:rsid w:val="00DE3A92"/>
    <w:rsid w:val="00DF23B3"/>
    <w:rsid w:val="00DF28B6"/>
    <w:rsid w:val="00DF294C"/>
    <w:rsid w:val="00DF4490"/>
    <w:rsid w:val="00E0213A"/>
    <w:rsid w:val="00E05188"/>
    <w:rsid w:val="00E06678"/>
    <w:rsid w:val="00E15FAE"/>
    <w:rsid w:val="00E17CDC"/>
    <w:rsid w:val="00E2013B"/>
    <w:rsid w:val="00E266D3"/>
    <w:rsid w:val="00E26745"/>
    <w:rsid w:val="00E26888"/>
    <w:rsid w:val="00E274E3"/>
    <w:rsid w:val="00E27969"/>
    <w:rsid w:val="00E346DF"/>
    <w:rsid w:val="00E37216"/>
    <w:rsid w:val="00E379D0"/>
    <w:rsid w:val="00E4008D"/>
    <w:rsid w:val="00E42384"/>
    <w:rsid w:val="00E43147"/>
    <w:rsid w:val="00E45D7F"/>
    <w:rsid w:val="00E512C0"/>
    <w:rsid w:val="00E5193E"/>
    <w:rsid w:val="00E53FF1"/>
    <w:rsid w:val="00E54E09"/>
    <w:rsid w:val="00E56BA1"/>
    <w:rsid w:val="00E576FD"/>
    <w:rsid w:val="00E57C42"/>
    <w:rsid w:val="00E66F25"/>
    <w:rsid w:val="00E73E6C"/>
    <w:rsid w:val="00E77ABE"/>
    <w:rsid w:val="00E807BF"/>
    <w:rsid w:val="00E80FD0"/>
    <w:rsid w:val="00E81581"/>
    <w:rsid w:val="00E81BD8"/>
    <w:rsid w:val="00E81F35"/>
    <w:rsid w:val="00E82A86"/>
    <w:rsid w:val="00E83425"/>
    <w:rsid w:val="00E846EE"/>
    <w:rsid w:val="00E935FC"/>
    <w:rsid w:val="00E97898"/>
    <w:rsid w:val="00E97EBC"/>
    <w:rsid w:val="00EA04D8"/>
    <w:rsid w:val="00EA1D85"/>
    <w:rsid w:val="00EA30C1"/>
    <w:rsid w:val="00EA4B63"/>
    <w:rsid w:val="00EA5071"/>
    <w:rsid w:val="00EA775C"/>
    <w:rsid w:val="00EB124E"/>
    <w:rsid w:val="00EB1995"/>
    <w:rsid w:val="00EB39E3"/>
    <w:rsid w:val="00EB3B1E"/>
    <w:rsid w:val="00EB3F9B"/>
    <w:rsid w:val="00EB3FE2"/>
    <w:rsid w:val="00EB5D21"/>
    <w:rsid w:val="00EC1E0D"/>
    <w:rsid w:val="00EC5721"/>
    <w:rsid w:val="00EC57E8"/>
    <w:rsid w:val="00EC728D"/>
    <w:rsid w:val="00ED438F"/>
    <w:rsid w:val="00ED5E9A"/>
    <w:rsid w:val="00EE0C8B"/>
    <w:rsid w:val="00EE1E88"/>
    <w:rsid w:val="00EE4B1E"/>
    <w:rsid w:val="00EE62A3"/>
    <w:rsid w:val="00EF139F"/>
    <w:rsid w:val="00EF5D2E"/>
    <w:rsid w:val="00EF649F"/>
    <w:rsid w:val="00EF72F1"/>
    <w:rsid w:val="00F01279"/>
    <w:rsid w:val="00F02CCA"/>
    <w:rsid w:val="00F04506"/>
    <w:rsid w:val="00F06BEC"/>
    <w:rsid w:val="00F06FA3"/>
    <w:rsid w:val="00F11270"/>
    <w:rsid w:val="00F162C1"/>
    <w:rsid w:val="00F212AD"/>
    <w:rsid w:val="00F215FF"/>
    <w:rsid w:val="00F21AB7"/>
    <w:rsid w:val="00F26A6E"/>
    <w:rsid w:val="00F3073D"/>
    <w:rsid w:val="00F333AB"/>
    <w:rsid w:val="00F33E65"/>
    <w:rsid w:val="00F37240"/>
    <w:rsid w:val="00F37BB8"/>
    <w:rsid w:val="00F4225E"/>
    <w:rsid w:val="00F44D06"/>
    <w:rsid w:val="00F452C9"/>
    <w:rsid w:val="00F45AF5"/>
    <w:rsid w:val="00F50EFB"/>
    <w:rsid w:val="00F52D44"/>
    <w:rsid w:val="00F53DC1"/>
    <w:rsid w:val="00F53F1E"/>
    <w:rsid w:val="00F54EA1"/>
    <w:rsid w:val="00F5595F"/>
    <w:rsid w:val="00F55CBD"/>
    <w:rsid w:val="00F616F8"/>
    <w:rsid w:val="00F63C73"/>
    <w:rsid w:val="00F66387"/>
    <w:rsid w:val="00F70DE3"/>
    <w:rsid w:val="00F716D9"/>
    <w:rsid w:val="00F7277B"/>
    <w:rsid w:val="00F74F96"/>
    <w:rsid w:val="00F83D31"/>
    <w:rsid w:val="00F83E12"/>
    <w:rsid w:val="00F84565"/>
    <w:rsid w:val="00F8631F"/>
    <w:rsid w:val="00F94DC0"/>
    <w:rsid w:val="00F9531C"/>
    <w:rsid w:val="00F95F12"/>
    <w:rsid w:val="00F96CB2"/>
    <w:rsid w:val="00FA00BA"/>
    <w:rsid w:val="00FA0B7C"/>
    <w:rsid w:val="00FA3C17"/>
    <w:rsid w:val="00FA48F2"/>
    <w:rsid w:val="00FA4983"/>
    <w:rsid w:val="00FA65B9"/>
    <w:rsid w:val="00FB41E4"/>
    <w:rsid w:val="00FC3E9B"/>
    <w:rsid w:val="00FC50C6"/>
    <w:rsid w:val="00FC5D9D"/>
    <w:rsid w:val="00FD1C24"/>
    <w:rsid w:val="00FD4E45"/>
    <w:rsid w:val="00FE72C4"/>
    <w:rsid w:val="00FF0E55"/>
    <w:rsid w:val="00FF6AB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215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fr-FR"/>
    </w:rPr>
  </w:style>
  <w:style w:type="paragraph" w:styleId="Titre1">
    <w:name w:val="heading 1"/>
    <w:basedOn w:val="Normal"/>
    <w:next w:val="Paragraphe"/>
    <w:qFormat/>
    <w:rsid w:val="00825D7D"/>
    <w:pPr>
      <w:keepNext/>
      <w:spacing w:before="120" w:after="120"/>
      <w:outlineLvl w:val="0"/>
    </w:pPr>
    <w:rPr>
      <w:b/>
      <w:kern w:val="28"/>
    </w:rPr>
  </w:style>
  <w:style w:type="paragraph" w:styleId="Titre2">
    <w:name w:val="heading 2"/>
    <w:basedOn w:val="Paragraphe"/>
    <w:next w:val="Paragraphe"/>
    <w:qFormat/>
    <w:rsid w:val="00825D7D"/>
    <w:pPr>
      <w:numPr>
        <w:numId w:val="0"/>
      </w:numPr>
      <w:outlineLvl w:val="1"/>
    </w:pPr>
    <w:rPr>
      <w:b/>
    </w:rPr>
  </w:style>
  <w:style w:type="paragraph" w:styleId="Titre3">
    <w:name w:val="heading 3"/>
    <w:basedOn w:val="Normal"/>
    <w:next w:val="Paragraphe"/>
    <w:qFormat/>
    <w:rsid w:val="00D9369B"/>
    <w:pPr>
      <w:keepNext/>
      <w:spacing w:before="120" w:after="120"/>
      <w:outlineLvl w:val="2"/>
    </w:pPr>
    <w:rPr>
      <w:i/>
    </w:rPr>
  </w:style>
  <w:style w:type="paragraph" w:styleId="Titre4">
    <w:name w:val="heading 4"/>
    <w:basedOn w:val="Normal"/>
    <w:next w:val="Paragraphe"/>
    <w:qFormat/>
    <w:rsid w:val="0096322E"/>
    <w:pPr>
      <w:keepNext/>
      <w:spacing w:before="240" w:after="60"/>
      <w:outlineLvl w:val="3"/>
    </w:p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link w:val="ParagrapheCar"/>
    <w:qFormat/>
    <w:rsid w:val="0096322E"/>
    <w:pPr>
      <w:numPr>
        <w:numId w:val="2"/>
      </w:numPr>
      <w:spacing w:before="120" w:after="120"/>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pPr>
      <w:spacing w:after="120"/>
    </w:pPr>
  </w:style>
  <w:style w:type="paragraph" w:styleId="Notedebasdepage">
    <w:name w:val="footnote text"/>
    <w:basedOn w:val="Normal"/>
    <w:link w:val="NotedebasdepageCar"/>
    <w:uiPriority w:val="99"/>
    <w:pPr>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rsid w:val="00B4030F"/>
    <w:pPr>
      <w:jc w:val="center"/>
    </w:pPr>
    <w:rPr>
      <w:b/>
      <w:sz w:val="32"/>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pPr>
      <w:ind w:left="70"/>
    </w:pPr>
  </w:style>
  <w:style w:type="paragraph" w:customStyle="1" w:styleId="zSoquijdatGreffe">
    <w:name w:val="zSoquij_datGreffe"/>
    <w:basedOn w:val="Normal"/>
    <w:pPr>
      <w:ind w:left="29"/>
    </w:pPr>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pPr>
      <w:ind w:left="70"/>
    </w:pPr>
    <w:rPr>
      <w:b/>
    </w:rPr>
  </w:style>
  <w:style w:type="paragraph" w:customStyle="1" w:styleId="zSoquijdatQteJuge">
    <w:name w:val="zSoquij_datQteJuge"/>
    <w:basedOn w:val="Normal"/>
    <w:pPr>
      <w:ind w:left="29"/>
    </w:pPr>
    <w:rPr>
      <w:b/>
    </w:rPr>
  </w:style>
  <w:style w:type="paragraph" w:customStyle="1" w:styleId="zSoquijdatJuge">
    <w:name w:val="zSoquij_datJuge"/>
    <w:basedOn w:val="Normal"/>
    <w:pPr>
      <w:ind w:left="52"/>
    </w:pPr>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rsid w:val="00B203AC"/>
    <w:pPr>
      <w:jc w:val="center"/>
    </w:pPr>
    <w:rPr>
      <w:b/>
      <w:smallCaps/>
    </w:r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tabs>
        <w:tab w:val="left" w:pos="720"/>
      </w:tabs>
      <w:jc w:val="center"/>
    </w:pPr>
  </w:style>
  <w:style w:type="character" w:customStyle="1" w:styleId="zSoquijlblEntNoDossier">
    <w:name w:val="zSoquij_lblEntNoDossier"/>
    <w:basedOn w:val="Policepardfaut"/>
    <w:rPr>
      <w:lang w:val="fr-CA"/>
    </w:rPr>
  </w:style>
  <w:style w:type="paragraph" w:customStyle="1" w:styleId="zSoquijlblTitrePartie">
    <w:name w:val="zSoquij_lblTitrePartie"/>
    <w:basedOn w:val="Normal"/>
  </w:style>
  <w:style w:type="paragraph" w:customStyle="1" w:styleId="zSoquijdatSignature3Juge">
    <w:name w:val="zSoquij_datSignature3Juge"/>
    <w:basedOn w:val="Normal"/>
  </w:style>
  <w:style w:type="paragraph" w:customStyle="1" w:styleId="ParagNonNum">
    <w:name w:val="ParagNonNum"/>
    <w:basedOn w:val="Paragraphe"/>
    <w:next w:val="Paragraphe"/>
    <w:pPr>
      <w:numPr>
        <w:numId w:val="0"/>
      </w:numPr>
      <w:ind w:firstLine="734"/>
    </w:pPr>
  </w:style>
  <w:style w:type="paragraph" w:customStyle="1" w:styleId="zSoquijdatIdJuge">
    <w:name w:val="zSoquij_datIdJuge"/>
    <w:basedOn w:val="Normal"/>
    <w:pPr>
      <w:jc w:val="center"/>
    </w:pPr>
    <w:rPr>
      <w:sz w:val="20"/>
    </w:rPr>
  </w:style>
  <w:style w:type="paragraph" w:customStyle="1" w:styleId="Sous-paragraphe">
    <w:name w:val="Sous-paragraphe"/>
    <w:basedOn w:val="Normal"/>
    <w:pPr>
      <w:widowControl w:val="0"/>
      <w:numPr>
        <w:ilvl w:val="1"/>
        <w:numId w:val="2"/>
      </w:numPr>
      <w:spacing w:after="120"/>
      <w:jc w:val="both"/>
    </w:pPr>
    <w:rPr>
      <w:kern w:val="28"/>
    </w:rPr>
  </w:style>
  <w:style w:type="paragraph" w:customStyle="1" w:styleId="zSoquijdatNomProcureurDem">
    <w:name w:val="zSoquij_datNomProcureurDem"/>
    <w:basedOn w:val="zSoquijlblProcureurDem"/>
  </w:style>
  <w:style w:type="paragraph" w:customStyle="1" w:styleId="zSoquijdatNomProcureurDef">
    <w:name w:val="zSoquij_datNomProcureurDef"/>
    <w:basedOn w:val="zSoquijlblProcureurDef"/>
  </w:style>
  <w:style w:type="paragraph" w:customStyle="1" w:styleId="zSoquijdatCabinetProcureurDem">
    <w:name w:val="zSoquij_datCabinetProcureurDem"/>
    <w:basedOn w:val="Normal"/>
  </w:style>
  <w:style w:type="paragraph" w:customStyle="1" w:styleId="zSoquijdatCabinetProcureurDef">
    <w:name w:val="zSoquij_datCabinetProcureurDef"/>
    <w:basedOn w:val="zSoquijlblProcureurDef"/>
  </w:style>
  <w:style w:type="paragraph" w:customStyle="1" w:styleId="zSoquijdatSignatureJuge1">
    <w:name w:val="zSoquij_datSignatureJuge1"/>
    <w:basedOn w:val="Normal"/>
  </w:style>
  <w:style w:type="paragraph" w:customStyle="1" w:styleId="zSoquijdatSignatureJuge2">
    <w:name w:val="zSoquij_datSignatureJuge2"/>
    <w:basedOn w:val="Normal"/>
  </w:style>
  <w:style w:type="paragraph" w:customStyle="1" w:styleId="zSoquijdatSignatureJuge3">
    <w:name w:val="zSoquij_datSignatureJuge3"/>
    <w:basedOn w:val="Normal"/>
  </w:style>
  <w:style w:type="paragraph" w:customStyle="1" w:styleId="zSoquijdatRepertorie">
    <w:name w:val="zSoquij_datRepertorie"/>
    <w:basedOn w:val="zSoquijlblCour"/>
    <w:pPr>
      <w:jc w:val="left"/>
    </w:pPr>
    <w:rPr>
      <w:noProof/>
      <w:sz w:val="22"/>
    </w:rPr>
  </w:style>
  <w:style w:type="paragraph" w:customStyle="1" w:styleId="zSoquijdatRefNeutre">
    <w:name w:val="zSoquij_datRefNeutre"/>
    <w:basedOn w:val="zSoquijlblCour"/>
    <w:pPr>
      <w:jc w:val="left"/>
    </w:pPr>
    <w:rPr>
      <w:noProof/>
      <w:sz w:val="22"/>
    </w:rPr>
  </w:style>
  <w:style w:type="paragraph" w:customStyle="1" w:styleId="zSoquijdatSignature2Juge">
    <w:name w:val="zSoquij_datSignature2Juge"/>
    <w:basedOn w:val="zSoquijdatSignatureJuge3"/>
  </w:style>
  <w:style w:type="paragraph" w:customStyle="1" w:styleId="ParagAlaMarge">
    <w:name w:val="ParagAlaMarge"/>
    <w:basedOn w:val="ParagNonNum"/>
    <w:next w:val="Paragraphe"/>
    <w:pPr>
      <w:ind w:firstLine="0"/>
    </w:pPr>
  </w:style>
  <w:style w:type="paragraph" w:customStyle="1" w:styleId="zSoquijlblAssesseurs">
    <w:name w:val="zSoquij_lblAssesseurs"/>
    <w:basedOn w:val="Normal"/>
    <w:pPr>
      <w:ind w:left="14" w:right="-67"/>
    </w:pPr>
  </w:style>
  <w:style w:type="paragraph" w:customStyle="1" w:styleId="zSoquijdatAssesseurs">
    <w:name w:val="zSoquij_datAssesseurs"/>
    <w:basedOn w:val="Normal"/>
    <w:pPr>
      <w:ind w:left="14" w:right="-67"/>
    </w:pPr>
  </w:style>
  <w:style w:type="paragraph" w:customStyle="1" w:styleId="zSoquijlblLocalite">
    <w:name w:val="zSoquij_lblLocalite"/>
    <w:basedOn w:val="zSoquijlblGreffe"/>
  </w:style>
  <w:style w:type="paragraph" w:customStyle="1" w:styleId="zSoquijdatLocalite">
    <w:name w:val="zSoquij_datLocalite"/>
    <w:basedOn w:val="zSoquijdatGreffe"/>
  </w:style>
  <w:style w:type="paragraph" w:customStyle="1" w:styleId="zSoquijlblNoDecision">
    <w:name w:val="zSoquij_lblNoDecision"/>
    <w:basedOn w:val="zSoquijlblNoDossier"/>
    <w:rsid w:val="00EB39E3"/>
  </w:style>
  <w:style w:type="paragraph" w:customStyle="1" w:styleId="zSoquijdatNoDecision">
    <w:name w:val="zSoquij_datNoDecision"/>
    <w:basedOn w:val="zSoquijdatNoDossier"/>
    <w:rsid w:val="00EB39E3"/>
  </w:style>
  <w:style w:type="paragraph" w:styleId="En-tte">
    <w:name w:val="header"/>
    <w:basedOn w:val="Normal"/>
    <w:rsid w:val="00B4030F"/>
    <w:pPr>
      <w:tabs>
        <w:tab w:val="center" w:pos="4320"/>
        <w:tab w:val="right" w:pos="8640"/>
      </w:tabs>
    </w:pPr>
  </w:style>
  <w:style w:type="paragraph" w:styleId="Pieddepage">
    <w:name w:val="footer"/>
    <w:basedOn w:val="Normal"/>
    <w:rsid w:val="00B4030F"/>
    <w:pPr>
      <w:tabs>
        <w:tab w:val="center" w:pos="4320"/>
        <w:tab w:val="right" w:pos="8640"/>
      </w:tabs>
    </w:pPr>
  </w:style>
  <w:style w:type="paragraph" w:customStyle="1" w:styleId="Citationendoubleretrait">
    <w:name w:val="Citation en double retrait"/>
    <w:basedOn w:val="Citationenretrait"/>
    <w:qFormat/>
    <w:rsid w:val="000976EC"/>
    <w:pPr>
      <w:ind w:left="992" w:right="992"/>
    </w:pPr>
  </w:style>
  <w:style w:type="paragraph" w:customStyle="1" w:styleId="zSoquijlblNosArticles">
    <w:name w:val="zSoquij_lblNosArticles"/>
    <w:basedOn w:val="zSoquijlblTypeDocument"/>
    <w:rsid w:val="00B203AC"/>
    <w:rPr>
      <w:b w:val="0"/>
      <w:smallCaps w:val="0"/>
    </w:rPr>
  </w:style>
  <w:style w:type="character" w:styleId="Appelnotedebasdep">
    <w:name w:val="footnote reference"/>
    <w:basedOn w:val="Policepardfaut"/>
    <w:uiPriority w:val="99"/>
    <w:rsid w:val="00BA3C47"/>
    <w:rPr>
      <w:vertAlign w:val="superscript"/>
    </w:rPr>
  </w:style>
  <w:style w:type="paragraph" w:customStyle="1" w:styleId="paragraphe0">
    <w:name w:val="paragraphe"/>
    <w:basedOn w:val="Normal"/>
    <w:rsid w:val="00415DCB"/>
    <w:pPr>
      <w:spacing w:before="100" w:beforeAutospacing="1" w:after="100" w:afterAutospacing="1"/>
    </w:pPr>
    <w:rPr>
      <w:rFonts w:ascii="Times New Roman" w:hAnsi="Times New Roman"/>
      <w:szCs w:val="24"/>
      <w:lang w:eastAsia="fr-CA"/>
    </w:rPr>
  </w:style>
  <w:style w:type="character" w:customStyle="1" w:styleId="ParagrapheCar">
    <w:name w:val="Paragraphe Car"/>
    <w:link w:val="Paragraphe"/>
    <w:locked/>
    <w:rsid w:val="00415DCB"/>
    <w:rPr>
      <w:rFonts w:ascii="Arial" w:hAnsi="Arial"/>
      <w:kern w:val="28"/>
      <w:sz w:val="24"/>
      <w:lang w:eastAsia="fr-FR"/>
    </w:rPr>
  </w:style>
  <w:style w:type="character" w:customStyle="1" w:styleId="NotedebasdepageCar">
    <w:name w:val="Note de bas de page Car"/>
    <w:link w:val="Notedebasdepage"/>
    <w:uiPriority w:val="99"/>
    <w:rsid w:val="00415DCB"/>
    <w:rPr>
      <w:rFonts w:ascii="Arial" w:hAnsi="Arial"/>
      <w:lang w:eastAsia="fr-FR"/>
    </w:rPr>
  </w:style>
  <w:style w:type="character" w:styleId="Textedelespacerserv">
    <w:name w:val="Placeholder Text"/>
    <w:basedOn w:val="Policepardfaut"/>
    <w:uiPriority w:val="99"/>
    <w:semiHidden/>
    <w:rsid w:val="000D2FD5"/>
    <w:rPr>
      <w:color w:val="808080"/>
    </w:rPr>
  </w:style>
  <w:style w:type="paragraph" w:styleId="Paragraphedeliste">
    <w:name w:val="List Paragraph"/>
    <w:basedOn w:val="Normal"/>
    <w:link w:val="ParagraphedelisteCar"/>
    <w:uiPriority w:val="34"/>
    <w:qFormat/>
    <w:rsid w:val="00745A21"/>
    <w:pPr>
      <w:numPr>
        <w:numId w:val="16"/>
      </w:numPr>
      <w:spacing w:after="240"/>
      <w:ind w:left="567" w:hanging="567"/>
      <w:jc w:val="both"/>
    </w:pPr>
    <w:rPr>
      <w:rFonts w:eastAsiaTheme="minorHAnsi" w:cs="Arial"/>
      <w:sz w:val="22"/>
      <w:szCs w:val="22"/>
      <w:lang w:eastAsia="en-US"/>
    </w:rPr>
  </w:style>
  <w:style w:type="character" w:customStyle="1" w:styleId="ParagraphedelisteCar">
    <w:name w:val="Paragraphe de liste Car"/>
    <w:basedOn w:val="Policepardfaut"/>
    <w:link w:val="Paragraphedeliste"/>
    <w:uiPriority w:val="34"/>
    <w:rsid w:val="00745A21"/>
    <w:rPr>
      <w:rFonts w:ascii="Arial" w:eastAsiaTheme="minorHAnsi" w:hAnsi="Arial" w:cs="Arial"/>
      <w:sz w:val="22"/>
      <w:szCs w:val="22"/>
      <w:lang w:eastAsia="en-US"/>
    </w:rPr>
  </w:style>
  <w:style w:type="character" w:customStyle="1" w:styleId="label-section">
    <w:name w:val="label-section"/>
    <w:basedOn w:val="Policepardfaut"/>
    <w:rsid w:val="00B14E95"/>
  </w:style>
  <w:style w:type="character" w:customStyle="1" w:styleId="subsection">
    <w:name w:val="subsection"/>
    <w:basedOn w:val="Policepardfaut"/>
    <w:rsid w:val="00B14E95"/>
  </w:style>
  <w:style w:type="character" w:styleId="Marquedecommentaire">
    <w:name w:val="annotation reference"/>
    <w:basedOn w:val="Policepardfaut"/>
    <w:uiPriority w:val="99"/>
    <w:semiHidden/>
    <w:unhideWhenUsed/>
    <w:rsid w:val="007E37C9"/>
  </w:style>
  <w:style w:type="paragraph" w:styleId="Commentaire">
    <w:name w:val="annotation text"/>
    <w:basedOn w:val="Normal"/>
    <w:link w:val="CommentaireCar"/>
    <w:unhideWhenUsed/>
    <w:rsid w:val="00633CC6"/>
    <w:rPr>
      <w:sz w:val="20"/>
    </w:rPr>
  </w:style>
  <w:style w:type="character" w:customStyle="1" w:styleId="CommentaireCar">
    <w:name w:val="Commentaire Car"/>
    <w:basedOn w:val="Policepardfaut"/>
    <w:link w:val="Commentaire"/>
    <w:rsid w:val="00633CC6"/>
    <w:rPr>
      <w:rFonts w:ascii="Arial" w:hAnsi="Arial"/>
      <w:lang w:eastAsia="fr-FR"/>
    </w:rPr>
  </w:style>
  <w:style w:type="paragraph" w:styleId="Objetducommentaire">
    <w:name w:val="annotation subject"/>
    <w:basedOn w:val="Commentaire"/>
    <w:next w:val="Commentaire"/>
    <w:link w:val="ObjetducommentaireCar"/>
    <w:semiHidden/>
    <w:unhideWhenUsed/>
    <w:rsid w:val="00633CC6"/>
    <w:rPr>
      <w:b/>
      <w:bCs/>
    </w:rPr>
  </w:style>
  <w:style w:type="character" w:customStyle="1" w:styleId="ObjetducommentaireCar">
    <w:name w:val="Objet du commentaire Car"/>
    <w:basedOn w:val="CommentaireCar"/>
    <w:link w:val="Objetducommentaire"/>
    <w:semiHidden/>
    <w:rsid w:val="00633CC6"/>
    <w:rPr>
      <w:rFonts w:ascii="Arial" w:hAnsi="Arial"/>
      <w:b/>
      <w:bCs/>
      <w:lang w:eastAsia="fr-FR"/>
    </w:rPr>
  </w:style>
  <w:style w:type="paragraph" w:styleId="Textedebulles">
    <w:name w:val="Balloon Text"/>
    <w:basedOn w:val="Normal"/>
    <w:link w:val="TextedebullesCar"/>
    <w:semiHidden/>
    <w:unhideWhenUsed/>
    <w:rsid w:val="00633CC6"/>
    <w:rPr>
      <w:rFonts w:ascii="Segoe UI" w:hAnsi="Segoe UI" w:cs="Segoe UI"/>
      <w:sz w:val="18"/>
      <w:szCs w:val="18"/>
    </w:rPr>
  </w:style>
  <w:style w:type="character" w:customStyle="1" w:styleId="TextedebullesCar">
    <w:name w:val="Texte de bulles Car"/>
    <w:basedOn w:val="Policepardfaut"/>
    <w:link w:val="Textedebulles"/>
    <w:semiHidden/>
    <w:rsid w:val="00633CC6"/>
    <w:rPr>
      <w:rFonts w:ascii="Segoe UI" w:hAnsi="Segoe UI" w:cs="Segoe UI"/>
      <w:sz w:val="18"/>
      <w:szCs w:val="18"/>
      <w:lang w:eastAsia="fr-FR"/>
    </w:rPr>
  </w:style>
  <w:style w:type="character" w:styleId="Hyperlien">
    <w:name w:val="Hyperlink"/>
    <w:uiPriority w:val="99"/>
    <w:unhideWhenUsed/>
    <w:rsid w:val="00675484"/>
    <w:rPr>
      <w:color w:val="0000FF"/>
      <w:u w:val="single"/>
    </w:rPr>
  </w:style>
  <w:style w:type="character" w:customStyle="1" w:styleId="solexhl">
    <w:name w:val="solexhl"/>
    <w:basedOn w:val="Policepardfaut"/>
    <w:rsid w:val="00202987"/>
  </w:style>
  <w:style w:type="paragraph" w:styleId="Rvision">
    <w:name w:val="Revision"/>
    <w:hidden/>
    <w:uiPriority w:val="99"/>
    <w:semiHidden/>
    <w:rsid w:val="00BF64B9"/>
    <w:rPr>
      <w:rFonts w:ascii="Arial" w:hAnsi="Arial"/>
      <w:sz w:val="24"/>
      <w:lang w:eastAsia="fr-FR"/>
    </w:rPr>
  </w:style>
  <w:style w:type="character" w:customStyle="1" w:styleId="cf01">
    <w:name w:val="cf01"/>
    <w:basedOn w:val="Policepardfaut"/>
    <w:rsid w:val="00B7444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61326">
      <w:bodyDiv w:val="1"/>
      <w:marLeft w:val="0"/>
      <w:marRight w:val="0"/>
      <w:marTop w:val="0"/>
      <w:marBottom w:val="0"/>
      <w:divBdr>
        <w:top w:val="none" w:sz="0" w:space="0" w:color="auto"/>
        <w:left w:val="none" w:sz="0" w:space="0" w:color="auto"/>
        <w:bottom w:val="none" w:sz="0" w:space="0" w:color="auto"/>
        <w:right w:val="none" w:sz="0" w:space="0" w:color="auto"/>
      </w:divBdr>
    </w:div>
    <w:div w:id="420033762">
      <w:bodyDiv w:val="1"/>
      <w:marLeft w:val="0"/>
      <w:marRight w:val="0"/>
      <w:marTop w:val="0"/>
      <w:marBottom w:val="0"/>
      <w:divBdr>
        <w:top w:val="none" w:sz="0" w:space="0" w:color="auto"/>
        <w:left w:val="none" w:sz="0" w:space="0" w:color="auto"/>
        <w:bottom w:val="none" w:sz="0" w:space="0" w:color="auto"/>
        <w:right w:val="none" w:sz="0" w:space="0" w:color="auto"/>
      </w:divBdr>
      <w:divsChild>
        <w:div w:id="719016949">
          <w:marLeft w:val="30"/>
          <w:marRight w:val="0"/>
          <w:marTop w:val="0"/>
          <w:marBottom w:val="0"/>
          <w:divBdr>
            <w:top w:val="none" w:sz="0" w:space="0" w:color="auto"/>
            <w:left w:val="none" w:sz="0" w:space="0" w:color="auto"/>
            <w:bottom w:val="none" w:sz="0" w:space="0" w:color="auto"/>
            <w:right w:val="none" w:sz="0" w:space="0" w:color="auto"/>
          </w:divBdr>
        </w:div>
        <w:div w:id="1940984587">
          <w:marLeft w:val="30"/>
          <w:marRight w:val="0"/>
          <w:marTop w:val="0"/>
          <w:marBottom w:val="0"/>
          <w:divBdr>
            <w:top w:val="none" w:sz="0" w:space="0" w:color="auto"/>
            <w:left w:val="none" w:sz="0" w:space="0" w:color="auto"/>
            <w:bottom w:val="none" w:sz="0" w:space="0" w:color="auto"/>
            <w:right w:val="none" w:sz="0" w:space="0" w:color="auto"/>
          </w:divBdr>
        </w:div>
      </w:divsChild>
    </w:div>
    <w:div w:id="813452833">
      <w:bodyDiv w:val="1"/>
      <w:marLeft w:val="0"/>
      <w:marRight w:val="0"/>
      <w:marTop w:val="0"/>
      <w:marBottom w:val="0"/>
      <w:divBdr>
        <w:top w:val="none" w:sz="0" w:space="0" w:color="auto"/>
        <w:left w:val="none" w:sz="0" w:space="0" w:color="auto"/>
        <w:bottom w:val="none" w:sz="0" w:space="0" w:color="auto"/>
        <w:right w:val="none" w:sz="0" w:space="0" w:color="auto"/>
      </w:divBdr>
    </w:div>
    <w:div w:id="1075473415">
      <w:bodyDiv w:val="1"/>
      <w:marLeft w:val="0"/>
      <w:marRight w:val="0"/>
      <w:marTop w:val="0"/>
      <w:marBottom w:val="0"/>
      <w:divBdr>
        <w:top w:val="none" w:sz="0" w:space="0" w:color="auto"/>
        <w:left w:val="none" w:sz="0" w:space="0" w:color="auto"/>
        <w:bottom w:val="none" w:sz="0" w:space="0" w:color="auto"/>
        <w:right w:val="none" w:sz="0" w:space="0" w:color="auto"/>
      </w:divBdr>
      <w:divsChild>
        <w:div w:id="1948150436">
          <w:marLeft w:val="30"/>
          <w:marRight w:val="0"/>
          <w:marTop w:val="0"/>
          <w:marBottom w:val="0"/>
          <w:divBdr>
            <w:top w:val="none" w:sz="0" w:space="0" w:color="auto"/>
            <w:left w:val="none" w:sz="0" w:space="0" w:color="auto"/>
            <w:bottom w:val="none" w:sz="0" w:space="0" w:color="auto"/>
            <w:right w:val="none" w:sz="0" w:space="0" w:color="auto"/>
          </w:divBdr>
        </w:div>
        <w:div w:id="712072093">
          <w:marLeft w:val="30"/>
          <w:marRight w:val="0"/>
          <w:marTop w:val="0"/>
          <w:marBottom w:val="0"/>
          <w:divBdr>
            <w:top w:val="none" w:sz="0" w:space="0" w:color="auto"/>
            <w:left w:val="none" w:sz="0" w:space="0" w:color="auto"/>
            <w:bottom w:val="none" w:sz="0" w:space="0" w:color="auto"/>
            <w:right w:val="none" w:sz="0" w:space="0" w:color="auto"/>
          </w:divBdr>
        </w:div>
      </w:divsChild>
    </w:div>
    <w:div w:id="1324237588">
      <w:bodyDiv w:val="1"/>
      <w:marLeft w:val="0"/>
      <w:marRight w:val="0"/>
      <w:marTop w:val="0"/>
      <w:marBottom w:val="0"/>
      <w:divBdr>
        <w:top w:val="none" w:sz="0" w:space="0" w:color="auto"/>
        <w:left w:val="none" w:sz="0" w:space="0" w:color="auto"/>
        <w:bottom w:val="none" w:sz="0" w:space="0" w:color="auto"/>
        <w:right w:val="none" w:sz="0" w:space="0" w:color="auto"/>
      </w:divBdr>
      <w:divsChild>
        <w:div w:id="581987069">
          <w:marLeft w:val="30"/>
          <w:marRight w:val="0"/>
          <w:marTop w:val="0"/>
          <w:marBottom w:val="0"/>
          <w:divBdr>
            <w:top w:val="none" w:sz="0" w:space="0" w:color="auto"/>
            <w:left w:val="none" w:sz="0" w:space="0" w:color="auto"/>
            <w:bottom w:val="none" w:sz="0" w:space="0" w:color="auto"/>
            <w:right w:val="none" w:sz="0" w:space="0" w:color="auto"/>
          </w:divBdr>
        </w:div>
        <w:div w:id="406193111">
          <w:marLeft w:val="30"/>
          <w:marRight w:val="0"/>
          <w:marTop w:val="0"/>
          <w:marBottom w:val="0"/>
          <w:divBdr>
            <w:top w:val="none" w:sz="0" w:space="0" w:color="auto"/>
            <w:left w:val="none" w:sz="0" w:space="0" w:color="auto"/>
            <w:bottom w:val="none" w:sz="0" w:space="0" w:color="auto"/>
            <w:right w:val="none" w:sz="0" w:space="0" w:color="auto"/>
          </w:divBdr>
        </w:div>
        <w:div w:id="1288926982">
          <w:marLeft w:val="30"/>
          <w:marRight w:val="0"/>
          <w:marTop w:val="0"/>
          <w:marBottom w:val="0"/>
          <w:divBdr>
            <w:top w:val="none" w:sz="0" w:space="0" w:color="auto"/>
            <w:left w:val="none" w:sz="0" w:space="0" w:color="auto"/>
            <w:bottom w:val="none" w:sz="0" w:space="0" w:color="auto"/>
            <w:right w:val="none" w:sz="0" w:space="0" w:color="auto"/>
          </w:divBdr>
        </w:div>
      </w:divsChild>
    </w:div>
    <w:div w:id="1446923586">
      <w:bodyDiv w:val="1"/>
      <w:marLeft w:val="0"/>
      <w:marRight w:val="0"/>
      <w:marTop w:val="0"/>
      <w:marBottom w:val="0"/>
      <w:divBdr>
        <w:top w:val="none" w:sz="0" w:space="0" w:color="auto"/>
        <w:left w:val="none" w:sz="0" w:space="0" w:color="auto"/>
        <w:bottom w:val="none" w:sz="0" w:space="0" w:color="auto"/>
        <w:right w:val="none" w:sz="0" w:space="0" w:color="auto"/>
      </w:divBdr>
      <w:divsChild>
        <w:div w:id="169297602">
          <w:marLeft w:val="30"/>
          <w:marRight w:val="0"/>
          <w:marTop w:val="0"/>
          <w:marBottom w:val="0"/>
          <w:divBdr>
            <w:top w:val="none" w:sz="0" w:space="0" w:color="auto"/>
            <w:left w:val="none" w:sz="0" w:space="0" w:color="auto"/>
            <w:bottom w:val="none" w:sz="0" w:space="0" w:color="auto"/>
            <w:right w:val="none" w:sz="0" w:space="0" w:color="auto"/>
          </w:divBdr>
        </w:div>
        <w:div w:id="268506740">
          <w:marLeft w:val="30"/>
          <w:marRight w:val="0"/>
          <w:marTop w:val="0"/>
          <w:marBottom w:val="0"/>
          <w:divBdr>
            <w:top w:val="none" w:sz="0" w:space="0" w:color="auto"/>
            <w:left w:val="none" w:sz="0" w:space="0" w:color="auto"/>
            <w:bottom w:val="none" w:sz="0" w:space="0" w:color="auto"/>
            <w:right w:val="none" w:sz="0" w:space="0" w:color="auto"/>
          </w:divBdr>
        </w:div>
        <w:div w:id="1871990695">
          <w:marLeft w:val="30"/>
          <w:marRight w:val="0"/>
          <w:marTop w:val="0"/>
          <w:marBottom w:val="0"/>
          <w:divBdr>
            <w:top w:val="none" w:sz="0" w:space="0" w:color="auto"/>
            <w:left w:val="none" w:sz="0" w:space="0" w:color="auto"/>
            <w:bottom w:val="none" w:sz="0" w:space="0" w:color="auto"/>
            <w:right w:val="none" w:sz="0" w:space="0" w:color="auto"/>
          </w:divBdr>
        </w:div>
      </w:divsChild>
    </w:div>
    <w:div w:id="1550919188">
      <w:bodyDiv w:val="1"/>
      <w:marLeft w:val="0"/>
      <w:marRight w:val="0"/>
      <w:marTop w:val="0"/>
      <w:marBottom w:val="0"/>
      <w:divBdr>
        <w:top w:val="none" w:sz="0" w:space="0" w:color="auto"/>
        <w:left w:val="none" w:sz="0" w:space="0" w:color="auto"/>
        <w:bottom w:val="none" w:sz="0" w:space="0" w:color="auto"/>
        <w:right w:val="none" w:sz="0" w:space="0" w:color="auto"/>
      </w:divBdr>
    </w:div>
    <w:div w:id="1627422206">
      <w:bodyDiv w:val="1"/>
      <w:marLeft w:val="0"/>
      <w:marRight w:val="0"/>
      <w:marTop w:val="0"/>
      <w:marBottom w:val="0"/>
      <w:divBdr>
        <w:top w:val="none" w:sz="0" w:space="0" w:color="auto"/>
        <w:left w:val="none" w:sz="0" w:space="0" w:color="auto"/>
        <w:bottom w:val="none" w:sz="0" w:space="0" w:color="auto"/>
        <w:right w:val="none" w:sz="0" w:space="0" w:color="auto"/>
      </w:divBdr>
      <w:divsChild>
        <w:div w:id="753402094">
          <w:marLeft w:val="30"/>
          <w:marRight w:val="0"/>
          <w:marTop w:val="0"/>
          <w:marBottom w:val="0"/>
          <w:divBdr>
            <w:top w:val="none" w:sz="0" w:space="0" w:color="auto"/>
            <w:left w:val="none" w:sz="0" w:space="0" w:color="auto"/>
            <w:bottom w:val="none" w:sz="0" w:space="0" w:color="auto"/>
            <w:right w:val="none" w:sz="0" w:space="0" w:color="auto"/>
          </w:divBdr>
        </w:div>
        <w:div w:id="583538619">
          <w:marLeft w:val="30"/>
          <w:marRight w:val="0"/>
          <w:marTop w:val="0"/>
          <w:marBottom w:val="0"/>
          <w:divBdr>
            <w:top w:val="none" w:sz="0" w:space="0" w:color="auto"/>
            <w:left w:val="none" w:sz="0" w:space="0" w:color="auto"/>
            <w:bottom w:val="none" w:sz="0" w:space="0" w:color="auto"/>
            <w:right w:val="none" w:sz="0" w:space="0" w:color="auto"/>
          </w:divBdr>
        </w:div>
      </w:divsChild>
    </w:div>
    <w:div w:id="2084794453">
      <w:bodyDiv w:val="1"/>
      <w:marLeft w:val="0"/>
      <w:marRight w:val="0"/>
      <w:marTop w:val="0"/>
      <w:marBottom w:val="0"/>
      <w:divBdr>
        <w:top w:val="none" w:sz="0" w:space="0" w:color="auto"/>
        <w:left w:val="none" w:sz="0" w:space="0" w:color="auto"/>
        <w:bottom w:val="none" w:sz="0" w:space="0" w:color="auto"/>
        <w:right w:val="none" w:sz="0" w:space="0" w:color="auto"/>
      </w:divBdr>
      <w:divsChild>
        <w:div w:id="667906355">
          <w:marLeft w:val="30"/>
          <w:marRight w:val="0"/>
          <w:marTop w:val="0"/>
          <w:marBottom w:val="0"/>
          <w:divBdr>
            <w:top w:val="none" w:sz="0" w:space="0" w:color="auto"/>
            <w:left w:val="none" w:sz="0" w:space="0" w:color="auto"/>
            <w:bottom w:val="none" w:sz="0" w:space="0" w:color="auto"/>
            <w:right w:val="none" w:sz="0" w:space="0" w:color="auto"/>
          </w:divBdr>
        </w:div>
        <w:div w:id="1481072336">
          <w:marLeft w:val="30"/>
          <w:marRight w:val="0"/>
          <w:marTop w:val="0"/>
          <w:marBottom w:val="0"/>
          <w:divBdr>
            <w:top w:val="none" w:sz="0" w:space="0" w:color="auto"/>
            <w:left w:val="none" w:sz="0" w:space="0" w:color="auto"/>
            <w:bottom w:val="none" w:sz="0" w:space="0" w:color="auto"/>
            <w:right w:val="none" w:sz="0" w:space="0" w:color="auto"/>
          </w:divBdr>
        </w:div>
        <w:div w:id="1876386534">
          <w:marLeft w:val="30"/>
          <w:marRight w:val="0"/>
          <w:marTop w:val="0"/>
          <w:marBottom w:val="0"/>
          <w:divBdr>
            <w:top w:val="none" w:sz="0" w:space="0" w:color="auto"/>
            <w:left w:val="none" w:sz="0" w:space="0" w:color="auto"/>
            <w:bottom w:val="none" w:sz="0" w:space="0" w:color="auto"/>
            <w:right w:val="none" w:sz="0" w:space="0" w:color="auto"/>
          </w:divBdr>
        </w:div>
        <w:div w:id="962540873">
          <w:marLeft w:val="30"/>
          <w:marRight w:val="0"/>
          <w:marTop w:val="0"/>
          <w:marBottom w:val="0"/>
          <w:divBdr>
            <w:top w:val="none" w:sz="0" w:space="0" w:color="auto"/>
            <w:left w:val="none" w:sz="0" w:space="0" w:color="auto"/>
            <w:bottom w:val="none" w:sz="0" w:space="0" w:color="auto"/>
            <w:right w:val="none" w:sz="0" w:space="0" w:color="auto"/>
          </w:divBdr>
        </w:div>
        <w:div w:id="1270435263">
          <w:marLeft w:val="30"/>
          <w:marRight w:val="0"/>
          <w:marTop w:val="0"/>
          <w:marBottom w:val="0"/>
          <w:divBdr>
            <w:top w:val="none" w:sz="0" w:space="0" w:color="auto"/>
            <w:left w:val="none" w:sz="0" w:space="0" w:color="auto"/>
            <w:bottom w:val="none" w:sz="0" w:space="0" w:color="auto"/>
            <w:right w:val="none" w:sz="0" w:space="0" w:color="auto"/>
          </w:divBdr>
        </w:div>
        <w:div w:id="877359335">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4FB6135DC64C3BBAF380B5BC754CD0"/>
        <w:category>
          <w:name w:val="Général"/>
          <w:gallery w:val="placeholder"/>
        </w:category>
        <w:types>
          <w:type w:val="bbPlcHdr"/>
        </w:types>
        <w:behaviors>
          <w:behavior w:val="content"/>
        </w:behaviors>
        <w:guid w:val="{7FB81CED-1301-4C67-A177-38EDD77910EA}"/>
      </w:docPartPr>
      <w:docPartBody>
        <w:p w:rsidR="000807EF" w:rsidRDefault="00F90CEC">
          <w:r w:rsidRPr="00EF7030">
            <w:rPr>
              <w:rStyle w:val="Textedelespacerserv"/>
            </w:rPr>
            <w:t>Dossier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CEC"/>
    <w:rsid w:val="000807EF"/>
    <w:rsid w:val="0008599E"/>
    <w:rsid w:val="00086F56"/>
    <w:rsid w:val="000E612C"/>
    <w:rsid w:val="0011296B"/>
    <w:rsid w:val="001518D8"/>
    <w:rsid w:val="001B034F"/>
    <w:rsid w:val="001B1F97"/>
    <w:rsid w:val="002545C5"/>
    <w:rsid w:val="00274928"/>
    <w:rsid w:val="00290182"/>
    <w:rsid w:val="0038510D"/>
    <w:rsid w:val="003C353F"/>
    <w:rsid w:val="003E2110"/>
    <w:rsid w:val="003E5984"/>
    <w:rsid w:val="00420D56"/>
    <w:rsid w:val="00436D26"/>
    <w:rsid w:val="00480C9A"/>
    <w:rsid w:val="004E313C"/>
    <w:rsid w:val="005346A7"/>
    <w:rsid w:val="005732B5"/>
    <w:rsid w:val="00643618"/>
    <w:rsid w:val="0065603D"/>
    <w:rsid w:val="006F0057"/>
    <w:rsid w:val="006F2351"/>
    <w:rsid w:val="00711C90"/>
    <w:rsid w:val="00747DEF"/>
    <w:rsid w:val="00752C7D"/>
    <w:rsid w:val="00791358"/>
    <w:rsid w:val="007D3EC6"/>
    <w:rsid w:val="00834389"/>
    <w:rsid w:val="00851133"/>
    <w:rsid w:val="00854A34"/>
    <w:rsid w:val="00876F1C"/>
    <w:rsid w:val="008B74D9"/>
    <w:rsid w:val="00911CBC"/>
    <w:rsid w:val="00935F35"/>
    <w:rsid w:val="00987468"/>
    <w:rsid w:val="00A73496"/>
    <w:rsid w:val="00AE54DB"/>
    <w:rsid w:val="00AF30FB"/>
    <w:rsid w:val="00BC522E"/>
    <w:rsid w:val="00CD549B"/>
    <w:rsid w:val="00D60C0C"/>
    <w:rsid w:val="00D9268A"/>
    <w:rsid w:val="00DE17BD"/>
    <w:rsid w:val="00DE6D36"/>
    <w:rsid w:val="00E415A8"/>
    <w:rsid w:val="00E60259"/>
    <w:rsid w:val="00EA74E9"/>
    <w:rsid w:val="00F1024E"/>
    <w:rsid w:val="00F90CE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80C9A"/>
    <w:rPr>
      <w:color w:val="808080"/>
    </w:rPr>
  </w:style>
  <w:style w:type="paragraph" w:customStyle="1" w:styleId="77948E6125B74A6AA58C2E9FF2CC31EB">
    <w:name w:val="77948E6125B74A6AA58C2E9FF2CC31EB"/>
    <w:rsid w:val="00480C9A"/>
  </w:style>
  <w:style w:type="paragraph" w:customStyle="1" w:styleId="8E0C15376FBC4BA5AECD80752A074B99">
    <w:name w:val="8E0C15376FBC4BA5AECD80752A074B99"/>
    <w:rsid w:val="00480C9A"/>
  </w:style>
  <w:style w:type="paragraph" w:customStyle="1" w:styleId="3794C0D06DCF4B65AA7749DCB2EF896A">
    <w:name w:val="3794C0D06DCF4B65AA7749DCB2EF896A"/>
    <w:rsid w:val="00480C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B97CA-8F39-40DD-B7BA-8DEB59643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1712</Words>
  <Characters>9039</Characters>
  <Application>Microsoft Office Word</Application>
  <DocSecurity>0</DocSecurity>
  <Lines>75</Lines>
  <Paragraphs>21</Paragraphs>
  <ScaleCrop>false</ScaleCrop>
  <Manager/>
  <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2023-03-10T16:21:00Z</dcterms:created>
  <dcterms:modified xsi:type="dcterms:W3CDTF">2023-03-28T19:07:00Z</dcterms:modified>
  <cp:category/>
</cp:coreProperties>
</file>