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4F16" w14:textId="6B7D1645" w:rsidR="00D05F07" w:rsidRPr="0018369C" w:rsidRDefault="00D05F07">
      <w:pPr>
        <w:rPr>
          <w:lang w:val="en-CA"/>
        </w:rPr>
      </w:pPr>
      <w:r w:rsidRPr="0018369C">
        <w:rPr>
          <w:lang w:val="en-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A80F26" w:rsidRPr="0018369C" w14:paraId="3F6449E4" w14:textId="77777777" w:rsidTr="00B62BCF">
        <w:trPr>
          <w:trHeight w:val="248"/>
        </w:trPr>
        <w:tc>
          <w:tcPr>
            <w:tcW w:w="7372" w:type="dxa"/>
            <w:gridSpan w:val="5"/>
          </w:tcPr>
          <w:p w14:paraId="346DCBFF" w14:textId="5B98866C" w:rsidR="008F364A" w:rsidRPr="0018369C" w:rsidRDefault="000E263F" w:rsidP="0081155A">
            <w:pPr>
              <w:pStyle w:val="zSoquijdatRepertorie"/>
              <w:rPr>
                <w:rFonts w:cs="Arial"/>
                <w:lang w:val="en-CA"/>
              </w:rPr>
            </w:pPr>
            <w:r w:rsidRPr="0018369C">
              <w:rPr>
                <w:rFonts w:cs="Arial"/>
                <w:lang w:val="en-CA"/>
              </w:rPr>
              <w:t>R. c. H.V.</w:t>
            </w:r>
          </w:p>
        </w:tc>
        <w:tc>
          <w:tcPr>
            <w:tcW w:w="1988" w:type="dxa"/>
          </w:tcPr>
          <w:p w14:paraId="7337D145" w14:textId="1785B580" w:rsidR="008F364A" w:rsidRPr="0018369C" w:rsidRDefault="000E263F" w:rsidP="00B05B43">
            <w:pPr>
              <w:pStyle w:val="zSoquijdatRefNeutre"/>
              <w:jc w:val="right"/>
              <w:rPr>
                <w:rFonts w:cs="Arial"/>
                <w:lang w:val="en-CA"/>
              </w:rPr>
            </w:pPr>
            <w:r w:rsidRPr="0018369C">
              <w:rPr>
                <w:rFonts w:cs="Arial"/>
                <w:lang w:val="en-CA"/>
              </w:rPr>
              <w:t>2022 QCCA 16</w:t>
            </w:r>
          </w:p>
        </w:tc>
      </w:tr>
      <w:tr w:rsidR="00A80F26" w:rsidRPr="0018369C" w14:paraId="3916DD97" w14:textId="77777777" w:rsidTr="00B62BCF">
        <w:trPr>
          <w:trHeight w:val="247"/>
        </w:trPr>
        <w:tc>
          <w:tcPr>
            <w:tcW w:w="9360" w:type="dxa"/>
            <w:gridSpan w:val="6"/>
          </w:tcPr>
          <w:p w14:paraId="05737331" w14:textId="077D759F" w:rsidR="008F364A" w:rsidRPr="0018369C" w:rsidRDefault="00D05F07" w:rsidP="00AF40E0">
            <w:pPr>
              <w:pStyle w:val="zSoquijlblCour"/>
              <w:spacing w:before="180" w:after="180" w:line="280" w:lineRule="exact"/>
              <w:rPr>
                <w:lang w:val="en-CA"/>
              </w:rPr>
            </w:pPr>
            <w:r w:rsidRPr="0018369C">
              <w:rPr>
                <w:lang w:val="en-CA"/>
              </w:rPr>
              <w:t>COURT OF APPEAL</w:t>
            </w:r>
          </w:p>
        </w:tc>
      </w:tr>
      <w:tr w:rsidR="00A80F26" w:rsidRPr="0018369C" w14:paraId="537F871C" w14:textId="77777777" w:rsidTr="00B62BCF">
        <w:trPr>
          <w:trHeight w:val="540"/>
        </w:trPr>
        <w:tc>
          <w:tcPr>
            <w:tcW w:w="9360" w:type="dxa"/>
            <w:gridSpan w:val="6"/>
          </w:tcPr>
          <w:p w14:paraId="3D3FCBF0" w14:textId="77777777" w:rsidR="008F364A" w:rsidRPr="0018369C" w:rsidRDefault="00101ACD" w:rsidP="00A3163A">
            <w:pPr>
              <w:pStyle w:val="zSoquijdatDivision"/>
              <w:rPr>
                <w:lang w:val="en-CA"/>
              </w:rPr>
            </w:pPr>
          </w:p>
        </w:tc>
      </w:tr>
      <w:tr w:rsidR="00A80F26" w:rsidRPr="0018369C" w14:paraId="67CF9461" w14:textId="77777777" w:rsidTr="00B62BCF">
        <w:tc>
          <w:tcPr>
            <w:tcW w:w="9360" w:type="dxa"/>
            <w:gridSpan w:val="6"/>
          </w:tcPr>
          <w:p w14:paraId="5E6F1D9A" w14:textId="77777777" w:rsidR="008F364A" w:rsidRPr="0018369C" w:rsidRDefault="000E263F" w:rsidP="00A3163A">
            <w:pPr>
              <w:pStyle w:val="zSoquijlblPays"/>
              <w:rPr>
                <w:lang w:val="en-CA"/>
              </w:rPr>
            </w:pPr>
            <w:r w:rsidRPr="0018369C">
              <w:rPr>
                <w:lang w:val="en-CA"/>
              </w:rPr>
              <w:t>CANADA</w:t>
            </w:r>
          </w:p>
        </w:tc>
      </w:tr>
      <w:tr w:rsidR="00A80F26" w:rsidRPr="0018369C" w14:paraId="36079881" w14:textId="77777777" w:rsidTr="00B62BCF">
        <w:tc>
          <w:tcPr>
            <w:tcW w:w="9360" w:type="dxa"/>
            <w:gridSpan w:val="6"/>
          </w:tcPr>
          <w:p w14:paraId="217C3B9C" w14:textId="0CC8A51A" w:rsidR="008F364A" w:rsidRPr="0018369C" w:rsidRDefault="00D05F07" w:rsidP="00A3163A">
            <w:pPr>
              <w:pStyle w:val="zSoquijlblProvince"/>
              <w:rPr>
                <w:lang w:val="en-CA"/>
              </w:rPr>
            </w:pPr>
            <w:r w:rsidRPr="0018369C">
              <w:rPr>
                <w:lang w:val="en-CA"/>
              </w:rPr>
              <w:t>PROVINCE OF QUEBEC</w:t>
            </w:r>
          </w:p>
        </w:tc>
      </w:tr>
      <w:tr w:rsidR="00AC219E" w:rsidRPr="0018369C" w14:paraId="2B0A6EE3" w14:textId="77777777" w:rsidTr="00B62BCF">
        <w:tc>
          <w:tcPr>
            <w:tcW w:w="1701" w:type="dxa"/>
            <w:gridSpan w:val="3"/>
          </w:tcPr>
          <w:p w14:paraId="5C72559E" w14:textId="2ED400E1" w:rsidR="008F364A" w:rsidRPr="0018369C" w:rsidRDefault="00D05F07" w:rsidP="00A3163A">
            <w:pPr>
              <w:pStyle w:val="zSoquijlblGreffe"/>
              <w:rPr>
                <w:lang w:val="en-CA"/>
              </w:rPr>
            </w:pPr>
            <w:r w:rsidRPr="0018369C">
              <w:rPr>
                <w:lang w:val="en-CA"/>
              </w:rPr>
              <w:t>REGISTRY OF</w:t>
            </w:r>
          </w:p>
          <w:p w14:paraId="294B768D" w14:textId="77777777" w:rsidR="008F364A" w:rsidRPr="0018369C" w:rsidRDefault="00101ACD" w:rsidP="00A3163A">
            <w:pPr>
              <w:pStyle w:val="zSoquijlblGreffe"/>
              <w:rPr>
                <w:lang w:val="en-CA"/>
              </w:rPr>
            </w:pPr>
          </w:p>
        </w:tc>
        <w:tc>
          <w:tcPr>
            <w:tcW w:w="7655" w:type="dxa"/>
            <w:gridSpan w:val="3"/>
          </w:tcPr>
          <w:p w14:paraId="4F0FC521" w14:textId="2BB19BD4" w:rsidR="008F364A" w:rsidRPr="0018369C" w:rsidRDefault="00D05F07" w:rsidP="00A3163A">
            <w:pPr>
              <w:pStyle w:val="zSoquijdatGreffe"/>
              <w:rPr>
                <w:lang w:val="en-CA"/>
              </w:rPr>
            </w:pPr>
            <w:r w:rsidRPr="0018369C">
              <w:rPr>
                <w:lang w:val="en-CA"/>
              </w:rPr>
              <w:t>MONTREAL</w:t>
            </w:r>
          </w:p>
        </w:tc>
      </w:tr>
      <w:tr w:rsidR="00A80F26" w:rsidRPr="0018369C" w14:paraId="537A2C9B" w14:textId="77777777" w:rsidTr="00B62BCF">
        <w:tc>
          <w:tcPr>
            <w:tcW w:w="1030" w:type="dxa"/>
          </w:tcPr>
          <w:p w14:paraId="4A4CC385" w14:textId="2B686B5D" w:rsidR="008F364A" w:rsidRPr="0018369C" w:rsidRDefault="00D05F07" w:rsidP="00A3163A">
            <w:pPr>
              <w:pStyle w:val="zSoquijlblNoDossier"/>
              <w:rPr>
                <w:lang w:val="en-CA"/>
              </w:rPr>
            </w:pPr>
            <w:r w:rsidRPr="0018369C">
              <w:rPr>
                <w:lang w:val="en-CA"/>
              </w:rPr>
              <w:t>No.:</w:t>
            </w:r>
          </w:p>
        </w:tc>
        <w:tc>
          <w:tcPr>
            <w:tcW w:w="8330" w:type="dxa"/>
            <w:gridSpan w:val="5"/>
          </w:tcPr>
          <w:p w14:paraId="7DF5A2F9" w14:textId="77777777" w:rsidR="008F364A" w:rsidRPr="0018369C" w:rsidRDefault="000E263F" w:rsidP="00A3163A">
            <w:pPr>
              <w:pStyle w:val="zSoquijdatNoDossier"/>
              <w:rPr>
                <w:lang w:val="en-CA"/>
              </w:rPr>
            </w:pPr>
            <w:bookmarkStart w:id="0" w:name="NoDossier"/>
            <w:r w:rsidRPr="0018369C">
              <w:rPr>
                <w:lang w:val="en-CA"/>
              </w:rPr>
              <w:t>500-10-007541-210</w:t>
            </w:r>
            <w:bookmarkEnd w:id="0"/>
          </w:p>
        </w:tc>
      </w:tr>
      <w:tr w:rsidR="00A80F26" w:rsidRPr="0018369C" w14:paraId="667F7197" w14:textId="77777777" w:rsidTr="00B62BCF">
        <w:tc>
          <w:tcPr>
            <w:tcW w:w="9360" w:type="dxa"/>
            <w:gridSpan w:val="6"/>
          </w:tcPr>
          <w:p w14:paraId="110E23C8" w14:textId="6C756514" w:rsidR="008B162F" w:rsidRPr="0018369C" w:rsidRDefault="000E263F" w:rsidP="00A3163A">
            <w:pPr>
              <w:pStyle w:val="zSoquijdatNoDossierAnt"/>
              <w:rPr>
                <w:lang w:val="en-CA"/>
              </w:rPr>
            </w:pPr>
            <w:r w:rsidRPr="0018369C">
              <w:rPr>
                <w:lang w:val="en-CA"/>
              </w:rPr>
              <w:t>(540-36-001085-199) (540-01-080712-170)</w:t>
            </w:r>
          </w:p>
        </w:tc>
      </w:tr>
      <w:tr w:rsidR="00A80F26" w:rsidRPr="0018369C" w14:paraId="1F7D5178" w14:textId="77777777" w:rsidTr="00B62BCF">
        <w:tc>
          <w:tcPr>
            <w:tcW w:w="9360" w:type="dxa"/>
            <w:gridSpan w:val="6"/>
          </w:tcPr>
          <w:p w14:paraId="4235A810" w14:textId="77777777" w:rsidR="008F364A" w:rsidRPr="0018369C" w:rsidRDefault="00101ACD" w:rsidP="00A3163A">
            <w:pPr>
              <w:rPr>
                <w:lang w:val="en-CA"/>
              </w:rPr>
            </w:pPr>
          </w:p>
        </w:tc>
      </w:tr>
      <w:tr w:rsidR="00A80F26" w:rsidRPr="0018369C" w14:paraId="664C246C" w14:textId="77777777" w:rsidTr="00B62BCF">
        <w:tc>
          <w:tcPr>
            <w:tcW w:w="1030" w:type="dxa"/>
          </w:tcPr>
          <w:p w14:paraId="25AB3266" w14:textId="6C245127" w:rsidR="008F364A" w:rsidRPr="0018369C" w:rsidRDefault="00D05F07" w:rsidP="00A3163A">
            <w:pPr>
              <w:pStyle w:val="zSoquijlblDateJugement"/>
              <w:rPr>
                <w:lang w:val="en-CA"/>
              </w:rPr>
            </w:pPr>
            <w:r w:rsidRPr="0018369C">
              <w:rPr>
                <w:lang w:val="en-CA"/>
              </w:rPr>
              <w:t>DATE:</w:t>
            </w:r>
          </w:p>
        </w:tc>
        <w:tc>
          <w:tcPr>
            <w:tcW w:w="8330" w:type="dxa"/>
            <w:gridSpan w:val="5"/>
          </w:tcPr>
          <w:p w14:paraId="33B949AC" w14:textId="60B968D8" w:rsidR="008F364A" w:rsidRPr="0018369C" w:rsidRDefault="00D05F07" w:rsidP="00C065DC">
            <w:pPr>
              <w:pStyle w:val="zSoquijdatDateJugement"/>
              <w:rPr>
                <w:lang w:val="en-CA"/>
              </w:rPr>
            </w:pPr>
            <w:r w:rsidRPr="0018369C">
              <w:rPr>
                <w:lang w:val="en-CA"/>
              </w:rPr>
              <w:t>January 12, 2022</w:t>
            </w:r>
          </w:p>
        </w:tc>
      </w:tr>
      <w:tr w:rsidR="00A80F26" w:rsidRPr="0018369C" w14:paraId="2BCC2B5B" w14:textId="77777777" w:rsidTr="00B62BCF">
        <w:tc>
          <w:tcPr>
            <w:tcW w:w="9360" w:type="dxa"/>
            <w:gridSpan w:val="6"/>
            <w:tcBorders>
              <w:bottom w:val="single" w:sz="8" w:space="0" w:color="auto"/>
            </w:tcBorders>
          </w:tcPr>
          <w:p w14:paraId="121E3461" w14:textId="77777777" w:rsidR="008F364A" w:rsidRPr="0018369C" w:rsidRDefault="00101ACD" w:rsidP="00A3163A">
            <w:pPr>
              <w:rPr>
                <w:lang w:val="en-CA"/>
              </w:rPr>
            </w:pPr>
          </w:p>
        </w:tc>
      </w:tr>
      <w:tr w:rsidR="00A80F26" w:rsidRPr="0018369C" w14:paraId="13D91409" w14:textId="77777777" w:rsidTr="00B62BCF">
        <w:tc>
          <w:tcPr>
            <w:tcW w:w="9360" w:type="dxa"/>
            <w:gridSpan w:val="6"/>
            <w:tcBorders>
              <w:top w:val="single" w:sz="8" w:space="0" w:color="auto"/>
            </w:tcBorders>
          </w:tcPr>
          <w:p w14:paraId="52A80BCA" w14:textId="77777777" w:rsidR="008F364A" w:rsidRPr="0018369C" w:rsidRDefault="00101ACD" w:rsidP="00A3163A">
            <w:pPr>
              <w:rPr>
                <w:lang w:val="en-CA"/>
              </w:rPr>
            </w:pPr>
          </w:p>
        </w:tc>
      </w:tr>
      <w:tr w:rsidR="00A80F26" w:rsidRPr="0018369C" w14:paraId="412C36CE" w14:textId="77777777" w:rsidTr="00B62BCF">
        <w:tc>
          <w:tcPr>
            <w:tcW w:w="1620" w:type="dxa"/>
            <w:gridSpan w:val="2"/>
          </w:tcPr>
          <w:p w14:paraId="09E253F9" w14:textId="20FC1127" w:rsidR="008F364A" w:rsidRPr="0018369C" w:rsidRDefault="00D05F07" w:rsidP="00A3163A">
            <w:pPr>
              <w:pStyle w:val="zSoquijlblJuge"/>
              <w:ind w:right="-142"/>
              <w:rPr>
                <w:lang w:val="en-CA"/>
              </w:rPr>
            </w:pPr>
            <w:r w:rsidRPr="0018369C">
              <w:rPr>
                <w:lang w:val="en-CA"/>
              </w:rPr>
              <w:t>CORAM:</w:t>
            </w:r>
          </w:p>
        </w:tc>
        <w:tc>
          <w:tcPr>
            <w:tcW w:w="2350" w:type="dxa"/>
            <w:gridSpan w:val="2"/>
          </w:tcPr>
          <w:p w14:paraId="4ABC1B7F" w14:textId="5FA9BBB9" w:rsidR="008F364A" w:rsidRPr="0018369C" w:rsidRDefault="00D05F07" w:rsidP="00A3163A">
            <w:pPr>
              <w:pStyle w:val="zSoquijdatQteJuge"/>
              <w:rPr>
                <w:lang w:val="en-CA"/>
              </w:rPr>
            </w:pPr>
            <w:r w:rsidRPr="0018369C">
              <w:rPr>
                <w:lang w:val="en-CA"/>
              </w:rPr>
              <w:t>THE HONOURABLE</w:t>
            </w:r>
          </w:p>
        </w:tc>
        <w:tc>
          <w:tcPr>
            <w:tcW w:w="5390" w:type="dxa"/>
            <w:gridSpan w:val="2"/>
          </w:tcPr>
          <w:p w14:paraId="2D77BF23" w14:textId="7171E6A7" w:rsidR="008F364A" w:rsidRPr="0018369C" w:rsidRDefault="00D05F07" w:rsidP="00A3163A">
            <w:pPr>
              <w:pStyle w:val="zSoquijdatJuge"/>
              <w:rPr>
                <w:lang w:val="en-CA"/>
              </w:rPr>
            </w:pPr>
            <w:r w:rsidRPr="0018369C">
              <w:rPr>
                <w:lang w:val="en-CA"/>
              </w:rPr>
              <w:t>MARK SCHRAGER, J.A.</w:t>
            </w:r>
          </w:p>
          <w:p w14:paraId="65EC800C" w14:textId="5F1B4C65" w:rsidR="008F364A" w:rsidRPr="0018369C" w:rsidRDefault="00D05F07" w:rsidP="00A3163A">
            <w:pPr>
              <w:pStyle w:val="zSoquijdatJuge"/>
              <w:rPr>
                <w:lang w:val="en-CA"/>
              </w:rPr>
            </w:pPr>
            <w:r w:rsidRPr="0018369C">
              <w:rPr>
                <w:lang w:val="en-CA"/>
              </w:rPr>
              <w:t>BENOÎT MOORE, J.A.</w:t>
            </w:r>
          </w:p>
          <w:p w14:paraId="3CF94080" w14:textId="280F9399" w:rsidR="005A78BF" w:rsidRPr="0018369C" w:rsidRDefault="00D05F07" w:rsidP="00A3163A">
            <w:pPr>
              <w:pStyle w:val="zSoquijdatJuge"/>
              <w:rPr>
                <w:lang w:val="en-CA"/>
              </w:rPr>
            </w:pPr>
            <w:bookmarkStart w:id="1" w:name="_Hlt520513784"/>
            <w:bookmarkEnd w:id="1"/>
            <w:r w:rsidRPr="0018369C">
              <w:rPr>
                <w:lang w:val="en-CA"/>
              </w:rPr>
              <w:t>PETER KALICHMAN, J.A.</w:t>
            </w:r>
          </w:p>
        </w:tc>
      </w:tr>
      <w:tr w:rsidR="00A80F26" w:rsidRPr="0018369C" w14:paraId="128DC9C5" w14:textId="77777777" w:rsidTr="00B62BCF">
        <w:tc>
          <w:tcPr>
            <w:tcW w:w="9360" w:type="dxa"/>
            <w:gridSpan w:val="6"/>
            <w:tcBorders>
              <w:bottom w:val="single" w:sz="8" w:space="0" w:color="auto"/>
            </w:tcBorders>
          </w:tcPr>
          <w:p w14:paraId="583F618A" w14:textId="77777777" w:rsidR="008F364A" w:rsidRPr="0018369C" w:rsidRDefault="00101ACD" w:rsidP="00A3163A">
            <w:pPr>
              <w:rPr>
                <w:lang w:val="en-CA"/>
              </w:rPr>
            </w:pPr>
          </w:p>
        </w:tc>
      </w:tr>
      <w:tr w:rsidR="00A80F26" w:rsidRPr="0018369C" w14:paraId="75F18261" w14:textId="77777777" w:rsidTr="00B62BCF">
        <w:tc>
          <w:tcPr>
            <w:tcW w:w="9360" w:type="dxa"/>
            <w:gridSpan w:val="6"/>
          </w:tcPr>
          <w:p w14:paraId="64824DDA" w14:textId="77777777" w:rsidR="008F364A" w:rsidRPr="0018369C" w:rsidRDefault="00101ACD" w:rsidP="00A3163A">
            <w:pPr>
              <w:pStyle w:val="zSoquijlblTitrePartie"/>
              <w:rPr>
                <w:lang w:val="en-CA"/>
              </w:rPr>
            </w:pPr>
          </w:p>
        </w:tc>
      </w:tr>
      <w:tr w:rsidR="00A80F26" w:rsidRPr="0018369C" w14:paraId="6C282499" w14:textId="77777777" w:rsidTr="00B62BCF">
        <w:tc>
          <w:tcPr>
            <w:tcW w:w="9360" w:type="dxa"/>
            <w:gridSpan w:val="6"/>
          </w:tcPr>
          <w:p w14:paraId="4D23A971" w14:textId="66DADD3E" w:rsidR="008F364A" w:rsidRPr="0018369C" w:rsidRDefault="00D05F07" w:rsidP="00A3163A">
            <w:pPr>
              <w:pStyle w:val="zSoquijdatNomPartieDem"/>
              <w:rPr>
                <w:lang w:val="en-CA"/>
              </w:rPr>
            </w:pPr>
            <w:r w:rsidRPr="0018369C">
              <w:rPr>
                <w:lang w:val="en-CA"/>
              </w:rPr>
              <w:t>HER MAJESTY THE QUEEN</w:t>
            </w:r>
          </w:p>
        </w:tc>
      </w:tr>
      <w:tr w:rsidR="00A80F26" w:rsidRPr="0018369C" w14:paraId="32429E99" w14:textId="77777777" w:rsidTr="00B62BCF">
        <w:tc>
          <w:tcPr>
            <w:tcW w:w="9360" w:type="dxa"/>
            <w:gridSpan w:val="6"/>
          </w:tcPr>
          <w:p w14:paraId="5B10E589" w14:textId="76F409A4" w:rsidR="008B162F" w:rsidRPr="0018369C" w:rsidRDefault="00D05F07" w:rsidP="00A3163A">
            <w:pPr>
              <w:pStyle w:val="zSoquijdatNomPartieDem"/>
              <w:rPr>
                <w:lang w:val="en-CA"/>
              </w:rPr>
            </w:pPr>
            <w:r w:rsidRPr="0018369C">
              <w:rPr>
                <w:lang w:val="en-CA"/>
              </w:rPr>
              <w:t>ATTORNEY GENERAL OF QUEBEC</w:t>
            </w:r>
          </w:p>
        </w:tc>
      </w:tr>
      <w:tr w:rsidR="00A80F26" w:rsidRPr="0018369C" w14:paraId="4CBD03DD" w14:textId="77777777" w:rsidTr="00B62BCF">
        <w:tc>
          <w:tcPr>
            <w:tcW w:w="9360" w:type="dxa"/>
            <w:gridSpan w:val="6"/>
          </w:tcPr>
          <w:p w14:paraId="40CB27A7" w14:textId="44D9DF3D" w:rsidR="008B162F" w:rsidRPr="0018369C" w:rsidRDefault="00D05F07" w:rsidP="00A3163A">
            <w:pPr>
              <w:pStyle w:val="zSoquijdatQtePartieDem"/>
              <w:rPr>
                <w:lang w:val="en-CA"/>
              </w:rPr>
            </w:pPr>
            <w:r w:rsidRPr="0018369C">
              <w:rPr>
                <w:lang w:val="en-CA"/>
              </w:rPr>
              <w:t xml:space="preserve">APPELLANTS – </w:t>
            </w:r>
            <w:r w:rsidR="00B62BCF">
              <w:rPr>
                <w:lang w:val="en-CA"/>
              </w:rPr>
              <w:t>a</w:t>
            </w:r>
            <w:r w:rsidRPr="0018369C">
              <w:rPr>
                <w:lang w:val="en-CA"/>
              </w:rPr>
              <w:t>ppellants</w:t>
            </w:r>
          </w:p>
        </w:tc>
      </w:tr>
      <w:tr w:rsidR="00A80F26" w:rsidRPr="0018369C" w14:paraId="57B15F18" w14:textId="77777777" w:rsidTr="00B62BCF">
        <w:tc>
          <w:tcPr>
            <w:tcW w:w="9360" w:type="dxa"/>
            <w:gridSpan w:val="6"/>
          </w:tcPr>
          <w:p w14:paraId="0A4A1918" w14:textId="69E9E3D4" w:rsidR="008F364A" w:rsidRPr="0018369C" w:rsidRDefault="00D05F07" w:rsidP="00A3163A">
            <w:pPr>
              <w:pStyle w:val="zSoquijlblLienParties"/>
              <w:rPr>
                <w:lang w:val="en-CA"/>
              </w:rPr>
            </w:pPr>
            <w:r w:rsidRPr="0018369C">
              <w:rPr>
                <w:lang w:val="en-CA"/>
              </w:rPr>
              <w:t>v.</w:t>
            </w:r>
          </w:p>
        </w:tc>
      </w:tr>
      <w:tr w:rsidR="00A80F26" w:rsidRPr="0018369C" w14:paraId="13763232" w14:textId="77777777" w:rsidTr="00B62BCF">
        <w:tc>
          <w:tcPr>
            <w:tcW w:w="9360" w:type="dxa"/>
            <w:gridSpan w:val="6"/>
          </w:tcPr>
          <w:p w14:paraId="4A9A1075" w14:textId="77777777" w:rsidR="008F364A" w:rsidRPr="0018369C" w:rsidRDefault="00101ACD" w:rsidP="00A3163A">
            <w:pPr>
              <w:rPr>
                <w:lang w:val="en-CA"/>
              </w:rPr>
            </w:pPr>
          </w:p>
        </w:tc>
      </w:tr>
      <w:tr w:rsidR="00A80F26" w:rsidRPr="0018369C" w14:paraId="4BE83830" w14:textId="77777777" w:rsidTr="00B62BCF">
        <w:tc>
          <w:tcPr>
            <w:tcW w:w="9360" w:type="dxa"/>
            <w:gridSpan w:val="6"/>
          </w:tcPr>
          <w:p w14:paraId="38706BE6" w14:textId="7082890B" w:rsidR="008F364A" w:rsidRPr="0018369C" w:rsidRDefault="000E263F" w:rsidP="00A3163A">
            <w:pPr>
              <w:pStyle w:val="zSoquijdatNomPartieDef"/>
              <w:rPr>
                <w:lang w:val="en-CA"/>
              </w:rPr>
            </w:pPr>
            <w:r w:rsidRPr="0018369C">
              <w:rPr>
                <w:lang w:val="en-CA"/>
              </w:rPr>
              <w:t>H. V.</w:t>
            </w:r>
          </w:p>
        </w:tc>
      </w:tr>
      <w:tr w:rsidR="00A80F26" w:rsidRPr="0018369C" w14:paraId="3BD321CE" w14:textId="77777777" w:rsidTr="00B62BCF">
        <w:tc>
          <w:tcPr>
            <w:tcW w:w="9360" w:type="dxa"/>
            <w:gridSpan w:val="6"/>
          </w:tcPr>
          <w:p w14:paraId="26C056EA" w14:textId="041B69D7" w:rsidR="008F364A" w:rsidRPr="0018369C" w:rsidRDefault="00D05F07" w:rsidP="00A3163A">
            <w:pPr>
              <w:pStyle w:val="zSoquijdatQtePartieDef"/>
              <w:rPr>
                <w:lang w:val="en-CA"/>
              </w:rPr>
            </w:pPr>
            <w:r w:rsidRPr="0018369C">
              <w:rPr>
                <w:lang w:val="en-CA"/>
              </w:rPr>
              <w:t>RESPONDENT – respondent</w:t>
            </w:r>
          </w:p>
        </w:tc>
      </w:tr>
      <w:tr w:rsidR="00A80F26" w:rsidRPr="0018369C" w14:paraId="6CD3F287" w14:textId="77777777" w:rsidTr="00B62BCF">
        <w:tc>
          <w:tcPr>
            <w:tcW w:w="9360" w:type="dxa"/>
            <w:gridSpan w:val="6"/>
          </w:tcPr>
          <w:p w14:paraId="2DC4AAA9" w14:textId="77777777" w:rsidR="008F364A" w:rsidRPr="0018369C" w:rsidRDefault="00101ACD" w:rsidP="00A3163A">
            <w:pPr>
              <w:rPr>
                <w:lang w:val="en-CA"/>
              </w:rPr>
            </w:pPr>
          </w:p>
        </w:tc>
      </w:tr>
      <w:tr w:rsidR="00A80F26" w:rsidRPr="0018369C" w14:paraId="5DB8E252" w14:textId="77777777" w:rsidTr="00B62BCF">
        <w:tc>
          <w:tcPr>
            <w:tcW w:w="9360" w:type="dxa"/>
            <w:gridSpan w:val="6"/>
            <w:tcBorders>
              <w:top w:val="single" w:sz="8" w:space="0" w:color="auto"/>
            </w:tcBorders>
          </w:tcPr>
          <w:p w14:paraId="1A0C1CC8" w14:textId="77777777" w:rsidR="008F364A" w:rsidRPr="0018369C" w:rsidRDefault="00101ACD" w:rsidP="00A3163A">
            <w:pPr>
              <w:rPr>
                <w:lang w:val="en-CA"/>
              </w:rPr>
            </w:pPr>
            <w:bookmarkStart w:id="2" w:name="Arret"/>
          </w:p>
        </w:tc>
      </w:tr>
      <w:tr w:rsidR="00A80F26" w:rsidRPr="0018369C" w14:paraId="644D9AB3" w14:textId="77777777" w:rsidTr="00B62BCF">
        <w:tc>
          <w:tcPr>
            <w:tcW w:w="9360" w:type="dxa"/>
            <w:gridSpan w:val="6"/>
          </w:tcPr>
          <w:p w14:paraId="18CF5070" w14:textId="70B4A911" w:rsidR="008F364A" w:rsidRPr="0018369C" w:rsidRDefault="00D05F07" w:rsidP="00A3163A">
            <w:pPr>
              <w:pStyle w:val="zSoquijlblTypeDocument"/>
              <w:rPr>
                <w:lang w:val="en-CA"/>
              </w:rPr>
            </w:pPr>
            <w:r w:rsidRPr="0018369C">
              <w:rPr>
                <w:lang w:val="en-CA"/>
              </w:rPr>
              <w:t>JUDGMENT</w:t>
            </w:r>
          </w:p>
        </w:tc>
      </w:tr>
      <w:tr w:rsidR="00A80F26" w:rsidRPr="0018369C" w14:paraId="4DE4DAA3" w14:textId="77777777" w:rsidTr="00B62BCF">
        <w:tc>
          <w:tcPr>
            <w:tcW w:w="9360" w:type="dxa"/>
            <w:gridSpan w:val="6"/>
            <w:tcBorders>
              <w:bottom w:val="single" w:sz="8" w:space="0" w:color="auto"/>
            </w:tcBorders>
          </w:tcPr>
          <w:p w14:paraId="10349FD8" w14:textId="77777777" w:rsidR="008F364A" w:rsidRPr="0018369C" w:rsidRDefault="00101ACD" w:rsidP="00A3163A">
            <w:pPr>
              <w:rPr>
                <w:lang w:val="en-CA"/>
              </w:rPr>
            </w:pPr>
          </w:p>
        </w:tc>
      </w:tr>
      <w:tr w:rsidR="00A80F26" w:rsidRPr="0018369C" w14:paraId="472BD892" w14:textId="77777777" w:rsidTr="00B62BCF">
        <w:tc>
          <w:tcPr>
            <w:tcW w:w="9360" w:type="dxa"/>
            <w:gridSpan w:val="6"/>
            <w:tcBorders>
              <w:top w:val="single" w:sz="8" w:space="0" w:color="auto"/>
            </w:tcBorders>
          </w:tcPr>
          <w:p w14:paraId="5FA48FC1" w14:textId="77777777" w:rsidR="008F364A" w:rsidRPr="0018369C" w:rsidRDefault="00101ACD" w:rsidP="00A3163A">
            <w:pPr>
              <w:rPr>
                <w:lang w:val="en-CA"/>
              </w:rPr>
            </w:pPr>
          </w:p>
        </w:tc>
      </w:tr>
    </w:tbl>
    <w:p w14:paraId="6EB3A2AE" w14:textId="77777777" w:rsidR="00C065DC" w:rsidRPr="0018369C" w:rsidRDefault="00101ACD" w:rsidP="00C065DC">
      <w:pPr>
        <w:pStyle w:val="Paragraphe"/>
        <w:numPr>
          <w:ilvl w:val="0"/>
          <w:numId w:val="0"/>
        </w:numPr>
        <w:spacing w:line="280" w:lineRule="exact"/>
        <w:rPr>
          <w:lang w:val="en-CA"/>
        </w:rPr>
      </w:pPr>
    </w:p>
    <w:tbl>
      <w:tblPr>
        <w:tblStyle w:val="Grilledutableau"/>
        <w:tblW w:w="0" w:type="auto"/>
        <w:tblLook w:val="04A0" w:firstRow="1" w:lastRow="0" w:firstColumn="1" w:lastColumn="0" w:noHBand="0" w:noVBand="1"/>
      </w:tblPr>
      <w:tblGrid>
        <w:gridCol w:w="9352"/>
      </w:tblGrid>
      <w:tr w:rsidR="00A80F26" w:rsidRPr="00675212" w14:paraId="176F8514" w14:textId="77777777" w:rsidTr="00C065DC">
        <w:tc>
          <w:tcPr>
            <w:tcW w:w="9352" w:type="dxa"/>
          </w:tcPr>
          <w:p w14:paraId="2CFA3FD4" w14:textId="1B9ADFC9" w:rsidR="00C065DC" w:rsidRPr="0018369C" w:rsidRDefault="00D05F07" w:rsidP="00C065DC">
            <w:pPr>
              <w:pStyle w:val="Paragraphe"/>
              <w:numPr>
                <w:ilvl w:val="0"/>
                <w:numId w:val="0"/>
              </w:numPr>
              <w:spacing w:line="280" w:lineRule="exact"/>
              <w:rPr>
                <w:lang w:val="en-CA"/>
              </w:rPr>
            </w:pPr>
            <w:r w:rsidRPr="0018369C">
              <w:rPr>
                <w:lang w:val="en-CA"/>
              </w:rPr>
              <w:t xml:space="preserve">(Publication ban under section 486.4 </w:t>
            </w:r>
            <w:r w:rsidRPr="00B62BCF">
              <w:rPr>
                <w:i/>
                <w:iCs/>
                <w:spacing w:val="-20"/>
                <w:lang w:val="en-CA"/>
              </w:rPr>
              <w:t>Cr. C</w:t>
            </w:r>
            <w:r w:rsidRPr="00B62BCF">
              <w:rPr>
                <w:spacing w:val="-20"/>
                <w:lang w:val="en-CA"/>
              </w:rPr>
              <w:t>.</w:t>
            </w:r>
            <w:r w:rsidRPr="0018369C">
              <w:rPr>
                <w:lang w:val="en-CA"/>
              </w:rPr>
              <w:t xml:space="preserve"> prohibiting the broadcast of any information that could identify the victim).</w:t>
            </w:r>
          </w:p>
        </w:tc>
      </w:tr>
    </w:tbl>
    <w:p w14:paraId="782043BC" w14:textId="377954D3" w:rsidR="00F16AE6" w:rsidRPr="0018369C" w:rsidRDefault="00D05F07" w:rsidP="00A3163A">
      <w:pPr>
        <w:pStyle w:val="Paragraphe"/>
        <w:spacing w:line="280" w:lineRule="exact"/>
        <w:rPr>
          <w:lang w:val="en-CA"/>
        </w:rPr>
      </w:pPr>
      <w:bookmarkStart w:id="3" w:name="_Ref87256854"/>
      <w:r w:rsidRPr="0018369C">
        <w:rPr>
          <w:lang w:val="en-CA"/>
        </w:rPr>
        <w:t>We are seized of an appeal from a judgment rendered on February 25, 2021, by the Superior Court, Criminal Division, District of Laval (the Honourable Myriam Lachance), sitting in appeal of a sentencing judgment of the Court of Québec, Criminal and Penal Division, dated November 21, 2019,</w:t>
      </w:r>
      <w:r w:rsidRPr="0018369C">
        <w:rPr>
          <w:rStyle w:val="Appelnotedebasdep"/>
          <w:lang w:val="en-CA"/>
        </w:rPr>
        <w:footnoteReference w:id="1"/>
      </w:r>
      <w:r w:rsidRPr="0018369C">
        <w:rPr>
          <w:lang w:val="en-CA"/>
        </w:rPr>
        <w:t xml:space="preserve"> rendered following a summary prosecution.</w:t>
      </w:r>
      <w:bookmarkEnd w:id="3"/>
      <w:r w:rsidR="000E263F" w:rsidRPr="0018369C">
        <w:rPr>
          <w:lang w:val="en-CA"/>
        </w:rPr>
        <w:t xml:space="preserve"> </w:t>
      </w:r>
      <w:r w:rsidRPr="0018369C">
        <w:rPr>
          <w:lang w:val="en-CA"/>
        </w:rPr>
        <w:t xml:space="preserve">The Superior Court judgment declared </w:t>
      </w:r>
      <w:r w:rsidR="00D62D35">
        <w:rPr>
          <w:lang w:val="en-CA"/>
        </w:rPr>
        <w:t>that</w:t>
      </w:r>
      <w:r w:rsidR="006714B1" w:rsidRPr="0018369C">
        <w:rPr>
          <w:lang w:val="en-CA"/>
        </w:rPr>
        <w:t xml:space="preserve"> </w:t>
      </w:r>
      <w:r w:rsidRPr="0018369C">
        <w:rPr>
          <w:lang w:val="en-CA"/>
        </w:rPr>
        <w:t xml:space="preserve">the mandatory minimum </w:t>
      </w:r>
      <w:r w:rsidRPr="0018369C">
        <w:rPr>
          <w:lang w:val="en-CA"/>
        </w:rPr>
        <w:lastRenderedPageBreak/>
        <w:t xml:space="preserve">sentence of </w:t>
      </w:r>
      <w:r w:rsidR="00424F16">
        <w:rPr>
          <w:lang w:val="en-CA"/>
        </w:rPr>
        <w:t>6</w:t>
      </w:r>
      <w:r w:rsidR="00424F16" w:rsidRPr="0018369C">
        <w:rPr>
          <w:lang w:val="en-CA"/>
        </w:rPr>
        <w:t xml:space="preserve"> </w:t>
      </w:r>
      <w:r w:rsidRPr="0018369C">
        <w:rPr>
          <w:lang w:val="en-CA"/>
        </w:rPr>
        <w:t xml:space="preserve">months’ imprisonment under section 172.1(2)(b) </w:t>
      </w:r>
      <w:r w:rsidRPr="00F65277">
        <w:rPr>
          <w:i/>
          <w:spacing w:val="-20"/>
          <w:lang w:val="en-CA"/>
        </w:rPr>
        <w:t xml:space="preserve">Cr. </w:t>
      </w:r>
      <w:r w:rsidR="003B6EB8">
        <w:rPr>
          <w:i/>
          <w:spacing w:val="-20"/>
          <w:lang w:val="en-CA"/>
        </w:rPr>
        <w:t xml:space="preserve"> </w:t>
      </w:r>
      <w:r w:rsidRPr="00F65277">
        <w:rPr>
          <w:i/>
          <w:spacing w:val="-20"/>
          <w:lang w:val="en-CA"/>
        </w:rPr>
        <w:t>C.</w:t>
      </w:r>
      <w:r w:rsidRPr="0018369C">
        <w:rPr>
          <w:i/>
          <w:lang w:val="en-CA"/>
        </w:rPr>
        <w:t xml:space="preserve"> </w:t>
      </w:r>
      <w:r w:rsidRPr="0018369C">
        <w:rPr>
          <w:lang w:val="en-CA"/>
        </w:rPr>
        <w:t xml:space="preserve">for luring a child </w:t>
      </w:r>
      <w:r w:rsidR="00D62D35">
        <w:rPr>
          <w:lang w:val="en-CA"/>
        </w:rPr>
        <w:t xml:space="preserve">was constitutionally invalid </w:t>
      </w:r>
      <w:r w:rsidRPr="0018369C">
        <w:rPr>
          <w:lang w:val="en-CA"/>
        </w:rPr>
        <w:t>and sentenced the respondent to a term of imprisonment of 90 days to be served intermittently.</w:t>
      </w:r>
    </w:p>
    <w:p w14:paraId="08D37651" w14:textId="4F164471" w:rsidR="00F16AE6" w:rsidRPr="0018369C" w:rsidRDefault="00D05F07" w:rsidP="00A3163A">
      <w:pPr>
        <w:pStyle w:val="Paragraphe"/>
        <w:spacing w:line="280" w:lineRule="exact"/>
        <w:rPr>
          <w:lang w:val="en-CA"/>
        </w:rPr>
      </w:pPr>
      <w:r w:rsidRPr="0018369C">
        <w:rPr>
          <w:lang w:val="en-CA"/>
        </w:rPr>
        <w:t xml:space="preserve">Before this Court, the appellants raise two </w:t>
      </w:r>
      <w:r w:rsidR="0018369C">
        <w:rPr>
          <w:lang w:val="en-CA"/>
        </w:rPr>
        <w:t>question</w:t>
      </w:r>
      <w:r w:rsidR="00AC219E">
        <w:rPr>
          <w:lang w:val="en-CA"/>
        </w:rPr>
        <w:t>s</w:t>
      </w:r>
      <w:r w:rsidRPr="0018369C">
        <w:rPr>
          <w:lang w:val="en-CA"/>
        </w:rPr>
        <w:t>, namely:</w:t>
      </w:r>
    </w:p>
    <w:p w14:paraId="336EAE02" w14:textId="638221A0" w:rsidR="00493BD2" w:rsidRPr="0018369C" w:rsidRDefault="00D05F07" w:rsidP="00A3163A">
      <w:pPr>
        <w:pStyle w:val="Paragraphe"/>
        <w:numPr>
          <w:ilvl w:val="0"/>
          <w:numId w:val="20"/>
        </w:numPr>
        <w:spacing w:line="280" w:lineRule="exact"/>
        <w:ind w:left="1418" w:hanging="698"/>
        <w:rPr>
          <w:lang w:val="en-CA"/>
        </w:rPr>
      </w:pPr>
      <w:r w:rsidRPr="0018369C">
        <w:rPr>
          <w:lang w:val="en-CA"/>
        </w:rPr>
        <w:t>Did the Superior Court render a demonstrably unfit sentence that does not reflect the objective and subjective gravity of the offence committed by the respondent?</w:t>
      </w:r>
    </w:p>
    <w:p w14:paraId="38165F7D" w14:textId="60805CEA" w:rsidR="00F16AE6" w:rsidRPr="0018369C" w:rsidRDefault="00D05F07" w:rsidP="00A3163A">
      <w:pPr>
        <w:pStyle w:val="Paragraphe"/>
        <w:numPr>
          <w:ilvl w:val="0"/>
          <w:numId w:val="20"/>
        </w:numPr>
        <w:spacing w:line="280" w:lineRule="exact"/>
        <w:ind w:left="1418" w:hanging="698"/>
        <w:rPr>
          <w:lang w:val="en-CA"/>
        </w:rPr>
      </w:pPr>
      <w:r w:rsidRPr="0018369C">
        <w:rPr>
          <w:lang w:val="en-CA"/>
        </w:rPr>
        <w:t xml:space="preserve">Did the Superior Court err in law in concluding that section 172.1(2)(b) </w:t>
      </w:r>
      <w:r w:rsidRPr="009C2C61">
        <w:rPr>
          <w:i/>
          <w:spacing w:val="-20"/>
          <w:lang w:val="en-CA"/>
        </w:rPr>
        <w:t xml:space="preserve">Cr. </w:t>
      </w:r>
      <w:r w:rsidR="003B6EB8">
        <w:rPr>
          <w:i/>
          <w:spacing w:val="-20"/>
          <w:lang w:val="en-CA"/>
        </w:rPr>
        <w:t> </w:t>
      </w:r>
      <w:r w:rsidRPr="009C2C61">
        <w:rPr>
          <w:i/>
          <w:spacing w:val="-20"/>
          <w:lang w:val="en-CA"/>
        </w:rPr>
        <w:t>C</w:t>
      </w:r>
      <w:r w:rsidRPr="009C2C61">
        <w:rPr>
          <w:spacing w:val="-20"/>
          <w:lang w:val="en-CA"/>
        </w:rPr>
        <w:t>.</w:t>
      </w:r>
      <w:r w:rsidRPr="0018369C">
        <w:rPr>
          <w:lang w:val="en-CA"/>
        </w:rPr>
        <w:t xml:space="preserve"> is constitutionally invalid under section 12 of the </w:t>
      </w:r>
      <w:r w:rsidRPr="0018369C">
        <w:rPr>
          <w:i/>
          <w:lang w:val="en-CA"/>
        </w:rPr>
        <w:t>Charter</w:t>
      </w:r>
      <w:r w:rsidRPr="0018369C">
        <w:rPr>
          <w:lang w:val="en-CA"/>
        </w:rPr>
        <w:t>?</w:t>
      </w:r>
    </w:p>
    <w:p w14:paraId="4D5A134E" w14:textId="0E189798" w:rsidR="00F16AE6" w:rsidRPr="0018369C" w:rsidRDefault="00D05F07" w:rsidP="00A3163A">
      <w:pPr>
        <w:pStyle w:val="Paragraphe"/>
        <w:spacing w:line="280" w:lineRule="exact"/>
        <w:rPr>
          <w:lang w:val="en-CA"/>
        </w:rPr>
      </w:pPr>
      <w:r w:rsidRPr="0018369C">
        <w:rPr>
          <w:lang w:val="en-CA"/>
        </w:rPr>
        <w:t xml:space="preserve">A judge of the Court granted leave to appeal under section 839 </w:t>
      </w:r>
      <w:r w:rsidRPr="009C2C61">
        <w:rPr>
          <w:i/>
          <w:iCs/>
          <w:spacing w:val="-20"/>
          <w:lang w:val="en-CA"/>
        </w:rPr>
        <w:t>Cr.</w:t>
      </w:r>
      <w:r w:rsidR="003B6EB8">
        <w:rPr>
          <w:i/>
          <w:iCs/>
          <w:spacing w:val="-20"/>
          <w:lang w:val="en-CA"/>
        </w:rPr>
        <w:t xml:space="preserve"> </w:t>
      </w:r>
      <w:r w:rsidRPr="009C2C61">
        <w:rPr>
          <w:i/>
          <w:iCs/>
          <w:spacing w:val="-20"/>
          <w:lang w:val="en-CA"/>
        </w:rPr>
        <w:t xml:space="preserve"> C</w:t>
      </w:r>
      <w:r w:rsidRPr="009C2C61">
        <w:rPr>
          <w:spacing w:val="-20"/>
          <w:lang w:val="en-CA"/>
        </w:rPr>
        <w:t>.</w:t>
      </w:r>
      <w:r w:rsidRPr="0018369C">
        <w:rPr>
          <w:lang w:val="en-CA"/>
        </w:rPr>
        <w:t xml:space="preserve"> on the second </w:t>
      </w:r>
      <w:r w:rsidR="0018369C">
        <w:rPr>
          <w:lang w:val="en-CA"/>
        </w:rPr>
        <w:t>question</w:t>
      </w:r>
      <w:r w:rsidRPr="0018369C">
        <w:rPr>
          <w:lang w:val="en-CA"/>
        </w:rPr>
        <w:t xml:space="preserve"> since it is a question of law but deferred the application for leave to appeal on the first </w:t>
      </w:r>
      <w:r w:rsidR="0018369C">
        <w:rPr>
          <w:lang w:val="en-CA"/>
        </w:rPr>
        <w:t>question</w:t>
      </w:r>
      <w:r w:rsidR="0018369C" w:rsidRPr="0018369C">
        <w:rPr>
          <w:lang w:val="en-CA"/>
        </w:rPr>
        <w:t xml:space="preserve"> to this </w:t>
      </w:r>
      <w:r w:rsidR="00907DFC">
        <w:rPr>
          <w:lang w:val="en-CA"/>
        </w:rPr>
        <w:t>panel</w:t>
      </w:r>
      <w:r w:rsidRPr="0018369C">
        <w:rPr>
          <w:lang w:val="en-CA"/>
        </w:rPr>
        <w:t>.</w:t>
      </w:r>
    </w:p>
    <w:p w14:paraId="13A36976" w14:textId="081102A3" w:rsidR="000A17B1" w:rsidRPr="0018369C" w:rsidRDefault="00D05F07" w:rsidP="00A3163A">
      <w:pPr>
        <w:pStyle w:val="Titre1"/>
        <w:spacing w:line="280" w:lineRule="exact"/>
        <w:rPr>
          <w:lang w:val="en-CA"/>
        </w:rPr>
      </w:pPr>
      <w:r w:rsidRPr="0018369C">
        <w:rPr>
          <w:lang w:val="en-CA"/>
        </w:rPr>
        <w:t>FACTS</w:t>
      </w:r>
    </w:p>
    <w:p w14:paraId="7F118A56" w14:textId="6351981A" w:rsidR="000A17B1" w:rsidRPr="0018369C" w:rsidRDefault="00D05F07" w:rsidP="00A3163A">
      <w:pPr>
        <w:pStyle w:val="Paragraphe"/>
        <w:spacing w:line="280" w:lineRule="exact"/>
        <w:rPr>
          <w:lang w:val="en-CA"/>
        </w:rPr>
      </w:pPr>
      <w:bookmarkStart w:id="4" w:name="_Ref88469793"/>
      <w:r w:rsidRPr="0018369C">
        <w:rPr>
          <w:lang w:val="en-CA"/>
        </w:rPr>
        <w:t>On September 17, 2018, the respondent pleaded guilty before the Court of Québec to the offence charged and acknowledged the following facts:</w:t>
      </w:r>
      <w:r w:rsidR="000E263F" w:rsidRPr="0018369C">
        <w:rPr>
          <w:rStyle w:val="Appelnotedebasdep"/>
          <w:lang w:val="en-CA"/>
        </w:rPr>
        <w:footnoteReference w:id="2"/>
      </w:r>
      <w:bookmarkEnd w:id="4"/>
      <w:r w:rsidRPr="0018369C">
        <w:rPr>
          <w:lang w:val="en-CA"/>
        </w:rPr>
        <w:t xml:space="preserve"> </w:t>
      </w:r>
    </w:p>
    <w:p w14:paraId="0CACDA6C" w14:textId="30BE8C2D" w:rsidR="00D05F07" w:rsidRPr="0018369C" w:rsidRDefault="00D05F07" w:rsidP="00D05F07">
      <w:pPr>
        <w:pStyle w:val="Paragraphe"/>
        <w:numPr>
          <w:ilvl w:val="0"/>
          <w:numId w:val="0"/>
        </w:numPr>
        <w:spacing w:line="280" w:lineRule="exact"/>
        <w:rPr>
          <w:lang w:val="en-CA"/>
        </w:rPr>
      </w:pPr>
      <w:r w:rsidRPr="0018369C">
        <w:rPr>
          <w:lang w:val="en-CA"/>
        </w:rPr>
        <w:tab/>
        <w:t>[</w:t>
      </w:r>
      <w:r w:rsidRPr="0018369C">
        <w:rPr>
          <w:smallCaps/>
          <w:lang w:val="en-CA"/>
        </w:rPr>
        <w:t>translation</w:t>
      </w:r>
      <w:r w:rsidRPr="0018369C">
        <w:rPr>
          <w:lang w:val="en-CA"/>
        </w:rPr>
        <w:t>]</w:t>
      </w:r>
    </w:p>
    <w:p w14:paraId="5EF50777" w14:textId="4809E035" w:rsidR="000A17B1" w:rsidRPr="0018369C" w:rsidRDefault="00D05F07" w:rsidP="00A3163A">
      <w:pPr>
        <w:pStyle w:val="Citationenretrait"/>
        <w:rPr>
          <w:sz w:val="27"/>
          <w:szCs w:val="27"/>
          <w:lang w:val="en-CA" w:eastAsia="fr-CA"/>
        </w:rPr>
      </w:pPr>
      <w:r w:rsidRPr="0018369C">
        <w:rPr>
          <w:lang w:val="en-CA" w:eastAsia="fr-CA"/>
        </w:rPr>
        <w:t>The accused is the uncle and godfather of the victim, X (2001-[...]).</w:t>
      </w:r>
      <w:r w:rsidR="000E263F" w:rsidRPr="0018369C">
        <w:rPr>
          <w:lang w:val="en-CA" w:eastAsia="fr-CA"/>
        </w:rPr>
        <w:t xml:space="preserve"> </w:t>
      </w:r>
      <w:r w:rsidRPr="0018369C">
        <w:rPr>
          <w:lang w:val="en-CA" w:eastAsia="fr-CA"/>
        </w:rPr>
        <w:t xml:space="preserve">At the time the offences </w:t>
      </w:r>
      <w:r w:rsidR="00AC219E">
        <w:rPr>
          <w:lang w:val="en-CA" w:eastAsia="fr-CA"/>
        </w:rPr>
        <w:t xml:space="preserve">were committed, </w:t>
      </w:r>
      <w:r w:rsidRPr="0018369C">
        <w:rPr>
          <w:lang w:val="en-CA" w:eastAsia="fr-CA"/>
        </w:rPr>
        <w:t xml:space="preserve">the accused was 52 years </w:t>
      </w:r>
      <w:r w:rsidR="0018369C" w:rsidRPr="0018369C">
        <w:rPr>
          <w:lang w:val="en-CA" w:eastAsia="fr-CA"/>
        </w:rPr>
        <w:t>old</w:t>
      </w:r>
      <w:r w:rsidRPr="0018369C">
        <w:rPr>
          <w:lang w:val="en-CA" w:eastAsia="fr-CA"/>
        </w:rPr>
        <w:t xml:space="preserve"> and the victim was 16 years old.</w:t>
      </w:r>
      <w:r w:rsidR="000E263F" w:rsidRPr="0018369C">
        <w:rPr>
          <w:lang w:val="en-CA" w:eastAsia="fr-CA"/>
        </w:rPr>
        <w:t xml:space="preserve"> </w:t>
      </w:r>
      <w:r w:rsidRPr="0018369C">
        <w:rPr>
          <w:lang w:val="en-CA" w:eastAsia="fr-CA"/>
        </w:rPr>
        <w:t xml:space="preserve">On July 31, 2017, during a family dinner at the accused’s home, the accused took advantage of a moment alone with the victim to tell her </w:t>
      </w:r>
      <w:r w:rsidR="0018369C">
        <w:rPr>
          <w:lang w:val="en-CA" w:eastAsia="fr-CA"/>
        </w:rPr>
        <w:t xml:space="preserve">that </w:t>
      </w:r>
      <w:r w:rsidR="00EE62CD">
        <w:rPr>
          <w:lang w:val="en-CA" w:eastAsia="fr-CA"/>
        </w:rPr>
        <w:t xml:space="preserve">her </w:t>
      </w:r>
      <w:r w:rsidRPr="0018369C">
        <w:rPr>
          <w:lang w:val="en-CA" w:eastAsia="fr-CA"/>
        </w:rPr>
        <w:t>buttocks and breasts were beautiful.</w:t>
      </w:r>
      <w:r w:rsidR="000E263F" w:rsidRPr="0018369C">
        <w:rPr>
          <w:lang w:val="en-CA" w:eastAsia="fr-CA"/>
        </w:rPr>
        <w:t xml:space="preserve"> </w:t>
      </w:r>
      <w:r w:rsidRPr="0018369C">
        <w:rPr>
          <w:lang w:val="en-CA" w:eastAsia="fr-CA"/>
        </w:rPr>
        <w:t>She was wearing a bathing suit at the time.</w:t>
      </w:r>
      <w:r w:rsidR="000E263F" w:rsidRPr="0018369C">
        <w:rPr>
          <w:lang w:val="en-CA" w:eastAsia="fr-CA"/>
        </w:rPr>
        <w:t xml:space="preserve"> </w:t>
      </w:r>
      <w:r w:rsidRPr="0018369C">
        <w:rPr>
          <w:lang w:val="en-CA" w:eastAsia="fr-CA"/>
        </w:rPr>
        <w:t xml:space="preserve">That night, the accused started sending sexual text messages to the victim, the whole as it appears from the text messages filed </w:t>
      </w:r>
      <w:r w:rsidRPr="0018369C">
        <w:rPr>
          <w:i/>
          <w:iCs/>
          <w:lang w:val="en-CA" w:eastAsia="fr-CA"/>
        </w:rPr>
        <w:t>en liasse</w:t>
      </w:r>
      <w:r w:rsidRPr="0018369C">
        <w:rPr>
          <w:lang w:val="en-CA" w:eastAsia="fr-CA"/>
        </w:rPr>
        <w:t xml:space="preserve"> under S-1.</w:t>
      </w:r>
    </w:p>
    <w:p w14:paraId="792C54BE" w14:textId="13DEEA86" w:rsidR="000A17B1" w:rsidRPr="0018369C" w:rsidRDefault="00EE62CD" w:rsidP="00A3163A">
      <w:pPr>
        <w:pStyle w:val="Citationenretrait"/>
        <w:rPr>
          <w:sz w:val="27"/>
          <w:szCs w:val="27"/>
          <w:lang w:val="en-CA" w:eastAsia="fr-CA"/>
        </w:rPr>
      </w:pPr>
      <w:r>
        <w:rPr>
          <w:lang w:val="en-CA" w:eastAsia="fr-CA"/>
        </w:rPr>
        <w:t>He continued to</w:t>
      </w:r>
      <w:r w:rsidR="00D05F07" w:rsidRPr="0018369C">
        <w:rPr>
          <w:lang w:val="en-CA" w:eastAsia="fr-CA"/>
        </w:rPr>
        <w:t xml:space="preserve"> send sexual text messages until August 9, 2017.</w:t>
      </w:r>
      <w:r w:rsidR="000E263F" w:rsidRPr="0018369C">
        <w:rPr>
          <w:lang w:val="en-CA" w:eastAsia="fr-CA"/>
        </w:rPr>
        <w:t xml:space="preserve"> </w:t>
      </w:r>
      <w:r w:rsidR="00D05F07" w:rsidRPr="0018369C">
        <w:rPr>
          <w:lang w:val="en-CA" w:eastAsia="fr-CA"/>
        </w:rPr>
        <w:t>In these messages, the accused also asked the victim to delete the conversations and not to tell anyone about them.</w:t>
      </w:r>
      <w:r w:rsidR="000E263F" w:rsidRPr="0018369C">
        <w:rPr>
          <w:lang w:val="en-CA" w:eastAsia="fr-CA"/>
        </w:rPr>
        <w:t xml:space="preserve"> </w:t>
      </w:r>
      <w:r w:rsidR="00D05F07" w:rsidRPr="0018369C">
        <w:rPr>
          <w:lang w:val="en-CA" w:eastAsia="fr-CA"/>
        </w:rPr>
        <w:t xml:space="preserve">The next week, the accused suggested to the victim’s mother that she </w:t>
      </w:r>
      <w:r w:rsidR="0018369C">
        <w:rPr>
          <w:lang w:val="en-CA" w:eastAsia="fr-CA"/>
        </w:rPr>
        <w:t>come</w:t>
      </w:r>
      <w:r w:rsidR="00D05F07" w:rsidRPr="0018369C">
        <w:rPr>
          <w:lang w:val="en-CA" w:eastAsia="fr-CA"/>
        </w:rPr>
        <w:t xml:space="preserve"> work for him as a</w:t>
      </w:r>
      <w:r>
        <w:rPr>
          <w:lang w:val="en-CA" w:eastAsia="fr-CA"/>
        </w:rPr>
        <w:t>n office employee</w:t>
      </w:r>
      <w:r w:rsidR="00D05F07" w:rsidRPr="0018369C">
        <w:rPr>
          <w:lang w:val="en-CA" w:eastAsia="fr-CA"/>
        </w:rPr>
        <w:t xml:space="preserve"> at the school where he is principal.</w:t>
      </w:r>
      <w:r w:rsidR="000E263F" w:rsidRPr="0018369C">
        <w:rPr>
          <w:lang w:val="en-CA" w:eastAsia="fr-CA"/>
        </w:rPr>
        <w:t xml:space="preserve"> </w:t>
      </w:r>
      <w:r w:rsidR="00D05F07" w:rsidRPr="0018369C">
        <w:rPr>
          <w:lang w:val="en-CA" w:eastAsia="fr-CA"/>
        </w:rPr>
        <w:t>The victim agreed.</w:t>
      </w:r>
    </w:p>
    <w:p w14:paraId="34BBE82C" w14:textId="0D03323B" w:rsidR="000A17B1" w:rsidRPr="0018369C" w:rsidRDefault="00D05F07" w:rsidP="00A3163A">
      <w:pPr>
        <w:pStyle w:val="Citationenretrait"/>
        <w:rPr>
          <w:sz w:val="27"/>
          <w:szCs w:val="27"/>
          <w:lang w:val="en-CA" w:eastAsia="fr-CA"/>
        </w:rPr>
      </w:pPr>
      <w:r w:rsidRPr="0018369C">
        <w:rPr>
          <w:lang w:val="en-CA" w:eastAsia="fr-CA"/>
        </w:rPr>
        <w:t xml:space="preserve">On </w:t>
      </w:r>
      <w:r w:rsidR="00F95F4E" w:rsidRPr="0018369C">
        <w:rPr>
          <w:lang w:val="en-CA" w:eastAsia="fr-CA"/>
        </w:rPr>
        <w:t>August</w:t>
      </w:r>
      <w:r w:rsidRPr="0018369C">
        <w:rPr>
          <w:lang w:val="en-CA" w:eastAsia="fr-CA"/>
        </w:rPr>
        <w:t xml:space="preserve"> 8, 2017, the victim went to the school for the first time to meet the staff and visit the premises.</w:t>
      </w:r>
      <w:r w:rsidR="000E263F" w:rsidRPr="0018369C">
        <w:rPr>
          <w:lang w:val="en-CA" w:eastAsia="fr-CA"/>
        </w:rPr>
        <w:t xml:space="preserve"> </w:t>
      </w:r>
      <w:r w:rsidRPr="0018369C">
        <w:rPr>
          <w:lang w:val="en-CA" w:eastAsia="fr-CA"/>
        </w:rPr>
        <w:t>While they were visiting the library, the accused hugged the victim.</w:t>
      </w:r>
      <w:r w:rsidR="000E263F" w:rsidRPr="0018369C">
        <w:rPr>
          <w:lang w:val="en-CA" w:eastAsia="fr-CA"/>
        </w:rPr>
        <w:t xml:space="preserve"> </w:t>
      </w:r>
      <w:r w:rsidRPr="0018369C">
        <w:rPr>
          <w:lang w:val="en-CA" w:eastAsia="fr-CA"/>
        </w:rPr>
        <w:t xml:space="preserve">At the end of the day, the accused drove the victim to her mother’s </w:t>
      </w:r>
      <w:r w:rsidR="00907DFC">
        <w:rPr>
          <w:lang w:val="en-CA" w:eastAsia="fr-CA"/>
        </w:rPr>
        <w:t xml:space="preserve">place of </w:t>
      </w:r>
      <w:r w:rsidRPr="0018369C">
        <w:rPr>
          <w:lang w:val="en-CA" w:eastAsia="fr-CA"/>
        </w:rPr>
        <w:t>work.</w:t>
      </w:r>
      <w:r w:rsidR="000E263F" w:rsidRPr="0018369C">
        <w:rPr>
          <w:lang w:val="en-CA" w:eastAsia="fr-CA"/>
        </w:rPr>
        <w:t xml:space="preserve"> </w:t>
      </w:r>
      <w:r w:rsidRPr="0018369C">
        <w:rPr>
          <w:lang w:val="en-CA" w:eastAsia="fr-CA"/>
        </w:rPr>
        <w:t xml:space="preserve">On the way there, they spoke again about the text messages. The accused </w:t>
      </w:r>
      <w:r w:rsidRPr="0018369C">
        <w:rPr>
          <w:lang w:val="en-CA" w:eastAsia="fr-CA"/>
        </w:rPr>
        <w:lastRenderedPageBreak/>
        <w:t>insisted that the victim delete the conversation.</w:t>
      </w:r>
      <w:r w:rsidR="000E263F" w:rsidRPr="0018369C">
        <w:rPr>
          <w:lang w:val="en-CA" w:eastAsia="fr-CA"/>
        </w:rPr>
        <w:t xml:space="preserve"> </w:t>
      </w:r>
      <w:r w:rsidRPr="0018369C">
        <w:rPr>
          <w:lang w:val="en-CA" w:eastAsia="fr-CA"/>
        </w:rPr>
        <w:t>He also suggested t</w:t>
      </w:r>
      <w:r w:rsidR="00EE62CD">
        <w:rPr>
          <w:lang w:val="en-CA" w:eastAsia="fr-CA"/>
        </w:rPr>
        <w:t>hat</w:t>
      </w:r>
      <w:r w:rsidRPr="0018369C">
        <w:rPr>
          <w:lang w:val="en-CA" w:eastAsia="fr-CA"/>
        </w:rPr>
        <w:t xml:space="preserve"> the victim </w:t>
      </w:r>
      <w:r w:rsidR="0018369C">
        <w:rPr>
          <w:lang w:val="en-CA" w:eastAsia="fr-CA"/>
        </w:rPr>
        <w:t>make arrangements</w:t>
      </w:r>
      <w:r w:rsidRPr="0018369C">
        <w:rPr>
          <w:lang w:val="en-CA" w:eastAsia="fr-CA"/>
        </w:rPr>
        <w:t xml:space="preserve"> so that they could see each other.</w:t>
      </w:r>
      <w:r w:rsidR="000E263F" w:rsidRPr="0018369C">
        <w:rPr>
          <w:lang w:val="en-CA" w:eastAsia="fr-CA"/>
        </w:rPr>
        <w:t xml:space="preserve"> </w:t>
      </w:r>
      <w:r w:rsidRPr="0018369C">
        <w:rPr>
          <w:lang w:val="en-CA" w:eastAsia="fr-CA"/>
        </w:rPr>
        <w:t xml:space="preserve">Finally, </w:t>
      </w:r>
      <w:r w:rsidR="0018369C">
        <w:rPr>
          <w:lang w:val="en-CA" w:eastAsia="fr-CA"/>
        </w:rPr>
        <w:t>he</w:t>
      </w:r>
      <w:r w:rsidRPr="0018369C">
        <w:rPr>
          <w:lang w:val="en-CA" w:eastAsia="fr-CA"/>
        </w:rPr>
        <w:t xml:space="preserve"> placed his hand on the victim’s thigh.</w:t>
      </w:r>
      <w:r w:rsidR="000E263F" w:rsidRPr="0018369C">
        <w:rPr>
          <w:lang w:val="en-CA" w:eastAsia="fr-CA"/>
        </w:rPr>
        <w:t xml:space="preserve"> </w:t>
      </w:r>
      <w:r w:rsidRPr="0018369C">
        <w:rPr>
          <w:lang w:val="en-CA" w:eastAsia="fr-CA"/>
        </w:rPr>
        <w:t>She did not know how to react</w:t>
      </w:r>
      <w:r w:rsidR="00EE62CD">
        <w:rPr>
          <w:lang w:val="en-CA" w:eastAsia="fr-CA"/>
        </w:rPr>
        <w:t xml:space="preserve"> and froze</w:t>
      </w:r>
      <w:r w:rsidRPr="0018369C">
        <w:rPr>
          <w:lang w:val="en-CA" w:eastAsia="fr-CA"/>
        </w:rPr>
        <w:t>.</w:t>
      </w:r>
    </w:p>
    <w:p w14:paraId="27C6B03C" w14:textId="00CCAB86" w:rsidR="000A17B1" w:rsidRPr="0018369C" w:rsidRDefault="00D05F07" w:rsidP="00A3163A">
      <w:pPr>
        <w:pStyle w:val="Citationenretrait"/>
        <w:rPr>
          <w:sz w:val="27"/>
          <w:szCs w:val="27"/>
          <w:lang w:val="en-CA" w:eastAsia="fr-CA"/>
        </w:rPr>
      </w:pPr>
      <w:r w:rsidRPr="0018369C">
        <w:rPr>
          <w:lang w:val="en-CA" w:eastAsia="fr-CA"/>
        </w:rPr>
        <w:t xml:space="preserve">The next day, August 9, 2017, the victim </w:t>
      </w:r>
      <w:r w:rsidR="00EE62CD">
        <w:rPr>
          <w:lang w:val="en-CA" w:eastAsia="fr-CA"/>
        </w:rPr>
        <w:t>returned</w:t>
      </w:r>
      <w:r w:rsidRPr="0018369C">
        <w:rPr>
          <w:lang w:val="en-CA" w:eastAsia="fr-CA"/>
        </w:rPr>
        <w:t xml:space="preserve"> to work.</w:t>
      </w:r>
      <w:r w:rsidR="000E263F" w:rsidRPr="0018369C">
        <w:rPr>
          <w:lang w:val="en-CA" w:eastAsia="fr-CA"/>
        </w:rPr>
        <w:t xml:space="preserve"> </w:t>
      </w:r>
      <w:r w:rsidRPr="0018369C">
        <w:rPr>
          <w:lang w:val="en-CA" w:eastAsia="fr-CA"/>
        </w:rPr>
        <w:t xml:space="preserve">Around 4:00 p.m., </w:t>
      </w:r>
      <w:r w:rsidR="00EE62CD">
        <w:rPr>
          <w:lang w:val="en-CA" w:eastAsia="fr-CA"/>
        </w:rPr>
        <w:t xml:space="preserve">after </w:t>
      </w:r>
      <w:r w:rsidRPr="0018369C">
        <w:rPr>
          <w:lang w:val="en-CA" w:eastAsia="fr-CA"/>
        </w:rPr>
        <w:t xml:space="preserve">the staff </w:t>
      </w:r>
      <w:r w:rsidR="00EE62CD">
        <w:rPr>
          <w:lang w:val="en-CA" w:eastAsia="fr-CA"/>
        </w:rPr>
        <w:t>had left</w:t>
      </w:r>
      <w:r w:rsidRPr="0018369C">
        <w:rPr>
          <w:lang w:val="en-CA" w:eastAsia="fr-CA"/>
        </w:rPr>
        <w:t xml:space="preserve"> and the victim was alone in the secretary’s office, the accused </w:t>
      </w:r>
      <w:r w:rsidR="00EE62CD" w:rsidRPr="0018369C">
        <w:rPr>
          <w:lang w:val="en-CA" w:eastAsia="fr-CA"/>
        </w:rPr>
        <w:t>p</w:t>
      </w:r>
      <w:r w:rsidR="00EE62CD">
        <w:rPr>
          <w:lang w:val="en-CA" w:eastAsia="fr-CA"/>
        </w:rPr>
        <w:t>ositioned</w:t>
      </w:r>
      <w:r w:rsidR="00EE62CD" w:rsidRPr="0018369C">
        <w:rPr>
          <w:lang w:val="en-CA" w:eastAsia="fr-CA"/>
        </w:rPr>
        <w:t xml:space="preserve"> </w:t>
      </w:r>
      <w:r w:rsidRPr="0018369C">
        <w:rPr>
          <w:lang w:val="en-CA" w:eastAsia="fr-CA"/>
        </w:rPr>
        <w:t>himself behind her.</w:t>
      </w:r>
      <w:r w:rsidR="000E263F" w:rsidRPr="0018369C">
        <w:rPr>
          <w:lang w:val="en-CA" w:eastAsia="fr-CA"/>
        </w:rPr>
        <w:t xml:space="preserve"> </w:t>
      </w:r>
      <w:r w:rsidRPr="0018369C">
        <w:rPr>
          <w:lang w:val="en-CA" w:eastAsia="fr-CA"/>
        </w:rPr>
        <w:t xml:space="preserve">He </w:t>
      </w:r>
      <w:r w:rsidR="00EE62CD" w:rsidRPr="0018369C">
        <w:rPr>
          <w:lang w:val="en-CA" w:eastAsia="fr-CA"/>
        </w:rPr>
        <w:t>p</w:t>
      </w:r>
      <w:r w:rsidR="00EE62CD">
        <w:rPr>
          <w:lang w:val="en-CA" w:eastAsia="fr-CA"/>
        </w:rPr>
        <w:t>ut</w:t>
      </w:r>
      <w:r w:rsidR="00EE62CD" w:rsidRPr="0018369C">
        <w:rPr>
          <w:lang w:val="en-CA" w:eastAsia="fr-CA"/>
        </w:rPr>
        <w:t xml:space="preserve"> </w:t>
      </w:r>
      <w:r w:rsidRPr="0018369C">
        <w:rPr>
          <w:lang w:val="en-CA" w:eastAsia="fr-CA"/>
        </w:rPr>
        <w:t xml:space="preserve">his arms around the victim’s shoulders and took the opportunity to touch the victim’s breasts </w:t>
      </w:r>
      <w:r w:rsidR="00EE62CD">
        <w:rPr>
          <w:lang w:val="en-CA" w:eastAsia="fr-CA"/>
        </w:rPr>
        <w:t>using</w:t>
      </w:r>
      <w:r w:rsidRPr="0018369C">
        <w:rPr>
          <w:lang w:val="en-CA" w:eastAsia="fr-CA"/>
        </w:rPr>
        <w:t xml:space="preserve"> his two hands, over her clothing.</w:t>
      </w:r>
      <w:r w:rsidR="000E263F" w:rsidRPr="0018369C">
        <w:rPr>
          <w:lang w:val="en-CA" w:eastAsia="fr-CA"/>
        </w:rPr>
        <w:t xml:space="preserve"> </w:t>
      </w:r>
      <w:r w:rsidRPr="0018369C">
        <w:rPr>
          <w:lang w:val="en-CA" w:eastAsia="fr-CA"/>
        </w:rPr>
        <w:t>The victim turned around and called the accused by his name, to which the accused asked her if she liked it.</w:t>
      </w:r>
      <w:r w:rsidR="000E263F" w:rsidRPr="0018369C">
        <w:rPr>
          <w:lang w:val="en-CA" w:eastAsia="fr-CA"/>
        </w:rPr>
        <w:t xml:space="preserve"> </w:t>
      </w:r>
      <w:r w:rsidRPr="0018369C">
        <w:rPr>
          <w:lang w:val="en-CA" w:eastAsia="fr-CA"/>
        </w:rPr>
        <w:t>The victim said [</w:t>
      </w:r>
      <w:r w:rsidRPr="0018369C">
        <w:rPr>
          <w:smallCaps/>
          <w:lang w:val="en-CA" w:eastAsia="fr-CA"/>
        </w:rPr>
        <w:t>translation</w:t>
      </w:r>
      <w:r w:rsidRPr="0018369C">
        <w:rPr>
          <w:lang w:val="en-CA" w:eastAsia="fr-CA"/>
        </w:rPr>
        <w:t>] “no” and left work, refusing the accused’s offer to drive her.</w:t>
      </w:r>
    </w:p>
    <w:p w14:paraId="0C63B5E2" w14:textId="4549E15B" w:rsidR="000A17B1" w:rsidRPr="0018369C" w:rsidRDefault="00D05F07" w:rsidP="00A3163A">
      <w:pPr>
        <w:pStyle w:val="Citationenretrait"/>
        <w:rPr>
          <w:sz w:val="27"/>
          <w:szCs w:val="27"/>
          <w:lang w:val="en-CA" w:eastAsia="fr-CA"/>
        </w:rPr>
      </w:pPr>
      <w:r w:rsidRPr="0018369C">
        <w:rPr>
          <w:lang w:val="en-CA" w:eastAsia="fr-CA"/>
        </w:rPr>
        <w:t xml:space="preserve">The same day, at 5:42 p.m., the accused communicated with the victim by text message to apologize, </w:t>
      </w:r>
      <w:r w:rsidR="00EE62CD">
        <w:rPr>
          <w:lang w:val="en-CA" w:eastAsia="fr-CA"/>
        </w:rPr>
        <w:t>then</w:t>
      </w:r>
      <w:r w:rsidR="00EE62CD" w:rsidRPr="0018369C">
        <w:rPr>
          <w:lang w:val="en-CA" w:eastAsia="fr-CA"/>
        </w:rPr>
        <w:t xml:space="preserve"> </w:t>
      </w:r>
      <w:r w:rsidRPr="0018369C">
        <w:rPr>
          <w:lang w:val="en-CA" w:eastAsia="fr-CA"/>
        </w:rPr>
        <w:t>a brief conversation followed in which the accused asked the victim if he [</w:t>
      </w:r>
      <w:r w:rsidRPr="0018369C">
        <w:rPr>
          <w:smallCaps/>
          <w:lang w:val="en-CA" w:eastAsia="fr-CA"/>
        </w:rPr>
        <w:t>translation</w:t>
      </w:r>
      <w:r w:rsidRPr="0018369C">
        <w:rPr>
          <w:lang w:val="en-CA" w:eastAsia="fr-CA"/>
        </w:rPr>
        <w:t>] “could start over”.</w:t>
      </w:r>
      <w:r w:rsidR="000E263F" w:rsidRPr="0018369C">
        <w:rPr>
          <w:lang w:val="en-CA" w:eastAsia="fr-CA"/>
        </w:rPr>
        <w:t xml:space="preserve"> </w:t>
      </w:r>
      <w:r w:rsidRPr="0018369C">
        <w:rPr>
          <w:lang w:val="en-CA" w:eastAsia="fr-CA"/>
        </w:rPr>
        <w:t>When the victim refused, the accused continued by stating: [</w:t>
      </w:r>
      <w:r w:rsidRPr="0018369C">
        <w:rPr>
          <w:smallCaps/>
          <w:lang w:val="en-CA" w:eastAsia="fr-CA"/>
        </w:rPr>
        <w:t>translation</w:t>
      </w:r>
      <w:r w:rsidRPr="0018369C">
        <w:rPr>
          <w:lang w:val="en-CA" w:eastAsia="fr-CA"/>
        </w:rPr>
        <w:t xml:space="preserve">] “If I understand, I can look, but I </w:t>
      </w:r>
      <w:r w:rsidR="00907DFC">
        <w:rPr>
          <w:lang w:val="en-CA" w:eastAsia="fr-CA"/>
        </w:rPr>
        <w:t>can’t</w:t>
      </w:r>
      <w:r w:rsidRPr="0018369C">
        <w:rPr>
          <w:lang w:val="en-CA" w:eastAsia="fr-CA"/>
        </w:rPr>
        <w:t xml:space="preserve"> touch?”</w:t>
      </w:r>
      <w:r w:rsidR="0018369C">
        <w:rPr>
          <w:lang w:val="en-CA" w:eastAsia="fr-CA"/>
        </w:rPr>
        <w:t>,</w:t>
      </w:r>
      <w:r w:rsidR="000E263F" w:rsidRPr="0018369C">
        <w:rPr>
          <w:lang w:val="en-CA" w:eastAsia="fr-CA"/>
        </w:rPr>
        <w:t xml:space="preserve"> </w:t>
      </w:r>
      <w:r w:rsidRPr="0018369C">
        <w:rPr>
          <w:lang w:val="en-CA" w:eastAsia="fr-CA"/>
        </w:rPr>
        <w:t xml:space="preserve">the whole as it appears from the text messages filed </w:t>
      </w:r>
      <w:r w:rsidRPr="0018369C">
        <w:rPr>
          <w:i/>
          <w:iCs/>
          <w:lang w:val="en-CA" w:eastAsia="fr-CA"/>
        </w:rPr>
        <w:t>en liasse</w:t>
      </w:r>
      <w:r w:rsidRPr="0018369C">
        <w:rPr>
          <w:lang w:val="en-CA" w:eastAsia="fr-CA"/>
        </w:rPr>
        <w:t xml:space="preserve"> under S-1.</w:t>
      </w:r>
    </w:p>
    <w:p w14:paraId="68454889" w14:textId="68FB4AD9" w:rsidR="000A17B1" w:rsidRPr="0018369C" w:rsidRDefault="00EE62CD" w:rsidP="00A3163A">
      <w:pPr>
        <w:pStyle w:val="Citationenretrait"/>
        <w:rPr>
          <w:lang w:val="en-CA" w:eastAsia="fr-CA"/>
        </w:rPr>
      </w:pPr>
      <w:r>
        <w:rPr>
          <w:lang w:val="en-CA" w:eastAsia="fr-CA"/>
        </w:rPr>
        <w:t>T</w:t>
      </w:r>
      <w:r w:rsidRPr="0018369C">
        <w:rPr>
          <w:lang w:val="en-CA" w:eastAsia="fr-CA"/>
        </w:rPr>
        <w:t xml:space="preserve">he </w:t>
      </w:r>
      <w:r w:rsidR="00D05F07" w:rsidRPr="0018369C">
        <w:rPr>
          <w:lang w:val="en-CA" w:eastAsia="fr-CA"/>
        </w:rPr>
        <w:t xml:space="preserve">victim </w:t>
      </w:r>
      <w:r>
        <w:rPr>
          <w:lang w:val="en-CA" w:eastAsia="fr-CA"/>
        </w:rPr>
        <w:t xml:space="preserve">subsequently </w:t>
      </w:r>
      <w:r w:rsidR="00D05F07" w:rsidRPr="0018369C">
        <w:rPr>
          <w:lang w:val="en-CA" w:eastAsia="fr-CA"/>
        </w:rPr>
        <w:t xml:space="preserve">quit her </w:t>
      </w:r>
      <w:r>
        <w:rPr>
          <w:lang w:val="en-CA" w:eastAsia="fr-CA"/>
        </w:rPr>
        <w:t>job</w:t>
      </w:r>
      <w:r w:rsidRPr="0018369C">
        <w:rPr>
          <w:lang w:val="en-CA" w:eastAsia="fr-CA"/>
        </w:rPr>
        <w:t xml:space="preserve"> </w:t>
      </w:r>
      <w:r w:rsidR="00D05F07" w:rsidRPr="0018369C">
        <w:rPr>
          <w:lang w:val="en-CA" w:eastAsia="fr-CA"/>
        </w:rPr>
        <w:t xml:space="preserve">and, in the days that followed, </w:t>
      </w:r>
      <w:r>
        <w:rPr>
          <w:lang w:val="en-CA" w:eastAsia="fr-CA"/>
        </w:rPr>
        <w:t>filed</w:t>
      </w:r>
      <w:r w:rsidRPr="0018369C">
        <w:rPr>
          <w:lang w:val="en-CA" w:eastAsia="fr-CA"/>
        </w:rPr>
        <w:t xml:space="preserve"> </w:t>
      </w:r>
      <w:r w:rsidR="00D05F07" w:rsidRPr="0018369C">
        <w:rPr>
          <w:lang w:val="en-CA" w:eastAsia="fr-CA"/>
        </w:rPr>
        <w:t>a complaint with the Ville de Laval police department.</w:t>
      </w:r>
    </w:p>
    <w:p w14:paraId="44FC9AC4" w14:textId="12F7B53F" w:rsidR="008E4790" w:rsidRPr="0018369C" w:rsidRDefault="0018369C" w:rsidP="00A3163A">
      <w:pPr>
        <w:pStyle w:val="Paragraphe"/>
        <w:spacing w:line="280" w:lineRule="exact"/>
        <w:rPr>
          <w:lang w:val="en-CA" w:eastAsia="fr-CA"/>
        </w:rPr>
      </w:pPr>
      <w:r>
        <w:rPr>
          <w:lang w:val="en-CA" w:eastAsia="fr-CA"/>
        </w:rPr>
        <w:t>B</w:t>
      </w:r>
      <w:r w:rsidR="00D05F07" w:rsidRPr="0018369C">
        <w:rPr>
          <w:lang w:val="en-CA" w:eastAsia="fr-CA"/>
        </w:rPr>
        <w:t xml:space="preserve">efore the Court of Québec and the Superior Court, </w:t>
      </w:r>
      <w:r>
        <w:rPr>
          <w:lang w:val="en-CA" w:eastAsia="fr-CA"/>
        </w:rPr>
        <w:t>t</w:t>
      </w:r>
      <w:r w:rsidRPr="0018369C">
        <w:rPr>
          <w:lang w:val="en-CA" w:eastAsia="fr-CA"/>
        </w:rPr>
        <w:t xml:space="preserve">he respondent raised </w:t>
      </w:r>
      <w:r w:rsidR="00D05F07" w:rsidRPr="0018369C">
        <w:rPr>
          <w:lang w:val="en-CA" w:eastAsia="fr-CA"/>
        </w:rPr>
        <w:t xml:space="preserve">the </w:t>
      </w:r>
      <w:r w:rsidR="000E263F" w:rsidRPr="0018369C">
        <w:rPr>
          <w:lang w:val="en-CA" w:eastAsia="fr-CA"/>
        </w:rPr>
        <w:t>constitutional</w:t>
      </w:r>
      <w:r w:rsidR="00C66AF6">
        <w:rPr>
          <w:lang w:val="en-CA" w:eastAsia="fr-CA"/>
        </w:rPr>
        <w:t xml:space="preserve"> validity</w:t>
      </w:r>
      <w:r w:rsidR="00D05F07" w:rsidRPr="0018369C">
        <w:rPr>
          <w:lang w:val="en-CA" w:eastAsia="fr-CA"/>
        </w:rPr>
        <w:t xml:space="preserve"> of the mandatory minimum sentence of </w:t>
      </w:r>
      <w:r w:rsidR="00424F16">
        <w:rPr>
          <w:lang w:val="en-CA" w:eastAsia="fr-CA"/>
        </w:rPr>
        <w:t>6</w:t>
      </w:r>
      <w:r w:rsidR="00424F16" w:rsidRPr="0018369C">
        <w:rPr>
          <w:lang w:val="en-CA" w:eastAsia="fr-CA"/>
        </w:rPr>
        <w:t xml:space="preserve"> </w:t>
      </w:r>
      <w:r w:rsidR="00D05F07" w:rsidRPr="0018369C">
        <w:rPr>
          <w:lang w:val="en-CA" w:eastAsia="fr-CA"/>
        </w:rPr>
        <w:t xml:space="preserve">months’ </w:t>
      </w:r>
      <w:r w:rsidR="000E263F" w:rsidRPr="0018369C">
        <w:rPr>
          <w:lang w:val="en-CA" w:eastAsia="fr-CA"/>
        </w:rPr>
        <w:t>imprisonment</w:t>
      </w:r>
      <w:r w:rsidR="00D05F07" w:rsidRPr="0018369C">
        <w:rPr>
          <w:lang w:val="en-CA" w:eastAsia="fr-CA"/>
        </w:rPr>
        <w:t xml:space="preserve"> set out </w:t>
      </w:r>
      <w:r>
        <w:rPr>
          <w:lang w:val="en-CA" w:eastAsia="fr-CA"/>
        </w:rPr>
        <w:t>in</w:t>
      </w:r>
      <w:r w:rsidR="00D05F07" w:rsidRPr="0018369C">
        <w:rPr>
          <w:lang w:val="en-CA" w:eastAsia="fr-CA"/>
        </w:rPr>
        <w:t xml:space="preserve"> section 172.1(2)(b) </w:t>
      </w:r>
      <w:r w:rsidR="00D05F07" w:rsidRPr="00F72125">
        <w:rPr>
          <w:i/>
          <w:iCs/>
          <w:spacing w:val="-20"/>
          <w:lang w:val="en-CA" w:eastAsia="fr-CA"/>
        </w:rPr>
        <w:t>Cr. C</w:t>
      </w:r>
      <w:r w:rsidR="00D05F07" w:rsidRPr="00F72125">
        <w:rPr>
          <w:spacing w:val="-20"/>
          <w:lang w:val="en-CA" w:eastAsia="fr-CA"/>
        </w:rPr>
        <w:t>.</w:t>
      </w:r>
      <w:r w:rsidR="00D05F07" w:rsidRPr="0018369C">
        <w:rPr>
          <w:lang w:val="en-CA" w:eastAsia="fr-CA"/>
        </w:rPr>
        <w:t xml:space="preserve"> </w:t>
      </w:r>
      <w:r w:rsidR="00C66AF6">
        <w:rPr>
          <w:lang w:val="en-CA" w:eastAsia="fr-CA"/>
        </w:rPr>
        <w:t>in light of</w:t>
      </w:r>
      <w:r w:rsidR="007E44E9" w:rsidRPr="0018369C">
        <w:rPr>
          <w:lang w:val="en-CA" w:eastAsia="fr-CA"/>
        </w:rPr>
        <w:t xml:space="preserve"> </w:t>
      </w:r>
      <w:r w:rsidR="00D05F07" w:rsidRPr="0018369C">
        <w:rPr>
          <w:lang w:val="en-CA" w:eastAsia="fr-CA"/>
        </w:rPr>
        <w:t xml:space="preserve">section 12 of the </w:t>
      </w:r>
      <w:r w:rsidR="00D05F07" w:rsidRPr="0018369C">
        <w:rPr>
          <w:i/>
          <w:lang w:val="en-CA" w:eastAsia="fr-CA"/>
        </w:rPr>
        <w:t>Canadian Charter of Rights and Freedoms</w:t>
      </w:r>
      <w:r w:rsidR="00F72125" w:rsidRPr="0018369C">
        <w:rPr>
          <w:rStyle w:val="Appelnotedebasdep"/>
          <w:lang w:val="en-CA" w:eastAsia="fr-CA"/>
        </w:rPr>
        <w:footnoteReference w:id="3"/>
      </w:r>
      <w:r w:rsidR="00D05F07" w:rsidRPr="0018369C">
        <w:rPr>
          <w:lang w:val="en-CA" w:eastAsia="fr-CA"/>
        </w:rPr>
        <w:t xml:space="preserve"> (hereinafter “</w:t>
      </w:r>
      <w:r w:rsidR="00D05F07" w:rsidRPr="0018369C">
        <w:rPr>
          <w:i/>
          <w:iCs/>
          <w:lang w:val="en-CA" w:eastAsia="fr-CA"/>
        </w:rPr>
        <w:t>Charter</w:t>
      </w:r>
      <w:r w:rsidR="00D05F07" w:rsidRPr="0018369C">
        <w:rPr>
          <w:lang w:val="en-CA" w:eastAsia="fr-CA"/>
        </w:rPr>
        <w:t>”) dealing with cruel and unusual punishment.</w:t>
      </w:r>
      <w:r w:rsidR="00D05F07" w:rsidRPr="0018369C">
        <w:rPr>
          <w:i/>
          <w:iCs/>
          <w:lang w:val="en-CA" w:eastAsia="fr-CA"/>
        </w:rPr>
        <w:t xml:space="preserve"> </w:t>
      </w:r>
    </w:p>
    <w:p w14:paraId="7125FB76" w14:textId="3631E123" w:rsidR="00D05F07" w:rsidRPr="0018369C" w:rsidRDefault="00D05F07" w:rsidP="00A3163A">
      <w:pPr>
        <w:pStyle w:val="Paragraphe"/>
        <w:spacing w:line="280" w:lineRule="exact"/>
        <w:rPr>
          <w:lang w:val="en-CA" w:eastAsia="fr-CA"/>
        </w:rPr>
      </w:pPr>
      <w:r w:rsidRPr="0018369C">
        <w:rPr>
          <w:lang w:val="en-CA" w:eastAsia="fr-CA"/>
        </w:rPr>
        <w:t>In a written judgment</w:t>
      </w:r>
      <w:r w:rsidR="00F72125" w:rsidRPr="0018369C">
        <w:rPr>
          <w:rStyle w:val="Appelnotedebasdep"/>
          <w:lang w:val="en-CA" w:eastAsia="fr-CA"/>
        </w:rPr>
        <w:footnoteReference w:id="4"/>
      </w:r>
      <w:r w:rsidRPr="0018369C">
        <w:rPr>
          <w:lang w:val="en-CA" w:eastAsia="fr-CA"/>
        </w:rPr>
        <w:t xml:space="preserve"> dated November 21, 2019, Gilles Garneau J. (Court of Québec) declared the mandatory minimum sentence inoperative with respect to the respondent and suspended sentencing</w:t>
      </w:r>
      <w:r w:rsidR="008A5565">
        <w:rPr>
          <w:lang w:val="en-CA" w:eastAsia="fr-CA"/>
        </w:rPr>
        <w:t>, while ordering</w:t>
      </w:r>
      <w:r w:rsidRPr="0018369C">
        <w:rPr>
          <w:lang w:val="en-CA" w:eastAsia="fr-CA"/>
        </w:rPr>
        <w:t xml:space="preserve"> </w:t>
      </w:r>
      <w:r w:rsidR="00424F16">
        <w:rPr>
          <w:lang w:val="en-CA" w:eastAsia="fr-CA"/>
        </w:rPr>
        <w:t>2</w:t>
      </w:r>
      <w:r w:rsidR="00424F16" w:rsidRPr="0018369C">
        <w:rPr>
          <w:lang w:val="en-CA" w:eastAsia="fr-CA"/>
        </w:rPr>
        <w:t xml:space="preserve"> </w:t>
      </w:r>
      <w:r w:rsidRPr="0018369C">
        <w:rPr>
          <w:lang w:val="en-CA" w:eastAsia="fr-CA"/>
        </w:rPr>
        <w:t>years</w:t>
      </w:r>
      <w:r w:rsidR="00F72125">
        <w:rPr>
          <w:lang w:val="en-CA" w:eastAsia="fr-CA"/>
        </w:rPr>
        <w:t xml:space="preserve">’ </w:t>
      </w:r>
      <w:r w:rsidRPr="0018369C">
        <w:rPr>
          <w:lang w:val="en-CA" w:eastAsia="fr-CA"/>
        </w:rPr>
        <w:t xml:space="preserve">probation </w:t>
      </w:r>
      <w:r w:rsidR="007E44E9">
        <w:rPr>
          <w:lang w:val="en-CA" w:eastAsia="fr-CA"/>
        </w:rPr>
        <w:t xml:space="preserve">along </w:t>
      </w:r>
      <w:r w:rsidRPr="0018369C">
        <w:rPr>
          <w:lang w:val="en-CA" w:eastAsia="fr-CA"/>
        </w:rPr>
        <w:t xml:space="preserve">with 150 hours of community work </w:t>
      </w:r>
      <w:r w:rsidR="007E44E9">
        <w:rPr>
          <w:lang w:val="en-CA" w:eastAsia="fr-CA"/>
        </w:rPr>
        <w:t xml:space="preserve">to be performed </w:t>
      </w:r>
      <w:r w:rsidRPr="0018369C">
        <w:rPr>
          <w:lang w:val="en-CA" w:eastAsia="fr-CA"/>
        </w:rPr>
        <w:t xml:space="preserve">within </w:t>
      </w:r>
      <w:r w:rsidR="004C4C1F">
        <w:rPr>
          <w:lang w:val="en-CA" w:eastAsia="fr-CA"/>
        </w:rPr>
        <w:t>12</w:t>
      </w:r>
      <w:r w:rsidR="004C4C1F" w:rsidRPr="0018369C">
        <w:rPr>
          <w:lang w:val="en-CA" w:eastAsia="fr-CA"/>
        </w:rPr>
        <w:t xml:space="preserve"> </w:t>
      </w:r>
      <w:r w:rsidRPr="0018369C">
        <w:rPr>
          <w:lang w:val="en-CA" w:eastAsia="fr-CA"/>
        </w:rPr>
        <w:t>months.</w:t>
      </w:r>
      <w:r w:rsidR="000E263F" w:rsidRPr="0018369C">
        <w:rPr>
          <w:rStyle w:val="Appelnotedebasdep"/>
          <w:lang w:val="en-CA" w:eastAsia="fr-CA"/>
        </w:rPr>
        <w:footnoteReference w:id="5"/>
      </w:r>
      <w:r w:rsidRPr="0018369C">
        <w:rPr>
          <w:lang w:val="en-CA" w:eastAsia="fr-CA"/>
        </w:rPr>
        <w:t xml:space="preserve"> </w:t>
      </w:r>
    </w:p>
    <w:p w14:paraId="4E157D52" w14:textId="2FC48F87" w:rsidR="008E4790" w:rsidRPr="0018369C" w:rsidRDefault="00D05F07" w:rsidP="00A3163A">
      <w:pPr>
        <w:pStyle w:val="Paragraphe"/>
        <w:spacing w:line="280" w:lineRule="exact"/>
        <w:rPr>
          <w:lang w:val="en-CA" w:eastAsia="fr-CA"/>
        </w:rPr>
      </w:pPr>
      <w:r w:rsidRPr="0018369C">
        <w:rPr>
          <w:lang w:val="en-CA" w:eastAsia="fr-CA"/>
        </w:rPr>
        <w:t xml:space="preserve">In her </w:t>
      </w:r>
      <w:r w:rsidR="001A4E92" w:rsidRPr="0018369C">
        <w:rPr>
          <w:lang w:val="en-CA" w:eastAsia="fr-CA"/>
        </w:rPr>
        <w:t>detailed</w:t>
      </w:r>
      <w:r w:rsidRPr="0018369C">
        <w:rPr>
          <w:lang w:val="en-CA" w:eastAsia="fr-CA"/>
        </w:rPr>
        <w:t xml:space="preserve"> 39-page judgment (299 paragraphs) dated February 25, 2021, the Superior Court judge, sitting in appeal of the sentencing judgment of November 21, 2019, </w:t>
      </w:r>
      <w:r w:rsidR="008A5565">
        <w:rPr>
          <w:lang w:val="en-CA" w:eastAsia="fr-CA"/>
        </w:rPr>
        <w:t>upheld</w:t>
      </w:r>
      <w:r w:rsidRPr="0018369C">
        <w:rPr>
          <w:lang w:val="en-CA" w:eastAsia="fr-CA"/>
        </w:rPr>
        <w:t xml:space="preserve"> the declaration of inoperability of the minimum sentence with respect to the respondent and </w:t>
      </w:r>
      <w:r w:rsidR="00F72125">
        <w:rPr>
          <w:lang w:val="en-CA" w:eastAsia="fr-CA"/>
        </w:rPr>
        <w:t>declared</w:t>
      </w:r>
      <w:r w:rsidRPr="0018369C">
        <w:rPr>
          <w:lang w:val="en-CA" w:eastAsia="fr-CA"/>
        </w:rPr>
        <w:t xml:space="preserve"> it invalid under paragraph 52(1) of the </w:t>
      </w:r>
      <w:r w:rsidRPr="0018369C">
        <w:rPr>
          <w:i/>
          <w:lang w:val="en-CA" w:eastAsia="fr-CA"/>
        </w:rPr>
        <w:t>Charter</w:t>
      </w:r>
      <w:r w:rsidRPr="0018369C">
        <w:rPr>
          <w:lang w:val="en-CA" w:eastAsia="fr-CA"/>
        </w:rPr>
        <w:t>.</w:t>
      </w:r>
      <w:r w:rsidR="000E263F" w:rsidRPr="0018369C">
        <w:rPr>
          <w:lang w:val="en-CA" w:eastAsia="fr-CA"/>
        </w:rPr>
        <w:t xml:space="preserve"> </w:t>
      </w:r>
      <w:r w:rsidR="00F95F4E" w:rsidRPr="0018369C">
        <w:rPr>
          <w:lang w:val="en-CA" w:eastAsia="fr-CA"/>
        </w:rPr>
        <w:t xml:space="preserve">She also substituted the sentence rendered </w:t>
      </w:r>
      <w:r w:rsidR="00F72125">
        <w:rPr>
          <w:lang w:val="en-CA" w:eastAsia="fr-CA"/>
        </w:rPr>
        <w:t>at trial</w:t>
      </w:r>
      <w:r w:rsidR="00F95F4E" w:rsidRPr="0018369C">
        <w:rPr>
          <w:lang w:val="en-CA" w:eastAsia="fr-CA"/>
        </w:rPr>
        <w:t xml:space="preserve"> </w:t>
      </w:r>
      <w:r w:rsidR="000D78DB">
        <w:rPr>
          <w:lang w:val="en-CA" w:eastAsia="fr-CA"/>
        </w:rPr>
        <w:t>with</w:t>
      </w:r>
      <w:r w:rsidR="00F95F4E" w:rsidRPr="0018369C">
        <w:rPr>
          <w:lang w:val="en-CA" w:eastAsia="fr-CA"/>
        </w:rPr>
        <w:t xml:space="preserve"> a sentence of 90 days</w:t>
      </w:r>
      <w:r w:rsidR="00F72125">
        <w:rPr>
          <w:lang w:val="en-CA" w:eastAsia="fr-CA"/>
        </w:rPr>
        <w:t xml:space="preserve">’ </w:t>
      </w:r>
      <w:r w:rsidR="00F95F4E" w:rsidRPr="0018369C">
        <w:rPr>
          <w:lang w:val="en-CA" w:eastAsia="fr-CA"/>
        </w:rPr>
        <w:t xml:space="preserve">imprisonment to be served intermittently and 3 years’ probation to end on November 21, 2022, </w:t>
      </w:r>
      <w:r w:rsidR="00DD2683">
        <w:rPr>
          <w:lang w:val="en-CA" w:eastAsia="fr-CA"/>
        </w:rPr>
        <w:t>including</w:t>
      </w:r>
      <w:r w:rsidR="00F95F4E" w:rsidRPr="0018369C">
        <w:rPr>
          <w:lang w:val="en-CA" w:eastAsia="fr-CA"/>
        </w:rPr>
        <w:t xml:space="preserve"> 150 hours of community work (already completed).</w:t>
      </w:r>
    </w:p>
    <w:p w14:paraId="29758A15" w14:textId="3D877C10" w:rsidR="007F77C3" w:rsidRPr="0018369C" w:rsidRDefault="00F95F4E" w:rsidP="00A3163A">
      <w:pPr>
        <w:pStyle w:val="Paragraphe"/>
        <w:spacing w:line="280" w:lineRule="exact"/>
        <w:rPr>
          <w:lang w:val="en-CA" w:eastAsia="fr-CA"/>
        </w:rPr>
      </w:pPr>
      <w:r w:rsidRPr="0018369C">
        <w:rPr>
          <w:lang w:val="en-CA" w:eastAsia="fr-CA"/>
        </w:rPr>
        <w:lastRenderedPageBreak/>
        <w:t>The appellants raise the two grounds of appeal stated above.</w:t>
      </w:r>
      <w:r w:rsidR="000E263F" w:rsidRPr="0018369C">
        <w:rPr>
          <w:lang w:val="en-CA" w:eastAsia="fr-CA"/>
        </w:rPr>
        <w:t xml:space="preserve"> </w:t>
      </w:r>
      <w:r w:rsidRPr="0018369C">
        <w:rPr>
          <w:lang w:val="en-CA" w:eastAsia="fr-CA"/>
        </w:rPr>
        <w:t>First, they argue that the sentence is demonstrably unfit.</w:t>
      </w:r>
      <w:r w:rsidR="000E263F" w:rsidRPr="0018369C">
        <w:rPr>
          <w:lang w:val="en-CA" w:eastAsia="fr-CA"/>
        </w:rPr>
        <w:t xml:space="preserve"> </w:t>
      </w:r>
      <w:r w:rsidRPr="0018369C">
        <w:rPr>
          <w:lang w:val="en-CA" w:eastAsia="fr-CA"/>
        </w:rPr>
        <w:t>Leave to appeal on this ground was deferred to the bench.</w:t>
      </w:r>
      <w:r w:rsidR="000E263F" w:rsidRPr="0018369C">
        <w:rPr>
          <w:lang w:val="en-CA" w:eastAsia="fr-CA"/>
        </w:rPr>
        <w:t xml:space="preserve"> </w:t>
      </w:r>
      <w:bookmarkStart w:id="5" w:name="_Ref92791083"/>
      <w:r w:rsidRPr="0018369C">
        <w:rPr>
          <w:lang w:val="en-CA" w:eastAsia="fr-CA"/>
        </w:rPr>
        <w:t xml:space="preserve">Considered in isolation, it is a question of fact or of mixed law and fact that cannot be appealed when the Court is sitting in appeal under section 839 </w:t>
      </w:r>
      <w:r w:rsidRPr="009D4118">
        <w:rPr>
          <w:i/>
          <w:iCs/>
          <w:spacing w:val="-20"/>
          <w:lang w:val="en-CA" w:eastAsia="fr-CA"/>
        </w:rPr>
        <w:t>Cr. C</w:t>
      </w:r>
      <w:r w:rsidRPr="009D4118">
        <w:rPr>
          <w:spacing w:val="-20"/>
          <w:lang w:val="en-CA" w:eastAsia="fr-CA"/>
        </w:rPr>
        <w:t>.</w:t>
      </w:r>
      <w:r w:rsidR="000E263F" w:rsidRPr="0018369C">
        <w:rPr>
          <w:rStyle w:val="Appelnotedebasdep"/>
          <w:lang w:val="en-CA" w:eastAsia="fr-CA"/>
        </w:rPr>
        <w:footnoteReference w:id="6"/>
      </w:r>
      <w:bookmarkEnd w:id="5"/>
      <w:r w:rsidR="000E263F" w:rsidRPr="0018369C">
        <w:rPr>
          <w:lang w:val="en-CA" w:eastAsia="fr-CA"/>
        </w:rPr>
        <w:t xml:space="preserve"> </w:t>
      </w:r>
      <w:r w:rsidR="0058505D">
        <w:rPr>
          <w:lang w:val="en-CA" w:eastAsia="fr-CA"/>
        </w:rPr>
        <w:t>Next</w:t>
      </w:r>
      <w:r w:rsidR="00B90C64" w:rsidRPr="0018369C">
        <w:rPr>
          <w:lang w:val="en-CA" w:eastAsia="fr-CA"/>
        </w:rPr>
        <w:t>, they argue that the mandatory minimum sentence for the offence concerned is constitutional, which is a question of law.</w:t>
      </w:r>
    </w:p>
    <w:p w14:paraId="1D3F128F" w14:textId="6E234041" w:rsidR="008E4790" w:rsidRPr="0018369C" w:rsidRDefault="00B90C64" w:rsidP="00A3163A">
      <w:pPr>
        <w:pStyle w:val="Paragraphe"/>
        <w:spacing w:line="280" w:lineRule="exact"/>
        <w:rPr>
          <w:lang w:val="en-CA" w:eastAsia="fr-CA"/>
        </w:rPr>
      </w:pPr>
      <w:r w:rsidRPr="0018369C">
        <w:rPr>
          <w:lang w:val="en-CA" w:eastAsia="fr-CA"/>
        </w:rPr>
        <w:t>In the circumstances of the case and given the analysis required, there is in fact only one issue to resolve, that of the constitutional validity of the mandatory minimum sentence.</w:t>
      </w:r>
      <w:r w:rsidR="000E263F" w:rsidRPr="0018369C">
        <w:rPr>
          <w:lang w:val="en-CA" w:eastAsia="fr-CA"/>
        </w:rPr>
        <w:t xml:space="preserve"> </w:t>
      </w:r>
      <w:r w:rsidRPr="0018369C">
        <w:rPr>
          <w:lang w:val="en-CA" w:eastAsia="fr-CA"/>
        </w:rPr>
        <w:t xml:space="preserve">The answer to the first question is a </w:t>
      </w:r>
      <w:r w:rsidR="00987173">
        <w:rPr>
          <w:lang w:val="en-CA" w:eastAsia="fr-CA"/>
        </w:rPr>
        <w:t>necessary</w:t>
      </w:r>
      <w:r w:rsidRPr="0018369C">
        <w:rPr>
          <w:lang w:val="en-CA" w:eastAsia="fr-CA"/>
        </w:rPr>
        <w:t xml:space="preserve"> step </w:t>
      </w:r>
      <w:r w:rsidR="00987173">
        <w:rPr>
          <w:lang w:val="en-CA" w:eastAsia="fr-CA"/>
        </w:rPr>
        <w:t>to</w:t>
      </w:r>
      <w:r w:rsidRPr="0018369C">
        <w:rPr>
          <w:lang w:val="en-CA" w:eastAsia="fr-CA"/>
        </w:rPr>
        <w:t xml:space="preserve"> answer</w:t>
      </w:r>
      <w:r w:rsidR="002F1FBB">
        <w:rPr>
          <w:lang w:val="en-CA" w:eastAsia="fr-CA"/>
        </w:rPr>
        <w:t>ing</w:t>
      </w:r>
      <w:r w:rsidRPr="0018369C">
        <w:rPr>
          <w:lang w:val="en-CA" w:eastAsia="fr-CA"/>
        </w:rPr>
        <w:t xml:space="preserve"> the second question.</w:t>
      </w:r>
      <w:r w:rsidR="000E263F" w:rsidRPr="0018369C">
        <w:rPr>
          <w:lang w:val="en-CA" w:eastAsia="fr-CA"/>
        </w:rPr>
        <w:t xml:space="preserve"> </w:t>
      </w:r>
      <w:r w:rsidRPr="0018369C">
        <w:rPr>
          <w:lang w:val="en-CA" w:eastAsia="fr-CA"/>
        </w:rPr>
        <w:t xml:space="preserve">To dispel any ambiguity, leave to appeal </w:t>
      </w:r>
      <w:r w:rsidR="002F1FBB" w:rsidRPr="0018369C">
        <w:rPr>
          <w:lang w:val="en-CA" w:eastAsia="fr-CA"/>
        </w:rPr>
        <w:t>on the first question</w:t>
      </w:r>
      <w:r w:rsidR="002F1FBB" w:rsidRPr="002F1FBB">
        <w:rPr>
          <w:lang w:val="en-CA" w:eastAsia="fr-CA"/>
        </w:rPr>
        <w:t xml:space="preserve"> </w:t>
      </w:r>
      <w:r w:rsidR="002F1FBB" w:rsidRPr="0018369C">
        <w:rPr>
          <w:lang w:val="en-CA" w:eastAsia="fr-CA"/>
        </w:rPr>
        <w:t>will be granted</w:t>
      </w:r>
      <w:r w:rsidR="002F1FBB">
        <w:rPr>
          <w:lang w:val="en-CA" w:eastAsia="fr-CA"/>
        </w:rPr>
        <w:t>,</w:t>
      </w:r>
      <w:r w:rsidR="002F1FBB" w:rsidRPr="0018369C">
        <w:rPr>
          <w:lang w:val="en-CA" w:eastAsia="fr-CA"/>
        </w:rPr>
        <w:t xml:space="preserve"> </w:t>
      </w:r>
      <w:r w:rsidRPr="0018369C">
        <w:rPr>
          <w:lang w:val="en-CA" w:eastAsia="fr-CA"/>
        </w:rPr>
        <w:t>even though it is not strictly necessary in this case since it is included in the second</w:t>
      </w:r>
      <w:r w:rsidR="0058505D">
        <w:rPr>
          <w:lang w:val="en-CA" w:eastAsia="fr-CA"/>
        </w:rPr>
        <w:t xml:space="preserve"> question</w:t>
      </w:r>
      <w:r w:rsidRPr="0018369C">
        <w:rPr>
          <w:lang w:val="en-CA" w:eastAsia="fr-CA"/>
        </w:rPr>
        <w:t>, which is a question of law.</w:t>
      </w:r>
      <w:r w:rsidR="000E263F" w:rsidRPr="0018369C">
        <w:rPr>
          <w:lang w:val="en-CA" w:eastAsia="fr-CA"/>
        </w:rPr>
        <w:t xml:space="preserve"> </w:t>
      </w:r>
      <w:bookmarkStart w:id="6" w:name="_Ref88467732"/>
      <w:bookmarkStart w:id="7" w:name="_Ref92791178"/>
      <w:r w:rsidRPr="0018369C">
        <w:rPr>
          <w:lang w:val="en-CA" w:eastAsia="fr-CA"/>
        </w:rPr>
        <w:t xml:space="preserve">However, we note that the standard </w:t>
      </w:r>
      <w:r w:rsidR="00E22649">
        <w:rPr>
          <w:lang w:val="en-CA" w:eastAsia="fr-CA"/>
        </w:rPr>
        <w:t>of review</w:t>
      </w:r>
      <w:r w:rsidRPr="0018369C">
        <w:rPr>
          <w:lang w:val="en-CA" w:eastAsia="fr-CA"/>
        </w:rPr>
        <w:t xml:space="preserve"> with respect to the fitness of a sentence when it is part of a constitutional challenge remains </w:t>
      </w:r>
      <w:r w:rsidR="0058505D">
        <w:rPr>
          <w:lang w:val="en-CA" w:eastAsia="fr-CA"/>
        </w:rPr>
        <w:t>unchanged</w:t>
      </w:r>
      <w:r w:rsidRPr="0018369C">
        <w:rPr>
          <w:lang w:val="en-CA" w:eastAsia="fr-CA"/>
        </w:rPr>
        <w:t xml:space="preserve">, </w:t>
      </w:r>
      <w:r w:rsidR="00987173">
        <w:rPr>
          <w:lang w:val="en-CA" w:eastAsia="fr-CA"/>
        </w:rPr>
        <w:t>namely</w:t>
      </w:r>
      <w:r w:rsidRPr="0018369C">
        <w:rPr>
          <w:lang w:val="en-CA" w:eastAsia="fr-CA"/>
        </w:rPr>
        <w:t xml:space="preserve">, </w:t>
      </w:r>
      <w:r w:rsidR="002F1FBB">
        <w:rPr>
          <w:lang w:val="en-CA" w:eastAsia="fr-CA"/>
        </w:rPr>
        <w:t xml:space="preserve">that of </w:t>
      </w:r>
      <w:r w:rsidRPr="0018369C">
        <w:rPr>
          <w:lang w:val="en-CA" w:eastAsia="fr-CA"/>
        </w:rPr>
        <w:t xml:space="preserve">deference, </w:t>
      </w:r>
      <w:r w:rsidR="002F1FBB">
        <w:rPr>
          <w:lang w:val="en-CA" w:eastAsia="fr-CA"/>
        </w:rPr>
        <w:t>unless</w:t>
      </w:r>
      <w:r w:rsidRPr="0018369C">
        <w:rPr>
          <w:lang w:val="en-CA" w:eastAsia="fr-CA"/>
        </w:rPr>
        <w:t xml:space="preserve"> the sentence is demonstrably unfit or contains an error </w:t>
      </w:r>
      <w:r w:rsidR="009D4118">
        <w:rPr>
          <w:lang w:val="en-CA" w:eastAsia="fr-CA"/>
        </w:rPr>
        <w:t>in</w:t>
      </w:r>
      <w:r w:rsidRPr="0018369C">
        <w:rPr>
          <w:lang w:val="en-CA" w:eastAsia="fr-CA"/>
        </w:rPr>
        <w:t xml:space="preserve"> principle.</w:t>
      </w:r>
      <w:r w:rsidR="000E263F" w:rsidRPr="0018369C">
        <w:rPr>
          <w:rStyle w:val="Appelnotedebasdep"/>
          <w:lang w:val="en-CA" w:eastAsia="fr-CA"/>
        </w:rPr>
        <w:footnoteReference w:id="7"/>
      </w:r>
      <w:bookmarkEnd w:id="6"/>
      <w:bookmarkEnd w:id="7"/>
      <w:r w:rsidRPr="0018369C">
        <w:rPr>
          <w:lang w:val="en-CA" w:eastAsia="fr-CA"/>
        </w:rPr>
        <w:t xml:space="preserve"> </w:t>
      </w:r>
    </w:p>
    <w:p w14:paraId="17B7C401" w14:textId="16EDDCC4" w:rsidR="00220F0D" w:rsidRPr="0018369C" w:rsidRDefault="00B90C64" w:rsidP="00A3163A">
      <w:pPr>
        <w:pStyle w:val="Titre1"/>
        <w:spacing w:line="280" w:lineRule="exact"/>
        <w:rPr>
          <w:lang w:val="en-CA" w:eastAsia="fr-CA"/>
        </w:rPr>
      </w:pPr>
      <w:r w:rsidRPr="0018369C">
        <w:rPr>
          <w:lang w:val="en-CA" w:eastAsia="fr-CA"/>
        </w:rPr>
        <w:t>JUDGMENT UNDER APPEAL</w:t>
      </w:r>
    </w:p>
    <w:p w14:paraId="139EC013" w14:textId="66DFB74B" w:rsidR="00953AE1" w:rsidRPr="0018369C" w:rsidRDefault="00953AE1" w:rsidP="00A3163A">
      <w:pPr>
        <w:pStyle w:val="Paragraphe"/>
        <w:spacing w:line="280" w:lineRule="exact"/>
        <w:rPr>
          <w:lang w:val="en-CA"/>
        </w:rPr>
      </w:pPr>
      <w:r w:rsidRPr="0018369C">
        <w:rPr>
          <w:lang w:val="en-CA"/>
        </w:rPr>
        <w:t>It should be noted that the two abovementioned grounds of appeal were among those submitted as is to the Superior Court</w:t>
      </w:r>
      <w:r w:rsidR="000D4E70">
        <w:rPr>
          <w:lang w:val="en-CA"/>
        </w:rPr>
        <w:t xml:space="preserve"> judge,</w:t>
      </w:r>
      <w:r w:rsidR="000E263F" w:rsidRPr="0018369C">
        <w:rPr>
          <w:rStyle w:val="Appelnotedebasdep"/>
          <w:lang w:val="en-CA"/>
        </w:rPr>
        <w:footnoteReference w:id="8"/>
      </w:r>
      <w:r w:rsidR="000E263F" w:rsidRPr="0018369C">
        <w:rPr>
          <w:lang w:val="en-CA"/>
        </w:rPr>
        <w:t xml:space="preserve"> </w:t>
      </w:r>
      <w:r w:rsidR="000D4E70">
        <w:rPr>
          <w:lang w:val="en-CA"/>
        </w:rPr>
        <w:t>who</w:t>
      </w:r>
      <w:r w:rsidRPr="0018369C">
        <w:rPr>
          <w:lang w:val="en-CA"/>
        </w:rPr>
        <w:t xml:space="preserve"> </w:t>
      </w:r>
      <w:r w:rsidR="00872CD6">
        <w:rPr>
          <w:lang w:val="en-CA"/>
        </w:rPr>
        <w:t>began</w:t>
      </w:r>
      <w:r w:rsidRPr="0018369C">
        <w:rPr>
          <w:lang w:val="en-CA"/>
        </w:rPr>
        <w:t xml:space="preserve"> her </w:t>
      </w:r>
      <w:r w:rsidR="007D68E3" w:rsidRPr="0018369C">
        <w:rPr>
          <w:lang w:val="en-CA"/>
        </w:rPr>
        <w:t>rigorous</w:t>
      </w:r>
      <w:r w:rsidRPr="0018369C">
        <w:rPr>
          <w:lang w:val="en-CA"/>
        </w:rPr>
        <w:t xml:space="preserve"> analysis of the issues in dispute by recalling her power of appellate intervention.</w:t>
      </w:r>
      <w:r w:rsidR="000E263F" w:rsidRPr="0018369C">
        <w:rPr>
          <w:rStyle w:val="Appelnotedebasdep"/>
          <w:lang w:val="en-CA"/>
        </w:rPr>
        <w:footnoteReference w:id="9"/>
      </w:r>
      <w:r w:rsidR="000E263F" w:rsidRPr="0018369C">
        <w:rPr>
          <w:lang w:val="en-CA"/>
        </w:rPr>
        <w:t xml:space="preserve"> </w:t>
      </w:r>
      <w:r w:rsidRPr="0018369C">
        <w:rPr>
          <w:lang w:val="en-CA"/>
        </w:rPr>
        <w:t xml:space="preserve">She next provided the legal </w:t>
      </w:r>
      <w:r w:rsidR="007D68E3" w:rsidRPr="0018369C">
        <w:rPr>
          <w:lang w:val="en-CA"/>
        </w:rPr>
        <w:t>definition</w:t>
      </w:r>
      <w:r w:rsidRPr="0018369C">
        <w:rPr>
          <w:lang w:val="en-CA"/>
        </w:rPr>
        <w:t xml:space="preserve"> of luring,</w:t>
      </w:r>
      <w:r w:rsidRPr="0018369C">
        <w:rPr>
          <w:rStyle w:val="Appelnotedebasdep"/>
          <w:lang w:val="en-CA"/>
        </w:rPr>
        <w:footnoteReference w:id="10"/>
      </w:r>
      <w:r w:rsidRPr="0018369C">
        <w:rPr>
          <w:lang w:val="en-CA"/>
        </w:rPr>
        <w:t xml:space="preserve"> an inchoate offence, that does not require sexually explicit language even though such language </w:t>
      </w:r>
      <w:r w:rsidR="000D4E70">
        <w:rPr>
          <w:lang w:val="en-CA"/>
        </w:rPr>
        <w:t>may</w:t>
      </w:r>
      <w:r w:rsidR="000D4E70" w:rsidRPr="0018369C">
        <w:rPr>
          <w:lang w:val="en-CA"/>
        </w:rPr>
        <w:t xml:space="preserve"> </w:t>
      </w:r>
      <w:r w:rsidRPr="0018369C">
        <w:rPr>
          <w:lang w:val="en-CA"/>
        </w:rPr>
        <w:t>suffice to prove the respondent’s criminal intent.</w:t>
      </w:r>
      <w:r w:rsidR="000E263F" w:rsidRPr="0018369C">
        <w:rPr>
          <w:rStyle w:val="Appelnotedebasdep"/>
          <w:lang w:val="en-CA"/>
        </w:rPr>
        <w:footnoteReference w:id="11"/>
      </w:r>
      <w:r w:rsidR="007D68E3" w:rsidRPr="0018369C">
        <w:rPr>
          <w:lang w:val="en-CA"/>
        </w:rPr>
        <w:t xml:space="preserve"> </w:t>
      </w:r>
      <w:r w:rsidRPr="0018369C">
        <w:rPr>
          <w:lang w:val="en-CA"/>
        </w:rPr>
        <w:t>She summarized the analysis of the trial judge</w:t>
      </w:r>
      <w:r w:rsidRPr="0018369C">
        <w:rPr>
          <w:rStyle w:val="Appelnotedebasdep"/>
          <w:lang w:val="en-CA"/>
        </w:rPr>
        <w:footnoteReference w:id="12"/>
      </w:r>
      <w:r w:rsidRPr="0018369C">
        <w:rPr>
          <w:lang w:val="en-CA"/>
        </w:rPr>
        <w:t xml:space="preserve"> and set out the analytical </w:t>
      </w:r>
      <w:r w:rsidR="00872CD6">
        <w:rPr>
          <w:lang w:val="en-CA"/>
        </w:rPr>
        <w:t>approach</w:t>
      </w:r>
      <w:r w:rsidRPr="0018369C">
        <w:rPr>
          <w:lang w:val="en-CA"/>
        </w:rPr>
        <w:t xml:space="preserve"> she would follow on appeal.</w:t>
      </w:r>
      <w:r w:rsidRPr="0018369C">
        <w:rPr>
          <w:rStyle w:val="Appelnotedebasdep"/>
          <w:lang w:val="en-CA"/>
        </w:rPr>
        <w:footnoteReference w:id="13"/>
      </w:r>
      <w:r w:rsidRPr="0018369C">
        <w:rPr>
          <w:lang w:val="en-CA"/>
        </w:rPr>
        <w:t xml:space="preserve"> </w:t>
      </w:r>
    </w:p>
    <w:p w14:paraId="16B40A22" w14:textId="21954AB2" w:rsidR="00BD0DBA" w:rsidRPr="0018369C" w:rsidRDefault="00953AE1" w:rsidP="00A3163A">
      <w:pPr>
        <w:pStyle w:val="Paragraphe"/>
        <w:spacing w:line="280" w:lineRule="exact"/>
        <w:rPr>
          <w:lang w:val="en-CA"/>
        </w:rPr>
      </w:pPr>
      <w:r w:rsidRPr="0018369C">
        <w:rPr>
          <w:lang w:val="en-CA"/>
        </w:rPr>
        <w:t xml:space="preserve">The judge first dealt with the parity </w:t>
      </w:r>
      <w:r w:rsidR="00872CD6">
        <w:rPr>
          <w:lang w:val="en-CA"/>
        </w:rPr>
        <w:t>in</w:t>
      </w:r>
      <w:r w:rsidRPr="0018369C">
        <w:rPr>
          <w:lang w:val="en-CA"/>
        </w:rPr>
        <w:t xml:space="preserve"> sentencing principle codified in section 718.2(b) </w:t>
      </w:r>
      <w:r w:rsidRPr="009D4118">
        <w:rPr>
          <w:i/>
          <w:iCs/>
          <w:spacing w:val="-20"/>
          <w:lang w:val="en-CA"/>
        </w:rPr>
        <w:t>Cr. C</w:t>
      </w:r>
      <w:r w:rsidRPr="009D4118">
        <w:rPr>
          <w:spacing w:val="-20"/>
          <w:lang w:val="en-CA"/>
        </w:rPr>
        <w:t>.</w:t>
      </w:r>
      <w:r w:rsidRPr="0018369C">
        <w:rPr>
          <w:lang w:val="en-CA"/>
        </w:rPr>
        <w:t xml:space="preserve"> and </w:t>
      </w:r>
      <w:r w:rsidR="00872CD6">
        <w:rPr>
          <w:lang w:val="en-CA"/>
        </w:rPr>
        <w:t xml:space="preserve">the </w:t>
      </w:r>
      <w:r w:rsidRPr="0018369C">
        <w:rPr>
          <w:lang w:val="en-CA"/>
        </w:rPr>
        <w:t>sentencing ranges to determine whether the trial judge had committed an error.</w:t>
      </w:r>
      <w:r w:rsidR="000E263F" w:rsidRPr="0018369C">
        <w:rPr>
          <w:rStyle w:val="Appelnotedebasdep"/>
          <w:lang w:val="en-CA"/>
        </w:rPr>
        <w:footnoteReference w:id="14"/>
      </w:r>
      <w:r w:rsidR="000E263F" w:rsidRPr="0018369C">
        <w:rPr>
          <w:lang w:val="en-CA"/>
        </w:rPr>
        <w:t xml:space="preserve"> </w:t>
      </w:r>
      <w:r w:rsidRPr="0018369C">
        <w:rPr>
          <w:lang w:val="en-CA"/>
        </w:rPr>
        <w:t xml:space="preserve">She noted that an appellate court may not intervene simply </w:t>
      </w:r>
      <w:r w:rsidR="0026010D">
        <w:rPr>
          <w:lang w:val="en-CA"/>
        </w:rPr>
        <w:t>because</w:t>
      </w:r>
      <w:r w:rsidRPr="0018369C">
        <w:rPr>
          <w:lang w:val="en-CA"/>
        </w:rPr>
        <w:t xml:space="preserve"> it would have p</w:t>
      </w:r>
      <w:r w:rsidR="0026010D">
        <w:rPr>
          <w:lang w:val="en-CA"/>
        </w:rPr>
        <w:t>laced</w:t>
      </w:r>
      <w:r w:rsidRPr="0018369C">
        <w:rPr>
          <w:lang w:val="en-CA"/>
        </w:rPr>
        <w:t xml:space="preserve"> the sentence in a different range or category.</w:t>
      </w:r>
      <w:r w:rsidR="000E263F" w:rsidRPr="0018369C">
        <w:rPr>
          <w:rStyle w:val="Appelnotedebasdep"/>
          <w:lang w:val="en-CA"/>
        </w:rPr>
        <w:footnoteReference w:id="15"/>
      </w:r>
      <w:r w:rsidR="000E263F" w:rsidRPr="0018369C">
        <w:rPr>
          <w:lang w:val="en-CA"/>
        </w:rPr>
        <w:t xml:space="preserve"> </w:t>
      </w:r>
      <w:r w:rsidRPr="0018369C">
        <w:rPr>
          <w:lang w:val="en-CA"/>
        </w:rPr>
        <w:t xml:space="preserve">She reviewed the </w:t>
      </w:r>
      <w:r w:rsidRPr="0018369C">
        <w:rPr>
          <w:lang w:val="en-CA"/>
        </w:rPr>
        <w:lastRenderedPageBreak/>
        <w:t xml:space="preserve">sentencing ranges for luring and </w:t>
      </w:r>
      <w:r w:rsidR="00191DBD">
        <w:rPr>
          <w:lang w:val="en-CA"/>
        </w:rPr>
        <w:t>considered</w:t>
      </w:r>
      <w:r w:rsidRPr="0018369C">
        <w:rPr>
          <w:lang w:val="en-CA"/>
        </w:rPr>
        <w:t xml:space="preserve"> the prosecution’s mode of prosecution.</w:t>
      </w:r>
      <w:r w:rsidR="000E263F" w:rsidRPr="0018369C">
        <w:rPr>
          <w:rStyle w:val="Appelnotedebasdep"/>
          <w:lang w:val="en-CA"/>
        </w:rPr>
        <w:footnoteReference w:id="16"/>
      </w:r>
      <w:r w:rsidRPr="0018369C">
        <w:rPr>
          <w:lang w:val="en-CA"/>
        </w:rPr>
        <w:t xml:space="preserve"> The judge noted, however, that the sentencing ranges applicable to the offence of luring had changed to respond to Parliament’s initiatives</w:t>
      </w:r>
      <w:r w:rsidRPr="0018369C">
        <w:rPr>
          <w:rStyle w:val="Appelnotedebasdep"/>
          <w:lang w:val="en-CA"/>
        </w:rPr>
        <w:footnoteReference w:id="17"/>
      </w:r>
      <w:r w:rsidRPr="0018369C">
        <w:rPr>
          <w:lang w:val="en-CA"/>
        </w:rPr>
        <w:t xml:space="preserve"> and recalled the vast differences </w:t>
      </w:r>
      <w:r w:rsidR="00191DBD">
        <w:rPr>
          <w:lang w:val="en-CA"/>
        </w:rPr>
        <w:t>in</w:t>
      </w:r>
      <w:r w:rsidRPr="0018369C">
        <w:rPr>
          <w:lang w:val="en-CA"/>
        </w:rPr>
        <w:t xml:space="preserve"> </w:t>
      </w:r>
      <w:r w:rsidR="00191DBD">
        <w:rPr>
          <w:lang w:val="en-CA"/>
        </w:rPr>
        <w:t xml:space="preserve">possible </w:t>
      </w:r>
      <w:r w:rsidRPr="0018369C">
        <w:rPr>
          <w:lang w:val="en-CA"/>
        </w:rPr>
        <w:t xml:space="preserve">sentences between proceedings by way of indictment </w:t>
      </w:r>
      <w:r w:rsidR="00191DBD">
        <w:rPr>
          <w:lang w:val="en-CA"/>
        </w:rPr>
        <w:t xml:space="preserve">and </w:t>
      </w:r>
      <w:r w:rsidR="00191DBD" w:rsidRPr="0018369C">
        <w:rPr>
          <w:lang w:val="en-CA"/>
        </w:rPr>
        <w:t>by way of</w:t>
      </w:r>
      <w:r w:rsidRPr="0018369C">
        <w:rPr>
          <w:lang w:val="en-CA"/>
        </w:rPr>
        <w:t xml:space="preserve"> summary conviction.</w:t>
      </w:r>
      <w:r w:rsidR="000E263F" w:rsidRPr="0018369C">
        <w:rPr>
          <w:rStyle w:val="Appelnotedebasdep"/>
          <w:lang w:val="en-CA"/>
        </w:rPr>
        <w:footnoteReference w:id="18"/>
      </w:r>
      <w:bookmarkStart w:id="8" w:name="_Ref88470129"/>
      <w:r w:rsidRPr="0018369C">
        <w:rPr>
          <w:lang w:val="en-CA"/>
        </w:rPr>
        <w:t xml:space="preserve"> The judge added that, since the Court of Québec judgment, the Supreme Court had rendered </w:t>
      </w:r>
      <w:r w:rsidRPr="0018369C">
        <w:rPr>
          <w:i/>
          <w:lang w:val="en-CA"/>
        </w:rPr>
        <w:t>Friesen</w:t>
      </w:r>
      <w:bookmarkStart w:id="9" w:name="_Ref88469422"/>
      <w:r w:rsidRPr="0018369C">
        <w:rPr>
          <w:rStyle w:val="Appelnotedebasdep"/>
          <w:lang w:val="en-CA"/>
        </w:rPr>
        <w:footnoteReference w:id="19"/>
      </w:r>
      <w:bookmarkEnd w:id="9"/>
      <w:r w:rsidR="00BD0DBA" w:rsidRPr="0018369C">
        <w:rPr>
          <w:lang w:val="en-CA"/>
        </w:rPr>
        <w:t xml:space="preserve"> </w:t>
      </w:r>
      <w:r w:rsidRPr="0018369C">
        <w:rPr>
          <w:lang w:val="en-CA"/>
        </w:rPr>
        <w:t xml:space="preserve">and the Court of Appeal </w:t>
      </w:r>
      <w:r w:rsidR="00191DBD">
        <w:rPr>
          <w:lang w:val="en-CA"/>
        </w:rPr>
        <w:t xml:space="preserve">had rendered </w:t>
      </w:r>
      <w:r w:rsidRPr="0018369C">
        <w:rPr>
          <w:i/>
          <w:lang w:val="en-CA"/>
        </w:rPr>
        <w:t>Montour</w:t>
      </w:r>
      <w:r w:rsidRPr="0018369C">
        <w:rPr>
          <w:lang w:val="en-CA"/>
        </w:rPr>
        <w:t>,</w:t>
      </w:r>
      <w:r w:rsidRPr="0018369C">
        <w:rPr>
          <w:rStyle w:val="Appelnotedebasdep"/>
          <w:lang w:val="en-CA"/>
        </w:rPr>
        <w:footnoteReference w:id="20"/>
      </w:r>
      <w:r w:rsidRPr="0018369C">
        <w:rPr>
          <w:lang w:val="en-CA"/>
        </w:rPr>
        <w:t xml:space="preserve"> </w:t>
      </w:r>
      <w:r w:rsidR="00191573">
        <w:rPr>
          <w:lang w:val="en-CA"/>
        </w:rPr>
        <w:t xml:space="preserve">both of which set </w:t>
      </w:r>
      <w:r w:rsidRPr="0018369C">
        <w:rPr>
          <w:lang w:val="en-CA"/>
        </w:rPr>
        <w:t>out certain guidelines regarding sentences imposed for such offences.</w:t>
      </w:r>
      <w:bookmarkEnd w:id="8"/>
      <w:r w:rsidR="000E263F" w:rsidRPr="0018369C">
        <w:rPr>
          <w:rStyle w:val="Appelnotedebasdep"/>
          <w:lang w:val="en-CA"/>
        </w:rPr>
        <w:footnoteReference w:id="21"/>
      </w:r>
    </w:p>
    <w:p w14:paraId="6B4E7F4F" w14:textId="7BC7F325" w:rsidR="00F1386D" w:rsidRPr="0018369C" w:rsidRDefault="00BD0DBA" w:rsidP="00A3163A">
      <w:pPr>
        <w:pStyle w:val="Paragraphe"/>
        <w:spacing w:line="280" w:lineRule="exact"/>
        <w:rPr>
          <w:lang w:val="en-CA"/>
        </w:rPr>
      </w:pPr>
      <w:r w:rsidRPr="0018369C">
        <w:rPr>
          <w:lang w:val="en-CA"/>
        </w:rPr>
        <w:t xml:space="preserve">The judge </w:t>
      </w:r>
      <w:r w:rsidR="007C168C" w:rsidRPr="0018369C">
        <w:rPr>
          <w:lang w:val="en-CA"/>
        </w:rPr>
        <w:t>de</w:t>
      </w:r>
      <w:r w:rsidR="007C168C">
        <w:rPr>
          <w:lang w:val="en-CA"/>
        </w:rPr>
        <w:t>vo</w:t>
      </w:r>
      <w:r w:rsidR="007C168C" w:rsidRPr="0018369C">
        <w:rPr>
          <w:lang w:val="en-CA"/>
        </w:rPr>
        <w:t xml:space="preserve">ted </w:t>
      </w:r>
      <w:r w:rsidRPr="0018369C">
        <w:rPr>
          <w:lang w:val="en-CA"/>
        </w:rPr>
        <w:t>the next pages of her judgment to an exhaustive review of the case law on luring pre</w:t>
      </w:r>
      <w:r w:rsidR="0001270B">
        <w:rPr>
          <w:lang w:val="en-CA"/>
        </w:rPr>
        <w:t>-</w:t>
      </w:r>
      <w:r w:rsidRPr="0018369C">
        <w:rPr>
          <w:lang w:val="en-CA"/>
        </w:rPr>
        <w:t xml:space="preserve"> and post</w:t>
      </w:r>
      <w:r w:rsidR="0001270B">
        <w:rPr>
          <w:lang w:val="en-CA"/>
        </w:rPr>
        <w:t>-</w:t>
      </w:r>
      <w:r w:rsidRPr="0018369C">
        <w:rPr>
          <w:i/>
          <w:lang w:val="en-CA"/>
        </w:rPr>
        <w:t>Friesen</w:t>
      </w:r>
      <w:r w:rsidRPr="0018369C">
        <w:rPr>
          <w:lang w:val="en-CA"/>
        </w:rPr>
        <w:t xml:space="preserve"> and, at the end of her analysis, </w:t>
      </w:r>
      <w:r w:rsidR="00191573">
        <w:rPr>
          <w:lang w:val="en-CA"/>
        </w:rPr>
        <w:t xml:space="preserve">observed </w:t>
      </w:r>
      <w:r w:rsidRPr="0018369C">
        <w:rPr>
          <w:lang w:val="en-CA"/>
        </w:rPr>
        <w:t xml:space="preserve">that these judgments revealed a strong trend towards </w:t>
      </w:r>
      <w:r w:rsidR="007C168C">
        <w:rPr>
          <w:lang w:val="en-CA"/>
        </w:rPr>
        <w:t>longer</w:t>
      </w:r>
      <w:r w:rsidR="007C168C" w:rsidRPr="0018369C">
        <w:rPr>
          <w:lang w:val="en-CA"/>
        </w:rPr>
        <w:t xml:space="preserve"> </w:t>
      </w:r>
      <w:r w:rsidRPr="0018369C">
        <w:rPr>
          <w:lang w:val="en-CA"/>
        </w:rPr>
        <w:t>sentences for luring.</w:t>
      </w:r>
      <w:r w:rsidR="000E263F" w:rsidRPr="0018369C">
        <w:rPr>
          <w:rStyle w:val="Appelnotedebasdep"/>
          <w:lang w:val="en-CA"/>
        </w:rPr>
        <w:footnoteReference w:id="22"/>
      </w:r>
      <w:r w:rsidRPr="0018369C">
        <w:rPr>
          <w:lang w:val="en-CA"/>
        </w:rPr>
        <w:t xml:space="preserve"> </w:t>
      </w:r>
    </w:p>
    <w:p w14:paraId="3D76EE96" w14:textId="4FB86F61" w:rsidR="00F1386D" w:rsidRPr="0018369C" w:rsidRDefault="00BD0DBA" w:rsidP="00A3163A">
      <w:pPr>
        <w:pStyle w:val="Paragraphe"/>
        <w:spacing w:line="280" w:lineRule="exact"/>
        <w:rPr>
          <w:lang w:val="en-CA"/>
        </w:rPr>
      </w:pPr>
      <w:r w:rsidRPr="0018369C">
        <w:rPr>
          <w:lang w:val="en-CA"/>
        </w:rPr>
        <w:t xml:space="preserve">After </w:t>
      </w:r>
      <w:r w:rsidR="0001270B">
        <w:rPr>
          <w:lang w:val="en-CA"/>
        </w:rPr>
        <w:t>analyzing</w:t>
      </w:r>
      <w:r w:rsidRPr="0018369C">
        <w:rPr>
          <w:lang w:val="en-CA"/>
        </w:rPr>
        <w:t xml:space="preserve"> the</w:t>
      </w:r>
      <w:r w:rsidR="0001270B">
        <w:rPr>
          <w:lang w:val="en-CA"/>
        </w:rPr>
        <w:t xml:space="preserve"> various</w:t>
      </w:r>
      <w:r w:rsidRPr="0018369C">
        <w:rPr>
          <w:lang w:val="en-CA"/>
        </w:rPr>
        <w:t xml:space="preserve"> mitigating and aggravating factors accepted by the judge</w:t>
      </w:r>
      <w:r w:rsidR="0001270B">
        <w:rPr>
          <w:lang w:val="en-CA"/>
        </w:rPr>
        <w:t xml:space="preserve"> of the </w:t>
      </w:r>
      <w:r w:rsidR="0001270B" w:rsidRPr="0018369C">
        <w:rPr>
          <w:lang w:val="en-CA"/>
        </w:rPr>
        <w:t>Court of Québec</w:t>
      </w:r>
      <w:r w:rsidR="0001270B">
        <w:rPr>
          <w:lang w:val="en-CA"/>
        </w:rPr>
        <w:t>,</w:t>
      </w:r>
      <w:r w:rsidRPr="0018369C">
        <w:rPr>
          <w:lang w:val="en-CA"/>
        </w:rPr>
        <w:t xml:space="preserve"> </w:t>
      </w:r>
      <w:r w:rsidR="0001270B">
        <w:rPr>
          <w:lang w:val="en-CA"/>
        </w:rPr>
        <w:t>the</w:t>
      </w:r>
      <w:r w:rsidRPr="0018369C">
        <w:rPr>
          <w:lang w:val="en-CA"/>
        </w:rPr>
        <w:t xml:space="preserve"> judge noted two errors</w:t>
      </w:r>
      <w:r w:rsidR="007C168C">
        <w:rPr>
          <w:lang w:val="en-CA"/>
        </w:rPr>
        <w:t xml:space="preserve"> he committed</w:t>
      </w:r>
      <w:r w:rsidRPr="0018369C">
        <w:rPr>
          <w:lang w:val="en-CA"/>
        </w:rPr>
        <w:t>.</w:t>
      </w:r>
      <w:r w:rsidR="000E263F" w:rsidRPr="0018369C">
        <w:rPr>
          <w:lang w:val="en-CA"/>
        </w:rPr>
        <w:t xml:space="preserve"> </w:t>
      </w:r>
      <w:r w:rsidRPr="0018369C">
        <w:rPr>
          <w:lang w:val="en-CA"/>
        </w:rPr>
        <w:t>He did not respect the parity in sentencing</w:t>
      </w:r>
      <w:r w:rsidR="0001270B">
        <w:rPr>
          <w:lang w:val="en-CA"/>
        </w:rPr>
        <w:t xml:space="preserve"> </w:t>
      </w:r>
      <w:r w:rsidR="00812472">
        <w:rPr>
          <w:lang w:val="en-CA"/>
        </w:rPr>
        <w:t>principle,</w:t>
      </w:r>
      <w:r w:rsidRPr="0018369C">
        <w:rPr>
          <w:lang w:val="en-CA"/>
        </w:rPr>
        <w:t xml:space="preserve"> and he </w:t>
      </w:r>
      <w:r w:rsidR="00191573">
        <w:rPr>
          <w:lang w:val="en-CA"/>
        </w:rPr>
        <w:t>erred in his characterization of</w:t>
      </w:r>
      <w:r w:rsidRPr="0018369C">
        <w:rPr>
          <w:lang w:val="en-CA"/>
        </w:rPr>
        <w:t xml:space="preserve"> the mitigating and aggravating factors.</w:t>
      </w:r>
      <w:r w:rsidR="000E263F" w:rsidRPr="0018369C">
        <w:rPr>
          <w:rStyle w:val="Appelnotedebasdep"/>
          <w:lang w:val="en-CA"/>
        </w:rPr>
        <w:footnoteReference w:id="23"/>
      </w:r>
      <w:r w:rsidRPr="0018369C">
        <w:rPr>
          <w:lang w:val="en-CA"/>
        </w:rPr>
        <w:t xml:space="preserve"> </w:t>
      </w:r>
      <w:r w:rsidR="007A31C2">
        <w:rPr>
          <w:lang w:val="en-CA"/>
        </w:rPr>
        <w:t>Specifically</w:t>
      </w:r>
      <w:r w:rsidRPr="0018369C">
        <w:rPr>
          <w:lang w:val="en-CA"/>
        </w:rPr>
        <w:t>, the Court of Québec</w:t>
      </w:r>
      <w:r w:rsidR="004E3E33">
        <w:rPr>
          <w:lang w:val="en-CA"/>
        </w:rPr>
        <w:t xml:space="preserve"> judge</w:t>
      </w:r>
      <w:r w:rsidR="007A31C2">
        <w:rPr>
          <w:lang w:val="en-CA"/>
        </w:rPr>
        <w:t>’s analysis</w:t>
      </w:r>
      <w:r w:rsidR="007C168C">
        <w:rPr>
          <w:lang w:val="en-CA"/>
        </w:rPr>
        <w:t xml:space="preserve"> </w:t>
      </w:r>
      <w:r w:rsidRPr="0018369C">
        <w:rPr>
          <w:lang w:val="en-CA"/>
        </w:rPr>
        <w:t xml:space="preserve">should have taken into consideration the respondent’s </w:t>
      </w:r>
      <w:r w:rsidR="00F47C29">
        <w:rPr>
          <w:lang w:val="en-CA" w:eastAsia="fr-CA"/>
        </w:rPr>
        <w:t>commission of</w:t>
      </w:r>
      <w:r w:rsidR="00F47C29" w:rsidRPr="0018369C">
        <w:rPr>
          <w:lang w:val="en-CA" w:eastAsia="fr-CA"/>
        </w:rPr>
        <w:t xml:space="preserve"> the offence</w:t>
      </w:r>
      <w:r w:rsidRPr="0018369C">
        <w:rPr>
          <w:lang w:val="en-CA"/>
        </w:rPr>
        <w:t>, which constituted an actual assault.</w:t>
      </w:r>
      <w:r w:rsidR="000E263F" w:rsidRPr="0018369C">
        <w:rPr>
          <w:rStyle w:val="Appelnotedebasdep"/>
          <w:lang w:val="en-CA"/>
        </w:rPr>
        <w:footnoteReference w:id="24"/>
      </w:r>
      <w:r w:rsidR="000E263F" w:rsidRPr="0018369C">
        <w:rPr>
          <w:lang w:val="en-CA"/>
        </w:rPr>
        <w:t xml:space="preserve"> </w:t>
      </w:r>
      <w:r w:rsidR="007A31C2">
        <w:rPr>
          <w:lang w:val="en-CA"/>
        </w:rPr>
        <w:t xml:space="preserve">Furthermore, he </w:t>
      </w:r>
      <w:r w:rsidRPr="0018369C">
        <w:rPr>
          <w:lang w:val="en-CA"/>
        </w:rPr>
        <w:t xml:space="preserve">considered the short </w:t>
      </w:r>
      <w:r w:rsidR="00CA03F7">
        <w:rPr>
          <w:lang w:val="en-CA"/>
        </w:rPr>
        <w:t>duration</w:t>
      </w:r>
      <w:r w:rsidRPr="0018369C">
        <w:rPr>
          <w:lang w:val="en-CA"/>
        </w:rPr>
        <w:t xml:space="preserve"> of the offence </w:t>
      </w:r>
      <w:r w:rsidR="007A31C2">
        <w:rPr>
          <w:lang w:val="en-CA"/>
        </w:rPr>
        <w:t xml:space="preserve">to be </w:t>
      </w:r>
      <w:r w:rsidRPr="0018369C">
        <w:rPr>
          <w:lang w:val="en-CA"/>
        </w:rPr>
        <w:t>a mitigating factor, which is also a reviewable error.</w:t>
      </w:r>
      <w:r w:rsidR="000E263F" w:rsidRPr="0018369C">
        <w:rPr>
          <w:rStyle w:val="Appelnotedebasdep"/>
          <w:lang w:val="en-CA"/>
        </w:rPr>
        <w:footnoteReference w:id="25"/>
      </w:r>
      <w:r w:rsidRPr="0018369C">
        <w:rPr>
          <w:lang w:val="en-CA"/>
        </w:rPr>
        <w:t xml:space="preserve"> </w:t>
      </w:r>
    </w:p>
    <w:p w14:paraId="16ABD81F" w14:textId="0E00C4D3" w:rsidR="00F1386D" w:rsidRPr="0018369C" w:rsidRDefault="00BD0DBA" w:rsidP="00A3163A">
      <w:pPr>
        <w:pStyle w:val="Paragraphe"/>
        <w:spacing w:line="280" w:lineRule="exact"/>
        <w:rPr>
          <w:lang w:val="en-CA"/>
        </w:rPr>
      </w:pPr>
      <w:r w:rsidRPr="0018369C">
        <w:rPr>
          <w:lang w:val="en-CA"/>
        </w:rPr>
        <w:t xml:space="preserve">The Superior Court judge also agreed with the appellants that the reasons in </w:t>
      </w:r>
      <w:r w:rsidR="006478CB">
        <w:rPr>
          <w:lang w:val="en-CA"/>
        </w:rPr>
        <w:t xml:space="preserve">the </w:t>
      </w:r>
      <w:r w:rsidRPr="0018369C">
        <w:rPr>
          <w:lang w:val="en-CA"/>
        </w:rPr>
        <w:t xml:space="preserve">Court of Québec judgment were </w:t>
      </w:r>
      <w:r w:rsidR="007A31C2">
        <w:rPr>
          <w:lang w:val="en-CA"/>
        </w:rPr>
        <w:t>inadequate</w:t>
      </w:r>
      <w:r w:rsidRPr="0018369C">
        <w:rPr>
          <w:lang w:val="en-CA"/>
        </w:rPr>
        <w:t>.</w:t>
      </w:r>
      <w:r w:rsidR="000E263F" w:rsidRPr="0018369C">
        <w:rPr>
          <w:lang w:val="en-CA"/>
        </w:rPr>
        <w:t xml:space="preserve"> </w:t>
      </w:r>
      <w:r w:rsidRPr="0018369C">
        <w:rPr>
          <w:lang w:val="en-CA"/>
        </w:rPr>
        <w:t xml:space="preserve">In this regard, she stated that the judgment did not explain why the objective of rehabilitation took </w:t>
      </w:r>
      <w:r w:rsidR="006478CB">
        <w:rPr>
          <w:lang w:val="en-CA"/>
        </w:rPr>
        <w:t xml:space="preserve">such </w:t>
      </w:r>
      <w:r w:rsidRPr="0018369C">
        <w:rPr>
          <w:lang w:val="en-CA"/>
        </w:rPr>
        <w:t xml:space="preserve">precedence over the </w:t>
      </w:r>
      <w:r w:rsidR="00CA03F7">
        <w:rPr>
          <w:lang w:val="en-CA"/>
        </w:rPr>
        <w:t xml:space="preserve">legally prescribed </w:t>
      </w:r>
      <w:r w:rsidRPr="0018369C">
        <w:rPr>
          <w:lang w:val="en-CA"/>
        </w:rPr>
        <w:t>objectives of denunciation and deterrence.</w:t>
      </w:r>
      <w:r w:rsidR="000E263F" w:rsidRPr="0018369C">
        <w:rPr>
          <w:rStyle w:val="Appelnotedebasdep"/>
          <w:lang w:val="en-CA"/>
        </w:rPr>
        <w:footnoteReference w:id="26"/>
      </w:r>
      <w:r w:rsidR="000E263F" w:rsidRPr="0018369C">
        <w:rPr>
          <w:lang w:val="en-CA"/>
        </w:rPr>
        <w:t xml:space="preserve"> </w:t>
      </w:r>
      <w:r w:rsidR="00725B1F">
        <w:rPr>
          <w:lang w:val="en-CA"/>
        </w:rPr>
        <w:t xml:space="preserve">On </w:t>
      </w:r>
      <w:r w:rsidR="005242E3">
        <w:rPr>
          <w:lang w:val="en-CA"/>
        </w:rPr>
        <w:t>that</w:t>
      </w:r>
      <w:r w:rsidR="00725B1F">
        <w:rPr>
          <w:lang w:val="en-CA"/>
        </w:rPr>
        <w:t xml:space="preserve"> basis, s</w:t>
      </w:r>
      <w:r w:rsidRPr="0018369C">
        <w:rPr>
          <w:lang w:val="en-CA"/>
        </w:rPr>
        <w:t>he concluded that this error diminished the deference owed to th</w:t>
      </w:r>
      <w:r w:rsidR="00CA03F7">
        <w:rPr>
          <w:lang w:val="en-CA"/>
        </w:rPr>
        <w:t>at</w:t>
      </w:r>
      <w:r w:rsidRPr="0018369C">
        <w:rPr>
          <w:lang w:val="en-CA"/>
        </w:rPr>
        <w:t xml:space="preserve"> judgment.</w:t>
      </w:r>
      <w:r w:rsidR="000E263F" w:rsidRPr="0018369C">
        <w:rPr>
          <w:rStyle w:val="Appelnotedebasdep"/>
          <w:lang w:val="en-CA"/>
        </w:rPr>
        <w:footnoteReference w:id="27"/>
      </w:r>
      <w:r w:rsidRPr="0018369C">
        <w:rPr>
          <w:lang w:val="en-CA"/>
        </w:rPr>
        <w:t xml:space="preserve"> </w:t>
      </w:r>
    </w:p>
    <w:p w14:paraId="75B7A30A" w14:textId="61929960" w:rsidR="00BD0DBA" w:rsidRPr="0018369C" w:rsidRDefault="00BD0DBA" w:rsidP="00A3163A">
      <w:pPr>
        <w:pStyle w:val="Paragraphe"/>
        <w:spacing w:line="280" w:lineRule="exact"/>
        <w:rPr>
          <w:lang w:val="en-CA"/>
        </w:rPr>
      </w:pPr>
      <w:r w:rsidRPr="0018369C">
        <w:rPr>
          <w:lang w:val="en-CA"/>
        </w:rPr>
        <w:t>Recalling again the standard of review based on the requirement of restraint,</w:t>
      </w:r>
      <w:r w:rsidRPr="0018369C">
        <w:rPr>
          <w:rStyle w:val="Appelnotedebasdep"/>
          <w:lang w:val="en-CA"/>
        </w:rPr>
        <w:footnoteReference w:id="28"/>
      </w:r>
      <w:r w:rsidRPr="0018369C">
        <w:rPr>
          <w:lang w:val="en-CA"/>
        </w:rPr>
        <w:t xml:space="preserve"> the Superior Court judge </w:t>
      </w:r>
      <w:r w:rsidR="003812F1">
        <w:rPr>
          <w:lang w:val="en-CA"/>
        </w:rPr>
        <w:t>once again noted</w:t>
      </w:r>
      <w:r w:rsidRPr="0018369C">
        <w:rPr>
          <w:lang w:val="en-CA"/>
        </w:rPr>
        <w:t xml:space="preserve"> the Court of Québec judge</w:t>
      </w:r>
      <w:r w:rsidR="003812F1">
        <w:rPr>
          <w:lang w:val="en-CA"/>
        </w:rPr>
        <w:t>’s errors</w:t>
      </w:r>
      <w:r w:rsidRPr="0018369C">
        <w:rPr>
          <w:lang w:val="en-CA"/>
        </w:rPr>
        <w:t xml:space="preserve"> and concluded that the sentence was unreasonably lenient and demonstrably unfit, </w:t>
      </w:r>
      <w:r w:rsidR="003812F1">
        <w:rPr>
          <w:lang w:val="en-CA"/>
        </w:rPr>
        <w:t xml:space="preserve">and that she was therefore authorized </w:t>
      </w:r>
      <w:r w:rsidRPr="0018369C">
        <w:rPr>
          <w:lang w:val="en-CA"/>
        </w:rPr>
        <w:t xml:space="preserve">to </w:t>
      </w:r>
      <w:r w:rsidR="004A1C8E">
        <w:rPr>
          <w:lang w:val="en-CA"/>
        </w:rPr>
        <w:t>reassess</w:t>
      </w:r>
      <w:r w:rsidR="003812F1">
        <w:rPr>
          <w:lang w:val="en-CA"/>
        </w:rPr>
        <w:t xml:space="preserve"> what the appropriate </w:t>
      </w:r>
      <w:r w:rsidRPr="0018369C">
        <w:rPr>
          <w:lang w:val="en-CA"/>
        </w:rPr>
        <w:t>sentence in this case</w:t>
      </w:r>
      <w:r w:rsidR="003812F1">
        <w:rPr>
          <w:lang w:val="en-CA"/>
        </w:rPr>
        <w:t xml:space="preserve"> </w:t>
      </w:r>
      <w:r w:rsidR="00B91DC5">
        <w:rPr>
          <w:lang w:val="en-CA"/>
        </w:rPr>
        <w:t>w</w:t>
      </w:r>
      <w:r w:rsidR="003812F1">
        <w:rPr>
          <w:lang w:val="en-CA"/>
        </w:rPr>
        <w:t>ould be</w:t>
      </w:r>
      <w:r w:rsidRPr="0018369C">
        <w:rPr>
          <w:lang w:val="en-CA"/>
        </w:rPr>
        <w:t>.</w:t>
      </w:r>
      <w:r w:rsidR="000E263F" w:rsidRPr="0018369C">
        <w:rPr>
          <w:rStyle w:val="Appelnotedebasdep"/>
          <w:lang w:val="en-CA"/>
        </w:rPr>
        <w:footnoteReference w:id="29"/>
      </w:r>
      <w:r w:rsidRPr="0018369C">
        <w:rPr>
          <w:lang w:val="en-CA"/>
        </w:rPr>
        <w:t xml:space="preserve"> </w:t>
      </w:r>
    </w:p>
    <w:p w14:paraId="581E467E" w14:textId="53B3DE6A" w:rsidR="00656C1D" w:rsidRPr="0018369C" w:rsidRDefault="00BD0DBA" w:rsidP="00A3163A">
      <w:pPr>
        <w:pStyle w:val="Paragraphe"/>
        <w:spacing w:line="280" w:lineRule="exact"/>
        <w:rPr>
          <w:lang w:val="en-CA"/>
        </w:rPr>
      </w:pPr>
      <w:r w:rsidRPr="0018369C">
        <w:rPr>
          <w:lang w:val="en-CA"/>
        </w:rPr>
        <w:lastRenderedPageBreak/>
        <w:t xml:space="preserve">During her analysis of the fit sentence, the judge noted that the respondent’s insistence </w:t>
      </w:r>
      <w:r w:rsidR="004E3E33">
        <w:rPr>
          <w:lang w:val="en-CA"/>
        </w:rPr>
        <w:t>o</w:t>
      </w:r>
      <w:r w:rsidRPr="0018369C">
        <w:rPr>
          <w:lang w:val="en-CA"/>
        </w:rPr>
        <w:t xml:space="preserve">n wanting to be alone with the victim was a breach of trust </w:t>
      </w:r>
      <w:r w:rsidR="00CA03F7">
        <w:rPr>
          <w:lang w:val="en-CA"/>
        </w:rPr>
        <w:t>that</w:t>
      </w:r>
      <w:r w:rsidRPr="0018369C">
        <w:rPr>
          <w:lang w:val="en-CA"/>
        </w:rPr>
        <w:t xml:space="preserve"> </w:t>
      </w:r>
      <w:r w:rsidR="00CA03F7">
        <w:rPr>
          <w:lang w:val="en-CA"/>
        </w:rPr>
        <w:t>increased</w:t>
      </w:r>
      <w:r w:rsidRPr="0018369C">
        <w:rPr>
          <w:lang w:val="en-CA"/>
        </w:rPr>
        <w:t xml:space="preserve"> the gravity of the offence.</w:t>
      </w:r>
      <w:r w:rsidRPr="0018369C">
        <w:rPr>
          <w:rStyle w:val="Appelnotedebasdep"/>
          <w:lang w:val="en-CA"/>
        </w:rPr>
        <w:footnoteReference w:id="30"/>
      </w:r>
      <w:r w:rsidRPr="0018369C">
        <w:rPr>
          <w:lang w:val="en-CA"/>
        </w:rPr>
        <w:t xml:space="preserve"> This circumstance, coupled with the commission of the offence, meant that the respondent was not on the low end of </w:t>
      </w:r>
      <w:r w:rsidR="00CA03F7">
        <w:rPr>
          <w:lang w:val="en-CA"/>
        </w:rPr>
        <w:t xml:space="preserve">the </w:t>
      </w:r>
      <w:r w:rsidRPr="0018369C">
        <w:rPr>
          <w:lang w:val="en-CA"/>
        </w:rPr>
        <w:t xml:space="preserve">gravity </w:t>
      </w:r>
      <w:r w:rsidR="006478CB">
        <w:rPr>
          <w:lang w:val="en-CA"/>
        </w:rPr>
        <w:t xml:space="preserve">scale </w:t>
      </w:r>
      <w:r w:rsidRPr="0018369C">
        <w:rPr>
          <w:lang w:val="en-CA"/>
        </w:rPr>
        <w:t>of th</w:t>
      </w:r>
      <w:r w:rsidR="004E3E33">
        <w:rPr>
          <w:lang w:val="en-CA"/>
        </w:rPr>
        <w:t>is</w:t>
      </w:r>
      <w:r w:rsidRPr="0018369C">
        <w:rPr>
          <w:lang w:val="en-CA"/>
        </w:rPr>
        <w:t xml:space="preserve"> offence.</w:t>
      </w:r>
      <w:r w:rsidR="000E263F" w:rsidRPr="0018369C">
        <w:rPr>
          <w:rStyle w:val="Appelnotedebasdep"/>
          <w:lang w:val="en-CA"/>
        </w:rPr>
        <w:footnoteReference w:id="31"/>
      </w:r>
      <w:r w:rsidRPr="0018369C">
        <w:rPr>
          <w:lang w:val="en-CA"/>
        </w:rPr>
        <w:t xml:space="preserve"> </w:t>
      </w:r>
    </w:p>
    <w:p w14:paraId="1C833C92" w14:textId="0FA6CA4D" w:rsidR="00656C1D" w:rsidRPr="0018369C" w:rsidRDefault="00360D2F" w:rsidP="00A3163A">
      <w:pPr>
        <w:pStyle w:val="Paragraphe"/>
        <w:spacing w:line="280" w:lineRule="exact"/>
        <w:rPr>
          <w:lang w:val="en-CA"/>
        </w:rPr>
      </w:pPr>
      <w:r w:rsidRPr="0018369C">
        <w:rPr>
          <w:lang w:val="en-CA"/>
        </w:rPr>
        <w:t>However, the sexologist concluded in h</w:t>
      </w:r>
      <w:r w:rsidR="00D270C0">
        <w:rPr>
          <w:lang w:val="en-CA"/>
        </w:rPr>
        <w:t>er</w:t>
      </w:r>
      <w:r w:rsidRPr="0018369C">
        <w:rPr>
          <w:lang w:val="en-CA"/>
        </w:rPr>
        <w:t xml:space="preserve"> report</w:t>
      </w:r>
      <w:r w:rsidR="002A6087">
        <w:rPr>
          <w:lang w:val="en-CA"/>
        </w:rPr>
        <w:t>,</w:t>
      </w:r>
      <w:r w:rsidRPr="0018369C">
        <w:rPr>
          <w:lang w:val="en-CA"/>
        </w:rPr>
        <w:t xml:space="preserve"> filed in the record</w:t>
      </w:r>
      <w:r w:rsidR="002A6087">
        <w:rPr>
          <w:lang w:val="en-CA"/>
        </w:rPr>
        <w:t>,</w:t>
      </w:r>
      <w:r w:rsidRPr="0018369C">
        <w:rPr>
          <w:lang w:val="en-CA"/>
        </w:rPr>
        <w:t xml:space="preserve"> that these were acts of opportunity and that the respondent did not have a sexual deviancy toward children.</w:t>
      </w:r>
      <w:r w:rsidR="000E263F" w:rsidRPr="0018369C">
        <w:rPr>
          <w:rStyle w:val="Appelnotedebasdep"/>
          <w:lang w:val="en-CA"/>
        </w:rPr>
        <w:footnoteReference w:id="32"/>
      </w:r>
      <w:r w:rsidRPr="0018369C">
        <w:rPr>
          <w:lang w:val="en-CA"/>
        </w:rPr>
        <w:t xml:space="preserve"> The Superior Court judge also took into account the respondent’s guilty plea enabling the victim to avoid appearing before the court,</w:t>
      </w:r>
      <w:r w:rsidRPr="0018369C">
        <w:rPr>
          <w:rStyle w:val="Appelnotedebasdep"/>
          <w:lang w:val="en-CA"/>
        </w:rPr>
        <w:footnoteReference w:id="33"/>
      </w:r>
      <w:r w:rsidRPr="0018369C">
        <w:rPr>
          <w:lang w:val="en-CA"/>
        </w:rPr>
        <w:t xml:space="preserve"> and noted the respondent’s suicide attempt and psychological </w:t>
      </w:r>
      <w:r w:rsidR="00D270C0">
        <w:rPr>
          <w:lang w:val="en-CA"/>
        </w:rPr>
        <w:t>therapy</w:t>
      </w:r>
      <w:r w:rsidRPr="0018369C">
        <w:rPr>
          <w:lang w:val="en-CA"/>
        </w:rPr>
        <w:t>.</w:t>
      </w:r>
      <w:r w:rsidR="000E263F" w:rsidRPr="0018369C">
        <w:rPr>
          <w:rStyle w:val="Appelnotedebasdep"/>
          <w:lang w:val="en-CA"/>
        </w:rPr>
        <w:footnoteReference w:id="34"/>
      </w:r>
      <w:r w:rsidRPr="0018369C">
        <w:rPr>
          <w:lang w:val="en-CA"/>
        </w:rPr>
        <w:t xml:space="preserve"> He </w:t>
      </w:r>
      <w:r w:rsidR="00D270C0">
        <w:rPr>
          <w:lang w:val="en-CA"/>
        </w:rPr>
        <w:t>acknowledg</w:t>
      </w:r>
      <w:r w:rsidR="00D270C0" w:rsidRPr="0018369C">
        <w:rPr>
          <w:lang w:val="en-CA"/>
        </w:rPr>
        <w:t>e</w:t>
      </w:r>
      <w:r w:rsidR="00D82D12">
        <w:rPr>
          <w:lang w:val="en-CA"/>
        </w:rPr>
        <w:t>s</w:t>
      </w:r>
      <w:r w:rsidR="00D270C0" w:rsidRPr="0018369C">
        <w:rPr>
          <w:lang w:val="en-CA"/>
        </w:rPr>
        <w:t xml:space="preserve"> </w:t>
      </w:r>
      <w:r w:rsidRPr="0018369C">
        <w:rPr>
          <w:lang w:val="en-CA"/>
        </w:rPr>
        <w:t>the negative impact of his conduct on the victim and on their family circle.</w:t>
      </w:r>
      <w:r w:rsidR="000E263F" w:rsidRPr="0018369C">
        <w:rPr>
          <w:lang w:val="en-CA"/>
        </w:rPr>
        <w:t xml:space="preserve"> </w:t>
      </w:r>
      <w:r w:rsidRPr="0018369C">
        <w:rPr>
          <w:lang w:val="en-CA"/>
        </w:rPr>
        <w:t>The sexologist noted that the respondent is capable of introspection.</w:t>
      </w:r>
      <w:r w:rsidR="000E263F" w:rsidRPr="0018369C">
        <w:rPr>
          <w:rStyle w:val="Appelnotedebasdep"/>
          <w:lang w:val="en-CA"/>
        </w:rPr>
        <w:footnoteReference w:id="35"/>
      </w:r>
      <w:r w:rsidRPr="0018369C">
        <w:rPr>
          <w:lang w:val="en-CA"/>
        </w:rPr>
        <w:t xml:space="preserve"> </w:t>
      </w:r>
    </w:p>
    <w:p w14:paraId="71B77CFC" w14:textId="5CF11074" w:rsidR="005F6CD0" w:rsidRPr="0018369C" w:rsidRDefault="00360D2F" w:rsidP="00A3163A">
      <w:pPr>
        <w:pStyle w:val="Paragraphe"/>
        <w:spacing w:line="280" w:lineRule="exact"/>
        <w:rPr>
          <w:lang w:val="en-CA"/>
        </w:rPr>
      </w:pPr>
      <w:r w:rsidRPr="0018369C">
        <w:rPr>
          <w:lang w:val="en-CA"/>
        </w:rPr>
        <w:t xml:space="preserve">At the end of </w:t>
      </w:r>
      <w:r w:rsidR="002A6087">
        <w:rPr>
          <w:lang w:val="en-CA"/>
        </w:rPr>
        <w:t>her</w:t>
      </w:r>
      <w:r w:rsidRPr="0018369C">
        <w:rPr>
          <w:lang w:val="en-CA"/>
        </w:rPr>
        <w:t xml:space="preserve"> analysis, the judge considered that a sentence of </w:t>
      </w:r>
      <w:r w:rsidR="00151F12">
        <w:rPr>
          <w:lang w:val="en-CA"/>
        </w:rPr>
        <w:t xml:space="preserve">approximately </w:t>
      </w:r>
      <w:r w:rsidR="004C4C1F">
        <w:rPr>
          <w:lang w:val="en-CA"/>
        </w:rPr>
        <w:t>4</w:t>
      </w:r>
      <w:r w:rsidR="004C4C1F" w:rsidRPr="0018369C">
        <w:rPr>
          <w:lang w:val="en-CA"/>
        </w:rPr>
        <w:t xml:space="preserve"> </w:t>
      </w:r>
      <w:r w:rsidRPr="0018369C">
        <w:rPr>
          <w:lang w:val="en-CA"/>
        </w:rPr>
        <w:t xml:space="preserve">months is a </w:t>
      </w:r>
      <w:r w:rsidR="002A6087">
        <w:rPr>
          <w:lang w:val="en-CA"/>
        </w:rPr>
        <w:t>quantum</w:t>
      </w:r>
      <w:r w:rsidRPr="0018369C">
        <w:rPr>
          <w:lang w:val="en-CA"/>
        </w:rPr>
        <w:t xml:space="preserve"> [</w:t>
      </w:r>
      <w:r w:rsidRPr="0018369C">
        <w:rPr>
          <w:smallCaps/>
          <w:lang w:val="en-CA"/>
        </w:rPr>
        <w:t>translation</w:t>
      </w:r>
      <w:r w:rsidRPr="0018369C">
        <w:rPr>
          <w:lang w:val="en-CA"/>
        </w:rPr>
        <w:t>] “that takes into consideration the objectives of denunciation and deterrence, the aggravating factors, including the commission of the offence, the breach of trust and abuse of authority, but also the choice of mode of prosecution by way of summary conviction proceeding</w:t>
      </w:r>
      <w:r w:rsidR="00B549A5">
        <w:rPr>
          <w:lang w:val="en-CA"/>
        </w:rPr>
        <w:t>s</w:t>
      </w:r>
      <w:r w:rsidRPr="0018369C">
        <w:rPr>
          <w:lang w:val="en-CA"/>
        </w:rPr>
        <w:t xml:space="preserve"> on one count only”.</w:t>
      </w:r>
      <w:r w:rsidR="000E263F" w:rsidRPr="0018369C">
        <w:rPr>
          <w:rStyle w:val="Appelnotedebasdep"/>
          <w:lang w:val="en-CA"/>
        </w:rPr>
        <w:footnoteReference w:id="36"/>
      </w:r>
      <w:r w:rsidR="002A6087">
        <w:rPr>
          <w:lang w:val="en-CA"/>
        </w:rPr>
        <w:t xml:space="preserve"> </w:t>
      </w:r>
      <w:r w:rsidRPr="0018369C">
        <w:rPr>
          <w:lang w:val="en-CA"/>
        </w:rPr>
        <w:t xml:space="preserve">She added that the sentence also reflects the respondent’s low risk of reoffending, his compliance with his release conditions since August 22, 2017, and his participation in therapy to </w:t>
      </w:r>
      <w:r w:rsidR="009C0054">
        <w:rPr>
          <w:lang w:val="en-CA"/>
        </w:rPr>
        <w:t>achieve</w:t>
      </w:r>
      <w:r w:rsidRPr="0018369C">
        <w:rPr>
          <w:lang w:val="en-CA"/>
        </w:rPr>
        <w:t xml:space="preserve"> rehabilitation.</w:t>
      </w:r>
      <w:r w:rsidR="000E263F" w:rsidRPr="0018369C">
        <w:rPr>
          <w:rStyle w:val="Appelnotedebasdep"/>
          <w:lang w:val="en-CA"/>
        </w:rPr>
        <w:footnoteReference w:id="37"/>
      </w:r>
      <w:r w:rsidRPr="0018369C">
        <w:rPr>
          <w:lang w:val="en-CA"/>
        </w:rPr>
        <w:t xml:space="preserve"> </w:t>
      </w:r>
    </w:p>
    <w:p w14:paraId="403B23D9" w14:textId="55AEAA6D" w:rsidR="00360D2F" w:rsidRPr="0018369C" w:rsidRDefault="000E263F" w:rsidP="00A3163A">
      <w:pPr>
        <w:pStyle w:val="Paragraphe"/>
        <w:spacing w:line="280" w:lineRule="exact"/>
        <w:rPr>
          <w:lang w:val="en-CA"/>
        </w:rPr>
      </w:pPr>
      <w:r w:rsidRPr="0018369C">
        <w:rPr>
          <w:lang w:val="en-CA"/>
        </w:rPr>
        <w:t> </w:t>
      </w:r>
      <w:r w:rsidR="00360D2F" w:rsidRPr="0018369C">
        <w:rPr>
          <w:lang w:val="en-CA"/>
        </w:rPr>
        <w:t xml:space="preserve">The judge then moved on to the analysis in </w:t>
      </w:r>
      <w:r w:rsidR="00360D2F" w:rsidRPr="0018369C">
        <w:rPr>
          <w:i/>
          <w:lang w:val="en-CA"/>
        </w:rPr>
        <w:t>Nur</w:t>
      </w:r>
      <w:r w:rsidR="00360D2F" w:rsidRPr="0018369C">
        <w:rPr>
          <w:lang w:val="en-CA"/>
        </w:rPr>
        <w:t>.</w:t>
      </w:r>
      <w:r w:rsidRPr="0018369C">
        <w:rPr>
          <w:lang w:val="en-CA"/>
        </w:rPr>
        <w:t xml:space="preserve"> </w:t>
      </w:r>
      <w:r w:rsidR="002A6087">
        <w:rPr>
          <w:lang w:val="en-CA"/>
        </w:rPr>
        <w:t>Since</w:t>
      </w:r>
      <w:r w:rsidR="00360D2F" w:rsidRPr="0018369C">
        <w:rPr>
          <w:lang w:val="en-CA"/>
        </w:rPr>
        <w:t xml:space="preserve"> she was imposing a </w:t>
      </w:r>
      <w:r w:rsidR="009C0054">
        <w:rPr>
          <w:lang w:val="en-CA"/>
        </w:rPr>
        <w:t>harsh</w:t>
      </w:r>
      <w:r w:rsidR="009C0054" w:rsidRPr="0018369C">
        <w:rPr>
          <w:lang w:val="en-CA"/>
        </w:rPr>
        <w:t xml:space="preserve">er </w:t>
      </w:r>
      <w:r w:rsidR="00360D2F" w:rsidRPr="0018369C">
        <w:rPr>
          <w:lang w:val="en-CA"/>
        </w:rPr>
        <w:t>sentence tha</w:t>
      </w:r>
      <w:r w:rsidR="009C0054">
        <w:rPr>
          <w:lang w:val="en-CA"/>
        </w:rPr>
        <w:t>n</w:t>
      </w:r>
      <w:r w:rsidR="00360D2F" w:rsidRPr="0018369C">
        <w:rPr>
          <w:lang w:val="en-CA"/>
        </w:rPr>
        <w:t xml:space="preserve"> the trial judge</w:t>
      </w:r>
      <w:r w:rsidR="002A6087">
        <w:rPr>
          <w:lang w:val="en-CA"/>
        </w:rPr>
        <w:t>,</w:t>
      </w:r>
      <w:r w:rsidR="00360D2F" w:rsidRPr="0018369C">
        <w:rPr>
          <w:lang w:val="en-CA"/>
        </w:rPr>
        <w:t xml:space="preserve"> who </w:t>
      </w:r>
      <w:r w:rsidR="003E2828">
        <w:rPr>
          <w:lang w:val="en-CA"/>
        </w:rPr>
        <w:t xml:space="preserve">had </w:t>
      </w:r>
      <w:r w:rsidR="002A6087">
        <w:rPr>
          <w:lang w:val="en-CA"/>
        </w:rPr>
        <w:t>ended</w:t>
      </w:r>
      <w:r w:rsidR="00360D2F" w:rsidRPr="0018369C">
        <w:rPr>
          <w:lang w:val="en-CA"/>
        </w:rPr>
        <w:t xml:space="preserve"> his analysis at the first step, she had to ask whether the sentence of </w:t>
      </w:r>
      <w:r w:rsidR="004C4C1F">
        <w:rPr>
          <w:lang w:val="en-CA"/>
        </w:rPr>
        <w:t>4</w:t>
      </w:r>
      <w:r w:rsidR="004C4C1F" w:rsidRPr="0018369C">
        <w:rPr>
          <w:lang w:val="en-CA"/>
        </w:rPr>
        <w:t xml:space="preserve"> </w:t>
      </w:r>
      <w:r w:rsidR="00360D2F" w:rsidRPr="0018369C">
        <w:rPr>
          <w:lang w:val="en-CA"/>
        </w:rPr>
        <w:t xml:space="preserve">months was grossly disproportionate </w:t>
      </w:r>
      <w:r w:rsidR="003E2828">
        <w:rPr>
          <w:lang w:val="en-CA"/>
        </w:rPr>
        <w:t xml:space="preserve">compared </w:t>
      </w:r>
      <w:r w:rsidR="00360D2F" w:rsidRPr="0018369C">
        <w:rPr>
          <w:lang w:val="en-CA"/>
        </w:rPr>
        <w:t xml:space="preserve">to the minimum sentence and whether a sentence of </w:t>
      </w:r>
      <w:r w:rsidR="004C4C1F">
        <w:rPr>
          <w:lang w:val="en-CA"/>
        </w:rPr>
        <w:t>6</w:t>
      </w:r>
      <w:r w:rsidR="004C4C1F" w:rsidRPr="0018369C">
        <w:rPr>
          <w:lang w:val="en-CA"/>
        </w:rPr>
        <w:t xml:space="preserve"> </w:t>
      </w:r>
      <w:r w:rsidR="00360D2F" w:rsidRPr="0018369C">
        <w:rPr>
          <w:lang w:val="en-CA"/>
        </w:rPr>
        <w:t>months constituted cruel and unusual punishment.</w:t>
      </w:r>
      <w:r w:rsidRPr="0018369C">
        <w:rPr>
          <w:rStyle w:val="Appelnotedebasdep"/>
          <w:lang w:val="en-CA"/>
        </w:rPr>
        <w:footnoteReference w:id="38"/>
      </w:r>
      <w:r w:rsidRPr="0018369C">
        <w:rPr>
          <w:lang w:val="en-CA"/>
        </w:rPr>
        <w:t xml:space="preserve"> </w:t>
      </w:r>
      <w:r w:rsidR="00360D2F" w:rsidRPr="0018369C">
        <w:rPr>
          <w:lang w:val="en-CA"/>
        </w:rPr>
        <w:t xml:space="preserve">The judge concluded that the sentence of </w:t>
      </w:r>
      <w:r w:rsidR="004C4C1F">
        <w:rPr>
          <w:lang w:val="en-CA"/>
        </w:rPr>
        <w:t>4</w:t>
      </w:r>
      <w:r w:rsidR="004C4C1F" w:rsidRPr="0018369C">
        <w:rPr>
          <w:lang w:val="en-CA"/>
        </w:rPr>
        <w:t xml:space="preserve"> </w:t>
      </w:r>
      <w:r w:rsidR="00360D2F" w:rsidRPr="0018369C">
        <w:rPr>
          <w:lang w:val="en-CA"/>
        </w:rPr>
        <w:t xml:space="preserve">months was not grossly disproportionate </w:t>
      </w:r>
      <w:r w:rsidR="009C0054">
        <w:rPr>
          <w:lang w:val="en-CA"/>
        </w:rPr>
        <w:t>in relation</w:t>
      </w:r>
      <w:r w:rsidR="00360D2F" w:rsidRPr="0018369C">
        <w:rPr>
          <w:lang w:val="en-CA"/>
        </w:rPr>
        <w:t xml:space="preserve"> to the sentence of </w:t>
      </w:r>
      <w:r w:rsidR="004C4C1F">
        <w:rPr>
          <w:lang w:val="en-CA"/>
        </w:rPr>
        <w:t>6</w:t>
      </w:r>
      <w:r w:rsidR="004C4C1F" w:rsidRPr="0018369C">
        <w:rPr>
          <w:lang w:val="en-CA"/>
        </w:rPr>
        <w:t xml:space="preserve"> </w:t>
      </w:r>
      <w:r w:rsidR="00360D2F" w:rsidRPr="0018369C">
        <w:rPr>
          <w:lang w:val="en-CA"/>
        </w:rPr>
        <w:t>months</w:t>
      </w:r>
      <w:r w:rsidR="00360D2F" w:rsidRPr="0018369C">
        <w:rPr>
          <w:rStyle w:val="Appelnotedebasdep"/>
          <w:lang w:val="en-CA"/>
        </w:rPr>
        <w:footnoteReference w:id="39"/>
      </w:r>
      <w:r w:rsidR="00360D2F" w:rsidRPr="0018369C">
        <w:rPr>
          <w:lang w:val="en-CA"/>
        </w:rPr>
        <w:t xml:space="preserve"> and proceeded to the second step of the analysis, that of reasonable hypothetical cases.</w:t>
      </w:r>
      <w:r w:rsidRPr="0018369C">
        <w:rPr>
          <w:rStyle w:val="Appelnotedebasdep"/>
          <w:lang w:val="en-CA"/>
        </w:rPr>
        <w:footnoteReference w:id="40"/>
      </w:r>
    </w:p>
    <w:p w14:paraId="4811F71E" w14:textId="42CD77ED" w:rsidR="00656C1D" w:rsidRPr="0018369C" w:rsidRDefault="001920A9" w:rsidP="00A3163A">
      <w:pPr>
        <w:pStyle w:val="Paragraphe"/>
        <w:spacing w:line="280" w:lineRule="exact"/>
        <w:rPr>
          <w:lang w:val="en-CA"/>
        </w:rPr>
      </w:pPr>
      <w:r>
        <w:rPr>
          <w:lang w:val="en-CA"/>
        </w:rPr>
        <w:lastRenderedPageBreak/>
        <w:t>At</w:t>
      </w:r>
      <w:r w:rsidR="00360D2F" w:rsidRPr="0018369C">
        <w:rPr>
          <w:lang w:val="en-CA"/>
        </w:rPr>
        <w:t xml:space="preserve"> this step, the Superior Court judge analyzed three cases, all taken directly from the case law and submitted by the respondent</w:t>
      </w:r>
      <w:r w:rsidR="009C0054">
        <w:rPr>
          <w:lang w:val="en-CA"/>
        </w:rPr>
        <w:t>,</w:t>
      </w:r>
      <w:r w:rsidR="000E263F" w:rsidRPr="0018369C">
        <w:rPr>
          <w:lang w:val="en-CA"/>
        </w:rPr>
        <w:t xml:space="preserve"> </w:t>
      </w:r>
      <w:bookmarkStart w:id="10" w:name="_Ref88473592"/>
      <w:r w:rsidR="009C0054">
        <w:rPr>
          <w:lang w:val="en-CA"/>
        </w:rPr>
        <w:t>n</w:t>
      </w:r>
      <w:r w:rsidR="00360D2F" w:rsidRPr="0018369C">
        <w:rPr>
          <w:lang w:val="en-CA"/>
        </w:rPr>
        <w:t xml:space="preserve">amely, </w:t>
      </w:r>
      <w:r w:rsidR="00360D2F" w:rsidRPr="0018369C">
        <w:rPr>
          <w:i/>
          <w:lang w:val="en-CA"/>
        </w:rPr>
        <w:t>Hood</w:t>
      </w:r>
      <w:r w:rsidR="00360D2F" w:rsidRPr="0018369C">
        <w:rPr>
          <w:lang w:val="en-CA"/>
        </w:rPr>
        <w:t>,</w:t>
      </w:r>
      <w:r w:rsidR="00360D2F" w:rsidRPr="0018369C">
        <w:rPr>
          <w:rStyle w:val="Appelnotedebasdep"/>
          <w:lang w:val="en-CA"/>
        </w:rPr>
        <w:footnoteReference w:id="41"/>
      </w:r>
      <w:r w:rsidR="00360D2F" w:rsidRPr="0018369C">
        <w:rPr>
          <w:lang w:val="en-CA"/>
        </w:rPr>
        <w:t xml:space="preserve"> </w:t>
      </w:r>
      <w:r w:rsidR="00360D2F" w:rsidRPr="0018369C">
        <w:rPr>
          <w:i/>
          <w:lang w:val="en-CA"/>
        </w:rPr>
        <w:t>John</w:t>
      </w:r>
      <w:r w:rsidR="00360D2F" w:rsidRPr="0018369C">
        <w:rPr>
          <w:rStyle w:val="Appelnotedebasdep"/>
          <w:lang w:val="en-CA"/>
        </w:rPr>
        <w:footnoteReference w:id="42"/>
      </w:r>
      <w:r w:rsidR="00360D2F" w:rsidRPr="0018369C">
        <w:rPr>
          <w:i/>
          <w:lang w:val="en-CA"/>
        </w:rPr>
        <w:t xml:space="preserve"> </w:t>
      </w:r>
      <w:r w:rsidR="00360D2F" w:rsidRPr="0018369C">
        <w:rPr>
          <w:lang w:val="en-CA"/>
        </w:rPr>
        <w:t xml:space="preserve">and </w:t>
      </w:r>
      <w:r w:rsidR="00360D2F" w:rsidRPr="0018369C">
        <w:rPr>
          <w:i/>
          <w:lang w:val="en-CA"/>
        </w:rPr>
        <w:t>Randall</w:t>
      </w:r>
      <w:r w:rsidR="00360D2F" w:rsidRPr="0018369C">
        <w:rPr>
          <w:lang w:val="en-CA"/>
        </w:rPr>
        <w:t>.</w:t>
      </w:r>
      <w:bookmarkStart w:id="11" w:name="_Ref92791405"/>
      <w:bookmarkEnd w:id="10"/>
      <w:r w:rsidR="000E263F" w:rsidRPr="0018369C">
        <w:rPr>
          <w:rStyle w:val="Appelnotedebasdep"/>
          <w:lang w:val="en-CA"/>
        </w:rPr>
        <w:footnoteReference w:id="43"/>
      </w:r>
      <w:bookmarkEnd w:id="11"/>
      <w:r w:rsidR="00360D2F" w:rsidRPr="0018369C">
        <w:rPr>
          <w:lang w:val="en-CA"/>
        </w:rPr>
        <w:t xml:space="preserve"> </w:t>
      </w:r>
      <w:r w:rsidR="00360D2F" w:rsidRPr="0018369C">
        <w:rPr>
          <w:iCs/>
          <w:lang w:val="en-CA"/>
        </w:rPr>
        <w:t xml:space="preserve">She </w:t>
      </w:r>
      <w:r w:rsidR="009C0054">
        <w:rPr>
          <w:iCs/>
          <w:lang w:val="en-CA"/>
        </w:rPr>
        <w:t>reject</w:t>
      </w:r>
      <w:r w:rsidR="009C0054" w:rsidRPr="0018369C">
        <w:rPr>
          <w:iCs/>
          <w:lang w:val="en-CA"/>
        </w:rPr>
        <w:t xml:space="preserve">ed </w:t>
      </w:r>
      <w:r w:rsidR="00360D2F" w:rsidRPr="0018369C">
        <w:rPr>
          <w:iCs/>
          <w:lang w:val="en-CA"/>
        </w:rPr>
        <w:t xml:space="preserve">the second </w:t>
      </w:r>
      <w:r w:rsidR="003E2828">
        <w:rPr>
          <w:iCs/>
          <w:lang w:val="en-CA"/>
        </w:rPr>
        <w:t>because</w:t>
      </w:r>
      <w:r w:rsidR="00360D2F" w:rsidRPr="0018369C">
        <w:rPr>
          <w:iCs/>
          <w:lang w:val="en-CA"/>
        </w:rPr>
        <w:t xml:space="preserve"> in that case</w:t>
      </w:r>
      <w:r>
        <w:rPr>
          <w:iCs/>
          <w:lang w:val="en-CA"/>
        </w:rPr>
        <w:t xml:space="preserve">, which dealt </w:t>
      </w:r>
      <w:r w:rsidR="00360D2F" w:rsidRPr="0018369C">
        <w:rPr>
          <w:iCs/>
          <w:lang w:val="en-CA"/>
        </w:rPr>
        <w:t xml:space="preserve">with child pornography, no fact in the example analyzed by the Court of Appeal for Ontario </w:t>
      </w:r>
      <w:r w:rsidR="00B549A5">
        <w:rPr>
          <w:iCs/>
          <w:lang w:val="en-CA"/>
        </w:rPr>
        <w:t>could be equated</w:t>
      </w:r>
      <w:r w:rsidR="00360D2F" w:rsidRPr="0018369C">
        <w:rPr>
          <w:iCs/>
          <w:lang w:val="en-CA"/>
        </w:rPr>
        <w:t xml:space="preserve"> to luring.</w:t>
      </w:r>
      <w:r w:rsidR="000E263F" w:rsidRPr="0018369C">
        <w:rPr>
          <w:rStyle w:val="Appelnotedebasdep"/>
          <w:lang w:val="en-CA"/>
        </w:rPr>
        <w:footnoteReference w:id="44"/>
      </w:r>
      <w:r w:rsidR="00360D2F" w:rsidRPr="0018369C">
        <w:rPr>
          <w:lang w:val="en-CA"/>
        </w:rPr>
        <w:t xml:space="preserve"> </w:t>
      </w:r>
      <w:r w:rsidR="000E263F" w:rsidRPr="0018369C">
        <w:rPr>
          <w:lang w:val="en-CA"/>
        </w:rPr>
        <w:t xml:space="preserve"> </w:t>
      </w:r>
      <w:r w:rsidR="00360D2F" w:rsidRPr="0018369C">
        <w:rPr>
          <w:lang w:val="en-CA"/>
        </w:rPr>
        <w:t xml:space="preserve">However, she accepted the </w:t>
      </w:r>
      <w:r w:rsidRPr="0018369C">
        <w:rPr>
          <w:lang w:val="en-CA"/>
        </w:rPr>
        <w:t xml:space="preserve">hypothetical </w:t>
      </w:r>
      <w:r w:rsidR="00D73EEC">
        <w:rPr>
          <w:lang w:val="en-CA"/>
        </w:rPr>
        <w:t>accepted</w:t>
      </w:r>
      <w:r w:rsidR="00360D2F" w:rsidRPr="0018369C">
        <w:rPr>
          <w:lang w:val="en-CA"/>
        </w:rPr>
        <w:t xml:space="preserve"> in </w:t>
      </w:r>
      <w:r w:rsidR="00360D2F" w:rsidRPr="0018369C">
        <w:rPr>
          <w:i/>
          <w:lang w:val="en-CA"/>
        </w:rPr>
        <w:t xml:space="preserve">Hood </w:t>
      </w:r>
      <w:r w:rsidR="00360D2F" w:rsidRPr="0018369C">
        <w:rPr>
          <w:lang w:val="en-CA"/>
        </w:rPr>
        <w:t xml:space="preserve">(in which the sentence of </w:t>
      </w:r>
      <w:r w:rsidR="004C4C1F">
        <w:rPr>
          <w:lang w:val="en-CA"/>
        </w:rPr>
        <w:t>1</w:t>
      </w:r>
      <w:r w:rsidR="004C4C1F" w:rsidRPr="0018369C">
        <w:rPr>
          <w:lang w:val="en-CA"/>
        </w:rPr>
        <w:t xml:space="preserve"> </w:t>
      </w:r>
      <w:r w:rsidR="00360D2F" w:rsidRPr="0018369C">
        <w:rPr>
          <w:lang w:val="en-CA"/>
        </w:rPr>
        <w:t xml:space="preserve">year for luring punishable by way of indictment was </w:t>
      </w:r>
      <w:r w:rsidR="00B91364">
        <w:rPr>
          <w:lang w:val="en-CA"/>
        </w:rPr>
        <w:t>invalidated</w:t>
      </w:r>
      <w:r w:rsidR="00360D2F" w:rsidRPr="0018369C">
        <w:rPr>
          <w:lang w:val="en-CA"/>
        </w:rPr>
        <w:t xml:space="preserve"> by the Nova Scotia Court of Appeal) and</w:t>
      </w:r>
      <w:r w:rsidR="00B91364">
        <w:rPr>
          <w:lang w:val="en-CA"/>
        </w:rPr>
        <w:t xml:space="preserve"> the case in</w:t>
      </w:r>
      <w:r w:rsidR="00360D2F" w:rsidRPr="0018369C">
        <w:rPr>
          <w:lang w:val="en-CA"/>
        </w:rPr>
        <w:t xml:space="preserve"> </w:t>
      </w:r>
      <w:r w:rsidR="00360D2F" w:rsidRPr="0018369C">
        <w:rPr>
          <w:i/>
          <w:lang w:val="en-CA"/>
        </w:rPr>
        <w:t xml:space="preserve">Randall </w:t>
      </w:r>
      <w:r w:rsidR="00360D2F" w:rsidRPr="0018369C">
        <w:rPr>
          <w:lang w:val="en-CA"/>
        </w:rPr>
        <w:t>as two cases illustrat</w:t>
      </w:r>
      <w:r w:rsidR="00B91364">
        <w:rPr>
          <w:lang w:val="en-CA"/>
        </w:rPr>
        <w:t xml:space="preserve">ing </w:t>
      </w:r>
      <w:r w:rsidR="00360D2F" w:rsidRPr="0018369C">
        <w:rPr>
          <w:lang w:val="en-CA"/>
        </w:rPr>
        <w:t xml:space="preserve">situations where </w:t>
      </w:r>
      <w:r w:rsidR="004C4C1F">
        <w:rPr>
          <w:lang w:val="en-CA"/>
        </w:rPr>
        <w:t>6</w:t>
      </w:r>
      <w:r w:rsidR="004C4C1F" w:rsidRPr="0018369C">
        <w:rPr>
          <w:lang w:val="en-CA"/>
        </w:rPr>
        <w:t xml:space="preserve"> </w:t>
      </w:r>
      <w:r w:rsidR="00360D2F" w:rsidRPr="0018369C">
        <w:rPr>
          <w:lang w:val="en-CA"/>
        </w:rPr>
        <w:t>months</w:t>
      </w:r>
      <w:r w:rsidR="002A2720">
        <w:rPr>
          <w:lang w:val="en-CA"/>
        </w:rPr>
        <w:t xml:space="preserve">’ </w:t>
      </w:r>
      <w:r w:rsidR="00360D2F" w:rsidRPr="0018369C">
        <w:rPr>
          <w:lang w:val="en-CA"/>
        </w:rPr>
        <w:t xml:space="preserve">imprisonment </w:t>
      </w:r>
      <w:r w:rsidR="00B91364">
        <w:rPr>
          <w:lang w:val="en-CA"/>
        </w:rPr>
        <w:t xml:space="preserve">represents a </w:t>
      </w:r>
      <w:r w:rsidR="00360D2F" w:rsidRPr="0018369C">
        <w:rPr>
          <w:lang w:val="en-CA"/>
        </w:rPr>
        <w:t>grossly disproportionate</w:t>
      </w:r>
      <w:r w:rsidR="00B91364">
        <w:rPr>
          <w:lang w:val="en-CA"/>
        </w:rPr>
        <w:t xml:space="preserve"> sentence</w:t>
      </w:r>
      <w:r w:rsidR="00360D2F" w:rsidRPr="0018369C">
        <w:rPr>
          <w:lang w:val="en-CA"/>
        </w:rPr>
        <w:t>.</w:t>
      </w:r>
      <w:r w:rsidR="000E263F" w:rsidRPr="0018369C">
        <w:rPr>
          <w:rStyle w:val="Appelnotedebasdep"/>
          <w:lang w:val="en-CA"/>
        </w:rPr>
        <w:footnoteReference w:id="45"/>
      </w:r>
      <w:r w:rsidR="000E263F" w:rsidRPr="0018369C">
        <w:rPr>
          <w:lang w:val="en-CA"/>
        </w:rPr>
        <w:t xml:space="preserve"> </w:t>
      </w:r>
      <w:r w:rsidR="00360D2F" w:rsidRPr="0018369C">
        <w:rPr>
          <w:lang w:val="en-CA"/>
        </w:rPr>
        <w:t xml:space="preserve">The judge thus concluded that the mandatory minimum sentence under section 172.1(2)(b) </w:t>
      </w:r>
      <w:r w:rsidR="00360D2F" w:rsidRPr="002A2720">
        <w:rPr>
          <w:i/>
          <w:iCs/>
          <w:spacing w:val="-20"/>
          <w:lang w:val="en-CA"/>
        </w:rPr>
        <w:t>Cr. C</w:t>
      </w:r>
      <w:r w:rsidR="00360D2F" w:rsidRPr="002A2720">
        <w:rPr>
          <w:spacing w:val="-20"/>
          <w:lang w:val="en-CA"/>
        </w:rPr>
        <w:t>.</w:t>
      </w:r>
      <w:r w:rsidR="00360D2F" w:rsidRPr="0018369C">
        <w:rPr>
          <w:lang w:val="en-CA"/>
        </w:rPr>
        <w:t xml:space="preserve"> violated section </w:t>
      </w:r>
      <w:r w:rsidR="005005C4">
        <w:rPr>
          <w:lang w:val="en-CA"/>
        </w:rPr>
        <w:t xml:space="preserve">12 </w:t>
      </w:r>
      <w:r w:rsidR="00360D2F" w:rsidRPr="0018369C">
        <w:rPr>
          <w:lang w:val="en-CA"/>
        </w:rPr>
        <w:t xml:space="preserve">of the </w:t>
      </w:r>
      <w:r w:rsidR="00360D2F" w:rsidRPr="0018369C">
        <w:rPr>
          <w:i/>
          <w:iCs/>
          <w:lang w:val="en-CA"/>
        </w:rPr>
        <w:t>Charter</w:t>
      </w:r>
      <w:r w:rsidR="00360D2F" w:rsidRPr="0018369C">
        <w:rPr>
          <w:lang w:val="en-CA"/>
        </w:rPr>
        <w:t>.</w:t>
      </w:r>
    </w:p>
    <w:p w14:paraId="74420AF8" w14:textId="40051EFF" w:rsidR="00656C1D" w:rsidRPr="0018369C" w:rsidRDefault="00360D2F" w:rsidP="00A3163A">
      <w:pPr>
        <w:pStyle w:val="Paragraphe"/>
        <w:spacing w:line="280" w:lineRule="exact"/>
        <w:rPr>
          <w:lang w:val="en-CA"/>
        </w:rPr>
      </w:pPr>
      <w:r w:rsidRPr="0018369C">
        <w:rPr>
          <w:lang w:val="en-CA"/>
        </w:rPr>
        <w:t xml:space="preserve">The analysis to determine whether the minimum sentence </w:t>
      </w:r>
      <w:r w:rsidR="00D73EEC">
        <w:rPr>
          <w:lang w:val="en-CA"/>
        </w:rPr>
        <w:t xml:space="preserve">is justifiable </w:t>
      </w:r>
      <w:r w:rsidRPr="0018369C">
        <w:rPr>
          <w:lang w:val="en-CA"/>
        </w:rPr>
        <w:t xml:space="preserve">under section 1 of the </w:t>
      </w:r>
      <w:r w:rsidRPr="0018369C">
        <w:rPr>
          <w:i/>
          <w:lang w:val="en-CA"/>
        </w:rPr>
        <w:t>Charter</w:t>
      </w:r>
      <w:r w:rsidRPr="0018369C">
        <w:rPr>
          <w:lang w:val="en-CA"/>
        </w:rPr>
        <w:t xml:space="preserve"> </w:t>
      </w:r>
      <w:r w:rsidR="001920A9">
        <w:rPr>
          <w:lang w:val="en-CA"/>
        </w:rPr>
        <w:t xml:space="preserve">was </w:t>
      </w:r>
      <w:r w:rsidR="007B187C">
        <w:rPr>
          <w:lang w:val="en-CA"/>
        </w:rPr>
        <w:t>brief</w:t>
      </w:r>
      <w:r w:rsidRPr="0018369C">
        <w:rPr>
          <w:lang w:val="en-CA"/>
        </w:rPr>
        <w:t>.</w:t>
      </w:r>
      <w:r w:rsidR="000E263F" w:rsidRPr="0018369C">
        <w:rPr>
          <w:lang w:val="en-CA"/>
        </w:rPr>
        <w:t xml:space="preserve"> </w:t>
      </w:r>
      <w:r w:rsidR="007B187C">
        <w:rPr>
          <w:lang w:val="en-CA"/>
        </w:rPr>
        <w:t>Essentially, s</w:t>
      </w:r>
      <w:r w:rsidRPr="0018369C">
        <w:rPr>
          <w:lang w:val="en-CA"/>
        </w:rPr>
        <w:t xml:space="preserve">he reiterated the teachings of the Supreme Court in </w:t>
      </w:r>
      <w:r w:rsidRPr="001920A9">
        <w:rPr>
          <w:i/>
          <w:iCs/>
          <w:lang w:val="en-CA"/>
        </w:rPr>
        <w:t>Nur</w:t>
      </w:r>
      <w:r w:rsidR="001920A9">
        <w:rPr>
          <w:lang w:val="en-CA"/>
        </w:rPr>
        <w:t>,</w:t>
      </w:r>
      <w:r w:rsidRPr="0018369C">
        <w:rPr>
          <w:lang w:val="en-CA"/>
        </w:rPr>
        <w:t xml:space="preserve"> stating that it is difficult to </w:t>
      </w:r>
      <w:r w:rsidR="001920A9">
        <w:rPr>
          <w:lang w:val="en-CA"/>
        </w:rPr>
        <w:t>imagine</w:t>
      </w:r>
      <w:r w:rsidRPr="0018369C">
        <w:rPr>
          <w:lang w:val="en-CA"/>
        </w:rPr>
        <w:t xml:space="preserve"> that a minimum sentence considered inconsistent with the principle of human dignity </w:t>
      </w:r>
      <w:r w:rsidR="001920A9">
        <w:rPr>
          <w:lang w:val="en-CA"/>
        </w:rPr>
        <w:t>could</w:t>
      </w:r>
      <w:r w:rsidRPr="0018369C">
        <w:rPr>
          <w:lang w:val="en-CA"/>
        </w:rPr>
        <w:t xml:space="preserve"> be justified under section 1 of the </w:t>
      </w:r>
      <w:r w:rsidRPr="0018369C">
        <w:rPr>
          <w:i/>
          <w:lang w:val="en-CA"/>
        </w:rPr>
        <w:t>Charter</w:t>
      </w:r>
      <w:r w:rsidRPr="0018369C">
        <w:rPr>
          <w:lang w:val="en-CA"/>
        </w:rPr>
        <w:t>.</w:t>
      </w:r>
      <w:r w:rsidR="000E263F" w:rsidRPr="0018369C">
        <w:rPr>
          <w:rStyle w:val="Appelnotedebasdep"/>
          <w:lang w:val="en-CA"/>
        </w:rPr>
        <w:footnoteReference w:id="46"/>
      </w:r>
      <w:r w:rsidR="000E263F" w:rsidRPr="0018369C">
        <w:rPr>
          <w:i/>
          <w:lang w:val="en-CA"/>
        </w:rPr>
        <w:t xml:space="preserve"> </w:t>
      </w:r>
      <w:r w:rsidRPr="0018369C">
        <w:rPr>
          <w:lang w:val="en-CA"/>
        </w:rPr>
        <w:t xml:space="preserve">Since the violation was not justified, she </w:t>
      </w:r>
      <w:r w:rsidR="007B187C">
        <w:rPr>
          <w:lang w:val="en-CA"/>
        </w:rPr>
        <w:t xml:space="preserve">struck down </w:t>
      </w:r>
      <w:r w:rsidRPr="0018369C">
        <w:rPr>
          <w:lang w:val="en-CA"/>
        </w:rPr>
        <w:t>the prescribed minimum sentence.</w:t>
      </w:r>
      <w:r w:rsidR="000E263F" w:rsidRPr="0018369C">
        <w:rPr>
          <w:rStyle w:val="Appelnotedebasdep"/>
          <w:lang w:val="en-CA"/>
        </w:rPr>
        <w:footnoteReference w:id="47"/>
      </w:r>
      <w:r w:rsidRPr="0018369C">
        <w:rPr>
          <w:lang w:val="en-CA"/>
        </w:rPr>
        <w:t xml:space="preserve"> </w:t>
      </w:r>
    </w:p>
    <w:p w14:paraId="24ABBA77" w14:textId="43F49CB4" w:rsidR="00656C1D" w:rsidRPr="0018369C" w:rsidRDefault="00360D2F" w:rsidP="00A3163A">
      <w:pPr>
        <w:pStyle w:val="Paragraphe"/>
        <w:spacing w:line="280" w:lineRule="exact"/>
        <w:rPr>
          <w:lang w:val="en-CA"/>
        </w:rPr>
      </w:pPr>
      <w:r w:rsidRPr="0018369C">
        <w:rPr>
          <w:lang w:val="en-CA"/>
        </w:rPr>
        <w:t xml:space="preserve">The Superior Court judge next assessed whether the respondent should be </w:t>
      </w:r>
      <w:r w:rsidR="005005C4">
        <w:rPr>
          <w:lang w:val="en-CA"/>
        </w:rPr>
        <w:t>incarcerated</w:t>
      </w:r>
      <w:r w:rsidR="005005C4" w:rsidRPr="0018369C">
        <w:rPr>
          <w:lang w:val="en-CA"/>
        </w:rPr>
        <w:t xml:space="preserve"> </w:t>
      </w:r>
      <w:r w:rsidRPr="0018369C">
        <w:rPr>
          <w:lang w:val="en-CA"/>
        </w:rPr>
        <w:t>since he had already serve</w:t>
      </w:r>
      <w:r w:rsidR="00BA6F37" w:rsidRPr="0018369C">
        <w:rPr>
          <w:lang w:val="en-CA"/>
        </w:rPr>
        <w:t>d</w:t>
      </w:r>
      <w:r w:rsidRPr="0018369C">
        <w:rPr>
          <w:lang w:val="en-CA"/>
        </w:rPr>
        <w:t xml:space="preserve"> most of his sentence.</w:t>
      </w:r>
      <w:r w:rsidR="000E263F" w:rsidRPr="0018369C">
        <w:rPr>
          <w:lang w:val="en-CA"/>
        </w:rPr>
        <w:t xml:space="preserve"> </w:t>
      </w:r>
      <w:r w:rsidR="007B187C">
        <w:rPr>
          <w:lang w:val="en-CA"/>
        </w:rPr>
        <w:t>Because</w:t>
      </w:r>
      <w:r w:rsidRPr="0018369C">
        <w:rPr>
          <w:lang w:val="en-CA"/>
        </w:rPr>
        <w:t xml:space="preserve"> the Court of Québec judge </w:t>
      </w:r>
      <w:r w:rsidR="007B187C">
        <w:rPr>
          <w:lang w:val="en-CA"/>
        </w:rPr>
        <w:t>had</w:t>
      </w:r>
      <w:r w:rsidRPr="0018369C">
        <w:rPr>
          <w:lang w:val="en-CA"/>
        </w:rPr>
        <w:t xml:space="preserve"> ordered </w:t>
      </w:r>
      <w:r w:rsidR="007B187C">
        <w:rPr>
          <w:lang w:val="en-CA"/>
        </w:rPr>
        <w:t xml:space="preserve">only </w:t>
      </w:r>
      <w:r w:rsidRPr="0018369C">
        <w:rPr>
          <w:lang w:val="en-CA"/>
        </w:rPr>
        <w:t xml:space="preserve">the performance of community work, the judge considered that </w:t>
      </w:r>
      <w:r w:rsidR="007B187C">
        <w:rPr>
          <w:lang w:val="en-CA"/>
        </w:rPr>
        <w:t xml:space="preserve">the question concerned his </w:t>
      </w:r>
      <w:r w:rsidRPr="0018369C">
        <w:rPr>
          <w:lang w:val="en-CA"/>
        </w:rPr>
        <w:t>[</w:t>
      </w:r>
      <w:r w:rsidRPr="0018369C">
        <w:rPr>
          <w:smallCaps/>
          <w:lang w:val="en-CA"/>
        </w:rPr>
        <w:t>translation</w:t>
      </w:r>
      <w:r w:rsidRPr="0018369C">
        <w:rPr>
          <w:lang w:val="en-CA"/>
        </w:rPr>
        <w:t xml:space="preserve">] “incarceration” rather than </w:t>
      </w:r>
      <w:r w:rsidR="007B187C">
        <w:rPr>
          <w:lang w:val="en-CA"/>
        </w:rPr>
        <w:t xml:space="preserve">his </w:t>
      </w:r>
      <w:r w:rsidRPr="0018369C">
        <w:rPr>
          <w:lang w:val="en-CA"/>
        </w:rPr>
        <w:t>[</w:t>
      </w:r>
      <w:r w:rsidRPr="0018369C">
        <w:rPr>
          <w:smallCaps/>
          <w:lang w:val="en-CA"/>
        </w:rPr>
        <w:t>translation</w:t>
      </w:r>
      <w:r w:rsidRPr="0018369C">
        <w:rPr>
          <w:lang w:val="en-CA"/>
        </w:rPr>
        <w:t>] “reincarceration”.</w:t>
      </w:r>
      <w:r w:rsidR="000E263F" w:rsidRPr="0018369C">
        <w:rPr>
          <w:rStyle w:val="Appelnotedebasdep"/>
          <w:lang w:val="en-CA"/>
        </w:rPr>
        <w:footnoteReference w:id="48"/>
      </w:r>
      <w:r w:rsidRPr="0018369C">
        <w:rPr>
          <w:lang w:val="en-CA"/>
        </w:rPr>
        <w:t xml:space="preserve"> </w:t>
      </w:r>
      <w:r w:rsidR="000E263F" w:rsidRPr="0018369C">
        <w:rPr>
          <w:lang w:val="en-CA"/>
        </w:rPr>
        <w:t xml:space="preserve"> </w:t>
      </w:r>
      <w:r w:rsidR="007B187C">
        <w:rPr>
          <w:lang w:val="en-CA"/>
        </w:rPr>
        <w:t xml:space="preserve">Nevertheless, she took into account </w:t>
      </w:r>
      <w:r w:rsidR="00BA6F37" w:rsidRPr="0018369C">
        <w:rPr>
          <w:lang w:val="en-CA"/>
        </w:rPr>
        <w:t xml:space="preserve">the sentence served in the quantum of the sentence </w:t>
      </w:r>
      <w:r w:rsidR="00F5512C">
        <w:rPr>
          <w:lang w:val="en-CA"/>
        </w:rPr>
        <w:t xml:space="preserve">she imposed </w:t>
      </w:r>
      <w:r w:rsidR="00BA6F37" w:rsidRPr="0018369C">
        <w:rPr>
          <w:lang w:val="en-CA"/>
        </w:rPr>
        <w:t>on the respondent.</w:t>
      </w:r>
      <w:r w:rsidR="000E263F" w:rsidRPr="0018369C">
        <w:rPr>
          <w:rStyle w:val="Appelnotedebasdep"/>
          <w:lang w:val="en-CA"/>
        </w:rPr>
        <w:footnoteReference w:id="49"/>
      </w:r>
      <w:r w:rsidR="000E263F" w:rsidRPr="0018369C">
        <w:rPr>
          <w:lang w:val="en-CA"/>
        </w:rPr>
        <w:t xml:space="preserve"> </w:t>
      </w:r>
      <w:r w:rsidR="00BA6F37" w:rsidRPr="0018369C">
        <w:rPr>
          <w:lang w:val="en-CA"/>
        </w:rPr>
        <w:t xml:space="preserve">Considering the rehabilitation </w:t>
      </w:r>
      <w:r w:rsidR="00F5512C">
        <w:rPr>
          <w:lang w:val="en-CA"/>
        </w:rPr>
        <w:t xml:space="preserve">process </w:t>
      </w:r>
      <w:r w:rsidR="00BA6F37" w:rsidRPr="0018369C">
        <w:rPr>
          <w:lang w:val="en-CA"/>
        </w:rPr>
        <w:t xml:space="preserve">the respondent </w:t>
      </w:r>
      <w:r w:rsidR="00F5512C">
        <w:rPr>
          <w:lang w:val="en-CA"/>
        </w:rPr>
        <w:t xml:space="preserve">had chosen </w:t>
      </w:r>
      <w:r w:rsidR="00BA6F37" w:rsidRPr="0018369C">
        <w:rPr>
          <w:lang w:val="en-CA"/>
        </w:rPr>
        <w:t xml:space="preserve">and the fact that he succeeded in </w:t>
      </w:r>
      <w:r w:rsidR="005005C4">
        <w:rPr>
          <w:lang w:val="en-CA"/>
        </w:rPr>
        <w:t xml:space="preserve">again </w:t>
      </w:r>
      <w:r w:rsidR="00BA6F37" w:rsidRPr="0018369C">
        <w:rPr>
          <w:lang w:val="en-CA"/>
        </w:rPr>
        <w:t>becoming an asset to society, the judge imposed a sentence of 90 days to be served intermittently.</w:t>
      </w:r>
      <w:r w:rsidR="000E263F" w:rsidRPr="0018369C">
        <w:rPr>
          <w:rStyle w:val="Appelnotedebasdep"/>
          <w:lang w:val="en-CA"/>
        </w:rPr>
        <w:footnoteReference w:id="50"/>
      </w:r>
      <w:r w:rsidR="00BA6F37" w:rsidRPr="0018369C">
        <w:rPr>
          <w:lang w:val="en-CA"/>
        </w:rPr>
        <w:t xml:space="preserve"> </w:t>
      </w:r>
    </w:p>
    <w:p w14:paraId="6B1D3022" w14:textId="5C6A310B" w:rsidR="00656C1D" w:rsidRPr="0018369C" w:rsidRDefault="00BA6F37" w:rsidP="00A3163A">
      <w:pPr>
        <w:pStyle w:val="Titre1"/>
        <w:spacing w:line="280" w:lineRule="exact"/>
        <w:rPr>
          <w:lang w:val="en-CA"/>
        </w:rPr>
      </w:pPr>
      <w:r w:rsidRPr="0018369C">
        <w:rPr>
          <w:lang w:val="en-CA"/>
        </w:rPr>
        <w:t>POSITION OF THE APPELLANTS</w:t>
      </w:r>
    </w:p>
    <w:p w14:paraId="59CC7E70" w14:textId="15E23A03" w:rsidR="00656C1D" w:rsidRPr="0018369C" w:rsidRDefault="00A435B6" w:rsidP="00A3163A">
      <w:pPr>
        <w:pStyle w:val="Paragraphe"/>
        <w:spacing w:line="280" w:lineRule="exact"/>
        <w:rPr>
          <w:lang w:val="en-CA"/>
        </w:rPr>
      </w:pPr>
      <w:r w:rsidRPr="0018369C">
        <w:rPr>
          <w:lang w:val="en-CA"/>
        </w:rPr>
        <w:t>Based on</w:t>
      </w:r>
      <w:r w:rsidR="00BA6F37" w:rsidRPr="0018369C">
        <w:rPr>
          <w:lang w:val="en-CA"/>
        </w:rPr>
        <w:t xml:space="preserve"> the same arguments </w:t>
      </w:r>
      <w:r w:rsidR="005005C4">
        <w:rPr>
          <w:lang w:val="en-CA"/>
        </w:rPr>
        <w:t>previously</w:t>
      </w:r>
      <w:r w:rsidR="005005C4" w:rsidRPr="0018369C">
        <w:rPr>
          <w:lang w:val="en-CA"/>
        </w:rPr>
        <w:t xml:space="preserve"> </w:t>
      </w:r>
      <w:r w:rsidR="00BA6F37" w:rsidRPr="0018369C">
        <w:rPr>
          <w:lang w:val="en-CA"/>
        </w:rPr>
        <w:t xml:space="preserve">pleaded in Superior Court, the appellants </w:t>
      </w:r>
      <w:r w:rsidR="00820D4E">
        <w:rPr>
          <w:lang w:val="en-CA"/>
        </w:rPr>
        <w:t>submit</w:t>
      </w:r>
      <w:r w:rsidR="00BA6F37" w:rsidRPr="0018369C">
        <w:rPr>
          <w:lang w:val="en-CA"/>
        </w:rPr>
        <w:t xml:space="preserve"> that the sentence imposed by the Superior Court </w:t>
      </w:r>
      <w:r w:rsidR="005005C4">
        <w:rPr>
          <w:lang w:val="en-CA"/>
        </w:rPr>
        <w:t xml:space="preserve">judge </w:t>
      </w:r>
      <w:r w:rsidR="00BA6F37" w:rsidRPr="0018369C">
        <w:rPr>
          <w:lang w:val="en-CA"/>
        </w:rPr>
        <w:t xml:space="preserve">is demonstrably unfit </w:t>
      </w:r>
      <w:r w:rsidR="00820D4E">
        <w:rPr>
          <w:lang w:val="en-CA"/>
        </w:rPr>
        <w:t>as</w:t>
      </w:r>
      <w:r w:rsidR="00BA6F37" w:rsidRPr="0018369C">
        <w:rPr>
          <w:lang w:val="en-CA"/>
        </w:rPr>
        <w:t xml:space="preserve"> </w:t>
      </w:r>
      <w:r w:rsidR="005005C4">
        <w:rPr>
          <w:lang w:val="en-CA"/>
        </w:rPr>
        <w:t>it</w:t>
      </w:r>
      <w:r w:rsidR="00BA6F37" w:rsidRPr="0018369C">
        <w:rPr>
          <w:lang w:val="en-CA"/>
        </w:rPr>
        <w:t xml:space="preserve"> </w:t>
      </w:r>
      <w:r w:rsidR="0089295A">
        <w:rPr>
          <w:lang w:val="en-CA"/>
        </w:rPr>
        <w:t>represent</w:t>
      </w:r>
      <w:r w:rsidR="005005C4">
        <w:rPr>
          <w:lang w:val="en-CA"/>
        </w:rPr>
        <w:t>s</w:t>
      </w:r>
      <w:r w:rsidR="00BA6F37" w:rsidRPr="0018369C">
        <w:rPr>
          <w:lang w:val="en-CA"/>
        </w:rPr>
        <w:t xml:space="preserve"> too </w:t>
      </w:r>
      <w:r>
        <w:rPr>
          <w:lang w:val="en-CA"/>
        </w:rPr>
        <w:t>great</w:t>
      </w:r>
      <w:r w:rsidR="00BA6F37" w:rsidRPr="0018369C">
        <w:rPr>
          <w:lang w:val="en-CA"/>
        </w:rPr>
        <w:t xml:space="preserve"> </w:t>
      </w:r>
      <w:r w:rsidR="0089295A">
        <w:rPr>
          <w:lang w:val="en-CA"/>
        </w:rPr>
        <w:t>a</w:t>
      </w:r>
      <w:r>
        <w:rPr>
          <w:lang w:val="en-CA"/>
        </w:rPr>
        <w:t xml:space="preserve"> departure from</w:t>
      </w:r>
      <w:r w:rsidR="00BA6F37" w:rsidRPr="0018369C">
        <w:rPr>
          <w:lang w:val="en-CA"/>
        </w:rPr>
        <w:t xml:space="preserve"> the applicable range.</w:t>
      </w:r>
      <w:r w:rsidR="000E263F" w:rsidRPr="0018369C">
        <w:rPr>
          <w:lang w:val="en-CA"/>
        </w:rPr>
        <w:t xml:space="preserve"> </w:t>
      </w:r>
      <w:r w:rsidR="00820D4E">
        <w:rPr>
          <w:lang w:val="en-CA"/>
        </w:rPr>
        <w:t>Concerning the</w:t>
      </w:r>
      <w:r w:rsidR="00BA6F37" w:rsidRPr="0018369C">
        <w:rPr>
          <w:lang w:val="en-CA"/>
        </w:rPr>
        <w:t xml:space="preserve"> sentence imposed, the appellants </w:t>
      </w:r>
      <w:r w:rsidR="005005C4">
        <w:rPr>
          <w:lang w:val="en-CA"/>
        </w:rPr>
        <w:t>allege</w:t>
      </w:r>
      <w:r w:rsidR="005005C4" w:rsidRPr="0018369C">
        <w:rPr>
          <w:lang w:val="en-CA"/>
        </w:rPr>
        <w:t xml:space="preserve"> </w:t>
      </w:r>
      <w:r w:rsidR="00BA6F37" w:rsidRPr="0018369C">
        <w:rPr>
          <w:lang w:val="en-CA"/>
        </w:rPr>
        <w:t>t</w:t>
      </w:r>
      <w:r w:rsidR="00BF7F59">
        <w:rPr>
          <w:lang w:val="en-CA"/>
        </w:rPr>
        <w:t>hat t</w:t>
      </w:r>
      <w:r w:rsidR="00BA6F37" w:rsidRPr="0018369C">
        <w:rPr>
          <w:lang w:val="en-CA"/>
        </w:rPr>
        <w:t xml:space="preserve">he Superior Court judge </w:t>
      </w:r>
      <w:r w:rsidR="005005C4">
        <w:rPr>
          <w:lang w:val="en-CA"/>
        </w:rPr>
        <w:t>failed</w:t>
      </w:r>
      <w:r w:rsidR="005005C4" w:rsidRPr="0018369C">
        <w:rPr>
          <w:lang w:val="en-CA"/>
        </w:rPr>
        <w:t xml:space="preserve"> </w:t>
      </w:r>
      <w:r w:rsidR="00BA6F37" w:rsidRPr="0018369C">
        <w:rPr>
          <w:lang w:val="en-CA"/>
        </w:rPr>
        <w:t>t</w:t>
      </w:r>
      <w:r w:rsidR="005005C4">
        <w:rPr>
          <w:lang w:val="en-CA"/>
        </w:rPr>
        <w:t>o</w:t>
      </w:r>
      <w:r w:rsidR="00BA6F37" w:rsidRPr="0018369C">
        <w:rPr>
          <w:lang w:val="en-CA"/>
        </w:rPr>
        <w:t xml:space="preserve"> provid</w:t>
      </w:r>
      <w:r w:rsidR="005005C4">
        <w:rPr>
          <w:lang w:val="en-CA"/>
        </w:rPr>
        <w:t>e</w:t>
      </w:r>
      <w:r w:rsidR="00BA6F37" w:rsidRPr="0018369C">
        <w:rPr>
          <w:lang w:val="en-CA"/>
        </w:rPr>
        <w:t xml:space="preserve"> </w:t>
      </w:r>
      <w:r w:rsidR="00BA6F37" w:rsidRPr="0018369C">
        <w:rPr>
          <w:lang w:val="en-CA"/>
        </w:rPr>
        <w:lastRenderedPageBreak/>
        <w:t xml:space="preserve">sufficient reasons for her decision (s. 726.2 </w:t>
      </w:r>
      <w:r w:rsidR="00BA6F37" w:rsidRPr="00BF7F59">
        <w:rPr>
          <w:i/>
          <w:iCs/>
          <w:spacing w:val="-20"/>
          <w:lang w:val="en-CA"/>
        </w:rPr>
        <w:t>Cr. C.</w:t>
      </w:r>
      <w:r w:rsidR="00BA6F37" w:rsidRPr="0018369C">
        <w:rPr>
          <w:lang w:val="en-CA"/>
        </w:rPr>
        <w:t xml:space="preserve">) to impose a sentence of </w:t>
      </w:r>
      <w:r w:rsidR="004C4C1F">
        <w:rPr>
          <w:lang w:val="en-CA"/>
        </w:rPr>
        <w:t>4</w:t>
      </w:r>
      <w:r w:rsidR="004C4C1F" w:rsidRPr="0018369C">
        <w:rPr>
          <w:lang w:val="en-CA"/>
        </w:rPr>
        <w:t xml:space="preserve"> </w:t>
      </w:r>
      <w:r w:rsidR="00BA6F37" w:rsidRPr="0018369C">
        <w:rPr>
          <w:lang w:val="en-CA"/>
        </w:rPr>
        <w:t xml:space="preserve">months and </w:t>
      </w:r>
      <w:r w:rsidR="00820D4E">
        <w:rPr>
          <w:lang w:val="en-CA"/>
        </w:rPr>
        <w:t xml:space="preserve"> that she did not respect</w:t>
      </w:r>
      <w:r w:rsidR="00BA6F37" w:rsidRPr="0018369C">
        <w:rPr>
          <w:lang w:val="en-CA"/>
        </w:rPr>
        <w:t xml:space="preserve"> the principle of parity in sentencing (s. 718.2(b) </w:t>
      </w:r>
      <w:r w:rsidR="00BA6F37" w:rsidRPr="00BF7F59">
        <w:rPr>
          <w:i/>
          <w:iCs/>
          <w:spacing w:val="-20"/>
          <w:lang w:val="en-CA"/>
        </w:rPr>
        <w:t>Cr. C</w:t>
      </w:r>
      <w:r w:rsidR="00BA6F37" w:rsidRPr="00BF7F59">
        <w:rPr>
          <w:spacing w:val="-20"/>
          <w:lang w:val="en-CA"/>
        </w:rPr>
        <w:t>.</w:t>
      </w:r>
      <w:r w:rsidR="00BA6F37" w:rsidRPr="0018369C">
        <w:rPr>
          <w:lang w:val="en-CA"/>
        </w:rPr>
        <w:t>).</w:t>
      </w:r>
    </w:p>
    <w:p w14:paraId="151B72B8" w14:textId="26B2ABB6" w:rsidR="00656C1D" w:rsidRPr="0018369C" w:rsidRDefault="00BA6F37" w:rsidP="00A3163A">
      <w:pPr>
        <w:pStyle w:val="Paragraphe"/>
        <w:spacing w:line="280" w:lineRule="exact"/>
        <w:rPr>
          <w:lang w:val="en-CA"/>
        </w:rPr>
      </w:pPr>
      <w:r w:rsidRPr="0018369C">
        <w:rPr>
          <w:lang w:val="en-CA"/>
        </w:rPr>
        <w:t xml:space="preserve">The appellants also </w:t>
      </w:r>
      <w:r w:rsidR="005005C4">
        <w:rPr>
          <w:lang w:val="en-CA"/>
        </w:rPr>
        <w:t>fault</w:t>
      </w:r>
      <w:r w:rsidR="005005C4" w:rsidRPr="0018369C">
        <w:rPr>
          <w:lang w:val="en-CA"/>
        </w:rPr>
        <w:t xml:space="preserve"> </w:t>
      </w:r>
      <w:r w:rsidRPr="0018369C">
        <w:rPr>
          <w:lang w:val="en-CA"/>
        </w:rPr>
        <w:t xml:space="preserve">the Superior Court’s analysis of the </w:t>
      </w:r>
      <w:r w:rsidR="005005C4">
        <w:rPr>
          <w:lang w:val="en-CA"/>
        </w:rPr>
        <w:t xml:space="preserve">reasonable </w:t>
      </w:r>
      <w:r w:rsidRPr="0018369C">
        <w:rPr>
          <w:lang w:val="en-CA"/>
        </w:rPr>
        <w:t>hypothetical cases.</w:t>
      </w:r>
      <w:r w:rsidR="000E263F" w:rsidRPr="0018369C">
        <w:rPr>
          <w:lang w:val="en-CA"/>
        </w:rPr>
        <w:t xml:space="preserve"> </w:t>
      </w:r>
      <w:r w:rsidR="005005C4">
        <w:rPr>
          <w:lang w:val="en-CA"/>
        </w:rPr>
        <w:t>They claim that</w:t>
      </w:r>
      <w:r w:rsidRPr="0018369C">
        <w:rPr>
          <w:lang w:val="en-CA"/>
        </w:rPr>
        <w:t xml:space="preserve"> </w:t>
      </w:r>
      <w:r w:rsidR="00675E1D">
        <w:rPr>
          <w:lang w:val="en-CA"/>
        </w:rPr>
        <w:t>the</w:t>
      </w:r>
      <w:r w:rsidRPr="0018369C">
        <w:rPr>
          <w:lang w:val="en-CA"/>
        </w:rPr>
        <w:t xml:space="preserve"> analysis of </w:t>
      </w:r>
      <w:r w:rsidR="005005C4" w:rsidRPr="0018369C">
        <w:rPr>
          <w:lang w:val="en-CA"/>
        </w:rPr>
        <w:t>th</w:t>
      </w:r>
      <w:r w:rsidR="005005C4">
        <w:rPr>
          <w:lang w:val="en-CA"/>
        </w:rPr>
        <w:t>ree</w:t>
      </w:r>
      <w:r w:rsidR="005005C4" w:rsidRPr="0018369C">
        <w:rPr>
          <w:lang w:val="en-CA"/>
        </w:rPr>
        <w:t xml:space="preserve"> </w:t>
      </w:r>
      <w:r w:rsidRPr="0018369C">
        <w:rPr>
          <w:lang w:val="en-CA"/>
        </w:rPr>
        <w:t>cases is insufficient to conclude that the impugned provision is unconstitutional.</w:t>
      </w:r>
      <w:r w:rsidR="000E263F" w:rsidRPr="0018369C">
        <w:rPr>
          <w:lang w:val="en-CA"/>
        </w:rPr>
        <w:t xml:space="preserve"> </w:t>
      </w:r>
      <w:r w:rsidRPr="0018369C">
        <w:rPr>
          <w:lang w:val="en-CA"/>
        </w:rPr>
        <w:t xml:space="preserve">They also argue that the Superior Court erred in its analysis of </w:t>
      </w:r>
      <w:r w:rsidRPr="00BF7F59">
        <w:rPr>
          <w:i/>
          <w:iCs/>
          <w:lang w:val="en-CA"/>
        </w:rPr>
        <w:t>Hood</w:t>
      </w:r>
      <w:r w:rsidRPr="0018369C">
        <w:rPr>
          <w:lang w:val="en-CA"/>
        </w:rPr>
        <w:t xml:space="preserve"> and that </w:t>
      </w:r>
      <w:r w:rsidR="00675E1D">
        <w:rPr>
          <w:lang w:val="en-CA"/>
        </w:rPr>
        <w:t xml:space="preserve">it </w:t>
      </w:r>
      <w:r w:rsidRPr="0018369C">
        <w:rPr>
          <w:lang w:val="en-CA"/>
        </w:rPr>
        <w:t>cannot apply to the mandatory minimum sentence when the offence is prosecuted by way of summary conviction.</w:t>
      </w:r>
    </w:p>
    <w:p w14:paraId="590CC320" w14:textId="0E43AAF4" w:rsidR="00F1386D" w:rsidRPr="0018369C" w:rsidRDefault="00BA6F37" w:rsidP="00A3163A">
      <w:pPr>
        <w:pStyle w:val="Titre1"/>
        <w:spacing w:line="280" w:lineRule="exact"/>
        <w:rPr>
          <w:lang w:val="en-CA" w:eastAsia="fr-CA"/>
        </w:rPr>
      </w:pPr>
      <w:r w:rsidRPr="0018369C">
        <w:rPr>
          <w:lang w:val="en-CA" w:eastAsia="fr-CA"/>
        </w:rPr>
        <w:t>DISCUSSION</w:t>
      </w:r>
    </w:p>
    <w:p w14:paraId="59A68B00" w14:textId="6ED4CA07" w:rsidR="00484D54" w:rsidRPr="0018369C" w:rsidRDefault="00BA6F37" w:rsidP="00A3163A">
      <w:pPr>
        <w:pStyle w:val="Titre2"/>
        <w:rPr>
          <w:lang w:val="en-CA"/>
        </w:rPr>
      </w:pPr>
      <w:r w:rsidRPr="0018369C">
        <w:rPr>
          <w:lang w:val="en-CA"/>
        </w:rPr>
        <w:t>Did the Superior Court render a demonstrably unfit sentence that does not reflect the objective and subjective gravity of the offence committed by the respondent?</w:t>
      </w:r>
    </w:p>
    <w:p w14:paraId="3BE6DADE" w14:textId="7457502C" w:rsidR="00252165" w:rsidRPr="0018369C" w:rsidRDefault="00252165" w:rsidP="00A3163A">
      <w:pPr>
        <w:pStyle w:val="Paragraphe"/>
        <w:spacing w:line="280" w:lineRule="exact"/>
        <w:rPr>
          <w:lang w:val="en-CA"/>
        </w:rPr>
      </w:pPr>
      <w:r w:rsidRPr="0018369C">
        <w:rPr>
          <w:lang w:val="en-CA"/>
        </w:rPr>
        <w:t xml:space="preserve">As stated above, although the </w:t>
      </w:r>
      <w:r w:rsidR="0089295A">
        <w:rPr>
          <w:lang w:val="en-CA"/>
        </w:rPr>
        <w:t>harshness</w:t>
      </w:r>
      <w:r w:rsidRPr="0018369C">
        <w:rPr>
          <w:lang w:val="en-CA"/>
        </w:rPr>
        <w:t xml:space="preserve"> of a sentence viewed in isolation does not raise a question of law,</w:t>
      </w:r>
      <w:r w:rsidRPr="0018369C">
        <w:rPr>
          <w:rStyle w:val="Appelnotedebasdep"/>
          <w:lang w:val="en-CA"/>
        </w:rPr>
        <w:footnoteReference w:id="51"/>
      </w:r>
      <w:r w:rsidRPr="0018369C">
        <w:rPr>
          <w:lang w:val="en-CA"/>
        </w:rPr>
        <w:t xml:space="preserve"> in this case, this question is an integral and essential </w:t>
      </w:r>
      <w:r w:rsidR="0089295A" w:rsidRPr="0018369C">
        <w:rPr>
          <w:lang w:val="en-CA"/>
        </w:rPr>
        <w:t xml:space="preserve">element </w:t>
      </w:r>
      <w:r w:rsidR="0089295A">
        <w:rPr>
          <w:lang w:val="en-CA"/>
        </w:rPr>
        <w:t>of</w:t>
      </w:r>
      <w:r w:rsidRPr="0018369C">
        <w:rPr>
          <w:lang w:val="en-CA"/>
        </w:rPr>
        <w:t xml:space="preserve"> the constitutional analysis recommended by the Supreme Court in </w:t>
      </w:r>
      <w:r w:rsidRPr="0018369C">
        <w:rPr>
          <w:i/>
          <w:lang w:val="en-CA"/>
        </w:rPr>
        <w:t>Lloyd</w:t>
      </w:r>
      <w:bookmarkStart w:id="12" w:name="_Ref88473230"/>
      <w:r w:rsidRPr="0018369C">
        <w:rPr>
          <w:rStyle w:val="Appelnotedebasdep"/>
          <w:lang w:val="en-CA"/>
        </w:rPr>
        <w:footnoteReference w:id="52"/>
      </w:r>
      <w:bookmarkEnd w:id="12"/>
      <w:r w:rsidRPr="0018369C">
        <w:rPr>
          <w:i/>
          <w:lang w:val="en-CA"/>
        </w:rPr>
        <w:t xml:space="preserve"> </w:t>
      </w:r>
      <w:r w:rsidRPr="0018369C">
        <w:rPr>
          <w:lang w:val="en-CA"/>
        </w:rPr>
        <w:t xml:space="preserve">and </w:t>
      </w:r>
      <w:r w:rsidRPr="0018369C">
        <w:rPr>
          <w:i/>
          <w:lang w:val="en-CA"/>
        </w:rPr>
        <w:t>Nur</w:t>
      </w:r>
      <w:r w:rsidRPr="0018369C">
        <w:rPr>
          <w:lang w:val="en-CA"/>
        </w:rPr>
        <w:t>.</w:t>
      </w:r>
      <w:bookmarkStart w:id="13" w:name="_Ref92791378"/>
      <w:r w:rsidR="000E263F" w:rsidRPr="0018369C">
        <w:rPr>
          <w:rStyle w:val="Appelnotedebasdep"/>
          <w:lang w:val="en-CA"/>
        </w:rPr>
        <w:footnoteReference w:id="53"/>
      </w:r>
      <w:bookmarkEnd w:id="13"/>
      <w:r w:rsidRPr="0018369C">
        <w:rPr>
          <w:lang w:val="en-CA"/>
        </w:rPr>
        <w:t xml:space="preserve"> </w:t>
      </w:r>
    </w:p>
    <w:p w14:paraId="64956018" w14:textId="69F070A5" w:rsidR="00DD0724" w:rsidRPr="0018369C" w:rsidRDefault="00252165" w:rsidP="00A3163A">
      <w:pPr>
        <w:pStyle w:val="Paragraphe"/>
        <w:spacing w:line="280" w:lineRule="exact"/>
        <w:rPr>
          <w:lang w:val="en-CA"/>
        </w:rPr>
      </w:pPr>
      <w:r w:rsidRPr="0018369C">
        <w:rPr>
          <w:lang w:val="en-CA"/>
        </w:rPr>
        <w:t xml:space="preserve">However, the analysis of this element or sub-question requires the application of the standard of palpable and overriding error, which requires deference, </w:t>
      </w:r>
      <w:r w:rsidR="0094197D">
        <w:rPr>
          <w:lang w:val="en-CA"/>
        </w:rPr>
        <w:t>unless</w:t>
      </w:r>
      <w:r w:rsidRPr="0018369C">
        <w:rPr>
          <w:lang w:val="en-CA"/>
        </w:rPr>
        <w:t xml:space="preserve"> the sentence is demonstrably unfit or calculated on </w:t>
      </w:r>
      <w:r w:rsidR="00F40BEE">
        <w:rPr>
          <w:lang w:val="en-CA"/>
        </w:rPr>
        <w:t xml:space="preserve">the basis of </w:t>
      </w:r>
      <w:r w:rsidRPr="0018369C">
        <w:rPr>
          <w:lang w:val="en-CA"/>
        </w:rPr>
        <w:t>an error in principle.</w:t>
      </w:r>
      <w:r w:rsidR="000E263F" w:rsidRPr="0018369C">
        <w:rPr>
          <w:rStyle w:val="Appelnotedebasdep"/>
          <w:lang w:val="en-CA"/>
        </w:rPr>
        <w:footnoteReference w:id="54"/>
      </w:r>
      <w:r w:rsidRPr="0018369C">
        <w:rPr>
          <w:lang w:val="en-CA"/>
        </w:rPr>
        <w:t xml:space="preserve"> </w:t>
      </w:r>
    </w:p>
    <w:p w14:paraId="51946943" w14:textId="156CB6EF" w:rsidR="007F77C3" w:rsidRPr="0018369C" w:rsidRDefault="00252165" w:rsidP="00A3163A">
      <w:pPr>
        <w:pStyle w:val="Paragraphe"/>
        <w:spacing w:line="280" w:lineRule="exact"/>
        <w:rPr>
          <w:lang w:val="en-CA"/>
        </w:rPr>
      </w:pPr>
      <w:r w:rsidRPr="0018369C">
        <w:rPr>
          <w:lang w:val="en-CA"/>
        </w:rPr>
        <w:t xml:space="preserve">The Superior Court judge took into consideration the relevant case law, in particular </w:t>
      </w:r>
      <w:r w:rsidRPr="0018369C">
        <w:rPr>
          <w:i/>
          <w:lang w:val="en-CA"/>
        </w:rPr>
        <w:t>Friesen</w:t>
      </w:r>
      <w:r w:rsidR="00F40BEE">
        <w:rPr>
          <w:iCs/>
          <w:lang w:val="en-CA"/>
        </w:rPr>
        <w:t>,</w:t>
      </w:r>
      <w:r w:rsidRPr="0018369C">
        <w:rPr>
          <w:lang w:val="en-CA"/>
        </w:rPr>
        <w:t xml:space="preserve"> where the Supreme Court </w:t>
      </w:r>
      <w:r w:rsidR="00F40BEE">
        <w:rPr>
          <w:lang w:val="en-CA"/>
        </w:rPr>
        <w:t>emphasized</w:t>
      </w:r>
      <w:r w:rsidRPr="0018369C">
        <w:rPr>
          <w:lang w:val="en-CA"/>
        </w:rPr>
        <w:t xml:space="preserve"> the gravity of sexual offences committed against children and </w:t>
      </w:r>
      <w:r w:rsidR="00E155FD">
        <w:rPr>
          <w:lang w:val="en-CA"/>
        </w:rPr>
        <w:t>remark</w:t>
      </w:r>
      <w:r w:rsidR="00E155FD" w:rsidRPr="0018369C">
        <w:rPr>
          <w:lang w:val="en-CA"/>
        </w:rPr>
        <w:t xml:space="preserve">ed </w:t>
      </w:r>
      <w:r w:rsidRPr="0018369C">
        <w:rPr>
          <w:lang w:val="en-CA"/>
        </w:rPr>
        <w:t xml:space="preserve">that the courts must </w:t>
      </w:r>
      <w:r w:rsidR="00E155FD">
        <w:rPr>
          <w:lang w:val="en-CA"/>
        </w:rPr>
        <w:t>acknowledge</w:t>
      </w:r>
      <w:r w:rsidRPr="0018369C">
        <w:rPr>
          <w:lang w:val="en-CA"/>
        </w:rPr>
        <w:t xml:space="preserve"> this gravity in sentencing.</w:t>
      </w:r>
      <w:r w:rsidR="000E263F" w:rsidRPr="0018369C">
        <w:rPr>
          <w:rStyle w:val="Appelnotedebasdep"/>
          <w:lang w:val="en-CA"/>
        </w:rPr>
        <w:footnoteReference w:id="55"/>
      </w:r>
      <w:r w:rsidRPr="0018369C">
        <w:rPr>
          <w:lang w:val="en-CA"/>
        </w:rPr>
        <w:t xml:space="preserve"> </w:t>
      </w:r>
    </w:p>
    <w:p w14:paraId="4597026F" w14:textId="09D9DBEA" w:rsidR="00961A51" w:rsidRPr="0018369C" w:rsidRDefault="00252165" w:rsidP="00A3163A">
      <w:pPr>
        <w:pStyle w:val="Paragraphe"/>
        <w:spacing w:line="280" w:lineRule="exact"/>
        <w:rPr>
          <w:lang w:val="en-CA"/>
        </w:rPr>
      </w:pPr>
      <w:r w:rsidRPr="0018369C">
        <w:rPr>
          <w:lang w:val="en-CA" w:eastAsia="fr-CA"/>
        </w:rPr>
        <w:t xml:space="preserve">The judge applied the principles established </w:t>
      </w:r>
      <w:r w:rsidR="00F40BEE">
        <w:rPr>
          <w:lang w:val="en-CA" w:eastAsia="fr-CA"/>
        </w:rPr>
        <w:t>in</w:t>
      </w:r>
      <w:r w:rsidRPr="0018369C">
        <w:rPr>
          <w:lang w:val="en-CA" w:eastAsia="fr-CA"/>
        </w:rPr>
        <w:t xml:space="preserve"> the case law to the specific circumstances of the respondent’s case, including the fact that, according to the sexologist’s report, there was [</w:t>
      </w:r>
      <w:r w:rsidRPr="0018369C">
        <w:rPr>
          <w:smallCaps/>
          <w:lang w:val="en-CA" w:eastAsia="fr-CA"/>
        </w:rPr>
        <w:t>translation</w:t>
      </w:r>
      <w:r w:rsidRPr="0018369C">
        <w:rPr>
          <w:lang w:val="en-CA" w:eastAsia="fr-CA"/>
        </w:rPr>
        <w:t>] “full” recognition of guilt.</w:t>
      </w:r>
      <w:r w:rsidR="000E263F" w:rsidRPr="0018369C">
        <w:rPr>
          <w:rStyle w:val="Appelnotedebasdep"/>
          <w:lang w:val="en-CA" w:eastAsia="fr-CA"/>
        </w:rPr>
        <w:footnoteReference w:id="56"/>
      </w:r>
      <w:r w:rsidRPr="0018369C">
        <w:rPr>
          <w:lang w:val="en-CA" w:eastAsia="fr-CA"/>
        </w:rPr>
        <w:t xml:space="preserve"> The judge also explained why she considered the respondent’s rehabilitation an element to </w:t>
      </w:r>
      <w:r w:rsidR="00262B5B">
        <w:rPr>
          <w:lang w:val="en-CA" w:eastAsia="fr-CA"/>
        </w:rPr>
        <w:t>be weighed,</w:t>
      </w:r>
      <w:r w:rsidRPr="0018369C">
        <w:rPr>
          <w:lang w:val="en-CA" w:eastAsia="fr-CA"/>
        </w:rPr>
        <w:t xml:space="preserve"> </w:t>
      </w:r>
      <w:r w:rsidR="00262B5B">
        <w:rPr>
          <w:lang w:val="en-CA" w:eastAsia="fr-CA"/>
        </w:rPr>
        <w:t xml:space="preserve">given </w:t>
      </w:r>
      <w:r w:rsidRPr="0018369C">
        <w:rPr>
          <w:lang w:val="en-CA" w:eastAsia="fr-CA"/>
        </w:rPr>
        <w:t xml:space="preserve">his suicide attempt, his participation in </w:t>
      </w:r>
      <w:r w:rsidR="00EE79DA" w:rsidRPr="0018369C">
        <w:rPr>
          <w:lang w:val="en-CA" w:eastAsia="fr-CA"/>
        </w:rPr>
        <w:t>psycho</w:t>
      </w:r>
      <w:r w:rsidR="00F47C29">
        <w:rPr>
          <w:lang w:val="en-CA" w:eastAsia="fr-CA"/>
        </w:rPr>
        <w:t>logical therapy</w:t>
      </w:r>
      <w:r w:rsidR="00262B5B">
        <w:rPr>
          <w:lang w:val="en-CA" w:eastAsia="fr-CA"/>
        </w:rPr>
        <w:t>,</w:t>
      </w:r>
      <w:r w:rsidRPr="0018369C">
        <w:rPr>
          <w:lang w:val="en-CA" w:eastAsia="fr-CA"/>
        </w:rPr>
        <w:t xml:space="preserve"> a</w:t>
      </w:r>
      <w:r w:rsidR="00EE79DA" w:rsidRPr="0018369C">
        <w:rPr>
          <w:lang w:val="en-CA" w:eastAsia="fr-CA"/>
        </w:rPr>
        <w:t>n</w:t>
      </w:r>
      <w:r w:rsidRPr="0018369C">
        <w:rPr>
          <w:lang w:val="en-CA" w:eastAsia="fr-CA"/>
        </w:rPr>
        <w:t xml:space="preserve">d his </w:t>
      </w:r>
      <w:r w:rsidR="00E155FD">
        <w:rPr>
          <w:lang w:val="en-CA" w:eastAsia="fr-CA"/>
        </w:rPr>
        <w:t>acknowledgment</w:t>
      </w:r>
      <w:r w:rsidR="00E155FD" w:rsidRPr="0018369C">
        <w:rPr>
          <w:lang w:val="en-CA" w:eastAsia="fr-CA"/>
        </w:rPr>
        <w:t xml:space="preserve"> </w:t>
      </w:r>
      <w:r w:rsidRPr="0018369C">
        <w:rPr>
          <w:lang w:val="en-CA" w:eastAsia="fr-CA"/>
        </w:rPr>
        <w:t>of the negative impacts of the events.</w:t>
      </w:r>
      <w:r w:rsidR="000E263F" w:rsidRPr="0018369C">
        <w:rPr>
          <w:rStyle w:val="Appelnotedebasdep"/>
          <w:lang w:val="en-CA" w:eastAsia="fr-CA"/>
        </w:rPr>
        <w:footnoteReference w:id="57"/>
      </w:r>
      <w:r w:rsidRPr="0018369C">
        <w:rPr>
          <w:lang w:val="en-CA" w:eastAsia="fr-CA"/>
        </w:rPr>
        <w:t xml:space="preserve"> She took into account, however, </w:t>
      </w:r>
      <w:r w:rsidRPr="0018369C">
        <w:rPr>
          <w:lang w:val="en-CA" w:eastAsia="fr-CA"/>
        </w:rPr>
        <w:lastRenderedPageBreak/>
        <w:t>the breach of the victim’s trust</w:t>
      </w:r>
      <w:r w:rsidR="006B7C84">
        <w:rPr>
          <w:lang w:val="en-CA" w:eastAsia="fr-CA"/>
        </w:rPr>
        <w:t>,</w:t>
      </w:r>
      <w:r w:rsidRPr="0018369C">
        <w:rPr>
          <w:lang w:val="en-CA" w:eastAsia="fr-CA"/>
        </w:rPr>
        <w:t xml:space="preserve"> the fact that the respondent denied having had sexual intentions in sending the text messages</w:t>
      </w:r>
      <w:r w:rsidR="006B7C84">
        <w:rPr>
          <w:lang w:val="en-CA" w:eastAsia="fr-CA"/>
        </w:rPr>
        <w:t>,</w:t>
      </w:r>
      <w:r w:rsidRPr="0018369C">
        <w:rPr>
          <w:lang w:val="en-CA" w:eastAsia="fr-CA"/>
        </w:rPr>
        <w:t xml:space="preserve"> and </w:t>
      </w:r>
      <w:r w:rsidR="00F47C29">
        <w:rPr>
          <w:lang w:val="en-CA" w:eastAsia="fr-CA"/>
        </w:rPr>
        <w:t>the commission of</w:t>
      </w:r>
      <w:r w:rsidRPr="0018369C">
        <w:rPr>
          <w:lang w:val="en-CA" w:eastAsia="fr-CA"/>
        </w:rPr>
        <w:t xml:space="preserve"> the offence.</w:t>
      </w:r>
      <w:r w:rsidR="000E263F" w:rsidRPr="0018369C">
        <w:rPr>
          <w:rStyle w:val="Appelnotedebasdep"/>
          <w:lang w:val="en-CA" w:eastAsia="fr-CA"/>
        </w:rPr>
        <w:footnoteReference w:id="58"/>
      </w:r>
      <w:r w:rsidRPr="0018369C">
        <w:rPr>
          <w:lang w:val="en-CA" w:eastAsia="fr-CA"/>
        </w:rPr>
        <w:t xml:space="preserve"> </w:t>
      </w:r>
    </w:p>
    <w:p w14:paraId="4D454706" w14:textId="6F85C815" w:rsidR="00961A51" w:rsidRPr="0018369C" w:rsidRDefault="00252165" w:rsidP="00A3163A">
      <w:pPr>
        <w:pStyle w:val="Paragraphe"/>
        <w:spacing w:line="280" w:lineRule="exact"/>
        <w:rPr>
          <w:lang w:val="en-CA" w:eastAsia="fr-CA"/>
        </w:rPr>
      </w:pPr>
      <w:r w:rsidRPr="0018369C">
        <w:rPr>
          <w:lang w:val="en-CA" w:eastAsia="fr-CA"/>
        </w:rPr>
        <w:t xml:space="preserve">Following </w:t>
      </w:r>
      <w:r w:rsidR="00E155FD">
        <w:rPr>
          <w:lang w:val="en-CA" w:eastAsia="fr-CA"/>
        </w:rPr>
        <w:t>a</w:t>
      </w:r>
      <w:r w:rsidR="00E155FD" w:rsidRPr="0018369C">
        <w:rPr>
          <w:lang w:val="en-CA" w:eastAsia="fr-CA"/>
        </w:rPr>
        <w:t xml:space="preserve"> </w:t>
      </w:r>
      <w:r w:rsidR="00EE79DA" w:rsidRPr="0018369C">
        <w:rPr>
          <w:lang w:val="en-CA" w:eastAsia="fr-CA"/>
        </w:rPr>
        <w:t>rigorous</w:t>
      </w:r>
      <w:r w:rsidRPr="0018369C">
        <w:rPr>
          <w:lang w:val="en-CA" w:eastAsia="fr-CA"/>
        </w:rPr>
        <w:t xml:space="preserve"> analysis of the circumstances </w:t>
      </w:r>
      <w:r w:rsidR="006B7C84">
        <w:rPr>
          <w:lang w:val="en-CA" w:eastAsia="fr-CA"/>
        </w:rPr>
        <w:t>of</w:t>
      </w:r>
      <w:r w:rsidRPr="0018369C">
        <w:rPr>
          <w:lang w:val="en-CA" w:eastAsia="fr-CA"/>
        </w:rPr>
        <w:t xml:space="preserve"> this case, the judge decided on a sentence of </w:t>
      </w:r>
      <w:r w:rsidR="004C4C1F">
        <w:rPr>
          <w:lang w:val="en-CA" w:eastAsia="fr-CA"/>
        </w:rPr>
        <w:t>4</w:t>
      </w:r>
      <w:r w:rsidR="004C4C1F" w:rsidRPr="0018369C">
        <w:rPr>
          <w:lang w:val="en-CA" w:eastAsia="fr-CA"/>
        </w:rPr>
        <w:t xml:space="preserve"> </w:t>
      </w:r>
      <w:r w:rsidRPr="0018369C">
        <w:rPr>
          <w:lang w:val="en-CA" w:eastAsia="fr-CA"/>
        </w:rPr>
        <w:t>months:</w:t>
      </w:r>
    </w:p>
    <w:p w14:paraId="768CAADF" w14:textId="59663185" w:rsidR="00252165" w:rsidRPr="0018369C" w:rsidRDefault="00252165" w:rsidP="00252165">
      <w:pPr>
        <w:pStyle w:val="Paragraphe"/>
        <w:numPr>
          <w:ilvl w:val="0"/>
          <w:numId w:val="0"/>
        </w:numPr>
        <w:spacing w:line="280" w:lineRule="exact"/>
        <w:rPr>
          <w:lang w:val="en-CA" w:eastAsia="fr-CA"/>
        </w:rPr>
      </w:pPr>
      <w:r w:rsidRPr="0018369C">
        <w:rPr>
          <w:lang w:val="en-CA" w:eastAsia="fr-CA"/>
        </w:rPr>
        <w:tab/>
        <w:t>[</w:t>
      </w:r>
      <w:r w:rsidRPr="0018369C">
        <w:rPr>
          <w:smallCaps/>
          <w:lang w:val="en-CA" w:eastAsia="fr-CA"/>
        </w:rPr>
        <w:t>translation</w:t>
      </w:r>
      <w:r w:rsidRPr="0018369C">
        <w:rPr>
          <w:lang w:val="en-CA" w:eastAsia="fr-CA"/>
        </w:rPr>
        <w:t>]</w:t>
      </w:r>
    </w:p>
    <w:p w14:paraId="75C27DD4" w14:textId="041135FF" w:rsidR="00961A51" w:rsidRPr="0018369C" w:rsidRDefault="00252165" w:rsidP="00A3163A">
      <w:pPr>
        <w:pStyle w:val="Citationenretrait"/>
        <w:rPr>
          <w:lang w:val="en-CA"/>
        </w:rPr>
      </w:pPr>
      <w:r w:rsidRPr="0018369C">
        <w:rPr>
          <w:lang w:val="en-CA"/>
        </w:rPr>
        <w:t xml:space="preserve">[182]     However, considering the range of applicable sentences for luring, the </w:t>
      </w:r>
      <w:r w:rsidR="00EE79DA" w:rsidRPr="0018369C">
        <w:rPr>
          <w:lang w:val="en-CA"/>
        </w:rPr>
        <w:t>objective</w:t>
      </w:r>
      <w:r w:rsidRPr="0018369C">
        <w:rPr>
          <w:lang w:val="en-CA"/>
        </w:rPr>
        <w:t xml:space="preserve"> and subjective </w:t>
      </w:r>
      <w:r w:rsidR="00CC12A5" w:rsidRPr="0018369C">
        <w:rPr>
          <w:lang w:val="en-CA"/>
        </w:rPr>
        <w:t>gravity</w:t>
      </w:r>
      <w:r w:rsidR="000D7770">
        <w:rPr>
          <w:lang w:val="en-CA"/>
        </w:rPr>
        <w:t xml:space="preserve"> of</w:t>
      </w:r>
      <w:r w:rsidRPr="0018369C">
        <w:rPr>
          <w:lang w:val="en-CA"/>
        </w:rPr>
        <w:t xml:space="preserve"> the offence with </w:t>
      </w:r>
      <w:r w:rsidR="00EE79DA" w:rsidRPr="0018369C">
        <w:rPr>
          <w:lang w:val="en-CA"/>
        </w:rPr>
        <w:t>which</w:t>
      </w:r>
      <w:r w:rsidRPr="0018369C">
        <w:rPr>
          <w:lang w:val="en-CA"/>
        </w:rPr>
        <w:t xml:space="preserve"> the respondent is charged</w:t>
      </w:r>
      <w:r w:rsidR="006B7C84">
        <w:rPr>
          <w:lang w:val="en-CA"/>
        </w:rPr>
        <w:t xml:space="preserve">, and </w:t>
      </w:r>
      <w:r w:rsidRPr="0018369C">
        <w:rPr>
          <w:lang w:val="en-CA"/>
        </w:rPr>
        <w:t xml:space="preserve">the </w:t>
      </w:r>
      <w:r w:rsidR="00EE79DA" w:rsidRPr="0018369C">
        <w:rPr>
          <w:lang w:val="en-CA"/>
        </w:rPr>
        <w:t>legislative</w:t>
      </w:r>
      <w:r w:rsidRPr="0018369C">
        <w:rPr>
          <w:lang w:val="en-CA"/>
        </w:rPr>
        <w:t xml:space="preserve"> principles, including the objectives of deterrence and denunciation that </w:t>
      </w:r>
      <w:r w:rsidR="006B7C84">
        <w:rPr>
          <w:lang w:val="en-CA"/>
        </w:rPr>
        <w:t>must</w:t>
      </w:r>
      <w:r w:rsidRPr="0018369C">
        <w:rPr>
          <w:lang w:val="en-CA"/>
        </w:rPr>
        <w:t xml:space="preserve"> be given primary consideration, the fit sentence that should be imposed is </w:t>
      </w:r>
      <w:r w:rsidR="00E155FD">
        <w:rPr>
          <w:lang w:val="en-CA"/>
        </w:rPr>
        <w:t>a term</w:t>
      </w:r>
      <w:r w:rsidRPr="0018369C">
        <w:rPr>
          <w:lang w:val="en-CA"/>
        </w:rPr>
        <w:t xml:space="preserve"> of imprisonment.</w:t>
      </w:r>
    </w:p>
    <w:p w14:paraId="41622740" w14:textId="55CFF09E" w:rsidR="00961A51" w:rsidRPr="0018369C" w:rsidRDefault="00252165" w:rsidP="00A3163A">
      <w:pPr>
        <w:pStyle w:val="Citationenretrait"/>
        <w:rPr>
          <w:lang w:val="en-CA"/>
        </w:rPr>
      </w:pPr>
      <w:r w:rsidRPr="0018369C">
        <w:rPr>
          <w:lang w:val="en-CA"/>
        </w:rPr>
        <w:t xml:space="preserve">[183]     A sentence of incarceration of about 4 months is a quantum that takes into </w:t>
      </w:r>
      <w:r w:rsidR="006B7C84">
        <w:rPr>
          <w:lang w:val="en-CA"/>
        </w:rPr>
        <w:t>account</w:t>
      </w:r>
      <w:r w:rsidRPr="0018369C">
        <w:rPr>
          <w:lang w:val="en-CA"/>
        </w:rPr>
        <w:t xml:space="preserve"> the objectives of denunciation and </w:t>
      </w:r>
      <w:r w:rsidR="00EE79DA" w:rsidRPr="0018369C">
        <w:rPr>
          <w:lang w:val="en-CA"/>
        </w:rPr>
        <w:t>deterrence</w:t>
      </w:r>
      <w:r w:rsidRPr="0018369C">
        <w:rPr>
          <w:lang w:val="en-CA"/>
        </w:rPr>
        <w:t>, the aggravating factors including the commission of the offence, breach of trust</w:t>
      </w:r>
      <w:r w:rsidR="006B7C84">
        <w:rPr>
          <w:lang w:val="en-CA"/>
        </w:rPr>
        <w:t>,</w:t>
      </w:r>
      <w:r w:rsidRPr="0018369C">
        <w:rPr>
          <w:lang w:val="en-CA"/>
        </w:rPr>
        <w:t xml:space="preserve"> and abuse of authority, but also the </w:t>
      </w:r>
      <w:r w:rsidR="006B7C84">
        <w:rPr>
          <w:lang w:val="en-CA"/>
        </w:rPr>
        <w:t xml:space="preserve">choice to prosecute by </w:t>
      </w:r>
      <w:r w:rsidRPr="0018369C">
        <w:rPr>
          <w:lang w:val="en-CA"/>
        </w:rPr>
        <w:t>way of summary conviction proceeding</w:t>
      </w:r>
      <w:r w:rsidR="00F47C29">
        <w:rPr>
          <w:lang w:val="en-CA"/>
        </w:rPr>
        <w:t>s</w:t>
      </w:r>
      <w:r w:rsidRPr="0018369C">
        <w:rPr>
          <w:lang w:val="en-CA"/>
        </w:rPr>
        <w:t xml:space="preserve"> on one count only.</w:t>
      </w:r>
    </w:p>
    <w:p w14:paraId="6D889831" w14:textId="23F49EAD" w:rsidR="00BD7055" w:rsidRPr="0018369C" w:rsidRDefault="00CC12A5" w:rsidP="00A3163A">
      <w:pPr>
        <w:pStyle w:val="Paragraphe"/>
        <w:spacing w:line="280" w:lineRule="exact"/>
        <w:rPr>
          <w:lang w:val="en-CA" w:eastAsia="fr-CA"/>
        </w:rPr>
      </w:pPr>
      <w:r w:rsidRPr="0018369C">
        <w:rPr>
          <w:lang w:val="en-CA" w:eastAsia="fr-CA"/>
        </w:rPr>
        <w:t xml:space="preserve">The appellants argue that the sentence is demonstrably unfit since it </w:t>
      </w:r>
      <w:r w:rsidR="000D7770">
        <w:rPr>
          <w:lang w:val="en-CA" w:eastAsia="fr-CA"/>
        </w:rPr>
        <w:t>depart</w:t>
      </w:r>
      <w:r w:rsidR="00B43CB4">
        <w:rPr>
          <w:lang w:val="en-CA" w:eastAsia="fr-CA"/>
        </w:rPr>
        <w:t>s too much</w:t>
      </w:r>
      <w:r w:rsidRPr="0018369C">
        <w:rPr>
          <w:lang w:val="en-CA" w:eastAsia="fr-CA"/>
        </w:rPr>
        <w:t xml:space="preserve"> from the sentencing range without </w:t>
      </w:r>
      <w:r w:rsidR="00617435">
        <w:rPr>
          <w:lang w:val="en-CA" w:eastAsia="fr-CA"/>
        </w:rPr>
        <w:t xml:space="preserve">adequate </w:t>
      </w:r>
      <w:r w:rsidRPr="0018369C">
        <w:rPr>
          <w:lang w:val="en-CA" w:eastAsia="fr-CA"/>
        </w:rPr>
        <w:t xml:space="preserve">explanation.  </w:t>
      </w:r>
    </w:p>
    <w:p w14:paraId="6F06008C" w14:textId="1B50419D" w:rsidR="005C49BB" w:rsidRPr="0018369C" w:rsidRDefault="00CC12A5" w:rsidP="00A3163A">
      <w:pPr>
        <w:pStyle w:val="Paragraphe"/>
        <w:spacing w:line="280" w:lineRule="exact"/>
        <w:rPr>
          <w:lang w:val="en-CA" w:eastAsia="fr-CA"/>
        </w:rPr>
      </w:pPr>
      <w:r w:rsidRPr="0018369C">
        <w:rPr>
          <w:lang w:val="en-CA" w:eastAsia="fr-CA"/>
        </w:rPr>
        <w:t xml:space="preserve">A central element of the appellants’ </w:t>
      </w:r>
      <w:r w:rsidR="00F47C29">
        <w:rPr>
          <w:lang w:val="en-CA" w:eastAsia="fr-CA"/>
        </w:rPr>
        <w:t>argument</w:t>
      </w:r>
      <w:r w:rsidRPr="0018369C">
        <w:rPr>
          <w:lang w:val="en-CA" w:eastAsia="fr-CA"/>
        </w:rPr>
        <w:t xml:space="preserve"> is that</w:t>
      </w:r>
      <w:r w:rsidR="004F0794" w:rsidRPr="0018369C">
        <w:rPr>
          <w:lang w:val="en-CA" w:eastAsia="fr-CA"/>
        </w:rPr>
        <w:t xml:space="preserve"> </w:t>
      </w:r>
      <w:r w:rsidRPr="0018369C">
        <w:rPr>
          <w:lang w:val="en-CA" w:eastAsia="fr-CA"/>
        </w:rPr>
        <w:t xml:space="preserve">the judge recognized an applicable range of 12 to 24 months’ imprisonment </w:t>
      </w:r>
      <w:r w:rsidR="00A4241D">
        <w:rPr>
          <w:lang w:val="en-CA" w:eastAsia="fr-CA"/>
        </w:rPr>
        <w:t xml:space="preserve">in her judgment, </w:t>
      </w:r>
      <w:r w:rsidRPr="0018369C">
        <w:rPr>
          <w:lang w:val="en-CA" w:eastAsia="fr-CA"/>
        </w:rPr>
        <w:t xml:space="preserve">but </w:t>
      </w:r>
      <w:r w:rsidR="00A4241D">
        <w:rPr>
          <w:lang w:val="en-CA" w:eastAsia="fr-CA"/>
        </w:rPr>
        <w:t xml:space="preserve">she </w:t>
      </w:r>
      <w:r w:rsidRPr="0018369C">
        <w:rPr>
          <w:lang w:val="en-CA" w:eastAsia="fr-CA"/>
        </w:rPr>
        <w:t>did not see fit to follow it.</w:t>
      </w:r>
      <w:r w:rsidR="000E263F" w:rsidRPr="0018369C">
        <w:rPr>
          <w:lang w:val="en-CA" w:eastAsia="fr-CA"/>
        </w:rPr>
        <w:t xml:space="preserve"> </w:t>
      </w:r>
      <w:r w:rsidRPr="0018369C">
        <w:rPr>
          <w:lang w:val="en-CA" w:eastAsia="fr-CA"/>
        </w:rPr>
        <w:t>The reality is very different.</w:t>
      </w:r>
      <w:r w:rsidR="000E263F" w:rsidRPr="0018369C">
        <w:rPr>
          <w:lang w:val="en-CA" w:eastAsia="fr-CA"/>
        </w:rPr>
        <w:t xml:space="preserve"> </w:t>
      </w:r>
      <w:r w:rsidRPr="0018369C">
        <w:rPr>
          <w:lang w:val="en-CA" w:eastAsia="fr-CA"/>
        </w:rPr>
        <w:t xml:space="preserve">The judge conducted an exhaustive review of case law </w:t>
      </w:r>
      <w:r w:rsidR="00A4241D">
        <w:rPr>
          <w:lang w:val="en-CA" w:eastAsia="fr-CA"/>
        </w:rPr>
        <w:t xml:space="preserve">from across Canada </w:t>
      </w:r>
      <w:r w:rsidRPr="0018369C">
        <w:rPr>
          <w:lang w:val="en-CA" w:eastAsia="fr-CA"/>
        </w:rPr>
        <w:t xml:space="preserve">on sentences imposed for luring punishable </w:t>
      </w:r>
      <w:r w:rsidR="004F0794">
        <w:rPr>
          <w:lang w:val="en-CA" w:eastAsia="fr-CA"/>
        </w:rPr>
        <w:t>by</w:t>
      </w:r>
      <w:r w:rsidR="004F0794" w:rsidRPr="0018369C">
        <w:rPr>
          <w:lang w:val="en-CA" w:eastAsia="fr-CA"/>
        </w:rPr>
        <w:t xml:space="preserve"> </w:t>
      </w:r>
      <w:r w:rsidRPr="0018369C">
        <w:rPr>
          <w:lang w:val="en-CA" w:eastAsia="fr-CA"/>
        </w:rPr>
        <w:t xml:space="preserve">indictment or summary conviction before </w:t>
      </w:r>
      <w:r w:rsidRPr="0018369C">
        <w:rPr>
          <w:i/>
          <w:iCs/>
          <w:lang w:val="en-CA" w:eastAsia="fr-CA"/>
        </w:rPr>
        <w:t>Friesen</w:t>
      </w:r>
      <w:r w:rsidRPr="0018369C">
        <w:rPr>
          <w:rStyle w:val="Appelnotedebasdep"/>
          <w:lang w:val="en-CA" w:eastAsia="fr-CA"/>
        </w:rPr>
        <w:footnoteReference w:id="59"/>
      </w:r>
      <w:r w:rsidRPr="0018369C">
        <w:rPr>
          <w:lang w:val="en-CA" w:eastAsia="fr-CA"/>
        </w:rPr>
        <w:t xml:space="preserve"> and after, when the sentences imposed bec</w:t>
      </w:r>
      <w:r w:rsidR="000D7770">
        <w:rPr>
          <w:lang w:val="en-CA" w:eastAsia="fr-CA"/>
        </w:rPr>
        <w:t>a</w:t>
      </w:r>
      <w:r w:rsidRPr="0018369C">
        <w:rPr>
          <w:lang w:val="en-CA" w:eastAsia="fr-CA"/>
        </w:rPr>
        <w:t xml:space="preserve">me </w:t>
      </w:r>
      <w:r w:rsidR="00506C76">
        <w:rPr>
          <w:lang w:val="en-CA" w:eastAsia="fr-CA"/>
        </w:rPr>
        <w:t>harsher</w:t>
      </w:r>
      <w:r w:rsidRPr="0018369C">
        <w:rPr>
          <w:lang w:val="en-CA" w:eastAsia="fr-CA"/>
        </w:rPr>
        <w:t>.</w:t>
      </w:r>
      <w:r w:rsidRPr="0018369C">
        <w:rPr>
          <w:i/>
          <w:lang w:val="en-CA" w:eastAsia="fr-CA"/>
        </w:rPr>
        <w:t xml:space="preserve"> </w:t>
      </w:r>
    </w:p>
    <w:p w14:paraId="4344B53F" w14:textId="680E05F7" w:rsidR="00D3693D" w:rsidRPr="0018369C" w:rsidRDefault="00CC12A5" w:rsidP="00A3163A">
      <w:pPr>
        <w:pStyle w:val="Paragraphe"/>
        <w:spacing w:line="280" w:lineRule="exact"/>
        <w:rPr>
          <w:lang w:val="en-CA" w:eastAsia="fr-CA"/>
        </w:rPr>
      </w:pPr>
      <w:r w:rsidRPr="0018369C">
        <w:rPr>
          <w:lang w:val="en-CA" w:eastAsia="fr-CA"/>
        </w:rPr>
        <w:t>The judge noted that</w:t>
      </w:r>
      <w:r w:rsidR="00961F3D">
        <w:rPr>
          <w:lang w:val="en-CA" w:eastAsia="fr-CA"/>
        </w:rPr>
        <w:t>,</w:t>
      </w:r>
      <w:r w:rsidRPr="0018369C">
        <w:rPr>
          <w:lang w:val="en-CA" w:eastAsia="fr-CA"/>
        </w:rPr>
        <w:t xml:space="preserve"> before </w:t>
      </w:r>
      <w:r w:rsidRPr="0018369C">
        <w:rPr>
          <w:i/>
          <w:lang w:val="en-CA" w:eastAsia="fr-CA"/>
        </w:rPr>
        <w:t>Friesen</w:t>
      </w:r>
      <w:r w:rsidRPr="0018369C">
        <w:rPr>
          <w:lang w:val="en-CA" w:eastAsia="fr-CA"/>
        </w:rPr>
        <w:t xml:space="preserve">, the </w:t>
      </w:r>
      <w:r w:rsidR="00F47C29" w:rsidRPr="0018369C">
        <w:rPr>
          <w:lang w:val="en-CA" w:eastAsia="fr-CA"/>
        </w:rPr>
        <w:t xml:space="preserve">applicable </w:t>
      </w:r>
      <w:r w:rsidRPr="0018369C">
        <w:rPr>
          <w:lang w:val="en-CA" w:eastAsia="fr-CA"/>
        </w:rPr>
        <w:t xml:space="preserve">range was </w:t>
      </w:r>
      <w:r w:rsidR="004F0794">
        <w:rPr>
          <w:lang w:val="en-CA" w:eastAsia="fr-CA"/>
        </w:rPr>
        <w:t xml:space="preserve">between </w:t>
      </w:r>
      <w:r w:rsidR="004C4C1F">
        <w:rPr>
          <w:lang w:val="en-CA" w:eastAsia="fr-CA"/>
        </w:rPr>
        <w:t>6</w:t>
      </w:r>
      <w:r w:rsidR="004C4C1F" w:rsidRPr="0018369C">
        <w:rPr>
          <w:lang w:val="en-CA" w:eastAsia="fr-CA"/>
        </w:rPr>
        <w:t xml:space="preserve"> </w:t>
      </w:r>
      <w:r w:rsidRPr="0018369C">
        <w:rPr>
          <w:lang w:val="en-CA" w:eastAsia="fr-CA"/>
        </w:rPr>
        <w:t xml:space="preserve">months served in the community </w:t>
      </w:r>
      <w:r w:rsidR="004F0794">
        <w:rPr>
          <w:lang w:val="en-CA" w:eastAsia="fr-CA"/>
        </w:rPr>
        <w:t>and</w:t>
      </w:r>
      <w:r w:rsidR="004F0794" w:rsidRPr="0018369C">
        <w:rPr>
          <w:lang w:val="en-CA" w:eastAsia="fr-CA"/>
        </w:rPr>
        <w:t xml:space="preserve"> </w:t>
      </w:r>
      <w:r w:rsidR="004C4C1F">
        <w:rPr>
          <w:lang w:val="en-CA" w:eastAsia="fr-CA"/>
        </w:rPr>
        <w:t>6</w:t>
      </w:r>
      <w:r w:rsidR="004C4C1F" w:rsidRPr="0018369C">
        <w:rPr>
          <w:lang w:val="en-CA" w:eastAsia="fr-CA"/>
        </w:rPr>
        <w:t xml:space="preserve"> </w:t>
      </w:r>
      <w:r w:rsidR="000D7770" w:rsidRPr="0018369C">
        <w:rPr>
          <w:lang w:val="en-CA" w:eastAsia="fr-CA"/>
        </w:rPr>
        <w:t>months</w:t>
      </w:r>
      <w:r w:rsidRPr="0018369C">
        <w:rPr>
          <w:lang w:val="en-CA" w:eastAsia="fr-CA"/>
        </w:rPr>
        <w:t xml:space="preserve"> in </w:t>
      </w:r>
      <w:r w:rsidR="004F0794">
        <w:rPr>
          <w:lang w:val="en-CA" w:eastAsia="fr-CA"/>
        </w:rPr>
        <w:t>prison</w:t>
      </w:r>
      <w:r w:rsidRPr="0018369C">
        <w:rPr>
          <w:lang w:val="en-CA" w:eastAsia="fr-CA"/>
        </w:rPr>
        <w:t>.</w:t>
      </w:r>
      <w:r w:rsidR="000E263F" w:rsidRPr="0018369C">
        <w:rPr>
          <w:lang w:val="en-CA" w:eastAsia="fr-CA"/>
        </w:rPr>
        <w:t xml:space="preserve"> </w:t>
      </w:r>
      <w:r w:rsidRPr="0018369C">
        <w:rPr>
          <w:lang w:val="en-CA" w:eastAsia="fr-CA"/>
        </w:rPr>
        <w:t xml:space="preserve">Although it is more difficult to establish an exact range </w:t>
      </w:r>
      <w:r w:rsidR="00961F3D">
        <w:rPr>
          <w:lang w:val="en-CA" w:eastAsia="fr-CA"/>
        </w:rPr>
        <w:t>after</w:t>
      </w:r>
      <w:r w:rsidRPr="0018369C">
        <w:rPr>
          <w:lang w:val="en-CA" w:eastAsia="fr-CA"/>
        </w:rPr>
        <w:t xml:space="preserve"> </w:t>
      </w:r>
      <w:r w:rsidRPr="0018369C">
        <w:rPr>
          <w:i/>
          <w:lang w:val="en-CA" w:eastAsia="fr-CA"/>
        </w:rPr>
        <w:t>Friesen</w:t>
      </w:r>
      <w:r w:rsidRPr="0018369C">
        <w:rPr>
          <w:lang w:val="en-CA" w:eastAsia="fr-CA"/>
        </w:rPr>
        <w:t xml:space="preserve"> due to the limited number of judgments, the judge</w:t>
      </w:r>
      <w:r w:rsidR="00961F3D">
        <w:rPr>
          <w:lang w:val="en-CA" w:eastAsia="fr-CA"/>
        </w:rPr>
        <w:t xml:space="preserve"> nevertheless</w:t>
      </w:r>
      <w:r w:rsidRPr="0018369C">
        <w:rPr>
          <w:lang w:val="en-CA" w:eastAsia="fr-CA"/>
        </w:rPr>
        <w:t xml:space="preserve"> note</w:t>
      </w:r>
      <w:r w:rsidR="00961F3D">
        <w:rPr>
          <w:lang w:val="en-CA" w:eastAsia="fr-CA"/>
        </w:rPr>
        <w:t>d</w:t>
      </w:r>
      <w:r w:rsidRPr="0018369C">
        <w:rPr>
          <w:lang w:val="en-CA" w:eastAsia="fr-CA"/>
        </w:rPr>
        <w:t xml:space="preserve"> the observation of authors Hugues Parent and Julie Desrosiers that</w:t>
      </w:r>
      <w:r w:rsidR="00961F3D">
        <w:rPr>
          <w:lang w:val="en-CA" w:eastAsia="fr-CA"/>
        </w:rPr>
        <w:t xml:space="preserve"> a sentence between 6 and 12 months appears to be the norm </w:t>
      </w:r>
      <w:r w:rsidRPr="0018369C">
        <w:rPr>
          <w:lang w:val="en-CA" w:eastAsia="fr-CA"/>
        </w:rPr>
        <w:t>for luring of a short duration prosecuted summar</w:t>
      </w:r>
      <w:r w:rsidR="00644683">
        <w:rPr>
          <w:lang w:val="en-CA" w:eastAsia="fr-CA"/>
        </w:rPr>
        <w:t>il</w:t>
      </w:r>
      <w:r w:rsidRPr="0018369C">
        <w:rPr>
          <w:lang w:val="en-CA" w:eastAsia="fr-CA"/>
        </w:rPr>
        <w:t>y.</w:t>
      </w:r>
      <w:r w:rsidR="000E263F" w:rsidRPr="0018369C">
        <w:rPr>
          <w:rStyle w:val="Appelnotedebasdep"/>
          <w:lang w:val="en-CA" w:eastAsia="fr-CA"/>
        </w:rPr>
        <w:footnoteReference w:id="60"/>
      </w:r>
      <w:r w:rsidRPr="0018369C">
        <w:rPr>
          <w:lang w:val="en-CA" w:eastAsia="fr-CA"/>
        </w:rPr>
        <w:t xml:space="preserve"> She added, however, </w:t>
      </w:r>
      <w:r w:rsidR="00961F3D">
        <w:rPr>
          <w:lang w:val="en-CA" w:eastAsia="fr-CA"/>
        </w:rPr>
        <w:t xml:space="preserve">citing </w:t>
      </w:r>
      <w:r w:rsidRPr="0018369C">
        <w:rPr>
          <w:lang w:val="en-CA" w:eastAsia="fr-CA"/>
        </w:rPr>
        <w:t>case law</w:t>
      </w:r>
      <w:r w:rsidR="00961F3D">
        <w:rPr>
          <w:lang w:val="en-CA" w:eastAsia="fr-CA"/>
        </w:rPr>
        <w:t xml:space="preserve"> in support</w:t>
      </w:r>
      <w:r w:rsidRPr="0018369C">
        <w:rPr>
          <w:lang w:val="en-CA" w:eastAsia="fr-CA"/>
        </w:rPr>
        <w:t>, that a sentence of imprisonment to be served in the community can be deterrent and punitive.</w:t>
      </w:r>
      <w:r w:rsidR="000E263F" w:rsidRPr="0018369C">
        <w:rPr>
          <w:rStyle w:val="Appelnotedebasdep"/>
          <w:lang w:val="en-CA" w:eastAsia="fr-CA"/>
        </w:rPr>
        <w:footnoteReference w:id="61"/>
      </w:r>
      <w:r w:rsidRPr="0018369C">
        <w:rPr>
          <w:lang w:val="en-CA" w:eastAsia="fr-CA"/>
        </w:rPr>
        <w:t xml:space="preserve"> </w:t>
      </w:r>
    </w:p>
    <w:p w14:paraId="3DEA1312" w14:textId="37404CA3" w:rsidR="008C24BC" w:rsidRPr="0018369C" w:rsidRDefault="00CC12A5" w:rsidP="00A3163A">
      <w:pPr>
        <w:pStyle w:val="Paragraphe"/>
        <w:spacing w:line="280" w:lineRule="exact"/>
        <w:rPr>
          <w:lang w:val="en-CA" w:eastAsia="fr-CA"/>
        </w:rPr>
      </w:pPr>
      <w:r w:rsidRPr="0018369C">
        <w:rPr>
          <w:lang w:val="en-CA" w:eastAsia="fr-CA"/>
        </w:rPr>
        <w:lastRenderedPageBreak/>
        <w:t>The judge’s analysis led her to declare that the non-custodial sentence (probation and community work) imposed in this case by the Court of Qu</w:t>
      </w:r>
      <w:r w:rsidR="00076A66">
        <w:rPr>
          <w:lang w:val="en-CA" w:eastAsia="fr-CA"/>
        </w:rPr>
        <w:t>é</w:t>
      </w:r>
      <w:r w:rsidRPr="0018369C">
        <w:rPr>
          <w:lang w:val="en-CA" w:eastAsia="fr-CA"/>
        </w:rPr>
        <w:t xml:space="preserve">bec </w:t>
      </w:r>
      <w:r w:rsidR="00076A66">
        <w:rPr>
          <w:lang w:val="en-CA" w:eastAsia="fr-CA"/>
        </w:rPr>
        <w:t>was</w:t>
      </w:r>
      <w:r w:rsidRPr="0018369C">
        <w:rPr>
          <w:lang w:val="en-CA" w:eastAsia="fr-CA"/>
        </w:rPr>
        <w:t xml:space="preserve"> demonstrably unfit.</w:t>
      </w:r>
      <w:r w:rsidR="000E263F" w:rsidRPr="0018369C">
        <w:rPr>
          <w:lang w:val="en-CA" w:eastAsia="fr-CA"/>
        </w:rPr>
        <w:t xml:space="preserve"> </w:t>
      </w:r>
      <w:r w:rsidRPr="0018369C">
        <w:rPr>
          <w:lang w:val="en-CA" w:eastAsia="fr-CA"/>
        </w:rPr>
        <w:t xml:space="preserve">This conclusion must be read with paragraphs 162 </w:t>
      </w:r>
      <w:r w:rsidRPr="0018369C">
        <w:rPr>
          <w:i/>
          <w:iCs/>
          <w:lang w:val="en-CA" w:eastAsia="fr-CA"/>
        </w:rPr>
        <w:t>et. seq</w:t>
      </w:r>
      <w:r w:rsidRPr="0018369C">
        <w:rPr>
          <w:lang w:val="en-CA" w:eastAsia="fr-CA"/>
        </w:rPr>
        <w:t xml:space="preserve">. of her judgment in </w:t>
      </w:r>
      <w:r w:rsidR="000F56F9" w:rsidRPr="0018369C">
        <w:rPr>
          <w:lang w:val="en-CA" w:eastAsia="fr-CA"/>
        </w:rPr>
        <w:t>which</w:t>
      </w:r>
      <w:r w:rsidRPr="0018369C">
        <w:rPr>
          <w:lang w:val="en-CA" w:eastAsia="fr-CA"/>
        </w:rPr>
        <w:t xml:space="preserve"> she calculated the fit </w:t>
      </w:r>
      <w:r w:rsidR="000F56F9" w:rsidRPr="0018369C">
        <w:rPr>
          <w:lang w:val="en-CA" w:eastAsia="fr-CA"/>
        </w:rPr>
        <w:t>sentence</w:t>
      </w:r>
      <w:r w:rsidRPr="0018369C">
        <w:rPr>
          <w:lang w:val="en-CA" w:eastAsia="fr-CA"/>
        </w:rPr>
        <w:t>.</w:t>
      </w:r>
      <w:r w:rsidR="000E263F" w:rsidRPr="0018369C">
        <w:rPr>
          <w:lang w:val="en-CA" w:eastAsia="fr-CA"/>
        </w:rPr>
        <w:t xml:space="preserve"> </w:t>
      </w:r>
      <w:r w:rsidRPr="0018369C">
        <w:rPr>
          <w:lang w:val="en-CA" w:eastAsia="fr-CA"/>
        </w:rPr>
        <w:t xml:space="preserve">In that part of the judgment, she noted other elements essential to her analysis, for example, the </w:t>
      </w:r>
      <w:r w:rsidR="00644683">
        <w:rPr>
          <w:lang w:val="en-CA" w:eastAsia="fr-CA"/>
        </w:rPr>
        <w:t xml:space="preserve">respondent’s </w:t>
      </w:r>
      <w:r w:rsidR="000F56F9" w:rsidRPr="0018369C">
        <w:rPr>
          <w:lang w:val="en-CA" w:eastAsia="fr-CA"/>
        </w:rPr>
        <w:t>rehabilitation</w:t>
      </w:r>
      <w:r w:rsidR="00644683">
        <w:rPr>
          <w:lang w:val="en-CA" w:eastAsia="fr-CA"/>
        </w:rPr>
        <w:t xml:space="preserve"> </w:t>
      </w:r>
      <w:r w:rsidRPr="0018369C">
        <w:rPr>
          <w:lang w:val="en-CA" w:eastAsia="fr-CA"/>
        </w:rPr>
        <w:t>and the individualization of the sentence.</w:t>
      </w:r>
    </w:p>
    <w:p w14:paraId="57EA6391" w14:textId="5D38508D" w:rsidR="00A5498D" w:rsidRPr="0018369C" w:rsidRDefault="00FC0492" w:rsidP="00A3163A">
      <w:pPr>
        <w:pStyle w:val="Paragraphe"/>
        <w:spacing w:line="280" w:lineRule="exact"/>
        <w:rPr>
          <w:lang w:val="en-CA" w:eastAsia="fr-CA"/>
        </w:rPr>
      </w:pPr>
      <w:r w:rsidRPr="0018369C">
        <w:rPr>
          <w:lang w:val="en-CA" w:eastAsia="fr-CA"/>
        </w:rPr>
        <w:t xml:space="preserve">The appellants’ </w:t>
      </w:r>
      <w:r w:rsidR="00644683">
        <w:rPr>
          <w:lang w:val="en-CA" w:eastAsia="fr-CA"/>
        </w:rPr>
        <w:t>argument</w:t>
      </w:r>
      <w:r w:rsidR="00644683" w:rsidRPr="0018369C">
        <w:rPr>
          <w:lang w:val="en-CA" w:eastAsia="fr-CA"/>
        </w:rPr>
        <w:t xml:space="preserve"> </w:t>
      </w:r>
      <w:r w:rsidRPr="0018369C">
        <w:rPr>
          <w:lang w:val="en-CA" w:eastAsia="fr-CA"/>
        </w:rPr>
        <w:t xml:space="preserve">that the judge’s reasons </w:t>
      </w:r>
      <w:r w:rsidR="00644683">
        <w:rPr>
          <w:lang w:val="en-CA" w:eastAsia="fr-CA"/>
        </w:rPr>
        <w:t>a</w:t>
      </w:r>
      <w:r w:rsidR="00644683" w:rsidRPr="0018369C">
        <w:rPr>
          <w:lang w:val="en-CA" w:eastAsia="fr-CA"/>
        </w:rPr>
        <w:t xml:space="preserve">re </w:t>
      </w:r>
      <w:r w:rsidRPr="0018369C">
        <w:rPr>
          <w:lang w:val="en-CA" w:eastAsia="fr-CA"/>
        </w:rPr>
        <w:t xml:space="preserve">insufficient or inadequate to justify </w:t>
      </w:r>
      <w:r w:rsidR="0005231D">
        <w:rPr>
          <w:lang w:val="en-CA" w:eastAsia="fr-CA"/>
        </w:rPr>
        <w:t>imposing</w:t>
      </w:r>
      <w:r w:rsidRPr="0018369C">
        <w:rPr>
          <w:lang w:val="en-CA" w:eastAsia="fr-CA"/>
        </w:rPr>
        <w:t xml:space="preserve"> a sentence outside the range is incorrect.</w:t>
      </w:r>
      <w:r w:rsidR="000E263F" w:rsidRPr="0018369C">
        <w:rPr>
          <w:lang w:val="en-CA" w:eastAsia="fr-CA"/>
        </w:rPr>
        <w:t xml:space="preserve"> </w:t>
      </w:r>
      <w:r w:rsidRPr="0018369C">
        <w:rPr>
          <w:lang w:val="en-CA" w:eastAsia="fr-CA"/>
        </w:rPr>
        <w:t>First, this was not expressly raised as a ground of appeal.</w:t>
      </w:r>
      <w:r w:rsidR="000E263F" w:rsidRPr="0018369C">
        <w:rPr>
          <w:lang w:val="en-CA" w:eastAsia="fr-CA"/>
        </w:rPr>
        <w:t xml:space="preserve"> </w:t>
      </w:r>
      <w:r w:rsidRPr="0018369C">
        <w:rPr>
          <w:lang w:val="en-CA" w:eastAsia="fr-CA"/>
        </w:rPr>
        <w:t xml:space="preserve">But even more important, the appellants disregard the fact that the judge </w:t>
      </w:r>
      <w:r w:rsidR="005715C4">
        <w:rPr>
          <w:lang w:val="en-CA" w:eastAsia="fr-CA"/>
        </w:rPr>
        <w:t xml:space="preserve">was correct in finding </w:t>
      </w:r>
      <w:r w:rsidRPr="0018369C">
        <w:rPr>
          <w:lang w:val="en-CA" w:eastAsia="fr-CA"/>
        </w:rPr>
        <w:t xml:space="preserve">that such a range had </w:t>
      </w:r>
      <w:r w:rsidR="00D70DB0">
        <w:rPr>
          <w:lang w:val="en-CA" w:eastAsia="fr-CA"/>
        </w:rPr>
        <w:t xml:space="preserve">not </w:t>
      </w:r>
      <w:r w:rsidRPr="0018369C">
        <w:rPr>
          <w:lang w:val="en-CA" w:eastAsia="fr-CA"/>
        </w:rPr>
        <w:t xml:space="preserve">been clearly established. Above all, the appellants ignore dozens of paragraphs of the judge’s </w:t>
      </w:r>
      <w:r w:rsidR="004A070D">
        <w:rPr>
          <w:lang w:val="en-CA" w:eastAsia="fr-CA"/>
        </w:rPr>
        <w:t>meticulous</w:t>
      </w:r>
      <w:r w:rsidRPr="0018369C">
        <w:rPr>
          <w:lang w:val="en-CA" w:eastAsia="fr-CA"/>
        </w:rPr>
        <w:t xml:space="preserve"> analysis leading to her conclusion summarized in paragraphs 182 and 183.</w:t>
      </w:r>
      <w:r w:rsidR="000E263F" w:rsidRPr="0018369C">
        <w:rPr>
          <w:lang w:val="en-CA" w:eastAsia="fr-CA"/>
        </w:rPr>
        <w:t xml:space="preserve"> </w:t>
      </w:r>
      <w:r w:rsidRPr="0018369C">
        <w:rPr>
          <w:lang w:val="en-CA" w:eastAsia="fr-CA"/>
        </w:rPr>
        <w:t>An appellate court must consider the reasons of the judgment under appeal</w:t>
      </w:r>
      <w:r w:rsidR="00FD070C" w:rsidRPr="00FD070C">
        <w:rPr>
          <w:lang w:val="en-CA" w:eastAsia="fr-CA"/>
        </w:rPr>
        <w:t xml:space="preserve"> </w:t>
      </w:r>
      <w:r w:rsidR="00FD070C" w:rsidRPr="0018369C">
        <w:rPr>
          <w:lang w:val="en-CA" w:eastAsia="fr-CA"/>
        </w:rPr>
        <w:t>globally</w:t>
      </w:r>
      <w:r w:rsidRPr="0018369C">
        <w:rPr>
          <w:lang w:val="en-CA" w:eastAsia="fr-CA"/>
        </w:rPr>
        <w:t>.</w:t>
      </w:r>
      <w:r w:rsidR="000E263F" w:rsidRPr="0018369C">
        <w:rPr>
          <w:rStyle w:val="Appelnotedebasdep"/>
          <w:lang w:val="en-CA" w:eastAsia="fr-CA"/>
        </w:rPr>
        <w:footnoteReference w:id="62"/>
      </w:r>
      <w:r w:rsidR="000E263F" w:rsidRPr="0018369C">
        <w:rPr>
          <w:lang w:val="en-CA" w:eastAsia="fr-CA"/>
        </w:rPr>
        <w:t xml:space="preserve"> </w:t>
      </w:r>
      <w:r w:rsidRPr="0018369C">
        <w:rPr>
          <w:lang w:val="en-CA" w:eastAsia="fr-CA"/>
        </w:rPr>
        <w:t xml:space="preserve">The </w:t>
      </w:r>
      <w:r w:rsidR="00FD070C">
        <w:rPr>
          <w:lang w:val="en-CA" w:eastAsia="fr-CA"/>
        </w:rPr>
        <w:t>reasons</w:t>
      </w:r>
      <w:r w:rsidRPr="0018369C">
        <w:rPr>
          <w:lang w:val="en-CA" w:eastAsia="fr-CA"/>
        </w:rPr>
        <w:t xml:space="preserve"> of the judgment under appeal are sufficient and </w:t>
      </w:r>
      <w:r w:rsidR="00D00364">
        <w:rPr>
          <w:lang w:val="en-CA" w:eastAsia="fr-CA"/>
        </w:rPr>
        <w:t xml:space="preserve">command </w:t>
      </w:r>
      <w:r w:rsidRPr="0018369C">
        <w:rPr>
          <w:lang w:val="en-CA" w:eastAsia="fr-CA"/>
        </w:rPr>
        <w:t>deference.</w:t>
      </w:r>
    </w:p>
    <w:p w14:paraId="55FA9D32" w14:textId="6D94FAD6" w:rsidR="00A5498D" w:rsidRPr="0018369C" w:rsidRDefault="00D00364" w:rsidP="00A3163A">
      <w:pPr>
        <w:pStyle w:val="Paragraphe"/>
        <w:spacing w:line="280" w:lineRule="exact"/>
        <w:rPr>
          <w:lang w:val="en-CA" w:eastAsia="fr-CA"/>
        </w:rPr>
      </w:pPr>
      <w:r>
        <w:rPr>
          <w:lang w:val="en-CA" w:eastAsia="fr-CA"/>
        </w:rPr>
        <w:t>Above all</w:t>
      </w:r>
      <w:r w:rsidR="00FD070C">
        <w:rPr>
          <w:lang w:val="en-CA" w:eastAsia="fr-CA"/>
        </w:rPr>
        <w:t>,</w:t>
      </w:r>
      <w:r w:rsidR="00FC0492" w:rsidRPr="0018369C">
        <w:rPr>
          <w:lang w:val="en-CA" w:eastAsia="fr-CA"/>
        </w:rPr>
        <w:t xml:space="preserve"> and to reiterate, the appellants erroneously </w:t>
      </w:r>
      <w:r w:rsidR="00D70DB0">
        <w:rPr>
          <w:lang w:val="en-CA" w:eastAsia="fr-CA"/>
        </w:rPr>
        <w:t>argue</w:t>
      </w:r>
      <w:r w:rsidR="00D70DB0" w:rsidRPr="0018369C">
        <w:rPr>
          <w:lang w:val="en-CA" w:eastAsia="fr-CA"/>
        </w:rPr>
        <w:t xml:space="preserve"> </w:t>
      </w:r>
      <w:r w:rsidR="00FC0492" w:rsidRPr="0018369C">
        <w:rPr>
          <w:lang w:val="en-CA" w:eastAsia="fr-CA"/>
        </w:rPr>
        <w:t>that there is a range of 12 to 24 months that, at least in summary conviction matters, finds little support in the reported cases.</w:t>
      </w:r>
      <w:r w:rsidR="000E263F" w:rsidRPr="0018369C">
        <w:rPr>
          <w:lang w:val="en-CA" w:eastAsia="fr-CA"/>
        </w:rPr>
        <w:t xml:space="preserve"> </w:t>
      </w:r>
      <w:r w:rsidR="00FC0492" w:rsidRPr="0018369C">
        <w:rPr>
          <w:lang w:val="en-CA" w:eastAsia="fr-CA"/>
        </w:rPr>
        <w:t xml:space="preserve">For example, in </w:t>
      </w:r>
      <w:r w:rsidR="00FC0492" w:rsidRPr="0018369C">
        <w:rPr>
          <w:i/>
          <w:lang w:val="en-CA" w:eastAsia="fr-CA"/>
        </w:rPr>
        <w:t>Rayo</w:t>
      </w:r>
      <w:r w:rsidR="00FC0492" w:rsidRPr="0018369C">
        <w:rPr>
          <w:lang w:val="en-CA" w:eastAsia="fr-CA"/>
        </w:rPr>
        <w:t>,</w:t>
      </w:r>
      <w:r w:rsidR="00FC0492" w:rsidRPr="0018369C">
        <w:rPr>
          <w:rStyle w:val="Appelnotedebasdep"/>
          <w:lang w:val="en-CA" w:eastAsia="fr-CA"/>
        </w:rPr>
        <w:footnoteReference w:id="63"/>
      </w:r>
      <w:r w:rsidR="00FC0492" w:rsidRPr="0018369C">
        <w:rPr>
          <w:lang w:val="en-CA" w:eastAsia="fr-CA"/>
        </w:rPr>
        <w:t xml:space="preserve"> cited by the appellants, the </w:t>
      </w:r>
      <w:r w:rsidR="004C4C1F">
        <w:rPr>
          <w:lang w:val="en-CA" w:eastAsia="fr-CA"/>
        </w:rPr>
        <w:t>12</w:t>
      </w:r>
      <w:r w:rsidR="004C4C1F" w:rsidRPr="0018369C">
        <w:rPr>
          <w:lang w:val="en-CA" w:eastAsia="fr-CA"/>
        </w:rPr>
        <w:t xml:space="preserve"> </w:t>
      </w:r>
      <w:r w:rsidR="00FC0492" w:rsidRPr="0018369C">
        <w:rPr>
          <w:lang w:val="en-CA" w:eastAsia="fr-CA"/>
        </w:rPr>
        <w:t xml:space="preserve">months imposed in a prosecution by way of indictment </w:t>
      </w:r>
      <w:r w:rsidR="00D70DB0" w:rsidRPr="0018369C">
        <w:rPr>
          <w:lang w:val="en-CA" w:eastAsia="fr-CA"/>
        </w:rPr>
        <w:t>w</w:t>
      </w:r>
      <w:r w:rsidR="00D70DB0">
        <w:rPr>
          <w:lang w:val="en-CA" w:eastAsia="fr-CA"/>
        </w:rPr>
        <w:t>ere</w:t>
      </w:r>
      <w:r w:rsidR="00D70DB0" w:rsidRPr="0018369C">
        <w:rPr>
          <w:lang w:val="en-CA" w:eastAsia="fr-CA"/>
        </w:rPr>
        <w:t xml:space="preserve"> </w:t>
      </w:r>
      <w:r w:rsidR="00FC0492" w:rsidRPr="0018369C">
        <w:rPr>
          <w:lang w:val="en-CA" w:eastAsia="fr-CA"/>
        </w:rPr>
        <w:t>due to much more serious circumstances than those in this case.</w:t>
      </w:r>
      <w:r w:rsidR="00FC0492" w:rsidRPr="0018369C">
        <w:rPr>
          <w:i/>
          <w:lang w:val="en-CA" w:eastAsia="fr-CA"/>
        </w:rPr>
        <w:t xml:space="preserve"> </w:t>
      </w:r>
      <w:r w:rsidR="00FC0492" w:rsidRPr="0018369C">
        <w:rPr>
          <w:lang w:val="en-CA" w:eastAsia="fr-CA"/>
        </w:rPr>
        <w:t>The Court refer</w:t>
      </w:r>
      <w:r w:rsidR="00D70DB0">
        <w:rPr>
          <w:lang w:val="en-CA" w:eastAsia="fr-CA"/>
        </w:rPr>
        <w:t>red</w:t>
      </w:r>
      <w:r w:rsidR="00FC0492" w:rsidRPr="0018369C">
        <w:rPr>
          <w:lang w:val="en-CA" w:eastAsia="fr-CA"/>
        </w:rPr>
        <w:t xml:space="preserve"> to the accused at the very beginning of the judgment as a [</w:t>
      </w:r>
      <w:r w:rsidR="00FC0492" w:rsidRPr="0018369C">
        <w:rPr>
          <w:smallCaps/>
          <w:lang w:val="en-CA" w:eastAsia="fr-CA"/>
        </w:rPr>
        <w:t>translation</w:t>
      </w:r>
      <w:r w:rsidR="00FC0492" w:rsidRPr="0018369C">
        <w:rPr>
          <w:lang w:val="en-CA" w:eastAsia="fr-CA"/>
        </w:rPr>
        <w:t>] “sexual predator”</w:t>
      </w:r>
      <w:r>
        <w:rPr>
          <w:lang w:val="en-CA" w:eastAsia="fr-CA"/>
        </w:rPr>
        <w:t xml:space="preserve"> who was</w:t>
      </w:r>
      <w:r w:rsidR="00FC0492" w:rsidRPr="0018369C">
        <w:rPr>
          <w:lang w:val="en-CA" w:eastAsia="fr-CA"/>
        </w:rPr>
        <w:t xml:space="preserve"> charged by way of indictment with a series of sexual offences, including luring, against two children.</w:t>
      </w:r>
      <w:r w:rsidR="000E263F" w:rsidRPr="0018369C">
        <w:rPr>
          <w:lang w:val="en-CA" w:eastAsia="fr-CA"/>
        </w:rPr>
        <w:t xml:space="preserve"> </w:t>
      </w:r>
      <w:r w:rsidR="00FC0492" w:rsidRPr="0018369C">
        <w:rPr>
          <w:lang w:val="en-CA" w:eastAsia="fr-CA"/>
        </w:rPr>
        <w:t xml:space="preserve">The </w:t>
      </w:r>
      <w:r w:rsidR="004C4C1F">
        <w:rPr>
          <w:lang w:val="en-CA" w:eastAsia="fr-CA"/>
        </w:rPr>
        <w:t>12</w:t>
      </w:r>
      <w:r w:rsidR="004C4C1F" w:rsidRPr="0018369C">
        <w:rPr>
          <w:lang w:val="en-CA" w:eastAsia="fr-CA"/>
        </w:rPr>
        <w:t xml:space="preserve"> </w:t>
      </w:r>
      <w:r w:rsidR="00FC0492" w:rsidRPr="0018369C">
        <w:rPr>
          <w:lang w:val="en-CA" w:eastAsia="fr-CA"/>
        </w:rPr>
        <w:t xml:space="preserve">months imposed for luring </w:t>
      </w:r>
      <w:r w:rsidR="00FD070C">
        <w:rPr>
          <w:lang w:val="en-CA" w:eastAsia="fr-CA"/>
        </w:rPr>
        <w:t>was</w:t>
      </w:r>
      <w:r w:rsidR="00FC0492" w:rsidRPr="0018369C">
        <w:rPr>
          <w:lang w:val="en-CA" w:eastAsia="fr-CA"/>
        </w:rPr>
        <w:t xml:space="preserve"> the mandatory minimum sentence.</w:t>
      </w:r>
      <w:r w:rsidR="000E263F" w:rsidRPr="0018369C">
        <w:rPr>
          <w:lang w:val="en-CA" w:eastAsia="fr-CA"/>
        </w:rPr>
        <w:t xml:space="preserve"> </w:t>
      </w:r>
      <w:r w:rsidR="00FC0492" w:rsidRPr="0018369C">
        <w:rPr>
          <w:lang w:val="en-CA" w:eastAsia="fr-CA"/>
        </w:rPr>
        <w:t>Constitutional validity was not raised.</w:t>
      </w:r>
      <w:r w:rsidR="000E263F" w:rsidRPr="0018369C">
        <w:rPr>
          <w:lang w:val="en-CA" w:eastAsia="fr-CA"/>
        </w:rPr>
        <w:t xml:space="preserve"> </w:t>
      </w:r>
      <w:r w:rsidR="00FC0492" w:rsidRPr="0018369C">
        <w:rPr>
          <w:lang w:val="en-CA" w:eastAsia="fr-CA"/>
        </w:rPr>
        <w:t xml:space="preserve">A careful reading of </w:t>
      </w:r>
      <w:r w:rsidR="00FC0492" w:rsidRPr="0018369C">
        <w:rPr>
          <w:i/>
          <w:lang w:val="en-CA" w:eastAsia="fr-CA"/>
        </w:rPr>
        <w:t xml:space="preserve">Rayo </w:t>
      </w:r>
      <w:r w:rsidR="00FC0492" w:rsidRPr="0018369C">
        <w:rPr>
          <w:lang w:val="en-CA" w:eastAsia="fr-CA"/>
        </w:rPr>
        <w:t xml:space="preserve">convinces </w:t>
      </w:r>
      <w:r w:rsidR="00404E89">
        <w:rPr>
          <w:lang w:val="en-CA" w:eastAsia="fr-CA"/>
        </w:rPr>
        <w:t>the Court</w:t>
      </w:r>
      <w:r w:rsidR="00FC0492" w:rsidRPr="0018369C">
        <w:rPr>
          <w:lang w:val="en-CA" w:eastAsia="fr-CA"/>
        </w:rPr>
        <w:t xml:space="preserve"> that the </w:t>
      </w:r>
      <w:r w:rsidR="004C4C1F">
        <w:rPr>
          <w:lang w:val="en-CA" w:eastAsia="fr-CA"/>
        </w:rPr>
        <w:t>4</w:t>
      </w:r>
      <w:r w:rsidR="004C4C1F" w:rsidRPr="0018369C">
        <w:rPr>
          <w:lang w:val="en-CA" w:eastAsia="fr-CA"/>
        </w:rPr>
        <w:t xml:space="preserve"> </w:t>
      </w:r>
      <w:r w:rsidR="00FC0492" w:rsidRPr="0018369C">
        <w:rPr>
          <w:lang w:val="en-CA" w:eastAsia="fr-CA"/>
        </w:rPr>
        <w:t xml:space="preserve">months imposed on the respondent respect the principle of parity in sentencing, as required by section 718.2(b) </w:t>
      </w:r>
      <w:r w:rsidR="00FC0492" w:rsidRPr="002A64AE">
        <w:rPr>
          <w:i/>
          <w:iCs/>
          <w:spacing w:val="-20"/>
          <w:lang w:val="en-CA" w:eastAsia="fr-CA"/>
        </w:rPr>
        <w:t>Cr. C</w:t>
      </w:r>
      <w:r w:rsidR="00FC0492" w:rsidRPr="002A64AE">
        <w:rPr>
          <w:spacing w:val="-20"/>
          <w:lang w:val="en-CA" w:eastAsia="fr-CA"/>
        </w:rPr>
        <w:t>.</w:t>
      </w:r>
    </w:p>
    <w:p w14:paraId="0A6D7A1C" w14:textId="55BBF634" w:rsidR="00961A51" w:rsidRPr="0018369C" w:rsidRDefault="00FC0492" w:rsidP="00A3163A">
      <w:pPr>
        <w:pStyle w:val="Paragraphe"/>
        <w:spacing w:line="280" w:lineRule="exact"/>
        <w:rPr>
          <w:lang w:val="en-CA" w:eastAsia="fr-CA"/>
        </w:rPr>
      </w:pPr>
      <w:r w:rsidRPr="0018369C">
        <w:rPr>
          <w:lang w:val="en-CA" w:eastAsia="fr-CA"/>
        </w:rPr>
        <w:t xml:space="preserve">In particular, and </w:t>
      </w:r>
      <w:r w:rsidR="00D00364">
        <w:rPr>
          <w:lang w:val="en-CA" w:eastAsia="fr-CA"/>
        </w:rPr>
        <w:t xml:space="preserve">bearing </w:t>
      </w:r>
      <w:r w:rsidRPr="0018369C">
        <w:rPr>
          <w:lang w:val="en-CA" w:eastAsia="fr-CA"/>
        </w:rPr>
        <w:t xml:space="preserve">in mind the appellants’ argument that the Superior Court judge </w:t>
      </w:r>
      <w:r w:rsidR="008B5763" w:rsidRPr="0018369C">
        <w:rPr>
          <w:lang w:val="en-CA" w:eastAsia="fr-CA"/>
        </w:rPr>
        <w:t>erroneously</w:t>
      </w:r>
      <w:r w:rsidRPr="0018369C">
        <w:rPr>
          <w:lang w:val="en-CA" w:eastAsia="fr-CA"/>
        </w:rPr>
        <w:t xml:space="preserve"> </w:t>
      </w:r>
      <w:r w:rsidR="00FD070C">
        <w:rPr>
          <w:lang w:val="en-CA" w:eastAsia="fr-CA"/>
        </w:rPr>
        <w:t>departed</w:t>
      </w:r>
      <w:r w:rsidRPr="0018369C">
        <w:rPr>
          <w:lang w:val="en-CA" w:eastAsia="fr-CA"/>
        </w:rPr>
        <w:t xml:space="preserve"> from a range of 12 to 24 months, </w:t>
      </w:r>
      <w:r w:rsidR="00E87255">
        <w:rPr>
          <w:lang w:val="en-CA" w:eastAsia="fr-CA"/>
        </w:rPr>
        <w:t xml:space="preserve">it is relevant to recall </w:t>
      </w:r>
      <w:r w:rsidR="00404E89">
        <w:rPr>
          <w:lang w:val="en-CA" w:eastAsia="fr-CA"/>
        </w:rPr>
        <w:t>these remarks</w:t>
      </w:r>
      <w:r w:rsidRPr="0018369C">
        <w:rPr>
          <w:lang w:val="en-CA" w:eastAsia="fr-CA"/>
        </w:rPr>
        <w:t xml:space="preserve"> made in </w:t>
      </w:r>
      <w:r w:rsidRPr="0018369C">
        <w:rPr>
          <w:i/>
          <w:lang w:val="en-CA" w:eastAsia="fr-CA"/>
        </w:rPr>
        <w:t>Friesen </w:t>
      </w:r>
      <w:r w:rsidRPr="0018369C">
        <w:rPr>
          <w:lang w:val="en-CA" w:eastAsia="fr-CA"/>
        </w:rPr>
        <w:t>on the subject of ranges and the standard of review:</w:t>
      </w:r>
    </w:p>
    <w:p w14:paraId="24F229B7" w14:textId="7782090A" w:rsidR="00961A51" w:rsidRPr="0018369C" w:rsidRDefault="006C2B89" w:rsidP="00A3163A">
      <w:pPr>
        <w:pStyle w:val="Citationenretrait"/>
        <w:rPr>
          <w:lang w:val="en-CA"/>
        </w:rPr>
      </w:pPr>
      <w:r w:rsidRPr="0018369C">
        <w:rPr>
          <w:lang w:val="en-CA"/>
        </w:rPr>
        <w:t>[37]</w:t>
      </w:r>
      <w:r w:rsidR="000B6D7A" w:rsidRPr="0018369C">
        <w:rPr>
          <w:lang w:val="en-CA"/>
        </w:rPr>
        <w:t xml:space="preserve">       </w:t>
      </w:r>
      <w:r w:rsidRPr="0018369C">
        <w:rPr>
          <w:lang w:val="en-CA"/>
        </w:rPr>
        <w:t>This Court has repeatedly held that sentencing ranges and starting points are guidelines, not hard and fast rules (</w:t>
      </w:r>
      <w:r w:rsidRPr="0018369C">
        <w:rPr>
          <w:i/>
          <w:iCs/>
          <w:lang w:val="en-CA"/>
        </w:rPr>
        <w:t>R. v. McDonnell</w:t>
      </w:r>
      <w:r w:rsidRPr="0018369C">
        <w:rPr>
          <w:lang w:val="en-CA"/>
        </w:rPr>
        <w:t xml:space="preserve">, 1997 CanLII 389 (SCC), [1997] 1 S.C.R. 948, at para. 33; </w:t>
      </w:r>
      <w:r w:rsidRPr="0018369C">
        <w:rPr>
          <w:i/>
          <w:iCs/>
          <w:lang w:val="en-CA"/>
        </w:rPr>
        <w:t>R. v. Wells</w:t>
      </w:r>
      <w:r w:rsidRPr="0018369C">
        <w:rPr>
          <w:lang w:val="en-CA"/>
        </w:rPr>
        <w:t xml:space="preserve">, 2000 SCC 10, [2000] 1 S.C.R. 207, at para. 45; </w:t>
      </w:r>
      <w:r w:rsidRPr="0018369C">
        <w:rPr>
          <w:i/>
          <w:iCs/>
          <w:lang w:val="en-CA"/>
        </w:rPr>
        <w:t xml:space="preserve">R. v. </w:t>
      </w:r>
      <w:proofErr w:type="spellStart"/>
      <w:r w:rsidRPr="0018369C">
        <w:rPr>
          <w:i/>
          <w:iCs/>
          <w:lang w:val="en-CA"/>
        </w:rPr>
        <w:t>Nasogaluak</w:t>
      </w:r>
      <w:proofErr w:type="spellEnd"/>
      <w:r w:rsidRPr="0018369C">
        <w:rPr>
          <w:lang w:val="en-CA"/>
        </w:rPr>
        <w:t xml:space="preserve">, 2010 SCC 6, [2010] 1 S.C.R. 206, at para. 44; </w:t>
      </w:r>
      <w:r w:rsidRPr="0018369C">
        <w:rPr>
          <w:i/>
          <w:iCs/>
          <w:lang w:val="en-CA"/>
        </w:rPr>
        <w:t>Lacasse</w:t>
      </w:r>
      <w:r w:rsidRPr="0018369C">
        <w:rPr>
          <w:lang w:val="en-CA"/>
        </w:rPr>
        <w:t>, at para. 60). Appellate courts cannot treat the departure from or failure to refer to a range of sentence or starting point as an error in principle. Nor can they intervene simply because the sentence is different from the sentence that would have been reached had the range of sentence or starting point been applied (</w:t>
      </w:r>
      <w:r w:rsidRPr="0018369C">
        <w:rPr>
          <w:i/>
          <w:iCs/>
          <w:lang w:val="en-CA"/>
        </w:rPr>
        <w:t>McDonnell</w:t>
      </w:r>
      <w:r w:rsidRPr="0018369C">
        <w:rPr>
          <w:lang w:val="en-CA"/>
        </w:rPr>
        <w:t xml:space="preserve">, at para. 42). Ranges of sentence and starting points cannot be binding in either theory or practice, and appellate courts cannot interpret or apply the </w:t>
      </w:r>
      <w:r w:rsidRPr="0018369C">
        <w:rPr>
          <w:lang w:val="en-CA"/>
        </w:rPr>
        <w:lastRenderedPageBreak/>
        <w:t xml:space="preserve">standard of review to enforce them, contrary to </w:t>
      </w:r>
      <w:r w:rsidRPr="0018369C">
        <w:rPr>
          <w:i/>
          <w:iCs/>
          <w:lang w:val="en-CA"/>
        </w:rPr>
        <w:t>R. v. Arcand</w:t>
      </w:r>
      <w:r w:rsidRPr="0018369C">
        <w:rPr>
          <w:lang w:val="en-CA"/>
        </w:rPr>
        <w:t xml:space="preserve">, 2010 ABCA 363, 40 Alta. L.R. (5th) 199, at paras. 116-18 and 273. As this Court held in </w:t>
      </w:r>
      <w:r w:rsidRPr="0018369C">
        <w:rPr>
          <w:i/>
          <w:iCs/>
          <w:lang w:val="en-CA"/>
        </w:rPr>
        <w:t>Lacasse</w:t>
      </w:r>
      <w:r w:rsidRPr="0018369C">
        <w:rPr>
          <w:lang w:val="en-CA"/>
        </w:rPr>
        <w:t xml:space="preserve">, to do so would be to usurp the role of Parliament in creating categories of offences (paras. 60-61; see also </w:t>
      </w:r>
      <w:r w:rsidRPr="0018369C">
        <w:rPr>
          <w:i/>
          <w:iCs/>
          <w:lang w:val="en-CA"/>
        </w:rPr>
        <w:t>McDonnell</w:t>
      </w:r>
      <w:r w:rsidRPr="0018369C">
        <w:rPr>
          <w:lang w:val="en-CA"/>
        </w:rPr>
        <w:t xml:space="preserve">, at paras. 33-34). </w:t>
      </w:r>
    </w:p>
    <w:p w14:paraId="79370507" w14:textId="333AAC80" w:rsidR="003D52C1" w:rsidRPr="0018369C" w:rsidRDefault="000B6D7A" w:rsidP="00A3163A">
      <w:pPr>
        <w:pStyle w:val="Paragraphe"/>
        <w:spacing w:line="280" w:lineRule="exact"/>
        <w:rPr>
          <w:lang w:val="en-CA" w:eastAsia="fr-CA"/>
        </w:rPr>
      </w:pPr>
      <w:bookmarkStart w:id="14" w:name="_Ref92694167"/>
      <w:r w:rsidRPr="0018369C">
        <w:rPr>
          <w:lang w:val="en-CA"/>
        </w:rPr>
        <w:t>Recently</w:t>
      </w:r>
      <w:r w:rsidR="00FD070C">
        <w:rPr>
          <w:lang w:val="en-CA"/>
        </w:rPr>
        <w:t>,</w:t>
      </w:r>
      <w:r w:rsidRPr="0018369C">
        <w:rPr>
          <w:lang w:val="en-CA"/>
        </w:rPr>
        <w:t xml:space="preserve"> in </w:t>
      </w:r>
      <w:proofErr w:type="spellStart"/>
      <w:r w:rsidRPr="0018369C">
        <w:rPr>
          <w:i/>
          <w:lang w:val="en-CA"/>
        </w:rPr>
        <w:t>Parranto</w:t>
      </w:r>
      <w:proofErr w:type="spellEnd"/>
      <w:r w:rsidRPr="0018369C">
        <w:rPr>
          <w:lang w:val="en-CA"/>
        </w:rPr>
        <w:t>,</w:t>
      </w:r>
      <w:r w:rsidRPr="0018369C">
        <w:rPr>
          <w:rStyle w:val="Appelnotedebasdep"/>
          <w:lang w:val="en-CA"/>
        </w:rPr>
        <w:footnoteReference w:id="64"/>
      </w:r>
      <w:r w:rsidRPr="0018369C">
        <w:rPr>
          <w:lang w:val="en-CA"/>
        </w:rPr>
        <w:t xml:space="preserve"> the Supreme Court noted that ranges are </w:t>
      </w:r>
      <w:r w:rsidR="002E3B41">
        <w:rPr>
          <w:lang w:val="en-CA"/>
        </w:rPr>
        <w:t>merely</w:t>
      </w:r>
      <w:r w:rsidR="002E3B41" w:rsidRPr="0018369C">
        <w:rPr>
          <w:lang w:val="en-CA"/>
        </w:rPr>
        <w:t xml:space="preserve"> </w:t>
      </w:r>
      <w:r w:rsidRPr="0018369C">
        <w:rPr>
          <w:lang w:val="en-CA"/>
        </w:rPr>
        <w:t>“guidelines” and that the choice to depart from them is a discretionary one.</w:t>
      </w:r>
      <w:bookmarkEnd w:id="14"/>
      <w:r w:rsidR="000E263F" w:rsidRPr="0018369C">
        <w:rPr>
          <w:rStyle w:val="Appelnotedebasdep"/>
          <w:lang w:val="en-CA"/>
        </w:rPr>
        <w:footnoteReference w:id="65"/>
      </w:r>
      <w:r w:rsidRPr="0018369C">
        <w:rPr>
          <w:lang w:val="en-CA"/>
        </w:rPr>
        <w:t xml:space="preserve"> This choice cannot </w:t>
      </w:r>
      <w:r w:rsidR="002E3B41">
        <w:rPr>
          <w:lang w:val="en-CA"/>
        </w:rPr>
        <w:t>on its own</w:t>
      </w:r>
      <w:r w:rsidR="002E3B41" w:rsidRPr="0018369C">
        <w:rPr>
          <w:lang w:val="en-CA"/>
        </w:rPr>
        <w:t xml:space="preserve"> </w:t>
      </w:r>
      <w:r w:rsidRPr="0018369C">
        <w:rPr>
          <w:lang w:val="en-CA"/>
        </w:rPr>
        <w:t>justify appellate intervention.</w:t>
      </w:r>
      <w:r w:rsidRPr="0018369C">
        <w:rPr>
          <w:rStyle w:val="Appelnotedebasdep"/>
          <w:lang w:val="en-CA"/>
        </w:rPr>
        <w:footnoteReference w:id="66"/>
      </w:r>
      <w:r w:rsidRPr="0018369C">
        <w:rPr>
          <w:lang w:val="en-CA"/>
        </w:rPr>
        <w:t xml:space="preserve"> In addition, in </w:t>
      </w:r>
      <w:r w:rsidRPr="0018369C">
        <w:rPr>
          <w:i/>
          <w:lang w:val="en-CA"/>
        </w:rPr>
        <w:t>Friesen</w:t>
      </w:r>
      <w:r w:rsidRPr="0018369C">
        <w:rPr>
          <w:lang w:val="en-CA"/>
        </w:rPr>
        <w:t xml:space="preserve">, the Supreme Court noted that, notwithstanding the importance of denunciation and </w:t>
      </w:r>
      <w:r w:rsidR="009A4CBD" w:rsidRPr="0018369C">
        <w:rPr>
          <w:lang w:val="en-CA"/>
        </w:rPr>
        <w:t>deterrence</w:t>
      </w:r>
      <w:r w:rsidRPr="0018369C">
        <w:rPr>
          <w:lang w:val="en-CA"/>
        </w:rPr>
        <w:t xml:space="preserve">, rehabilitation and the low likelihood of </w:t>
      </w:r>
      <w:r w:rsidR="009A4CBD" w:rsidRPr="0018369C">
        <w:rPr>
          <w:lang w:val="en-CA"/>
        </w:rPr>
        <w:t>reoffending</w:t>
      </w:r>
      <w:r w:rsidRPr="0018369C">
        <w:rPr>
          <w:lang w:val="en-CA"/>
        </w:rPr>
        <w:t xml:space="preserve"> </w:t>
      </w:r>
      <w:r w:rsidR="002E3B41">
        <w:rPr>
          <w:lang w:val="en-CA"/>
        </w:rPr>
        <w:t>may</w:t>
      </w:r>
      <w:r w:rsidRPr="0018369C">
        <w:rPr>
          <w:lang w:val="en-CA"/>
        </w:rPr>
        <w:t>, in certain cases, weigh in favour of a more lenient sentence.</w:t>
      </w:r>
      <w:r w:rsidR="000E263F" w:rsidRPr="0018369C">
        <w:rPr>
          <w:rStyle w:val="Appelnotedebasdep"/>
          <w:lang w:val="en-CA" w:eastAsia="fr-CA"/>
        </w:rPr>
        <w:footnoteReference w:id="67"/>
      </w:r>
      <w:r w:rsidRPr="0018369C">
        <w:rPr>
          <w:lang w:val="en-CA" w:eastAsia="fr-CA"/>
        </w:rPr>
        <w:t xml:space="preserve"> We </w:t>
      </w:r>
      <w:r w:rsidR="00E87255">
        <w:rPr>
          <w:lang w:val="en-CA" w:eastAsia="fr-CA"/>
        </w:rPr>
        <w:t>believe</w:t>
      </w:r>
      <w:r w:rsidRPr="0018369C">
        <w:rPr>
          <w:lang w:val="en-CA" w:eastAsia="fr-CA"/>
        </w:rPr>
        <w:t xml:space="preserve"> that this is the case here.</w:t>
      </w:r>
    </w:p>
    <w:p w14:paraId="4EC8DC8C" w14:textId="1832389C" w:rsidR="00F07D56" w:rsidRPr="0018369C" w:rsidRDefault="009A4CBD" w:rsidP="00A3163A">
      <w:pPr>
        <w:pStyle w:val="Paragraphe"/>
        <w:spacing w:line="280" w:lineRule="exact"/>
        <w:rPr>
          <w:lang w:val="en-CA"/>
        </w:rPr>
      </w:pPr>
      <w:r w:rsidRPr="0018369C">
        <w:rPr>
          <w:lang w:val="en-CA"/>
        </w:rPr>
        <w:t>It is not surprising that a study of reported cases does not reveal</w:t>
      </w:r>
      <w:r w:rsidR="00FE2C22">
        <w:rPr>
          <w:lang w:val="en-CA"/>
        </w:rPr>
        <w:t xml:space="preserve"> a</w:t>
      </w:r>
      <w:r w:rsidRPr="0018369C">
        <w:rPr>
          <w:lang w:val="en-CA"/>
        </w:rPr>
        <w:t xml:space="preserve"> </w:t>
      </w:r>
      <w:r w:rsidR="002E3B41">
        <w:rPr>
          <w:lang w:val="en-CA"/>
        </w:rPr>
        <w:t xml:space="preserve">clearly defined sentencing </w:t>
      </w:r>
      <w:r w:rsidRPr="0018369C">
        <w:rPr>
          <w:lang w:val="en-CA"/>
        </w:rPr>
        <w:t>range for the offence of luring</w:t>
      </w:r>
      <w:r w:rsidR="00F4277D">
        <w:rPr>
          <w:lang w:val="en-CA"/>
        </w:rPr>
        <w:t>, since</w:t>
      </w:r>
      <w:r w:rsidRPr="0018369C">
        <w:rPr>
          <w:lang w:val="en-CA"/>
        </w:rPr>
        <w:t xml:space="preserve"> this offence covers a </w:t>
      </w:r>
      <w:r w:rsidR="002E3B41">
        <w:rPr>
          <w:lang w:val="en-CA"/>
        </w:rPr>
        <w:t>broad</w:t>
      </w:r>
      <w:r w:rsidR="002E3B41" w:rsidRPr="0018369C">
        <w:rPr>
          <w:lang w:val="en-CA"/>
        </w:rPr>
        <w:t xml:space="preserve"> </w:t>
      </w:r>
      <w:r w:rsidRPr="0018369C">
        <w:rPr>
          <w:lang w:val="en-CA"/>
        </w:rPr>
        <w:t>range of conduct.</w:t>
      </w:r>
      <w:r w:rsidR="000E263F" w:rsidRPr="0018369C">
        <w:rPr>
          <w:lang w:val="en-CA"/>
        </w:rPr>
        <w:t xml:space="preserve"> </w:t>
      </w:r>
      <w:bookmarkStart w:id="15" w:name="_Ref92791441"/>
      <w:r w:rsidRPr="0018369C">
        <w:rPr>
          <w:lang w:val="en-CA"/>
        </w:rPr>
        <w:t xml:space="preserve">This is in fact what prompted the Supreme Court to state, in </w:t>
      </w:r>
      <w:r w:rsidRPr="00FE2C22">
        <w:rPr>
          <w:i/>
          <w:iCs/>
          <w:lang w:val="en-CA"/>
        </w:rPr>
        <w:t>obiter</w:t>
      </w:r>
      <w:r w:rsidRPr="0018369C">
        <w:rPr>
          <w:lang w:val="en-CA"/>
        </w:rPr>
        <w:t xml:space="preserve">, that the offence of luring </w:t>
      </w:r>
      <w:r w:rsidR="00FE2C22">
        <w:rPr>
          <w:lang w:val="en-CA"/>
        </w:rPr>
        <w:t xml:space="preserve">is </w:t>
      </w:r>
      <w:r w:rsidRPr="0018369C">
        <w:rPr>
          <w:lang w:val="en-CA"/>
        </w:rPr>
        <w:t xml:space="preserve">one </w:t>
      </w:r>
      <w:r w:rsidR="00FE2C22">
        <w:rPr>
          <w:lang w:val="en-CA"/>
        </w:rPr>
        <w:t>where</w:t>
      </w:r>
      <w:r w:rsidRPr="0018369C">
        <w:rPr>
          <w:lang w:val="en-CA"/>
        </w:rPr>
        <w:t xml:space="preserve"> the mandatory minimum is constitutionally vulnerable.</w:t>
      </w:r>
      <w:r w:rsidR="000E263F" w:rsidRPr="0018369C">
        <w:rPr>
          <w:rStyle w:val="Appelnotedebasdep"/>
          <w:lang w:val="en-CA"/>
        </w:rPr>
        <w:footnoteReference w:id="68"/>
      </w:r>
      <w:bookmarkEnd w:id="15"/>
      <w:r w:rsidR="000E263F" w:rsidRPr="0018369C">
        <w:rPr>
          <w:lang w:val="en-CA"/>
        </w:rPr>
        <w:t xml:space="preserve"> </w:t>
      </w:r>
      <w:r w:rsidRPr="0018369C">
        <w:rPr>
          <w:lang w:val="en-CA"/>
        </w:rPr>
        <w:t xml:space="preserve">For this reason, the argument that the judge departed from the “range”, if there is one, cannot be accepted, especially </w:t>
      </w:r>
      <w:r w:rsidR="002E3B41">
        <w:rPr>
          <w:lang w:val="en-CA"/>
        </w:rPr>
        <w:t xml:space="preserve">considering </w:t>
      </w:r>
      <w:r w:rsidRPr="0018369C">
        <w:rPr>
          <w:lang w:val="en-CA"/>
        </w:rPr>
        <w:t xml:space="preserve">the </w:t>
      </w:r>
      <w:r w:rsidR="00293AC0">
        <w:rPr>
          <w:i/>
          <w:iCs/>
          <w:lang w:val="en-CA"/>
        </w:rPr>
        <w:t>dicta</w:t>
      </w:r>
      <w:r w:rsidRPr="0018369C">
        <w:rPr>
          <w:lang w:val="en-CA"/>
        </w:rPr>
        <w:t xml:space="preserve"> of the Supreme Court in </w:t>
      </w:r>
      <w:r w:rsidRPr="0018369C">
        <w:rPr>
          <w:i/>
          <w:iCs/>
          <w:lang w:val="en-CA"/>
        </w:rPr>
        <w:t>Friesen</w:t>
      </w:r>
      <w:r w:rsidRPr="0018369C">
        <w:rPr>
          <w:lang w:val="en-CA"/>
        </w:rPr>
        <w:t xml:space="preserve"> and </w:t>
      </w:r>
      <w:proofErr w:type="spellStart"/>
      <w:r w:rsidRPr="0018369C">
        <w:rPr>
          <w:i/>
          <w:iCs/>
          <w:lang w:val="en-CA"/>
        </w:rPr>
        <w:t>Parranto</w:t>
      </w:r>
      <w:proofErr w:type="spellEnd"/>
      <w:r w:rsidRPr="0018369C">
        <w:rPr>
          <w:lang w:val="en-CA"/>
        </w:rPr>
        <w:t xml:space="preserve">, </w:t>
      </w:r>
      <w:r w:rsidR="00FE2C22">
        <w:rPr>
          <w:lang w:val="en-CA"/>
        </w:rPr>
        <w:t>cited</w:t>
      </w:r>
      <w:r w:rsidRPr="0018369C">
        <w:rPr>
          <w:lang w:val="en-CA"/>
        </w:rPr>
        <w:t xml:space="preserve"> above.</w:t>
      </w:r>
    </w:p>
    <w:p w14:paraId="0AC1BC35" w14:textId="64B94B4D" w:rsidR="00F7301E" w:rsidRPr="0018369C" w:rsidRDefault="009A4CBD" w:rsidP="00A3163A">
      <w:pPr>
        <w:pStyle w:val="Paragraphe"/>
        <w:spacing w:line="280" w:lineRule="exact"/>
        <w:rPr>
          <w:lang w:val="en-CA"/>
        </w:rPr>
      </w:pPr>
      <w:r w:rsidRPr="0018369C">
        <w:rPr>
          <w:lang w:val="en-CA"/>
        </w:rPr>
        <w:t xml:space="preserve">Even if a range of 12 to 24 months existed, the fact </w:t>
      </w:r>
      <w:r w:rsidR="002E3B41">
        <w:rPr>
          <w:lang w:val="en-CA"/>
        </w:rPr>
        <w:t>that it was</w:t>
      </w:r>
      <w:r w:rsidRPr="0018369C">
        <w:rPr>
          <w:lang w:val="en-CA"/>
        </w:rPr>
        <w:t xml:space="preserve"> not followed does not warrant </w:t>
      </w:r>
      <w:r w:rsidR="002E3B41">
        <w:rPr>
          <w:lang w:val="en-CA"/>
        </w:rPr>
        <w:t xml:space="preserve">the Court’s </w:t>
      </w:r>
      <w:r w:rsidRPr="0018369C">
        <w:rPr>
          <w:lang w:val="en-CA"/>
        </w:rPr>
        <w:t>intervention</w:t>
      </w:r>
      <w:r w:rsidR="00293AC0">
        <w:rPr>
          <w:lang w:val="en-CA"/>
        </w:rPr>
        <w:t>,</w:t>
      </w:r>
      <w:r w:rsidRPr="0018369C">
        <w:rPr>
          <w:lang w:val="en-CA"/>
        </w:rPr>
        <w:t xml:space="preserve"> given the judge’s clear and well expressed reasons.</w:t>
      </w:r>
      <w:r w:rsidR="00293AC0">
        <w:rPr>
          <w:lang w:val="en-CA"/>
        </w:rPr>
        <w:t xml:space="preserve"> Given </w:t>
      </w:r>
      <w:r w:rsidRPr="0018369C">
        <w:rPr>
          <w:lang w:val="en-CA"/>
        </w:rPr>
        <w:t>the applicable standard of a palpable error, we also do not identify a reviewable error in the judge’s calculation of the fit sentence.</w:t>
      </w:r>
    </w:p>
    <w:p w14:paraId="455DEC75" w14:textId="7A725A7E" w:rsidR="00484D54" w:rsidRPr="0018369C" w:rsidRDefault="009A4CBD" w:rsidP="00293AC0">
      <w:pPr>
        <w:pStyle w:val="Titre2"/>
        <w:rPr>
          <w:lang w:val="en-CA"/>
        </w:rPr>
      </w:pPr>
      <w:r w:rsidRPr="0018369C">
        <w:rPr>
          <w:lang w:val="en-CA"/>
        </w:rPr>
        <w:t xml:space="preserve">Did the Superior Court err in law in concluding that section 172.1(2)(b) </w:t>
      </w:r>
      <w:r w:rsidRPr="00B03997">
        <w:rPr>
          <w:spacing w:val="-20"/>
          <w:lang w:val="en-CA"/>
        </w:rPr>
        <w:t>Cr. C.</w:t>
      </w:r>
      <w:r w:rsidRPr="0018369C">
        <w:rPr>
          <w:lang w:val="en-CA"/>
        </w:rPr>
        <w:t xml:space="preserve"> is constitutionally invalid under section 12 of the Charter?</w:t>
      </w:r>
    </w:p>
    <w:p w14:paraId="57D11F9F" w14:textId="48C3DB01" w:rsidR="00724964" w:rsidRPr="0018369C" w:rsidRDefault="00DE2D8E" w:rsidP="00A3163A">
      <w:pPr>
        <w:pStyle w:val="Paragraphe"/>
        <w:spacing w:line="280" w:lineRule="exact"/>
        <w:rPr>
          <w:lang w:val="en-CA"/>
        </w:rPr>
      </w:pPr>
      <w:r w:rsidRPr="0018369C">
        <w:rPr>
          <w:lang w:val="en-CA"/>
        </w:rPr>
        <w:t xml:space="preserve">Having decided that </w:t>
      </w:r>
      <w:r w:rsidR="004C4C1F">
        <w:rPr>
          <w:lang w:val="en-CA"/>
        </w:rPr>
        <w:t>4</w:t>
      </w:r>
      <w:r w:rsidR="004C4C1F" w:rsidRPr="0018369C">
        <w:rPr>
          <w:lang w:val="en-CA"/>
        </w:rPr>
        <w:t xml:space="preserve"> </w:t>
      </w:r>
      <w:r w:rsidRPr="0018369C">
        <w:rPr>
          <w:lang w:val="en-CA"/>
        </w:rPr>
        <w:t xml:space="preserve">months, rather than the </w:t>
      </w:r>
      <w:r w:rsidR="00810338" w:rsidRPr="0018369C">
        <w:rPr>
          <w:lang w:val="en-CA"/>
        </w:rPr>
        <w:t>mandatory</w:t>
      </w:r>
      <w:r w:rsidRPr="0018369C">
        <w:rPr>
          <w:lang w:val="en-CA"/>
        </w:rPr>
        <w:t xml:space="preserve"> </w:t>
      </w:r>
      <w:r w:rsidR="0095561C">
        <w:rPr>
          <w:lang w:val="en-CA"/>
        </w:rPr>
        <w:t xml:space="preserve">6 </w:t>
      </w:r>
      <w:r w:rsidRPr="0018369C">
        <w:rPr>
          <w:lang w:val="en-CA"/>
        </w:rPr>
        <w:t xml:space="preserve">months set out in the </w:t>
      </w:r>
      <w:r w:rsidRPr="0018369C">
        <w:rPr>
          <w:i/>
          <w:lang w:val="en-CA"/>
        </w:rPr>
        <w:t>Criminal Code</w:t>
      </w:r>
      <w:r w:rsidRPr="0018369C">
        <w:rPr>
          <w:lang w:val="en-CA"/>
        </w:rPr>
        <w:t xml:space="preserve">, is the fit sentence, the judge </w:t>
      </w:r>
      <w:r w:rsidR="00345D6C">
        <w:rPr>
          <w:lang w:val="en-CA"/>
        </w:rPr>
        <w:t>nonetheless</w:t>
      </w:r>
      <w:r w:rsidRPr="0018369C">
        <w:rPr>
          <w:lang w:val="en-CA"/>
        </w:rPr>
        <w:t xml:space="preserve"> concluded that the difference between the two was not sufficient to justify declaring the mandatory minimum sentence inoperative.</w:t>
      </w:r>
    </w:p>
    <w:p w14:paraId="37A13819" w14:textId="36BE0652" w:rsidR="00DE2D8E" w:rsidRPr="0018369C" w:rsidRDefault="00DE2D8E" w:rsidP="00DE2D8E">
      <w:pPr>
        <w:pStyle w:val="Paragraphe"/>
        <w:spacing w:line="280" w:lineRule="exact"/>
        <w:rPr>
          <w:lang w:val="en-CA"/>
        </w:rPr>
      </w:pPr>
      <w:r w:rsidRPr="0018369C">
        <w:rPr>
          <w:lang w:val="en-CA"/>
        </w:rPr>
        <w:t xml:space="preserve">Given that the minimum incarceration period of </w:t>
      </w:r>
      <w:r w:rsidR="004C4C1F">
        <w:rPr>
          <w:lang w:val="en-CA"/>
        </w:rPr>
        <w:t>6</w:t>
      </w:r>
      <w:r w:rsidR="004C4C1F" w:rsidRPr="0018369C">
        <w:rPr>
          <w:lang w:val="en-CA"/>
        </w:rPr>
        <w:t xml:space="preserve"> </w:t>
      </w:r>
      <w:r w:rsidRPr="0018369C">
        <w:rPr>
          <w:lang w:val="en-CA"/>
        </w:rPr>
        <w:t xml:space="preserve">months is 33% longer than what the judge considered </w:t>
      </w:r>
      <w:r w:rsidR="00B03997">
        <w:rPr>
          <w:lang w:val="en-CA"/>
        </w:rPr>
        <w:t>fit</w:t>
      </w:r>
      <w:r w:rsidRPr="0018369C">
        <w:rPr>
          <w:lang w:val="en-CA"/>
        </w:rPr>
        <w:t xml:space="preserve"> in this case</w:t>
      </w:r>
      <w:r w:rsidR="00345D6C">
        <w:rPr>
          <w:lang w:val="en-CA"/>
        </w:rPr>
        <w:t>,</w:t>
      </w:r>
      <w:r w:rsidR="00FE2C22">
        <w:rPr>
          <w:lang w:val="en-CA"/>
        </w:rPr>
        <w:t xml:space="preserve"> </w:t>
      </w:r>
      <w:r w:rsidR="00345D6C" w:rsidRPr="0018369C">
        <w:rPr>
          <w:lang w:val="en-CA"/>
        </w:rPr>
        <w:t xml:space="preserve">at that </w:t>
      </w:r>
      <w:r w:rsidR="00345D6C">
        <w:rPr>
          <w:lang w:val="en-CA"/>
        </w:rPr>
        <w:t xml:space="preserve">stage </w:t>
      </w:r>
      <w:r w:rsidRPr="0018369C">
        <w:rPr>
          <w:lang w:val="en-CA"/>
        </w:rPr>
        <w:t>she could have</w:t>
      </w:r>
      <w:r w:rsidR="00FE2C22" w:rsidRPr="0018369C">
        <w:rPr>
          <w:lang w:val="en-CA"/>
        </w:rPr>
        <w:t xml:space="preserve"> </w:t>
      </w:r>
      <w:r w:rsidR="00345D6C">
        <w:rPr>
          <w:lang w:val="en-CA"/>
        </w:rPr>
        <w:t>said that</w:t>
      </w:r>
      <w:r w:rsidRPr="0018369C">
        <w:rPr>
          <w:lang w:val="en-CA"/>
        </w:rPr>
        <w:t xml:space="preserve"> </w:t>
      </w:r>
      <w:r w:rsidR="00345D6C">
        <w:rPr>
          <w:lang w:val="en-CA"/>
        </w:rPr>
        <w:t xml:space="preserve">she </w:t>
      </w:r>
      <w:r w:rsidRPr="0018369C">
        <w:rPr>
          <w:lang w:val="en-CA"/>
        </w:rPr>
        <w:t>agree</w:t>
      </w:r>
      <w:r w:rsidR="00345D6C">
        <w:rPr>
          <w:lang w:val="en-CA"/>
        </w:rPr>
        <w:t>d</w:t>
      </w:r>
      <w:r w:rsidRPr="0018369C">
        <w:rPr>
          <w:lang w:val="en-CA"/>
        </w:rPr>
        <w:t xml:space="preserve"> with the Court of Québec</w:t>
      </w:r>
      <w:r w:rsidR="00345D6C">
        <w:rPr>
          <w:lang w:val="en-CA"/>
        </w:rPr>
        <w:t xml:space="preserve"> judge</w:t>
      </w:r>
      <w:r w:rsidRPr="0018369C">
        <w:rPr>
          <w:lang w:val="en-CA"/>
        </w:rPr>
        <w:t xml:space="preserve"> and </w:t>
      </w:r>
      <w:r w:rsidR="00B05760">
        <w:rPr>
          <w:lang w:val="en-CA"/>
        </w:rPr>
        <w:t>declared</w:t>
      </w:r>
      <w:r w:rsidR="00CC2EDD" w:rsidRPr="0018369C">
        <w:rPr>
          <w:lang w:val="en-CA"/>
        </w:rPr>
        <w:t xml:space="preserve"> </w:t>
      </w:r>
      <w:r w:rsidRPr="0018369C">
        <w:rPr>
          <w:lang w:val="en-CA"/>
        </w:rPr>
        <w:t>the minimum sentence</w:t>
      </w:r>
      <w:r w:rsidR="00B05760">
        <w:rPr>
          <w:lang w:val="en-CA"/>
        </w:rPr>
        <w:t xml:space="preserve"> invalid</w:t>
      </w:r>
      <w:r w:rsidRPr="0018369C">
        <w:rPr>
          <w:lang w:val="en-CA"/>
        </w:rPr>
        <w:t>.</w:t>
      </w:r>
      <w:r w:rsidR="000E263F" w:rsidRPr="0018369C">
        <w:rPr>
          <w:lang w:val="en-CA"/>
        </w:rPr>
        <w:t xml:space="preserve"> </w:t>
      </w:r>
      <w:r w:rsidRPr="0018369C">
        <w:rPr>
          <w:lang w:val="en-CA"/>
        </w:rPr>
        <w:t xml:space="preserve">However, </w:t>
      </w:r>
      <w:r w:rsidRPr="0018369C">
        <w:rPr>
          <w:lang w:val="en-CA"/>
        </w:rPr>
        <w:lastRenderedPageBreak/>
        <w:t xml:space="preserve">the assessment of what </w:t>
      </w:r>
      <w:r w:rsidR="0095561C">
        <w:rPr>
          <w:lang w:val="en-CA"/>
        </w:rPr>
        <w:t xml:space="preserve">sentence </w:t>
      </w:r>
      <w:r w:rsidRPr="0018369C">
        <w:rPr>
          <w:lang w:val="en-CA"/>
        </w:rPr>
        <w:t>is or is not grossly disproportionate or “so excessive as to outrage standards of decency”</w:t>
      </w:r>
      <w:r w:rsidRPr="0018369C">
        <w:rPr>
          <w:rStyle w:val="Appelnotedebasdep"/>
          <w:lang w:val="en-CA"/>
        </w:rPr>
        <w:footnoteReference w:id="69"/>
      </w:r>
      <w:r w:rsidRPr="0018369C">
        <w:rPr>
          <w:lang w:val="en-CA"/>
        </w:rPr>
        <w:t xml:space="preserve"> </w:t>
      </w:r>
      <w:r w:rsidR="00B03997">
        <w:rPr>
          <w:lang w:val="en-CA"/>
        </w:rPr>
        <w:t>is owed</w:t>
      </w:r>
      <w:r w:rsidRPr="0018369C">
        <w:rPr>
          <w:lang w:val="en-CA"/>
        </w:rPr>
        <w:t xml:space="preserve"> deference. </w:t>
      </w:r>
    </w:p>
    <w:p w14:paraId="61BA4AA8" w14:textId="6776106F" w:rsidR="00DE2D8E" w:rsidRPr="0018369C" w:rsidRDefault="00DE2D8E" w:rsidP="00DE2D8E">
      <w:pPr>
        <w:pStyle w:val="Paragraphe"/>
        <w:spacing w:line="280" w:lineRule="exact"/>
        <w:rPr>
          <w:lang w:val="en-CA"/>
        </w:rPr>
      </w:pPr>
      <w:r w:rsidRPr="0018369C">
        <w:rPr>
          <w:lang w:val="en-CA"/>
        </w:rPr>
        <w:t xml:space="preserve">The judge </w:t>
      </w:r>
      <w:r w:rsidR="0095561C">
        <w:rPr>
          <w:lang w:val="en-CA"/>
        </w:rPr>
        <w:t>then</w:t>
      </w:r>
      <w:r w:rsidRPr="0018369C">
        <w:rPr>
          <w:lang w:val="en-CA"/>
        </w:rPr>
        <w:t xml:space="preserve"> turned to the second step of the analysis in accordance with </w:t>
      </w:r>
      <w:r w:rsidRPr="0018369C">
        <w:rPr>
          <w:i/>
          <w:lang w:val="en-CA"/>
        </w:rPr>
        <w:t>Lloyd</w:t>
      </w:r>
      <w:r w:rsidRPr="0018369C">
        <w:rPr>
          <w:rStyle w:val="Appelnotedebasdep"/>
          <w:lang w:val="en-CA"/>
        </w:rPr>
        <w:footnoteReference w:id="70"/>
      </w:r>
      <w:r w:rsidRPr="0018369C">
        <w:rPr>
          <w:i/>
          <w:lang w:val="en-CA"/>
        </w:rPr>
        <w:t xml:space="preserve"> </w:t>
      </w:r>
      <w:r w:rsidRPr="0018369C">
        <w:rPr>
          <w:lang w:val="en-CA"/>
        </w:rPr>
        <w:t xml:space="preserve">and </w:t>
      </w:r>
      <w:r w:rsidRPr="0018369C">
        <w:rPr>
          <w:i/>
          <w:lang w:val="en-CA"/>
        </w:rPr>
        <w:t>Nur</w:t>
      </w:r>
      <w:r w:rsidRPr="0018369C">
        <w:rPr>
          <w:lang w:val="en-CA"/>
        </w:rPr>
        <w:t>,</w:t>
      </w:r>
      <w:r w:rsidRPr="0018369C">
        <w:rPr>
          <w:rStyle w:val="Appelnotedebasdep"/>
          <w:lang w:val="en-CA"/>
        </w:rPr>
        <w:footnoteReference w:id="71"/>
      </w:r>
      <w:r w:rsidRPr="0018369C">
        <w:rPr>
          <w:lang w:val="en-CA"/>
        </w:rPr>
        <w:t xml:space="preserve"> and asked herself whether the minimum sentence of </w:t>
      </w:r>
      <w:r w:rsidR="004C4C1F">
        <w:rPr>
          <w:lang w:val="en-CA"/>
        </w:rPr>
        <w:t>6</w:t>
      </w:r>
      <w:r w:rsidR="004C4C1F" w:rsidRPr="0018369C">
        <w:rPr>
          <w:lang w:val="en-CA"/>
        </w:rPr>
        <w:t xml:space="preserve"> </w:t>
      </w:r>
      <w:r w:rsidRPr="0018369C">
        <w:rPr>
          <w:lang w:val="en-CA"/>
        </w:rPr>
        <w:t>months was grossly disproportionate with respect to reasonable hypothetical cases.</w:t>
      </w:r>
      <w:r w:rsidRPr="0018369C">
        <w:rPr>
          <w:i/>
          <w:lang w:val="en-CA"/>
        </w:rPr>
        <w:t xml:space="preserve"> </w:t>
      </w:r>
    </w:p>
    <w:p w14:paraId="65C71AE9" w14:textId="7C8CB904" w:rsidR="00810338" w:rsidRPr="0018369C" w:rsidRDefault="00DE2D8E" w:rsidP="00DE2D8E">
      <w:pPr>
        <w:pStyle w:val="Paragraphe"/>
        <w:spacing w:line="280" w:lineRule="exact"/>
        <w:rPr>
          <w:lang w:val="en-CA"/>
        </w:rPr>
      </w:pPr>
      <w:r w:rsidRPr="0018369C">
        <w:rPr>
          <w:lang w:val="en-CA"/>
        </w:rPr>
        <w:t xml:space="preserve">The judge examined two reasonable </w:t>
      </w:r>
      <w:r w:rsidR="001B2D75" w:rsidRPr="0018369C">
        <w:rPr>
          <w:lang w:val="en-CA"/>
        </w:rPr>
        <w:t>hypothetical</w:t>
      </w:r>
      <w:r w:rsidRPr="0018369C">
        <w:rPr>
          <w:lang w:val="en-CA"/>
        </w:rPr>
        <w:t xml:space="preserve"> cases</w:t>
      </w:r>
      <w:r w:rsidR="0095561C">
        <w:rPr>
          <w:lang w:val="en-CA"/>
        </w:rPr>
        <w:t xml:space="preserve">, a </w:t>
      </w:r>
      <w:r w:rsidRPr="0018369C">
        <w:rPr>
          <w:lang w:val="en-CA"/>
        </w:rPr>
        <w:t xml:space="preserve">judgment of the Nova Scotia Court of Appeal and another by the </w:t>
      </w:r>
      <w:r w:rsidR="00345D6C">
        <w:rPr>
          <w:lang w:val="en-CA"/>
        </w:rPr>
        <w:t xml:space="preserve">Ontario </w:t>
      </w:r>
      <w:r w:rsidRPr="0018369C">
        <w:rPr>
          <w:lang w:val="en-CA"/>
        </w:rPr>
        <w:t xml:space="preserve">Court of </w:t>
      </w:r>
      <w:r w:rsidR="00345D6C">
        <w:rPr>
          <w:lang w:val="en-CA"/>
        </w:rPr>
        <w:t>Justice</w:t>
      </w:r>
      <w:r w:rsidRPr="0018369C">
        <w:rPr>
          <w:lang w:val="en-CA"/>
        </w:rPr>
        <w:t>, as mentioned above.</w:t>
      </w:r>
      <w:r w:rsidR="000E263F" w:rsidRPr="0018369C">
        <w:rPr>
          <w:lang w:val="en-CA"/>
        </w:rPr>
        <w:t xml:space="preserve"> </w:t>
      </w:r>
      <w:r w:rsidRPr="0018369C">
        <w:rPr>
          <w:lang w:val="en-CA"/>
        </w:rPr>
        <w:t xml:space="preserve">In </w:t>
      </w:r>
      <w:r w:rsidRPr="0018369C">
        <w:rPr>
          <w:i/>
          <w:iCs/>
          <w:lang w:val="en-CA"/>
        </w:rPr>
        <w:t>Hood</w:t>
      </w:r>
      <w:r w:rsidRPr="0018369C">
        <w:rPr>
          <w:lang w:val="en-CA"/>
        </w:rPr>
        <w:t>,</w:t>
      </w:r>
      <w:r w:rsidRPr="0018369C">
        <w:rPr>
          <w:rStyle w:val="Appelnotedebasdep"/>
          <w:lang w:val="en-CA"/>
        </w:rPr>
        <w:footnoteReference w:id="72"/>
      </w:r>
      <w:r w:rsidR="008F76B4">
        <w:rPr>
          <w:lang w:val="en-CA"/>
        </w:rPr>
        <w:t xml:space="preserve"> </w:t>
      </w:r>
      <w:r w:rsidRPr="0018369C">
        <w:rPr>
          <w:lang w:val="en-CA"/>
        </w:rPr>
        <w:t xml:space="preserve">the Nova Scotia Court of Appeal declared </w:t>
      </w:r>
      <w:r w:rsidR="00345D6C">
        <w:rPr>
          <w:lang w:val="en-CA"/>
        </w:rPr>
        <w:t xml:space="preserve">unconstitutional </w:t>
      </w:r>
      <w:r w:rsidRPr="0018369C">
        <w:rPr>
          <w:lang w:val="en-CA"/>
        </w:rPr>
        <w:t xml:space="preserve">the mandatory sentence of </w:t>
      </w:r>
      <w:r w:rsidR="004C4C1F">
        <w:rPr>
          <w:lang w:val="en-CA"/>
        </w:rPr>
        <w:t>1</w:t>
      </w:r>
      <w:r w:rsidR="004C4C1F" w:rsidRPr="0018369C">
        <w:rPr>
          <w:lang w:val="en-CA"/>
        </w:rPr>
        <w:t xml:space="preserve"> </w:t>
      </w:r>
      <w:r w:rsidRPr="0018369C">
        <w:rPr>
          <w:lang w:val="en-CA"/>
        </w:rPr>
        <w:t xml:space="preserve">year </w:t>
      </w:r>
      <w:r w:rsidR="008F76B4">
        <w:rPr>
          <w:lang w:val="en-CA"/>
        </w:rPr>
        <w:t>under</w:t>
      </w:r>
      <w:r w:rsidRPr="0018369C">
        <w:rPr>
          <w:lang w:val="en-CA"/>
        </w:rPr>
        <w:t xml:space="preserve"> section 172.1(2)(b) </w:t>
      </w:r>
      <w:r w:rsidRPr="00B03997">
        <w:rPr>
          <w:i/>
          <w:iCs/>
          <w:spacing w:val="-20"/>
          <w:lang w:val="en-CA"/>
        </w:rPr>
        <w:t>Cr. C</w:t>
      </w:r>
      <w:r w:rsidRPr="00B03997">
        <w:rPr>
          <w:spacing w:val="-20"/>
          <w:lang w:val="en-CA"/>
        </w:rPr>
        <w:t>.</w:t>
      </w:r>
      <w:r w:rsidRPr="0018369C">
        <w:rPr>
          <w:lang w:val="en-CA"/>
        </w:rPr>
        <w:t xml:space="preserve"> for luring </w:t>
      </w:r>
      <w:r w:rsidR="00810338" w:rsidRPr="0018369C">
        <w:rPr>
          <w:lang w:val="en-CA"/>
        </w:rPr>
        <w:t>punishable</w:t>
      </w:r>
      <w:r w:rsidRPr="0018369C">
        <w:rPr>
          <w:lang w:val="en-CA"/>
        </w:rPr>
        <w:t xml:space="preserve"> by way of indictment.</w:t>
      </w:r>
      <w:r w:rsidR="000E263F" w:rsidRPr="0018369C">
        <w:rPr>
          <w:rStyle w:val="Appelnotedebasdep"/>
          <w:lang w:val="en-CA"/>
        </w:rPr>
        <w:footnoteReference w:id="73"/>
      </w:r>
      <w:r w:rsidRPr="0018369C">
        <w:rPr>
          <w:lang w:val="en-CA"/>
        </w:rPr>
        <w:t xml:space="preserve"> </w:t>
      </w:r>
    </w:p>
    <w:p w14:paraId="7CC831B3" w14:textId="32439565" w:rsidR="00DE2D8E" w:rsidRPr="0018369C" w:rsidRDefault="00DE2D8E" w:rsidP="00DE2D8E">
      <w:pPr>
        <w:pStyle w:val="Paragraphe"/>
        <w:spacing w:line="280" w:lineRule="exact"/>
        <w:rPr>
          <w:lang w:val="en-CA"/>
        </w:rPr>
      </w:pPr>
      <w:r w:rsidRPr="0018369C">
        <w:rPr>
          <w:lang w:val="en-CA"/>
        </w:rPr>
        <w:t xml:space="preserve">This is the analysis in </w:t>
      </w:r>
      <w:r w:rsidRPr="0018369C">
        <w:rPr>
          <w:i/>
          <w:lang w:val="en-CA"/>
        </w:rPr>
        <w:t>Hood</w:t>
      </w:r>
      <w:r w:rsidRPr="0018369C">
        <w:rPr>
          <w:lang w:val="en-CA"/>
        </w:rPr>
        <w:t xml:space="preserve">: </w:t>
      </w:r>
    </w:p>
    <w:p w14:paraId="0D724076" w14:textId="04F3DA8F" w:rsidR="009709B8" w:rsidRPr="0018369C" w:rsidRDefault="00810338" w:rsidP="00AA769B">
      <w:pPr>
        <w:pStyle w:val="Citationenretrait"/>
        <w:spacing w:line="240" w:lineRule="auto"/>
        <w:rPr>
          <w:lang w:val="en-CA"/>
        </w:rPr>
      </w:pPr>
      <w:r w:rsidRPr="0018369C">
        <w:rPr>
          <w:lang w:val="en-CA"/>
        </w:rPr>
        <w:t>[</w:t>
      </w:r>
      <w:bookmarkStart w:id="16" w:name="par150"/>
      <w:r w:rsidRPr="0018369C">
        <w:rPr>
          <w:lang w:val="en-CA"/>
        </w:rPr>
        <w:t>150</w:t>
      </w:r>
      <w:bookmarkEnd w:id="16"/>
      <w:r w:rsidRPr="0018369C">
        <w:rPr>
          <w:lang w:val="en-CA"/>
        </w:rPr>
        <w:t>]   For example, consider a first-year high school teacher in her late 20’s with no criminal record. She suffers the same mental health challenges as Ms. Hood. </w:t>
      </w:r>
      <w:r w:rsidR="000E263F" w:rsidRPr="0018369C">
        <w:rPr>
          <w:lang w:val="en-CA"/>
        </w:rPr>
        <w:t>One evening, she texts her 15-year-old student ostensibly to inquire about a school assignment. Feeling manic, she directs the conversation from casual to sexual. They agree to meet that same evening in a private location where they fondle each other. That was their one and only sexual encounter.  Consider further a guilty plea, coupled with the teacher’s sincere remorse.</w:t>
      </w:r>
    </w:p>
    <w:p w14:paraId="731FB1B3" w14:textId="1A146629" w:rsidR="009709B8" w:rsidRPr="0018369C" w:rsidRDefault="000E263F" w:rsidP="00AA769B">
      <w:pPr>
        <w:pStyle w:val="Citationenretrait"/>
        <w:spacing w:line="240" w:lineRule="auto"/>
        <w:rPr>
          <w:lang w:val="en-CA"/>
        </w:rPr>
      </w:pPr>
      <w:r w:rsidRPr="0018369C">
        <w:rPr>
          <w:lang w:val="en-CA"/>
        </w:rPr>
        <w:t>[</w:t>
      </w:r>
      <w:bookmarkStart w:id="17" w:name="par151"/>
      <w:r w:rsidRPr="0018369C">
        <w:rPr>
          <w:lang w:val="en-CA"/>
        </w:rPr>
        <w:t>151</w:t>
      </w:r>
      <w:bookmarkEnd w:id="17"/>
      <w:r w:rsidRPr="0018369C">
        <w:rPr>
          <w:lang w:val="en-CA"/>
        </w:rPr>
        <w:t>]   This scenario covers the elements for the (a) sexual interference and (b) luring (under 16) offences. If we were to consider instead a 17-year-old student, the (a) sexual exploitation and (b) luring (under 18) offences would be covered.</w:t>
      </w:r>
    </w:p>
    <w:p w14:paraId="21F12122" w14:textId="1B9FEDF1" w:rsidR="00620857" w:rsidRPr="0018369C" w:rsidRDefault="000E263F" w:rsidP="00AA769B">
      <w:pPr>
        <w:pStyle w:val="Citationenretrait"/>
        <w:spacing w:line="240" w:lineRule="auto"/>
        <w:rPr>
          <w:lang w:val="en-CA"/>
        </w:rPr>
      </w:pPr>
      <w:r w:rsidRPr="0018369C">
        <w:rPr>
          <w:lang w:val="en-CA"/>
        </w:rPr>
        <w:t>[</w:t>
      </w:r>
      <w:bookmarkStart w:id="18" w:name="par152"/>
      <w:r w:rsidRPr="0018369C">
        <w:rPr>
          <w:lang w:val="en-CA"/>
        </w:rPr>
        <w:t>152</w:t>
      </w:r>
      <w:bookmarkEnd w:id="18"/>
      <w:r w:rsidRPr="0018369C">
        <w:rPr>
          <w:lang w:val="en-CA"/>
        </w:rPr>
        <w:t>]   In our view, these are reasonable hypotheticals that are “foreseeably captured by the minimum conduct caught by the offence”. They are neither “remote” nor “far-fetched”.</w:t>
      </w:r>
    </w:p>
    <w:p w14:paraId="3A90C7A1" w14:textId="2A8CE9FF" w:rsidR="009709B8" w:rsidRPr="0018369C" w:rsidRDefault="001B2D75" w:rsidP="00A3163A">
      <w:pPr>
        <w:pStyle w:val="Paragraphe"/>
        <w:spacing w:line="280" w:lineRule="exact"/>
        <w:rPr>
          <w:lang w:val="en-CA"/>
        </w:rPr>
      </w:pPr>
      <w:r w:rsidRPr="0018369C">
        <w:rPr>
          <w:lang w:val="en-CA"/>
        </w:rPr>
        <w:t xml:space="preserve">The appellants </w:t>
      </w:r>
      <w:r w:rsidR="00487339">
        <w:rPr>
          <w:lang w:val="en-CA"/>
        </w:rPr>
        <w:t>argue</w:t>
      </w:r>
      <w:r w:rsidR="00487339" w:rsidRPr="0018369C">
        <w:rPr>
          <w:lang w:val="en-CA"/>
        </w:rPr>
        <w:t xml:space="preserve"> </w:t>
      </w:r>
      <w:r w:rsidRPr="0018369C">
        <w:rPr>
          <w:lang w:val="en-CA"/>
        </w:rPr>
        <w:t xml:space="preserve">that </w:t>
      </w:r>
      <w:r w:rsidRPr="00B03997">
        <w:rPr>
          <w:i/>
          <w:iCs/>
          <w:lang w:val="en-CA"/>
        </w:rPr>
        <w:t xml:space="preserve">Hood </w:t>
      </w:r>
      <w:r w:rsidRPr="0018369C">
        <w:rPr>
          <w:lang w:val="en-CA"/>
        </w:rPr>
        <w:t xml:space="preserve">is not a reasonably comparable case and that this </w:t>
      </w:r>
      <w:r w:rsidR="008F76B4" w:rsidRPr="0018369C">
        <w:rPr>
          <w:lang w:val="en-CA"/>
        </w:rPr>
        <w:t>hypothetical</w:t>
      </w:r>
      <w:r w:rsidRPr="0018369C">
        <w:rPr>
          <w:lang w:val="en-CA"/>
        </w:rPr>
        <w:t xml:space="preserve"> case should therefore be set aside:</w:t>
      </w:r>
    </w:p>
    <w:p w14:paraId="117A2F96" w14:textId="7616D0D8" w:rsidR="001B2D75" w:rsidRPr="0018369C" w:rsidRDefault="001B2D75" w:rsidP="001B2D75">
      <w:pPr>
        <w:pStyle w:val="Paragraphe"/>
        <w:numPr>
          <w:ilvl w:val="0"/>
          <w:numId w:val="0"/>
        </w:numPr>
        <w:spacing w:line="280" w:lineRule="exact"/>
        <w:rPr>
          <w:lang w:val="en-CA"/>
        </w:rPr>
      </w:pPr>
      <w:r w:rsidRPr="0018369C">
        <w:rPr>
          <w:lang w:val="en-CA"/>
        </w:rPr>
        <w:tab/>
        <w:t>[</w:t>
      </w:r>
      <w:r w:rsidRPr="0018369C">
        <w:rPr>
          <w:smallCaps/>
          <w:lang w:val="en-CA"/>
        </w:rPr>
        <w:t>translation</w:t>
      </w:r>
      <w:r w:rsidRPr="0018369C">
        <w:rPr>
          <w:lang w:val="en-CA"/>
        </w:rPr>
        <w:t>]</w:t>
      </w:r>
    </w:p>
    <w:p w14:paraId="5F4740C1" w14:textId="1B1DA16A" w:rsidR="0064170E" w:rsidRPr="0018369C" w:rsidRDefault="000E263F" w:rsidP="00AA769B">
      <w:pPr>
        <w:pStyle w:val="Citationenretrait"/>
        <w:spacing w:line="240" w:lineRule="auto"/>
        <w:rPr>
          <w:lang w:val="en-CA"/>
        </w:rPr>
      </w:pPr>
      <w:r w:rsidRPr="0018369C">
        <w:rPr>
          <w:lang w:val="en-CA"/>
        </w:rPr>
        <w:t xml:space="preserve">50. </w:t>
      </w:r>
      <w:r w:rsidRPr="0018369C">
        <w:rPr>
          <w:lang w:val="en-CA"/>
        </w:rPr>
        <w:tab/>
      </w:r>
      <w:r w:rsidR="001B2D75" w:rsidRPr="0018369C">
        <w:rPr>
          <w:lang w:val="en-CA"/>
        </w:rPr>
        <w:t xml:space="preserve">In light of the most recent teachings of the Supreme Court established in </w:t>
      </w:r>
      <w:r w:rsidR="001B2D75" w:rsidRPr="0018369C">
        <w:rPr>
          <w:i/>
          <w:lang w:val="en-CA"/>
        </w:rPr>
        <w:t>Friesen</w:t>
      </w:r>
      <w:r w:rsidR="001B2D75" w:rsidRPr="0018369C">
        <w:rPr>
          <w:lang w:val="en-CA"/>
        </w:rPr>
        <w:t xml:space="preserve">, the hypothesis based on </w:t>
      </w:r>
      <w:r w:rsidR="001B2D75" w:rsidRPr="0018369C">
        <w:rPr>
          <w:i/>
          <w:lang w:val="en-CA"/>
        </w:rPr>
        <w:t>Hood</w:t>
      </w:r>
      <w:r w:rsidR="001B2D75" w:rsidRPr="0018369C">
        <w:rPr>
          <w:lang w:val="en-CA"/>
        </w:rPr>
        <w:t xml:space="preserve">, a decision rendered before that judgment, cannot be accepted as a reasonable </w:t>
      </w:r>
      <w:r w:rsidR="00B03997" w:rsidRPr="0018369C">
        <w:rPr>
          <w:lang w:val="en-CA"/>
        </w:rPr>
        <w:t xml:space="preserve">hypothesis </w:t>
      </w:r>
      <w:r w:rsidR="001B2D75" w:rsidRPr="0018369C">
        <w:rPr>
          <w:lang w:val="en-CA"/>
        </w:rPr>
        <w:t>potentially leading to cruel and unusual treatment, in particular because i</w:t>
      </w:r>
      <w:r w:rsidR="008F76B4">
        <w:rPr>
          <w:lang w:val="en-CA"/>
        </w:rPr>
        <w:t>t</w:t>
      </w:r>
      <w:r w:rsidR="001B2D75" w:rsidRPr="0018369C">
        <w:rPr>
          <w:lang w:val="en-CA"/>
        </w:rPr>
        <w:t xml:space="preserve"> </w:t>
      </w:r>
      <w:r w:rsidR="00DC2523">
        <w:rPr>
          <w:lang w:val="en-CA"/>
        </w:rPr>
        <w:t>does not</w:t>
      </w:r>
      <w:r w:rsidR="00487339">
        <w:rPr>
          <w:lang w:val="en-CA"/>
        </w:rPr>
        <w:t xml:space="preserve"> </w:t>
      </w:r>
      <w:r w:rsidR="001B2D75" w:rsidRPr="0018369C">
        <w:rPr>
          <w:lang w:val="en-CA"/>
        </w:rPr>
        <w:t>deal with the harm suffered by the victim</w:t>
      </w:r>
      <w:r w:rsidR="00DC2523">
        <w:rPr>
          <w:lang w:val="en-CA"/>
        </w:rPr>
        <w:t xml:space="preserve"> in any way</w:t>
      </w:r>
      <w:r w:rsidR="001B2D75" w:rsidRPr="0018369C">
        <w:rPr>
          <w:lang w:val="en-CA"/>
        </w:rPr>
        <w:t xml:space="preserve">, </w:t>
      </w:r>
      <w:r w:rsidR="00DC2523">
        <w:rPr>
          <w:lang w:val="en-CA"/>
        </w:rPr>
        <w:t xml:space="preserve">it </w:t>
      </w:r>
      <w:r w:rsidR="00487339">
        <w:rPr>
          <w:lang w:val="en-CA"/>
        </w:rPr>
        <w:t>suggests</w:t>
      </w:r>
      <w:r w:rsidR="001B2D75" w:rsidRPr="0018369C">
        <w:rPr>
          <w:lang w:val="en-CA"/>
        </w:rPr>
        <w:t xml:space="preserve"> that the offence is less serious </w:t>
      </w:r>
      <w:r w:rsidR="008F76B4">
        <w:rPr>
          <w:lang w:val="en-CA"/>
        </w:rPr>
        <w:t>due to</w:t>
      </w:r>
      <w:r w:rsidR="001B2D75" w:rsidRPr="0018369C">
        <w:rPr>
          <w:lang w:val="en-CA"/>
        </w:rPr>
        <w:t xml:space="preserve"> the </w:t>
      </w:r>
      <w:r w:rsidR="00487339">
        <w:rPr>
          <w:lang w:val="en-CA"/>
        </w:rPr>
        <w:lastRenderedPageBreak/>
        <w:t xml:space="preserve">adolescent’s </w:t>
      </w:r>
      <w:r w:rsidR="001B2D75" w:rsidRPr="0018369C">
        <w:rPr>
          <w:i/>
          <w:lang w:val="en-CA"/>
        </w:rPr>
        <w:t xml:space="preserve">de facto </w:t>
      </w:r>
      <w:r w:rsidR="001B2D75" w:rsidRPr="0018369C">
        <w:rPr>
          <w:lang w:val="en-CA"/>
        </w:rPr>
        <w:t xml:space="preserve">consent and the small age difference between the accused and the victim, and </w:t>
      </w:r>
      <w:r w:rsidR="00DC2523">
        <w:rPr>
          <w:lang w:val="en-CA"/>
        </w:rPr>
        <w:t xml:space="preserve">it </w:t>
      </w:r>
      <w:r w:rsidR="001B2D75" w:rsidRPr="0018369C">
        <w:rPr>
          <w:lang w:val="en-CA"/>
        </w:rPr>
        <w:t xml:space="preserve">trivializes </w:t>
      </w:r>
      <w:r w:rsidR="00487339">
        <w:rPr>
          <w:lang w:val="en-CA"/>
        </w:rPr>
        <w:t xml:space="preserve">the </w:t>
      </w:r>
      <w:r w:rsidR="001B2D75" w:rsidRPr="0018369C">
        <w:rPr>
          <w:lang w:val="en-CA"/>
        </w:rPr>
        <w:t>sexual assault that ensued, describing it as “fondling”.</w:t>
      </w:r>
    </w:p>
    <w:p w14:paraId="4B8C2113" w14:textId="5E371974" w:rsidR="00794222" w:rsidRPr="0018369C" w:rsidRDefault="001B2D75" w:rsidP="00AA769B">
      <w:pPr>
        <w:pStyle w:val="Citationenretrait"/>
        <w:spacing w:line="240" w:lineRule="auto"/>
        <w:jc w:val="right"/>
        <w:rPr>
          <w:lang w:val="en-CA"/>
        </w:rPr>
      </w:pPr>
      <w:r w:rsidRPr="0018369C">
        <w:rPr>
          <w:lang w:val="en-CA"/>
        </w:rPr>
        <w:t>[</w:t>
      </w:r>
      <w:r w:rsidR="00B03997">
        <w:rPr>
          <w:lang w:val="en-CA"/>
        </w:rPr>
        <w:t>Citations</w:t>
      </w:r>
      <w:r w:rsidRPr="0018369C">
        <w:rPr>
          <w:lang w:val="en-CA"/>
        </w:rPr>
        <w:t xml:space="preserve"> omitted]</w:t>
      </w:r>
    </w:p>
    <w:p w14:paraId="59DDC47F" w14:textId="7B24082F" w:rsidR="0039343A" w:rsidRPr="0018369C" w:rsidRDefault="001B2D75" w:rsidP="00A3163A">
      <w:pPr>
        <w:pStyle w:val="Paragraphe"/>
        <w:spacing w:line="280" w:lineRule="exact"/>
        <w:rPr>
          <w:lang w:val="en-CA"/>
        </w:rPr>
      </w:pPr>
      <w:r w:rsidRPr="0018369C">
        <w:rPr>
          <w:lang w:val="en-CA"/>
        </w:rPr>
        <w:t xml:space="preserve">In </w:t>
      </w:r>
      <w:r w:rsidRPr="0018369C">
        <w:rPr>
          <w:i/>
          <w:iCs/>
          <w:lang w:val="en-CA"/>
        </w:rPr>
        <w:t>Friesen</w:t>
      </w:r>
      <w:r w:rsidRPr="0018369C">
        <w:rPr>
          <w:lang w:val="en-CA"/>
        </w:rPr>
        <w:t xml:space="preserve">, the Supreme Court, </w:t>
      </w:r>
      <w:r w:rsidR="00487339">
        <w:rPr>
          <w:lang w:val="en-CA"/>
        </w:rPr>
        <w:t xml:space="preserve">referring </w:t>
      </w:r>
      <w:r w:rsidRPr="0018369C">
        <w:rPr>
          <w:lang w:val="en-CA"/>
        </w:rPr>
        <w:t xml:space="preserve">specifically to </w:t>
      </w:r>
      <w:r w:rsidRPr="0018369C">
        <w:rPr>
          <w:i/>
          <w:iCs/>
          <w:lang w:val="en-CA"/>
        </w:rPr>
        <w:t>Hood</w:t>
      </w:r>
      <w:r w:rsidRPr="0018369C">
        <w:rPr>
          <w:lang w:val="en-CA"/>
        </w:rPr>
        <w:t>,</w:t>
      </w:r>
      <w:r w:rsidRPr="0018369C">
        <w:rPr>
          <w:i/>
          <w:lang w:val="en-CA"/>
        </w:rPr>
        <w:t xml:space="preserve"> </w:t>
      </w:r>
      <w:r w:rsidRPr="0018369C">
        <w:rPr>
          <w:lang w:val="en-CA"/>
        </w:rPr>
        <w:t xml:space="preserve">denounced the belief that sexual touching </w:t>
      </w:r>
      <w:r w:rsidR="00487339">
        <w:rPr>
          <w:lang w:val="en-CA"/>
        </w:rPr>
        <w:t>such as</w:t>
      </w:r>
      <w:r w:rsidR="00487339" w:rsidRPr="0018369C">
        <w:rPr>
          <w:lang w:val="en-CA"/>
        </w:rPr>
        <w:t xml:space="preserve"> </w:t>
      </w:r>
      <w:r w:rsidRPr="0018369C">
        <w:rPr>
          <w:lang w:val="en-CA"/>
        </w:rPr>
        <w:t>“fo</w:t>
      </w:r>
      <w:r w:rsidR="00487339">
        <w:rPr>
          <w:lang w:val="en-CA"/>
        </w:rPr>
        <w:t>n</w:t>
      </w:r>
      <w:r w:rsidRPr="0018369C">
        <w:rPr>
          <w:lang w:val="en-CA"/>
        </w:rPr>
        <w:t>d</w:t>
      </w:r>
      <w:r w:rsidR="00487339">
        <w:rPr>
          <w:lang w:val="en-CA"/>
        </w:rPr>
        <w:t>l</w:t>
      </w:r>
      <w:r w:rsidRPr="0018369C">
        <w:rPr>
          <w:lang w:val="en-CA"/>
        </w:rPr>
        <w:t>ing” (</w:t>
      </w:r>
      <w:proofErr w:type="spellStart"/>
      <w:r w:rsidRPr="00B05760">
        <w:rPr>
          <w:i/>
          <w:iCs/>
          <w:lang w:val="en-CA"/>
        </w:rPr>
        <w:t>caresse</w:t>
      </w:r>
      <w:proofErr w:type="spellEnd"/>
      <w:r w:rsidRPr="0018369C">
        <w:rPr>
          <w:lang w:val="en-CA"/>
        </w:rPr>
        <w:t xml:space="preserve">) is less harmful to the victim than other forms of sexual violence </w:t>
      </w:r>
      <w:r w:rsidR="00E30D1A">
        <w:rPr>
          <w:lang w:val="en-CA"/>
        </w:rPr>
        <w:t xml:space="preserve">that are </w:t>
      </w:r>
      <w:r w:rsidRPr="0018369C">
        <w:rPr>
          <w:lang w:val="en-CA"/>
        </w:rPr>
        <w:t xml:space="preserve">generally considered </w:t>
      </w:r>
      <w:r w:rsidR="00B05760">
        <w:rPr>
          <w:lang w:val="en-CA"/>
        </w:rPr>
        <w:t>more reprehensible</w:t>
      </w:r>
      <w:r w:rsidRPr="0018369C">
        <w:rPr>
          <w:lang w:val="en-CA"/>
        </w:rPr>
        <w:t>.</w:t>
      </w:r>
      <w:r w:rsidR="000E263F" w:rsidRPr="0018369C">
        <w:rPr>
          <w:rStyle w:val="Appelnotedebasdep"/>
          <w:lang w:val="en-CA"/>
        </w:rPr>
        <w:footnoteReference w:id="74"/>
      </w:r>
      <w:r w:rsidRPr="0018369C">
        <w:rPr>
          <w:lang w:val="en-CA"/>
        </w:rPr>
        <w:t xml:space="preserve"> </w:t>
      </w:r>
    </w:p>
    <w:p w14:paraId="2BC819E0" w14:textId="7A50E865" w:rsidR="002D12DC" w:rsidRPr="0018369C" w:rsidRDefault="001B2D75" w:rsidP="00A3163A">
      <w:pPr>
        <w:pStyle w:val="Paragraphe"/>
        <w:spacing w:line="280" w:lineRule="exact"/>
        <w:rPr>
          <w:lang w:val="en-CA"/>
        </w:rPr>
      </w:pPr>
      <w:r w:rsidRPr="0018369C">
        <w:rPr>
          <w:lang w:val="en-CA"/>
        </w:rPr>
        <w:t xml:space="preserve">We do not agree with the appellants’ argument that the </w:t>
      </w:r>
      <w:r w:rsidR="008F76B4" w:rsidRPr="0018369C">
        <w:rPr>
          <w:lang w:val="en-CA"/>
        </w:rPr>
        <w:t>hypothetical</w:t>
      </w:r>
      <w:r w:rsidRPr="0018369C">
        <w:rPr>
          <w:lang w:val="en-CA"/>
        </w:rPr>
        <w:t xml:space="preserve"> case in </w:t>
      </w:r>
      <w:r w:rsidRPr="008F76B4">
        <w:rPr>
          <w:i/>
          <w:iCs/>
          <w:lang w:val="en-CA"/>
        </w:rPr>
        <w:t>Hood</w:t>
      </w:r>
      <w:r w:rsidRPr="0018369C">
        <w:rPr>
          <w:lang w:val="en-CA"/>
        </w:rPr>
        <w:t xml:space="preserve"> </w:t>
      </w:r>
      <w:r w:rsidR="00C60885">
        <w:rPr>
          <w:lang w:val="en-CA"/>
        </w:rPr>
        <w:t>should</w:t>
      </w:r>
      <w:r w:rsidR="00C60885" w:rsidRPr="0018369C">
        <w:rPr>
          <w:lang w:val="en-CA"/>
        </w:rPr>
        <w:t xml:space="preserve"> </w:t>
      </w:r>
      <w:r w:rsidRPr="0018369C">
        <w:rPr>
          <w:lang w:val="en-CA"/>
        </w:rPr>
        <w:t xml:space="preserve">be set aside </w:t>
      </w:r>
      <w:r w:rsidR="009A3DBB">
        <w:rPr>
          <w:lang w:val="en-CA"/>
        </w:rPr>
        <w:t>entirely</w:t>
      </w:r>
      <w:r w:rsidR="008F76B4" w:rsidRPr="0018369C">
        <w:rPr>
          <w:lang w:val="en-CA"/>
        </w:rPr>
        <w:t xml:space="preserve"> </w:t>
      </w:r>
      <w:r w:rsidRPr="0018369C">
        <w:rPr>
          <w:lang w:val="en-CA"/>
        </w:rPr>
        <w:t>for this reason.</w:t>
      </w:r>
      <w:r w:rsidR="000E263F" w:rsidRPr="0018369C">
        <w:rPr>
          <w:lang w:val="en-CA"/>
        </w:rPr>
        <w:t xml:space="preserve"> </w:t>
      </w:r>
      <w:r w:rsidRPr="0018369C">
        <w:rPr>
          <w:lang w:val="en-CA"/>
        </w:rPr>
        <w:t xml:space="preserve">Indeed, even </w:t>
      </w:r>
      <w:r w:rsidR="00C60885">
        <w:rPr>
          <w:lang w:val="en-CA"/>
        </w:rPr>
        <w:t>without</w:t>
      </w:r>
      <w:r w:rsidR="00C60885" w:rsidRPr="0018369C">
        <w:rPr>
          <w:lang w:val="en-CA"/>
        </w:rPr>
        <w:t xml:space="preserve"> </w:t>
      </w:r>
      <w:r w:rsidRPr="0018369C">
        <w:rPr>
          <w:lang w:val="en-CA"/>
        </w:rPr>
        <w:t xml:space="preserve">the reference to “fondling”, it offers an example of less blameworthy conduct than the conduct described in </w:t>
      </w:r>
      <w:r w:rsidRPr="0018369C">
        <w:rPr>
          <w:i/>
          <w:lang w:val="en-CA"/>
        </w:rPr>
        <w:t>Rayo</w:t>
      </w:r>
      <w:r w:rsidRPr="0018369C">
        <w:rPr>
          <w:lang w:val="en-CA"/>
        </w:rPr>
        <w:t>, for example.</w:t>
      </w:r>
      <w:r w:rsidR="000E263F" w:rsidRPr="0018369C">
        <w:rPr>
          <w:lang w:val="en-CA"/>
        </w:rPr>
        <w:t xml:space="preserve"> </w:t>
      </w:r>
      <w:r w:rsidRPr="0018369C">
        <w:rPr>
          <w:lang w:val="en-CA"/>
        </w:rPr>
        <w:t xml:space="preserve">The Supreme Court in </w:t>
      </w:r>
      <w:r w:rsidRPr="0018369C">
        <w:rPr>
          <w:i/>
          <w:lang w:val="en-CA"/>
        </w:rPr>
        <w:t xml:space="preserve">Friesen </w:t>
      </w:r>
      <w:r w:rsidRPr="0018369C">
        <w:rPr>
          <w:lang w:val="en-CA"/>
        </w:rPr>
        <w:t xml:space="preserve">rejected the theory </w:t>
      </w:r>
      <w:r w:rsidR="009A3DBB">
        <w:rPr>
          <w:lang w:val="en-CA"/>
        </w:rPr>
        <w:t>of</w:t>
      </w:r>
      <w:r w:rsidRPr="0018369C">
        <w:rPr>
          <w:lang w:val="en-CA"/>
        </w:rPr>
        <w:t xml:space="preserve"> a “hierarchy of physical acts” in matters of sexual assault and instead recommended that courts look at the harm done to victims.</w:t>
      </w:r>
      <w:r w:rsidR="000E263F" w:rsidRPr="0018369C">
        <w:rPr>
          <w:rStyle w:val="Appelnotedebasdep"/>
          <w:lang w:val="en-CA"/>
        </w:rPr>
        <w:footnoteReference w:id="75"/>
      </w:r>
      <w:r w:rsidR="000E263F" w:rsidRPr="0018369C">
        <w:rPr>
          <w:lang w:val="en-CA"/>
        </w:rPr>
        <w:t xml:space="preserve"> </w:t>
      </w:r>
      <w:r w:rsidRPr="0018369C">
        <w:rPr>
          <w:lang w:val="en-CA"/>
        </w:rPr>
        <w:t xml:space="preserve">Although we recognize the inherent harm of the sexual offence and strongly condemn these acts, there is no </w:t>
      </w:r>
      <w:r w:rsidR="00C60885">
        <w:rPr>
          <w:lang w:val="en-CA"/>
        </w:rPr>
        <w:t>specific</w:t>
      </w:r>
      <w:r w:rsidR="00C60885" w:rsidRPr="0018369C">
        <w:rPr>
          <w:lang w:val="en-CA"/>
        </w:rPr>
        <w:t xml:space="preserve"> </w:t>
      </w:r>
      <w:r w:rsidRPr="0018369C">
        <w:rPr>
          <w:lang w:val="en-CA"/>
        </w:rPr>
        <w:t xml:space="preserve">evidence, in this case, </w:t>
      </w:r>
      <w:r w:rsidR="009A3DBB">
        <w:rPr>
          <w:lang w:val="en-CA"/>
        </w:rPr>
        <w:t>of</w:t>
      </w:r>
      <w:r w:rsidRPr="0018369C">
        <w:rPr>
          <w:lang w:val="en-CA"/>
        </w:rPr>
        <w:t xml:space="preserve"> the harm </w:t>
      </w:r>
      <w:r w:rsidR="009A3DBB">
        <w:rPr>
          <w:lang w:val="en-CA"/>
        </w:rPr>
        <w:t xml:space="preserve">done </w:t>
      </w:r>
      <w:r w:rsidRPr="0018369C">
        <w:rPr>
          <w:lang w:val="en-CA"/>
        </w:rPr>
        <w:t>to the victim.</w:t>
      </w:r>
    </w:p>
    <w:p w14:paraId="369562C5" w14:textId="6CF7DC49" w:rsidR="0039343A" w:rsidRPr="0018369C" w:rsidRDefault="00C60885" w:rsidP="00A3163A">
      <w:pPr>
        <w:pStyle w:val="Paragraphe"/>
        <w:spacing w:line="280" w:lineRule="exact"/>
        <w:rPr>
          <w:lang w:val="en-CA"/>
        </w:rPr>
      </w:pPr>
      <w:r>
        <w:rPr>
          <w:lang w:val="en-CA"/>
        </w:rPr>
        <w:t>Here</w:t>
      </w:r>
      <w:r w:rsidR="008F76B4">
        <w:rPr>
          <w:lang w:val="en-CA"/>
        </w:rPr>
        <w:t>, c</w:t>
      </w:r>
      <w:r w:rsidR="008F76B4" w:rsidRPr="0018369C">
        <w:rPr>
          <w:lang w:val="en-CA"/>
        </w:rPr>
        <w:t xml:space="preserve">omparable </w:t>
      </w:r>
      <w:r w:rsidR="008F76B4">
        <w:rPr>
          <w:lang w:val="en-CA"/>
        </w:rPr>
        <w:t>f</w:t>
      </w:r>
      <w:r w:rsidR="001B2D75" w:rsidRPr="0018369C">
        <w:rPr>
          <w:lang w:val="en-CA"/>
        </w:rPr>
        <w:t xml:space="preserve">actual circumstances are not difficult to </w:t>
      </w:r>
      <w:r w:rsidR="008F76B4" w:rsidRPr="0018369C">
        <w:rPr>
          <w:lang w:val="en-CA"/>
        </w:rPr>
        <w:t>imagine</w:t>
      </w:r>
      <w:r w:rsidR="001B2D75" w:rsidRPr="0018369C">
        <w:rPr>
          <w:lang w:val="en-CA"/>
        </w:rPr>
        <w:t xml:space="preserve"> or </w:t>
      </w:r>
      <w:r w:rsidR="008F76B4" w:rsidRPr="0018369C">
        <w:rPr>
          <w:lang w:val="en-CA"/>
        </w:rPr>
        <w:t>identify</w:t>
      </w:r>
      <w:r w:rsidR="001B2D75" w:rsidRPr="0018369C">
        <w:rPr>
          <w:lang w:val="en-CA"/>
        </w:rPr>
        <w:t xml:space="preserve"> in the case law.</w:t>
      </w:r>
      <w:r w:rsidR="000E263F" w:rsidRPr="0018369C">
        <w:rPr>
          <w:lang w:val="en-CA"/>
        </w:rPr>
        <w:t xml:space="preserve"> </w:t>
      </w:r>
      <w:r w:rsidR="001B2D75" w:rsidRPr="0018369C">
        <w:rPr>
          <w:lang w:val="en-CA"/>
        </w:rPr>
        <w:t xml:space="preserve">Take, for example, </w:t>
      </w:r>
      <w:r w:rsidR="001B2D75" w:rsidRPr="008F76B4">
        <w:rPr>
          <w:i/>
          <w:iCs/>
          <w:lang w:val="en-CA"/>
        </w:rPr>
        <w:t>R. v. Morrison</w:t>
      </w:r>
      <w:r w:rsidR="00B05760">
        <w:rPr>
          <w:lang w:val="en-CA"/>
        </w:rPr>
        <w:t>,</w:t>
      </w:r>
      <w:r w:rsidR="008F76B4" w:rsidRPr="0018369C">
        <w:rPr>
          <w:rStyle w:val="Appelnotedebasdep"/>
          <w:lang w:val="en-CA"/>
        </w:rPr>
        <w:footnoteReference w:id="76"/>
      </w:r>
      <w:r w:rsidR="001B2D75" w:rsidRPr="0018369C">
        <w:rPr>
          <w:lang w:val="en-CA"/>
        </w:rPr>
        <w:t xml:space="preserve"> where the accused </w:t>
      </w:r>
      <w:r w:rsidR="008F76B4">
        <w:rPr>
          <w:lang w:val="en-CA"/>
        </w:rPr>
        <w:t>p</w:t>
      </w:r>
      <w:r w:rsidR="001B2D75" w:rsidRPr="0018369C">
        <w:rPr>
          <w:lang w:val="en-CA"/>
        </w:rPr>
        <w:t>osted an advertisement online seeking a “little girl”.</w:t>
      </w:r>
      <w:r w:rsidR="000E263F" w:rsidRPr="0018369C">
        <w:rPr>
          <w:lang w:val="en-CA"/>
        </w:rPr>
        <w:t xml:space="preserve"> </w:t>
      </w:r>
      <w:r w:rsidR="001B2D75" w:rsidRPr="0018369C">
        <w:rPr>
          <w:lang w:val="en-CA"/>
        </w:rPr>
        <w:t>A police officer posing as a 14-year-old girl answered the ad.</w:t>
      </w:r>
      <w:r w:rsidR="000E263F" w:rsidRPr="0018369C">
        <w:rPr>
          <w:lang w:val="en-CA"/>
        </w:rPr>
        <w:t xml:space="preserve"> </w:t>
      </w:r>
      <w:r w:rsidR="001B2D75" w:rsidRPr="0018369C">
        <w:rPr>
          <w:lang w:val="en-CA"/>
        </w:rPr>
        <w:t>Invitations to sexual touching led to a charge of luring on summary conviction.</w:t>
      </w:r>
    </w:p>
    <w:p w14:paraId="1BFAE27B" w14:textId="6F4293CD" w:rsidR="00123EFC" w:rsidRPr="0018369C" w:rsidRDefault="001B2D75" w:rsidP="00A3163A">
      <w:pPr>
        <w:pStyle w:val="Paragraphe"/>
        <w:spacing w:line="280" w:lineRule="exact"/>
        <w:rPr>
          <w:lang w:val="en-CA"/>
        </w:rPr>
      </w:pPr>
      <w:r w:rsidRPr="0018369C">
        <w:rPr>
          <w:lang w:val="en-CA"/>
        </w:rPr>
        <w:t xml:space="preserve">In that case, </w:t>
      </w:r>
      <w:r w:rsidR="008F76B4">
        <w:rPr>
          <w:lang w:val="en-CA"/>
        </w:rPr>
        <w:t>even though</w:t>
      </w:r>
      <w:r w:rsidRPr="0018369C">
        <w:rPr>
          <w:lang w:val="en-CA"/>
        </w:rPr>
        <w:t xml:space="preserve"> it set </w:t>
      </w:r>
      <w:r w:rsidR="009A3DBB">
        <w:rPr>
          <w:lang w:val="en-CA"/>
        </w:rPr>
        <w:t>quashed</w:t>
      </w:r>
      <w:r w:rsidRPr="0018369C">
        <w:rPr>
          <w:lang w:val="en-CA"/>
        </w:rPr>
        <w:t xml:space="preserve"> the conclusion of </w:t>
      </w:r>
      <w:r w:rsidR="008F76B4" w:rsidRPr="0018369C">
        <w:rPr>
          <w:lang w:val="en-CA"/>
        </w:rPr>
        <w:t>unconstitutionality</w:t>
      </w:r>
      <w:r w:rsidRPr="0018369C">
        <w:rPr>
          <w:lang w:val="en-CA"/>
        </w:rPr>
        <w:t xml:space="preserve"> </w:t>
      </w:r>
      <w:r w:rsidR="00A60A83">
        <w:rPr>
          <w:lang w:val="en-CA"/>
        </w:rPr>
        <w:t xml:space="preserve">of </w:t>
      </w:r>
      <w:r w:rsidRPr="0018369C">
        <w:rPr>
          <w:lang w:val="en-CA"/>
        </w:rPr>
        <w:t>the Court of Appeal for Ontario, the majority of the Supreme Court refused to rule on the issue.</w:t>
      </w:r>
      <w:r w:rsidR="000E263F" w:rsidRPr="0018369C">
        <w:rPr>
          <w:lang w:val="en-CA"/>
        </w:rPr>
        <w:t xml:space="preserve"> </w:t>
      </w:r>
      <w:r w:rsidRPr="0018369C">
        <w:rPr>
          <w:lang w:val="en-CA"/>
        </w:rPr>
        <w:t>However, it stated that</w:t>
      </w:r>
      <w:r w:rsidR="008F76B4">
        <w:rPr>
          <w:lang w:val="en-CA"/>
        </w:rPr>
        <w:t xml:space="preserve"> “</w:t>
      </w:r>
      <w:r w:rsidRPr="0018369C">
        <w:rPr>
          <w:lang w:val="en-CA"/>
        </w:rPr>
        <w:t>[s]</w:t>
      </w:r>
      <w:proofErr w:type="spellStart"/>
      <w:r w:rsidRPr="0018369C">
        <w:rPr>
          <w:lang w:val="en-CA"/>
        </w:rPr>
        <w:t>ubsection</w:t>
      </w:r>
      <w:proofErr w:type="spellEnd"/>
      <w:r w:rsidRPr="0018369C">
        <w:rPr>
          <w:lang w:val="en-CA"/>
        </w:rPr>
        <w:t xml:space="preserve"> 172.1(2) </w:t>
      </w:r>
      <w:r w:rsidR="00A60A83">
        <w:rPr>
          <w:lang w:val="en-CA"/>
        </w:rPr>
        <w:t>“</w:t>
      </w:r>
      <w:r w:rsidRPr="0018369C">
        <w:rPr>
          <w:lang w:val="en-CA"/>
        </w:rPr>
        <w:t>“casts its net over a wide range of potential conduct”, making it potentially vulnerable to constitutional challenge given the range of reasonably foreseeable applications of the mandatory minimum”.</w:t>
      </w:r>
      <w:r w:rsidR="000E263F" w:rsidRPr="0018369C">
        <w:rPr>
          <w:rStyle w:val="Appelnotedebasdep"/>
          <w:lang w:val="en-CA"/>
        </w:rPr>
        <w:footnoteReference w:id="77"/>
      </w:r>
      <w:r w:rsidRPr="0018369C">
        <w:rPr>
          <w:lang w:val="en-CA"/>
        </w:rPr>
        <w:t xml:space="preserve"> </w:t>
      </w:r>
    </w:p>
    <w:p w14:paraId="02CF4408" w14:textId="4EF1F343" w:rsidR="00232E41" w:rsidRPr="0018369C" w:rsidRDefault="001B2D75" w:rsidP="00A3163A">
      <w:pPr>
        <w:pStyle w:val="Paragraphe"/>
        <w:spacing w:line="280" w:lineRule="exact"/>
        <w:rPr>
          <w:lang w:val="en-CA"/>
        </w:rPr>
      </w:pPr>
      <w:bookmarkStart w:id="19" w:name="_Ref88477511"/>
      <w:r w:rsidRPr="0018369C">
        <w:rPr>
          <w:lang w:val="en-CA"/>
        </w:rPr>
        <w:t xml:space="preserve">The other </w:t>
      </w:r>
      <w:r w:rsidR="008F76B4" w:rsidRPr="0018369C">
        <w:rPr>
          <w:lang w:val="en-CA"/>
        </w:rPr>
        <w:t>hypothetical</w:t>
      </w:r>
      <w:r w:rsidRPr="0018369C">
        <w:rPr>
          <w:lang w:val="en-CA"/>
        </w:rPr>
        <w:t xml:space="preserve"> case cited by the judge is </w:t>
      </w:r>
      <w:r w:rsidRPr="0018369C">
        <w:rPr>
          <w:i/>
          <w:lang w:val="en-CA"/>
        </w:rPr>
        <w:t>Randall</w:t>
      </w:r>
      <w:r w:rsidRPr="0018369C">
        <w:rPr>
          <w:lang w:val="en-CA"/>
        </w:rPr>
        <w:t>:</w:t>
      </w:r>
      <w:r w:rsidR="000E263F" w:rsidRPr="0018369C">
        <w:rPr>
          <w:rStyle w:val="Appelnotedebasdep"/>
          <w:lang w:val="en-CA"/>
        </w:rPr>
        <w:footnoteReference w:id="78"/>
      </w:r>
      <w:bookmarkEnd w:id="19"/>
      <w:r w:rsidRPr="0018369C">
        <w:rPr>
          <w:i/>
          <w:lang w:val="en-CA"/>
        </w:rPr>
        <w:t xml:space="preserve"> </w:t>
      </w:r>
    </w:p>
    <w:p w14:paraId="78DDE86D" w14:textId="0483B3D1" w:rsidR="001B2D75" w:rsidRPr="0018369C" w:rsidRDefault="001B2D75" w:rsidP="001B2D75">
      <w:pPr>
        <w:pStyle w:val="Paragraphe"/>
        <w:numPr>
          <w:ilvl w:val="0"/>
          <w:numId w:val="0"/>
        </w:numPr>
        <w:spacing w:line="280" w:lineRule="exact"/>
        <w:rPr>
          <w:lang w:val="en-CA"/>
        </w:rPr>
      </w:pPr>
      <w:r w:rsidRPr="0018369C">
        <w:rPr>
          <w:iCs/>
          <w:lang w:val="en-CA"/>
        </w:rPr>
        <w:tab/>
        <w:t>[</w:t>
      </w:r>
      <w:r w:rsidRPr="0018369C">
        <w:rPr>
          <w:iCs/>
          <w:smallCaps/>
          <w:lang w:val="en-CA"/>
        </w:rPr>
        <w:t>translation</w:t>
      </w:r>
      <w:r w:rsidRPr="0018369C">
        <w:rPr>
          <w:iCs/>
          <w:lang w:val="en-CA"/>
        </w:rPr>
        <w:t>]</w:t>
      </w:r>
    </w:p>
    <w:p w14:paraId="647194FC" w14:textId="0E17BE5F" w:rsidR="00B153AF" w:rsidRPr="0018369C" w:rsidRDefault="000E263F" w:rsidP="00AA769B">
      <w:pPr>
        <w:pStyle w:val="Citationenretrait"/>
        <w:spacing w:line="240" w:lineRule="auto"/>
        <w:rPr>
          <w:lang w:val="en-CA"/>
        </w:rPr>
      </w:pPr>
      <w:r w:rsidRPr="0018369C">
        <w:rPr>
          <w:lang w:val="en-CA"/>
        </w:rPr>
        <w:t xml:space="preserve">[223] </w:t>
      </w:r>
      <w:r w:rsidRPr="0018369C">
        <w:rPr>
          <w:lang w:val="en-CA"/>
        </w:rPr>
        <w:tab/>
      </w:r>
      <w:r w:rsidR="001B2D75" w:rsidRPr="0018369C">
        <w:rPr>
          <w:lang w:val="en-CA"/>
        </w:rPr>
        <w:t xml:space="preserve">The third and last case is </w:t>
      </w:r>
      <w:r w:rsidR="001B2D75" w:rsidRPr="0018369C">
        <w:rPr>
          <w:i/>
          <w:lang w:val="en-CA"/>
        </w:rPr>
        <w:t>Randall</w:t>
      </w:r>
      <w:r w:rsidR="001B2D75" w:rsidRPr="0018369C">
        <w:rPr>
          <w:lang w:val="en-CA"/>
        </w:rPr>
        <w:t>, where the accused was a 50-year-old father without a criminal record who was himself sexual</w:t>
      </w:r>
      <w:r w:rsidR="00050B13">
        <w:rPr>
          <w:lang w:val="en-CA"/>
        </w:rPr>
        <w:t>ly</w:t>
      </w:r>
      <w:r w:rsidR="001B2D75" w:rsidRPr="0018369C">
        <w:rPr>
          <w:lang w:val="en-CA"/>
        </w:rPr>
        <w:t xml:space="preserve"> abuse</w:t>
      </w:r>
      <w:r w:rsidR="00050B13">
        <w:rPr>
          <w:lang w:val="en-CA"/>
        </w:rPr>
        <w:t>d</w:t>
      </w:r>
      <w:r w:rsidR="001B2D75" w:rsidRPr="0018369C">
        <w:rPr>
          <w:lang w:val="en-CA"/>
        </w:rPr>
        <w:t xml:space="preserve"> during his youth.</w:t>
      </w:r>
      <w:r w:rsidRPr="0018369C">
        <w:rPr>
          <w:lang w:val="en-CA"/>
        </w:rPr>
        <w:t xml:space="preserve"> </w:t>
      </w:r>
      <w:r w:rsidR="001B2D75" w:rsidRPr="0018369C">
        <w:rPr>
          <w:lang w:val="en-CA"/>
        </w:rPr>
        <w:t xml:space="preserve">He </w:t>
      </w:r>
      <w:r w:rsidR="00EC094D">
        <w:rPr>
          <w:lang w:val="en-CA"/>
        </w:rPr>
        <w:t>had undergone</w:t>
      </w:r>
      <w:r w:rsidR="001B2D75" w:rsidRPr="0018369C">
        <w:rPr>
          <w:lang w:val="en-CA"/>
        </w:rPr>
        <w:t xml:space="preserve"> therapy and had a low risk of reoffending.</w:t>
      </w:r>
      <w:r w:rsidRPr="0018369C">
        <w:rPr>
          <w:lang w:val="en-CA"/>
        </w:rPr>
        <w:t xml:space="preserve"> </w:t>
      </w:r>
      <w:r w:rsidR="001B2D75" w:rsidRPr="0018369C">
        <w:rPr>
          <w:lang w:val="en-CA"/>
        </w:rPr>
        <w:t xml:space="preserve">He developed an online relationship with an undercover officer </w:t>
      </w:r>
      <w:r w:rsidR="00050B13">
        <w:rPr>
          <w:lang w:val="en-CA"/>
        </w:rPr>
        <w:t>posing</w:t>
      </w:r>
      <w:r w:rsidR="001B2D75" w:rsidRPr="0018369C">
        <w:rPr>
          <w:lang w:val="en-CA"/>
        </w:rPr>
        <w:t xml:space="preserve"> as a </w:t>
      </w:r>
      <w:r w:rsidR="008F76B4" w:rsidRPr="0018369C">
        <w:rPr>
          <w:lang w:val="en-CA"/>
        </w:rPr>
        <w:t>15-year-old</w:t>
      </w:r>
      <w:r w:rsidR="001B2D75" w:rsidRPr="0018369C">
        <w:rPr>
          <w:lang w:val="en-CA"/>
        </w:rPr>
        <w:t xml:space="preserve"> </w:t>
      </w:r>
      <w:r w:rsidR="00050B13">
        <w:rPr>
          <w:lang w:val="en-CA"/>
        </w:rPr>
        <w:t>adolescent</w:t>
      </w:r>
      <w:r w:rsidR="001B2D75" w:rsidRPr="0018369C">
        <w:rPr>
          <w:lang w:val="en-CA"/>
        </w:rPr>
        <w:t>.</w:t>
      </w:r>
      <w:r w:rsidRPr="0018369C">
        <w:rPr>
          <w:lang w:val="en-CA"/>
        </w:rPr>
        <w:t xml:space="preserve"> </w:t>
      </w:r>
      <w:r w:rsidR="001B2D75" w:rsidRPr="0018369C">
        <w:rPr>
          <w:lang w:val="en-CA"/>
        </w:rPr>
        <w:lastRenderedPageBreak/>
        <w:t>Their discussions were sexual and they agreed to meet.</w:t>
      </w:r>
      <w:r w:rsidRPr="0018369C">
        <w:rPr>
          <w:lang w:val="en-CA"/>
        </w:rPr>
        <w:t xml:space="preserve"> </w:t>
      </w:r>
      <w:r w:rsidR="001B2D75" w:rsidRPr="0018369C">
        <w:rPr>
          <w:lang w:val="en-CA"/>
        </w:rPr>
        <w:t>It was then that the accused was arrested.</w:t>
      </w:r>
      <w:r w:rsidRPr="0018369C">
        <w:rPr>
          <w:lang w:val="en-CA"/>
        </w:rPr>
        <w:t xml:space="preserve"> </w:t>
      </w:r>
      <w:r w:rsidR="001B2D75" w:rsidRPr="0018369C">
        <w:rPr>
          <w:lang w:val="en-CA"/>
        </w:rPr>
        <w:t>The Court sentence</w:t>
      </w:r>
      <w:r w:rsidR="00EC094D">
        <w:rPr>
          <w:lang w:val="en-CA"/>
        </w:rPr>
        <w:t>d him to</w:t>
      </w:r>
      <w:r w:rsidR="001B2D75" w:rsidRPr="0018369C">
        <w:rPr>
          <w:lang w:val="en-CA"/>
        </w:rPr>
        <w:t xml:space="preserve"> 90 days to be served intermittently</w:t>
      </w:r>
      <w:r w:rsidR="00EC094D">
        <w:rPr>
          <w:lang w:val="en-CA"/>
        </w:rPr>
        <w:t>,</w:t>
      </w:r>
      <w:r w:rsidR="001B2D75" w:rsidRPr="0018369C">
        <w:rPr>
          <w:lang w:val="en-CA"/>
        </w:rPr>
        <w:t xml:space="preserve"> </w:t>
      </w:r>
      <w:r w:rsidR="00050B13">
        <w:rPr>
          <w:lang w:val="en-CA"/>
        </w:rPr>
        <w:t>along with</w:t>
      </w:r>
      <w:r w:rsidR="001B2D75" w:rsidRPr="0018369C">
        <w:rPr>
          <w:lang w:val="en-CA"/>
        </w:rPr>
        <w:t xml:space="preserve"> </w:t>
      </w:r>
      <w:r w:rsidR="00424F16">
        <w:rPr>
          <w:lang w:val="en-CA"/>
        </w:rPr>
        <w:t xml:space="preserve">3 years’ </w:t>
      </w:r>
      <w:r w:rsidR="001B2D75" w:rsidRPr="0018369C">
        <w:rPr>
          <w:lang w:val="en-CA"/>
        </w:rPr>
        <w:t>probation</w:t>
      </w:r>
      <w:r w:rsidR="00EC094D">
        <w:rPr>
          <w:lang w:val="en-CA"/>
        </w:rPr>
        <w:t xml:space="preserve"> </w:t>
      </w:r>
      <w:r w:rsidR="001B2D75" w:rsidRPr="0018369C">
        <w:rPr>
          <w:lang w:val="en-CA"/>
        </w:rPr>
        <w:t>includ</w:t>
      </w:r>
      <w:r w:rsidR="00EC094D">
        <w:rPr>
          <w:lang w:val="en-CA"/>
        </w:rPr>
        <w:t>ing</w:t>
      </w:r>
      <w:r w:rsidR="001B2D75" w:rsidRPr="0018369C">
        <w:rPr>
          <w:lang w:val="en-CA"/>
        </w:rPr>
        <w:t xml:space="preserve"> a curfew for the first year and the </w:t>
      </w:r>
      <w:r w:rsidR="008F76B4" w:rsidRPr="0018369C">
        <w:rPr>
          <w:lang w:val="en-CA"/>
        </w:rPr>
        <w:t>performance</w:t>
      </w:r>
      <w:r w:rsidR="001B2D75" w:rsidRPr="0018369C">
        <w:rPr>
          <w:lang w:val="en-CA"/>
        </w:rPr>
        <w:t xml:space="preserve"> of 120 hours of community work.</w:t>
      </w:r>
    </w:p>
    <w:p w14:paraId="746D7C96" w14:textId="6971B24B" w:rsidR="00B153AF" w:rsidRPr="0018369C" w:rsidRDefault="000E263F" w:rsidP="00AA769B">
      <w:pPr>
        <w:pStyle w:val="Citationenretrait"/>
        <w:spacing w:line="240" w:lineRule="auto"/>
        <w:rPr>
          <w:lang w:val="en-CA"/>
        </w:rPr>
      </w:pPr>
      <w:r w:rsidRPr="0018369C">
        <w:rPr>
          <w:lang w:val="en-CA"/>
        </w:rPr>
        <w:t xml:space="preserve">[224]  </w:t>
      </w:r>
      <w:r w:rsidRPr="0018369C">
        <w:rPr>
          <w:lang w:val="en-CA"/>
        </w:rPr>
        <w:tab/>
      </w:r>
      <w:r w:rsidR="00AA797D" w:rsidRPr="0018369C">
        <w:rPr>
          <w:lang w:val="en-CA"/>
        </w:rPr>
        <w:t xml:space="preserve">This third hypothetical also represents a </w:t>
      </w:r>
      <w:r w:rsidR="008F76B4" w:rsidRPr="0018369C">
        <w:rPr>
          <w:lang w:val="en-CA"/>
        </w:rPr>
        <w:t>situation</w:t>
      </w:r>
      <w:r w:rsidR="00AA797D" w:rsidRPr="0018369C">
        <w:rPr>
          <w:lang w:val="en-CA"/>
        </w:rPr>
        <w:t xml:space="preserve"> where the mandatory minimum sentence of 6 months’ </w:t>
      </w:r>
      <w:r w:rsidR="008F76B4" w:rsidRPr="0018369C">
        <w:rPr>
          <w:lang w:val="en-CA"/>
        </w:rPr>
        <w:t>imprisonment</w:t>
      </w:r>
      <w:r w:rsidR="00AA797D" w:rsidRPr="0018369C">
        <w:rPr>
          <w:lang w:val="en-CA"/>
        </w:rPr>
        <w:t xml:space="preserve"> is grossly disproportionate.</w:t>
      </w:r>
    </w:p>
    <w:p w14:paraId="27516CB2" w14:textId="7371E982" w:rsidR="00232E41" w:rsidRPr="0018369C" w:rsidRDefault="00AA797D" w:rsidP="00A3163A">
      <w:pPr>
        <w:pStyle w:val="Paragraphe"/>
        <w:spacing w:line="280" w:lineRule="exact"/>
        <w:rPr>
          <w:lang w:val="en-CA"/>
        </w:rPr>
      </w:pPr>
      <w:r w:rsidRPr="0018369C">
        <w:rPr>
          <w:lang w:val="en-CA"/>
        </w:rPr>
        <w:t xml:space="preserve">The appellants note that the judgment in </w:t>
      </w:r>
      <w:r w:rsidRPr="0018369C">
        <w:rPr>
          <w:i/>
          <w:lang w:val="en-CA"/>
        </w:rPr>
        <w:t xml:space="preserve">Randall </w:t>
      </w:r>
      <w:r w:rsidRPr="0018369C">
        <w:rPr>
          <w:lang w:val="en-CA"/>
        </w:rPr>
        <w:t xml:space="preserve">was rendered after the Court of Appeal for Ontario </w:t>
      </w:r>
      <w:r w:rsidR="00EC094D">
        <w:rPr>
          <w:lang w:val="en-CA"/>
        </w:rPr>
        <w:t xml:space="preserve">had </w:t>
      </w:r>
      <w:r w:rsidR="00D86675">
        <w:rPr>
          <w:lang w:val="en-CA"/>
        </w:rPr>
        <w:t>declared invalid</w:t>
      </w:r>
      <w:r w:rsidR="00CC2EDD" w:rsidRPr="0018369C">
        <w:rPr>
          <w:lang w:val="en-CA"/>
        </w:rPr>
        <w:t xml:space="preserve"> </w:t>
      </w:r>
      <w:r w:rsidRPr="0018369C">
        <w:rPr>
          <w:lang w:val="en-CA"/>
        </w:rPr>
        <w:t xml:space="preserve">the mandatory minimum sentence </w:t>
      </w:r>
      <w:r w:rsidR="00050B13">
        <w:rPr>
          <w:lang w:val="en-CA"/>
        </w:rPr>
        <w:t>for luring</w:t>
      </w:r>
      <w:r w:rsidR="00050B13" w:rsidRPr="0018369C">
        <w:rPr>
          <w:lang w:val="en-CA"/>
        </w:rPr>
        <w:t xml:space="preserve"> </w:t>
      </w:r>
      <w:r w:rsidRPr="0018369C">
        <w:rPr>
          <w:lang w:val="en-CA"/>
        </w:rPr>
        <w:t xml:space="preserve">prosecuted by way of indictment in </w:t>
      </w:r>
      <w:r w:rsidRPr="0018369C">
        <w:rPr>
          <w:i/>
          <w:lang w:val="en-CA"/>
        </w:rPr>
        <w:t>Morrison</w:t>
      </w:r>
      <w:r w:rsidRPr="0018369C">
        <w:rPr>
          <w:lang w:val="en-CA"/>
        </w:rPr>
        <w:t>, a judgment that was overturned for other reasons by the Supreme Court.</w:t>
      </w:r>
      <w:r w:rsidR="000E263F" w:rsidRPr="0018369C">
        <w:rPr>
          <w:lang w:val="en-CA"/>
        </w:rPr>
        <w:t xml:space="preserve"> </w:t>
      </w:r>
      <w:r w:rsidRPr="0018369C">
        <w:rPr>
          <w:lang w:val="en-CA"/>
        </w:rPr>
        <w:t xml:space="preserve">According to the appellants, the conclusion in </w:t>
      </w:r>
      <w:r w:rsidRPr="0018369C">
        <w:rPr>
          <w:i/>
          <w:lang w:val="en-CA"/>
        </w:rPr>
        <w:t xml:space="preserve">Morrison </w:t>
      </w:r>
      <w:r w:rsidR="00EC094D">
        <w:rPr>
          <w:lang w:val="en-CA"/>
        </w:rPr>
        <w:t>formed</w:t>
      </w:r>
      <w:r w:rsidRPr="0018369C">
        <w:rPr>
          <w:lang w:val="en-CA"/>
        </w:rPr>
        <w:t xml:space="preserve"> part of the reasoning of the judgment in </w:t>
      </w:r>
      <w:r w:rsidRPr="008F76B4">
        <w:rPr>
          <w:i/>
          <w:iCs/>
          <w:lang w:val="en-CA"/>
        </w:rPr>
        <w:t>Randall</w:t>
      </w:r>
      <w:r w:rsidRPr="0018369C">
        <w:rPr>
          <w:lang w:val="en-CA"/>
        </w:rPr>
        <w:t xml:space="preserve"> and therefore should not be followed.</w:t>
      </w:r>
      <w:r w:rsidR="000E263F" w:rsidRPr="0018369C">
        <w:rPr>
          <w:lang w:val="en-CA"/>
        </w:rPr>
        <w:t xml:space="preserve"> </w:t>
      </w:r>
      <w:r w:rsidRPr="0018369C">
        <w:rPr>
          <w:lang w:val="en-CA"/>
        </w:rPr>
        <w:t xml:space="preserve">However, since </w:t>
      </w:r>
      <w:r w:rsidRPr="0018369C">
        <w:rPr>
          <w:i/>
          <w:lang w:val="en-CA"/>
        </w:rPr>
        <w:t>Morrison</w:t>
      </w:r>
      <w:r w:rsidRPr="0018369C">
        <w:rPr>
          <w:lang w:val="en-CA"/>
        </w:rPr>
        <w:t xml:space="preserve">, </w:t>
      </w:r>
      <w:r w:rsidR="00EC094D">
        <w:rPr>
          <w:lang w:val="en-CA"/>
        </w:rPr>
        <w:t xml:space="preserve">this </w:t>
      </w:r>
      <w:r w:rsidRPr="0018369C">
        <w:rPr>
          <w:lang w:val="en-CA"/>
        </w:rPr>
        <w:t>Court</w:t>
      </w:r>
      <w:r w:rsidR="008F76B4">
        <w:rPr>
          <w:lang w:val="en-CA"/>
        </w:rPr>
        <w:t>,</w:t>
      </w:r>
      <w:r w:rsidRPr="0018369C">
        <w:rPr>
          <w:lang w:val="en-CA"/>
        </w:rPr>
        <w:t xml:space="preserve"> </w:t>
      </w:r>
      <w:r w:rsidR="008F76B4" w:rsidRPr="0018369C">
        <w:rPr>
          <w:lang w:val="en-CA"/>
        </w:rPr>
        <w:t xml:space="preserve">in </w:t>
      </w:r>
      <w:r w:rsidR="008F76B4" w:rsidRPr="0018369C">
        <w:rPr>
          <w:i/>
          <w:lang w:val="en-CA"/>
        </w:rPr>
        <w:t>Bertrand Marchand</w:t>
      </w:r>
      <w:r w:rsidR="00063A97">
        <w:rPr>
          <w:iCs/>
          <w:lang w:val="en-CA"/>
        </w:rPr>
        <w:t>,</w:t>
      </w:r>
      <w:r w:rsidR="00063A97" w:rsidRPr="0018369C">
        <w:rPr>
          <w:rStyle w:val="Appelnotedebasdep"/>
          <w:lang w:val="en-CA"/>
        </w:rPr>
        <w:footnoteReference w:id="79"/>
      </w:r>
      <w:r w:rsidR="008F76B4" w:rsidRPr="0018369C">
        <w:rPr>
          <w:lang w:val="en-CA"/>
        </w:rPr>
        <w:t xml:space="preserve"> </w:t>
      </w:r>
      <w:r w:rsidRPr="0018369C">
        <w:rPr>
          <w:lang w:val="en-CA"/>
        </w:rPr>
        <w:t xml:space="preserve">declared </w:t>
      </w:r>
      <w:r w:rsidR="00B05760">
        <w:rPr>
          <w:lang w:val="en-CA"/>
        </w:rPr>
        <w:t xml:space="preserve">invalid </w:t>
      </w:r>
      <w:r w:rsidRPr="0018369C">
        <w:rPr>
          <w:lang w:val="en-CA"/>
        </w:rPr>
        <w:t>the minimum sentence applicable to the offence of luring prosecuted by way of indictmen</w:t>
      </w:r>
      <w:r w:rsidR="00B05760">
        <w:rPr>
          <w:lang w:val="en-CA"/>
        </w:rPr>
        <w:t>t</w:t>
      </w:r>
      <w:r w:rsidRPr="0018369C">
        <w:rPr>
          <w:i/>
          <w:lang w:val="en-CA"/>
        </w:rPr>
        <w:t>.</w:t>
      </w:r>
      <w:r w:rsidR="00063A97">
        <w:rPr>
          <w:lang w:val="en-CA"/>
        </w:rPr>
        <w:t xml:space="preserve"> </w:t>
      </w:r>
      <w:r w:rsidRPr="0018369C">
        <w:rPr>
          <w:lang w:val="en-CA"/>
        </w:rPr>
        <w:t>This neutralizes the distinction suggested by the appellants</w:t>
      </w:r>
      <w:r w:rsidR="00EC094D">
        <w:rPr>
          <w:lang w:val="en-CA"/>
        </w:rPr>
        <w:t>,</w:t>
      </w:r>
      <w:r w:rsidRPr="0018369C">
        <w:rPr>
          <w:lang w:val="en-CA"/>
        </w:rPr>
        <w:t xml:space="preserve"> and </w:t>
      </w:r>
      <w:r w:rsidRPr="0018369C">
        <w:rPr>
          <w:i/>
          <w:lang w:val="en-CA"/>
        </w:rPr>
        <w:t xml:space="preserve">Randall </w:t>
      </w:r>
      <w:r w:rsidRPr="0018369C">
        <w:rPr>
          <w:lang w:val="en-CA"/>
        </w:rPr>
        <w:t>appears to be an appropriate hypothetical case</w:t>
      </w:r>
      <w:r w:rsidR="000E263F" w:rsidRPr="0018369C">
        <w:rPr>
          <w:lang w:val="en-CA"/>
        </w:rPr>
        <w:t>.</w:t>
      </w:r>
    </w:p>
    <w:p w14:paraId="08A6F125" w14:textId="5F6267CB" w:rsidR="0045454A" w:rsidRPr="0018369C" w:rsidRDefault="00AA797D" w:rsidP="00A3163A">
      <w:pPr>
        <w:pStyle w:val="Paragraphe"/>
        <w:spacing w:line="280" w:lineRule="exact"/>
        <w:rPr>
          <w:lang w:val="en-CA"/>
        </w:rPr>
      </w:pPr>
      <w:r w:rsidRPr="0018369C">
        <w:rPr>
          <w:lang w:val="en-CA"/>
        </w:rPr>
        <w:t xml:space="preserve">Given the judgment in </w:t>
      </w:r>
      <w:r w:rsidRPr="0018369C">
        <w:rPr>
          <w:i/>
          <w:lang w:val="en-CA"/>
        </w:rPr>
        <w:t>Bertrand Marchand</w:t>
      </w:r>
      <w:r w:rsidRPr="0018369C">
        <w:rPr>
          <w:lang w:val="en-CA"/>
        </w:rPr>
        <w:t xml:space="preserve">, the possibility that </w:t>
      </w:r>
      <w:r w:rsidR="00050B13">
        <w:rPr>
          <w:lang w:val="en-CA"/>
        </w:rPr>
        <w:t>an offender</w:t>
      </w:r>
      <w:r w:rsidRPr="0018369C">
        <w:rPr>
          <w:lang w:val="en-CA"/>
        </w:rPr>
        <w:t xml:space="preserve"> </w:t>
      </w:r>
      <w:r w:rsidR="00063A97">
        <w:rPr>
          <w:lang w:val="en-CA"/>
        </w:rPr>
        <w:t>must</w:t>
      </w:r>
      <w:r w:rsidRPr="0018369C">
        <w:rPr>
          <w:lang w:val="en-CA"/>
        </w:rPr>
        <w:t xml:space="preserve"> receive a sentence of </w:t>
      </w:r>
      <w:r w:rsidR="004C4C1F">
        <w:rPr>
          <w:lang w:val="en-CA"/>
        </w:rPr>
        <w:t>6</w:t>
      </w:r>
      <w:r w:rsidR="004C4C1F" w:rsidRPr="0018369C">
        <w:rPr>
          <w:lang w:val="en-CA"/>
        </w:rPr>
        <w:t xml:space="preserve"> </w:t>
      </w:r>
      <w:r w:rsidRPr="0018369C">
        <w:rPr>
          <w:lang w:val="en-CA"/>
        </w:rPr>
        <w:t>months when the offence is prosecuted by summary conviction proceedings</w:t>
      </w:r>
      <w:r w:rsidR="00E06171">
        <w:rPr>
          <w:lang w:val="en-CA"/>
        </w:rPr>
        <w:t>,</w:t>
      </w:r>
      <w:r w:rsidRPr="0018369C">
        <w:rPr>
          <w:lang w:val="en-CA"/>
        </w:rPr>
        <w:t xml:space="preserve"> whereas another </w:t>
      </w:r>
      <w:r w:rsidR="00716E11">
        <w:rPr>
          <w:lang w:val="en-CA"/>
        </w:rPr>
        <w:t xml:space="preserve">offender </w:t>
      </w:r>
      <w:r w:rsidRPr="0018369C">
        <w:rPr>
          <w:lang w:val="en-CA"/>
        </w:rPr>
        <w:t>may receive a lesser sentence when prosecuted by indictment</w:t>
      </w:r>
      <w:r w:rsidR="00E06171">
        <w:rPr>
          <w:lang w:val="en-CA"/>
        </w:rPr>
        <w:t>,</w:t>
      </w:r>
      <w:r w:rsidRPr="0018369C">
        <w:rPr>
          <w:lang w:val="en-CA"/>
        </w:rPr>
        <w:t xml:space="preserve"> may potentially lead </w:t>
      </w:r>
      <w:r w:rsidR="00063A97">
        <w:rPr>
          <w:lang w:val="en-CA"/>
        </w:rPr>
        <w:t xml:space="preserve">to </w:t>
      </w:r>
      <w:r w:rsidRPr="0018369C">
        <w:rPr>
          <w:lang w:val="en-CA"/>
        </w:rPr>
        <w:t>unjust and inconsistent situations.</w:t>
      </w:r>
      <w:r w:rsidR="000E263F" w:rsidRPr="0018369C">
        <w:rPr>
          <w:lang w:val="en-CA"/>
        </w:rPr>
        <w:t xml:space="preserve"> </w:t>
      </w:r>
      <w:r w:rsidRPr="0018369C">
        <w:rPr>
          <w:lang w:val="en-CA"/>
        </w:rPr>
        <w:t>The appellants claim that such an argument applies only in the opposite scenario</w:t>
      </w:r>
      <w:r w:rsidR="00716E11">
        <w:rPr>
          <w:lang w:val="en-CA"/>
        </w:rPr>
        <w:t>,</w:t>
      </w:r>
      <w:r w:rsidRPr="0018369C">
        <w:rPr>
          <w:lang w:val="en-CA"/>
        </w:rPr>
        <w:t xml:space="preserve"> where the minimum sentence applicable to prosecution by indictment is under review following a precedent </w:t>
      </w:r>
      <w:r w:rsidR="00B05760">
        <w:rPr>
          <w:lang w:val="en-CA"/>
        </w:rPr>
        <w:t>declaring</w:t>
      </w:r>
      <w:r w:rsidR="00CC2EDD" w:rsidRPr="0018369C">
        <w:rPr>
          <w:lang w:val="en-CA"/>
        </w:rPr>
        <w:t xml:space="preserve"> </w:t>
      </w:r>
      <w:r w:rsidRPr="0018369C">
        <w:rPr>
          <w:lang w:val="en-CA"/>
        </w:rPr>
        <w:t>the minimum sentence on summary conv</w:t>
      </w:r>
      <w:r w:rsidR="00063A97">
        <w:rPr>
          <w:lang w:val="en-CA"/>
        </w:rPr>
        <w:t>ic</w:t>
      </w:r>
      <w:r w:rsidRPr="0018369C">
        <w:rPr>
          <w:lang w:val="en-CA"/>
        </w:rPr>
        <w:t>tion</w:t>
      </w:r>
      <w:r w:rsidR="00B05760">
        <w:rPr>
          <w:lang w:val="en-CA"/>
        </w:rPr>
        <w:t xml:space="preserve"> invalid</w:t>
      </w:r>
      <w:r w:rsidRPr="0018369C">
        <w:rPr>
          <w:lang w:val="en-CA"/>
        </w:rPr>
        <w:t>.</w:t>
      </w:r>
      <w:r w:rsidR="000E263F" w:rsidRPr="0018369C">
        <w:rPr>
          <w:rStyle w:val="Appelnotedebasdep"/>
          <w:lang w:val="en-CA"/>
        </w:rPr>
        <w:footnoteReference w:id="80"/>
      </w:r>
      <w:r w:rsidRPr="0018369C">
        <w:rPr>
          <w:lang w:val="en-CA"/>
        </w:rPr>
        <w:t xml:space="preserve"> </w:t>
      </w:r>
    </w:p>
    <w:p w14:paraId="79C3B935" w14:textId="79F1F100" w:rsidR="00123EFC" w:rsidRPr="0018369C" w:rsidRDefault="00AA797D" w:rsidP="00A3163A">
      <w:pPr>
        <w:pStyle w:val="Paragraphe"/>
        <w:spacing w:line="280" w:lineRule="exact"/>
        <w:rPr>
          <w:lang w:val="en-CA"/>
        </w:rPr>
      </w:pPr>
      <w:r w:rsidRPr="0018369C">
        <w:rPr>
          <w:lang w:val="en-CA"/>
        </w:rPr>
        <w:t>The appellants are incorrect.</w:t>
      </w:r>
      <w:r w:rsidR="000E263F" w:rsidRPr="0018369C">
        <w:rPr>
          <w:lang w:val="en-CA"/>
        </w:rPr>
        <w:t xml:space="preserve"> </w:t>
      </w:r>
      <w:r w:rsidRPr="0018369C">
        <w:rPr>
          <w:lang w:val="en-CA"/>
        </w:rPr>
        <w:t xml:space="preserve">Given the declaration of invalidity of section 172(2)(a) </w:t>
      </w:r>
      <w:r w:rsidRPr="00D86675">
        <w:rPr>
          <w:i/>
          <w:spacing w:val="-20"/>
          <w:lang w:val="en-CA"/>
        </w:rPr>
        <w:t>Cr. C</w:t>
      </w:r>
      <w:r w:rsidRPr="00D86675">
        <w:rPr>
          <w:spacing w:val="-20"/>
          <w:lang w:val="en-CA"/>
        </w:rPr>
        <w:t>.</w:t>
      </w:r>
      <w:r w:rsidRPr="0018369C">
        <w:rPr>
          <w:lang w:val="en-CA"/>
        </w:rPr>
        <w:t xml:space="preserve"> in </w:t>
      </w:r>
      <w:r w:rsidRPr="0018369C">
        <w:rPr>
          <w:i/>
          <w:lang w:val="en-CA"/>
        </w:rPr>
        <w:t>Bertrand Marchand</w:t>
      </w:r>
      <w:r w:rsidRPr="0018369C">
        <w:rPr>
          <w:lang w:val="en-CA"/>
        </w:rPr>
        <w:t xml:space="preserve">, the respondent is subject to a minimum sentence of </w:t>
      </w:r>
      <w:r w:rsidR="004C4C1F">
        <w:rPr>
          <w:lang w:val="en-CA"/>
        </w:rPr>
        <w:t>6</w:t>
      </w:r>
      <w:r w:rsidR="004C4C1F" w:rsidRPr="0018369C">
        <w:rPr>
          <w:lang w:val="en-CA"/>
        </w:rPr>
        <w:t xml:space="preserve"> </w:t>
      </w:r>
      <w:r w:rsidRPr="0018369C">
        <w:rPr>
          <w:lang w:val="en-CA"/>
        </w:rPr>
        <w:t xml:space="preserve">months, whereas such a minimum </w:t>
      </w:r>
      <w:r w:rsidR="00716E11">
        <w:rPr>
          <w:lang w:val="en-CA"/>
        </w:rPr>
        <w:t xml:space="preserve">no longer exists </w:t>
      </w:r>
      <w:r w:rsidRPr="0018369C">
        <w:rPr>
          <w:lang w:val="en-CA"/>
        </w:rPr>
        <w:t>when the offence is prosecuted by way of indictment.</w:t>
      </w:r>
      <w:r w:rsidR="000E263F" w:rsidRPr="0018369C">
        <w:rPr>
          <w:lang w:val="en-CA"/>
        </w:rPr>
        <w:t xml:space="preserve"> </w:t>
      </w:r>
      <w:r w:rsidRPr="0018369C">
        <w:rPr>
          <w:lang w:val="en-CA"/>
        </w:rPr>
        <w:t xml:space="preserve">Although the mode of prosecution falls within the </w:t>
      </w:r>
      <w:r w:rsidR="00716E11">
        <w:rPr>
          <w:lang w:val="en-CA"/>
        </w:rPr>
        <w:t xml:space="preserve">Crown’s </w:t>
      </w:r>
      <w:r w:rsidRPr="0018369C">
        <w:rPr>
          <w:lang w:val="en-CA"/>
        </w:rPr>
        <w:t xml:space="preserve">discretion, this situation offends our </w:t>
      </w:r>
      <w:r w:rsidR="00063A97">
        <w:rPr>
          <w:lang w:val="en-CA"/>
        </w:rPr>
        <w:t>notion</w:t>
      </w:r>
      <w:r w:rsidRPr="0018369C">
        <w:rPr>
          <w:lang w:val="en-CA"/>
        </w:rPr>
        <w:t xml:space="preserve"> of </w:t>
      </w:r>
      <w:r w:rsidR="00716E11">
        <w:rPr>
          <w:lang w:val="en-CA"/>
        </w:rPr>
        <w:t xml:space="preserve">consistency </w:t>
      </w:r>
      <w:r w:rsidR="00101ACD">
        <w:rPr>
          <w:lang w:val="en-CA"/>
        </w:rPr>
        <w:t xml:space="preserve">in light of </w:t>
      </w:r>
      <w:r w:rsidRPr="0018369C">
        <w:rPr>
          <w:lang w:val="en-CA"/>
        </w:rPr>
        <w:t>the principle of parity in sentencing and individualization of sentences.</w:t>
      </w:r>
      <w:r w:rsidR="000E263F" w:rsidRPr="0018369C">
        <w:rPr>
          <w:lang w:val="en-CA"/>
        </w:rPr>
        <w:t xml:space="preserve"> </w:t>
      </w:r>
      <w:r w:rsidRPr="0018369C">
        <w:rPr>
          <w:lang w:val="en-CA"/>
        </w:rPr>
        <w:t xml:space="preserve">It may also give rise to collateral consequences that have nothing to do with the </w:t>
      </w:r>
      <w:r w:rsidR="00063A97" w:rsidRPr="0018369C">
        <w:rPr>
          <w:lang w:val="en-CA"/>
        </w:rPr>
        <w:t>circumstances</w:t>
      </w:r>
      <w:r w:rsidRPr="0018369C">
        <w:rPr>
          <w:lang w:val="en-CA"/>
        </w:rPr>
        <w:t xml:space="preserve"> of the commission of the offence, for example, an accused’s right to appeal an eviction order, in an </w:t>
      </w:r>
      <w:r w:rsidR="00063A97" w:rsidRPr="0018369C">
        <w:rPr>
          <w:lang w:val="en-CA"/>
        </w:rPr>
        <w:t>immigration</w:t>
      </w:r>
      <w:r w:rsidRPr="0018369C">
        <w:rPr>
          <w:lang w:val="en-CA"/>
        </w:rPr>
        <w:t xml:space="preserve"> context, rendered following a conviction.</w:t>
      </w:r>
      <w:r w:rsidR="000E263F" w:rsidRPr="0018369C">
        <w:rPr>
          <w:rStyle w:val="Appelnotedebasdep"/>
          <w:lang w:val="en-CA"/>
        </w:rPr>
        <w:footnoteReference w:id="81"/>
      </w:r>
      <w:r w:rsidRPr="0018369C">
        <w:rPr>
          <w:lang w:val="en-CA"/>
        </w:rPr>
        <w:t xml:space="preserve"> </w:t>
      </w:r>
    </w:p>
    <w:p w14:paraId="64A53092" w14:textId="0B970DA5" w:rsidR="00123EFC" w:rsidRPr="0018369C" w:rsidRDefault="00AA797D" w:rsidP="00A3163A">
      <w:pPr>
        <w:pStyle w:val="Paragraphe"/>
        <w:spacing w:line="280" w:lineRule="exact"/>
        <w:rPr>
          <w:lang w:val="en-CA"/>
        </w:rPr>
      </w:pPr>
      <w:r w:rsidRPr="0018369C">
        <w:rPr>
          <w:lang w:val="en-CA"/>
        </w:rPr>
        <w:t xml:space="preserve">The appellants </w:t>
      </w:r>
      <w:r w:rsidR="007C168C">
        <w:rPr>
          <w:lang w:val="en-CA"/>
        </w:rPr>
        <w:t>are</w:t>
      </w:r>
      <w:r w:rsidR="007C168C" w:rsidRPr="0018369C">
        <w:rPr>
          <w:lang w:val="en-CA"/>
        </w:rPr>
        <w:t xml:space="preserve"> </w:t>
      </w:r>
      <w:r w:rsidRPr="0018369C">
        <w:rPr>
          <w:lang w:val="en-CA"/>
        </w:rPr>
        <w:t xml:space="preserve">not </w:t>
      </w:r>
      <w:r w:rsidR="007C168C" w:rsidRPr="0018369C">
        <w:rPr>
          <w:lang w:val="en-CA"/>
        </w:rPr>
        <w:t>argu</w:t>
      </w:r>
      <w:r w:rsidR="007C168C">
        <w:rPr>
          <w:lang w:val="en-CA"/>
        </w:rPr>
        <w:t>ing</w:t>
      </w:r>
      <w:r w:rsidR="007C168C" w:rsidRPr="0018369C">
        <w:rPr>
          <w:lang w:val="en-CA"/>
        </w:rPr>
        <w:t xml:space="preserve"> </w:t>
      </w:r>
      <w:r w:rsidRPr="0018369C">
        <w:rPr>
          <w:lang w:val="en-CA"/>
        </w:rPr>
        <w:t>that the mandatory minimum sentence i</w:t>
      </w:r>
      <w:r w:rsidR="00063A97">
        <w:rPr>
          <w:lang w:val="en-CA"/>
        </w:rPr>
        <w:t>n</w:t>
      </w:r>
      <w:r w:rsidRPr="0018369C">
        <w:rPr>
          <w:lang w:val="en-CA"/>
        </w:rPr>
        <w:t xml:space="preserve"> this case is saved by section 1 of the </w:t>
      </w:r>
      <w:r w:rsidRPr="0018369C">
        <w:rPr>
          <w:i/>
          <w:lang w:val="en-CA"/>
        </w:rPr>
        <w:t>Charter</w:t>
      </w:r>
      <w:r w:rsidRPr="0018369C">
        <w:rPr>
          <w:lang w:val="en-CA"/>
        </w:rPr>
        <w:t>.</w:t>
      </w:r>
      <w:r w:rsidR="000E263F" w:rsidRPr="0018369C">
        <w:rPr>
          <w:lang w:val="en-CA"/>
        </w:rPr>
        <w:t xml:space="preserve"> </w:t>
      </w:r>
      <w:r w:rsidRPr="0018369C">
        <w:rPr>
          <w:lang w:val="en-CA"/>
        </w:rPr>
        <w:t>Nevertheless, we agree with the Superior Court</w:t>
      </w:r>
      <w:r w:rsidR="00716E11">
        <w:rPr>
          <w:lang w:val="en-CA"/>
        </w:rPr>
        <w:t>’s analysis</w:t>
      </w:r>
      <w:r w:rsidRPr="0018369C">
        <w:rPr>
          <w:lang w:val="en-CA"/>
        </w:rPr>
        <w:t xml:space="preserve"> in this regard.</w:t>
      </w:r>
    </w:p>
    <w:p w14:paraId="304536DE" w14:textId="3B97DF0E" w:rsidR="00123EFC" w:rsidRPr="0018369C" w:rsidRDefault="00AA797D" w:rsidP="00A3163A">
      <w:pPr>
        <w:pStyle w:val="Paragraphe"/>
        <w:spacing w:line="280" w:lineRule="exact"/>
        <w:rPr>
          <w:lang w:val="en-CA"/>
        </w:rPr>
      </w:pPr>
      <w:r w:rsidRPr="0018369C">
        <w:rPr>
          <w:lang w:val="en-CA"/>
        </w:rPr>
        <w:lastRenderedPageBreak/>
        <w:t>Absent a reviewable error, there is no reason to intervene.</w:t>
      </w:r>
    </w:p>
    <w:p w14:paraId="6A56B6B7" w14:textId="51F9EF79" w:rsidR="00230185" w:rsidRPr="0018369C" w:rsidRDefault="00AA797D" w:rsidP="00A3163A">
      <w:pPr>
        <w:pStyle w:val="Paragraphe"/>
        <w:numPr>
          <w:ilvl w:val="0"/>
          <w:numId w:val="0"/>
        </w:numPr>
        <w:spacing w:line="280" w:lineRule="exact"/>
        <w:rPr>
          <w:b/>
          <w:lang w:val="en-CA"/>
        </w:rPr>
      </w:pPr>
      <w:r w:rsidRPr="0018369C">
        <w:rPr>
          <w:b/>
          <w:lang w:val="en-CA"/>
        </w:rPr>
        <w:t>FOR THESE REASONS, THE COURT:</w:t>
      </w:r>
    </w:p>
    <w:p w14:paraId="1BAC830B" w14:textId="3CF3334E" w:rsidR="00230185" w:rsidRPr="0018369C" w:rsidRDefault="00AA797D" w:rsidP="00A3163A">
      <w:pPr>
        <w:pStyle w:val="Paragraphe"/>
        <w:spacing w:line="280" w:lineRule="exact"/>
        <w:rPr>
          <w:lang w:val="en-CA"/>
        </w:rPr>
      </w:pPr>
      <w:r w:rsidRPr="0018369C">
        <w:rPr>
          <w:b/>
          <w:lang w:val="en-CA"/>
        </w:rPr>
        <w:t xml:space="preserve">GRANTS </w:t>
      </w:r>
      <w:r w:rsidRPr="0018369C">
        <w:rPr>
          <w:bCs/>
          <w:lang w:val="en-CA"/>
        </w:rPr>
        <w:t xml:space="preserve">the </w:t>
      </w:r>
      <w:r w:rsidR="007C168C">
        <w:rPr>
          <w:bCs/>
          <w:lang w:val="en-CA"/>
        </w:rPr>
        <w:t>application</w:t>
      </w:r>
      <w:r w:rsidR="007C168C" w:rsidRPr="0018369C">
        <w:rPr>
          <w:bCs/>
          <w:lang w:val="en-CA"/>
        </w:rPr>
        <w:t xml:space="preserve"> </w:t>
      </w:r>
      <w:r w:rsidRPr="0018369C">
        <w:rPr>
          <w:bCs/>
          <w:lang w:val="en-CA"/>
        </w:rPr>
        <w:t>for leave to appeal on the deferred question;</w:t>
      </w:r>
    </w:p>
    <w:p w14:paraId="442BFA70" w14:textId="5B4CB8CD" w:rsidR="00C27199" w:rsidRPr="0018369C" w:rsidRDefault="00AA797D" w:rsidP="00A3163A">
      <w:pPr>
        <w:pStyle w:val="Paragraphe"/>
        <w:spacing w:line="280" w:lineRule="exact"/>
        <w:rPr>
          <w:lang w:val="en-CA"/>
        </w:rPr>
      </w:pPr>
      <w:r w:rsidRPr="0018369C">
        <w:rPr>
          <w:b/>
          <w:lang w:val="en-CA"/>
        </w:rPr>
        <w:t xml:space="preserve">DISMISSES </w:t>
      </w:r>
      <w:r w:rsidRPr="0018369C">
        <w:rPr>
          <w:bCs/>
          <w:lang w:val="en-CA"/>
        </w:rPr>
        <w:t>the appeal.</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A80F26" w:rsidRPr="0018369C" w14:paraId="5EB9B456" w14:textId="77777777" w:rsidTr="003E3239">
        <w:trPr>
          <w:trHeight w:val="576"/>
        </w:trPr>
        <w:tc>
          <w:tcPr>
            <w:tcW w:w="9362" w:type="dxa"/>
            <w:gridSpan w:val="3"/>
            <w:tcBorders>
              <w:top w:val="nil"/>
              <w:bottom w:val="nil"/>
            </w:tcBorders>
          </w:tcPr>
          <w:p w14:paraId="6633726D" w14:textId="77777777" w:rsidR="008F364A" w:rsidRPr="0018369C" w:rsidRDefault="00101ACD" w:rsidP="00A3163A">
            <w:pPr>
              <w:keepNext/>
              <w:rPr>
                <w:lang w:val="en-CA"/>
              </w:rPr>
            </w:pPr>
          </w:p>
        </w:tc>
      </w:tr>
      <w:tr w:rsidR="00A80F26" w:rsidRPr="0018369C" w14:paraId="07013396" w14:textId="77777777" w:rsidTr="00117914">
        <w:trPr>
          <w:trHeight w:val="283"/>
        </w:trPr>
        <w:tc>
          <w:tcPr>
            <w:tcW w:w="4682" w:type="dxa"/>
            <w:gridSpan w:val="2"/>
            <w:tcBorders>
              <w:top w:val="nil"/>
              <w:bottom w:val="nil"/>
            </w:tcBorders>
          </w:tcPr>
          <w:p w14:paraId="154820EF" w14:textId="77777777" w:rsidR="008F364A" w:rsidRPr="0018369C" w:rsidRDefault="00101ACD" w:rsidP="00A3163A">
            <w:pPr>
              <w:keepNext/>
              <w:rPr>
                <w:lang w:val="en-CA"/>
              </w:rPr>
            </w:pPr>
          </w:p>
        </w:tc>
        <w:tc>
          <w:tcPr>
            <w:tcW w:w="4680" w:type="dxa"/>
            <w:tcBorders>
              <w:top w:val="nil"/>
              <w:bottom w:val="single" w:sz="8" w:space="0" w:color="auto"/>
            </w:tcBorders>
          </w:tcPr>
          <w:p w14:paraId="0B243490" w14:textId="77777777" w:rsidR="008F364A" w:rsidRPr="0018369C" w:rsidRDefault="00101ACD" w:rsidP="00A3163A">
            <w:pPr>
              <w:keepNext/>
              <w:rPr>
                <w:lang w:val="en-CA"/>
              </w:rPr>
            </w:pPr>
          </w:p>
        </w:tc>
      </w:tr>
      <w:tr w:rsidR="00A80F26" w:rsidRPr="0018369C" w14:paraId="49E77BA2" w14:textId="77777777" w:rsidTr="00117914">
        <w:trPr>
          <w:trHeight w:val="283"/>
        </w:trPr>
        <w:tc>
          <w:tcPr>
            <w:tcW w:w="4682" w:type="dxa"/>
            <w:gridSpan w:val="2"/>
            <w:tcBorders>
              <w:top w:val="nil"/>
            </w:tcBorders>
          </w:tcPr>
          <w:p w14:paraId="5424A89B" w14:textId="77777777" w:rsidR="008F364A" w:rsidRPr="0018369C" w:rsidRDefault="00101ACD" w:rsidP="00A3163A">
            <w:pPr>
              <w:keepNext/>
              <w:rPr>
                <w:lang w:val="en-CA"/>
              </w:rPr>
            </w:pPr>
          </w:p>
        </w:tc>
        <w:tc>
          <w:tcPr>
            <w:tcW w:w="4680" w:type="dxa"/>
            <w:tcBorders>
              <w:top w:val="single" w:sz="8" w:space="0" w:color="auto"/>
            </w:tcBorders>
          </w:tcPr>
          <w:p w14:paraId="1D65151B" w14:textId="2A783548" w:rsidR="008F364A" w:rsidRPr="0018369C" w:rsidRDefault="00AA797D" w:rsidP="00A3163A">
            <w:pPr>
              <w:rPr>
                <w:lang w:val="en-CA"/>
              </w:rPr>
            </w:pPr>
            <w:r w:rsidRPr="0018369C">
              <w:rPr>
                <w:lang w:val="en-CA"/>
              </w:rPr>
              <w:t>MARK SCHRAGER, J.A.</w:t>
            </w:r>
          </w:p>
        </w:tc>
      </w:tr>
      <w:tr w:rsidR="00A80F26" w:rsidRPr="0018369C" w14:paraId="06E47F0A" w14:textId="77777777" w:rsidTr="00117914">
        <w:trPr>
          <w:trHeight w:val="283"/>
        </w:trPr>
        <w:tc>
          <w:tcPr>
            <w:tcW w:w="4682" w:type="dxa"/>
            <w:gridSpan w:val="2"/>
            <w:tcBorders>
              <w:top w:val="nil"/>
            </w:tcBorders>
          </w:tcPr>
          <w:p w14:paraId="507ED2FD" w14:textId="77777777" w:rsidR="008F364A" w:rsidRPr="0018369C" w:rsidRDefault="00101ACD" w:rsidP="00A3163A">
            <w:pPr>
              <w:keepNext/>
              <w:rPr>
                <w:lang w:val="en-CA"/>
              </w:rPr>
            </w:pPr>
            <w:bookmarkStart w:id="22" w:name="Signature2"/>
          </w:p>
        </w:tc>
        <w:tc>
          <w:tcPr>
            <w:tcW w:w="4680" w:type="dxa"/>
            <w:tcBorders>
              <w:top w:val="nil"/>
            </w:tcBorders>
          </w:tcPr>
          <w:p w14:paraId="2C710549" w14:textId="77777777" w:rsidR="008F364A" w:rsidRPr="0018369C" w:rsidRDefault="00101ACD" w:rsidP="00A3163A">
            <w:pPr>
              <w:keepNext/>
              <w:rPr>
                <w:lang w:val="en-CA"/>
              </w:rPr>
            </w:pPr>
          </w:p>
        </w:tc>
      </w:tr>
      <w:tr w:rsidR="00A80F26" w:rsidRPr="0018369C" w14:paraId="1029B7C1" w14:textId="77777777" w:rsidTr="00117914">
        <w:trPr>
          <w:trHeight w:val="283"/>
        </w:trPr>
        <w:tc>
          <w:tcPr>
            <w:tcW w:w="4682" w:type="dxa"/>
            <w:gridSpan w:val="2"/>
            <w:tcBorders>
              <w:top w:val="nil"/>
              <w:bottom w:val="nil"/>
            </w:tcBorders>
          </w:tcPr>
          <w:p w14:paraId="06EA5AFC" w14:textId="77777777" w:rsidR="008F364A" w:rsidRPr="0018369C" w:rsidRDefault="00101ACD" w:rsidP="00A3163A">
            <w:pPr>
              <w:keepNext/>
              <w:rPr>
                <w:lang w:val="en-CA"/>
              </w:rPr>
            </w:pPr>
          </w:p>
        </w:tc>
        <w:tc>
          <w:tcPr>
            <w:tcW w:w="4680" w:type="dxa"/>
            <w:tcBorders>
              <w:top w:val="nil"/>
              <w:bottom w:val="single" w:sz="8" w:space="0" w:color="auto"/>
            </w:tcBorders>
          </w:tcPr>
          <w:p w14:paraId="67B1196F" w14:textId="77777777" w:rsidR="008F364A" w:rsidRPr="0018369C" w:rsidRDefault="00101ACD" w:rsidP="00A3163A">
            <w:pPr>
              <w:keepNext/>
              <w:rPr>
                <w:lang w:val="en-CA"/>
              </w:rPr>
            </w:pPr>
          </w:p>
        </w:tc>
      </w:tr>
      <w:tr w:rsidR="00A80F26" w:rsidRPr="0018369C" w14:paraId="608939D8" w14:textId="77777777" w:rsidTr="00117914">
        <w:trPr>
          <w:trHeight w:val="283"/>
        </w:trPr>
        <w:tc>
          <w:tcPr>
            <w:tcW w:w="4682" w:type="dxa"/>
            <w:gridSpan w:val="2"/>
            <w:tcBorders>
              <w:top w:val="nil"/>
            </w:tcBorders>
          </w:tcPr>
          <w:p w14:paraId="2B7B2754" w14:textId="77777777" w:rsidR="008F364A" w:rsidRPr="0018369C" w:rsidRDefault="00101ACD" w:rsidP="00A3163A">
            <w:pPr>
              <w:keepNext/>
              <w:rPr>
                <w:lang w:val="en-CA"/>
              </w:rPr>
            </w:pPr>
          </w:p>
        </w:tc>
        <w:tc>
          <w:tcPr>
            <w:tcW w:w="4680" w:type="dxa"/>
            <w:tcBorders>
              <w:top w:val="single" w:sz="8" w:space="0" w:color="auto"/>
            </w:tcBorders>
          </w:tcPr>
          <w:p w14:paraId="2EA08E8B" w14:textId="4E648FC6" w:rsidR="008F364A" w:rsidRPr="0018369C" w:rsidRDefault="00AA797D" w:rsidP="00A3163A">
            <w:pPr>
              <w:keepNext/>
              <w:rPr>
                <w:lang w:val="en-CA"/>
              </w:rPr>
            </w:pPr>
            <w:r w:rsidRPr="0018369C">
              <w:rPr>
                <w:lang w:val="en-CA"/>
              </w:rPr>
              <w:t>BENOÎT MOORE, J.A.</w:t>
            </w:r>
          </w:p>
        </w:tc>
      </w:tr>
      <w:tr w:rsidR="00A80F26" w:rsidRPr="0018369C" w14:paraId="0364E4E6" w14:textId="77777777" w:rsidTr="00117914">
        <w:trPr>
          <w:trHeight w:val="283"/>
        </w:trPr>
        <w:tc>
          <w:tcPr>
            <w:tcW w:w="4682" w:type="dxa"/>
            <w:gridSpan w:val="2"/>
            <w:tcBorders>
              <w:top w:val="nil"/>
            </w:tcBorders>
          </w:tcPr>
          <w:p w14:paraId="0B7CFB06" w14:textId="77777777" w:rsidR="008F364A" w:rsidRPr="0018369C" w:rsidRDefault="00101ACD" w:rsidP="00A3163A">
            <w:pPr>
              <w:keepNext/>
              <w:rPr>
                <w:lang w:val="en-CA"/>
              </w:rPr>
            </w:pPr>
            <w:bookmarkStart w:id="23" w:name="Signature3"/>
            <w:bookmarkEnd w:id="22"/>
          </w:p>
        </w:tc>
        <w:tc>
          <w:tcPr>
            <w:tcW w:w="4680" w:type="dxa"/>
            <w:tcBorders>
              <w:top w:val="nil"/>
            </w:tcBorders>
          </w:tcPr>
          <w:p w14:paraId="54B6C9B4" w14:textId="77777777" w:rsidR="008F364A" w:rsidRPr="0018369C" w:rsidRDefault="00101ACD" w:rsidP="00A3163A">
            <w:pPr>
              <w:keepNext/>
              <w:rPr>
                <w:lang w:val="en-CA"/>
              </w:rPr>
            </w:pPr>
          </w:p>
        </w:tc>
      </w:tr>
      <w:tr w:rsidR="00A80F26" w:rsidRPr="0018369C" w14:paraId="5A157F05" w14:textId="77777777" w:rsidTr="00117914">
        <w:trPr>
          <w:trHeight w:val="283"/>
        </w:trPr>
        <w:tc>
          <w:tcPr>
            <w:tcW w:w="4682" w:type="dxa"/>
            <w:gridSpan w:val="2"/>
            <w:tcBorders>
              <w:top w:val="nil"/>
              <w:bottom w:val="nil"/>
            </w:tcBorders>
          </w:tcPr>
          <w:p w14:paraId="50ADEB40" w14:textId="77777777" w:rsidR="008F364A" w:rsidRPr="0018369C" w:rsidRDefault="00101ACD" w:rsidP="00A3163A">
            <w:pPr>
              <w:keepNext/>
              <w:rPr>
                <w:lang w:val="en-CA"/>
              </w:rPr>
            </w:pPr>
          </w:p>
        </w:tc>
        <w:tc>
          <w:tcPr>
            <w:tcW w:w="4680" w:type="dxa"/>
            <w:tcBorders>
              <w:top w:val="nil"/>
              <w:bottom w:val="single" w:sz="8" w:space="0" w:color="auto"/>
            </w:tcBorders>
          </w:tcPr>
          <w:p w14:paraId="3B26C9B9" w14:textId="77777777" w:rsidR="008F364A" w:rsidRPr="0018369C" w:rsidRDefault="00101ACD" w:rsidP="00A3163A">
            <w:pPr>
              <w:keepNext/>
              <w:rPr>
                <w:lang w:val="en-CA"/>
              </w:rPr>
            </w:pPr>
          </w:p>
        </w:tc>
      </w:tr>
      <w:tr w:rsidR="00A80F26" w:rsidRPr="0018369C" w14:paraId="0BB5F01D" w14:textId="77777777" w:rsidTr="00117914">
        <w:trPr>
          <w:trHeight w:val="283"/>
        </w:trPr>
        <w:tc>
          <w:tcPr>
            <w:tcW w:w="4682" w:type="dxa"/>
            <w:gridSpan w:val="2"/>
            <w:tcBorders>
              <w:top w:val="nil"/>
            </w:tcBorders>
          </w:tcPr>
          <w:p w14:paraId="05B6C13B" w14:textId="77777777" w:rsidR="008F364A" w:rsidRPr="0018369C" w:rsidRDefault="00101ACD" w:rsidP="00A3163A">
            <w:pPr>
              <w:keepNext/>
              <w:rPr>
                <w:lang w:val="en-CA"/>
              </w:rPr>
            </w:pPr>
          </w:p>
        </w:tc>
        <w:tc>
          <w:tcPr>
            <w:tcW w:w="4680" w:type="dxa"/>
            <w:tcBorders>
              <w:top w:val="single" w:sz="8" w:space="0" w:color="auto"/>
            </w:tcBorders>
          </w:tcPr>
          <w:p w14:paraId="4F1FA2D0" w14:textId="42FF01B1" w:rsidR="008F364A" w:rsidRPr="0018369C" w:rsidRDefault="00AA797D" w:rsidP="00A3163A">
            <w:pPr>
              <w:keepNext/>
              <w:rPr>
                <w:lang w:val="en-CA"/>
              </w:rPr>
            </w:pPr>
            <w:r w:rsidRPr="0018369C">
              <w:rPr>
                <w:lang w:val="en-CA"/>
              </w:rPr>
              <w:t>PETER KALICHMAN, J.A.</w:t>
            </w:r>
          </w:p>
        </w:tc>
      </w:tr>
      <w:bookmarkEnd w:id="23"/>
      <w:tr w:rsidR="00A80F26" w:rsidRPr="0018369C" w14:paraId="0DBF3D5E" w14:textId="77777777" w:rsidTr="00423DF1">
        <w:tc>
          <w:tcPr>
            <w:tcW w:w="9362" w:type="dxa"/>
            <w:gridSpan w:val="3"/>
          </w:tcPr>
          <w:p w14:paraId="5DC94740" w14:textId="77777777" w:rsidR="005A78BF" w:rsidRPr="0018369C" w:rsidRDefault="00101ACD" w:rsidP="00A3163A">
            <w:pPr>
              <w:rPr>
                <w:lang w:val="en-CA"/>
              </w:rPr>
            </w:pPr>
          </w:p>
        </w:tc>
      </w:tr>
      <w:tr w:rsidR="00A80F26" w:rsidRPr="0018369C" w14:paraId="6B2DBE12" w14:textId="77777777" w:rsidTr="00423DF1">
        <w:tc>
          <w:tcPr>
            <w:tcW w:w="9362" w:type="dxa"/>
            <w:gridSpan w:val="3"/>
          </w:tcPr>
          <w:p w14:paraId="7CA1EDD3" w14:textId="519946AC" w:rsidR="005A78BF" w:rsidRPr="0018369C" w:rsidRDefault="000E263F" w:rsidP="00A3163A">
            <w:pPr>
              <w:pStyle w:val="zSoquijdatNomProcureurDem"/>
              <w:rPr>
                <w:lang w:val="en-CA"/>
              </w:rPr>
            </w:pPr>
            <w:r w:rsidRPr="0018369C">
              <w:rPr>
                <w:lang w:val="en-CA"/>
              </w:rPr>
              <w:t>M</w:t>
            </w:r>
            <w:r w:rsidR="00AA797D" w:rsidRPr="0018369C">
              <w:rPr>
                <w:lang w:val="en-CA"/>
              </w:rPr>
              <w:t>tr</w:t>
            </w:r>
            <w:r w:rsidRPr="0018369C">
              <w:rPr>
                <w:lang w:val="en-CA"/>
              </w:rPr>
              <w:t>e Maxime Seyer-Cloutier</w:t>
            </w:r>
          </w:p>
        </w:tc>
      </w:tr>
      <w:tr w:rsidR="00A80F26" w:rsidRPr="0018369C" w14:paraId="71B5AB90" w14:textId="77777777" w:rsidTr="00423DF1">
        <w:tc>
          <w:tcPr>
            <w:tcW w:w="9362" w:type="dxa"/>
            <w:gridSpan w:val="3"/>
          </w:tcPr>
          <w:p w14:paraId="54E1B3A5" w14:textId="67E7063F" w:rsidR="005A78BF" w:rsidRPr="0018369C" w:rsidRDefault="000E263F" w:rsidP="00A3163A">
            <w:pPr>
              <w:pStyle w:val="zSoquijdatCabinetProcureurDem"/>
              <w:rPr>
                <w:lang w:val="en-CA"/>
              </w:rPr>
            </w:pPr>
            <w:r w:rsidRPr="0018369C">
              <w:rPr>
                <w:lang w:val="en-CA"/>
              </w:rPr>
              <w:t>BERNARD, ROY (JUSTICE-QUÉBEC)</w:t>
            </w:r>
          </w:p>
        </w:tc>
      </w:tr>
      <w:tr w:rsidR="00A80F26" w:rsidRPr="00675212" w14:paraId="11856391" w14:textId="77777777" w:rsidTr="00423DF1">
        <w:tc>
          <w:tcPr>
            <w:tcW w:w="9362" w:type="dxa"/>
            <w:gridSpan w:val="3"/>
          </w:tcPr>
          <w:p w14:paraId="61839F5B" w14:textId="46FA45F1" w:rsidR="005A78BF" w:rsidRPr="0018369C" w:rsidRDefault="00AA797D" w:rsidP="004E158F">
            <w:pPr>
              <w:pStyle w:val="zSoquijlblProcureurDem"/>
              <w:rPr>
                <w:lang w:val="en-CA"/>
              </w:rPr>
            </w:pPr>
            <w:r w:rsidRPr="0018369C">
              <w:rPr>
                <w:lang w:val="en-CA"/>
              </w:rPr>
              <w:t>For the Attorney General of Quebec</w:t>
            </w:r>
          </w:p>
        </w:tc>
      </w:tr>
      <w:tr w:rsidR="00A80F26" w:rsidRPr="00675212" w14:paraId="2D276A6B" w14:textId="77777777" w:rsidTr="000F3B31">
        <w:tc>
          <w:tcPr>
            <w:tcW w:w="9362" w:type="dxa"/>
            <w:gridSpan w:val="3"/>
            <w:tcBorders>
              <w:bottom w:val="nil"/>
            </w:tcBorders>
          </w:tcPr>
          <w:p w14:paraId="45496EAB" w14:textId="77777777" w:rsidR="008B162F" w:rsidRPr="0018369C" w:rsidRDefault="00101ACD" w:rsidP="00A3163A">
            <w:pPr>
              <w:rPr>
                <w:lang w:val="en-CA"/>
              </w:rPr>
            </w:pPr>
          </w:p>
        </w:tc>
      </w:tr>
      <w:tr w:rsidR="00A80F26" w:rsidRPr="0018369C" w14:paraId="5DA3771D" w14:textId="77777777" w:rsidTr="000F3B31">
        <w:tc>
          <w:tcPr>
            <w:tcW w:w="9362" w:type="dxa"/>
            <w:gridSpan w:val="3"/>
            <w:tcBorders>
              <w:top w:val="nil"/>
            </w:tcBorders>
          </w:tcPr>
          <w:p w14:paraId="5C2A4B9C" w14:textId="26C7E4C2" w:rsidR="008B162F" w:rsidRPr="0018369C" w:rsidRDefault="00AA797D" w:rsidP="00A3163A">
            <w:pPr>
              <w:pStyle w:val="zSoquijdatNomProcureurDem"/>
              <w:rPr>
                <w:lang w:val="en-CA"/>
              </w:rPr>
            </w:pPr>
            <w:r w:rsidRPr="0018369C">
              <w:rPr>
                <w:lang w:val="en-CA"/>
              </w:rPr>
              <w:t>Mtre Éric Bernier</w:t>
            </w:r>
          </w:p>
        </w:tc>
      </w:tr>
      <w:tr w:rsidR="00A80F26" w:rsidRPr="00675212" w14:paraId="7AD46F3A" w14:textId="77777777" w:rsidTr="00423DF1">
        <w:tc>
          <w:tcPr>
            <w:tcW w:w="9362" w:type="dxa"/>
            <w:gridSpan w:val="3"/>
          </w:tcPr>
          <w:p w14:paraId="631D6C66" w14:textId="644F6F89" w:rsidR="008B162F" w:rsidRPr="0018369C" w:rsidRDefault="00AA797D" w:rsidP="00A3163A">
            <w:pPr>
              <w:pStyle w:val="zSoquijdatCabinetProcureurDem"/>
              <w:rPr>
                <w:lang w:val="en-CA"/>
              </w:rPr>
            </w:pPr>
            <w:r w:rsidRPr="0018369C">
              <w:rPr>
                <w:lang w:val="en-CA"/>
              </w:rPr>
              <w:t>DIRECTOR OF CRIMINAL AND PENAL PROSECUTIONS</w:t>
            </w:r>
          </w:p>
        </w:tc>
      </w:tr>
      <w:tr w:rsidR="00A80F26" w:rsidRPr="00675212" w14:paraId="3E734BD7" w14:textId="77777777" w:rsidTr="00B36765">
        <w:tc>
          <w:tcPr>
            <w:tcW w:w="9362" w:type="dxa"/>
            <w:gridSpan w:val="3"/>
            <w:tcBorders>
              <w:bottom w:val="nil"/>
            </w:tcBorders>
          </w:tcPr>
          <w:p w14:paraId="42BBECAC" w14:textId="5904124C" w:rsidR="008B162F" w:rsidRPr="0018369C" w:rsidRDefault="007C168C" w:rsidP="00A3163A">
            <w:pPr>
              <w:pStyle w:val="zSoquijlblProcureurDem"/>
              <w:rPr>
                <w:lang w:val="en-CA"/>
              </w:rPr>
            </w:pPr>
            <w:r>
              <w:rPr>
                <w:lang w:val="en-CA"/>
              </w:rPr>
              <w:t xml:space="preserve">For </w:t>
            </w:r>
            <w:r w:rsidR="00AA797D" w:rsidRPr="0018369C">
              <w:rPr>
                <w:lang w:val="en-CA"/>
              </w:rPr>
              <w:t>H</w:t>
            </w:r>
            <w:r>
              <w:rPr>
                <w:lang w:val="en-CA"/>
              </w:rPr>
              <w:t>er Majesty the Queen</w:t>
            </w:r>
          </w:p>
        </w:tc>
      </w:tr>
      <w:tr w:rsidR="00A80F26" w:rsidRPr="00675212" w14:paraId="45FB5119" w14:textId="77777777" w:rsidTr="00B36765">
        <w:tc>
          <w:tcPr>
            <w:tcW w:w="9362" w:type="dxa"/>
            <w:gridSpan w:val="3"/>
            <w:tcBorders>
              <w:top w:val="nil"/>
            </w:tcBorders>
          </w:tcPr>
          <w:p w14:paraId="68314A46" w14:textId="77777777" w:rsidR="005A78BF" w:rsidRPr="0018369C" w:rsidRDefault="00101ACD" w:rsidP="00A3163A">
            <w:pPr>
              <w:rPr>
                <w:lang w:val="en-CA"/>
              </w:rPr>
            </w:pPr>
          </w:p>
        </w:tc>
      </w:tr>
      <w:tr w:rsidR="00A80F26" w:rsidRPr="0018369C" w14:paraId="504EFE48" w14:textId="77777777" w:rsidTr="00423DF1">
        <w:tc>
          <w:tcPr>
            <w:tcW w:w="9362" w:type="dxa"/>
            <w:gridSpan w:val="3"/>
          </w:tcPr>
          <w:p w14:paraId="5562F49D" w14:textId="08A0A737" w:rsidR="005A78BF" w:rsidRPr="0018369C" w:rsidRDefault="000E263F" w:rsidP="004E158F">
            <w:pPr>
              <w:pStyle w:val="zSoquijdatNomProcureurDef"/>
              <w:rPr>
                <w:lang w:val="en-CA"/>
              </w:rPr>
            </w:pPr>
            <w:r w:rsidRPr="0018369C">
              <w:rPr>
                <w:lang w:val="en-CA"/>
              </w:rPr>
              <w:t>M</w:t>
            </w:r>
            <w:r w:rsidR="00AA797D" w:rsidRPr="0018369C">
              <w:rPr>
                <w:lang w:val="en-CA"/>
              </w:rPr>
              <w:t>tr</w:t>
            </w:r>
            <w:r w:rsidRPr="0018369C">
              <w:rPr>
                <w:lang w:val="en-CA"/>
              </w:rPr>
              <w:t>e Vincent Rondeau-Paquet</w:t>
            </w:r>
          </w:p>
        </w:tc>
      </w:tr>
      <w:tr w:rsidR="00A80F26" w:rsidRPr="0018369C" w14:paraId="55645A5F" w14:textId="77777777" w:rsidTr="00423DF1">
        <w:tc>
          <w:tcPr>
            <w:tcW w:w="9362" w:type="dxa"/>
            <w:gridSpan w:val="3"/>
          </w:tcPr>
          <w:p w14:paraId="017DE26F" w14:textId="77777777" w:rsidR="005A78BF" w:rsidRPr="0018369C" w:rsidRDefault="000E263F" w:rsidP="00A3163A">
            <w:pPr>
              <w:pStyle w:val="zSoquijdatCabinetProcureurDef"/>
              <w:rPr>
                <w:lang w:val="en-CA"/>
              </w:rPr>
            </w:pPr>
            <w:r w:rsidRPr="0018369C">
              <w:rPr>
                <w:lang w:val="en-CA"/>
              </w:rPr>
              <w:t>DESJARDINS COTÉ</w:t>
            </w:r>
          </w:p>
        </w:tc>
      </w:tr>
      <w:tr w:rsidR="00A80F26" w:rsidRPr="0018369C" w14:paraId="40836C91" w14:textId="77777777" w:rsidTr="00423DF1">
        <w:tc>
          <w:tcPr>
            <w:tcW w:w="9362" w:type="dxa"/>
            <w:gridSpan w:val="3"/>
          </w:tcPr>
          <w:p w14:paraId="05EBC223" w14:textId="0F102E4F" w:rsidR="005A78BF" w:rsidRPr="0018369C" w:rsidRDefault="00AA797D" w:rsidP="004E158F">
            <w:pPr>
              <w:pStyle w:val="zSoquijlblProcureurDef"/>
              <w:rPr>
                <w:lang w:val="en-CA"/>
              </w:rPr>
            </w:pPr>
            <w:r w:rsidRPr="0018369C">
              <w:rPr>
                <w:lang w:val="en-CA"/>
              </w:rPr>
              <w:t>For</w:t>
            </w:r>
            <w:r w:rsidR="000E263F" w:rsidRPr="0018369C">
              <w:rPr>
                <w:lang w:val="en-CA"/>
              </w:rPr>
              <w:t xml:space="preserve"> H. V.</w:t>
            </w:r>
          </w:p>
        </w:tc>
      </w:tr>
      <w:tr w:rsidR="00A80F26" w:rsidRPr="0018369C" w14:paraId="58D3BDCC" w14:textId="77777777" w:rsidTr="00626B44">
        <w:tc>
          <w:tcPr>
            <w:tcW w:w="9362" w:type="dxa"/>
            <w:gridSpan w:val="3"/>
            <w:tcBorders>
              <w:bottom w:val="nil"/>
            </w:tcBorders>
          </w:tcPr>
          <w:p w14:paraId="0CE8C4D4" w14:textId="77777777" w:rsidR="005A78BF" w:rsidRPr="0018369C" w:rsidRDefault="00101ACD" w:rsidP="00A3163A">
            <w:pPr>
              <w:rPr>
                <w:lang w:val="en-CA"/>
              </w:rPr>
            </w:pPr>
          </w:p>
        </w:tc>
      </w:tr>
      <w:tr w:rsidR="00A80F26" w:rsidRPr="0018369C" w14:paraId="7EC868E6" w14:textId="77777777" w:rsidTr="00626B44">
        <w:tc>
          <w:tcPr>
            <w:tcW w:w="1997" w:type="dxa"/>
            <w:tcBorders>
              <w:top w:val="nil"/>
            </w:tcBorders>
          </w:tcPr>
          <w:p w14:paraId="4E253192" w14:textId="2E7FF764" w:rsidR="005A78BF" w:rsidRPr="0018369C" w:rsidRDefault="00AA797D" w:rsidP="00A3163A">
            <w:pPr>
              <w:pStyle w:val="zSoquijlblDateAudience"/>
              <w:rPr>
                <w:lang w:val="en-CA"/>
              </w:rPr>
            </w:pPr>
            <w:r w:rsidRPr="0018369C">
              <w:rPr>
                <w:lang w:val="en-CA"/>
              </w:rPr>
              <w:t>Date of hearing:</w:t>
            </w:r>
          </w:p>
        </w:tc>
        <w:tc>
          <w:tcPr>
            <w:tcW w:w="7365" w:type="dxa"/>
            <w:gridSpan w:val="2"/>
            <w:tcBorders>
              <w:top w:val="nil"/>
            </w:tcBorders>
          </w:tcPr>
          <w:p w14:paraId="03EB8E8D" w14:textId="4BAE68B0" w:rsidR="005A78BF" w:rsidRPr="0018369C" w:rsidRDefault="00AA797D" w:rsidP="00A3163A">
            <w:pPr>
              <w:pStyle w:val="zSoquijdatDateAudience"/>
              <w:rPr>
                <w:lang w:val="en-CA"/>
              </w:rPr>
            </w:pPr>
            <w:r w:rsidRPr="0018369C">
              <w:rPr>
                <w:lang w:val="en-CA"/>
              </w:rPr>
              <w:t>November 19, 2021</w:t>
            </w:r>
          </w:p>
        </w:tc>
      </w:tr>
      <w:bookmarkEnd w:id="2"/>
    </w:tbl>
    <w:p w14:paraId="696D29CD" w14:textId="77777777" w:rsidR="00740A17" w:rsidRPr="0018369C" w:rsidRDefault="00101ACD" w:rsidP="00A3163A">
      <w:pPr>
        <w:rPr>
          <w:lang w:val="en-CA"/>
        </w:rPr>
      </w:pPr>
    </w:p>
    <w:sectPr w:rsidR="00740A17" w:rsidRPr="0018369C" w:rsidSect="008B162F">
      <w:headerReference w:type="default" r:id="rId8"/>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A557" w14:textId="77777777" w:rsidR="00B75AE0" w:rsidRDefault="00B75AE0">
      <w:pPr>
        <w:spacing w:line="240" w:lineRule="auto"/>
      </w:pPr>
      <w:r>
        <w:separator/>
      </w:r>
    </w:p>
  </w:endnote>
  <w:endnote w:type="continuationSeparator" w:id="0">
    <w:p w14:paraId="7AB7667C" w14:textId="77777777" w:rsidR="00B75AE0" w:rsidRDefault="00B75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819C" w14:textId="77777777" w:rsidR="00B75AE0" w:rsidRDefault="00B75AE0">
      <w:r>
        <w:separator/>
      </w:r>
    </w:p>
  </w:footnote>
  <w:footnote w:type="continuationSeparator" w:id="0">
    <w:p w14:paraId="33CF4C8B" w14:textId="77777777" w:rsidR="00B75AE0" w:rsidRDefault="00B75AE0">
      <w:r>
        <w:continuationSeparator/>
      </w:r>
    </w:p>
  </w:footnote>
  <w:footnote w:id="1">
    <w:p w14:paraId="008B280E" w14:textId="5D5F0834" w:rsidR="00D05F07" w:rsidRPr="00864FFB" w:rsidRDefault="00D05F07" w:rsidP="00D05F07">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R. c. H.V</w:t>
      </w:r>
      <w:r w:rsidRPr="00864FFB">
        <w:rPr>
          <w:lang w:val="en-CA"/>
        </w:rPr>
        <w:t xml:space="preserve">., </w:t>
      </w:r>
      <w:r w:rsidRPr="00864FFB">
        <w:rPr>
          <w:rStyle w:val="Hyperlien"/>
          <w:color w:val="auto"/>
          <w:u w:val="none"/>
          <w:lang w:val="en-CA"/>
        </w:rPr>
        <w:t>2021 QCCS 837</w:t>
      </w:r>
      <w:r w:rsidRPr="00864FFB">
        <w:rPr>
          <w:lang w:val="en-CA"/>
        </w:rPr>
        <w:t xml:space="preserve"> [</w:t>
      </w:r>
      <w:r w:rsidR="0018369C" w:rsidRPr="00864FFB">
        <w:rPr>
          <w:lang w:val="en-CA"/>
        </w:rPr>
        <w:t>Judgment under appeal</w:t>
      </w:r>
      <w:r w:rsidRPr="00864FFB">
        <w:rPr>
          <w:lang w:val="en-CA"/>
        </w:rPr>
        <w:t>].</w:t>
      </w:r>
    </w:p>
  </w:footnote>
  <w:footnote w:id="2">
    <w:p w14:paraId="1C67EEC4" w14:textId="6A7ECC06" w:rsidR="00EC3BD5" w:rsidRPr="00864FFB" w:rsidRDefault="000E263F" w:rsidP="000A17B1">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18369C" w:rsidRPr="00864FFB">
        <w:rPr>
          <w:lang w:val="en-CA"/>
        </w:rPr>
        <w:t>Judgment under appeal</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Pr="00864FFB">
        <w:rPr>
          <w:lang w:val="en-CA"/>
        </w:rPr>
        <w:t xml:space="preserve"> </w:t>
      </w:r>
      <w:r w:rsidR="0018369C" w:rsidRPr="00864FFB">
        <w:rPr>
          <w:lang w:val="en-CA"/>
        </w:rPr>
        <w:t xml:space="preserve">at </w:t>
      </w:r>
      <w:r w:rsidRPr="00864FFB">
        <w:rPr>
          <w:lang w:val="en-CA"/>
        </w:rPr>
        <w:t>para. 8.</w:t>
      </w:r>
    </w:p>
  </w:footnote>
  <w:footnote w:id="3">
    <w:p w14:paraId="3A1741C5" w14:textId="77777777" w:rsidR="00F72125" w:rsidRPr="00864FFB" w:rsidRDefault="00F72125" w:rsidP="00F72125">
      <w:pPr>
        <w:pStyle w:val="Notedebasdepage"/>
        <w:ind w:left="426" w:hanging="426"/>
        <w:rPr>
          <w:lang w:val="en-CA"/>
        </w:rPr>
      </w:pPr>
      <w:r w:rsidRPr="00864FFB">
        <w:rPr>
          <w:rStyle w:val="Appelnotedebasdep"/>
          <w:lang w:val="en-CA"/>
        </w:rPr>
        <w:footnoteRef/>
      </w:r>
      <w:r w:rsidRPr="00864FFB">
        <w:rPr>
          <w:lang w:val="en-CA"/>
        </w:rPr>
        <w:t xml:space="preserve">  </w:t>
      </w:r>
      <w:r w:rsidRPr="00864FFB">
        <w:rPr>
          <w:lang w:val="en-CA"/>
        </w:rPr>
        <w:tab/>
      </w:r>
      <w:r w:rsidRPr="00864FFB">
        <w:rPr>
          <w:i/>
          <w:iCs/>
          <w:lang w:val="en-CA"/>
        </w:rPr>
        <w:t xml:space="preserve">Canadian Charter of Rights and Freedoms, </w:t>
      </w:r>
      <w:r w:rsidRPr="00864FFB">
        <w:rPr>
          <w:lang w:val="en-CA"/>
        </w:rPr>
        <w:t>Part I of the</w:t>
      </w:r>
      <w:r w:rsidRPr="00864FFB">
        <w:rPr>
          <w:i/>
          <w:iCs/>
          <w:lang w:val="en-CA"/>
        </w:rPr>
        <w:t xml:space="preserve"> Constitution Act, 1982, </w:t>
      </w:r>
      <w:r w:rsidRPr="00864FFB">
        <w:rPr>
          <w:lang w:val="en-CA"/>
        </w:rPr>
        <w:t xml:space="preserve">being Schedule B to the </w:t>
      </w:r>
      <w:r w:rsidRPr="00864FFB">
        <w:rPr>
          <w:i/>
          <w:iCs/>
          <w:lang w:val="en-CA"/>
        </w:rPr>
        <w:t>Canada Act 1982</w:t>
      </w:r>
      <w:r w:rsidRPr="00864FFB">
        <w:rPr>
          <w:lang w:val="en-CA"/>
        </w:rPr>
        <w:t xml:space="preserve"> (U.K.), 1982, c. 11.</w:t>
      </w:r>
    </w:p>
  </w:footnote>
  <w:footnote w:id="4">
    <w:p w14:paraId="3BDA41C7" w14:textId="4842C7AE" w:rsidR="00F72125" w:rsidRPr="00864FFB" w:rsidRDefault="00F72125" w:rsidP="00F72125">
      <w:pPr>
        <w:spacing w:line="240" w:lineRule="auto"/>
        <w:ind w:left="426" w:hanging="426"/>
        <w:rPr>
          <w:rFonts w:ascii="Times New Roman" w:hAnsi="Times New Roman"/>
          <w:sz w:val="20"/>
          <w:lang w:val="en-CA" w:eastAsia="fr-CA"/>
        </w:rPr>
      </w:pPr>
      <w:r w:rsidRPr="00864FFB">
        <w:rPr>
          <w:rStyle w:val="Appelnotedebasdep"/>
          <w:sz w:val="20"/>
          <w:lang w:val="en-CA"/>
        </w:rPr>
        <w:footnoteRef/>
      </w:r>
      <w:r w:rsidRPr="00864FFB">
        <w:rPr>
          <w:rFonts w:cs="Arial"/>
          <w:color w:val="000000"/>
          <w:sz w:val="20"/>
          <w:lang w:val="en-CA" w:eastAsia="fr-CA"/>
        </w:rPr>
        <w:t xml:space="preserve"> </w:t>
      </w:r>
      <w:r w:rsidRPr="00864FFB">
        <w:rPr>
          <w:rFonts w:cs="Arial"/>
          <w:color w:val="000000"/>
          <w:sz w:val="20"/>
          <w:lang w:val="en-CA" w:eastAsia="fr-CA"/>
        </w:rPr>
        <w:tab/>
      </w:r>
      <w:r>
        <w:rPr>
          <w:rFonts w:cs="Arial"/>
          <w:sz w:val="20"/>
          <w:lang w:val="en-CA" w:eastAsia="fr-CA"/>
        </w:rPr>
        <w:t>Trial</w:t>
      </w:r>
      <w:r w:rsidRPr="00864FFB">
        <w:rPr>
          <w:rFonts w:cs="Arial"/>
          <w:sz w:val="20"/>
          <w:lang w:val="en-CA" w:eastAsia="fr-CA"/>
        </w:rPr>
        <w:t xml:space="preserve"> judgment</w:t>
      </w:r>
      <w:r w:rsidRPr="00864FFB">
        <w:rPr>
          <w:rFonts w:cs="Arial"/>
          <w:color w:val="000000"/>
          <w:sz w:val="20"/>
          <w:lang w:val="en-CA" w:eastAsia="fr-CA"/>
        </w:rPr>
        <w:t xml:space="preserve">, 540-01-080712-170, (21 </w:t>
      </w:r>
      <w:r w:rsidRPr="00864FFB">
        <w:rPr>
          <w:rFonts w:cs="Arial"/>
          <w:sz w:val="20"/>
          <w:lang w:val="en-CA" w:eastAsia="fr-CA"/>
        </w:rPr>
        <w:t>November</w:t>
      </w:r>
      <w:r w:rsidRPr="00864FFB">
        <w:rPr>
          <w:rFonts w:cs="Arial"/>
          <w:color w:val="000000"/>
          <w:sz w:val="20"/>
          <w:lang w:val="en-CA" w:eastAsia="fr-CA"/>
        </w:rPr>
        <w:t xml:space="preserve"> 2019).</w:t>
      </w:r>
    </w:p>
  </w:footnote>
  <w:footnote w:id="5">
    <w:p w14:paraId="2054F085" w14:textId="59ECAAC4" w:rsidR="00EC3BD5" w:rsidRPr="00864FFB" w:rsidRDefault="000E263F" w:rsidP="008E4790">
      <w:pPr>
        <w:pStyle w:val="Notedebasdepage"/>
        <w:rPr>
          <w:lang w:val="en-CA"/>
        </w:rPr>
      </w:pPr>
      <w:r w:rsidRPr="00864FFB">
        <w:rPr>
          <w:rStyle w:val="Appelnotedebasdep"/>
          <w:lang w:val="en-CA"/>
        </w:rPr>
        <w:footnoteRef/>
      </w:r>
      <w:r w:rsidRPr="00864FFB">
        <w:rPr>
          <w:lang w:val="en-CA"/>
        </w:rPr>
        <w:t xml:space="preserve">  </w:t>
      </w:r>
      <w:r w:rsidRPr="00864FFB">
        <w:rPr>
          <w:lang w:val="en-CA"/>
        </w:rPr>
        <w:tab/>
        <w:t xml:space="preserve"> </w:t>
      </w:r>
      <w:r w:rsidR="00864FFB">
        <w:rPr>
          <w:lang w:val="en-CA"/>
        </w:rPr>
        <w:t>Judgment under appeal</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Pr="00864FFB">
        <w:rPr>
          <w:lang w:val="en-CA"/>
        </w:rPr>
        <w:t xml:space="preserve"> </w:t>
      </w:r>
      <w:r w:rsidR="00864FFB">
        <w:rPr>
          <w:lang w:val="en-CA"/>
        </w:rPr>
        <w:t xml:space="preserve">at </w:t>
      </w:r>
      <w:r w:rsidRPr="00864FFB">
        <w:rPr>
          <w:lang w:val="en-CA"/>
        </w:rPr>
        <w:t>para. 3.</w:t>
      </w:r>
    </w:p>
  </w:footnote>
  <w:footnote w:id="6">
    <w:p w14:paraId="759BDCBB" w14:textId="79A9E0C4" w:rsidR="00EC3BD5" w:rsidRPr="00864FFB" w:rsidRDefault="000E263F" w:rsidP="008E4790">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 xml:space="preserve">R. v. </w:t>
      </w:r>
      <w:proofErr w:type="spellStart"/>
      <w:r w:rsidRPr="00864FFB">
        <w:rPr>
          <w:i/>
          <w:lang w:val="en-CA"/>
        </w:rPr>
        <w:t>Guida</w:t>
      </w:r>
      <w:proofErr w:type="spellEnd"/>
      <w:r w:rsidRPr="00864FFB">
        <w:rPr>
          <w:lang w:val="en-CA"/>
        </w:rPr>
        <w:t xml:space="preserve">, 51 CCC (3d) 305, </w:t>
      </w:r>
      <w:r w:rsidRPr="00864FFB">
        <w:rPr>
          <w:rStyle w:val="Hyperlien"/>
          <w:color w:val="auto"/>
          <w:u w:val="none"/>
          <w:lang w:val="en-CA"/>
        </w:rPr>
        <w:t>1989 CanLII 7126</w:t>
      </w:r>
      <w:r w:rsidRPr="00864FFB">
        <w:rPr>
          <w:lang w:val="en-CA"/>
        </w:rPr>
        <w:t xml:space="preserve"> (C.A.) </w:t>
      </w:r>
      <w:r w:rsidR="00872CD6">
        <w:rPr>
          <w:lang w:val="en-CA"/>
        </w:rPr>
        <w:t>at</w:t>
      </w:r>
      <w:r w:rsidRPr="00864FFB">
        <w:rPr>
          <w:lang w:val="en-CA"/>
        </w:rPr>
        <w:t xml:space="preserve"> 311</w:t>
      </w:r>
      <w:r w:rsidR="0026010D">
        <w:rPr>
          <w:lang w:val="en-CA"/>
        </w:rPr>
        <w:t xml:space="preserve"> </w:t>
      </w:r>
      <w:r w:rsidRPr="00864FFB">
        <w:rPr>
          <w:lang w:val="en-CA"/>
        </w:rPr>
        <w:t>[</w:t>
      </w:r>
      <w:proofErr w:type="spellStart"/>
      <w:r w:rsidRPr="00864FFB">
        <w:rPr>
          <w:i/>
          <w:lang w:val="en-CA"/>
        </w:rPr>
        <w:t>Guida</w:t>
      </w:r>
      <w:proofErr w:type="spellEnd"/>
      <w:r w:rsidRPr="00864FFB">
        <w:rPr>
          <w:lang w:val="en-CA"/>
        </w:rPr>
        <w:t xml:space="preserve">]; </w:t>
      </w:r>
      <w:r w:rsidR="00872CD6" w:rsidRPr="00872CD6">
        <w:rPr>
          <w:iCs/>
          <w:lang w:val="en-CA"/>
        </w:rPr>
        <w:t>See also</w:t>
      </w:r>
      <w:r w:rsidRPr="00864FFB">
        <w:rPr>
          <w:i/>
          <w:lang w:val="en-CA"/>
        </w:rPr>
        <w:t xml:space="preserve"> R v</w:t>
      </w:r>
      <w:r w:rsidR="00872CD6">
        <w:rPr>
          <w:i/>
          <w:lang w:val="en-CA"/>
        </w:rPr>
        <w:t>.</w:t>
      </w:r>
      <w:r w:rsidRPr="00864FFB">
        <w:rPr>
          <w:i/>
          <w:lang w:val="en-CA"/>
        </w:rPr>
        <w:t xml:space="preserve"> Grover, </w:t>
      </w:r>
      <w:r w:rsidRPr="00864FFB">
        <w:rPr>
          <w:rStyle w:val="Hyperlien"/>
          <w:color w:val="auto"/>
          <w:u w:val="none"/>
          <w:lang w:val="en-CA"/>
        </w:rPr>
        <w:t>2020 SKCA 40</w:t>
      </w:r>
      <w:r w:rsidR="00872CD6">
        <w:rPr>
          <w:lang w:val="en-CA"/>
        </w:rPr>
        <w:t xml:space="preserve"> at</w:t>
      </w:r>
      <w:r w:rsidRPr="00864FFB">
        <w:rPr>
          <w:lang w:val="en-CA"/>
        </w:rPr>
        <w:t xml:space="preserve"> para. 12 [</w:t>
      </w:r>
      <w:r w:rsidRPr="00864FFB">
        <w:rPr>
          <w:i/>
          <w:lang w:val="en-CA"/>
        </w:rPr>
        <w:t>Grover</w:t>
      </w:r>
      <w:r w:rsidRPr="00864FFB">
        <w:rPr>
          <w:lang w:val="en-CA"/>
        </w:rPr>
        <w:t xml:space="preserve">]; </w:t>
      </w:r>
      <w:r w:rsidRPr="00864FFB">
        <w:rPr>
          <w:i/>
          <w:lang w:val="en-CA"/>
        </w:rPr>
        <w:t>R v</w:t>
      </w:r>
      <w:r w:rsidR="00872CD6">
        <w:rPr>
          <w:i/>
          <w:lang w:val="en-CA"/>
        </w:rPr>
        <w:t>.</w:t>
      </w:r>
      <w:r w:rsidRPr="00864FFB">
        <w:rPr>
          <w:i/>
          <w:lang w:val="en-CA"/>
        </w:rPr>
        <w:t xml:space="preserve"> </w:t>
      </w:r>
      <w:proofErr w:type="spellStart"/>
      <w:r w:rsidRPr="00864FFB">
        <w:rPr>
          <w:i/>
          <w:lang w:val="en-CA"/>
        </w:rPr>
        <w:t>Steinkey</w:t>
      </w:r>
      <w:proofErr w:type="spellEnd"/>
      <w:r w:rsidRPr="00864FFB">
        <w:rPr>
          <w:lang w:val="en-CA"/>
        </w:rPr>
        <w:t xml:space="preserve">, </w:t>
      </w:r>
      <w:r w:rsidRPr="00864FFB">
        <w:rPr>
          <w:rStyle w:val="Hyperlien"/>
          <w:color w:val="auto"/>
          <w:u w:val="none"/>
          <w:lang w:val="en-CA"/>
        </w:rPr>
        <w:t>2019 ABCA 259</w:t>
      </w:r>
      <w:r w:rsidR="00872CD6">
        <w:rPr>
          <w:lang w:val="en-CA"/>
        </w:rPr>
        <w:t xml:space="preserve"> at</w:t>
      </w:r>
      <w:r w:rsidRPr="00864FFB">
        <w:rPr>
          <w:lang w:val="en-CA"/>
        </w:rPr>
        <w:t xml:space="preserve"> para. 20 [</w:t>
      </w:r>
      <w:proofErr w:type="spellStart"/>
      <w:r w:rsidRPr="00864FFB">
        <w:rPr>
          <w:i/>
          <w:lang w:val="en-CA"/>
        </w:rPr>
        <w:t>Steinkey</w:t>
      </w:r>
      <w:proofErr w:type="spellEnd"/>
      <w:r w:rsidRPr="00864FFB">
        <w:rPr>
          <w:lang w:val="en-CA"/>
        </w:rPr>
        <w:t xml:space="preserve">]; </w:t>
      </w:r>
      <w:proofErr w:type="spellStart"/>
      <w:r w:rsidRPr="00864FFB">
        <w:rPr>
          <w:i/>
          <w:lang w:val="en-CA"/>
        </w:rPr>
        <w:t>Desbois</w:t>
      </w:r>
      <w:proofErr w:type="spellEnd"/>
      <w:r w:rsidRPr="00864FFB">
        <w:rPr>
          <w:i/>
          <w:lang w:val="en-CA"/>
        </w:rPr>
        <w:t xml:space="preserve"> c. R</w:t>
      </w:r>
      <w:r w:rsidRPr="00864FFB">
        <w:rPr>
          <w:lang w:val="en-CA"/>
        </w:rPr>
        <w:t xml:space="preserve">., </w:t>
      </w:r>
      <w:r w:rsidRPr="00864FFB">
        <w:rPr>
          <w:rStyle w:val="Hyperlien"/>
          <w:color w:val="auto"/>
          <w:u w:val="none"/>
          <w:lang w:val="en-CA"/>
        </w:rPr>
        <w:t>2019 QCCA 1788</w:t>
      </w:r>
      <w:r w:rsidR="00872CD6">
        <w:rPr>
          <w:lang w:val="en-CA"/>
        </w:rPr>
        <w:t xml:space="preserve"> at</w:t>
      </w:r>
      <w:r w:rsidRPr="00864FFB">
        <w:rPr>
          <w:lang w:val="en-CA"/>
        </w:rPr>
        <w:t xml:space="preserve"> para. 12 [</w:t>
      </w:r>
      <w:proofErr w:type="spellStart"/>
      <w:r w:rsidRPr="00864FFB">
        <w:rPr>
          <w:i/>
          <w:lang w:val="en-CA"/>
        </w:rPr>
        <w:t>Desbois</w:t>
      </w:r>
      <w:proofErr w:type="spellEnd"/>
      <w:r w:rsidRPr="00864FFB">
        <w:rPr>
          <w:lang w:val="en-CA"/>
        </w:rPr>
        <w:t>].</w:t>
      </w:r>
    </w:p>
  </w:footnote>
  <w:footnote w:id="7">
    <w:p w14:paraId="776FD789" w14:textId="60C458CA" w:rsidR="00EC3BD5" w:rsidRPr="00454CED" w:rsidRDefault="000E263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R. c. Bertrand Marchand</w:t>
      </w:r>
      <w:r w:rsidRPr="00864FFB">
        <w:rPr>
          <w:lang w:val="en-CA"/>
        </w:rPr>
        <w:t xml:space="preserve">, </w:t>
      </w:r>
      <w:r w:rsidRPr="00864FFB">
        <w:rPr>
          <w:rStyle w:val="Hyperlien"/>
          <w:color w:val="auto"/>
          <w:u w:val="none"/>
          <w:lang w:val="en-CA"/>
        </w:rPr>
        <w:t>2021 QCCA 1285</w:t>
      </w:r>
      <w:r w:rsidR="00872CD6">
        <w:rPr>
          <w:lang w:val="en-CA"/>
        </w:rPr>
        <w:t xml:space="preserve"> at</w:t>
      </w:r>
      <w:r w:rsidRPr="00864FFB">
        <w:rPr>
          <w:lang w:val="en-CA"/>
        </w:rPr>
        <w:t xml:space="preserve"> para. 78 [</w:t>
      </w:r>
      <w:r w:rsidRPr="00864FFB">
        <w:rPr>
          <w:i/>
          <w:lang w:val="en-CA"/>
        </w:rPr>
        <w:t>Bertrand Marchand</w:t>
      </w:r>
      <w:r w:rsidRPr="00864FFB">
        <w:rPr>
          <w:lang w:val="en-CA"/>
        </w:rPr>
        <w:t xml:space="preserve">]; </w:t>
      </w:r>
      <w:r w:rsidRPr="00864FFB">
        <w:rPr>
          <w:i/>
          <w:lang w:val="en-CA"/>
        </w:rPr>
        <w:t xml:space="preserve">R. c. </w:t>
      </w:r>
      <w:proofErr w:type="spellStart"/>
      <w:r w:rsidRPr="00864FFB">
        <w:rPr>
          <w:i/>
          <w:lang w:val="en-CA"/>
        </w:rPr>
        <w:t>Daudelin</w:t>
      </w:r>
      <w:proofErr w:type="spellEnd"/>
      <w:r w:rsidRPr="00864FFB">
        <w:rPr>
          <w:lang w:val="en-CA"/>
        </w:rPr>
        <w:t>, 2021 QCCA 784</w:t>
      </w:r>
      <w:r w:rsidR="00872CD6">
        <w:rPr>
          <w:lang w:val="en-CA"/>
        </w:rPr>
        <w:t xml:space="preserve"> at</w:t>
      </w:r>
      <w:r w:rsidRPr="00864FFB">
        <w:rPr>
          <w:lang w:val="en-CA"/>
        </w:rPr>
        <w:t xml:space="preserve"> para</w:t>
      </w:r>
      <w:r w:rsidR="0026010D">
        <w:rPr>
          <w:lang w:val="en-CA"/>
        </w:rPr>
        <w:t>s</w:t>
      </w:r>
      <w:r w:rsidRPr="00864FFB">
        <w:rPr>
          <w:lang w:val="en-CA"/>
        </w:rPr>
        <w:t xml:space="preserve">. </w:t>
      </w:r>
      <w:r w:rsidRPr="00CC2EDD">
        <w:rPr>
          <w:lang w:val="en-CA"/>
        </w:rPr>
        <w:t>35</w:t>
      </w:r>
      <w:r w:rsidR="00362CEE" w:rsidRPr="00454CED">
        <w:rPr>
          <w:lang w:val="en-CA"/>
        </w:rPr>
        <w:t>–</w:t>
      </w:r>
      <w:r w:rsidRPr="00454CED">
        <w:rPr>
          <w:lang w:val="en-CA"/>
        </w:rPr>
        <w:t>38 [</w:t>
      </w:r>
      <w:proofErr w:type="spellStart"/>
      <w:r w:rsidRPr="00454CED">
        <w:rPr>
          <w:i/>
          <w:lang w:val="en-CA"/>
        </w:rPr>
        <w:t>Daudelin</w:t>
      </w:r>
      <w:proofErr w:type="spellEnd"/>
      <w:r w:rsidRPr="00454CED">
        <w:rPr>
          <w:lang w:val="en-CA"/>
        </w:rPr>
        <w:t xml:space="preserve">]; </w:t>
      </w:r>
      <w:r w:rsidRPr="00454CED">
        <w:rPr>
          <w:i/>
          <w:lang w:val="en-CA"/>
        </w:rPr>
        <w:t>R. c. Trottier</w:t>
      </w:r>
      <w:r w:rsidRPr="00454CED">
        <w:rPr>
          <w:lang w:val="en-CA"/>
        </w:rPr>
        <w:t>, 2020 QCCA 703</w:t>
      </w:r>
      <w:r w:rsidR="00872CD6" w:rsidRPr="00454CED">
        <w:rPr>
          <w:lang w:val="en-CA"/>
        </w:rPr>
        <w:t xml:space="preserve"> at</w:t>
      </w:r>
      <w:r w:rsidRPr="00454CED">
        <w:rPr>
          <w:lang w:val="en-CA"/>
        </w:rPr>
        <w:t xml:space="preserve"> para. 32 [</w:t>
      </w:r>
      <w:r w:rsidRPr="00454CED">
        <w:rPr>
          <w:i/>
          <w:lang w:val="en-CA"/>
        </w:rPr>
        <w:t>Trottier</w:t>
      </w:r>
      <w:r w:rsidRPr="00454CED">
        <w:rPr>
          <w:lang w:val="en-CA"/>
        </w:rPr>
        <w:t xml:space="preserve">]; </w:t>
      </w:r>
      <w:r w:rsidRPr="00454CED">
        <w:rPr>
          <w:i/>
          <w:lang w:val="en-CA"/>
        </w:rPr>
        <w:t xml:space="preserve">R. c. </w:t>
      </w:r>
      <w:proofErr w:type="spellStart"/>
      <w:r w:rsidRPr="00454CED">
        <w:rPr>
          <w:i/>
          <w:lang w:val="en-CA"/>
        </w:rPr>
        <w:t>Lefrançois</w:t>
      </w:r>
      <w:proofErr w:type="spellEnd"/>
      <w:r w:rsidRPr="00454CED">
        <w:rPr>
          <w:lang w:val="en-CA"/>
        </w:rPr>
        <w:t>, 2018 QCCA 1793</w:t>
      </w:r>
      <w:r w:rsidR="00872CD6" w:rsidRPr="00454CED">
        <w:rPr>
          <w:lang w:val="en-CA"/>
        </w:rPr>
        <w:t xml:space="preserve"> at</w:t>
      </w:r>
      <w:r w:rsidRPr="00454CED">
        <w:rPr>
          <w:lang w:val="en-CA"/>
        </w:rPr>
        <w:t xml:space="preserve"> para. 7 [</w:t>
      </w:r>
      <w:proofErr w:type="spellStart"/>
      <w:r w:rsidRPr="00454CED">
        <w:rPr>
          <w:i/>
          <w:lang w:val="en-CA"/>
        </w:rPr>
        <w:t>Lefrançois</w:t>
      </w:r>
      <w:proofErr w:type="spellEnd"/>
      <w:r w:rsidRPr="00454CED">
        <w:rPr>
          <w:lang w:val="en-CA"/>
        </w:rPr>
        <w:t>].</w:t>
      </w:r>
    </w:p>
  </w:footnote>
  <w:footnote w:id="8">
    <w:p w14:paraId="18AC884D" w14:textId="7A4A9AFB"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872CD6">
        <w:rPr>
          <w:lang w:val="en-CA"/>
        </w:rPr>
        <w:t>Judgment under appeal</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00872CD6">
        <w:rPr>
          <w:lang w:val="en-CA"/>
        </w:rPr>
        <w:t xml:space="preserve"> at</w:t>
      </w:r>
      <w:r w:rsidRPr="00864FFB">
        <w:rPr>
          <w:lang w:val="en-CA"/>
        </w:rPr>
        <w:t xml:space="preserve"> para. 7.</w:t>
      </w:r>
    </w:p>
  </w:footnote>
  <w:footnote w:id="9">
    <w:p w14:paraId="2DF5AA3F" w14:textId="678F28FA"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I</w:t>
      </w:r>
      <w:r w:rsidR="00872CD6">
        <w:rPr>
          <w:i/>
          <w:lang w:val="en-CA"/>
        </w:rPr>
        <w:t>bi</w:t>
      </w:r>
      <w:r w:rsidRPr="00864FFB">
        <w:rPr>
          <w:i/>
          <w:lang w:val="en-CA"/>
        </w:rPr>
        <w:t>d.</w:t>
      </w:r>
      <w:r w:rsidR="00450BD2">
        <w:rPr>
          <w:lang w:val="en-CA"/>
        </w:rPr>
        <w:t xml:space="preserve"> at</w:t>
      </w:r>
      <w:r w:rsidRPr="00864FFB">
        <w:rPr>
          <w:lang w:val="en-CA"/>
        </w:rPr>
        <w:t xml:space="preserve"> </w:t>
      </w:r>
      <w:r w:rsidR="00872CD6" w:rsidRPr="00864FFB">
        <w:rPr>
          <w:lang w:val="en-CA"/>
        </w:rPr>
        <w:t>para</w:t>
      </w:r>
      <w:r w:rsidR="00872CD6">
        <w:rPr>
          <w:lang w:val="en-CA"/>
        </w:rPr>
        <w:t>s</w:t>
      </w:r>
      <w:r w:rsidRPr="00864FFB">
        <w:rPr>
          <w:lang w:val="en-CA"/>
        </w:rPr>
        <w:t>. 12</w:t>
      </w:r>
      <w:r w:rsidR="00362CEE">
        <w:rPr>
          <w:lang w:val="en-CA"/>
        </w:rPr>
        <w:t>–</w:t>
      </w:r>
      <w:r w:rsidRPr="00864FFB">
        <w:rPr>
          <w:lang w:val="en-CA"/>
        </w:rPr>
        <w:t>24.</w:t>
      </w:r>
    </w:p>
  </w:footnote>
  <w:footnote w:id="10">
    <w:p w14:paraId="4694BA59" w14:textId="1C9078F1" w:rsidR="00953AE1" w:rsidRPr="00864FFB" w:rsidRDefault="00953AE1" w:rsidP="00953AE1">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872CD6" w:rsidRPr="00864FFB">
        <w:rPr>
          <w:i/>
          <w:lang w:val="en-CA"/>
        </w:rPr>
        <w:t>I</w:t>
      </w:r>
      <w:r w:rsidR="00872CD6">
        <w:rPr>
          <w:i/>
          <w:lang w:val="en-CA"/>
        </w:rPr>
        <w:t>bi</w:t>
      </w:r>
      <w:r w:rsidR="00872CD6" w:rsidRPr="00864FFB">
        <w:rPr>
          <w:i/>
          <w:lang w:val="en-CA"/>
        </w:rPr>
        <w:t>d</w:t>
      </w:r>
      <w:r w:rsidRPr="00864FFB">
        <w:rPr>
          <w:i/>
          <w:lang w:val="en-CA"/>
        </w:rPr>
        <w:t>.</w:t>
      </w:r>
      <w:r w:rsidR="00450BD2">
        <w:rPr>
          <w:lang w:val="en-CA"/>
        </w:rPr>
        <w:t xml:space="preserve"> at</w:t>
      </w:r>
      <w:r w:rsidRPr="00864FFB">
        <w:rPr>
          <w:lang w:val="en-CA"/>
        </w:rPr>
        <w:t xml:space="preserve"> </w:t>
      </w:r>
      <w:r w:rsidR="00872CD6" w:rsidRPr="00864FFB">
        <w:rPr>
          <w:lang w:val="en-CA"/>
        </w:rPr>
        <w:t>para</w:t>
      </w:r>
      <w:r w:rsidR="00872CD6">
        <w:rPr>
          <w:lang w:val="en-CA"/>
        </w:rPr>
        <w:t>s</w:t>
      </w:r>
      <w:r w:rsidRPr="00864FFB">
        <w:rPr>
          <w:lang w:val="en-CA"/>
        </w:rPr>
        <w:t>. 26-30.</w:t>
      </w:r>
    </w:p>
  </w:footnote>
  <w:footnote w:id="11">
    <w:p w14:paraId="0840D42C" w14:textId="5B3D278A"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872CD6" w:rsidRPr="00864FFB">
        <w:rPr>
          <w:i/>
          <w:lang w:val="en-CA"/>
        </w:rPr>
        <w:t>I</w:t>
      </w:r>
      <w:r w:rsidR="00872CD6">
        <w:rPr>
          <w:i/>
          <w:lang w:val="en-CA"/>
        </w:rPr>
        <w:t>bi</w:t>
      </w:r>
      <w:r w:rsidR="00872CD6" w:rsidRPr="00864FFB">
        <w:rPr>
          <w:i/>
          <w:lang w:val="en-CA"/>
        </w:rPr>
        <w:t>d</w:t>
      </w:r>
      <w:r w:rsidRPr="00864FFB">
        <w:rPr>
          <w:i/>
          <w:lang w:val="en-CA"/>
        </w:rPr>
        <w:t>.</w:t>
      </w:r>
      <w:r w:rsidR="00450BD2">
        <w:rPr>
          <w:lang w:val="en-CA"/>
        </w:rPr>
        <w:t xml:space="preserve"> at</w:t>
      </w:r>
      <w:r w:rsidRPr="00864FFB">
        <w:rPr>
          <w:lang w:val="en-CA"/>
        </w:rPr>
        <w:t xml:space="preserve"> </w:t>
      </w:r>
      <w:r w:rsidR="00872CD6" w:rsidRPr="00864FFB">
        <w:rPr>
          <w:lang w:val="en-CA"/>
        </w:rPr>
        <w:t>para</w:t>
      </w:r>
      <w:r w:rsidRPr="00864FFB">
        <w:rPr>
          <w:lang w:val="en-CA"/>
        </w:rPr>
        <w:t>. 26.</w:t>
      </w:r>
    </w:p>
  </w:footnote>
  <w:footnote w:id="12">
    <w:p w14:paraId="6EE85A94" w14:textId="5238CC21" w:rsidR="00953AE1" w:rsidRPr="00864FFB" w:rsidRDefault="00953AE1" w:rsidP="00953AE1">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872CD6" w:rsidRPr="00864FFB">
        <w:rPr>
          <w:i/>
          <w:lang w:val="en-CA"/>
        </w:rPr>
        <w:t>I</w:t>
      </w:r>
      <w:r w:rsidR="00872CD6">
        <w:rPr>
          <w:i/>
          <w:lang w:val="en-CA"/>
        </w:rPr>
        <w:t>bi</w:t>
      </w:r>
      <w:r w:rsidR="00872CD6" w:rsidRPr="00864FFB">
        <w:rPr>
          <w:i/>
          <w:lang w:val="en-CA"/>
        </w:rPr>
        <w:t>d</w:t>
      </w:r>
      <w:r w:rsidRPr="00864FFB">
        <w:rPr>
          <w:i/>
          <w:lang w:val="en-CA"/>
        </w:rPr>
        <w:t>.</w:t>
      </w:r>
      <w:r w:rsidR="00450BD2">
        <w:rPr>
          <w:lang w:val="en-CA"/>
        </w:rPr>
        <w:t xml:space="preserve"> at</w:t>
      </w:r>
      <w:r w:rsidRPr="00864FFB">
        <w:rPr>
          <w:lang w:val="en-CA"/>
        </w:rPr>
        <w:t xml:space="preserve"> </w:t>
      </w:r>
      <w:r w:rsidR="00872CD6" w:rsidRPr="00864FFB">
        <w:rPr>
          <w:lang w:val="en-CA"/>
        </w:rPr>
        <w:t>para</w:t>
      </w:r>
      <w:r w:rsidRPr="00864FFB">
        <w:rPr>
          <w:lang w:val="en-CA"/>
        </w:rPr>
        <w:t>. 32.</w:t>
      </w:r>
    </w:p>
  </w:footnote>
  <w:footnote w:id="13">
    <w:p w14:paraId="6135AF79" w14:textId="45E84277" w:rsidR="00953AE1" w:rsidRPr="00864FFB" w:rsidRDefault="00953AE1" w:rsidP="00953AE1">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872CD6" w:rsidRPr="00864FFB">
        <w:rPr>
          <w:i/>
          <w:lang w:val="en-CA"/>
        </w:rPr>
        <w:t>I</w:t>
      </w:r>
      <w:r w:rsidR="00872CD6">
        <w:rPr>
          <w:i/>
          <w:lang w:val="en-CA"/>
        </w:rPr>
        <w:t>bi</w:t>
      </w:r>
      <w:r w:rsidR="00872CD6" w:rsidRPr="00864FFB">
        <w:rPr>
          <w:i/>
          <w:lang w:val="en-CA"/>
        </w:rPr>
        <w:t>d</w:t>
      </w:r>
      <w:r w:rsidRPr="00864FFB">
        <w:rPr>
          <w:i/>
          <w:lang w:val="en-CA"/>
        </w:rPr>
        <w:t>.</w:t>
      </w:r>
      <w:r w:rsidR="00450BD2">
        <w:rPr>
          <w:lang w:val="en-CA"/>
        </w:rPr>
        <w:t xml:space="preserve"> at</w:t>
      </w:r>
      <w:r w:rsidRPr="00864FFB">
        <w:rPr>
          <w:lang w:val="en-CA"/>
        </w:rPr>
        <w:t xml:space="preserve"> </w:t>
      </w:r>
      <w:r w:rsidR="00872CD6" w:rsidRPr="00864FFB">
        <w:rPr>
          <w:lang w:val="en-CA"/>
        </w:rPr>
        <w:t>para</w:t>
      </w:r>
      <w:r w:rsidRPr="00864FFB">
        <w:rPr>
          <w:lang w:val="en-CA"/>
        </w:rPr>
        <w:t>. 33.</w:t>
      </w:r>
    </w:p>
  </w:footnote>
  <w:footnote w:id="14">
    <w:p w14:paraId="10014E7C" w14:textId="6F41E8DC"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450BD2">
        <w:rPr>
          <w:lang w:val="en-CA"/>
        </w:rPr>
        <w:t>Judgment under appeal</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00450BD2">
        <w:rPr>
          <w:lang w:val="en-CA"/>
        </w:rPr>
        <w:t xml:space="preserve"> at</w:t>
      </w:r>
      <w:r w:rsidRPr="00864FFB">
        <w:rPr>
          <w:lang w:val="en-CA"/>
        </w:rPr>
        <w:t xml:space="preserve"> para. 34.</w:t>
      </w:r>
    </w:p>
  </w:footnote>
  <w:footnote w:id="15">
    <w:p w14:paraId="1D2CAA5D" w14:textId="4669090D"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450BD2" w:rsidRPr="00864FFB">
        <w:rPr>
          <w:i/>
          <w:lang w:val="en-CA"/>
        </w:rPr>
        <w:t>I</w:t>
      </w:r>
      <w:r w:rsidR="00450BD2">
        <w:rPr>
          <w:i/>
          <w:lang w:val="en-CA"/>
        </w:rPr>
        <w:t>bi</w:t>
      </w:r>
      <w:r w:rsidR="00450BD2" w:rsidRPr="00864FFB">
        <w:rPr>
          <w:i/>
          <w:lang w:val="en-CA"/>
        </w:rPr>
        <w:t>d</w:t>
      </w:r>
      <w:r w:rsidRPr="00864FFB">
        <w:rPr>
          <w:i/>
          <w:lang w:val="en-CA"/>
        </w:rPr>
        <w:t>.</w:t>
      </w:r>
      <w:r w:rsidRPr="00864FFB">
        <w:rPr>
          <w:lang w:val="en-CA"/>
        </w:rPr>
        <w:t xml:space="preserve"> </w:t>
      </w:r>
      <w:r w:rsidR="00450BD2">
        <w:rPr>
          <w:lang w:val="en-CA"/>
        </w:rPr>
        <w:t xml:space="preserve">at </w:t>
      </w:r>
      <w:r w:rsidRPr="00864FFB">
        <w:rPr>
          <w:lang w:val="en-CA"/>
        </w:rPr>
        <w:t>para</w:t>
      </w:r>
      <w:r w:rsidR="00450BD2">
        <w:rPr>
          <w:lang w:val="en-CA"/>
        </w:rPr>
        <w:t>s</w:t>
      </w:r>
      <w:r w:rsidRPr="00864FFB">
        <w:rPr>
          <w:lang w:val="en-CA"/>
        </w:rPr>
        <w:t xml:space="preserve">. 38 </w:t>
      </w:r>
      <w:r w:rsidR="00450BD2">
        <w:rPr>
          <w:lang w:val="en-CA"/>
        </w:rPr>
        <w:t>and</w:t>
      </w:r>
      <w:r w:rsidRPr="00864FFB">
        <w:rPr>
          <w:lang w:val="en-CA"/>
        </w:rPr>
        <w:t xml:space="preserve"> 73.</w:t>
      </w:r>
    </w:p>
  </w:footnote>
  <w:footnote w:id="16">
    <w:p w14:paraId="559077EB" w14:textId="769B7F21"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450BD2" w:rsidRPr="00864FFB">
        <w:rPr>
          <w:i/>
          <w:lang w:val="en-CA"/>
        </w:rPr>
        <w:t>I</w:t>
      </w:r>
      <w:r w:rsidR="00450BD2">
        <w:rPr>
          <w:i/>
          <w:lang w:val="en-CA"/>
        </w:rPr>
        <w:t>bi</w:t>
      </w:r>
      <w:r w:rsidR="00450BD2" w:rsidRPr="00864FFB">
        <w:rPr>
          <w:i/>
          <w:lang w:val="en-CA"/>
        </w:rPr>
        <w:t>d</w:t>
      </w:r>
      <w:r w:rsidRPr="00864FFB">
        <w:rPr>
          <w:i/>
          <w:lang w:val="en-CA"/>
        </w:rPr>
        <w:t>.</w:t>
      </w:r>
      <w:r w:rsidRPr="00864FFB">
        <w:rPr>
          <w:lang w:val="en-CA"/>
        </w:rPr>
        <w:t xml:space="preserve"> </w:t>
      </w:r>
      <w:r w:rsidR="00450BD2">
        <w:rPr>
          <w:lang w:val="en-CA"/>
        </w:rPr>
        <w:t xml:space="preserve">at </w:t>
      </w:r>
      <w:r w:rsidRPr="00864FFB">
        <w:rPr>
          <w:lang w:val="en-CA"/>
        </w:rPr>
        <w:t>para. 53.</w:t>
      </w:r>
    </w:p>
  </w:footnote>
  <w:footnote w:id="17">
    <w:p w14:paraId="367E7266" w14:textId="7A23F8BA" w:rsidR="00953AE1" w:rsidRPr="00864FFB" w:rsidRDefault="00953AE1" w:rsidP="00953AE1">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450BD2" w:rsidRPr="00864FFB">
        <w:rPr>
          <w:i/>
          <w:lang w:val="en-CA"/>
        </w:rPr>
        <w:t>I</w:t>
      </w:r>
      <w:r w:rsidR="00450BD2">
        <w:rPr>
          <w:i/>
          <w:lang w:val="en-CA"/>
        </w:rPr>
        <w:t>bi</w:t>
      </w:r>
      <w:r w:rsidR="00450BD2" w:rsidRPr="00864FFB">
        <w:rPr>
          <w:i/>
          <w:lang w:val="en-CA"/>
        </w:rPr>
        <w:t>d</w:t>
      </w:r>
      <w:r w:rsidRPr="00864FFB">
        <w:rPr>
          <w:i/>
          <w:lang w:val="en-CA"/>
        </w:rPr>
        <w:t>.</w:t>
      </w:r>
      <w:r w:rsidRPr="00864FFB">
        <w:rPr>
          <w:lang w:val="en-CA"/>
        </w:rPr>
        <w:t xml:space="preserve"> </w:t>
      </w:r>
      <w:r w:rsidR="00450BD2">
        <w:rPr>
          <w:lang w:val="en-CA"/>
        </w:rPr>
        <w:t xml:space="preserve">at </w:t>
      </w:r>
      <w:r w:rsidR="00450BD2" w:rsidRPr="00864FFB">
        <w:rPr>
          <w:lang w:val="en-CA"/>
        </w:rPr>
        <w:t>para</w:t>
      </w:r>
      <w:r w:rsidR="00450BD2">
        <w:rPr>
          <w:lang w:val="en-CA"/>
        </w:rPr>
        <w:t>s</w:t>
      </w:r>
      <w:r w:rsidRPr="00864FFB">
        <w:rPr>
          <w:lang w:val="en-CA"/>
        </w:rPr>
        <w:t xml:space="preserve">. 43 </w:t>
      </w:r>
      <w:r w:rsidR="00450BD2">
        <w:rPr>
          <w:lang w:val="en-CA"/>
        </w:rPr>
        <w:t>and</w:t>
      </w:r>
      <w:r w:rsidRPr="00864FFB">
        <w:rPr>
          <w:lang w:val="en-CA"/>
        </w:rPr>
        <w:t xml:space="preserve"> 79</w:t>
      </w:r>
      <w:r w:rsidR="00362CEE">
        <w:rPr>
          <w:lang w:val="en-CA"/>
        </w:rPr>
        <w:t>–</w:t>
      </w:r>
      <w:r w:rsidRPr="00864FFB">
        <w:rPr>
          <w:lang w:val="en-CA"/>
        </w:rPr>
        <w:t>81.</w:t>
      </w:r>
    </w:p>
  </w:footnote>
  <w:footnote w:id="18">
    <w:p w14:paraId="3D708441" w14:textId="468D1F80"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450BD2" w:rsidRPr="00864FFB">
        <w:rPr>
          <w:i/>
          <w:lang w:val="en-CA"/>
        </w:rPr>
        <w:t>I</w:t>
      </w:r>
      <w:r w:rsidR="00450BD2">
        <w:rPr>
          <w:i/>
          <w:lang w:val="en-CA"/>
        </w:rPr>
        <w:t>bi</w:t>
      </w:r>
      <w:r w:rsidR="00450BD2" w:rsidRPr="00864FFB">
        <w:rPr>
          <w:i/>
          <w:lang w:val="en-CA"/>
        </w:rPr>
        <w:t>d</w:t>
      </w:r>
      <w:r w:rsidRPr="00864FFB">
        <w:rPr>
          <w:i/>
          <w:lang w:val="en-CA"/>
        </w:rPr>
        <w:t>.</w:t>
      </w:r>
      <w:r w:rsidRPr="00864FFB">
        <w:rPr>
          <w:lang w:val="en-CA"/>
        </w:rPr>
        <w:t xml:space="preserve"> </w:t>
      </w:r>
      <w:r w:rsidR="00450BD2">
        <w:rPr>
          <w:lang w:val="en-CA"/>
        </w:rPr>
        <w:t xml:space="preserve">at </w:t>
      </w:r>
      <w:r w:rsidR="00450BD2" w:rsidRPr="00864FFB">
        <w:rPr>
          <w:lang w:val="en-CA"/>
        </w:rPr>
        <w:t>para</w:t>
      </w:r>
      <w:r w:rsidRPr="00864FFB">
        <w:rPr>
          <w:lang w:val="en-CA"/>
        </w:rPr>
        <w:t>. 58.</w:t>
      </w:r>
    </w:p>
  </w:footnote>
  <w:footnote w:id="19">
    <w:p w14:paraId="2855C087" w14:textId="67E2DF57" w:rsidR="00953AE1" w:rsidRPr="00864FFB" w:rsidRDefault="00953AE1" w:rsidP="00953AE1">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 xml:space="preserve">R. </w:t>
      </w:r>
      <w:r w:rsidR="00CA03F7">
        <w:rPr>
          <w:i/>
          <w:lang w:val="en-CA"/>
        </w:rPr>
        <w:t>v</w:t>
      </w:r>
      <w:r w:rsidRPr="00864FFB">
        <w:rPr>
          <w:i/>
          <w:lang w:val="en-CA"/>
        </w:rPr>
        <w:t>. Friesen</w:t>
      </w:r>
      <w:r w:rsidRPr="00864FFB">
        <w:rPr>
          <w:lang w:val="en-CA"/>
        </w:rPr>
        <w:t>, 2020 SCC 9 [</w:t>
      </w:r>
      <w:r w:rsidRPr="00864FFB">
        <w:rPr>
          <w:i/>
          <w:lang w:val="en-CA" w:eastAsia="fr-CA"/>
        </w:rPr>
        <w:t>Friesen</w:t>
      </w:r>
      <w:r w:rsidRPr="00864FFB">
        <w:rPr>
          <w:lang w:val="en-CA" w:eastAsia="fr-CA"/>
        </w:rPr>
        <w:t>].</w:t>
      </w:r>
    </w:p>
  </w:footnote>
  <w:footnote w:id="20">
    <w:p w14:paraId="48F63D99" w14:textId="016E247C" w:rsidR="00953AE1" w:rsidRPr="00864FFB" w:rsidRDefault="00953AE1" w:rsidP="00953AE1">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eastAsia="fr-CA"/>
        </w:rPr>
        <w:t>Friesen</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_Ref88469422 \h  \* MERGEFORMAT </w:instrText>
      </w:r>
      <w:r w:rsidRPr="00864FFB">
        <w:rPr>
          <w:lang w:val="en-CA"/>
        </w:rPr>
      </w:r>
      <w:r w:rsidRPr="00864FFB">
        <w:rPr>
          <w:lang w:val="en-CA"/>
        </w:rPr>
        <w:fldChar w:fldCharType="separate"/>
      </w:r>
      <w:r w:rsidRPr="00864FFB">
        <w:rPr>
          <w:lang w:val="en-CA"/>
        </w:rPr>
        <w:t>19</w:t>
      </w:r>
      <w:r w:rsidRPr="00864FFB">
        <w:rPr>
          <w:lang w:val="en-CA"/>
        </w:rPr>
        <w:fldChar w:fldCharType="end"/>
      </w:r>
      <w:r w:rsidRPr="00864FFB">
        <w:rPr>
          <w:lang w:val="en-CA"/>
        </w:rPr>
        <w:t xml:space="preserve">; </w:t>
      </w:r>
      <w:r w:rsidRPr="00864FFB">
        <w:rPr>
          <w:i/>
          <w:lang w:val="en-CA"/>
        </w:rPr>
        <w:t>Montour c. R.</w:t>
      </w:r>
      <w:r w:rsidRPr="00864FFB">
        <w:rPr>
          <w:lang w:val="en-CA"/>
        </w:rPr>
        <w:t>, 2020 QCCA 1648.</w:t>
      </w:r>
    </w:p>
  </w:footnote>
  <w:footnote w:id="21">
    <w:p w14:paraId="6067FBBC" w14:textId="68A0F1EE"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CA03F7">
        <w:rPr>
          <w:lang w:val="en-CA"/>
        </w:rPr>
        <w:t>Judgment under appeal</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00450BD2">
        <w:rPr>
          <w:lang w:val="en-CA"/>
        </w:rPr>
        <w:t xml:space="preserve"> at</w:t>
      </w:r>
      <w:r w:rsidRPr="00864FFB">
        <w:rPr>
          <w:lang w:val="en-CA"/>
        </w:rPr>
        <w:t xml:space="preserve"> para. 62.</w:t>
      </w:r>
    </w:p>
  </w:footnote>
  <w:footnote w:id="22">
    <w:p w14:paraId="10314240" w14:textId="51FB6984"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450BD2" w:rsidRPr="00864FFB">
        <w:rPr>
          <w:i/>
          <w:lang w:val="en-CA"/>
        </w:rPr>
        <w:t>I</w:t>
      </w:r>
      <w:r w:rsidR="00450BD2">
        <w:rPr>
          <w:i/>
          <w:lang w:val="en-CA"/>
        </w:rPr>
        <w:t>bi</w:t>
      </w:r>
      <w:r w:rsidR="00450BD2" w:rsidRPr="00864FFB">
        <w:rPr>
          <w:i/>
          <w:lang w:val="en-CA"/>
        </w:rPr>
        <w:t>d</w:t>
      </w:r>
      <w:r w:rsidRPr="00864FFB">
        <w:rPr>
          <w:i/>
          <w:lang w:val="en-CA"/>
        </w:rPr>
        <w:t>.</w:t>
      </w:r>
      <w:r w:rsidR="00450BD2" w:rsidRPr="00450BD2">
        <w:rPr>
          <w:lang w:val="en-CA"/>
        </w:rPr>
        <w:t xml:space="preserve"> </w:t>
      </w:r>
      <w:r w:rsidR="00450BD2">
        <w:rPr>
          <w:lang w:val="en-CA"/>
        </w:rPr>
        <w:t>at</w:t>
      </w:r>
      <w:r w:rsidRPr="00864FFB">
        <w:rPr>
          <w:lang w:val="en-CA"/>
        </w:rPr>
        <w:t xml:space="preserve"> </w:t>
      </w:r>
      <w:r w:rsidR="00450BD2" w:rsidRPr="00864FFB">
        <w:rPr>
          <w:lang w:val="en-CA"/>
        </w:rPr>
        <w:t xml:space="preserve">para. </w:t>
      </w:r>
      <w:r w:rsidRPr="00864FFB">
        <w:rPr>
          <w:lang w:val="en-CA"/>
        </w:rPr>
        <w:t>69.</w:t>
      </w:r>
    </w:p>
  </w:footnote>
  <w:footnote w:id="23">
    <w:p w14:paraId="4CC75AC1" w14:textId="05601467"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450BD2" w:rsidRPr="00864FFB">
        <w:rPr>
          <w:i/>
          <w:lang w:val="en-CA"/>
        </w:rPr>
        <w:t>I</w:t>
      </w:r>
      <w:r w:rsidR="00450BD2">
        <w:rPr>
          <w:i/>
          <w:lang w:val="en-CA"/>
        </w:rPr>
        <w:t>bi</w:t>
      </w:r>
      <w:r w:rsidR="00450BD2" w:rsidRPr="00864FFB">
        <w:rPr>
          <w:i/>
          <w:lang w:val="en-CA"/>
        </w:rPr>
        <w:t>d</w:t>
      </w:r>
      <w:r w:rsidRPr="00864FFB">
        <w:rPr>
          <w:i/>
          <w:lang w:val="en-CA"/>
        </w:rPr>
        <w:t>.</w:t>
      </w:r>
      <w:r w:rsidR="00450BD2" w:rsidRPr="00450BD2">
        <w:rPr>
          <w:lang w:val="en-CA"/>
        </w:rPr>
        <w:t xml:space="preserve"> </w:t>
      </w:r>
      <w:r w:rsidR="00450BD2">
        <w:rPr>
          <w:lang w:val="en-CA"/>
        </w:rPr>
        <w:t>at</w:t>
      </w:r>
      <w:r w:rsidRPr="00864FFB">
        <w:rPr>
          <w:lang w:val="en-CA"/>
        </w:rPr>
        <w:t xml:space="preserve"> </w:t>
      </w:r>
      <w:r w:rsidR="00450BD2" w:rsidRPr="00864FFB">
        <w:rPr>
          <w:lang w:val="en-CA"/>
        </w:rPr>
        <w:t>para</w:t>
      </w:r>
      <w:r w:rsidRPr="00864FFB">
        <w:rPr>
          <w:lang w:val="en-CA"/>
        </w:rPr>
        <w:t>. 109.</w:t>
      </w:r>
    </w:p>
  </w:footnote>
  <w:footnote w:id="24">
    <w:p w14:paraId="16F17F39" w14:textId="377B0448"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450BD2" w:rsidRPr="00864FFB">
        <w:rPr>
          <w:i/>
          <w:lang w:val="en-CA"/>
        </w:rPr>
        <w:t>I</w:t>
      </w:r>
      <w:r w:rsidR="00450BD2">
        <w:rPr>
          <w:i/>
          <w:lang w:val="en-CA"/>
        </w:rPr>
        <w:t>bi</w:t>
      </w:r>
      <w:r w:rsidR="00450BD2" w:rsidRPr="00864FFB">
        <w:rPr>
          <w:i/>
          <w:lang w:val="en-CA"/>
        </w:rPr>
        <w:t>d</w:t>
      </w:r>
      <w:r w:rsidRPr="00864FFB">
        <w:rPr>
          <w:i/>
          <w:lang w:val="en-CA"/>
        </w:rPr>
        <w:t>.</w:t>
      </w:r>
      <w:r w:rsidRPr="00864FFB">
        <w:rPr>
          <w:lang w:val="en-CA"/>
        </w:rPr>
        <w:t xml:space="preserve"> </w:t>
      </w:r>
      <w:r w:rsidR="00450BD2">
        <w:rPr>
          <w:lang w:val="en-CA"/>
        </w:rPr>
        <w:t xml:space="preserve">at </w:t>
      </w:r>
      <w:r w:rsidR="00450BD2" w:rsidRPr="00864FFB">
        <w:rPr>
          <w:lang w:val="en-CA"/>
        </w:rPr>
        <w:t>para</w:t>
      </w:r>
      <w:r w:rsidRPr="00864FFB">
        <w:rPr>
          <w:lang w:val="en-CA"/>
        </w:rPr>
        <w:t>. 102.</w:t>
      </w:r>
    </w:p>
  </w:footnote>
  <w:footnote w:id="25">
    <w:p w14:paraId="49AA70C5" w14:textId="5109E5B7"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450BD2" w:rsidRPr="00864FFB">
        <w:rPr>
          <w:i/>
          <w:lang w:val="en-CA"/>
        </w:rPr>
        <w:t>I</w:t>
      </w:r>
      <w:r w:rsidR="00450BD2">
        <w:rPr>
          <w:i/>
          <w:lang w:val="en-CA"/>
        </w:rPr>
        <w:t>bi</w:t>
      </w:r>
      <w:r w:rsidR="00450BD2" w:rsidRPr="00864FFB">
        <w:rPr>
          <w:i/>
          <w:lang w:val="en-CA"/>
        </w:rPr>
        <w:t>d</w:t>
      </w:r>
      <w:r w:rsidRPr="00864FFB">
        <w:rPr>
          <w:i/>
          <w:lang w:val="en-CA"/>
        </w:rPr>
        <w:t>.</w:t>
      </w:r>
      <w:r w:rsidRPr="00864FFB">
        <w:rPr>
          <w:lang w:val="en-CA"/>
        </w:rPr>
        <w:t xml:space="preserve"> </w:t>
      </w:r>
      <w:r w:rsidR="00450BD2">
        <w:rPr>
          <w:lang w:val="en-CA"/>
        </w:rPr>
        <w:t xml:space="preserve">at </w:t>
      </w:r>
      <w:r w:rsidR="00450BD2" w:rsidRPr="00864FFB">
        <w:rPr>
          <w:lang w:val="en-CA"/>
        </w:rPr>
        <w:t>para</w:t>
      </w:r>
      <w:r w:rsidR="00450BD2">
        <w:rPr>
          <w:lang w:val="en-CA"/>
        </w:rPr>
        <w:t>s</w:t>
      </w:r>
      <w:r w:rsidRPr="00864FFB">
        <w:rPr>
          <w:lang w:val="en-CA"/>
        </w:rPr>
        <w:t>. 107</w:t>
      </w:r>
      <w:r w:rsidR="00362CEE">
        <w:rPr>
          <w:lang w:val="en-CA"/>
        </w:rPr>
        <w:t>–</w:t>
      </w:r>
      <w:r w:rsidRPr="00864FFB">
        <w:rPr>
          <w:lang w:val="en-CA"/>
        </w:rPr>
        <w:t>108.</w:t>
      </w:r>
    </w:p>
  </w:footnote>
  <w:footnote w:id="26">
    <w:p w14:paraId="2AB4FED9" w14:textId="03BE77EC"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CA03F7">
        <w:rPr>
          <w:lang w:val="en-CA"/>
        </w:rPr>
        <w:t>Judgment under appeal</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00450BD2">
        <w:rPr>
          <w:lang w:val="en-CA"/>
        </w:rPr>
        <w:t xml:space="preserve"> at</w:t>
      </w:r>
      <w:r w:rsidRPr="00864FFB">
        <w:rPr>
          <w:lang w:val="en-CA"/>
        </w:rPr>
        <w:t xml:space="preserve"> </w:t>
      </w:r>
      <w:r w:rsidR="00450BD2" w:rsidRPr="00864FFB">
        <w:rPr>
          <w:lang w:val="en-CA"/>
        </w:rPr>
        <w:t>para</w:t>
      </w:r>
      <w:r w:rsidRPr="00864FFB">
        <w:rPr>
          <w:lang w:val="en-CA"/>
        </w:rPr>
        <w:t>. 128.</w:t>
      </w:r>
    </w:p>
  </w:footnote>
  <w:footnote w:id="27">
    <w:p w14:paraId="7CA19708" w14:textId="466D0FE5" w:rsidR="00EC3BD5" w:rsidRPr="00864FFB" w:rsidRDefault="000E263F" w:rsidP="00F1386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450BD2" w:rsidRPr="00864FFB">
        <w:rPr>
          <w:i/>
          <w:lang w:val="en-CA"/>
        </w:rPr>
        <w:t>I</w:t>
      </w:r>
      <w:r w:rsidR="00450BD2">
        <w:rPr>
          <w:i/>
          <w:lang w:val="en-CA"/>
        </w:rPr>
        <w:t>bi</w:t>
      </w:r>
      <w:r w:rsidR="00450BD2" w:rsidRPr="00864FFB">
        <w:rPr>
          <w:i/>
          <w:lang w:val="en-CA"/>
        </w:rPr>
        <w:t>d</w:t>
      </w:r>
      <w:r w:rsidRPr="00864FFB">
        <w:rPr>
          <w:i/>
          <w:lang w:val="en-CA"/>
        </w:rPr>
        <w:t>.</w:t>
      </w:r>
      <w:r w:rsidR="00450BD2">
        <w:rPr>
          <w:lang w:val="en-CA"/>
        </w:rPr>
        <w:t xml:space="preserve"> at</w:t>
      </w:r>
      <w:r w:rsidRPr="00864FFB">
        <w:rPr>
          <w:lang w:val="en-CA"/>
        </w:rPr>
        <w:t xml:space="preserve"> para. 132.</w:t>
      </w:r>
    </w:p>
  </w:footnote>
  <w:footnote w:id="28">
    <w:p w14:paraId="60855B1A" w14:textId="236AE4BD" w:rsidR="00BD0DBA" w:rsidRPr="00864FFB" w:rsidRDefault="00BD0DBA" w:rsidP="00BD0DBA">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CA03F7" w:rsidRPr="00864FFB">
        <w:rPr>
          <w:i/>
          <w:lang w:val="en-CA"/>
        </w:rPr>
        <w:t>I</w:t>
      </w:r>
      <w:r w:rsidR="00CA03F7">
        <w:rPr>
          <w:i/>
          <w:lang w:val="en-CA"/>
        </w:rPr>
        <w:t>bi</w:t>
      </w:r>
      <w:r w:rsidR="00CA03F7" w:rsidRPr="00864FFB">
        <w:rPr>
          <w:i/>
          <w:lang w:val="en-CA"/>
        </w:rPr>
        <w:t>d</w:t>
      </w:r>
      <w:r w:rsidRPr="00864FFB">
        <w:rPr>
          <w:i/>
          <w:lang w:val="en-CA"/>
        </w:rPr>
        <w:t>.</w:t>
      </w:r>
      <w:r w:rsidR="00CA03F7">
        <w:rPr>
          <w:lang w:val="en-CA"/>
        </w:rPr>
        <w:t xml:space="preserve"> at</w:t>
      </w:r>
      <w:r w:rsidRPr="00864FFB">
        <w:rPr>
          <w:lang w:val="en-CA"/>
        </w:rPr>
        <w:t xml:space="preserve"> para. 137.</w:t>
      </w:r>
    </w:p>
  </w:footnote>
  <w:footnote w:id="29">
    <w:p w14:paraId="59968BD2" w14:textId="62CE981D" w:rsidR="00EC3BD5" w:rsidRPr="00864FFB" w:rsidRDefault="000E263F" w:rsidP="00DA07F0">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2A6087" w:rsidRPr="00864FFB">
        <w:rPr>
          <w:i/>
          <w:lang w:val="en-CA"/>
        </w:rPr>
        <w:t>I</w:t>
      </w:r>
      <w:r w:rsidR="002A6087">
        <w:rPr>
          <w:i/>
          <w:lang w:val="en-CA"/>
        </w:rPr>
        <w:t>bi</w:t>
      </w:r>
      <w:r w:rsidR="002A6087" w:rsidRPr="00864FFB">
        <w:rPr>
          <w:i/>
          <w:lang w:val="en-CA"/>
        </w:rPr>
        <w:t>d.</w:t>
      </w:r>
      <w:r w:rsidR="002A6087">
        <w:rPr>
          <w:lang w:val="en-CA"/>
        </w:rPr>
        <w:t xml:space="preserve"> at</w:t>
      </w:r>
      <w:r w:rsidR="002A6087" w:rsidRPr="00864FFB">
        <w:rPr>
          <w:lang w:val="en-CA"/>
        </w:rPr>
        <w:t xml:space="preserve"> para</w:t>
      </w:r>
      <w:r w:rsidR="002A6087">
        <w:rPr>
          <w:lang w:val="en-CA"/>
        </w:rPr>
        <w:t>s</w:t>
      </w:r>
      <w:r w:rsidRPr="00864FFB">
        <w:rPr>
          <w:lang w:val="en-CA"/>
        </w:rPr>
        <w:t>. 155, 159.</w:t>
      </w:r>
    </w:p>
  </w:footnote>
  <w:footnote w:id="30">
    <w:p w14:paraId="0BB28038" w14:textId="75ECC276" w:rsidR="00BD0DBA" w:rsidRPr="00864FFB" w:rsidRDefault="00BD0DBA" w:rsidP="00BD0DBA">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2A6087" w:rsidRPr="00864FFB">
        <w:rPr>
          <w:i/>
          <w:lang w:val="en-CA"/>
        </w:rPr>
        <w:t>I</w:t>
      </w:r>
      <w:r w:rsidR="002A6087">
        <w:rPr>
          <w:i/>
          <w:lang w:val="en-CA"/>
        </w:rPr>
        <w:t>bi</w:t>
      </w:r>
      <w:r w:rsidR="002A6087" w:rsidRPr="00864FFB">
        <w:rPr>
          <w:i/>
          <w:lang w:val="en-CA"/>
        </w:rPr>
        <w:t>d.</w:t>
      </w:r>
      <w:r w:rsidR="002A6087">
        <w:rPr>
          <w:lang w:val="en-CA"/>
        </w:rPr>
        <w:t xml:space="preserve"> at</w:t>
      </w:r>
      <w:r w:rsidR="002A6087" w:rsidRPr="00864FFB">
        <w:rPr>
          <w:lang w:val="en-CA"/>
        </w:rPr>
        <w:t xml:space="preserve"> para</w:t>
      </w:r>
      <w:r w:rsidRPr="00864FFB">
        <w:rPr>
          <w:lang w:val="en-CA"/>
        </w:rPr>
        <w:t>. 166.</w:t>
      </w:r>
    </w:p>
  </w:footnote>
  <w:footnote w:id="31">
    <w:p w14:paraId="3EB3D5F7" w14:textId="3D0B556D"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2A6087" w:rsidRPr="00864FFB">
        <w:rPr>
          <w:i/>
          <w:lang w:val="en-CA"/>
        </w:rPr>
        <w:t>I</w:t>
      </w:r>
      <w:r w:rsidR="002A6087">
        <w:rPr>
          <w:i/>
          <w:lang w:val="en-CA"/>
        </w:rPr>
        <w:t>bi</w:t>
      </w:r>
      <w:r w:rsidR="002A6087" w:rsidRPr="00864FFB">
        <w:rPr>
          <w:i/>
          <w:lang w:val="en-CA"/>
        </w:rPr>
        <w:t>d.</w:t>
      </w:r>
      <w:r w:rsidR="002A6087">
        <w:rPr>
          <w:lang w:val="en-CA"/>
        </w:rPr>
        <w:t xml:space="preserve"> at</w:t>
      </w:r>
      <w:r w:rsidR="002A6087" w:rsidRPr="00864FFB">
        <w:rPr>
          <w:lang w:val="en-CA"/>
        </w:rPr>
        <w:t xml:space="preserve"> para</w:t>
      </w:r>
      <w:r w:rsidR="007C168C">
        <w:rPr>
          <w:lang w:val="en-CA"/>
        </w:rPr>
        <w:t>s</w:t>
      </w:r>
      <w:r w:rsidR="002A6087" w:rsidRPr="00864FFB">
        <w:rPr>
          <w:lang w:val="en-CA"/>
        </w:rPr>
        <w:t xml:space="preserve">. </w:t>
      </w:r>
      <w:r w:rsidRPr="00864FFB">
        <w:rPr>
          <w:lang w:val="en-CA"/>
        </w:rPr>
        <w:t>168</w:t>
      </w:r>
      <w:r w:rsidR="00362CEE">
        <w:rPr>
          <w:lang w:val="en-CA"/>
        </w:rPr>
        <w:t>–</w:t>
      </w:r>
      <w:r w:rsidRPr="00864FFB">
        <w:rPr>
          <w:lang w:val="en-CA"/>
        </w:rPr>
        <w:t>170.</w:t>
      </w:r>
    </w:p>
  </w:footnote>
  <w:footnote w:id="32">
    <w:p w14:paraId="14242758" w14:textId="4F7BC53D"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2A6087" w:rsidRPr="00864FFB">
        <w:rPr>
          <w:i/>
          <w:lang w:val="en-CA"/>
        </w:rPr>
        <w:t>I</w:t>
      </w:r>
      <w:r w:rsidR="002A6087">
        <w:rPr>
          <w:i/>
          <w:lang w:val="en-CA"/>
        </w:rPr>
        <w:t>bi</w:t>
      </w:r>
      <w:r w:rsidR="002A6087" w:rsidRPr="00864FFB">
        <w:rPr>
          <w:i/>
          <w:lang w:val="en-CA"/>
        </w:rPr>
        <w:t>d.</w:t>
      </w:r>
      <w:r w:rsidR="002A6087">
        <w:rPr>
          <w:lang w:val="en-CA"/>
        </w:rPr>
        <w:t xml:space="preserve"> at</w:t>
      </w:r>
      <w:r w:rsidR="002A6087" w:rsidRPr="00864FFB">
        <w:rPr>
          <w:lang w:val="en-CA"/>
        </w:rPr>
        <w:t xml:space="preserve"> para. </w:t>
      </w:r>
      <w:r w:rsidRPr="00864FFB">
        <w:rPr>
          <w:lang w:val="en-CA"/>
        </w:rPr>
        <w:t>173.</w:t>
      </w:r>
    </w:p>
  </w:footnote>
  <w:footnote w:id="33">
    <w:p w14:paraId="5324175C" w14:textId="799EE1B2" w:rsidR="00360D2F" w:rsidRPr="00864FFB" w:rsidRDefault="00360D2F" w:rsidP="00360D2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2A6087" w:rsidRPr="00864FFB">
        <w:rPr>
          <w:i/>
          <w:lang w:val="en-CA"/>
        </w:rPr>
        <w:t>I</w:t>
      </w:r>
      <w:r w:rsidR="002A6087">
        <w:rPr>
          <w:i/>
          <w:lang w:val="en-CA"/>
        </w:rPr>
        <w:t>bi</w:t>
      </w:r>
      <w:r w:rsidR="002A6087" w:rsidRPr="00864FFB">
        <w:rPr>
          <w:i/>
          <w:lang w:val="en-CA"/>
        </w:rPr>
        <w:t>d.</w:t>
      </w:r>
      <w:r w:rsidR="002A6087">
        <w:rPr>
          <w:lang w:val="en-CA"/>
        </w:rPr>
        <w:t xml:space="preserve"> at</w:t>
      </w:r>
      <w:r w:rsidR="002A6087" w:rsidRPr="00864FFB">
        <w:rPr>
          <w:lang w:val="en-CA"/>
        </w:rPr>
        <w:t xml:space="preserve"> para. </w:t>
      </w:r>
      <w:r w:rsidRPr="00864FFB">
        <w:rPr>
          <w:lang w:val="en-CA"/>
        </w:rPr>
        <w:t>174.</w:t>
      </w:r>
    </w:p>
  </w:footnote>
  <w:footnote w:id="34">
    <w:p w14:paraId="68253D66" w14:textId="02353B45"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2A6087" w:rsidRPr="00864FFB">
        <w:rPr>
          <w:i/>
          <w:lang w:val="en-CA"/>
        </w:rPr>
        <w:t>I</w:t>
      </w:r>
      <w:r w:rsidR="002A6087">
        <w:rPr>
          <w:i/>
          <w:lang w:val="en-CA"/>
        </w:rPr>
        <w:t>bi</w:t>
      </w:r>
      <w:r w:rsidR="002A6087" w:rsidRPr="00864FFB">
        <w:rPr>
          <w:i/>
          <w:lang w:val="en-CA"/>
        </w:rPr>
        <w:t>d.</w:t>
      </w:r>
      <w:r w:rsidR="002A6087">
        <w:rPr>
          <w:lang w:val="en-CA"/>
        </w:rPr>
        <w:t xml:space="preserve"> at</w:t>
      </w:r>
      <w:r w:rsidR="002A6087" w:rsidRPr="00864FFB">
        <w:rPr>
          <w:lang w:val="en-CA"/>
        </w:rPr>
        <w:t xml:space="preserve"> para. </w:t>
      </w:r>
      <w:r w:rsidRPr="00864FFB">
        <w:rPr>
          <w:lang w:val="en-CA"/>
        </w:rPr>
        <w:t>175.</w:t>
      </w:r>
    </w:p>
  </w:footnote>
  <w:footnote w:id="35">
    <w:p w14:paraId="77B16597" w14:textId="59D03E42"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Ibid.</w:t>
      </w:r>
    </w:p>
  </w:footnote>
  <w:footnote w:id="36">
    <w:p w14:paraId="6B935581" w14:textId="734A6509"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2A6087">
        <w:rPr>
          <w:lang w:val="en-CA"/>
        </w:rPr>
        <w:t>Judgment under appeal</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002A6087">
        <w:rPr>
          <w:lang w:val="en-CA"/>
        </w:rPr>
        <w:t xml:space="preserve"> at</w:t>
      </w:r>
      <w:r w:rsidR="002A6087" w:rsidRPr="00864FFB">
        <w:rPr>
          <w:lang w:val="en-CA"/>
        </w:rPr>
        <w:t xml:space="preserve"> para</w:t>
      </w:r>
      <w:r w:rsidRPr="00864FFB">
        <w:rPr>
          <w:lang w:val="en-CA"/>
        </w:rPr>
        <w:t>. 183.</w:t>
      </w:r>
    </w:p>
  </w:footnote>
  <w:footnote w:id="37">
    <w:p w14:paraId="0E441540" w14:textId="118E5141"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2A6087" w:rsidRPr="00864FFB">
        <w:rPr>
          <w:i/>
          <w:lang w:val="en-CA"/>
        </w:rPr>
        <w:t>I</w:t>
      </w:r>
      <w:r w:rsidR="002A6087">
        <w:rPr>
          <w:i/>
          <w:lang w:val="en-CA"/>
        </w:rPr>
        <w:t>bi</w:t>
      </w:r>
      <w:r w:rsidR="002A6087" w:rsidRPr="00864FFB">
        <w:rPr>
          <w:i/>
          <w:lang w:val="en-CA"/>
        </w:rPr>
        <w:t>d.</w:t>
      </w:r>
      <w:r w:rsidR="002A6087">
        <w:rPr>
          <w:lang w:val="en-CA"/>
        </w:rPr>
        <w:t xml:space="preserve"> at</w:t>
      </w:r>
      <w:r w:rsidR="002A6087" w:rsidRPr="00864FFB">
        <w:rPr>
          <w:lang w:val="en-CA"/>
        </w:rPr>
        <w:t xml:space="preserve"> para</w:t>
      </w:r>
      <w:r w:rsidRPr="00864FFB">
        <w:rPr>
          <w:lang w:val="en-CA"/>
        </w:rPr>
        <w:t>. 184.</w:t>
      </w:r>
    </w:p>
  </w:footnote>
  <w:footnote w:id="38">
    <w:p w14:paraId="64EFF491" w14:textId="413F57DB"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2A6087">
        <w:rPr>
          <w:lang w:val="en-CA"/>
        </w:rPr>
        <w:t>Judgment under appeal</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002A6087" w:rsidRPr="002A6087">
        <w:rPr>
          <w:lang w:val="en-CA"/>
        </w:rPr>
        <w:t xml:space="preserve"> </w:t>
      </w:r>
      <w:r w:rsidR="002A6087">
        <w:rPr>
          <w:lang w:val="en-CA"/>
        </w:rPr>
        <w:t>at</w:t>
      </w:r>
      <w:r w:rsidR="002A6087" w:rsidRPr="00864FFB">
        <w:rPr>
          <w:lang w:val="en-CA"/>
        </w:rPr>
        <w:t xml:space="preserve"> para. </w:t>
      </w:r>
      <w:r w:rsidRPr="00864FFB">
        <w:rPr>
          <w:lang w:val="en-CA"/>
        </w:rPr>
        <w:t>194.</w:t>
      </w:r>
    </w:p>
  </w:footnote>
  <w:footnote w:id="39">
    <w:p w14:paraId="7B7CF3B6" w14:textId="1256B535" w:rsidR="00360D2F" w:rsidRPr="00864FFB" w:rsidRDefault="00360D2F" w:rsidP="00360D2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2A6087" w:rsidRPr="00864FFB">
        <w:rPr>
          <w:i/>
          <w:lang w:val="en-CA"/>
        </w:rPr>
        <w:t>I</w:t>
      </w:r>
      <w:r w:rsidR="002A6087">
        <w:rPr>
          <w:i/>
          <w:lang w:val="en-CA"/>
        </w:rPr>
        <w:t>bi</w:t>
      </w:r>
      <w:r w:rsidR="002A6087" w:rsidRPr="00864FFB">
        <w:rPr>
          <w:i/>
          <w:lang w:val="en-CA"/>
        </w:rPr>
        <w:t>d.</w:t>
      </w:r>
      <w:r w:rsidR="002A6087">
        <w:rPr>
          <w:lang w:val="en-CA"/>
        </w:rPr>
        <w:t xml:space="preserve"> at</w:t>
      </w:r>
      <w:r w:rsidR="002A6087" w:rsidRPr="00864FFB">
        <w:rPr>
          <w:lang w:val="en-CA"/>
        </w:rPr>
        <w:t xml:space="preserve"> para</w:t>
      </w:r>
      <w:r w:rsidRPr="00864FFB">
        <w:rPr>
          <w:lang w:val="en-CA"/>
        </w:rPr>
        <w:t>. 202.</w:t>
      </w:r>
    </w:p>
  </w:footnote>
  <w:footnote w:id="40">
    <w:p w14:paraId="0D77C304" w14:textId="7AB1FAB1"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2A6087" w:rsidRPr="00864FFB">
        <w:rPr>
          <w:i/>
          <w:lang w:val="en-CA"/>
        </w:rPr>
        <w:t>I</w:t>
      </w:r>
      <w:r w:rsidR="002A6087">
        <w:rPr>
          <w:i/>
          <w:lang w:val="en-CA"/>
        </w:rPr>
        <w:t>bi</w:t>
      </w:r>
      <w:r w:rsidR="002A6087" w:rsidRPr="00864FFB">
        <w:rPr>
          <w:i/>
          <w:lang w:val="en-CA"/>
        </w:rPr>
        <w:t>d.</w:t>
      </w:r>
      <w:r w:rsidR="002A6087">
        <w:rPr>
          <w:lang w:val="en-CA"/>
        </w:rPr>
        <w:t xml:space="preserve"> at</w:t>
      </w:r>
      <w:r w:rsidR="002A6087" w:rsidRPr="00864FFB">
        <w:rPr>
          <w:lang w:val="en-CA"/>
        </w:rPr>
        <w:t xml:space="preserve"> para</w:t>
      </w:r>
      <w:r w:rsidRPr="00864FFB">
        <w:rPr>
          <w:lang w:val="en-CA"/>
        </w:rPr>
        <w:t>. 203.</w:t>
      </w:r>
    </w:p>
  </w:footnote>
  <w:footnote w:id="41">
    <w:p w14:paraId="4EDA2782" w14:textId="77777777" w:rsidR="00360D2F" w:rsidRPr="00864FFB" w:rsidRDefault="00360D2F" w:rsidP="00360D2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R. v. Hood</w:t>
      </w:r>
      <w:r w:rsidRPr="00864FFB">
        <w:rPr>
          <w:lang w:val="en-CA"/>
        </w:rPr>
        <w:t xml:space="preserve">, </w:t>
      </w:r>
      <w:r w:rsidRPr="00864FFB">
        <w:rPr>
          <w:rStyle w:val="Hyperlien"/>
          <w:color w:val="auto"/>
          <w:u w:val="none"/>
          <w:lang w:val="en-CA"/>
        </w:rPr>
        <w:t>2018 NSCA 18 [</w:t>
      </w:r>
      <w:r w:rsidRPr="00864FFB">
        <w:rPr>
          <w:rStyle w:val="Hyperlien"/>
          <w:i/>
          <w:color w:val="auto"/>
          <w:u w:val="none"/>
          <w:lang w:val="en-CA"/>
        </w:rPr>
        <w:t>Hood</w:t>
      </w:r>
      <w:r w:rsidRPr="00864FFB">
        <w:rPr>
          <w:rStyle w:val="Hyperlien"/>
          <w:color w:val="auto"/>
          <w:u w:val="none"/>
          <w:lang w:val="en-CA"/>
        </w:rPr>
        <w:t>]</w:t>
      </w:r>
      <w:r w:rsidRPr="00864FFB">
        <w:rPr>
          <w:lang w:val="en-CA"/>
        </w:rPr>
        <w:t>.</w:t>
      </w:r>
    </w:p>
  </w:footnote>
  <w:footnote w:id="42">
    <w:p w14:paraId="05787F1F" w14:textId="77777777" w:rsidR="00360D2F" w:rsidRPr="00864FFB" w:rsidRDefault="00360D2F" w:rsidP="00360D2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R. v. John</w:t>
      </w:r>
      <w:r w:rsidRPr="00864FFB">
        <w:rPr>
          <w:lang w:val="en-CA"/>
        </w:rPr>
        <w:t xml:space="preserve">, </w:t>
      </w:r>
      <w:r w:rsidRPr="00864FFB">
        <w:rPr>
          <w:rStyle w:val="Hyperlien"/>
          <w:color w:val="auto"/>
          <w:u w:val="none"/>
          <w:lang w:val="en-CA"/>
        </w:rPr>
        <w:t>2018 ONCA 702</w:t>
      </w:r>
      <w:r w:rsidRPr="00864FFB">
        <w:rPr>
          <w:lang w:val="en-CA"/>
        </w:rPr>
        <w:t>.</w:t>
      </w:r>
    </w:p>
  </w:footnote>
  <w:footnote w:id="43">
    <w:p w14:paraId="52249F29" w14:textId="2992130D"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R. v. Randall</w:t>
      </w:r>
      <w:r w:rsidRPr="00864FFB">
        <w:rPr>
          <w:lang w:val="en-CA"/>
        </w:rPr>
        <w:t xml:space="preserve">, </w:t>
      </w:r>
      <w:r w:rsidRPr="00864FFB">
        <w:rPr>
          <w:rStyle w:val="Hyperlien"/>
          <w:color w:val="auto"/>
          <w:u w:val="none"/>
          <w:lang w:val="en-CA"/>
        </w:rPr>
        <w:t>2018 ONCJ 470 [</w:t>
      </w:r>
      <w:r w:rsidRPr="00864FFB">
        <w:rPr>
          <w:rStyle w:val="Hyperlien"/>
          <w:i/>
          <w:color w:val="auto"/>
          <w:u w:val="none"/>
          <w:lang w:val="en-CA"/>
        </w:rPr>
        <w:t>Randall</w:t>
      </w:r>
      <w:r w:rsidRPr="00864FFB">
        <w:rPr>
          <w:rStyle w:val="Hyperlien"/>
          <w:color w:val="auto"/>
          <w:u w:val="none"/>
          <w:lang w:val="en-CA"/>
        </w:rPr>
        <w:t>]</w:t>
      </w:r>
      <w:r w:rsidRPr="00864FFB">
        <w:rPr>
          <w:lang w:val="en-CA"/>
        </w:rPr>
        <w:t>.</w:t>
      </w:r>
    </w:p>
  </w:footnote>
  <w:footnote w:id="44">
    <w:p w14:paraId="61FABFA2" w14:textId="10F9C5FE"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E57D6D">
        <w:rPr>
          <w:lang w:val="en-CA"/>
        </w:rPr>
        <w:t>Judgment under appeal</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00E57D6D">
        <w:rPr>
          <w:lang w:val="en-CA"/>
        </w:rPr>
        <w:t xml:space="preserve"> at</w:t>
      </w:r>
      <w:r w:rsidR="00E57D6D" w:rsidRPr="00864FFB">
        <w:rPr>
          <w:lang w:val="en-CA"/>
        </w:rPr>
        <w:t xml:space="preserve"> para</w:t>
      </w:r>
      <w:r w:rsidRPr="00864FFB">
        <w:rPr>
          <w:lang w:val="en-CA"/>
        </w:rPr>
        <w:t>. 222.</w:t>
      </w:r>
    </w:p>
  </w:footnote>
  <w:footnote w:id="45">
    <w:p w14:paraId="6B969E96" w14:textId="18AEE01A"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E57D6D" w:rsidRPr="00864FFB">
        <w:rPr>
          <w:i/>
          <w:lang w:val="en-CA"/>
        </w:rPr>
        <w:t>I</w:t>
      </w:r>
      <w:r w:rsidR="00E57D6D">
        <w:rPr>
          <w:i/>
          <w:lang w:val="en-CA"/>
        </w:rPr>
        <w:t>bi</w:t>
      </w:r>
      <w:r w:rsidR="00E57D6D" w:rsidRPr="00864FFB">
        <w:rPr>
          <w:i/>
          <w:lang w:val="en-CA"/>
        </w:rPr>
        <w:t>d.</w:t>
      </w:r>
      <w:r w:rsidR="00E57D6D">
        <w:rPr>
          <w:lang w:val="en-CA"/>
        </w:rPr>
        <w:t xml:space="preserve"> at</w:t>
      </w:r>
      <w:r w:rsidR="00E57D6D" w:rsidRPr="00864FFB">
        <w:rPr>
          <w:lang w:val="en-CA"/>
        </w:rPr>
        <w:t xml:space="preserve"> para</w:t>
      </w:r>
      <w:r w:rsidR="00E57D6D">
        <w:rPr>
          <w:lang w:val="en-CA"/>
        </w:rPr>
        <w:t>s</w:t>
      </w:r>
      <w:r w:rsidR="00E57D6D" w:rsidRPr="00864FFB">
        <w:rPr>
          <w:lang w:val="en-CA"/>
        </w:rPr>
        <w:t xml:space="preserve">. </w:t>
      </w:r>
      <w:r w:rsidRPr="00864FFB">
        <w:rPr>
          <w:lang w:val="en-CA"/>
        </w:rPr>
        <w:t xml:space="preserve">217, 218 </w:t>
      </w:r>
      <w:r w:rsidR="00E57D6D">
        <w:rPr>
          <w:lang w:val="en-CA"/>
        </w:rPr>
        <w:t>and</w:t>
      </w:r>
      <w:r w:rsidRPr="00864FFB">
        <w:rPr>
          <w:lang w:val="en-CA"/>
        </w:rPr>
        <w:t xml:space="preserve"> 224.</w:t>
      </w:r>
    </w:p>
  </w:footnote>
  <w:footnote w:id="46">
    <w:p w14:paraId="0C4EE08C" w14:textId="592D5785"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E57D6D" w:rsidRPr="00864FFB">
        <w:rPr>
          <w:i/>
          <w:lang w:val="en-CA"/>
        </w:rPr>
        <w:t>I</w:t>
      </w:r>
      <w:r w:rsidR="00E57D6D">
        <w:rPr>
          <w:i/>
          <w:lang w:val="en-CA"/>
        </w:rPr>
        <w:t>bi</w:t>
      </w:r>
      <w:r w:rsidR="00E57D6D" w:rsidRPr="00864FFB">
        <w:rPr>
          <w:i/>
          <w:lang w:val="en-CA"/>
        </w:rPr>
        <w:t>d.</w:t>
      </w:r>
      <w:r w:rsidR="00E57D6D">
        <w:rPr>
          <w:lang w:val="en-CA"/>
        </w:rPr>
        <w:t xml:space="preserve"> at</w:t>
      </w:r>
      <w:r w:rsidR="00E57D6D" w:rsidRPr="00864FFB">
        <w:rPr>
          <w:lang w:val="en-CA"/>
        </w:rPr>
        <w:t xml:space="preserve"> para</w:t>
      </w:r>
      <w:r w:rsidRPr="00864FFB">
        <w:rPr>
          <w:lang w:val="en-CA"/>
        </w:rPr>
        <w:t>. 237.</w:t>
      </w:r>
    </w:p>
  </w:footnote>
  <w:footnote w:id="47">
    <w:p w14:paraId="49091EAB" w14:textId="4DC21A01"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E57D6D" w:rsidRPr="00864FFB">
        <w:rPr>
          <w:i/>
          <w:lang w:val="en-CA"/>
        </w:rPr>
        <w:t>I</w:t>
      </w:r>
      <w:r w:rsidR="00E57D6D">
        <w:rPr>
          <w:i/>
          <w:lang w:val="en-CA"/>
        </w:rPr>
        <w:t>bi</w:t>
      </w:r>
      <w:r w:rsidR="00E57D6D" w:rsidRPr="00864FFB">
        <w:rPr>
          <w:i/>
          <w:lang w:val="en-CA"/>
        </w:rPr>
        <w:t>d.</w:t>
      </w:r>
      <w:r w:rsidR="00E57D6D">
        <w:rPr>
          <w:lang w:val="en-CA"/>
        </w:rPr>
        <w:t xml:space="preserve"> at</w:t>
      </w:r>
      <w:r w:rsidR="00E57D6D" w:rsidRPr="00864FFB">
        <w:rPr>
          <w:lang w:val="en-CA"/>
        </w:rPr>
        <w:t xml:space="preserve"> para. </w:t>
      </w:r>
      <w:r w:rsidRPr="00864FFB">
        <w:rPr>
          <w:lang w:val="en-CA"/>
        </w:rPr>
        <w:t>241.</w:t>
      </w:r>
    </w:p>
  </w:footnote>
  <w:footnote w:id="48">
    <w:p w14:paraId="7DEA6EB8" w14:textId="21135F50"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E57D6D" w:rsidRPr="00864FFB">
        <w:rPr>
          <w:i/>
          <w:lang w:val="en-CA"/>
        </w:rPr>
        <w:t>I</w:t>
      </w:r>
      <w:r w:rsidR="00E57D6D">
        <w:rPr>
          <w:i/>
          <w:lang w:val="en-CA"/>
        </w:rPr>
        <w:t>bi</w:t>
      </w:r>
      <w:r w:rsidR="00E57D6D" w:rsidRPr="00864FFB">
        <w:rPr>
          <w:i/>
          <w:lang w:val="en-CA"/>
        </w:rPr>
        <w:t>d.</w:t>
      </w:r>
      <w:r w:rsidR="00E57D6D">
        <w:rPr>
          <w:lang w:val="en-CA"/>
        </w:rPr>
        <w:t xml:space="preserve"> at</w:t>
      </w:r>
      <w:r w:rsidR="00E57D6D" w:rsidRPr="00864FFB">
        <w:rPr>
          <w:lang w:val="en-CA"/>
        </w:rPr>
        <w:t xml:space="preserve"> para</w:t>
      </w:r>
      <w:r w:rsidRPr="00864FFB">
        <w:rPr>
          <w:lang w:val="en-CA"/>
        </w:rPr>
        <w:t>. 259.</w:t>
      </w:r>
    </w:p>
  </w:footnote>
  <w:footnote w:id="49">
    <w:p w14:paraId="25A67890" w14:textId="46974404"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E57D6D" w:rsidRPr="00864FFB">
        <w:rPr>
          <w:i/>
          <w:lang w:val="en-CA"/>
        </w:rPr>
        <w:t>I</w:t>
      </w:r>
      <w:r w:rsidR="00E57D6D">
        <w:rPr>
          <w:i/>
          <w:lang w:val="en-CA"/>
        </w:rPr>
        <w:t>bi</w:t>
      </w:r>
      <w:r w:rsidR="00E57D6D" w:rsidRPr="00864FFB">
        <w:rPr>
          <w:i/>
          <w:lang w:val="en-CA"/>
        </w:rPr>
        <w:t>d.</w:t>
      </w:r>
      <w:r w:rsidR="00E57D6D">
        <w:rPr>
          <w:lang w:val="en-CA"/>
        </w:rPr>
        <w:t xml:space="preserve"> at</w:t>
      </w:r>
      <w:r w:rsidR="00E57D6D" w:rsidRPr="00864FFB">
        <w:rPr>
          <w:lang w:val="en-CA"/>
        </w:rPr>
        <w:t xml:space="preserve"> para. </w:t>
      </w:r>
      <w:r w:rsidRPr="00864FFB">
        <w:rPr>
          <w:lang w:val="en-CA"/>
        </w:rPr>
        <w:t>263.</w:t>
      </w:r>
    </w:p>
  </w:footnote>
  <w:footnote w:id="50">
    <w:p w14:paraId="7E6BFF8E" w14:textId="76D91561" w:rsidR="00EC3BD5" w:rsidRPr="00864FFB" w:rsidRDefault="000E263F" w:rsidP="00656C1D">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E57D6D">
        <w:rPr>
          <w:lang w:val="en-CA"/>
        </w:rPr>
        <w:t>Judgment under appeal</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00E57D6D">
        <w:rPr>
          <w:lang w:val="en-CA"/>
        </w:rPr>
        <w:t xml:space="preserve"> at</w:t>
      </w:r>
      <w:r w:rsidR="00E57D6D" w:rsidRPr="00864FFB">
        <w:rPr>
          <w:lang w:val="en-CA"/>
        </w:rPr>
        <w:t xml:space="preserve"> para</w:t>
      </w:r>
      <w:r w:rsidR="007C168C">
        <w:rPr>
          <w:lang w:val="en-CA"/>
        </w:rPr>
        <w:t>s</w:t>
      </w:r>
      <w:r w:rsidR="00E57D6D" w:rsidRPr="00864FFB">
        <w:rPr>
          <w:lang w:val="en-CA"/>
        </w:rPr>
        <w:t xml:space="preserve">. </w:t>
      </w:r>
      <w:r w:rsidRPr="00864FFB">
        <w:rPr>
          <w:lang w:val="en-CA"/>
        </w:rPr>
        <w:t>263</w:t>
      </w:r>
      <w:r w:rsidR="00362CEE">
        <w:rPr>
          <w:lang w:val="en-CA"/>
        </w:rPr>
        <w:t>–</w:t>
      </w:r>
      <w:r w:rsidRPr="00864FFB">
        <w:rPr>
          <w:lang w:val="en-CA"/>
        </w:rPr>
        <w:t>269.</w:t>
      </w:r>
    </w:p>
  </w:footnote>
  <w:footnote w:id="51">
    <w:p w14:paraId="2712871F" w14:textId="6F6C2572" w:rsidR="00252165" w:rsidRPr="00864FFB" w:rsidRDefault="00252165" w:rsidP="00252165">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proofErr w:type="spellStart"/>
      <w:r w:rsidRPr="00864FFB">
        <w:rPr>
          <w:i/>
          <w:lang w:val="en-CA"/>
        </w:rPr>
        <w:t>Guida</w:t>
      </w:r>
      <w:proofErr w:type="spellEnd"/>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_Ref92791083 \h  \* MERGEFORMAT </w:instrText>
      </w:r>
      <w:r w:rsidRPr="00864FFB">
        <w:rPr>
          <w:lang w:val="en-CA"/>
        </w:rPr>
      </w:r>
      <w:r w:rsidRPr="00864FFB">
        <w:rPr>
          <w:lang w:val="en-CA"/>
        </w:rPr>
        <w:fldChar w:fldCharType="separate"/>
      </w:r>
      <w:r w:rsidRPr="00864FFB">
        <w:rPr>
          <w:lang w:val="en-CA"/>
        </w:rPr>
        <w:t>6</w:t>
      </w:r>
      <w:r w:rsidRPr="00864FFB">
        <w:rPr>
          <w:lang w:val="en-CA"/>
        </w:rPr>
        <w:fldChar w:fldCharType="end"/>
      </w:r>
      <w:r w:rsidR="00DE0E20">
        <w:rPr>
          <w:lang w:val="en-CA"/>
        </w:rPr>
        <w:t xml:space="preserve"> at</w:t>
      </w:r>
      <w:r w:rsidRPr="00864FFB">
        <w:rPr>
          <w:lang w:val="en-CA"/>
        </w:rPr>
        <w:t xml:space="preserve"> 311; </w:t>
      </w:r>
      <w:r w:rsidR="00DE0E20">
        <w:rPr>
          <w:iCs/>
          <w:lang w:val="en-CA"/>
        </w:rPr>
        <w:t>see also</w:t>
      </w:r>
      <w:r w:rsidRPr="00864FFB">
        <w:rPr>
          <w:i/>
          <w:lang w:val="en-CA"/>
        </w:rPr>
        <w:t xml:space="preserve"> Grover, </w:t>
      </w:r>
      <w:r w:rsidRPr="00864FFB">
        <w:rPr>
          <w:rStyle w:val="Hyperlien"/>
          <w:i/>
          <w:color w:val="auto"/>
          <w:u w:val="none"/>
          <w:lang w:val="en-CA"/>
        </w:rPr>
        <w:t>supra</w:t>
      </w:r>
      <w:r w:rsidRPr="00864FFB">
        <w:rPr>
          <w:rStyle w:val="Hyperlien"/>
          <w:color w:val="auto"/>
          <w:u w:val="none"/>
          <w:lang w:val="en-CA"/>
        </w:rPr>
        <w:t xml:space="preserve"> note </w:t>
      </w:r>
      <w:r w:rsidRPr="00864FFB">
        <w:rPr>
          <w:rStyle w:val="Hyperlien"/>
          <w:color w:val="auto"/>
          <w:u w:val="none"/>
          <w:lang w:val="en-CA"/>
        </w:rPr>
        <w:fldChar w:fldCharType="begin"/>
      </w:r>
      <w:r w:rsidRPr="00864FFB">
        <w:rPr>
          <w:rStyle w:val="Hyperlien"/>
          <w:color w:val="auto"/>
          <w:u w:val="none"/>
          <w:lang w:val="en-CA"/>
        </w:rPr>
        <w:instrText xml:space="preserve"> NOTEREF _Ref92791083 \h  \* MERGEFORMAT </w:instrText>
      </w:r>
      <w:r w:rsidRPr="00864FFB">
        <w:rPr>
          <w:rStyle w:val="Hyperlien"/>
          <w:color w:val="auto"/>
          <w:u w:val="none"/>
          <w:lang w:val="en-CA"/>
        </w:rPr>
      </w:r>
      <w:r w:rsidRPr="00864FFB">
        <w:rPr>
          <w:rStyle w:val="Hyperlien"/>
          <w:color w:val="auto"/>
          <w:u w:val="none"/>
          <w:lang w:val="en-CA"/>
        </w:rPr>
        <w:fldChar w:fldCharType="separate"/>
      </w:r>
      <w:r w:rsidRPr="00864FFB">
        <w:rPr>
          <w:rStyle w:val="Hyperlien"/>
          <w:color w:val="auto"/>
          <w:u w:val="none"/>
          <w:lang w:val="en-CA"/>
        </w:rPr>
        <w:t>6</w:t>
      </w:r>
      <w:r w:rsidRPr="00864FFB">
        <w:rPr>
          <w:rStyle w:val="Hyperlien"/>
          <w:color w:val="auto"/>
          <w:u w:val="none"/>
          <w:lang w:val="en-CA"/>
        </w:rPr>
        <w:fldChar w:fldCharType="end"/>
      </w:r>
      <w:r w:rsidR="00DE0E20">
        <w:rPr>
          <w:lang w:val="en-CA"/>
        </w:rPr>
        <w:t xml:space="preserve"> at</w:t>
      </w:r>
      <w:r w:rsidRPr="00864FFB">
        <w:rPr>
          <w:lang w:val="en-CA"/>
        </w:rPr>
        <w:t xml:space="preserve"> para. 12; </w:t>
      </w:r>
      <w:proofErr w:type="spellStart"/>
      <w:r w:rsidRPr="00864FFB">
        <w:rPr>
          <w:i/>
          <w:lang w:val="en-CA"/>
        </w:rPr>
        <w:t>Steinkey</w:t>
      </w:r>
      <w:proofErr w:type="spellEnd"/>
      <w:r w:rsidRPr="00864FFB">
        <w:rPr>
          <w:lang w:val="en-CA"/>
        </w:rPr>
        <w:t xml:space="preserve">, </w:t>
      </w:r>
      <w:r w:rsidR="00DE0E20" w:rsidRPr="00864FFB">
        <w:rPr>
          <w:rStyle w:val="Hyperlien"/>
          <w:i/>
          <w:color w:val="auto"/>
          <w:u w:val="none"/>
          <w:lang w:val="en-CA"/>
        </w:rPr>
        <w:t>supra</w:t>
      </w:r>
      <w:r w:rsidR="00DE0E20" w:rsidRPr="00864FFB">
        <w:rPr>
          <w:rStyle w:val="Hyperlien"/>
          <w:color w:val="auto"/>
          <w:u w:val="none"/>
          <w:lang w:val="en-CA"/>
        </w:rPr>
        <w:t xml:space="preserve"> note </w:t>
      </w:r>
      <w:r w:rsidRPr="00864FFB">
        <w:rPr>
          <w:rStyle w:val="Hyperlien"/>
          <w:color w:val="auto"/>
          <w:u w:val="none"/>
          <w:lang w:val="en-CA"/>
        </w:rPr>
        <w:fldChar w:fldCharType="begin"/>
      </w:r>
      <w:r w:rsidRPr="00864FFB">
        <w:rPr>
          <w:rStyle w:val="Hyperlien"/>
          <w:color w:val="auto"/>
          <w:u w:val="none"/>
          <w:lang w:val="en-CA"/>
        </w:rPr>
        <w:instrText xml:space="preserve"> NOTEREF _Ref92791083 \h  \* MERGEFORMAT </w:instrText>
      </w:r>
      <w:r w:rsidRPr="00864FFB">
        <w:rPr>
          <w:rStyle w:val="Hyperlien"/>
          <w:color w:val="auto"/>
          <w:u w:val="none"/>
          <w:lang w:val="en-CA"/>
        </w:rPr>
      </w:r>
      <w:r w:rsidRPr="00864FFB">
        <w:rPr>
          <w:rStyle w:val="Hyperlien"/>
          <w:color w:val="auto"/>
          <w:u w:val="none"/>
          <w:lang w:val="en-CA"/>
        </w:rPr>
        <w:fldChar w:fldCharType="separate"/>
      </w:r>
      <w:r w:rsidRPr="00864FFB">
        <w:rPr>
          <w:rStyle w:val="Hyperlien"/>
          <w:color w:val="auto"/>
          <w:u w:val="none"/>
          <w:lang w:val="en-CA"/>
        </w:rPr>
        <w:t>6</w:t>
      </w:r>
      <w:r w:rsidRPr="00864FFB">
        <w:rPr>
          <w:rStyle w:val="Hyperlien"/>
          <w:color w:val="auto"/>
          <w:u w:val="none"/>
          <w:lang w:val="en-CA"/>
        </w:rPr>
        <w:fldChar w:fldCharType="end"/>
      </w:r>
      <w:r w:rsidR="00DE0E20">
        <w:rPr>
          <w:lang w:val="en-CA"/>
        </w:rPr>
        <w:t xml:space="preserve"> at</w:t>
      </w:r>
      <w:r w:rsidRPr="00864FFB">
        <w:rPr>
          <w:lang w:val="en-CA"/>
        </w:rPr>
        <w:t xml:space="preserve"> para. 20; </w:t>
      </w:r>
      <w:proofErr w:type="spellStart"/>
      <w:r w:rsidRPr="00864FFB">
        <w:rPr>
          <w:i/>
          <w:lang w:val="en-CA"/>
        </w:rPr>
        <w:t>Desbois</w:t>
      </w:r>
      <w:proofErr w:type="spellEnd"/>
      <w:r w:rsidRPr="00864FFB">
        <w:rPr>
          <w:lang w:val="en-CA"/>
        </w:rPr>
        <w:t>,</w:t>
      </w:r>
      <w:r w:rsidRPr="00864FFB">
        <w:rPr>
          <w:i/>
          <w:lang w:val="en-CA"/>
        </w:rPr>
        <w:t xml:space="preserve"> supra</w:t>
      </w:r>
      <w:r w:rsidRPr="00864FFB">
        <w:rPr>
          <w:lang w:val="en-CA"/>
        </w:rPr>
        <w:t xml:space="preserve"> note </w:t>
      </w:r>
      <w:r w:rsidRPr="00864FFB">
        <w:rPr>
          <w:lang w:val="en-CA"/>
        </w:rPr>
        <w:fldChar w:fldCharType="begin"/>
      </w:r>
      <w:r w:rsidRPr="00864FFB">
        <w:rPr>
          <w:lang w:val="en-CA"/>
        </w:rPr>
        <w:instrText xml:space="preserve"> NOTEREF _Ref92791083 \h  \* MERGEFORMAT </w:instrText>
      </w:r>
      <w:r w:rsidRPr="00864FFB">
        <w:rPr>
          <w:lang w:val="en-CA"/>
        </w:rPr>
      </w:r>
      <w:r w:rsidRPr="00864FFB">
        <w:rPr>
          <w:lang w:val="en-CA"/>
        </w:rPr>
        <w:fldChar w:fldCharType="separate"/>
      </w:r>
      <w:r w:rsidRPr="00864FFB">
        <w:rPr>
          <w:lang w:val="en-CA"/>
        </w:rPr>
        <w:t>6</w:t>
      </w:r>
      <w:r w:rsidRPr="00864FFB">
        <w:rPr>
          <w:lang w:val="en-CA"/>
        </w:rPr>
        <w:fldChar w:fldCharType="end"/>
      </w:r>
      <w:r w:rsidR="00DE0E20">
        <w:rPr>
          <w:lang w:val="en-CA"/>
        </w:rPr>
        <w:t xml:space="preserve"> at</w:t>
      </w:r>
      <w:r w:rsidRPr="00864FFB">
        <w:rPr>
          <w:lang w:val="en-CA"/>
        </w:rPr>
        <w:t xml:space="preserve"> para. 12.</w:t>
      </w:r>
    </w:p>
  </w:footnote>
  <w:footnote w:id="52">
    <w:p w14:paraId="623253EA" w14:textId="761485C2" w:rsidR="00252165" w:rsidRPr="00864FFB" w:rsidRDefault="00252165" w:rsidP="00252165">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 xml:space="preserve">R. </w:t>
      </w:r>
      <w:r w:rsidR="00DE0E20">
        <w:rPr>
          <w:i/>
          <w:lang w:val="en-CA"/>
        </w:rPr>
        <w:t>v</w:t>
      </w:r>
      <w:r w:rsidRPr="00864FFB">
        <w:rPr>
          <w:i/>
          <w:lang w:val="en-CA"/>
        </w:rPr>
        <w:t>. Lloyd</w:t>
      </w:r>
      <w:r w:rsidRPr="00864FFB">
        <w:rPr>
          <w:lang w:val="en-CA"/>
        </w:rPr>
        <w:t xml:space="preserve">, </w:t>
      </w:r>
      <w:r w:rsidRPr="00864FFB">
        <w:rPr>
          <w:rStyle w:val="Hyperlien"/>
          <w:color w:val="auto"/>
          <w:u w:val="none"/>
          <w:lang w:val="en-CA"/>
        </w:rPr>
        <w:t xml:space="preserve">2016 </w:t>
      </w:r>
      <w:r w:rsidR="00DE0E20">
        <w:rPr>
          <w:rStyle w:val="Hyperlien"/>
          <w:color w:val="auto"/>
          <w:u w:val="none"/>
          <w:lang w:val="en-CA"/>
        </w:rPr>
        <w:t>SCC</w:t>
      </w:r>
      <w:r w:rsidRPr="00864FFB">
        <w:rPr>
          <w:rStyle w:val="Hyperlien"/>
          <w:color w:val="auto"/>
          <w:u w:val="none"/>
          <w:lang w:val="en-CA"/>
        </w:rPr>
        <w:t xml:space="preserve"> 13</w:t>
      </w:r>
      <w:r w:rsidRPr="00864FFB">
        <w:rPr>
          <w:lang w:val="en-CA"/>
        </w:rPr>
        <w:t xml:space="preserve">, [2016] 1 </w:t>
      </w:r>
      <w:r w:rsidR="00DE0E20">
        <w:rPr>
          <w:lang w:val="en-CA"/>
        </w:rPr>
        <w:t>S.C.R</w:t>
      </w:r>
      <w:r w:rsidRPr="00864FFB">
        <w:rPr>
          <w:lang w:val="en-CA"/>
        </w:rPr>
        <w:t>. 130 [</w:t>
      </w:r>
      <w:r w:rsidRPr="00864FFB">
        <w:rPr>
          <w:i/>
          <w:lang w:val="en-CA"/>
        </w:rPr>
        <w:t>Lloyd</w:t>
      </w:r>
      <w:r w:rsidRPr="00864FFB">
        <w:rPr>
          <w:lang w:val="en-CA"/>
        </w:rPr>
        <w:t>].</w:t>
      </w:r>
    </w:p>
  </w:footnote>
  <w:footnote w:id="53">
    <w:p w14:paraId="77070042" w14:textId="474BF862" w:rsidR="00EC3BD5" w:rsidRPr="00864FFB" w:rsidRDefault="000E263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 xml:space="preserve">R. </w:t>
      </w:r>
      <w:r w:rsidR="00DE0E20">
        <w:rPr>
          <w:i/>
          <w:lang w:val="en-CA"/>
        </w:rPr>
        <w:t>v</w:t>
      </w:r>
      <w:r w:rsidRPr="00864FFB">
        <w:rPr>
          <w:i/>
          <w:lang w:val="en-CA"/>
        </w:rPr>
        <w:t>. Nur</w:t>
      </w:r>
      <w:r w:rsidRPr="00864FFB">
        <w:rPr>
          <w:lang w:val="en-CA"/>
        </w:rPr>
        <w:t xml:space="preserve">, </w:t>
      </w:r>
      <w:r w:rsidRPr="00864FFB">
        <w:rPr>
          <w:rStyle w:val="Hyperlien"/>
          <w:color w:val="auto"/>
          <w:u w:val="none"/>
          <w:lang w:val="en-CA"/>
        </w:rPr>
        <w:t xml:space="preserve">2015 </w:t>
      </w:r>
      <w:r w:rsidR="00DE0E20">
        <w:rPr>
          <w:rStyle w:val="Hyperlien"/>
          <w:color w:val="auto"/>
          <w:u w:val="none"/>
          <w:lang w:val="en-CA"/>
        </w:rPr>
        <w:t>SCC</w:t>
      </w:r>
      <w:r w:rsidRPr="00864FFB">
        <w:rPr>
          <w:rStyle w:val="Hyperlien"/>
          <w:color w:val="auto"/>
          <w:u w:val="none"/>
          <w:lang w:val="en-CA"/>
        </w:rPr>
        <w:t xml:space="preserve"> 15</w:t>
      </w:r>
      <w:r w:rsidRPr="00864FFB">
        <w:rPr>
          <w:lang w:val="en-CA"/>
        </w:rPr>
        <w:t xml:space="preserve"> [</w:t>
      </w:r>
      <w:r w:rsidRPr="00864FFB">
        <w:rPr>
          <w:i/>
          <w:lang w:val="en-CA"/>
        </w:rPr>
        <w:t>Nur</w:t>
      </w:r>
      <w:r w:rsidRPr="00864FFB">
        <w:rPr>
          <w:lang w:val="en-CA"/>
        </w:rPr>
        <w:t>].</w:t>
      </w:r>
    </w:p>
  </w:footnote>
  <w:footnote w:id="54">
    <w:p w14:paraId="62A1D0D8" w14:textId="0987FBF9" w:rsidR="00EC3BD5" w:rsidRPr="00864FFB" w:rsidRDefault="000E263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proofErr w:type="spellStart"/>
      <w:r w:rsidRPr="00864FFB">
        <w:rPr>
          <w:i/>
          <w:lang w:val="en-CA"/>
        </w:rPr>
        <w:t>Daudelin</w:t>
      </w:r>
      <w:proofErr w:type="spellEnd"/>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_Ref92791178 \h  \* MERGEFORMAT </w:instrText>
      </w:r>
      <w:r w:rsidRPr="00864FFB">
        <w:rPr>
          <w:lang w:val="en-CA"/>
        </w:rPr>
      </w:r>
      <w:r w:rsidRPr="00864FFB">
        <w:rPr>
          <w:lang w:val="en-CA"/>
        </w:rPr>
        <w:fldChar w:fldCharType="separate"/>
      </w:r>
      <w:r w:rsidRPr="00864FFB">
        <w:rPr>
          <w:lang w:val="en-CA"/>
        </w:rPr>
        <w:t>7</w:t>
      </w:r>
      <w:r w:rsidRPr="00864FFB">
        <w:rPr>
          <w:lang w:val="en-CA"/>
        </w:rPr>
        <w:fldChar w:fldCharType="end"/>
      </w:r>
      <w:r w:rsidR="00DE0E20">
        <w:rPr>
          <w:lang w:val="en-CA"/>
        </w:rPr>
        <w:t xml:space="preserve"> at</w:t>
      </w:r>
      <w:r w:rsidRPr="00864FFB">
        <w:rPr>
          <w:lang w:val="en-CA"/>
        </w:rPr>
        <w:t xml:space="preserve"> para</w:t>
      </w:r>
      <w:r w:rsidR="00DE0E20">
        <w:rPr>
          <w:lang w:val="en-CA"/>
        </w:rPr>
        <w:t>s</w:t>
      </w:r>
      <w:r w:rsidRPr="00864FFB">
        <w:rPr>
          <w:lang w:val="en-CA"/>
        </w:rPr>
        <w:t>. 35-38;</w:t>
      </w:r>
      <w:r w:rsidRPr="00864FFB">
        <w:rPr>
          <w:i/>
          <w:lang w:val="en-CA"/>
        </w:rPr>
        <w:t xml:space="preserve"> Bertrand Marchand</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_Ref88467732 \h  \* MERGEFORMAT </w:instrText>
      </w:r>
      <w:r w:rsidRPr="00864FFB">
        <w:rPr>
          <w:lang w:val="en-CA"/>
        </w:rPr>
      </w:r>
      <w:r w:rsidRPr="00864FFB">
        <w:rPr>
          <w:lang w:val="en-CA"/>
        </w:rPr>
        <w:fldChar w:fldCharType="separate"/>
      </w:r>
      <w:r w:rsidRPr="00864FFB">
        <w:rPr>
          <w:lang w:val="en-CA"/>
        </w:rPr>
        <w:t>7</w:t>
      </w:r>
      <w:r w:rsidRPr="00864FFB">
        <w:rPr>
          <w:lang w:val="en-CA"/>
        </w:rPr>
        <w:fldChar w:fldCharType="end"/>
      </w:r>
      <w:r w:rsidR="00DE0E20">
        <w:rPr>
          <w:lang w:val="en-CA"/>
        </w:rPr>
        <w:t xml:space="preserve"> at </w:t>
      </w:r>
      <w:r w:rsidRPr="00864FFB">
        <w:rPr>
          <w:lang w:val="en-CA"/>
        </w:rPr>
        <w:t xml:space="preserve">para. 78; </w:t>
      </w:r>
      <w:r w:rsidRPr="00864FFB">
        <w:rPr>
          <w:i/>
          <w:lang w:val="en-CA"/>
        </w:rPr>
        <w:t>Trottier</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_Ref92791178 \h  \* MERGEFORMAT </w:instrText>
      </w:r>
      <w:r w:rsidRPr="00864FFB">
        <w:rPr>
          <w:lang w:val="en-CA"/>
        </w:rPr>
      </w:r>
      <w:r w:rsidRPr="00864FFB">
        <w:rPr>
          <w:lang w:val="en-CA"/>
        </w:rPr>
        <w:fldChar w:fldCharType="separate"/>
      </w:r>
      <w:r w:rsidRPr="00864FFB">
        <w:rPr>
          <w:lang w:val="en-CA"/>
        </w:rPr>
        <w:t>7</w:t>
      </w:r>
      <w:r w:rsidRPr="00864FFB">
        <w:rPr>
          <w:lang w:val="en-CA"/>
        </w:rPr>
        <w:fldChar w:fldCharType="end"/>
      </w:r>
      <w:r w:rsidR="00DE0E20">
        <w:rPr>
          <w:lang w:val="en-CA"/>
        </w:rPr>
        <w:t xml:space="preserve"> at</w:t>
      </w:r>
      <w:r w:rsidRPr="00864FFB">
        <w:rPr>
          <w:lang w:val="en-CA"/>
        </w:rPr>
        <w:t xml:space="preserve"> para. 32 </w:t>
      </w:r>
      <w:r w:rsidR="00DE0E20">
        <w:rPr>
          <w:lang w:val="en-CA"/>
        </w:rPr>
        <w:t>and</w:t>
      </w:r>
      <w:r w:rsidRPr="00864FFB">
        <w:rPr>
          <w:lang w:val="en-CA"/>
        </w:rPr>
        <w:t xml:space="preserve"> </w:t>
      </w:r>
      <w:proofErr w:type="spellStart"/>
      <w:r w:rsidRPr="00864FFB">
        <w:rPr>
          <w:i/>
          <w:lang w:val="en-CA"/>
        </w:rPr>
        <w:t>Lefrançois</w:t>
      </w:r>
      <w:proofErr w:type="spellEnd"/>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_Ref92791178 \h  \* MERGEFORMAT </w:instrText>
      </w:r>
      <w:r w:rsidRPr="00864FFB">
        <w:rPr>
          <w:lang w:val="en-CA"/>
        </w:rPr>
      </w:r>
      <w:r w:rsidRPr="00864FFB">
        <w:rPr>
          <w:lang w:val="en-CA"/>
        </w:rPr>
        <w:fldChar w:fldCharType="separate"/>
      </w:r>
      <w:r w:rsidRPr="00864FFB">
        <w:rPr>
          <w:lang w:val="en-CA"/>
        </w:rPr>
        <w:t>7</w:t>
      </w:r>
      <w:r w:rsidRPr="00864FFB">
        <w:rPr>
          <w:lang w:val="en-CA"/>
        </w:rPr>
        <w:fldChar w:fldCharType="end"/>
      </w:r>
      <w:r w:rsidR="00DE0E20">
        <w:rPr>
          <w:lang w:val="en-CA"/>
        </w:rPr>
        <w:t xml:space="preserve"> at</w:t>
      </w:r>
      <w:r w:rsidRPr="00864FFB">
        <w:rPr>
          <w:lang w:val="en-CA"/>
        </w:rPr>
        <w:t xml:space="preserve"> para. 7.</w:t>
      </w:r>
    </w:p>
  </w:footnote>
  <w:footnote w:id="55">
    <w:p w14:paraId="74D5EBD2" w14:textId="74335F83" w:rsidR="00EC3BD5" w:rsidRPr="00864FFB" w:rsidRDefault="000E263F" w:rsidP="007F77C3">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Friesen</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_Ref88469422 \h  \* MERGEFORMAT </w:instrText>
      </w:r>
      <w:r w:rsidRPr="00864FFB">
        <w:rPr>
          <w:lang w:val="en-CA"/>
        </w:rPr>
      </w:r>
      <w:r w:rsidRPr="00864FFB">
        <w:rPr>
          <w:lang w:val="en-CA"/>
        </w:rPr>
        <w:fldChar w:fldCharType="separate"/>
      </w:r>
      <w:r w:rsidRPr="00864FFB">
        <w:rPr>
          <w:lang w:val="en-CA"/>
        </w:rPr>
        <w:t>19</w:t>
      </w:r>
      <w:r w:rsidRPr="00864FFB">
        <w:rPr>
          <w:lang w:val="en-CA"/>
        </w:rPr>
        <w:fldChar w:fldCharType="end"/>
      </w:r>
      <w:r w:rsidR="00DE0E20">
        <w:rPr>
          <w:lang w:val="en-CA"/>
        </w:rPr>
        <w:t xml:space="preserve"> at</w:t>
      </w:r>
      <w:r w:rsidRPr="00864FFB">
        <w:rPr>
          <w:lang w:val="en-CA"/>
        </w:rPr>
        <w:t xml:space="preserve"> para. 5.</w:t>
      </w:r>
    </w:p>
  </w:footnote>
  <w:footnote w:id="56">
    <w:p w14:paraId="4DC4D312" w14:textId="41D36716" w:rsidR="00EC3BD5" w:rsidRPr="00864FFB" w:rsidRDefault="000E263F" w:rsidP="00961A51">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DE0E20">
        <w:rPr>
          <w:lang w:val="en-CA"/>
        </w:rPr>
        <w:t>Judgment under appeal</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00DE0E20">
        <w:rPr>
          <w:lang w:val="en-CA"/>
        </w:rPr>
        <w:t xml:space="preserve"> at</w:t>
      </w:r>
      <w:r w:rsidRPr="00864FFB">
        <w:rPr>
          <w:lang w:val="en-CA"/>
        </w:rPr>
        <w:t xml:space="preserve"> para. 163.</w:t>
      </w:r>
    </w:p>
  </w:footnote>
  <w:footnote w:id="57">
    <w:p w14:paraId="12E23614" w14:textId="045A683A" w:rsidR="00EC3BD5" w:rsidRPr="00864FFB" w:rsidRDefault="000E263F" w:rsidP="00961A51">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0D7770">
        <w:rPr>
          <w:i/>
          <w:lang w:val="en-CA"/>
        </w:rPr>
        <w:t xml:space="preserve">Ibid. </w:t>
      </w:r>
      <w:r w:rsidR="000D7770">
        <w:rPr>
          <w:iCs/>
          <w:lang w:val="en-CA"/>
        </w:rPr>
        <w:t>at para</w:t>
      </w:r>
      <w:r w:rsidRPr="00864FFB">
        <w:rPr>
          <w:lang w:val="en-CA"/>
        </w:rPr>
        <w:t>. 175.</w:t>
      </w:r>
    </w:p>
  </w:footnote>
  <w:footnote w:id="58">
    <w:p w14:paraId="0B415D42" w14:textId="011621D4" w:rsidR="00EC3BD5" w:rsidRPr="00864FFB" w:rsidRDefault="000E263F" w:rsidP="00961A51">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0D7770">
        <w:rPr>
          <w:i/>
          <w:lang w:val="en-CA"/>
        </w:rPr>
        <w:t xml:space="preserve">Ibid. </w:t>
      </w:r>
      <w:r w:rsidR="000D7770">
        <w:rPr>
          <w:iCs/>
          <w:lang w:val="en-CA"/>
        </w:rPr>
        <w:t>at paras</w:t>
      </w:r>
      <w:r w:rsidR="000D7770" w:rsidRPr="00864FFB">
        <w:rPr>
          <w:lang w:val="en-CA"/>
        </w:rPr>
        <w:t xml:space="preserve">. </w:t>
      </w:r>
      <w:r w:rsidRPr="00864FFB">
        <w:rPr>
          <w:lang w:val="en-CA"/>
        </w:rPr>
        <w:t>164</w:t>
      </w:r>
      <w:r w:rsidR="00362CEE">
        <w:rPr>
          <w:lang w:val="en-CA"/>
        </w:rPr>
        <w:t>–</w:t>
      </w:r>
      <w:r w:rsidRPr="00864FFB">
        <w:rPr>
          <w:lang w:val="en-CA"/>
        </w:rPr>
        <w:t>165, 168.</w:t>
      </w:r>
    </w:p>
  </w:footnote>
  <w:footnote w:id="59">
    <w:p w14:paraId="657751FB" w14:textId="0E9A2044" w:rsidR="00CC12A5" w:rsidRPr="00864FFB" w:rsidRDefault="00CC12A5" w:rsidP="00CC12A5">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Friesen</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_Ref88469422 \h  \* MERGEFORMAT </w:instrText>
      </w:r>
      <w:r w:rsidRPr="00864FFB">
        <w:rPr>
          <w:lang w:val="en-CA"/>
        </w:rPr>
      </w:r>
      <w:r w:rsidRPr="00864FFB">
        <w:rPr>
          <w:lang w:val="en-CA"/>
        </w:rPr>
        <w:fldChar w:fldCharType="separate"/>
      </w:r>
      <w:r w:rsidRPr="00864FFB">
        <w:rPr>
          <w:lang w:val="en-CA"/>
        </w:rPr>
        <w:t>19</w:t>
      </w:r>
      <w:r w:rsidRPr="00864FFB">
        <w:rPr>
          <w:lang w:val="en-CA"/>
        </w:rPr>
        <w:fldChar w:fldCharType="end"/>
      </w:r>
      <w:r w:rsidRPr="00864FFB">
        <w:rPr>
          <w:lang w:val="en-CA"/>
        </w:rPr>
        <w:t>.</w:t>
      </w:r>
    </w:p>
  </w:footnote>
  <w:footnote w:id="60">
    <w:p w14:paraId="486A4BCB" w14:textId="24E94278" w:rsidR="00EC3BD5" w:rsidRPr="00864FFB" w:rsidRDefault="000E263F" w:rsidP="00AE1626">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0D7770">
        <w:rPr>
          <w:lang w:val="en-CA"/>
        </w:rPr>
        <w:t>Judgment under review</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000D7770">
        <w:rPr>
          <w:lang w:val="en-CA"/>
        </w:rPr>
        <w:t xml:space="preserve"> at para</w:t>
      </w:r>
      <w:r w:rsidRPr="00864FFB">
        <w:rPr>
          <w:lang w:val="en-CA"/>
        </w:rPr>
        <w:t xml:space="preserve">. 72; </w:t>
      </w:r>
      <w:r w:rsidRPr="00864FFB">
        <w:rPr>
          <w:i/>
          <w:lang w:val="en-CA"/>
        </w:rPr>
        <w:t>Montour</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_Ref88470129 \h  \* MERGEFORMAT </w:instrText>
      </w:r>
      <w:r w:rsidRPr="00864FFB">
        <w:rPr>
          <w:lang w:val="en-CA"/>
        </w:rPr>
      </w:r>
      <w:r w:rsidRPr="00864FFB">
        <w:rPr>
          <w:lang w:val="en-CA"/>
        </w:rPr>
        <w:fldChar w:fldCharType="separate"/>
      </w:r>
      <w:r w:rsidRPr="00864FFB">
        <w:rPr>
          <w:lang w:val="en-CA"/>
        </w:rPr>
        <w:t>20</w:t>
      </w:r>
      <w:r w:rsidRPr="00864FFB">
        <w:rPr>
          <w:lang w:val="en-CA"/>
        </w:rPr>
        <w:fldChar w:fldCharType="end"/>
      </w:r>
      <w:r w:rsidRPr="00864FFB">
        <w:rPr>
          <w:lang w:val="en-CA"/>
        </w:rPr>
        <w:t>.</w:t>
      </w:r>
    </w:p>
  </w:footnote>
  <w:footnote w:id="61">
    <w:p w14:paraId="30EA912D" w14:textId="47CEC526" w:rsidR="00EC3BD5" w:rsidRPr="00864FFB" w:rsidRDefault="000E263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FD070C">
        <w:rPr>
          <w:lang w:val="en-CA"/>
        </w:rPr>
        <w:t>Judgment under appeal</w:t>
      </w:r>
      <w:r w:rsidRPr="00864FFB">
        <w:rPr>
          <w:lang w:val="en-CA"/>
        </w:rPr>
        <w:t>, s</w:t>
      </w:r>
      <w:r w:rsidRPr="00864FFB">
        <w:rPr>
          <w:i/>
          <w:lang w:val="en-CA"/>
        </w:rPr>
        <w:t>upra</w:t>
      </w:r>
      <w:r w:rsidRPr="00864FFB">
        <w:rPr>
          <w:lang w:val="en-CA"/>
        </w:rPr>
        <w:t xml:space="preserve"> note </w:t>
      </w:r>
      <w:r w:rsidRPr="00864FFB">
        <w:rPr>
          <w:lang w:val="en-CA"/>
        </w:rPr>
        <w:fldChar w:fldCharType="begin"/>
      </w:r>
      <w:r w:rsidRPr="00864FFB">
        <w:rPr>
          <w:lang w:val="en-CA"/>
        </w:rPr>
        <w:instrText xml:space="preserve"> NOTEREF _Ref87256854 \h  \* MERGEFORMAT </w:instrText>
      </w:r>
      <w:r w:rsidRPr="00864FFB">
        <w:rPr>
          <w:lang w:val="en-CA"/>
        </w:rPr>
      </w:r>
      <w:r w:rsidRPr="00864FFB">
        <w:rPr>
          <w:lang w:val="en-CA"/>
        </w:rPr>
        <w:fldChar w:fldCharType="separate"/>
      </w:r>
      <w:r w:rsidRPr="00864FFB">
        <w:rPr>
          <w:lang w:val="en-CA"/>
        </w:rPr>
        <w:t>1</w:t>
      </w:r>
      <w:r w:rsidRPr="00864FFB">
        <w:rPr>
          <w:lang w:val="en-CA"/>
        </w:rPr>
        <w:fldChar w:fldCharType="end"/>
      </w:r>
      <w:r w:rsidR="00FD070C" w:rsidRPr="00FD070C">
        <w:rPr>
          <w:lang w:val="en-CA"/>
        </w:rPr>
        <w:t xml:space="preserve"> </w:t>
      </w:r>
      <w:r w:rsidR="00FD070C">
        <w:rPr>
          <w:lang w:val="en-CA"/>
        </w:rPr>
        <w:t>at</w:t>
      </w:r>
      <w:r w:rsidR="00FD070C" w:rsidRPr="00864FFB">
        <w:rPr>
          <w:lang w:val="en-CA"/>
        </w:rPr>
        <w:t xml:space="preserve"> para. </w:t>
      </w:r>
      <w:r w:rsidRPr="00864FFB">
        <w:rPr>
          <w:lang w:val="en-CA"/>
        </w:rPr>
        <w:t xml:space="preserve">181, </w:t>
      </w:r>
      <w:r w:rsidR="00FD070C">
        <w:rPr>
          <w:lang w:val="en-CA"/>
        </w:rPr>
        <w:t>citing</w:t>
      </w:r>
      <w:r w:rsidRPr="00864FFB">
        <w:rPr>
          <w:lang w:val="en-CA"/>
        </w:rPr>
        <w:t xml:space="preserve"> </w:t>
      </w:r>
      <w:r w:rsidRPr="00864FFB">
        <w:rPr>
          <w:i/>
          <w:lang w:val="en-CA"/>
        </w:rPr>
        <w:t xml:space="preserve">R. </w:t>
      </w:r>
      <w:r w:rsidR="00FD070C">
        <w:rPr>
          <w:i/>
          <w:lang w:val="en-CA"/>
        </w:rPr>
        <w:t>v</w:t>
      </w:r>
      <w:r w:rsidRPr="00864FFB">
        <w:rPr>
          <w:i/>
          <w:lang w:val="en-CA"/>
        </w:rPr>
        <w:t>. Proulx</w:t>
      </w:r>
      <w:r w:rsidRPr="00864FFB">
        <w:rPr>
          <w:lang w:val="en-CA"/>
        </w:rPr>
        <w:t xml:space="preserve">, [2000] 1 </w:t>
      </w:r>
      <w:r w:rsidR="00FD070C">
        <w:rPr>
          <w:lang w:val="en-CA"/>
        </w:rPr>
        <w:t>S.C.R.</w:t>
      </w:r>
      <w:r w:rsidRPr="00864FFB">
        <w:rPr>
          <w:lang w:val="en-CA"/>
        </w:rPr>
        <w:t xml:space="preserve"> 61</w:t>
      </w:r>
      <w:r w:rsidR="00FD070C">
        <w:rPr>
          <w:lang w:val="en-CA"/>
        </w:rPr>
        <w:t xml:space="preserve"> at</w:t>
      </w:r>
      <w:r w:rsidRPr="00864FFB">
        <w:rPr>
          <w:lang w:val="en-CA"/>
        </w:rPr>
        <w:t xml:space="preserve"> para</w:t>
      </w:r>
      <w:r w:rsidR="00FD070C">
        <w:rPr>
          <w:lang w:val="en-CA"/>
        </w:rPr>
        <w:t>s</w:t>
      </w:r>
      <w:r w:rsidRPr="00864FFB">
        <w:rPr>
          <w:lang w:val="en-CA"/>
        </w:rPr>
        <w:t xml:space="preserve">. 105 </w:t>
      </w:r>
      <w:r w:rsidR="00FD070C">
        <w:rPr>
          <w:lang w:val="en-CA"/>
        </w:rPr>
        <w:t>and</w:t>
      </w:r>
      <w:r w:rsidRPr="00864FFB">
        <w:rPr>
          <w:lang w:val="en-CA"/>
        </w:rPr>
        <w:t xml:space="preserve"> 107.</w:t>
      </w:r>
    </w:p>
  </w:footnote>
  <w:footnote w:id="62">
    <w:p w14:paraId="31D02A70" w14:textId="7DB8A1FE" w:rsidR="00EC3BD5" w:rsidRPr="00864FFB" w:rsidRDefault="000E263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 xml:space="preserve">R. </w:t>
      </w:r>
      <w:r w:rsidR="00FD070C">
        <w:rPr>
          <w:i/>
          <w:lang w:val="en-CA"/>
        </w:rPr>
        <w:t>v</w:t>
      </w:r>
      <w:r w:rsidRPr="00864FFB">
        <w:rPr>
          <w:i/>
          <w:lang w:val="en-CA"/>
        </w:rPr>
        <w:t>. R.E.M.</w:t>
      </w:r>
      <w:r w:rsidRPr="00864FFB">
        <w:rPr>
          <w:lang w:val="en-CA"/>
        </w:rPr>
        <w:t xml:space="preserve">, 2008 </w:t>
      </w:r>
      <w:r w:rsidR="00FD070C">
        <w:rPr>
          <w:lang w:val="en-CA"/>
        </w:rPr>
        <w:t>SCC</w:t>
      </w:r>
      <w:r w:rsidRPr="00864FFB">
        <w:rPr>
          <w:lang w:val="en-CA"/>
        </w:rPr>
        <w:t xml:space="preserve"> 51, [2008] 3 </w:t>
      </w:r>
      <w:r w:rsidR="00FD070C">
        <w:rPr>
          <w:lang w:val="en-CA"/>
        </w:rPr>
        <w:t>S.C.R</w:t>
      </w:r>
      <w:r w:rsidRPr="00864FFB">
        <w:rPr>
          <w:lang w:val="en-CA"/>
        </w:rPr>
        <w:t>. 3</w:t>
      </w:r>
      <w:r w:rsidR="00FD070C">
        <w:rPr>
          <w:lang w:val="en-CA"/>
        </w:rPr>
        <w:t xml:space="preserve"> at</w:t>
      </w:r>
      <w:r w:rsidRPr="00864FFB">
        <w:rPr>
          <w:lang w:val="en-CA"/>
        </w:rPr>
        <w:t xml:space="preserve"> para. 16; </w:t>
      </w:r>
      <w:r w:rsidRPr="00864FFB">
        <w:rPr>
          <w:i/>
          <w:lang w:val="en-CA"/>
        </w:rPr>
        <w:t>Serra c. R.</w:t>
      </w:r>
      <w:r w:rsidRPr="00864FFB">
        <w:rPr>
          <w:lang w:val="en-CA"/>
        </w:rPr>
        <w:t>, 2014 QCCA 1894</w:t>
      </w:r>
      <w:r w:rsidR="00FD070C">
        <w:rPr>
          <w:lang w:val="en-CA"/>
        </w:rPr>
        <w:t xml:space="preserve"> at</w:t>
      </w:r>
      <w:r w:rsidRPr="00864FFB">
        <w:rPr>
          <w:lang w:val="en-CA"/>
        </w:rPr>
        <w:t xml:space="preserve"> para. 17.</w:t>
      </w:r>
    </w:p>
  </w:footnote>
  <w:footnote w:id="63">
    <w:p w14:paraId="1E48B9FD" w14:textId="77777777" w:rsidR="00FC0492" w:rsidRPr="00864FFB" w:rsidRDefault="00FC0492" w:rsidP="00FC0492">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R. c. Rayo</w:t>
      </w:r>
      <w:r w:rsidRPr="00864FFB">
        <w:rPr>
          <w:lang w:val="en-CA"/>
        </w:rPr>
        <w:t>, 2018 QCCA 824.</w:t>
      </w:r>
    </w:p>
  </w:footnote>
  <w:footnote w:id="64">
    <w:p w14:paraId="3F1316C5" w14:textId="5765B382" w:rsidR="000B6D7A" w:rsidRPr="00864FFB" w:rsidRDefault="000B6D7A" w:rsidP="000B6D7A">
      <w:pPr>
        <w:pStyle w:val="Notedebasdepage"/>
        <w:rPr>
          <w:lang w:val="en-CA"/>
        </w:rPr>
      </w:pPr>
      <w:r w:rsidRPr="00864FFB">
        <w:rPr>
          <w:rStyle w:val="Appelnotedebasdep"/>
          <w:lang w:val="en-CA"/>
        </w:rPr>
        <w:footnoteRef/>
      </w:r>
      <w:r w:rsidRPr="00864FFB">
        <w:rPr>
          <w:lang w:val="en-CA"/>
        </w:rPr>
        <w:t xml:space="preserve">  </w:t>
      </w:r>
      <w:r w:rsidRPr="00864FFB">
        <w:rPr>
          <w:i/>
          <w:lang w:val="en-CA"/>
        </w:rPr>
        <w:tab/>
        <w:t xml:space="preserve">R. </w:t>
      </w:r>
      <w:r w:rsidR="00FE2C22">
        <w:rPr>
          <w:i/>
          <w:lang w:val="en-CA"/>
        </w:rPr>
        <w:t>v</w:t>
      </w:r>
      <w:r w:rsidRPr="00864FFB">
        <w:rPr>
          <w:i/>
          <w:lang w:val="en-CA"/>
        </w:rPr>
        <w:t xml:space="preserve">. </w:t>
      </w:r>
      <w:proofErr w:type="spellStart"/>
      <w:r w:rsidRPr="00864FFB">
        <w:rPr>
          <w:i/>
          <w:lang w:val="en-CA"/>
        </w:rPr>
        <w:t>Parranto</w:t>
      </w:r>
      <w:proofErr w:type="spellEnd"/>
      <w:r w:rsidRPr="00864FFB">
        <w:rPr>
          <w:lang w:val="en-CA"/>
        </w:rPr>
        <w:t xml:space="preserve">, 2021 </w:t>
      </w:r>
      <w:r w:rsidR="00FE2C22">
        <w:rPr>
          <w:lang w:val="en-CA"/>
        </w:rPr>
        <w:t>SCC</w:t>
      </w:r>
      <w:r w:rsidRPr="00864FFB">
        <w:rPr>
          <w:lang w:val="en-CA"/>
        </w:rPr>
        <w:t xml:space="preserve"> 46 [</w:t>
      </w:r>
      <w:proofErr w:type="spellStart"/>
      <w:r w:rsidRPr="00864FFB">
        <w:rPr>
          <w:i/>
          <w:lang w:val="en-CA"/>
        </w:rPr>
        <w:t>Parranto</w:t>
      </w:r>
      <w:proofErr w:type="spellEnd"/>
      <w:r w:rsidRPr="00864FFB">
        <w:rPr>
          <w:lang w:val="en-CA"/>
        </w:rPr>
        <w:t>].</w:t>
      </w:r>
    </w:p>
  </w:footnote>
  <w:footnote w:id="65">
    <w:p w14:paraId="32703D27" w14:textId="07DE6CB4" w:rsidR="00EC3BD5" w:rsidRPr="00864FFB" w:rsidRDefault="000E263F" w:rsidP="00D724A1">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proofErr w:type="spellStart"/>
      <w:r w:rsidRPr="00864FFB">
        <w:rPr>
          <w:i/>
          <w:lang w:val="en-CA"/>
        </w:rPr>
        <w:t>Parranto</w:t>
      </w:r>
      <w:proofErr w:type="spellEnd"/>
      <w:r w:rsidRPr="00864FFB">
        <w:rPr>
          <w:lang w:val="en-CA"/>
        </w:rPr>
        <w:t>,</w:t>
      </w:r>
      <w:r w:rsidRPr="00864FFB">
        <w:rPr>
          <w:i/>
          <w:lang w:val="en-CA"/>
        </w:rPr>
        <w:t xml:space="preserve"> supra</w:t>
      </w:r>
      <w:r w:rsidRPr="00864FFB">
        <w:rPr>
          <w:lang w:val="en-CA"/>
        </w:rPr>
        <w:t xml:space="preserve"> note </w:t>
      </w:r>
      <w:r w:rsidRPr="00864FFB">
        <w:rPr>
          <w:lang w:val="en-CA"/>
        </w:rPr>
        <w:fldChar w:fldCharType="begin"/>
      </w:r>
      <w:r w:rsidRPr="00864FFB">
        <w:rPr>
          <w:lang w:val="en-CA"/>
        </w:rPr>
        <w:instrText xml:space="preserve"> NOTEREF _Ref92694167 \h  \* MERGEFORMAT </w:instrText>
      </w:r>
      <w:r w:rsidRPr="00864FFB">
        <w:rPr>
          <w:lang w:val="en-CA"/>
        </w:rPr>
      </w:r>
      <w:r w:rsidRPr="00864FFB">
        <w:rPr>
          <w:lang w:val="en-CA"/>
        </w:rPr>
        <w:fldChar w:fldCharType="separate"/>
      </w:r>
      <w:r w:rsidRPr="00864FFB">
        <w:rPr>
          <w:lang w:val="en-CA"/>
        </w:rPr>
        <w:t>64</w:t>
      </w:r>
      <w:r w:rsidRPr="00864FFB">
        <w:rPr>
          <w:lang w:val="en-CA"/>
        </w:rPr>
        <w:fldChar w:fldCharType="end"/>
      </w:r>
      <w:r w:rsidR="00FE2C22">
        <w:rPr>
          <w:lang w:val="en-CA"/>
        </w:rPr>
        <w:t xml:space="preserve"> at</w:t>
      </w:r>
      <w:r w:rsidRPr="00864FFB">
        <w:rPr>
          <w:lang w:val="en-CA"/>
        </w:rPr>
        <w:t xml:space="preserve"> para. 36.</w:t>
      </w:r>
    </w:p>
  </w:footnote>
  <w:footnote w:id="66">
    <w:p w14:paraId="73602136" w14:textId="4CECDAA4" w:rsidR="000B6D7A" w:rsidRPr="00864FFB" w:rsidRDefault="000B6D7A" w:rsidP="000B6D7A">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I</w:t>
      </w:r>
      <w:r w:rsidR="00FE2C22">
        <w:rPr>
          <w:i/>
          <w:lang w:val="en-CA"/>
        </w:rPr>
        <w:t>bi</w:t>
      </w:r>
      <w:r w:rsidRPr="00864FFB">
        <w:rPr>
          <w:i/>
          <w:lang w:val="en-CA"/>
        </w:rPr>
        <w:t>d.</w:t>
      </w:r>
      <w:r w:rsidR="00FE2C22">
        <w:rPr>
          <w:lang w:val="en-CA"/>
        </w:rPr>
        <w:t xml:space="preserve"> at </w:t>
      </w:r>
      <w:r w:rsidRPr="00864FFB">
        <w:rPr>
          <w:lang w:val="en-CA"/>
        </w:rPr>
        <w:t>para. 36.</w:t>
      </w:r>
    </w:p>
  </w:footnote>
  <w:footnote w:id="67">
    <w:p w14:paraId="2E02D4B7" w14:textId="491C7198" w:rsidR="00EC3BD5" w:rsidRPr="00864FFB" w:rsidRDefault="000E263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eastAsia="fr-CA"/>
        </w:rPr>
        <w:t>Friesen</w:t>
      </w:r>
      <w:r w:rsidRPr="00864FFB">
        <w:rPr>
          <w:lang w:val="en-CA" w:eastAsia="fr-CA"/>
        </w:rPr>
        <w:t xml:space="preserve">, </w:t>
      </w:r>
      <w:r w:rsidRPr="00864FFB">
        <w:rPr>
          <w:i/>
          <w:lang w:val="en-CA" w:eastAsia="fr-CA"/>
        </w:rPr>
        <w:t>supra</w:t>
      </w:r>
      <w:r w:rsidRPr="00864FFB">
        <w:rPr>
          <w:lang w:val="en-CA" w:eastAsia="fr-CA"/>
        </w:rPr>
        <w:t xml:space="preserve"> note </w:t>
      </w:r>
      <w:r w:rsidRPr="00864FFB">
        <w:rPr>
          <w:lang w:val="en-CA" w:eastAsia="fr-CA"/>
        </w:rPr>
        <w:fldChar w:fldCharType="begin"/>
      </w:r>
      <w:r w:rsidRPr="00864FFB">
        <w:rPr>
          <w:lang w:val="en-CA" w:eastAsia="fr-CA"/>
        </w:rPr>
        <w:instrText xml:space="preserve"> NOTEREF _Ref88469422 \h  \* MERGEFORMAT </w:instrText>
      </w:r>
      <w:r w:rsidRPr="00864FFB">
        <w:rPr>
          <w:lang w:val="en-CA" w:eastAsia="fr-CA"/>
        </w:rPr>
      </w:r>
      <w:r w:rsidRPr="00864FFB">
        <w:rPr>
          <w:lang w:val="en-CA" w:eastAsia="fr-CA"/>
        </w:rPr>
        <w:fldChar w:fldCharType="separate"/>
      </w:r>
      <w:r w:rsidRPr="00864FFB">
        <w:rPr>
          <w:lang w:val="en-CA" w:eastAsia="fr-CA"/>
        </w:rPr>
        <w:t>19</w:t>
      </w:r>
      <w:r w:rsidRPr="00864FFB">
        <w:rPr>
          <w:lang w:val="en-CA" w:eastAsia="fr-CA"/>
        </w:rPr>
        <w:fldChar w:fldCharType="end"/>
      </w:r>
      <w:r w:rsidR="00FE2C22">
        <w:rPr>
          <w:lang w:val="en-CA" w:eastAsia="fr-CA"/>
        </w:rPr>
        <w:t xml:space="preserve"> at</w:t>
      </w:r>
      <w:r w:rsidRPr="00864FFB">
        <w:rPr>
          <w:lang w:val="en-CA" w:eastAsia="fr-CA"/>
        </w:rPr>
        <w:t xml:space="preserve"> para</w:t>
      </w:r>
      <w:r w:rsidR="00FE2C22">
        <w:rPr>
          <w:lang w:val="en-CA" w:eastAsia="fr-CA"/>
        </w:rPr>
        <w:t>s</w:t>
      </w:r>
      <w:r w:rsidRPr="00864FFB">
        <w:rPr>
          <w:lang w:val="en-CA" w:eastAsia="fr-CA"/>
        </w:rPr>
        <w:t>. 123</w:t>
      </w:r>
      <w:r w:rsidR="00362CEE">
        <w:rPr>
          <w:lang w:val="en-CA" w:eastAsia="fr-CA"/>
        </w:rPr>
        <w:t>–</w:t>
      </w:r>
      <w:r w:rsidRPr="00864FFB">
        <w:rPr>
          <w:lang w:val="en-CA" w:eastAsia="fr-CA"/>
        </w:rPr>
        <w:t>124.</w:t>
      </w:r>
    </w:p>
  </w:footnote>
  <w:footnote w:id="68">
    <w:p w14:paraId="3DA73CAF" w14:textId="633EBB2B" w:rsidR="00EC3BD5" w:rsidRPr="00864FFB" w:rsidRDefault="000E263F" w:rsidP="00F07D56">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 xml:space="preserve">R. </w:t>
      </w:r>
      <w:r w:rsidR="00FE2C22">
        <w:rPr>
          <w:i/>
          <w:lang w:val="en-CA"/>
        </w:rPr>
        <w:t>v</w:t>
      </w:r>
      <w:r w:rsidRPr="00864FFB">
        <w:rPr>
          <w:i/>
          <w:lang w:val="en-CA"/>
        </w:rPr>
        <w:t>. Morrison</w:t>
      </w:r>
      <w:r w:rsidRPr="00864FFB">
        <w:rPr>
          <w:lang w:val="en-CA"/>
        </w:rPr>
        <w:t xml:space="preserve">, 2019 </w:t>
      </w:r>
      <w:r w:rsidR="00FE2C22">
        <w:rPr>
          <w:lang w:val="en-CA"/>
        </w:rPr>
        <w:t>SCC</w:t>
      </w:r>
      <w:r w:rsidRPr="00864FFB">
        <w:rPr>
          <w:lang w:val="en-CA"/>
        </w:rPr>
        <w:t xml:space="preserve"> 15</w:t>
      </w:r>
      <w:r w:rsidR="00FE2C22" w:rsidRPr="00FE2C22">
        <w:rPr>
          <w:lang w:val="en-CA" w:eastAsia="fr-CA"/>
        </w:rPr>
        <w:t xml:space="preserve"> </w:t>
      </w:r>
      <w:r w:rsidR="00FE2C22">
        <w:rPr>
          <w:lang w:val="en-CA" w:eastAsia="fr-CA"/>
        </w:rPr>
        <w:t>at</w:t>
      </w:r>
      <w:r w:rsidR="00FE2C22" w:rsidRPr="00864FFB">
        <w:rPr>
          <w:lang w:val="en-CA" w:eastAsia="fr-CA"/>
        </w:rPr>
        <w:t xml:space="preserve"> para. </w:t>
      </w:r>
      <w:r w:rsidRPr="00864FFB">
        <w:rPr>
          <w:lang w:val="en-CA"/>
        </w:rPr>
        <w:t>146 [</w:t>
      </w:r>
      <w:r w:rsidRPr="00864FFB">
        <w:rPr>
          <w:i/>
          <w:lang w:val="en-CA"/>
        </w:rPr>
        <w:t>Morrison</w:t>
      </w:r>
      <w:r w:rsidRPr="00864FFB">
        <w:rPr>
          <w:lang w:val="en-CA"/>
        </w:rPr>
        <w:t>].</w:t>
      </w:r>
    </w:p>
  </w:footnote>
  <w:footnote w:id="69">
    <w:p w14:paraId="17647C7D" w14:textId="70A845D0" w:rsidR="00DE2D8E" w:rsidRPr="00864FFB" w:rsidRDefault="00DE2D8E" w:rsidP="00DE2D8E">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Lloyd</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_Ref88473230 \h  \* MERGEFORMAT </w:instrText>
      </w:r>
      <w:r w:rsidRPr="00864FFB">
        <w:rPr>
          <w:lang w:val="en-CA"/>
        </w:rPr>
      </w:r>
      <w:r w:rsidRPr="00864FFB">
        <w:rPr>
          <w:lang w:val="en-CA"/>
        </w:rPr>
        <w:fldChar w:fldCharType="separate"/>
      </w:r>
      <w:r w:rsidRPr="00864FFB">
        <w:rPr>
          <w:lang w:val="en-CA"/>
        </w:rPr>
        <w:t>52</w:t>
      </w:r>
      <w:r w:rsidRPr="00864FFB">
        <w:rPr>
          <w:lang w:val="en-CA"/>
        </w:rPr>
        <w:fldChar w:fldCharType="end"/>
      </w:r>
      <w:r w:rsidRPr="00864FFB">
        <w:rPr>
          <w:lang w:val="en-CA"/>
        </w:rPr>
        <w:t xml:space="preserve"> </w:t>
      </w:r>
      <w:r w:rsidR="008F76B4">
        <w:rPr>
          <w:lang w:val="en-CA"/>
        </w:rPr>
        <w:t>at para.</w:t>
      </w:r>
      <w:r w:rsidRPr="00864FFB">
        <w:rPr>
          <w:lang w:val="en-CA"/>
        </w:rPr>
        <w:t xml:space="preserve"> 24</w:t>
      </w:r>
      <w:r w:rsidR="008F76B4">
        <w:rPr>
          <w:lang w:val="en-CA"/>
        </w:rPr>
        <w:t xml:space="preserve">, citing </w:t>
      </w:r>
      <w:r w:rsidRPr="00864FFB">
        <w:rPr>
          <w:i/>
          <w:lang w:val="en-CA"/>
        </w:rPr>
        <w:t xml:space="preserve">Smith </w:t>
      </w:r>
      <w:r w:rsidR="008F76B4">
        <w:rPr>
          <w:lang w:val="en-CA"/>
        </w:rPr>
        <w:t>at</w:t>
      </w:r>
      <w:r w:rsidRPr="00864FFB">
        <w:rPr>
          <w:lang w:val="en-CA"/>
        </w:rPr>
        <w:t xml:space="preserve"> 1072.</w:t>
      </w:r>
    </w:p>
  </w:footnote>
  <w:footnote w:id="70">
    <w:p w14:paraId="07646808" w14:textId="3B79117F" w:rsidR="00DE2D8E" w:rsidRPr="00864FFB" w:rsidRDefault="00DE2D8E" w:rsidP="00DE2D8E">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Lloyd</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_Ref88473230 \h  \* MERGEFORMAT </w:instrText>
      </w:r>
      <w:r w:rsidRPr="00864FFB">
        <w:rPr>
          <w:lang w:val="en-CA"/>
        </w:rPr>
      </w:r>
      <w:r w:rsidRPr="00864FFB">
        <w:rPr>
          <w:lang w:val="en-CA"/>
        </w:rPr>
        <w:fldChar w:fldCharType="separate"/>
      </w:r>
      <w:r w:rsidRPr="00864FFB">
        <w:rPr>
          <w:lang w:val="en-CA"/>
        </w:rPr>
        <w:t>52</w:t>
      </w:r>
      <w:r w:rsidRPr="00864FFB">
        <w:rPr>
          <w:lang w:val="en-CA"/>
        </w:rPr>
        <w:fldChar w:fldCharType="end"/>
      </w:r>
      <w:r w:rsidRPr="00864FFB">
        <w:rPr>
          <w:lang w:val="en-CA"/>
        </w:rPr>
        <w:t xml:space="preserve"> </w:t>
      </w:r>
      <w:r w:rsidR="008F76B4">
        <w:rPr>
          <w:lang w:val="en-CA"/>
        </w:rPr>
        <w:t xml:space="preserve">at </w:t>
      </w:r>
      <w:r w:rsidRPr="00864FFB">
        <w:rPr>
          <w:lang w:val="en-CA"/>
        </w:rPr>
        <w:t>para</w:t>
      </w:r>
      <w:r w:rsidR="007C168C">
        <w:rPr>
          <w:lang w:val="en-CA"/>
        </w:rPr>
        <w:t>s</w:t>
      </w:r>
      <w:r w:rsidRPr="00864FFB">
        <w:rPr>
          <w:lang w:val="en-CA"/>
        </w:rPr>
        <w:t xml:space="preserve">. 18 </w:t>
      </w:r>
      <w:r w:rsidR="008F76B4">
        <w:rPr>
          <w:lang w:val="en-CA"/>
        </w:rPr>
        <w:t>and</w:t>
      </w:r>
      <w:r w:rsidRPr="00864FFB">
        <w:rPr>
          <w:lang w:val="en-CA"/>
        </w:rPr>
        <w:t xml:space="preserve"> 19.</w:t>
      </w:r>
    </w:p>
  </w:footnote>
  <w:footnote w:id="71">
    <w:p w14:paraId="56D4FBEC" w14:textId="5C21B534" w:rsidR="00DE2D8E" w:rsidRPr="00864FFB" w:rsidRDefault="00DE2D8E" w:rsidP="00DE2D8E">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Nur</w:t>
      </w:r>
      <w:r w:rsidRPr="00864FFB">
        <w:rPr>
          <w:lang w:val="en-CA"/>
        </w:rPr>
        <w:t xml:space="preserve">, </w:t>
      </w:r>
      <w:r w:rsidRPr="00864FFB">
        <w:rPr>
          <w:rStyle w:val="Hyperlien"/>
          <w:i/>
          <w:color w:val="auto"/>
          <w:u w:val="none"/>
          <w:lang w:val="en-CA"/>
        </w:rPr>
        <w:t>supra</w:t>
      </w:r>
      <w:r w:rsidRPr="00864FFB">
        <w:rPr>
          <w:rStyle w:val="Hyperlien"/>
          <w:color w:val="auto"/>
          <w:u w:val="none"/>
          <w:lang w:val="en-CA"/>
        </w:rPr>
        <w:t xml:space="preserve"> note </w:t>
      </w:r>
      <w:r w:rsidRPr="00864FFB">
        <w:rPr>
          <w:rStyle w:val="Hyperlien"/>
          <w:color w:val="auto"/>
          <w:u w:val="none"/>
          <w:lang w:val="en-CA"/>
        </w:rPr>
        <w:fldChar w:fldCharType="begin"/>
      </w:r>
      <w:r w:rsidRPr="00864FFB">
        <w:rPr>
          <w:rStyle w:val="Hyperlien"/>
          <w:color w:val="auto"/>
          <w:u w:val="none"/>
          <w:lang w:val="en-CA"/>
        </w:rPr>
        <w:instrText xml:space="preserve"> NOTEREF _Ref92791378 \h  \* MERGEFORMAT </w:instrText>
      </w:r>
      <w:r w:rsidRPr="00864FFB">
        <w:rPr>
          <w:rStyle w:val="Hyperlien"/>
          <w:color w:val="auto"/>
          <w:u w:val="none"/>
          <w:lang w:val="en-CA"/>
        </w:rPr>
      </w:r>
      <w:r w:rsidRPr="00864FFB">
        <w:rPr>
          <w:rStyle w:val="Hyperlien"/>
          <w:color w:val="auto"/>
          <w:u w:val="none"/>
          <w:lang w:val="en-CA"/>
        </w:rPr>
        <w:fldChar w:fldCharType="separate"/>
      </w:r>
      <w:r w:rsidRPr="00864FFB">
        <w:rPr>
          <w:rStyle w:val="Hyperlien"/>
          <w:color w:val="auto"/>
          <w:u w:val="none"/>
          <w:lang w:val="en-CA"/>
        </w:rPr>
        <w:t>53</w:t>
      </w:r>
      <w:r w:rsidRPr="00864FFB">
        <w:rPr>
          <w:rStyle w:val="Hyperlien"/>
          <w:color w:val="auto"/>
          <w:u w:val="none"/>
          <w:lang w:val="en-CA"/>
        </w:rPr>
        <w:fldChar w:fldCharType="end"/>
      </w:r>
      <w:r w:rsidR="008F76B4">
        <w:rPr>
          <w:lang w:val="en-CA"/>
        </w:rPr>
        <w:t xml:space="preserve"> at</w:t>
      </w:r>
      <w:r w:rsidRPr="00864FFB">
        <w:rPr>
          <w:lang w:val="en-CA"/>
        </w:rPr>
        <w:t xml:space="preserve"> para. 78.</w:t>
      </w:r>
    </w:p>
  </w:footnote>
  <w:footnote w:id="72">
    <w:p w14:paraId="14036723" w14:textId="359E197D" w:rsidR="00DE2D8E" w:rsidRPr="00864FFB" w:rsidRDefault="00DE2D8E" w:rsidP="00DE2D8E">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Hood</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_Ref88473592 \h  \* MERGEFORMAT </w:instrText>
      </w:r>
      <w:r w:rsidRPr="00864FFB">
        <w:rPr>
          <w:lang w:val="en-CA"/>
        </w:rPr>
      </w:r>
      <w:r w:rsidRPr="00864FFB">
        <w:rPr>
          <w:lang w:val="en-CA"/>
        </w:rPr>
        <w:fldChar w:fldCharType="separate"/>
      </w:r>
      <w:r w:rsidRPr="00864FFB">
        <w:rPr>
          <w:lang w:val="en-CA"/>
        </w:rPr>
        <w:t>41</w:t>
      </w:r>
      <w:r w:rsidRPr="00864FFB">
        <w:rPr>
          <w:lang w:val="en-CA"/>
        </w:rPr>
        <w:fldChar w:fldCharType="end"/>
      </w:r>
      <w:r w:rsidRPr="00864FFB">
        <w:rPr>
          <w:lang w:val="en-CA"/>
        </w:rPr>
        <w:t>.</w:t>
      </w:r>
    </w:p>
  </w:footnote>
  <w:footnote w:id="73">
    <w:p w14:paraId="28D86A06" w14:textId="1C27C33D" w:rsidR="00EC3BD5" w:rsidRPr="00864FFB" w:rsidRDefault="000E263F">
      <w:pPr>
        <w:pStyle w:val="Notedebasdepage"/>
        <w:rPr>
          <w:lang w:val="en-CA"/>
        </w:rPr>
      </w:pPr>
      <w:r w:rsidRPr="00864FFB">
        <w:rPr>
          <w:rStyle w:val="Appelnotedebasdep"/>
          <w:lang w:val="en-CA"/>
        </w:rPr>
        <w:footnoteRef/>
      </w:r>
      <w:r w:rsidRPr="00864FFB">
        <w:rPr>
          <w:lang w:val="en-CA"/>
        </w:rPr>
        <w:t xml:space="preserve">  </w:t>
      </w:r>
      <w:r w:rsidRPr="00864FFB">
        <w:rPr>
          <w:i/>
          <w:lang w:val="en-CA"/>
        </w:rPr>
        <w:tab/>
        <w:t>Hood</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_Ref88473592 \h  \* MERGEFORMAT </w:instrText>
      </w:r>
      <w:r w:rsidRPr="00864FFB">
        <w:rPr>
          <w:lang w:val="en-CA"/>
        </w:rPr>
      </w:r>
      <w:r w:rsidRPr="00864FFB">
        <w:rPr>
          <w:lang w:val="en-CA"/>
        </w:rPr>
        <w:fldChar w:fldCharType="separate"/>
      </w:r>
      <w:r w:rsidRPr="00864FFB">
        <w:rPr>
          <w:lang w:val="en-CA"/>
        </w:rPr>
        <w:t>41</w:t>
      </w:r>
      <w:r w:rsidRPr="00864FFB">
        <w:rPr>
          <w:lang w:val="en-CA"/>
        </w:rPr>
        <w:fldChar w:fldCharType="end"/>
      </w:r>
      <w:r w:rsidRPr="00864FFB">
        <w:rPr>
          <w:lang w:val="en-CA"/>
        </w:rPr>
        <w:t xml:space="preserve">; </w:t>
      </w:r>
      <w:r w:rsidRPr="00864FFB">
        <w:rPr>
          <w:i/>
          <w:lang w:val="en-CA"/>
        </w:rPr>
        <w:t>Randall</w:t>
      </w:r>
      <w:r w:rsidRPr="00864FFB">
        <w:rPr>
          <w:lang w:val="en-CA"/>
        </w:rPr>
        <w:t xml:space="preserve">, </w:t>
      </w:r>
      <w:r w:rsidRPr="00864FFB">
        <w:rPr>
          <w:rStyle w:val="Hyperlien"/>
          <w:i/>
          <w:color w:val="auto"/>
          <w:u w:val="none"/>
          <w:lang w:val="en-CA"/>
        </w:rPr>
        <w:t>supra</w:t>
      </w:r>
      <w:r w:rsidRPr="00864FFB">
        <w:rPr>
          <w:rStyle w:val="Hyperlien"/>
          <w:color w:val="auto"/>
          <w:u w:val="none"/>
          <w:lang w:val="en-CA"/>
        </w:rPr>
        <w:t xml:space="preserve"> note </w:t>
      </w:r>
      <w:r w:rsidRPr="00864FFB">
        <w:rPr>
          <w:rStyle w:val="Hyperlien"/>
          <w:color w:val="auto"/>
          <w:u w:val="none"/>
          <w:lang w:val="en-CA"/>
        </w:rPr>
        <w:fldChar w:fldCharType="begin"/>
      </w:r>
      <w:r w:rsidRPr="00864FFB">
        <w:rPr>
          <w:rStyle w:val="Hyperlien"/>
          <w:color w:val="auto"/>
          <w:u w:val="none"/>
          <w:lang w:val="en-CA"/>
        </w:rPr>
        <w:instrText xml:space="preserve"> NOTEREF _Ref92791405 \h  \* MERGEFORMAT </w:instrText>
      </w:r>
      <w:r w:rsidRPr="00864FFB">
        <w:rPr>
          <w:rStyle w:val="Hyperlien"/>
          <w:color w:val="auto"/>
          <w:u w:val="none"/>
          <w:lang w:val="en-CA"/>
        </w:rPr>
      </w:r>
      <w:r w:rsidRPr="00864FFB">
        <w:rPr>
          <w:rStyle w:val="Hyperlien"/>
          <w:color w:val="auto"/>
          <w:u w:val="none"/>
          <w:lang w:val="en-CA"/>
        </w:rPr>
        <w:fldChar w:fldCharType="separate"/>
      </w:r>
      <w:r w:rsidRPr="00864FFB">
        <w:rPr>
          <w:rStyle w:val="Hyperlien"/>
          <w:color w:val="auto"/>
          <w:u w:val="none"/>
          <w:lang w:val="en-CA"/>
        </w:rPr>
        <w:t>43</w:t>
      </w:r>
      <w:r w:rsidRPr="00864FFB">
        <w:rPr>
          <w:rStyle w:val="Hyperlien"/>
          <w:color w:val="auto"/>
          <w:u w:val="none"/>
          <w:lang w:val="en-CA"/>
        </w:rPr>
        <w:fldChar w:fldCharType="end"/>
      </w:r>
      <w:r w:rsidRPr="00864FFB">
        <w:rPr>
          <w:rStyle w:val="Hyperlien"/>
          <w:color w:val="auto"/>
          <w:u w:val="none"/>
          <w:lang w:val="en-CA"/>
        </w:rPr>
        <w:t>.</w:t>
      </w:r>
    </w:p>
  </w:footnote>
  <w:footnote w:id="74">
    <w:p w14:paraId="11682E04" w14:textId="330E2B7B" w:rsidR="00EC3BD5" w:rsidRPr="00864FFB" w:rsidRDefault="000E263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eastAsia="fr-CA"/>
        </w:rPr>
        <w:t>Friesen</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_Ref88469422 \h  \* MERGEFORMAT </w:instrText>
      </w:r>
      <w:r w:rsidRPr="00864FFB">
        <w:rPr>
          <w:lang w:val="en-CA"/>
        </w:rPr>
      </w:r>
      <w:r w:rsidRPr="00864FFB">
        <w:rPr>
          <w:lang w:val="en-CA"/>
        </w:rPr>
        <w:fldChar w:fldCharType="separate"/>
      </w:r>
      <w:r w:rsidRPr="00864FFB">
        <w:rPr>
          <w:lang w:val="en-CA"/>
        </w:rPr>
        <w:t>19</w:t>
      </w:r>
      <w:r w:rsidRPr="00864FFB">
        <w:rPr>
          <w:lang w:val="en-CA"/>
        </w:rPr>
        <w:fldChar w:fldCharType="end"/>
      </w:r>
      <w:r w:rsidRPr="00864FFB">
        <w:rPr>
          <w:lang w:val="en-CA"/>
        </w:rPr>
        <w:t>.</w:t>
      </w:r>
    </w:p>
  </w:footnote>
  <w:footnote w:id="75">
    <w:p w14:paraId="64BA0E04" w14:textId="789F5BF3" w:rsidR="00EC3BD5" w:rsidRPr="00864FFB" w:rsidRDefault="000E263F">
      <w:pPr>
        <w:pStyle w:val="Notedebasdepage"/>
        <w:rPr>
          <w:lang w:val="en-CA"/>
        </w:rPr>
      </w:pPr>
      <w:r w:rsidRPr="00864FFB">
        <w:rPr>
          <w:rStyle w:val="Appelnotedebasdep"/>
          <w:lang w:val="en-CA"/>
        </w:rPr>
        <w:footnoteRef/>
      </w:r>
      <w:r w:rsidRPr="00864FFB">
        <w:rPr>
          <w:lang w:val="en-CA"/>
        </w:rPr>
        <w:t xml:space="preserve"> </w:t>
      </w:r>
      <w:r w:rsidRPr="00864FFB">
        <w:rPr>
          <w:i/>
          <w:iCs/>
          <w:lang w:val="en-CA"/>
        </w:rPr>
        <w:t xml:space="preserve">   </w:t>
      </w:r>
      <w:r w:rsidR="008F76B4">
        <w:rPr>
          <w:i/>
          <w:iCs/>
          <w:lang w:val="en-CA"/>
        </w:rPr>
        <w:t xml:space="preserve">Ibid. </w:t>
      </w:r>
      <w:r w:rsidR="008F76B4" w:rsidRPr="008F76B4">
        <w:rPr>
          <w:lang w:val="en-CA"/>
        </w:rPr>
        <w:t>at paras</w:t>
      </w:r>
      <w:r w:rsidRPr="00864FFB">
        <w:rPr>
          <w:lang w:val="en-CA"/>
        </w:rPr>
        <w:t>. 137</w:t>
      </w:r>
      <w:r w:rsidR="00362CEE">
        <w:rPr>
          <w:lang w:val="en-CA"/>
        </w:rPr>
        <w:t>–</w:t>
      </w:r>
      <w:r w:rsidRPr="00864FFB">
        <w:rPr>
          <w:lang w:val="en-CA"/>
        </w:rPr>
        <w:t>147.</w:t>
      </w:r>
    </w:p>
  </w:footnote>
  <w:footnote w:id="76">
    <w:p w14:paraId="43D43B43" w14:textId="258772B3" w:rsidR="008F76B4" w:rsidRPr="00864FFB" w:rsidRDefault="008F76B4" w:rsidP="008F76B4">
      <w:pPr>
        <w:pStyle w:val="Notedebasdepage"/>
        <w:rPr>
          <w:lang w:val="en-CA"/>
        </w:rPr>
      </w:pPr>
      <w:r w:rsidRPr="00864FFB">
        <w:rPr>
          <w:rStyle w:val="Appelnotedebasdep"/>
          <w:lang w:val="en-CA"/>
        </w:rPr>
        <w:footnoteRef/>
      </w:r>
      <w:r w:rsidRPr="00864FFB">
        <w:rPr>
          <w:lang w:val="en-CA"/>
        </w:rPr>
        <w:t xml:space="preserve">  </w:t>
      </w:r>
      <w:r w:rsidRPr="00864FFB">
        <w:rPr>
          <w:i/>
          <w:lang w:val="en-CA"/>
        </w:rPr>
        <w:tab/>
        <w:t>Morrison</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_Ref92791441 \h  \* MERGEFORMAT </w:instrText>
      </w:r>
      <w:r w:rsidRPr="00864FFB">
        <w:rPr>
          <w:lang w:val="en-CA"/>
        </w:rPr>
      </w:r>
      <w:r w:rsidRPr="00864FFB">
        <w:rPr>
          <w:lang w:val="en-CA"/>
        </w:rPr>
        <w:fldChar w:fldCharType="separate"/>
      </w:r>
      <w:r w:rsidRPr="00864FFB">
        <w:rPr>
          <w:lang w:val="en-CA"/>
        </w:rPr>
        <w:t>68</w:t>
      </w:r>
      <w:r w:rsidRPr="00864FFB">
        <w:rPr>
          <w:lang w:val="en-CA"/>
        </w:rPr>
        <w:fldChar w:fldCharType="end"/>
      </w:r>
      <w:r w:rsidRPr="00864FFB">
        <w:rPr>
          <w:lang w:val="en-CA"/>
        </w:rPr>
        <w:t>.</w:t>
      </w:r>
    </w:p>
  </w:footnote>
  <w:footnote w:id="77">
    <w:p w14:paraId="5651C78F" w14:textId="149778BC" w:rsidR="00EC3BD5" w:rsidRPr="00864FFB" w:rsidRDefault="000E263F" w:rsidP="00123EFC">
      <w:pPr>
        <w:pStyle w:val="Notedebasdepage"/>
        <w:rPr>
          <w:i/>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Morrison</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_Ref92791441 \h  \* MERGEFORMAT </w:instrText>
      </w:r>
      <w:r w:rsidRPr="00864FFB">
        <w:rPr>
          <w:lang w:val="en-CA"/>
        </w:rPr>
      </w:r>
      <w:r w:rsidRPr="00864FFB">
        <w:rPr>
          <w:lang w:val="en-CA"/>
        </w:rPr>
        <w:fldChar w:fldCharType="separate"/>
      </w:r>
      <w:r w:rsidRPr="00864FFB">
        <w:rPr>
          <w:lang w:val="en-CA"/>
        </w:rPr>
        <w:t>68</w:t>
      </w:r>
      <w:r w:rsidRPr="00864FFB">
        <w:rPr>
          <w:lang w:val="en-CA"/>
        </w:rPr>
        <w:fldChar w:fldCharType="end"/>
      </w:r>
      <w:r w:rsidR="00587A70">
        <w:rPr>
          <w:lang w:val="en-CA"/>
        </w:rPr>
        <w:t xml:space="preserve"> at</w:t>
      </w:r>
      <w:r w:rsidRPr="00864FFB">
        <w:rPr>
          <w:lang w:val="en-CA"/>
        </w:rPr>
        <w:t xml:space="preserve"> para. 146; </w:t>
      </w:r>
      <w:r w:rsidR="008F76B4">
        <w:rPr>
          <w:lang w:val="en-CA"/>
        </w:rPr>
        <w:t>see also</w:t>
      </w:r>
      <w:r w:rsidRPr="00864FFB">
        <w:rPr>
          <w:lang w:val="en-CA"/>
        </w:rPr>
        <w:t xml:space="preserve"> </w:t>
      </w:r>
      <w:r w:rsidRPr="00864FFB">
        <w:rPr>
          <w:i/>
          <w:lang w:val="en-CA"/>
        </w:rPr>
        <w:t>Nur</w:t>
      </w:r>
      <w:r w:rsidRPr="00864FFB">
        <w:rPr>
          <w:lang w:val="en-CA"/>
        </w:rPr>
        <w:t xml:space="preserve">, </w:t>
      </w:r>
      <w:r w:rsidRPr="00864FFB">
        <w:rPr>
          <w:rStyle w:val="Hyperlien"/>
          <w:i/>
          <w:color w:val="auto"/>
          <w:u w:val="none"/>
          <w:lang w:val="en-CA"/>
        </w:rPr>
        <w:t>supra</w:t>
      </w:r>
      <w:r w:rsidRPr="00864FFB">
        <w:rPr>
          <w:rStyle w:val="Hyperlien"/>
          <w:color w:val="auto"/>
          <w:u w:val="none"/>
          <w:lang w:val="en-CA"/>
        </w:rPr>
        <w:t xml:space="preserve"> note </w:t>
      </w:r>
      <w:r w:rsidRPr="00864FFB">
        <w:rPr>
          <w:rStyle w:val="Hyperlien"/>
          <w:color w:val="auto"/>
          <w:u w:val="none"/>
          <w:lang w:val="en-CA"/>
        </w:rPr>
        <w:fldChar w:fldCharType="begin"/>
      </w:r>
      <w:r w:rsidRPr="00864FFB">
        <w:rPr>
          <w:rStyle w:val="Hyperlien"/>
          <w:color w:val="auto"/>
          <w:u w:val="none"/>
          <w:lang w:val="en-CA"/>
        </w:rPr>
        <w:instrText xml:space="preserve"> NOTEREF _Ref92791378 \h  \* MERGEFORMAT </w:instrText>
      </w:r>
      <w:r w:rsidRPr="00864FFB">
        <w:rPr>
          <w:rStyle w:val="Hyperlien"/>
          <w:color w:val="auto"/>
          <w:u w:val="none"/>
          <w:lang w:val="en-CA"/>
        </w:rPr>
      </w:r>
      <w:r w:rsidRPr="00864FFB">
        <w:rPr>
          <w:rStyle w:val="Hyperlien"/>
          <w:color w:val="auto"/>
          <w:u w:val="none"/>
          <w:lang w:val="en-CA"/>
        </w:rPr>
        <w:fldChar w:fldCharType="separate"/>
      </w:r>
      <w:r w:rsidRPr="00864FFB">
        <w:rPr>
          <w:rStyle w:val="Hyperlien"/>
          <w:color w:val="auto"/>
          <w:u w:val="none"/>
          <w:lang w:val="en-CA"/>
        </w:rPr>
        <w:t>53</w:t>
      </w:r>
      <w:r w:rsidRPr="00864FFB">
        <w:rPr>
          <w:rStyle w:val="Hyperlien"/>
          <w:color w:val="auto"/>
          <w:u w:val="none"/>
          <w:lang w:val="en-CA"/>
        </w:rPr>
        <w:fldChar w:fldCharType="end"/>
      </w:r>
      <w:r w:rsidR="008F76B4">
        <w:rPr>
          <w:lang w:val="en-CA"/>
        </w:rPr>
        <w:t xml:space="preserve"> at </w:t>
      </w:r>
      <w:r w:rsidRPr="00864FFB">
        <w:rPr>
          <w:lang w:val="en-CA"/>
        </w:rPr>
        <w:t xml:space="preserve">para. 82; </w:t>
      </w:r>
      <w:r w:rsidRPr="00864FFB">
        <w:rPr>
          <w:i/>
          <w:lang w:val="en-CA"/>
        </w:rPr>
        <w:t>Lloyd</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_Ref88473230 \h  \* MERGEFORMAT </w:instrText>
      </w:r>
      <w:r w:rsidRPr="00864FFB">
        <w:rPr>
          <w:lang w:val="en-CA"/>
        </w:rPr>
      </w:r>
      <w:r w:rsidRPr="00864FFB">
        <w:rPr>
          <w:lang w:val="en-CA"/>
        </w:rPr>
        <w:fldChar w:fldCharType="separate"/>
      </w:r>
      <w:r w:rsidRPr="00864FFB">
        <w:rPr>
          <w:lang w:val="en-CA"/>
        </w:rPr>
        <w:t>52</w:t>
      </w:r>
      <w:r w:rsidRPr="00864FFB">
        <w:rPr>
          <w:lang w:val="en-CA"/>
        </w:rPr>
        <w:fldChar w:fldCharType="end"/>
      </w:r>
      <w:r w:rsidR="008F76B4">
        <w:rPr>
          <w:lang w:val="en-CA"/>
        </w:rPr>
        <w:t xml:space="preserve"> at</w:t>
      </w:r>
      <w:r w:rsidRPr="00864FFB">
        <w:rPr>
          <w:lang w:val="en-CA"/>
        </w:rPr>
        <w:t xml:space="preserve"> para. 35.</w:t>
      </w:r>
    </w:p>
  </w:footnote>
  <w:footnote w:id="78">
    <w:p w14:paraId="1A619843" w14:textId="31C76379" w:rsidR="00EC3BD5" w:rsidRPr="00864FFB" w:rsidRDefault="000E263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Randall</w:t>
      </w:r>
      <w:r w:rsidRPr="00864FFB">
        <w:rPr>
          <w:lang w:val="en-CA"/>
        </w:rPr>
        <w:t xml:space="preserve">, </w:t>
      </w:r>
      <w:r w:rsidRPr="00864FFB">
        <w:rPr>
          <w:rStyle w:val="Hyperlien"/>
          <w:i/>
          <w:color w:val="auto"/>
          <w:u w:val="none"/>
          <w:lang w:val="en-CA"/>
        </w:rPr>
        <w:t>supra</w:t>
      </w:r>
      <w:r w:rsidRPr="00864FFB">
        <w:rPr>
          <w:rStyle w:val="Hyperlien"/>
          <w:color w:val="auto"/>
          <w:u w:val="none"/>
          <w:lang w:val="en-CA"/>
        </w:rPr>
        <w:t xml:space="preserve"> note </w:t>
      </w:r>
      <w:r w:rsidRPr="00864FFB">
        <w:rPr>
          <w:rStyle w:val="Hyperlien"/>
          <w:color w:val="auto"/>
          <w:u w:val="none"/>
          <w:lang w:val="en-CA"/>
        </w:rPr>
        <w:fldChar w:fldCharType="begin"/>
      </w:r>
      <w:r w:rsidRPr="00864FFB">
        <w:rPr>
          <w:rStyle w:val="Hyperlien"/>
          <w:color w:val="auto"/>
          <w:u w:val="none"/>
          <w:lang w:val="en-CA"/>
        </w:rPr>
        <w:instrText xml:space="preserve"> NOTEREF _Ref92791405 \h  \* MERGEFORMAT </w:instrText>
      </w:r>
      <w:r w:rsidRPr="00864FFB">
        <w:rPr>
          <w:rStyle w:val="Hyperlien"/>
          <w:color w:val="auto"/>
          <w:u w:val="none"/>
          <w:lang w:val="en-CA"/>
        </w:rPr>
      </w:r>
      <w:r w:rsidRPr="00864FFB">
        <w:rPr>
          <w:rStyle w:val="Hyperlien"/>
          <w:color w:val="auto"/>
          <w:u w:val="none"/>
          <w:lang w:val="en-CA"/>
        </w:rPr>
        <w:fldChar w:fldCharType="separate"/>
      </w:r>
      <w:r w:rsidRPr="00864FFB">
        <w:rPr>
          <w:rStyle w:val="Hyperlien"/>
          <w:color w:val="auto"/>
          <w:u w:val="none"/>
          <w:lang w:val="en-CA"/>
        </w:rPr>
        <w:t>43</w:t>
      </w:r>
      <w:r w:rsidRPr="00864FFB">
        <w:rPr>
          <w:rStyle w:val="Hyperlien"/>
          <w:color w:val="auto"/>
          <w:u w:val="none"/>
          <w:lang w:val="en-CA"/>
        </w:rPr>
        <w:fldChar w:fldCharType="end"/>
      </w:r>
      <w:r w:rsidRPr="00864FFB">
        <w:rPr>
          <w:rStyle w:val="Hyperlien"/>
          <w:color w:val="auto"/>
          <w:u w:val="none"/>
          <w:lang w:val="en-CA"/>
        </w:rPr>
        <w:t>.</w:t>
      </w:r>
    </w:p>
  </w:footnote>
  <w:footnote w:id="79">
    <w:p w14:paraId="1BDB0223" w14:textId="63D4F9EE" w:rsidR="00063A97" w:rsidRPr="00864FFB" w:rsidRDefault="00063A97" w:rsidP="00063A97">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Bertrand Marchand</w:t>
      </w:r>
      <w:r w:rsidRPr="00864FFB">
        <w:rPr>
          <w:lang w:val="en-CA"/>
        </w:rPr>
        <w:t xml:space="preserve">, </w:t>
      </w:r>
      <w:r w:rsidRPr="00864FFB">
        <w:rPr>
          <w:i/>
          <w:lang w:val="en-CA"/>
        </w:rPr>
        <w:t>supra</w:t>
      </w:r>
      <w:r w:rsidRPr="00864FFB">
        <w:rPr>
          <w:lang w:val="en-CA"/>
        </w:rPr>
        <w:t xml:space="preserve"> note </w:t>
      </w:r>
      <w:r w:rsidRPr="00864FFB">
        <w:rPr>
          <w:lang w:val="en-CA"/>
        </w:rPr>
        <w:fldChar w:fldCharType="begin"/>
      </w:r>
      <w:r w:rsidRPr="00864FFB">
        <w:rPr>
          <w:lang w:val="en-CA"/>
        </w:rPr>
        <w:instrText xml:space="preserve"> NOTEREF _Ref88467732 \h  \* MERGEFORMAT </w:instrText>
      </w:r>
      <w:r w:rsidRPr="00864FFB">
        <w:rPr>
          <w:lang w:val="en-CA"/>
        </w:rPr>
      </w:r>
      <w:r w:rsidRPr="00864FFB">
        <w:rPr>
          <w:lang w:val="en-CA"/>
        </w:rPr>
        <w:fldChar w:fldCharType="separate"/>
      </w:r>
      <w:r w:rsidRPr="00864FFB">
        <w:rPr>
          <w:lang w:val="en-CA"/>
        </w:rPr>
        <w:t>7</w:t>
      </w:r>
      <w:r w:rsidRPr="00864FFB">
        <w:rPr>
          <w:lang w:val="en-CA"/>
        </w:rPr>
        <w:fldChar w:fldCharType="end"/>
      </w:r>
      <w:r w:rsidRPr="00864FFB">
        <w:rPr>
          <w:lang w:val="en-CA"/>
        </w:rPr>
        <w:t>.</w:t>
      </w:r>
    </w:p>
  </w:footnote>
  <w:footnote w:id="80">
    <w:p w14:paraId="7E9A217E" w14:textId="2A09FA2F" w:rsidR="00EC3BD5" w:rsidRPr="00864FFB" w:rsidRDefault="000E263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007C168C">
        <w:rPr>
          <w:lang w:val="en-CA"/>
        </w:rPr>
        <w:t xml:space="preserve">As </w:t>
      </w:r>
      <w:r w:rsidR="00063A97">
        <w:rPr>
          <w:lang w:val="en-CA"/>
        </w:rPr>
        <w:t>in</w:t>
      </w:r>
      <w:r w:rsidRPr="00864FFB">
        <w:rPr>
          <w:lang w:val="en-CA"/>
        </w:rPr>
        <w:t xml:space="preserve"> </w:t>
      </w:r>
      <w:r w:rsidRPr="00864FFB">
        <w:rPr>
          <w:i/>
          <w:lang w:val="en-CA"/>
        </w:rPr>
        <w:t>R. v. Alexander</w:t>
      </w:r>
      <w:r w:rsidRPr="00864FFB">
        <w:rPr>
          <w:lang w:val="en-CA"/>
        </w:rPr>
        <w:t xml:space="preserve">, </w:t>
      </w:r>
      <w:bookmarkStart w:id="20" w:name="OLE_LINK1"/>
      <w:bookmarkStart w:id="21" w:name="OLE_LINK2"/>
      <w:r w:rsidRPr="00864FFB">
        <w:rPr>
          <w:lang w:val="en-CA"/>
        </w:rPr>
        <w:t>2019 BCCA 100</w:t>
      </w:r>
      <w:bookmarkEnd w:id="20"/>
      <w:bookmarkEnd w:id="21"/>
      <w:r w:rsidRPr="00864FFB">
        <w:rPr>
          <w:lang w:val="en-CA"/>
        </w:rPr>
        <w:t xml:space="preserve"> </w:t>
      </w:r>
      <w:r w:rsidR="00063A97">
        <w:rPr>
          <w:lang w:val="en-CA"/>
        </w:rPr>
        <w:t xml:space="preserve">at para. </w:t>
      </w:r>
      <w:r w:rsidRPr="00864FFB">
        <w:rPr>
          <w:lang w:val="en-CA"/>
        </w:rPr>
        <w:t>53.</w:t>
      </w:r>
    </w:p>
  </w:footnote>
  <w:footnote w:id="81">
    <w:p w14:paraId="7A03C858" w14:textId="6F6C925E" w:rsidR="00EC3BD5" w:rsidRPr="00864FFB" w:rsidRDefault="000E263F">
      <w:pPr>
        <w:pStyle w:val="Notedebasdepage"/>
        <w:rPr>
          <w:lang w:val="en-CA"/>
        </w:rPr>
      </w:pPr>
      <w:r w:rsidRPr="00864FFB">
        <w:rPr>
          <w:rStyle w:val="Appelnotedebasdep"/>
          <w:lang w:val="en-CA"/>
        </w:rPr>
        <w:footnoteRef/>
      </w:r>
      <w:r w:rsidRPr="00864FFB">
        <w:rPr>
          <w:lang w:val="en-CA"/>
        </w:rPr>
        <w:t xml:space="preserve">  </w:t>
      </w:r>
      <w:r w:rsidRPr="00864FFB">
        <w:rPr>
          <w:lang w:val="en-CA"/>
        </w:rPr>
        <w:tab/>
      </w:r>
      <w:r w:rsidRPr="00864FFB">
        <w:rPr>
          <w:i/>
          <w:lang w:val="en-CA"/>
        </w:rPr>
        <w:t>Randall</w:t>
      </w:r>
      <w:r w:rsidRPr="00864FFB">
        <w:rPr>
          <w:lang w:val="en-CA"/>
        </w:rPr>
        <w:t xml:space="preserve">, </w:t>
      </w:r>
      <w:r w:rsidRPr="00864FFB">
        <w:rPr>
          <w:rStyle w:val="Hyperlien"/>
          <w:i/>
          <w:color w:val="auto"/>
          <w:u w:val="none"/>
          <w:lang w:val="en-CA"/>
        </w:rPr>
        <w:t>supra</w:t>
      </w:r>
      <w:r w:rsidRPr="00864FFB">
        <w:rPr>
          <w:rStyle w:val="Hyperlien"/>
          <w:color w:val="auto"/>
          <w:u w:val="none"/>
          <w:lang w:val="en-CA"/>
        </w:rPr>
        <w:t xml:space="preserve"> note </w:t>
      </w:r>
      <w:r w:rsidRPr="00864FFB">
        <w:rPr>
          <w:rStyle w:val="Hyperlien"/>
          <w:color w:val="auto"/>
          <w:u w:val="none"/>
          <w:lang w:val="en-CA"/>
        </w:rPr>
        <w:fldChar w:fldCharType="begin"/>
      </w:r>
      <w:r w:rsidRPr="00864FFB">
        <w:rPr>
          <w:rStyle w:val="Hyperlien"/>
          <w:color w:val="auto"/>
          <w:u w:val="none"/>
          <w:lang w:val="en-CA"/>
        </w:rPr>
        <w:instrText xml:space="preserve"> NOTEREF _Ref92791405 \h  \* MERGEFORMAT </w:instrText>
      </w:r>
      <w:r w:rsidRPr="00864FFB">
        <w:rPr>
          <w:rStyle w:val="Hyperlien"/>
          <w:color w:val="auto"/>
          <w:u w:val="none"/>
          <w:lang w:val="en-CA"/>
        </w:rPr>
      </w:r>
      <w:r w:rsidRPr="00864FFB">
        <w:rPr>
          <w:rStyle w:val="Hyperlien"/>
          <w:color w:val="auto"/>
          <w:u w:val="none"/>
          <w:lang w:val="en-CA"/>
        </w:rPr>
        <w:fldChar w:fldCharType="separate"/>
      </w:r>
      <w:r w:rsidRPr="00864FFB">
        <w:rPr>
          <w:rStyle w:val="Hyperlien"/>
          <w:color w:val="auto"/>
          <w:u w:val="none"/>
          <w:lang w:val="en-CA"/>
        </w:rPr>
        <w:t>43</w:t>
      </w:r>
      <w:r w:rsidRPr="00864FFB">
        <w:rPr>
          <w:rStyle w:val="Hyperlien"/>
          <w:color w:val="auto"/>
          <w:u w:val="none"/>
          <w:lang w:val="en-CA"/>
        </w:rPr>
        <w:fldChar w:fldCharType="end"/>
      </w:r>
      <w:r w:rsidR="00063A97">
        <w:rPr>
          <w:lang w:val="en-CA"/>
        </w:rPr>
        <w:t xml:space="preserve"> at</w:t>
      </w:r>
      <w:r w:rsidRPr="00864FFB">
        <w:rPr>
          <w:lang w:val="en-CA"/>
        </w:rPr>
        <w:t xml:space="preserve">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2DCE" w14:textId="0A2903CE" w:rsidR="00EC3BD5" w:rsidRDefault="000E263F" w:rsidP="00DB2119">
    <w:pPr>
      <w:tabs>
        <w:tab w:val="center" w:pos="4709"/>
        <w:tab w:val="right" w:pos="9360"/>
      </w:tabs>
      <w:spacing w:line="360" w:lineRule="auto"/>
      <w:ind w:right="524"/>
    </w:pPr>
    <w:bookmarkStart w:id="24" w:name="EntDossier"/>
    <w:r>
      <w:t>500-10-007541-210</w:t>
    </w:r>
    <w:bookmarkEnd w:id="24"/>
    <w:r>
      <w:t xml:space="preserve"> </w:t>
    </w:r>
    <w:r>
      <w:tab/>
    </w:r>
    <w:r>
      <w:tab/>
    </w:r>
    <w:r w:rsidRPr="0018369C">
      <w:t>PAGE:</w:t>
    </w:r>
    <w:r>
      <w:t xml:space="preserve"> </w:t>
    </w:r>
    <w:r>
      <w:fldChar w:fldCharType="begin"/>
    </w:r>
    <w:r>
      <w:instrText xml:space="preserve"> PAGE </w:instrText>
    </w:r>
    <w:r>
      <w:fldChar w:fldCharType="separate"/>
    </w:r>
    <w:r>
      <w:rPr>
        <w:noProof/>
      </w:rPr>
      <w:t>16</w:t>
    </w:r>
    <w:r>
      <w:fldChar w:fldCharType="end"/>
    </w:r>
  </w:p>
  <w:p w14:paraId="710B1C76" w14:textId="77777777" w:rsidR="00EC3BD5" w:rsidRDefault="00101ACD" w:rsidP="00DB2119">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A624D"/>
    <w:multiLevelType w:val="multilevel"/>
    <w:tmpl w:val="CFC8A8A4"/>
    <w:lvl w:ilvl="0">
      <w:start w:val="1"/>
      <w:numFmt w:val="lowerLetter"/>
      <w:lvlText w:val="%1)"/>
      <w:lvlJc w:val="left"/>
      <w:pPr>
        <w:tabs>
          <w:tab w:val="num" w:pos="1440"/>
        </w:tabs>
        <w:ind w:left="720" w:firstLine="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1" w15:restartNumberingAfterBreak="0">
    <w:nsid w:val="0BB26CBD"/>
    <w:multiLevelType w:val="hybridMultilevel"/>
    <w:tmpl w:val="9CB66682"/>
    <w:lvl w:ilvl="0" w:tplc="B776AAEC">
      <w:start w:val="1"/>
      <w:numFmt w:val="upperRoman"/>
      <w:pStyle w:val="Titre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C3369434" w:tentative="1">
      <w:start w:val="1"/>
      <w:numFmt w:val="lowerLetter"/>
      <w:lvlText w:val="%2."/>
      <w:lvlJc w:val="left"/>
      <w:pPr>
        <w:ind w:left="1440" w:hanging="360"/>
      </w:pPr>
    </w:lvl>
    <w:lvl w:ilvl="2" w:tplc="286054AE" w:tentative="1">
      <w:start w:val="1"/>
      <w:numFmt w:val="lowerRoman"/>
      <w:lvlText w:val="%3."/>
      <w:lvlJc w:val="right"/>
      <w:pPr>
        <w:ind w:left="2160" w:hanging="180"/>
      </w:pPr>
    </w:lvl>
    <w:lvl w:ilvl="3" w:tplc="154C560E" w:tentative="1">
      <w:start w:val="1"/>
      <w:numFmt w:val="decimal"/>
      <w:lvlText w:val="%4."/>
      <w:lvlJc w:val="left"/>
      <w:pPr>
        <w:ind w:left="2880" w:hanging="360"/>
      </w:pPr>
    </w:lvl>
    <w:lvl w:ilvl="4" w:tplc="F10E3314" w:tentative="1">
      <w:start w:val="1"/>
      <w:numFmt w:val="lowerLetter"/>
      <w:lvlText w:val="%5."/>
      <w:lvlJc w:val="left"/>
      <w:pPr>
        <w:ind w:left="3600" w:hanging="360"/>
      </w:pPr>
    </w:lvl>
    <w:lvl w:ilvl="5" w:tplc="ED14C13C" w:tentative="1">
      <w:start w:val="1"/>
      <w:numFmt w:val="lowerRoman"/>
      <w:lvlText w:val="%6."/>
      <w:lvlJc w:val="right"/>
      <w:pPr>
        <w:ind w:left="4320" w:hanging="180"/>
      </w:pPr>
    </w:lvl>
    <w:lvl w:ilvl="6" w:tplc="BFFA7DA8" w:tentative="1">
      <w:start w:val="1"/>
      <w:numFmt w:val="decimal"/>
      <w:lvlText w:val="%7."/>
      <w:lvlJc w:val="left"/>
      <w:pPr>
        <w:ind w:left="5040" w:hanging="360"/>
      </w:pPr>
    </w:lvl>
    <w:lvl w:ilvl="7" w:tplc="3AD206CA" w:tentative="1">
      <w:start w:val="1"/>
      <w:numFmt w:val="lowerLetter"/>
      <w:lvlText w:val="%8."/>
      <w:lvlJc w:val="left"/>
      <w:pPr>
        <w:ind w:left="5760" w:hanging="360"/>
      </w:pPr>
    </w:lvl>
    <w:lvl w:ilvl="8" w:tplc="C6727DFC" w:tentative="1">
      <w:start w:val="1"/>
      <w:numFmt w:val="lowerRoman"/>
      <w:lvlText w:val="%9."/>
      <w:lvlJc w:val="right"/>
      <w:pPr>
        <w:ind w:left="6480" w:hanging="180"/>
      </w:pPr>
    </w:lvl>
  </w:abstractNum>
  <w:abstractNum w:abstractNumId="12" w15:restartNumberingAfterBreak="0">
    <w:nsid w:val="0C3915F4"/>
    <w:multiLevelType w:val="hybridMultilevel"/>
    <w:tmpl w:val="7E18F7B8"/>
    <w:lvl w:ilvl="0" w:tplc="8B72175E">
      <w:start w:val="1"/>
      <w:numFmt w:val="lowerLetter"/>
      <w:pStyle w:val="Titre2"/>
      <w:lvlText w:val="(%1)"/>
      <w:lvlJc w:val="left"/>
      <w:pPr>
        <w:ind w:left="720" w:hanging="360"/>
      </w:pPr>
      <w:rPr>
        <w:rFonts w:hint="default"/>
      </w:rPr>
    </w:lvl>
    <w:lvl w:ilvl="1" w:tplc="56A440F2" w:tentative="1">
      <w:start w:val="1"/>
      <w:numFmt w:val="lowerLetter"/>
      <w:lvlText w:val="%2."/>
      <w:lvlJc w:val="left"/>
      <w:pPr>
        <w:ind w:left="1440" w:hanging="360"/>
      </w:pPr>
    </w:lvl>
    <w:lvl w:ilvl="2" w:tplc="D25481A6" w:tentative="1">
      <w:start w:val="1"/>
      <w:numFmt w:val="lowerRoman"/>
      <w:lvlText w:val="%3."/>
      <w:lvlJc w:val="right"/>
      <w:pPr>
        <w:ind w:left="2160" w:hanging="180"/>
      </w:pPr>
    </w:lvl>
    <w:lvl w:ilvl="3" w:tplc="390A93D2" w:tentative="1">
      <w:start w:val="1"/>
      <w:numFmt w:val="decimal"/>
      <w:lvlText w:val="%4."/>
      <w:lvlJc w:val="left"/>
      <w:pPr>
        <w:ind w:left="2880" w:hanging="360"/>
      </w:pPr>
    </w:lvl>
    <w:lvl w:ilvl="4" w:tplc="46AA609A" w:tentative="1">
      <w:start w:val="1"/>
      <w:numFmt w:val="lowerLetter"/>
      <w:lvlText w:val="%5."/>
      <w:lvlJc w:val="left"/>
      <w:pPr>
        <w:ind w:left="3600" w:hanging="360"/>
      </w:pPr>
    </w:lvl>
    <w:lvl w:ilvl="5" w:tplc="64441AB6" w:tentative="1">
      <w:start w:val="1"/>
      <w:numFmt w:val="lowerRoman"/>
      <w:lvlText w:val="%6."/>
      <w:lvlJc w:val="right"/>
      <w:pPr>
        <w:ind w:left="4320" w:hanging="180"/>
      </w:pPr>
    </w:lvl>
    <w:lvl w:ilvl="6" w:tplc="1B5A8D9C" w:tentative="1">
      <w:start w:val="1"/>
      <w:numFmt w:val="decimal"/>
      <w:lvlText w:val="%7."/>
      <w:lvlJc w:val="left"/>
      <w:pPr>
        <w:ind w:left="5040" w:hanging="360"/>
      </w:pPr>
    </w:lvl>
    <w:lvl w:ilvl="7" w:tplc="315E3324" w:tentative="1">
      <w:start w:val="1"/>
      <w:numFmt w:val="lowerLetter"/>
      <w:lvlText w:val="%8."/>
      <w:lvlJc w:val="left"/>
      <w:pPr>
        <w:ind w:left="5760" w:hanging="360"/>
      </w:pPr>
    </w:lvl>
    <w:lvl w:ilvl="8" w:tplc="53CE82BE" w:tentative="1">
      <w:start w:val="1"/>
      <w:numFmt w:val="lowerRoman"/>
      <w:lvlText w:val="%9."/>
      <w:lvlJc w:val="right"/>
      <w:pPr>
        <w:ind w:left="6480" w:hanging="180"/>
      </w:pPr>
    </w:lvl>
  </w:abstractNum>
  <w:abstractNum w:abstractNumId="13"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C992B75"/>
    <w:multiLevelType w:val="multilevel"/>
    <w:tmpl w:val="743467EC"/>
    <w:lvl w:ilvl="0">
      <w:start w:val="1"/>
      <w:numFmt w:val="bullet"/>
      <w:pStyle w:val="Tiret"/>
      <w:lvlText w:val="-"/>
      <w:lvlJc w:val="left"/>
      <w:pPr>
        <w:tabs>
          <w:tab w:val="num" w:pos="1080"/>
        </w:tabs>
        <w:ind w:left="720" w:firstLine="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6"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766999971">
    <w:abstractNumId w:val="16"/>
  </w:num>
  <w:num w:numId="2" w16cid:durableId="904023698">
    <w:abstractNumId w:val="16"/>
  </w:num>
  <w:num w:numId="3" w16cid:durableId="1915624916">
    <w:abstractNumId w:val="16"/>
  </w:num>
  <w:num w:numId="4" w16cid:durableId="1732777036">
    <w:abstractNumId w:val="8"/>
  </w:num>
  <w:num w:numId="5" w16cid:durableId="1437991391">
    <w:abstractNumId w:val="3"/>
  </w:num>
  <w:num w:numId="6" w16cid:durableId="883368962">
    <w:abstractNumId w:val="2"/>
  </w:num>
  <w:num w:numId="7" w16cid:durableId="1450011618">
    <w:abstractNumId w:val="1"/>
  </w:num>
  <w:num w:numId="8" w16cid:durableId="1942451599">
    <w:abstractNumId w:val="0"/>
  </w:num>
  <w:num w:numId="9" w16cid:durableId="178782848">
    <w:abstractNumId w:val="9"/>
  </w:num>
  <w:num w:numId="10" w16cid:durableId="1117407337">
    <w:abstractNumId w:val="7"/>
  </w:num>
  <w:num w:numId="11" w16cid:durableId="1744260591">
    <w:abstractNumId w:val="6"/>
  </w:num>
  <w:num w:numId="12" w16cid:durableId="33118268">
    <w:abstractNumId w:val="5"/>
  </w:num>
  <w:num w:numId="13" w16cid:durableId="642387752">
    <w:abstractNumId w:val="4"/>
  </w:num>
  <w:num w:numId="14" w16cid:durableId="2083486119">
    <w:abstractNumId w:val="16"/>
  </w:num>
  <w:num w:numId="15" w16cid:durableId="44960342">
    <w:abstractNumId w:val="16"/>
  </w:num>
  <w:num w:numId="16" w16cid:durableId="2068333198">
    <w:abstractNumId w:val="16"/>
  </w:num>
  <w:num w:numId="17" w16cid:durableId="1062365902">
    <w:abstractNumId w:val="14"/>
  </w:num>
  <w:num w:numId="18" w16cid:durableId="1595743949">
    <w:abstractNumId w:val="13"/>
  </w:num>
  <w:num w:numId="19" w16cid:durableId="1270116276">
    <w:abstractNumId w:val="15"/>
  </w:num>
  <w:num w:numId="20" w16cid:durableId="18749286">
    <w:abstractNumId w:val="10"/>
  </w:num>
  <w:num w:numId="21" w16cid:durableId="1209151763">
    <w:abstractNumId w:val="11"/>
  </w:num>
  <w:num w:numId="22" w16cid:durableId="1157841759">
    <w:abstractNumId w:val="12"/>
  </w:num>
  <w:num w:numId="23" w16cid:durableId="8905052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NBChoix" w:val="3"/>
    <w:docVar w:name="MotifJuge1" w:val="MOTIFS DU JUGE"/>
    <w:docVar w:name="MotifJuge2" w:val="MOTIFS DU JUGE"/>
    <w:docVar w:name="MotifJuge3" w:val="MOTIFS DU JUGE"/>
    <w:docVar w:name="NomFamJuge1" w:val="SCHRAGER"/>
    <w:docVar w:name="NomFamJuge2" w:val="MOORE"/>
    <w:docVar w:name="NomFamJuge3" w:val="KALICHMAN"/>
    <w:docVar w:name="NomFamJuge4" w:val="MAILHOT"/>
    <w:docVar w:name="NomFamJuge5" w:val="BAUDOUIN"/>
    <w:docVar w:name="QteJuge1" w:val=", J.C.A."/>
    <w:docVar w:name="QteJuge2" w:val=", J.C.A."/>
    <w:docVar w:name="QteJuge3" w:val=", J.C.A."/>
    <w:docVar w:name="stPremiereFois" w:val="Non"/>
  </w:docVars>
  <w:rsids>
    <w:rsidRoot w:val="00A80F26"/>
    <w:rsid w:val="0001270B"/>
    <w:rsid w:val="00023539"/>
    <w:rsid w:val="00050B13"/>
    <w:rsid w:val="0005231D"/>
    <w:rsid w:val="00063A97"/>
    <w:rsid w:val="00076A66"/>
    <w:rsid w:val="000B6D7A"/>
    <w:rsid w:val="000D4E70"/>
    <w:rsid w:val="000D7770"/>
    <w:rsid w:val="000D78DB"/>
    <w:rsid w:val="000E263F"/>
    <w:rsid w:val="000F56F9"/>
    <w:rsid w:val="00101ACD"/>
    <w:rsid w:val="00151F12"/>
    <w:rsid w:val="0018369C"/>
    <w:rsid w:val="00191573"/>
    <w:rsid w:val="00191DBD"/>
    <w:rsid w:val="001920A9"/>
    <w:rsid w:val="00193596"/>
    <w:rsid w:val="001A4E92"/>
    <w:rsid w:val="001B2D75"/>
    <w:rsid w:val="0022024D"/>
    <w:rsid w:val="00252165"/>
    <w:rsid w:val="0026010D"/>
    <w:rsid w:val="00262B5B"/>
    <w:rsid w:val="0029364B"/>
    <w:rsid w:val="00293AC0"/>
    <w:rsid w:val="002A2720"/>
    <w:rsid w:val="002A6087"/>
    <w:rsid w:val="002A64AE"/>
    <w:rsid w:val="002E3B41"/>
    <w:rsid w:val="002F1FBB"/>
    <w:rsid w:val="00345D6C"/>
    <w:rsid w:val="00360D2F"/>
    <w:rsid w:val="00362CEE"/>
    <w:rsid w:val="003812F1"/>
    <w:rsid w:val="003B6EB8"/>
    <w:rsid w:val="003D79D9"/>
    <w:rsid w:val="003E2828"/>
    <w:rsid w:val="00404E89"/>
    <w:rsid w:val="00424F16"/>
    <w:rsid w:val="0043357A"/>
    <w:rsid w:val="00450BD2"/>
    <w:rsid w:val="00454CED"/>
    <w:rsid w:val="00471DF0"/>
    <w:rsid w:val="00487339"/>
    <w:rsid w:val="004A070D"/>
    <w:rsid w:val="004A1C8E"/>
    <w:rsid w:val="004C4C1F"/>
    <w:rsid w:val="004E3E33"/>
    <w:rsid w:val="004F0794"/>
    <w:rsid w:val="005005C4"/>
    <w:rsid w:val="00506C76"/>
    <w:rsid w:val="005242E3"/>
    <w:rsid w:val="005715C4"/>
    <w:rsid w:val="0058505D"/>
    <w:rsid w:val="00587A70"/>
    <w:rsid w:val="005A2D55"/>
    <w:rsid w:val="00617435"/>
    <w:rsid w:val="00630719"/>
    <w:rsid w:val="00644683"/>
    <w:rsid w:val="006478CB"/>
    <w:rsid w:val="006714B1"/>
    <w:rsid w:val="00675212"/>
    <w:rsid w:val="00675E1D"/>
    <w:rsid w:val="006B0E1C"/>
    <w:rsid w:val="006B7C84"/>
    <w:rsid w:val="006C2B89"/>
    <w:rsid w:val="0070602F"/>
    <w:rsid w:val="00716E11"/>
    <w:rsid w:val="00725B1F"/>
    <w:rsid w:val="00753C58"/>
    <w:rsid w:val="00756D60"/>
    <w:rsid w:val="007A31C2"/>
    <w:rsid w:val="007B187C"/>
    <w:rsid w:val="007C168C"/>
    <w:rsid w:val="007D68E3"/>
    <w:rsid w:val="007E44E9"/>
    <w:rsid w:val="00803DCE"/>
    <w:rsid w:val="00810338"/>
    <w:rsid w:val="00812472"/>
    <w:rsid w:val="00820D4E"/>
    <w:rsid w:val="00864FFB"/>
    <w:rsid w:val="00872CD6"/>
    <w:rsid w:val="0089295A"/>
    <w:rsid w:val="008A5565"/>
    <w:rsid w:val="008B32E0"/>
    <w:rsid w:val="008B5763"/>
    <w:rsid w:val="008F76B4"/>
    <w:rsid w:val="00907DFC"/>
    <w:rsid w:val="0094197D"/>
    <w:rsid w:val="00953AE1"/>
    <w:rsid w:val="0095561C"/>
    <w:rsid w:val="00961F3D"/>
    <w:rsid w:val="009737F8"/>
    <w:rsid w:val="00987173"/>
    <w:rsid w:val="009A3DBB"/>
    <w:rsid w:val="009A4CBD"/>
    <w:rsid w:val="009C0054"/>
    <w:rsid w:val="009C2C61"/>
    <w:rsid w:val="009D4118"/>
    <w:rsid w:val="009E19D2"/>
    <w:rsid w:val="00A40B5D"/>
    <w:rsid w:val="00A4241D"/>
    <w:rsid w:val="00A435B6"/>
    <w:rsid w:val="00A60A83"/>
    <w:rsid w:val="00A80F26"/>
    <w:rsid w:val="00AA797D"/>
    <w:rsid w:val="00AC219E"/>
    <w:rsid w:val="00AF7290"/>
    <w:rsid w:val="00B03997"/>
    <w:rsid w:val="00B05760"/>
    <w:rsid w:val="00B43CB4"/>
    <w:rsid w:val="00B549A5"/>
    <w:rsid w:val="00B62BCF"/>
    <w:rsid w:val="00B75AE0"/>
    <w:rsid w:val="00B90C64"/>
    <w:rsid w:val="00B91364"/>
    <w:rsid w:val="00B91DC5"/>
    <w:rsid w:val="00BA6F37"/>
    <w:rsid w:val="00BD0DBA"/>
    <w:rsid w:val="00BF26CA"/>
    <w:rsid w:val="00BF7F59"/>
    <w:rsid w:val="00C60885"/>
    <w:rsid w:val="00C66AF6"/>
    <w:rsid w:val="00CA03F7"/>
    <w:rsid w:val="00CC12A5"/>
    <w:rsid w:val="00CC2EDD"/>
    <w:rsid w:val="00CD62B3"/>
    <w:rsid w:val="00CE45D1"/>
    <w:rsid w:val="00D00364"/>
    <w:rsid w:val="00D05F07"/>
    <w:rsid w:val="00D270C0"/>
    <w:rsid w:val="00D274F2"/>
    <w:rsid w:val="00D62D35"/>
    <w:rsid w:val="00D70DB0"/>
    <w:rsid w:val="00D73EEC"/>
    <w:rsid w:val="00D82D12"/>
    <w:rsid w:val="00D86675"/>
    <w:rsid w:val="00DA1DF0"/>
    <w:rsid w:val="00DC2523"/>
    <w:rsid w:val="00DD2683"/>
    <w:rsid w:val="00DE0E20"/>
    <w:rsid w:val="00DE2D8E"/>
    <w:rsid w:val="00E06171"/>
    <w:rsid w:val="00E155FD"/>
    <w:rsid w:val="00E22649"/>
    <w:rsid w:val="00E30D1A"/>
    <w:rsid w:val="00E57D6D"/>
    <w:rsid w:val="00E87255"/>
    <w:rsid w:val="00E947B7"/>
    <w:rsid w:val="00EB10A1"/>
    <w:rsid w:val="00EC094D"/>
    <w:rsid w:val="00EE62CD"/>
    <w:rsid w:val="00EE79DA"/>
    <w:rsid w:val="00F40BEE"/>
    <w:rsid w:val="00F4277D"/>
    <w:rsid w:val="00F47C29"/>
    <w:rsid w:val="00F5512C"/>
    <w:rsid w:val="00F65277"/>
    <w:rsid w:val="00F72125"/>
    <w:rsid w:val="00F85F9C"/>
    <w:rsid w:val="00F95F4E"/>
    <w:rsid w:val="00FA1C95"/>
    <w:rsid w:val="00FC0492"/>
    <w:rsid w:val="00FD070C"/>
    <w:rsid w:val="00FD0EC4"/>
    <w:rsid w:val="00FE2C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4D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rsid w:val="000A17B1"/>
    <w:pPr>
      <w:keepNext/>
      <w:numPr>
        <w:numId w:val="21"/>
      </w:numPr>
      <w:spacing w:before="240" w:after="60" w:line="500" w:lineRule="exact"/>
      <w:ind w:hanging="720"/>
      <w:outlineLvl w:val="0"/>
    </w:pPr>
    <w:rPr>
      <w:b/>
      <w:kern w:val="28"/>
      <w:sz w:val="28"/>
    </w:rPr>
  </w:style>
  <w:style w:type="paragraph" w:styleId="Titre2">
    <w:name w:val="heading 2"/>
    <w:basedOn w:val="Normal"/>
    <w:next w:val="Normal"/>
    <w:qFormat/>
    <w:rsid w:val="00484D54"/>
    <w:pPr>
      <w:keepNext/>
      <w:numPr>
        <w:numId w:val="22"/>
      </w:numPr>
      <w:spacing w:before="240" w:after="60"/>
      <w:jc w:val="both"/>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fn"/>
    <w:basedOn w:val="Normal"/>
    <w:link w:val="NotedebasdepageCar"/>
    <w:uiPriority w:val="99"/>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paragraph" w:customStyle="1" w:styleId="Tiret">
    <w:name w:val="Tiret"/>
    <w:basedOn w:val="Paragraphe"/>
    <w:rsid w:val="00F16AE6"/>
    <w:pPr>
      <w:numPr>
        <w:numId w:val="19"/>
      </w:numPr>
      <w:tabs>
        <w:tab w:val="clear" w:pos="1080"/>
      </w:tabs>
      <w:spacing w:before="60" w:after="60" w:line="360" w:lineRule="auto"/>
      <w:ind w:left="1134" w:hanging="414"/>
    </w:pPr>
  </w:style>
  <w:style w:type="character" w:customStyle="1" w:styleId="NotedebasdepageCar">
    <w:name w:val="Note de bas de page Car"/>
    <w:aliases w:val="fn Car"/>
    <w:basedOn w:val="Policepardfaut"/>
    <w:link w:val="Notedebasdepage"/>
    <w:uiPriority w:val="99"/>
    <w:rsid w:val="000A17B1"/>
    <w:rPr>
      <w:rFonts w:ascii="Arial" w:hAnsi="Arial"/>
      <w:lang w:eastAsia="fr-FR"/>
    </w:rPr>
  </w:style>
  <w:style w:type="character" w:customStyle="1" w:styleId="ParagrapheCar">
    <w:name w:val="Paragraphe Car"/>
    <w:link w:val="Paragraphe"/>
    <w:qFormat/>
    <w:rsid w:val="000A17B1"/>
    <w:rPr>
      <w:rFonts w:ascii="Arial" w:hAnsi="Arial"/>
      <w:kern w:val="28"/>
      <w:sz w:val="24"/>
      <w:lang w:eastAsia="fr-FR"/>
    </w:rPr>
  </w:style>
  <w:style w:type="character" w:styleId="Hyperlien">
    <w:name w:val="Hyperlink"/>
    <w:uiPriority w:val="99"/>
    <w:rsid w:val="008E4790"/>
    <w:rPr>
      <w:noProof w:val="0"/>
      <w:color w:val="0000FF"/>
      <w:u w:val="single"/>
      <w:lang w:val="fr-CA"/>
    </w:rPr>
  </w:style>
  <w:style w:type="paragraph" w:customStyle="1" w:styleId="paragrdouble">
    <w:name w:val="paragrdouble"/>
    <w:basedOn w:val="Normal"/>
    <w:rsid w:val="00961A51"/>
    <w:pPr>
      <w:spacing w:before="100" w:beforeAutospacing="1" w:after="100" w:afterAutospacing="1" w:line="240" w:lineRule="auto"/>
    </w:pPr>
    <w:rPr>
      <w:rFonts w:ascii="Times New Roman" w:hAnsi="Times New Roman"/>
      <w:szCs w:val="24"/>
      <w:lang w:eastAsia="fr-CA"/>
    </w:rPr>
  </w:style>
  <w:style w:type="paragraph" w:customStyle="1" w:styleId="reasonsnumberedparagraph">
    <w:name w:val="reasonsnumberedparagraph"/>
    <w:basedOn w:val="Normal"/>
    <w:rsid w:val="009709B8"/>
    <w:pPr>
      <w:spacing w:before="100" w:beforeAutospacing="1" w:after="100" w:afterAutospacing="1" w:line="240" w:lineRule="auto"/>
    </w:pPr>
    <w:rPr>
      <w:rFonts w:ascii="Times New Roman" w:hAnsi="Times New Roman"/>
      <w:szCs w:val="24"/>
      <w:lang w:eastAsia="fr-CA"/>
    </w:rPr>
  </w:style>
  <w:style w:type="character" w:styleId="Lienvisit">
    <w:name w:val="FollowedHyperlink"/>
    <w:basedOn w:val="Policepardfaut"/>
    <w:uiPriority w:val="99"/>
    <w:semiHidden/>
    <w:unhideWhenUsed/>
    <w:rsid w:val="00DD6D22"/>
    <w:rPr>
      <w:color w:val="954F72" w:themeColor="followedHyperlink"/>
      <w:u w:val="single"/>
    </w:rPr>
  </w:style>
  <w:style w:type="character" w:styleId="Marquedecommentaire">
    <w:name w:val="annotation reference"/>
    <w:basedOn w:val="Policepardfaut"/>
    <w:uiPriority w:val="99"/>
    <w:semiHidden/>
    <w:unhideWhenUsed/>
    <w:rsid w:val="001E60A1"/>
    <w:rPr>
      <w:sz w:val="16"/>
      <w:szCs w:val="16"/>
    </w:rPr>
  </w:style>
  <w:style w:type="paragraph" w:styleId="Commentaire">
    <w:name w:val="annotation text"/>
    <w:basedOn w:val="Normal"/>
    <w:link w:val="CommentaireCar"/>
    <w:uiPriority w:val="99"/>
    <w:semiHidden/>
    <w:unhideWhenUsed/>
    <w:rsid w:val="001E60A1"/>
    <w:pPr>
      <w:spacing w:line="240" w:lineRule="auto"/>
    </w:pPr>
    <w:rPr>
      <w:sz w:val="20"/>
    </w:rPr>
  </w:style>
  <w:style w:type="character" w:customStyle="1" w:styleId="CommentaireCar">
    <w:name w:val="Commentaire Car"/>
    <w:basedOn w:val="Policepardfaut"/>
    <w:link w:val="Commentaire"/>
    <w:uiPriority w:val="99"/>
    <w:semiHidden/>
    <w:rsid w:val="001E60A1"/>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1E60A1"/>
    <w:rPr>
      <w:b/>
      <w:bCs/>
    </w:rPr>
  </w:style>
  <w:style w:type="character" w:customStyle="1" w:styleId="ObjetducommentaireCar">
    <w:name w:val="Objet du commentaire Car"/>
    <w:basedOn w:val="CommentaireCar"/>
    <w:link w:val="Objetducommentaire"/>
    <w:uiPriority w:val="99"/>
    <w:semiHidden/>
    <w:rsid w:val="001E60A1"/>
    <w:rPr>
      <w:rFonts w:ascii="Arial" w:hAnsi="Arial"/>
      <w:b/>
      <w:bCs/>
      <w:lang w:eastAsia="fr-FR"/>
    </w:rPr>
  </w:style>
  <w:style w:type="paragraph" w:styleId="Rvision">
    <w:name w:val="Revision"/>
    <w:hidden/>
    <w:uiPriority w:val="99"/>
    <w:semiHidden/>
    <w:rsid w:val="00AC219E"/>
    <w:rPr>
      <w:rFonts w:ascii="Arial" w:hAnsi="Arial"/>
      <w:sz w:val="24"/>
      <w:lang w:eastAsia="fr-FR"/>
    </w:rPr>
  </w:style>
  <w:style w:type="character" w:styleId="Mentionnonrsolue">
    <w:name w:val="Unresolved Mention"/>
    <w:basedOn w:val="Policepardfaut"/>
    <w:uiPriority w:val="99"/>
    <w:rsid w:val="00D2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319B-626E-43E6-B1E3-82EBB2EE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4863</Words>
  <Characters>26752</Characters>
  <Application>Microsoft Office Word</Application>
  <DocSecurity>0</DocSecurity>
  <Lines>222</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2023-05-05T12:46:00Z</dcterms:created>
  <dcterms:modified xsi:type="dcterms:W3CDTF">2023-05-05T16:53:00Z</dcterms:modified>
</cp:coreProperties>
</file>