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8268" w14:textId="45C8FD40" w:rsidR="00705A19" w:rsidRPr="008675A9" w:rsidRDefault="00705A19" w:rsidP="00705A19">
      <w:pPr>
        <w:rPr>
          <w:lang w:val="en-CA"/>
        </w:rPr>
      </w:pPr>
      <w:r w:rsidRPr="008675A9">
        <w:rPr>
          <w:lang w:val="en-CA"/>
        </w:rPr>
        <w:t xml:space="preserve">Unofficial English </w:t>
      </w:r>
      <w:r w:rsidR="00FC7393">
        <w:rPr>
          <w:lang w:val="en-CA"/>
        </w:rPr>
        <w:t>T</w:t>
      </w:r>
      <w:r w:rsidRPr="008675A9">
        <w:rPr>
          <w:lang w:val="en-CA"/>
        </w:rPr>
        <w:t xml:space="preserve">ranslation of the </w:t>
      </w:r>
      <w:r w:rsidR="00FC7393">
        <w:rPr>
          <w:lang w:val="en-CA"/>
        </w:rPr>
        <w:t>J</w:t>
      </w:r>
      <w:r w:rsidRPr="008675A9">
        <w:rPr>
          <w:lang w:val="en-CA"/>
        </w:rPr>
        <w:t xml:space="preserve">udgment of the Court </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720AD1" w:rsidRPr="008675A9" w14:paraId="25DC5054" w14:textId="5BF5C3CB" w:rsidTr="001516A0">
        <w:trPr>
          <w:trHeight w:val="248"/>
        </w:trPr>
        <w:tc>
          <w:tcPr>
            <w:tcW w:w="7372" w:type="dxa"/>
            <w:gridSpan w:val="5"/>
          </w:tcPr>
          <w:p w14:paraId="12CD67B5" w14:textId="5B6156D9" w:rsidR="008F364A" w:rsidRPr="00152D35" w:rsidRDefault="00BD41E7" w:rsidP="00360E3A">
            <w:pPr>
              <w:pStyle w:val="zSoquijdatRepertorie"/>
              <w:rPr>
                <w:rFonts w:cs="Arial"/>
              </w:rPr>
            </w:pPr>
            <w:proofErr w:type="spellStart"/>
            <w:r w:rsidRPr="00152D35">
              <w:rPr>
                <w:rFonts w:cs="Arial"/>
              </w:rPr>
              <w:t>Bricka</w:t>
            </w:r>
            <w:proofErr w:type="spellEnd"/>
            <w:r w:rsidRPr="00152D35">
              <w:rPr>
                <w:rFonts w:cs="Arial"/>
              </w:rPr>
              <w:t xml:space="preserve"> c. Procureur général du Québec</w:t>
            </w:r>
          </w:p>
        </w:tc>
        <w:tc>
          <w:tcPr>
            <w:tcW w:w="1988" w:type="dxa"/>
          </w:tcPr>
          <w:p w14:paraId="6D10500F" w14:textId="7BB14D77" w:rsidR="008F364A" w:rsidRPr="00AB5ACC" w:rsidRDefault="00BD41E7" w:rsidP="002818B2">
            <w:pPr>
              <w:pStyle w:val="zSoquijdatRefNeutre"/>
              <w:jc w:val="right"/>
              <w:rPr>
                <w:rFonts w:cs="Arial"/>
                <w:lang w:val="en-CA"/>
              </w:rPr>
            </w:pPr>
            <w:r w:rsidRPr="00AB5ACC">
              <w:rPr>
                <w:rFonts w:cs="Arial"/>
                <w:lang w:val="en-CA"/>
              </w:rPr>
              <w:t>2022 QCCA 85</w:t>
            </w:r>
          </w:p>
        </w:tc>
      </w:tr>
      <w:tr w:rsidR="00720AD1" w:rsidRPr="008675A9" w14:paraId="47B01B03" w14:textId="77777777" w:rsidTr="001516A0">
        <w:trPr>
          <w:trHeight w:val="247"/>
        </w:trPr>
        <w:tc>
          <w:tcPr>
            <w:tcW w:w="9360" w:type="dxa"/>
            <w:gridSpan w:val="6"/>
          </w:tcPr>
          <w:p w14:paraId="10026A2E" w14:textId="490AFC71" w:rsidR="008F364A" w:rsidRPr="008675A9" w:rsidRDefault="00705A19">
            <w:pPr>
              <w:pStyle w:val="zSoquijlblCour"/>
              <w:rPr>
                <w:lang w:val="en-CA"/>
              </w:rPr>
            </w:pPr>
            <w:r w:rsidRPr="00AB5ACC">
              <w:rPr>
                <w:lang w:val="en-CA"/>
              </w:rPr>
              <w:t>COURT OF APPEAL</w:t>
            </w:r>
          </w:p>
        </w:tc>
      </w:tr>
      <w:tr w:rsidR="00720AD1" w:rsidRPr="008675A9" w14:paraId="5945195B" w14:textId="77777777" w:rsidTr="001516A0">
        <w:trPr>
          <w:trHeight w:val="540"/>
        </w:trPr>
        <w:tc>
          <w:tcPr>
            <w:tcW w:w="9360" w:type="dxa"/>
            <w:gridSpan w:val="6"/>
          </w:tcPr>
          <w:p w14:paraId="4A0913B0" w14:textId="77777777" w:rsidR="008F364A" w:rsidRPr="008675A9" w:rsidRDefault="00EB60E0">
            <w:pPr>
              <w:pStyle w:val="zSoquijdatDivision"/>
              <w:rPr>
                <w:lang w:val="en-CA"/>
              </w:rPr>
            </w:pPr>
          </w:p>
        </w:tc>
      </w:tr>
      <w:tr w:rsidR="00720AD1" w:rsidRPr="008675A9" w14:paraId="288C40F2" w14:textId="77777777" w:rsidTr="001516A0">
        <w:tc>
          <w:tcPr>
            <w:tcW w:w="9360" w:type="dxa"/>
            <w:gridSpan w:val="6"/>
          </w:tcPr>
          <w:p w14:paraId="4AEAB0C5" w14:textId="77777777" w:rsidR="008F364A" w:rsidRPr="00AB5ACC" w:rsidRDefault="00BD41E7">
            <w:pPr>
              <w:pStyle w:val="zSoquijlblPays"/>
              <w:rPr>
                <w:lang w:val="en-CA"/>
              </w:rPr>
            </w:pPr>
            <w:r w:rsidRPr="00AB5ACC">
              <w:rPr>
                <w:lang w:val="en-CA"/>
              </w:rPr>
              <w:t>CANADA</w:t>
            </w:r>
          </w:p>
        </w:tc>
      </w:tr>
      <w:tr w:rsidR="00720AD1" w:rsidRPr="008675A9" w14:paraId="6620D8A1" w14:textId="77777777" w:rsidTr="001516A0">
        <w:tc>
          <w:tcPr>
            <w:tcW w:w="9360" w:type="dxa"/>
            <w:gridSpan w:val="6"/>
          </w:tcPr>
          <w:p w14:paraId="27A4536A" w14:textId="5CDAA3CA" w:rsidR="008F364A" w:rsidRPr="008675A9" w:rsidRDefault="00705A19">
            <w:pPr>
              <w:pStyle w:val="zSoquijlblProvince"/>
              <w:rPr>
                <w:lang w:val="en-CA"/>
              </w:rPr>
            </w:pPr>
            <w:r w:rsidRPr="00AB5ACC">
              <w:rPr>
                <w:lang w:val="en-CA"/>
              </w:rPr>
              <w:t>PROVINCE OF QUEBEC</w:t>
            </w:r>
          </w:p>
        </w:tc>
      </w:tr>
      <w:tr w:rsidR="00720AD1" w:rsidRPr="008675A9" w14:paraId="786E6B97" w14:textId="77777777" w:rsidTr="00705A19">
        <w:tc>
          <w:tcPr>
            <w:tcW w:w="1701" w:type="dxa"/>
            <w:gridSpan w:val="3"/>
          </w:tcPr>
          <w:p w14:paraId="15239180" w14:textId="50299111" w:rsidR="008F364A" w:rsidRPr="00AB5ACC" w:rsidRDefault="00705A19">
            <w:pPr>
              <w:pStyle w:val="zSoquijlblGreffe"/>
              <w:rPr>
                <w:lang w:val="en-CA"/>
              </w:rPr>
            </w:pPr>
            <w:r w:rsidRPr="00AB5ACC">
              <w:rPr>
                <w:lang w:val="en-CA"/>
              </w:rPr>
              <w:t>REGISTRY OF</w:t>
            </w:r>
          </w:p>
          <w:p w14:paraId="10919C64" w14:textId="77777777" w:rsidR="008F364A" w:rsidRPr="008675A9" w:rsidRDefault="00EB60E0">
            <w:pPr>
              <w:pStyle w:val="zSoquijlblGreffe"/>
              <w:rPr>
                <w:lang w:val="en-CA"/>
              </w:rPr>
            </w:pPr>
          </w:p>
        </w:tc>
        <w:tc>
          <w:tcPr>
            <w:tcW w:w="7659" w:type="dxa"/>
            <w:gridSpan w:val="3"/>
          </w:tcPr>
          <w:p w14:paraId="3D296758" w14:textId="09EF0151" w:rsidR="008F364A" w:rsidRPr="00AB5ACC" w:rsidRDefault="00705A19">
            <w:pPr>
              <w:pStyle w:val="zSoquijdatGreffe"/>
              <w:rPr>
                <w:lang w:val="en-CA"/>
              </w:rPr>
            </w:pPr>
            <w:r w:rsidRPr="00AB5ACC">
              <w:rPr>
                <w:lang w:val="en-CA"/>
              </w:rPr>
              <w:t>MONTREAL</w:t>
            </w:r>
          </w:p>
        </w:tc>
      </w:tr>
      <w:tr w:rsidR="00720AD1" w:rsidRPr="008675A9" w14:paraId="608C9292" w14:textId="77777777" w:rsidTr="001516A0">
        <w:tc>
          <w:tcPr>
            <w:tcW w:w="1030" w:type="dxa"/>
          </w:tcPr>
          <w:p w14:paraId="3F226AC7" w14:textId="3CB30982" w:rsidR="008F364A" w:rsidRPr="00AB5ACC" w:rsidRDefault="00705A19">
            <w:pPr>
              <w:pStyle w:val="zSoquijlblNoDossier"/>
              <w:rPr>
                <w:lang w:val="en-CA"/>
              </w:rPr>
            </w:pPr>
            <w:r w:rsidRPr="00AB5ACC">
              <w:rPr>
                <w:lang w:val="en-CA"/>
              </w:rPr>
              <w:t>No.:</w:t>
            </w:r>
          </w:p>
        </w:tc>
        <w:tc>
          <w:tcPr>
            <w:tcW w:w="8330" w:type="dxa"/>
            <w:gridSpan w:val="5"/>
          </w:tcPr>
          <w:p w14:paraId="266735ED" w14:textId="77777777" w:rsidR="008F364A" w:rsidRPr="008675A9" w:rsidRDefault="00BD41E7">
            <w:pPr>
              <w:pStyle w:val="zSoquijdatNoDossier"/>
              <w:rPr>
                <w:lang w:val="en-CA"/>
              </w:rPr>
            </w:pPr>
            <w:bookmarkStart w:id="0" w:name="NoDossier"/>
            <w:r w:rsidRPr="008675A9">
              <w:rPr>
                <w:lang w:val="en-CA"/>
              </w:rPr>
              <w:t>500-09-029500-212</w:t>
            </w:r>
            <w:bookmarkEnd w:id="0"/>
          </w:p>
        </w:tc>
      </w:tr>
      <w:tr w:rsidR="00720AD1" w:rsidRPr="008675A9" w14:paraId="2742475B" w14:textId="77777777" w:rsidTr="001516A0">
        <w:tc>
          <w:tcPr>
            <w:tcW w:w="9360" w:type="dxa"/>
            <w:gridSpan w:val="6"/>
          </w:tcPr>
          <w:p w14:paraId="0BDFE434" w14:textId="77777777" w:rsidR="00DE4F14" w:rsidRPr="008675A9" w:rsidRDefault="00BD41E7" w:rsidP="00DE4F14">
            <w:pPr>
              <w:pStyle w:val="zSoquijdatNoDossierAnt"/>
              <w:rPr>
                <w:lang w:val="en-CA"/>
              </w:rPr>
            </w:pPr>
            <w:r w:rsidRPr="008675A9">
              <w:rPr>
                <w:lang w:val="en-CA"/>
              </w:rPr>
              <w:t>(505-17-012101-202)</w:t>
            </w:r>
          </w:p>
        </w:tc>
      </w:tr>
      <w:tr w:rsidR="00720AD1" w:rsidRPr="008675A9" w14:paraId="1769D0C1" w14:textId="77777777" w:rsidTr="001516A0">
        <w:tc>
          <w:tcPr>
            <w:tcW w:w="9360" w:type="dxa"/>
            <w:gridSpan w:val="6"/>
          </w:tcPr>
          <w:p w14:paraId="34B824D5" w14:textId="77777777" w:rsidR="008F364A" w:rsidRPr="008675A9" w:rsidRDefault="00EB60E0">
            <w:pPr>
              <w:rPr>
                <w:lang w:val="en-CA"/>
              </w:rPr>
            </w:pPr>
          </w:p>
        </w:tc>
      </w:tr>
      <w:tr w:rsidR="00720AD1" w:rsidRPr="008675A9" w14:paraId="316AD2C8" w14:textId="77777777" w:rsidTr="001516A0">
        <w:tc>
          <w:tcPr>
            <w:tcW w:w="1030" w:type="dxa"/>
          </w:tcPr>
          <w:p w14:paraId="517A39A1" w14:textId="4FA62FB8" w:rsidR="008F364A" w:rsidRPr="00AB5ACC" w:rsidRDefault="00705A19">
            <w:pPr>
              <w:pStyle w:val="zSoquijlblDateJugement"/>
              <w:rPr>
                <w:lang w:val="en-CA"/>
              </w:rPr>
            </w:pPr>
            <w:r w:rsidRPr="00AB5ACC">
              <w:rPr>
                <w:lang w:val="en-CA"/>
              </w:rPr>
              <w:t>DATE:</w:t>
            </w:r>
          </w:p>
        </w:tc>
        <w:tc>
          <w:tcPr>
            <w:tcW w:w="8330" w:type="dxa"/>
            <w:gridSpan w:val="5"/>
          </w:tcPr>
          <w:p w14:paraId="5901B432" w14:textId="435CD623" w:rsidR="008F364A" w:rsidRPr="00AB5ACC" w:rsidRDefault="00705A19" w:rsidP="002C4624">
            <w:pPr>
              <w:pStyle w:val="zSoquijdatDateJugement"/>
              <w:rPr>
                <w:lang w:val="en-CA"/>
              </w:rPr>
            </w:pPr>
            <w:r w:rsidRPr="00AB5ACC">
              <w:rPr>
                <w:lang w:val="en-CA"/>
              </w:rPr>
              <w:t>January 21, 2022</w:t>
            </w:r>
          </w:p>
        </w:tc>
      </w:tr>
      <w:tr w:rsidR="00720AD1" w:rsidRPr="008675A9" w14:paraId="2CCBA56C" w14:textId="77777777" w:rsidTr="001516A0">
        <w:tc>
          <w:tcPr>
            <w:tcW w:w="9360" w:type="dxa"/>
            <w:gridSpan w:val="6"/>
            <w:tcBorders>
              <w:bottom w:val="single" w:sz="8" w:space="0" w:color="auto"/>
            </w:tcBorders>
          </w:tcPr>
          <w:p w14:paraId="6A251CB8" w14:textId="77777777" w:rsidR="008F364A" w:rsidRPr="008675A9" w:rsidRDefault="00EB60E0">
            <w:pPr>
              <w:rPr>
                <w:lang w:val="en-CA"/>
              </w:rPr>
            </w:pPr>
          </w:p>
        </w:tc>
      </w:tr>
      <w:tr w:rsidR="00720AD1" w:rsidRPr="008675A9" w14:paraId="61BBF2B0" w14:textId="77777777" w:rsidTr="001516A0">
        <w:tc>
          <w:tcPr>
            <w:tcW w:w="9360" w:type="dxa"/>
            <w:gridSpan w:val="6"/>
            <w:tcBorders>
              <w:top w:val="single" w:sz="8" w:space="0" w:color="auto"/>
            </w:tcBorders>
          </w:tcPr>
          <w:p w14:paraId="1B95ED43" w14:textId="77777777" w:rsidR="008F364A" w:rsidRPr="008675A9" w:rsidRDefault="00EB60E0">
            <w:pPr>
              <w:rPr>
                <w:lang w:val="en-CA"/>
              </w:rPr>
            </w:pPr>
          </w:p>
        </w:tc>
      </w:tr>
      <w:tr w:rsidR="00720AD1" w:rsidRPr="008675A9" w14:paraId="14E208A0" w14:textId="77777777" w:rsidTr="001516A0">
        <w:tc>
          <w:tcPr>
            <w:tcW w:w="1620" w:type="dxa"/>
            <w:gridSpan w:val="2"/>
          </w:tcPr>
          <w:p w14:paraId="025A317E" w14:textId="358355A6" w:rsidR="008F364A" w:rsidRPr="00AB5ACC" w:rsidRDefault="00705A19" w:rsidP="00423DF1">
            <w:pPr>
              <w:pStyle w:val="zSoquijlblJuge"/>
              <w:ind w:right="-142"/>
              <w:rPr>
                <w:lang w:val="en-CA"/>
              </w:rPr>
            </w:pPr>
            <w:r w:rsidRPr="00AB5ACC">
              <w:rPr>
                <w:lang w:val="en-CA"/>
              </w:rPr>
              <w:t>CORAM:</w:t>
            </w:r>
          </w:p>
        </w:tc>
        <w:tc>
          <w:tcPr>
            <w:tcW w:w="2350" w:type="dxa"/>
            <w:gridSpan w:val="2"/>
          </w:tcPr>
          <w:p w14:paraId="5929634C" w14:textId="7797BCB8" w:rsidR="008F364A" w:rsidRPr="00AB5ACC" w:rsidRDefault="00705A19">
            <w:pPr>
              <w:pStyle w:val="zSoquijdatQteJuge"/>
              <w:rPr>
                <w:lang w:val="en-CA"/>
              </w:rPr>
            </w:pPr>
            <w:r w:rsidRPr="00AB5ACC">
              <w:rPr>
                <w:lang w:val="en-CA"/>
              </w:rPr>
              <w:t>THE HONOURABLE</w:t>
            </w:r>
          </w:p>
        </w:tc>
        <w:tc>
          <w:tcPr>
            <w:tcW w:w="5390" w:type="dxa"/>
            <w:gridSpan w:val="2"/>
          </w:tcPr>
          <w:p w14:paraId="23D3411E" w14:textId="2FBA7374" w:rsidR="008F364A" w:rsidRPr="00152D35" w:rsidRDefault="00705A19">
            <w:pPr>
              <w:pStyle w:val="zSoquijdatJuge"/>
            </w:pPr>
            <w:r w:rsidRPr="00152D35">
              <w:t>YVES-MARIE MORISSETTE, J.A.</w:t>
            </w:r>
          </w:p>
          <w:p w14:paraId="7A75D298" w14:textId="5D8EDC20" w:rsidR="008F364A" w:rsidRPr="00152D35" w:rsidRDefault="00705A19">
            <w:pPr>
              <w:pStyle w:val="zSoquijdatJuge"/>
            </w:pPr>
            <w:r w:rsidRPr="00152D35">
              <w:t>JULIE DUTIL J.A.</w:t>
            </w:r>
          </w:p>
          <w:p w14:paraId="151D01FD" w14:textId="2093B44B" w:rsidR="005A78BF" w:rsidRPr="00152D35" w:rsidRDefault="00705A19" w:rsidP="00DE4F14">
            <w:pPr>
              <w:pStyle w:val="zSoquijdatJuge"/>
            </w:pPr>
            <w:bookmarkStart w:id="1" w:name="_Hlt520513784"/>
            <w:bookmarkEnd w:id="1"/>
            <w:r w:rsidRPr="00152D35">
              <w:t>MARIE-JOSÉE HOGUE, J.A.</w:t>
            </w:r>
          </w:p>
        </w:tc>
      </w:tr>
      <w:tr w:rsidR="00720AD1" w:rsidRPr="008675A9" w14:paraId="283CD2D5" w14:textId="77777777" w:rsidTr="001516A0">
        <w:tc>
          <w:tcPr>
            <w:tcW w:w="9360" w:type="dxa"/>
            <w:gridSpan w:val="6"/>
            <w:tcBorders>
              <w:bottom w:val="single" w:sz="8" w:space="0" w:color="auto"/>
            </w:tcBorders>
          </w:tcPr>
          <w:p w14:paraId="3E71A111" w14:textId="77777777" w:rsidR="008F364A" w:rsidRPr="00152D35" w:rsidRDefault="00EB60E0"/>
        </w:tc>
      </w:tr>
      <w:tr w:rsidR="00720AD1" w:rsidRPr="008675A9" w14:paraId="49CF66A2" w14:textId="77777777" w:rsidTr="001516A0">
        <w:tc>
          <w:tcPr>
            <w:tcW w:w="9360" w:type="dxa"/>
            <w:gridSpan w:val="6"/>
          </w:tcPr>
          <w:p w14:paraId="4070FE0F" w14:textId="77777777" w:rsidR="008F364A" w:rsidRPr="00152D35" w:rsidRDefault="00EB60E0">
            <w:pPr>
              <w:pStyle w:val="zSoquijlblTitrePartie"/>
            </w:pPr>
          </w:p>
        </w:tc>
      </w:tr>
      <w:tr w:rsidR="00720AD1" w:rsidRPr="008675A9" w14:paraId="242A8943" w14:textId="77777777" w:rsidTr="001516A0">
        <w:tc>
          <w:tcPr>
            <w:tcW w:w="9360" w:type="dxa"/>
            <w:gridSpan w:val="6"/>
          </w:tcPr>
          <w:p w14:paraId="34A11EE2" w14:textId="77777777" w:rsidR="008F364A" w:rsidRPr="00AB5ACC" w:rsidRDefault="00BD41E7">
            <w:pPr>
              <w:pStyle w:val="zSoquijdatNomPartieDem"/>
              <w:rPr>
                <w:lang w:val="en-CA"/>
              </w:rPr>
            </w:pPr>
            <w:r w:rsidRPr="00AB5ACC">
              <w:rPr>
                <w:lang w:val="en-CA"/>
              </w:rPr>
              <w:t>STANISLAS BRICKA</w:t>
            </w:r>
          </w:p>
        </w:tc>
      </w:tr>
      <w:tr w:rsidR="00720AD1" w:rsidRPr="008675A9" w14:paraId="59CA5246" w14:textId="77777777" w:rsidTr="001516A0">
        <w:tc>
          <w:tcPr>
            <w:tcW w:w="9360" w:type="dxa"/>
            <w:gridSpan w:val="6"/>
          </w:tcPr>
          <w:p w14:paraId="0EE09BEB" w14:textId="6E201A50" w:rsidR="008F364A" w:rsidRPr="00AB5ACC" w:rsidRDefault="00705A19">
            <w:pPr>
              <w:pStyle w:val="zSoquijdatQtePartieDem"/>
              <w:rPr>
                <w:lang w:val="en-CA"/>
              </w:rPr>
            </w:pPr>
            <w:r w:rsidRPr="00AB5ACC">
              <w:rPr>
                <w:lang w:val="en-CA"/>
              </w:rPr>
              <w:t>APPELLANT – plaintiff</w:t>
            </w:r>
          </w:p>
        </w:tc>
      </w:tr>
      <w:tr w:rsidR="00720AD1" w:rsidRPr="008675A9" w14:paraId="75E3059B" w14:textId="77777777" w:rsidTr="001516A0">
        <w:tc>
          <w:tcPr>
            <w:tcW w:w="9360" w:type="dxa"/>
            <w:gridSpan w:val="6"/>
          </w:tcPr>
          <w:p w14:paraId="41C32158" w14:textId="38983B74" w:rsidR="008F364A" w:rsidRPr="008675A9" w:rsidRDefault="00705A19">
            <w:pPr>
              <w:pStyle w:val="zSoquijlblLienParties"/>
              <w:rPr>
                <w:lang w:val="en-CA"/>
              </w:rPr>
            </w:pPr>
            <w:r w:rsidRPr="00AB5ACC">
              <w:rPr>
                <w:lang w:val="en-CA"/>
              </w:rPr>
              <w:t>v.</w:t>
            </w:r>
          </w:p>
        </w:tc>
      </w:tr>
      <w:tr w:rsidR="00720AD1" w:rsidRPr="008675A9" w14:paraId="3C261A4D" w14:textId="77777777" w:rsidTr="001516A0">
        <w:tc>
          <w:tcPr>
            <w:tcW w:w="9360" w:type="dxa"/>
            <w:gridSpan w:val="6"/>
          </w:tcPr>
          <w:p w14:paraId="215B06F1" w14:textId="77777777" w:rsidR="008F364A" w:rsidRPr="008675A9" w:rsidRDefault="00EB60E0">
            <w:pPr>
              <w:rPr>
                <w:lang w:val="en-CA"/>
              </w:rPr>
            </w:pPr>
          </w:p>
        </w:tc>
      </w:tr>
      <w:tr w:rsidR="00720AD1" w:rsidRPr="008675A9" w14:paraId="52498492" w14:textId="77777777" w:rsidTr="001516A0">
        <w:tc>
          <w:tcPr>
            <w:tcW w:w="9360" w:type="dxa"/>
            <w:gridSpan w:val="6"/>
          </w:tcPr>
          <w:p w14:paraId="1CCBD225" w14:textId="4A3BCE66" w:rsidR="008F364A" w:rsidRPr="008675A9" w:rsidRDefault="00705A19">
            <w:pPr>
              <w:pStyle w:val="zSoquijdatNomPartieDef"/>
              <w:rPr>
                <w:lang w:val="en-CA"/>
              </w:rPr>
            </w:pPr>
            <w:r w:rsidRPr="00AB5ACC">
              <w:rPr>
                <w:lang w:val="en-CA"/>
              </w:rPr>
              <w:t>ATTORNEY GENERAL OF QUEBEC</w:t>
            </w:r>
          </w:p>
        </w:tc>
      </w:tr>
      <w:tr w:rsidR="00720AD1" w:rsidRPr="008675A9" w14:paraId="7E078EB9" w14:textId="77777777" w:rsidTr="001516A0">
        <w:tc>
          <w:tcPr>
            <w:tcW w:w="9360" w:type="dxa"/>
            <w:gridSpan w:val="6"/>
          </w:tcPr>
          <w:p w14:paraId="696FB88B" w14:textId="43309E5B" w:rsidR="008F364A" w:rsidRPr="00AB5ACC" w:rsidRDefault="00705A19">
            <w:pPr>
              <w:pStyle w:val="zSoquijdatQtePartieDef"/>
              <w:rPr>
                <w:lang w:val="en-CA"/>
              </w:rPr>
            </w:pPr>
            <w:r w:rsidRPr="00AB5ACC">
              <w:rPr>
                <w:lang w:val="en-CA"/>
              </w:rPr>
              <w:t>RESPONDENT – Defendant</w:t>
            </w:r>
          </w:p>
        </w:tc>
      </w:tr>
      <w:tr w:rsidR="00720AD1" w:rsidRPr="008675A9" w14:paraId="7EE2D84C" w14:textId="77777777" w:rsidTr="001516A0">
        <w:tc>
          <w:tcPr>
            <w:tcW w:w="9360" w:type="dxa"/>
            <w:gridSpan w:val="6"/>
          </w:tcPr>
          <w:p w14:paraId="02FB546F" w14:textId="77777777" w:rsidR="008F364A" w:rsidRPr="008675A9" w:rsidRDefault="00EB60E0">
            <w:pPr>
              <w:rPr>
                <w:lang w:val="en-CA"/>
              </w:rPr>
            </w:pPr>
          </w:p>
        </w:tc>
      </w:tr>
      <w:tr w:rsidR="00720AD1" w:rsidRPr="008675A9" w14:paraId="5430B918" w14:textId="77777777" w:rsidTr="001516A0">
        <w:tc>
          <w:tcPr>
            <w:tcW w:w="9360" w:type="dxa"/>
            <w:gridSpan w:val="6"/>
            <w:tcBorders>
              <w:top w:val="single" w:sz="8" w:space="0" w:color="auto"/>
            </w:tcBorders>
          </w:tcPr>
          <w:p w14:paraId="5F90E1BB" w14:textId="77777777" w:rsidR="008F364A" w:rsidRPr="008675A9" w:rsidRDefault="00EB60E0">
            <w:pPr>
              <w:rPr>
                <w:lang w:val="en-CA"/>
              </w:rPr>
            </w:pPr>
            <w:bookmarkStart w:id="2" w:name="Arret"/>
          </w:p>
        </w:tc>
      </w:tr>
      <w:tr w:rsidR="00720AD1" w:rsidRPr="008675A9" w14:paraId="7D702D01" w14:textId="77777777" w:rsidTr="001516A0">
        <w:tc>
          <w:tcPr>
            <w:tcW w:w="9360" w:type="dxa"/>
            <w:gridSpan w:val="6"/>
          </w:tcPr>
          <w:p w14:paraId="6C39B8B7" w14:textId="69676A77" w:rsidR="008F364A" w:rsidRPr="00AB5ACC" w:rsidRDefault="00705A19">
            <w:pPr>
              <w:pStyle w:val="zSoquijlblTypeDocument"/>
              <w:rPr>
                <w:lang w:val="en-CA"/>
              </w:rPr>
            </w:pPr>
            <w:r w:rsidRPr="00AB5ACC">
              <w:rPr>
                <w:lang w:val="en-CA"/>
              </w:rPr>
              <w:t>JUDGMENT</w:t>
            </w:r>
          </w:p>
        </w:tc>
      </w:tr>
      <w:tr w:rsidR="00720AD1" w:rsidRPr="008675A9" w14:paraId="4058D7C6" w14:textId="77777777" w:rsidTr="001516A0">
        <w:tc>
          <w:tcPr>
            <w:tcW w:w="9360" w:type="dxa"/>
            <w:gridSpan w:val="6"/>
            <w:tcBorders>
              <w:bottom w:val="single" w:sz="8" w:space="0" w:color="auto"/>
            </w:tcBorders>
          </w:tcPr>
          <w:p w14:paraId="537B6830" w14:textId="77777777" w:rsidR="008F364A" w:rsidRPr="008675A9" w:rsidRDefault="00EB60E0">
            <w:pPr>
              <w:rPr>
                <w:lang w:val="en-CA"/>
              </w:rPr>
            </w:pPr>
          </w:p>
        </w:tc>
      </w:tr>
      <w:tr w:rsidR="00720AD1" w:rsidRPr="008675A9" w14:paraId="4D07AC0F" w14:textId="77777777" w:rsidTr="001516A0">
        <w:tc>
          <w:tcPr>
            <w:tcW w:w="9360" w:type="dxa"/>
            <w:gridSpan w:val="6"/>
            <w:tcBorders>
              <w:top w:val="single" w:sz="8" w:space="0" w:color="auto"/>
            </w:tcBorders>
          </w:tcPr>
          <w:p w14:paraId="2B5A94B5" w14:textId="77777777" w:rsidR="001516A0" w:rsidRPr="008675A9" w:rsidRDefault="00EB60E0" w:rsidP="00147735">
            <w:pPr>
              <w:rPr>
                <w:lang w:val="en-CA"/>
              </w:rPr>
            </w:pPr>
          </w:p>
        </w:tc>
      </w:tr>
    </w:tbl>
    <w:p w14:paraId="3A60A027" w14:textId="4544D1A6" w:rsidR="001516A0" w:rsidRPr="008675A9" w:rsidRDefault="00705A19" w:rsidP="00043A62">
      <w:pPr>
        <w:pStyle w:val="Paragraphe"/>
        <w:spacing w:line="280" w:lineRule="exact"/>
        <w:rPr>
          <w:lang w:val="en-CA"/>
        </w:rPr>
      </w:pPr>
      <w:r w:rsidRPr="008675A9">
        <w:rPr>
          <w:lang w:val="en-CA"/>
        </w:rPr>
        <w:t xml:space="preserve">The appellant appeals against a judgment rendered on April 8, 2021, by the Superior Court, District of Montreal (the Honourable Brian Riordan), </w:t>
      </w:r>
      <w:r w:rsidR="0042713F" w:rsidRPr="008675A9">
        <w:rPr>
          <w:lang w:val="en-CA"/>
        </w:rPr>
        <w:t>dismiss</w:t>
      </w:r>
      <w:r w:rsidR="0042713F">
        <w:rPr>
          <w:lang w:val="en-CA"/>
        </w:rPr>
        <w:t>ing</w:t>
      </w:r>
      <w:r w:rsidR="0042713F" w:rsidRPr="008675A9">
        <w:rPr>
          <w:lang w:val="en-CA"/>
        </w:rPr>
        <w:t xml:space="preserve"> </w:t>
      </w:r>
      <w:r w:rsidRPr="008675A9">
        <w:rPr>
          <w:lang w:val="en-CA"/>
        </w:rPr>
        <w:t xml:space="preserve">the application for judicial review seeking </w:t>
      </w:r>
      <w:r w:rsidR="001001AE">
        <w:rPr>
          <w:lang w:val="en-CA"/>
        </w:rPr>
        <w:t>a declaration of invalidity of</w:t>
      </w:r>
      <w:r w:rsidRPr="008675A9">
        <w:rPr>
          <w:lang w:val="en-CA"/>
        </w:rPr>
        <w:t xml:space="preserve"> </w:t>
      </w:r>
      <w:r w:rsidR="009D4F7D" w:rsidRPr="008675A9">
        <w:rPr>
          <w:lang w:val="en-CA"/>
        </w:rPr>
        <w:t>o</w:t>
      </w:r>
      <w:r w:rsidRPr="008675A9">
        <w:rPr>
          <w:lang w:val="en-CA"/>
        </w:rPr>
        <w:t>rder</w:t>
      </w:r>
      <w:r w:rsidR="00186448" w:rsidRPr="008675A9">
        <w:rPr>
          <w:lang w:val="en-CA"/>
        </w:rPr>
        <w:t>s</w:t>
      </w:r>
      <w:r w:rsidRPr="008675A9">
        <w:rPr>
          <w:lang w:val="en-CA"/>
        </w:rPr>
        <w:t xml:space="preserve"> </w:t>
      </w:r>
      <w:r w:rsidR="00AA1C44" w:rsidRPr="008675A9">
        <w:rPr>
          <w:lang w:val="en-CA"/>
        </w:rPr>
        <w:t xml:space="preserve">in </w:t>
      </w:r>
      <w:r w:rsidR="009D4F7D" w:rsidRPr="008675A9">
        <w:rPr>
          <w:lang w:val="en-CA"/>
        </w:rPr>
        <w:t>c</w:t>
      </w:r>
      <w:r w:rsidR="00AA1C44" w:rsidRPr="008675A9">
        <w:rPr>
          <w:lang w:val="en-CA"/>
        </w:rPr>
        <w:t xml:space="preserve">ouncil </w:t>
      </w:r>
      <w:r w:rsidRPr="008675A9">
        <w:rPr>
          <w:lang w:val="en-CA"/>
        </w:rPr>
        <w:t>and a declaratory judgment.</w:t>
      </w:r>
      <w:r w:rsidR="00BD41E7" w:rsidRPr="008675A9">
        <w:rPr>
          <w:rStyle w:val="Appelnotedebasdep"/>
          <w:lang w:val="en-CA"/>
        </w:rPr>
        <w:footnoteReference w:id="1"/>
      </w:r>
      <w:r w:rsidRPr="008675A9">
        <w:rPr>
          <w:lang w:val="en-CA"/>
        </w:rPr>
        <w:t xml:space="preserve"> </w:t>
      </w:r>
    </w:p>
    <w:p w14:paraId="27ECD6CE" w14:textId="78B4093D" w:rsidR="001516A0" w:rsidRPr="008675A9" w:rsidRDefault="00705A19" w:rsidP="00043A62">
      <w:pPr>
        <w:pStyle w:val="Paragraphe"/>
        <w:spacing w:line="280" w:lineRule="exact"/>
        <w:rPr>
          <w:lang w:val="en-CA"/>
        </w:rPr>
      </w:pPr>
      <w:r w:rsidRPr="008675A9">
        <w:rPr>
          <w:lang w:val="en-CA"/>
        </w:rPr>
        <w:t xml:space="preserve">The appeal mainly concerns the interpretation of section 119 of the </w:t>
      </w:r>
      <w:r w:rsidRPr="008675A9">
        <w:rPr>
          <w:i/>
          <w:lang w:val="en-CA"/>
        </w:rPr>
        <w:t xml:space="preserve">Public Health Act </w:t>
      </w:r>
      <w:r w:rsidRPr="008675A9">
        <w:rPr>
          <w:lang w:val="en-CA"/>
        </w:rPr>
        <w:t>(“</w:t>
      </w:r>
      <w:r w:rsidRPr="008675A9">
        <w:rPr>
          <w:i/>
          <w:lang w:val="en-CA"/>
        </w:rPr>
        <w:t>PHA</w:t>
      </w:r>
      <w:r w:rsidRPr="008675A9">
        <w:rPr>
          <w:lang w:val="en-CA"/>
        </w:rPr>
        <w:t>”)</w:t>
      </w:r>
      <w:r w:rsidR="00186448" w:rsidRPr="008675A9">
        <w:rPr>
          <w:rStyle w:val="Appelnotedebasdep"/>
          <w:lang w:val="en-CA"/>
        </w:rPr>
        <w:footnoteReference w:id="2"/>
      </w:r>
      <w:r w:rsidRPr="008675A9">
        <w:rPr>
          <w:lang w:val="en-CA"/>
        </w:rPr>
        <w:t xml:space="preserve"> authorizing the Government to renew </w:t>
      </w:r>
      <w:r w:rsidR="00D64AD3">
        <w:rPr>
          <w:lang w:val="en-CA"/>
        </w:rPr>
        <w:t xml:space="preserve">an </w:t>
      </w:r>
      <w:r w:rsidRPr="008675A9">
        <w:rPr>
          <w:lang w:val="en-CA"/>
        </w:rPr>
        <w:t xml:space="preserve">emergency for periods of 10 days without obtaining the consent of the National Assembly </w:t>
      </w:r>
      <w:r w:rsidR="00152D35">
        <w:rPr>
          <w:lang w:val="en-CA"/>
        </w:rPr>
        <w:t>even though</w:t>
      </w:r>
      <w:r w:rsidRPr="008675A9">
        <w:rPr>
          <w:lang w:val="en-CA"/>
        </w:rPr>
        <w:t xml:space="preserve"> these successive periods total more than 30 days. In the alternative, the appellant argues that the penal provisions </w:t>
      </w:r>
      <w:r w:rsidR="00B355FD">
        <w:rPr>
          <w:lang w:val="en-CA"/>
        </w:rPr>
        <w:t>of</w:t>
      </w:r>
      <w:r w:rsidR="00BB51B4" w:rsidRPr="008675A9">
        <w:rPr>
          <w:lang w:val="en-CA"/>
        </w:rPr>
        <w:t xml:space="preserve"> </w:t>
      </w:r>
      <w:r w:rsidRPr="008675A9">
        <w:rPr>
          <w:lang w:val="en-CA"/>
        </w:rPr>
        <w:t xml:space="preserve">section 139 </w:t>
      </w:r>
      <w:r w:rsidRPr="008675A9">
        <w:rPr>
          <w:i/>
          <w:lang w:val="en-CA"/>
        </w:rPr>
        <w:t>PHA</w:t>
      </w:r>
      <w:r w:rsidRPr="008675A9">
        <w:rPr>
          <w:lang w:val="en-CA"/>
        </w:rPr>
        <w:t xml:space="preserve"> do not apply to the measures adopted </w:t>
      </w:r>
      <w:r w:rsidR="00152D35">
        <w:rPr>
          <w:lang w:val="en-CA"/>
        </w:rPr>
        <w:t>under</w:t>
      </w:r>
      <w:r w:rsidRPr="008675A9">
        <w:rPr>
          <w:lang w:val="en-CA"/>
        </w:rPr>
        <w:t xml:space="preserve"> section 123 </w:t>
      </w:r>
      <w:r w:rsidRPr="008675A9">
        <w:rPr>
          <w:i/>
          <w:lang w:val="en-CA"/>
        </w:rPr>
        <w:t>PHA</w:t>
      </w:r>
      <w:r w:rsidRPr="008675A9">
        <w:rPr>
          <w:lang w:val="en-CA"/>
        </w:rPr>
        <w:t>.</w:t>
      </w:r>
      <w:r w:rsidRPr="008675A9">
        <w:rPr>
          <w:i/>
          <w:lang w:val="en-CA"/>
        </w:rPr>
        <w:t xml:space="preserve"> </w:t>
      </w:r>
    </w:p>
    <w:p w14:paraId="43F9601F" w14:textId="7B25CB85" w:rsidR="001516A0" w:rsidRPr="008675A9" w:rsidRDefault="00705A19" w:rsidP="00043A62">
      <w:pPr>
        <w:pStyle w:val="Paragraphe"/>
        <w:spacing w:line="280" w:lineRule="exact"/>
        <w:rPr>
          <w:lang w:val="en-CA"/>
        </w:rPr>
      </w:pPr>
      <w:r w:rsidRPr="008675A9">
        <w:rPr>
          <w:lang w:val="en-CA"/>
        </w:rPr>
        <w:lastRenderedPageBreak/>
        <w:t xml:space="preserve">For </w:t>
      </w:r>
      <w:r w:rsidR="001E0F5E">
        <w:rPr>
          <w:lang w:val="en-CA"/>
        </w:rPr>
        <w:t xml:space="preserve">the </w:t>
      </w:r>
      <w:r w:rsidRPr="008675A9">
        <w:rPr>
          <w:lang w:val="en-CA"/>
        </w:rPr>
        <w:t xml:space="preserve">reasons set out </w:t>
      </w:r>
      <w:r w:rsidR="00AA1C44" w:rsidRPr="008675A9">
        <w:rPr>
          <w:lang w:val="en-CA"/>
        </w:rPr>
        <w:t xml:space="preserve">more </w:t>
      </w:r>
      <w:r w:rsidRPr="008675A9">
        <w:rPr>
          <w:lang w:val="en-CA"/>
        </w:rPr>
        <w:t>fully below, the Court dismisses the appeal.</w:t>
      </w:r>
      <w:r w:rsidR="00BD41E7" w:rsidRPr="008675A9">
        <w:rPr>
          <w:lang w:val="en-CA"/>
        </w:rPr>
        <w:t xml:space="preserve"> </w:t>
      </w:r>
      <w:r w:rsidRPr="008675A9">
        <w:rPr>
          <w:lang w:val="en-CA"/>
        </w:rPr>
        <w:t xml:space="preserve">Section 119 </w:t>
      </w:r>
      <w:r w:rsidRPr="008675A9">
        <w:rPr>
          <w:i/>
          <w:lang w:val="en-CA"/>
        </w:rPr>
        <w:t xml:space="preserve">PHA </w:t>
      </w:r>
      <w:r w:rsidRPr="008675A9">
        <w:rPr>
          <w:lang w:val="en-CA"/>
        </w:rPr>
        <w:t xml:space="preserve">is clear and allows the </w:t>
      </w:r>
      <w:r w:rsidR="00AA1C44" w:rsidRPr="008675A9">
        <w:rPr>
          <w:lang w:val="en-CA"/>
        </w:rPr>
        <w:t>G</w:t>
      </w:r>
      <w:r w:rsidRPr="008675A9">
        <w:rPr>
          <w:lang w:val="en-CA"/>
        </w:rPr>
        <w:t xml:space="preserve">overnment to renew </w:t>
      </w:r>
      <w:r w:rsidR="00AA1C44" w:rsidRPr="008675A9">
        <w:rPr>
          <w:lang w:val="en-CA"/>
        </w:rPr>
        <w:t>a</w:t>
      </w:r>
      <w:r w:rsidRPr="008675A9">
        <w:rPr>
          <w:lang w:val="en-CA"/>
        </w:rPr>
        <w:t xml:space="preserve"> public health emergency every 10 days, as long as there is a serious threat to the health of the population, whether real or imminent</w:t>
      </w:r>
      <w:r w:rsidR="008512ED">
        <w:rPr>
          <w:lang w:val="en-CA"/>
        </w:rPr>
        <w:t xml:space="preserve"> (section 118 </w:t>
      </w:r>
      <w:r w:rsidR="008512ED" w:rsidRPr="008512ED">
        <w:rPr>
          <w:i/>
          <w:iCs/>
          <w:lang w:val="en-CA"/>
        </w:rPr>
        <w:t>PHA</w:t>
      </w:r>
      <w:r w:rsidR="008512ED">
        <w:rPr>
          <w:lang w:val="en-CA"/>
        </w:rPr>
        <w:t>)</w:t>
      </w:r>
      <w:r w:rsidRPr="008675A9">
        <w:rPr>
          <w:lang w:val="en-CA"/>
        </w:rPr>
        <w:t>, without needing to obtain the prior consent of the National Assembly when the emergency continues for more than 30 days.</w:t>
      </w:r>
      <w:r w:rsidR="00BD41E7" w:rsidRPr="008675A9">
        <w:rPr>
          <w:lang w:val="en-CA"/>
        </w:rPr>
        <w:t xml:space="preserve"> </w:t>
      </w:r>
      <w:r w:rsidRPr="008675A9">
        <w:rPr>
          <w:lang w:val="en-CA"/>
        </w:rPr>
        <w:t xml:space="preserve">The National Assembly, however, has an </w:t>
      </w:r>
      <w:r w:rsidRPr="008675A9">
        <w:rPr>
          <w:i/>
          <w:lang w:val="en-CA"/>
        </w:rPr>
        <w:t xml:space="preserve">a posteriori </w:t>
      </w:r>
      <w:r w:rsidRPr="008675A9">
        <w:rPr>
          <w:lang w:val="en-CA"/>
        </w:rPr>
        <w:t xml:space="preserve">power of review and can vote to disallow a public health emergency or any renewal thereof (section 122 </w:t>
      </w:r>
      <w:r w:rsidRPr="008675A9">
        <w:rPr>
          <w:i/>
          <w:lang w:val="en-CA"/>
        </w:rPr>
        <w:t>PHA</w:t>
      </w:r>
      <w:r w:rsidRPr="008675A9">
        <w:rPr>
          <w:lang w:val="en-CA"/>
        </w:rPr>
        <w:t>).</w:t>
      </w:r>
      <w:r w:rsidR="00BD41E7" w:rsidRPr="008675A9">
        <w:rPr>
          <w:lang w:val="en-CA"/>
        </w:rPr>
        <w:t xml:space="preserve"> </w:t>
      </w:r>
      <w:r w:rsidRPr="008675A9">
        <w:rPr>
          <w:lang w:val="en-CA"/>
        </w:rPr>
        <w:t xml:space="preserve">As for section 139 </w:t>
      </w:r>
      <w:r w:rsidRPr="008675A9">
        <w:rPr>
          <w:i/>
          <w:lang w:val="en-CA"/>
        </w:rPr>
        <w:t>PHA</w:t>
      </w:r>
      <w:r w:rsidRPr="008675A9">
        <w:rPr>
          <w:lang w:val="en-CA"/>
        </w:rPr>
        <w:t xml:space="preserve">, it applies to measures taken pursuant to section 123 </w:t>
      </w:r>
      <w:r w:rsidRPr="008675A9">
        <w:rPr>
          <w:i/>
          <w:lang w:val="en-CA"/>
        </w:rPr>
        <w:t>PHA</w:t>
      </w:r>
      <w:r w:rsidRPr="008675A9">
        <w:rPr>
          <w:lang w:val="en-CA"/>
        </w:rPr>
        <w:t>.</w:t>
      </w:r>
    </w:p>
    <w:p w14:paraId="50E96372" w14:textId="13B55FC5" w:rsidR="001516A0" w:rsidRPr="00AB5ACC" w:rsidRDefault="00705A19" w:rsidP="003D4EB0">
      <w:pPr>
        <w:pStyle w:val="Titre4"/>
        <w:rPr>
          <w:lang w:val="en-CA"/>
        </w:rPr>
      </w:pPr>
      <w:r w:rsidRPr="00AB5ACC">
        <w:rPr>
          <w:lang w:val="en-CA"/>
        </w:rPr>
        <w:t>Background</w:t>
      </w:r>
    </w:p>
    <w:p w14:paraId="2498F29E" w14:textId="7FDAEA2D" w:rsidR="001516A0" w:rsidRPr="008675A9" w:rsidRDefault="00705A19" w:rsidP="00043A62">
      <w:pPr>
        <w:pStyle w:val="Paragraphe"/>
        <w:spacing w:line="280" w:lineRule="exact"/>
        <w:rPr>
          <w:lang w:val="en-CA"/>
        </w:rPr>
      </w:pPr>
      <w:r w:rsidRPr="00AB5ACC">
        <w:rPr>
          <w:lang w:val="en-CA"/>
        </w:rPr>
        <w:t xml:space="preserve">On March 13, 2020, the </w:t>
      </w:r>
      <w:r w:rsidR="00AA1C44" w:rsidRPr="00AB5ACC">
        <w:rPr>
          <w:lang w:val="en-CA"/>
        </w:rPr>
        <w:t>G</w:t>
      </w:r>
      <w:r w:rsidRPr="00AB5ACC">
        <w:rPr>
          <w:lang w:val="en-CA"/>
        </w:rPr>
        <w:t xml:space="preserve">overnment declared a public health emergency in all of the territory of Quebec for a period of 10 days, </w:t>
      </w:r>
      <w:r w:rsidR="008512ED">
        <w:rPr>
          <w:lang w:val="en-CA"/>
        </w:rPr>
        <w:t>in accordance with</w:t>
      </w:r>
      <w:r w:rsidRPr="00AB5ACC">
        <w:rPr>
          <w:lang w:val="en-CA"/>
        </w:rPr>
        <w:t xml:space="preserve"> s</w:t>
      </w:r>
      <w:r w:rsidR="00AA1C44" w:rsidRPr="00AB5ACC">
        <w:rPr>
          <w:lang w:val="en-CA"/>
        </w:rPr>
        <w:t>ection</w:t>
      </w:r>
      <w:r w:rsidRPr="00AB5ACC">
        <w:rPr>
          <w:lang w:val="en-CA"/>
        </w:rPr>
        <w:t xml:space="preserve"> 118 of the </w:t>
      </w:r>
      <w:r w:rsidRPr="00AB5ACC">
        <w:rPr>
          <w:i/>
          <w:lang w:val="en-CA"/>
        </w:rPr>
        <w:t>Public Health Act</w:t>
      </w:r>
      <w:r w:rsidRPr="008675A9">
        <w:rPr>
          <w:rStyle w:val="Appelnotedebasdep"/>
          <w:lang w:val="en-CA"/>
        </w:rPr>
        <w:footnoteReference w:id="3"/>
      </w:r>
      <w:r w:rsidRPr="00AB5ACC">
        <w:rPr>
          <w:i/>
          <w:lang w:val="en-CA"/>
        </w:rPr>
        <w:t xml:space="preserve"> </w:t>
      </w:r>
      <w:r w:rsidRPr="00AB5ACC">
        <w:rPr>
          <w:lang w:val="en-CA"/>
        </w:rPr>
        <w:t>(“</w:t>
      </w:r>
      <w:r w:rsidRPr="00AB5ACC">
        <w:rPr>
          <w:i/>
          <w:lang w:val="en-CA"/>
        </w:rPr>
        <w:t>PHA</w:t>
      </w:r>
      <w:r w:rsidRPr="00AB5ACC">
        <w:rPr>
          <w:lang w:val="en-CA"/>
        </w:rPr>
        <w:t>”).</w:t>
      </w:r>
      <w:r w:rsidRPr="008675A9">
        <w:rPr>
          <w:lang w:val="en-CA"/>
        </w:rPr>
        <w:t xml:space="preserve"> </w:t>
      </w:r>
      <w:r w:rsidRPr="00AB5ACC">
        <w:rPr>
          <w:lang w:val="en-CA"/>
        </w:rPr>
        <w:t xml:space="preserve">Since then, and to date, this public health emergency has been renewed every 6 to 10 days </w:t>
      </w:r>
      <w:r w:rsidR="005A76C4">
        <w:rPr>
          <w:lang w:val="en-CA"/>
        </w:rPr>
        <w:t>under</w:t>
      </w:r>
      <w:r w:rsidRPr="00AB5ACC">
        <w:rPr>
          <w:lang w:val="en-CA"/>
        </w:rPr>
        <w:t xml:space="preserve"> section 119 </w:t>
      </w:r>
      <w:r w:rsidRPr="00AB5ACC">
        <w:rPr>
          <w:i/>
          <w:lang w:val="en-CA"/>
        </w:rPr>
        <w:t>PHA</w:t>
      </w:r>
      <w:r w:rsidRPr="00AB5ACC">
        <w:rPr>
          <w:lang w:val="en-CA"/>
        </w:rPr>
        <w:t>.</w:t>
      </w:r>
    </w:p>
    <w:p w14:paraId="1AA067F3" w14:textId="2F42118D" w:rsidR="001516A0" w:rsidRPr="008675A9" w:rsidRDefault="00705A19" w:rsidP="00043A62">
      <w:pPr>
        <w:pStyle w:val="Paragraphe"/>
        <w:spacing w:line="280" w:lineRule="exact"/>
        <w:rPr>
          <w:lang w:val="en-CA"/>
        </w:rPr>
      </w:pPr>
      <w:r w:rsidRPr="00AB5ACC">
        <w:rPr>
          <w:lang w:val="en-CA"/>
        </w:rPr>
        <w:t xml:space="preserve">In August 2020, the appellant filed an application for judicial review </w:t>
      </w:r>
      <w:r w:rsidR="00AA1C44" w:rsidRPr="00AB5ACC">
        <w:rPr>
          <w:lang w:val="en-CA"/>
        </w:rPr>
        <w:t>[</w:t>
      </w:r>
      <w:r w:rsidR="00AA1C44" w:rsidRPr="00AB5ACC">
        <w:rPr>
          <w:smallCaps/>
          <w:lang w:val="en-CA"/>
        </w:rPr>
        <w:t>translation</w:t>
      </w:r>
      <w:r w:rsidR="00AA1C44" w:rsidRPr="00AB5ACC">
        <w:rPr>
          <w:lang w:val="en-CA"/>
        </w:rPr>
        <w:t xml:space="preserve">] </w:t>
      </w:r>
      <w:r w:rsidRPr="00AB5ACC">
        <w:rPr>
          <w:lang w:val="en-CA"/>
        </w:rPr>
        <w:t>“</w:t>
      </w:r>
      <w:r w:rsidR="001001AE" w:rsidRPr="00AB5ACC">
        <w:rPr>
          <w:lang w:val="en-CA"/>
        </w:rPr>
        <w:t>for a declaration of invalidity of</w:t>
      </w:r>
      <w:r w:rsidRPr="00AB5ACC">
        <w:rPr>
          <w:lang w:val="en-CA"/>
        </w:rPr>
        <w:t xml:space="preserve"> the orders </w:t>
      </w:r>
      <w:r w:rsidR="001B6B3B" w:rsidRPr="00AB5ACC">
        <w:rPr>
          <w:lang w:val="en-CA"/>
        </w:rPr>
        <w:t xml:space="preserve">in council </w:t>
      </w:r>
      <w:r w:rsidRPr="00AB5ACC">
        <w:rPr>
          <w:lang w:val="en-CA"/>
        </w:rPr>
        <w:t>and a declaratory judgment”.</w:t>
      </w:r>
      <w:r w:rsidR="00BD41E7" w:rsidRPr="008675A9">
        <w:rPr>
          <w:lang w:val="en-CA"/>
        </w:rPr>
        <w:t xml:space="preserve"> </w:t>
      </w:r>
      <w:r w:rsidRPr="00AB5ACC">
        <w:rPr>
          <w:lang w:val="en-CA"/>
        </w:rPr>
        <w:t xml:space="preserve">The conclusions sought, as amended on March 11, 2021, </w:t>
      </w:r>
      <w:r w:rsidR="001E0F5E">
        <w:rPr>
          <w:lang w:val="en-CA"/>
        </w:rPr>
        <w:t>were the following</w:t>
      </w:r>
      <w:r w:rsidRPr="00AB5ACC">
        <w:rPr>
          <w:lang w:val="en-CA"/>
        </w:rPr>
        <w:t xml:space="preserve">: </w:t>
      </w:r>
    </w:p>
    <w:p w14:paraId="3579ECB5" w14:textId="1DCFA16A" w:rsidR="001B6B3B" w:rsidRPr="008675A9" w:rsidRDefault="001B6B3B" w:rsidP="001B6B3B">
      <w:pPr>
        <w:pStyle w:val="Paragraphe"/>
        <w:numPr>
          <w:ilvl w:val="0"/>
          <w:numId w:val="0"/>
        </w:numPr>
        <w:spacing w:line="280" w:lineRule="exact"/>
        <w:ind w:left="720"/>
        <w:rPr>
          <w:lang w:val="en-CA"/>
        </w:rPr>
      </w:pPr>
      <w:r w:rsidRPr="008675A9">
        <w:rPr>
          <w:lang w:val="en-CA"/>
        </w:rPr>
        <w:t>[</w:t>
      </w:r>
      <w:r w:rsidRPr="008675A9">
        <w:rPr>
          <w:smallCaps/>
          <w:lang w:val="en-CA"/>
        </w:rPr>
        <w:t>translation</w:t>
      </w:r>
      <w:r w:rsidRPr="008675A9">
        <w:rPr>
          <w:lang w:val="en-CA"/>
        </w:rPr>
        <w:t>]</w:t>
      </w:r>
    </w:p>
    <w:p w14:paraId="16C092DF" w14:textId="19FD8E2E" w:rsidR="001516A0" w:rsidRPr="008675A9" w:rsidRDefault="00705A19" w:rsidP="00043A62">
      <w:pPr>
        <w:pStyle w:val="Citationenretrait"/>
        <w:rPr>
          <w:lang w:val="en-CA"/>
        </w:rPr>
      </w:pPr>
      <w:r w:rsidRPr="00AB5ACC">
        <w:rPr>
          <w:lang w:val="en-CA"/>
        </w:rPr>
        <w:t xml:space="preserve">DECLARE invalid and </w:t>
      </w:r>
      <w:r w:rsidR="001001AE" w:rsidRPr="00AB5ACC">
        <w:rPr>
          <w:lang w:val="en-CA"/>
        </w:rPr>
        <w:t>in</w:t>
      </w:r>
      <w:r w:rsidRPr="00AB5ACC">
        <w:rPr>
          <w:lang w:val="en-CA"/>
        </w:rPr>
        <w:t xml:space="preserve">operative </w:t>
      </w:r>
      <w:r w:rsidR="001B6B3B" w:rsidRPr="00AB5ACC">
        <w:rPr>
          <w:lang w:val="en-CA"/>
        </w:rPr>
        <w:t>O</w:t>
      </w:r>
      <w:r w:rsidRPr="00AB5ACC">
        <w:rPr>
          <w:lang w:val="en-CA"/>
        </w:rPr>
        <w:t xml:space="preserve">rder in </w:t>
      </w:r>
      <w:r w:rsidR="001B6B3B" w:rsidRPr="00AB5ACC">
        <w:rPr>
          <w:lang w:val="en-CA"/>
        </w:rPr>
        <w:t>C</w:t>
      </w:r>
      <w:r w:rsidRPr="00AB5ACC">
        <w:rPr>
          <w:lang w:val="en-CA"/>
        </w:rPr>
        <w:t>ouncil</w:t>
      </w:r>
      <w:r w:rsidR="001B6B3B" w:rsidRPr="00AB5ACC">
        <w:rPr>
          <w:lang w:val="en-CA"/>
        </w:rPr>
        <w:t xml:space="preserve"> 204-2021</w:t>
      </w:r>
      <w:r w:rsidRPr="00AB5ACC">
        <w:rPr>
          <w:lang w:val="en-CA"/>
        </w:rPr>
        <w:t xml:space="preserve"> of March 10, 2021, concerning the renewal of the public health emergency pursuant to section 119 of the </w:t>
      </w:r>
      <w:r w:rsidRPr="00AB5ACC">
        <w:rPr>
          <w:i/>
          <w:iCs/>
          <w:lang w:val="en-CA"/>
        </w:rPr>
        <w:t>Public Health Act</w:t>
      </w:r>
      <w:r w:rsidRPr="00AB5ACC">
        <w:rPr>
          <w:lang w:val="en-CA"/>
        </w:rPr>
        <w:t>;</w:t>
      </w:r>
    </w:p>
    <w:p w14:paraId="74CF3453" w14:textId="76515E08" w:rsidR="001516A0" w:rsidRPr="008675A9" w:rsidRDefault="00705A19" w:rsidP="00043A62">
      <w:pPr>
        <w:pStyle w:val="Citationenretrait"/>
        <w:rPr>
          <w:lang w:val="en-CA"/>
        </w:rPr>
      </w:pPr>
      <w:r w:rsidRPr="008675A9">
        <w:rPr>
          <w:lang w:val="en-CA"/>
        </w:rPr>
        <w:t xml:space="preserve">IN THE ALTERNATIVE, DECLARE THAT the penal provisions </w:t>
      </w:r>
      <w:r w:rsidR="008512ED">
        <w:rPr>
          <w:lang w:val="en-CA"/>
        </w:rPr>
        <w:t>under</w:t>
      </w:r>
      <w:r w:rsidR="001B6E97" w:rsidRPr="008675A9">
        <w:rPr>
          <w:lang w:val="en-CA"/>
        </w:rPr>
        <w:t xml:space="preserve"> </w:t>
      </w:r>
      <w:r w:rsidRPr="008675A9">
        <w:rPr>
          <w:lang w:val="en-CA"/>
        </w:rPr>
        <w:t xml:space="preserve">section 139 </w:t>
      </w:r>
      <w:r w:rsidRPr="008675A9">
        <w:rPr>
          <w:i/>
          <w:lang w:val="en-CA"/>
        </w:rPr>
        <w:t xml:space="preserve">PHA </w:t>
      </w:r>
      <w:r w:rsidRPr="008675A9">
        <w:rPr>
          <w:lang w:val="en-CA"/>
        </w:rPr>
        <w:t xml:space="preserve">do not apply to the regulatory measures </w:t>
      </w:r>
      <w:r w:rsidR="001B6E97" w:rsidRPr="008675A9">
        <w:rPr>
          <w:lang w:val="en-CA"/>
        </w:rPr>
        <w:t xml:space="preserve">concerning the renewal of the public health emergency </w:t>
      </w:r>
      <w:r w:rsidRPr="008675A9">
        <w:rPr>
          <w:lang w:val="en-CA"/>
        </w:rPr>
        <w:t>adopted by the Government, the Minister of Health</w:t>
      </w:r>
      <w:r w:rsidR="00AA1C44" w:rsidRPr="008675A9">
        <w:rPr>
          <w:lang w:val="en-CA"/>
        </w:rPr>
        <w:t>,</w:t>
      </w:r>
      <w:r w:rsidRPr="008675A9">
        <w:rPr>
          <w:lang w:val="en-CA"/>
        </w:rPr>
        <w:t xml:space="preserve"> or the </w:t>
      </w:r>
      <w:r w:rsidR="00E56225">
        <w:rPr>
          <w:lang w:val="en-CA"/>
        </w:rPr>
        <w:t>P</w:t>
      </w:r>
      <w:r w:rsidRPr="008675A9">
        <w:rPr>
          <w:lang w:val="en-CA"/>
        </w:rPr>
        <w:t xml:space="preserve">ublic </w:t>
      </w:r>
      <w:r w:rsidR="00E56225">
        <w:rPr>
          <w:lang w:val="en-CA"/>
        </w:rPr>
        <w:t>H</w:t>
      </w:r>
      <w:r w:rsidRPr="008675A9">
        <w:rPr>
          <w:lang w:val="en-CA"/>
        </w:rPr>
        <w:t xml:space="preserve">ealth </w:t>
      </w:r>
      <w:r w:rsidR="00E56225">
        <w:rPr>
          <w:lang w:val="en-CA"/>
        </w:rPr>
        <w:t>D</w:t>
      </w:r>
      <w:r w:rsidRPr="008675A9">
        <w:rPr>
          <w:lang w:val="en-CA"/>
        </w:rPr>
        <w:t xml:space="preserve">irector and </w:t>
      </w:r>
      <w:r w:rsidR="00793BD2">
        <w:rPr>
          <w:lang w:val="en-CA"/>
        </w:rPr>
        <w:t>listed</w:t>
      </w:r>
      <w:r w:rsidRPr="008675A9">
        <w:rPr>
          <w:lang w:val="en-CA"/>
        </w:rPr>
        <w:t xml:space="preserve"> in the </w:t>
      </w:r>
      <w:r w:rsidR="002C3946">
        <w:rPr>
          <w:lang w:val="en-CA"/>
        </w:rPr>
        <w:t>appended</w:t>
      </w:r>
      <w:r w:rsidR="00793BD2">
        <w:rPr>
          <w:lang w:val="en-CA"/>
        </w:rPr>
        <w:t xml:space="preserve"> </w:t>
      </w:r>
      <w:r w:rsidR="004E3E7B">
        <w:rPr>
          <w:lang w:val="en-CA"/>
        </w:rPr>
        <w:t>schedule</w:t>
      </w:r>
      <w:r w:rsidRPr="008675A9">
        <w:rPr>
          <w:lang w:val="en-CA"/>
        </w:rPr>
        <w:t>.</w:t>
      </w:r>
      <w:r w:rsidR="00BD41E7" w:rsidRPr="008675A9">
        <w:rPr>
          <w:vertAlign w:val="superscript"/>
          <w:lang w:val="en-CA"/>
        </w:rPr>
        <w:footnoteReference w:id="4"/>
      </w:r>
    </w:p>
    <w:p w14:paraId="4C1740A6" w14:textId="04A4E8B6" w:rsidR="001516A0" w:rsidRPr="00AB5ACC" w:rsidRDefault="00705A19" w:rsidP="00043A62">
      <w:pPr>
        <w:pStyle w:val="Titre4"/>
        <w:rPr>
          <w:lang w:val="en-CA"/>
        </w:rPr>
      </w:pPr>
      <w:r w:rsidRPr="00AB5ACC">
        <w:rPr>
          <w:lang w:val="en-CA"/>
        </w:rPr>
        <w:t>The trial judgment</w:t>
      </w:r>
    </w:p>
    <w:p w14:paraId="3317FABF" w14:textId="69F0BD44" w:rsidR="001516A0" w:rsidRPr="008675A9" w:rsidRDefault="00BD41E7" w:rsidP="00043A62">
      <w:pPr>
        <w:pStyle w:val="Paragraphe"/>
        <w:spacing w:line="280" w:lineRule="exact"/>
        <w:rPr>
          <w:lang w:val="en-CA"/>
        </w:rPr>
      </w:pPr>
      <w:r w:rsidRPr="008675A9">
        <w:rPr>
          <w:lang w:val="en-CA"/>
        </w:rPr>
        <w:t>The judge noted at the outset that the parties agree on the application of the reasonableness standard.</w:t>
      </w:r>
    </w:p>
    <w:p w14:paraId="39FB2E14" w14:textId="6D2512FB" w:rsidR="001516A0" w:rsidRPr="008675A9" w:rsidRDefault="00BD41E7" w:rsidP="00043A62">
      <w:pPr>
        <w:pStyle w:val="Paragraphe"/>
        <w:spacing w:line="280" w:lineRule="exact"/>
        <w:rPr>
          <w:lang w:val="en-CA"/>
        </w:rPr>
      </w:pPr>
      <w:r w:rsidRPr="008675A9">
        <w:rPr>
          <w:lang w:val="en-CA"/>
        </w:rPr>
        <w:t>After summarizing the appellant’s position, the judge noted that [</w:t>
      </w:r>
      <w:r w:rsidRPr="008675A9">
        <w:rPr>
          <w:smallCaps/>
          <w:lang w:val="en-CA"/>
        </w:rPr>
        <w:t>translation</w:t>
      </w:r>
      <w:r w:rsidRPr="008675A9">
        <w:rPr>
          <w:lang w:val="en-CA"/>
        </w:rPr>
        <w:t xml:space="preserve">] “the argument is imaginative, but unconvincing”. In support of this assertion, he stated that the language of section 119 </w:t>
      </w:r>
      <w:r w:rsidRPr="008675A9">
        <w:rPr>
          <w:i/>
          <w:iCs/>
          <w:lang w:val="en-CA"/>
        </w:rPr>
        <w:t>PHA</w:t>
      </w:r>
      <w:r w:rsidRPr="008675A9">
        <w:rPr>
          <w:lang w:val="en-CA"/>
        </w:rPr>
        <w:t xml:space="preserve"> is clear and unassailable with respect to the </w:t>
      </w:r>
      <w:r w:rsidR="00AA1C44" w:rsidRPr="008675A9">
        <w:rPr>
          <w:lang w:val="en-CA"/>
        </w:rPr>
        <w:t>G</w:t>
      </w:r>
      <w:r w:rsidRPr="008675A9">
        <w:rPr>
          <w:lang w:val="en-CA"/>
        </w:rPr>
        <w:t xml:space="preserve">overnment’s right to renew the </w:t>
      </w:r>
      <w:r w:rsidR="001B6B3B" w:rsidRPr="008675A9">
        <w:rPr>
          <w:lang w:val="en-CA"/>
        </w:rPr>
        <w:t xml:space="preserve">declaration of </w:t>
      </w:r>
      <w:r w:rsidRPr="008675A9">
        <w:rPr>
          <w:lang w:val="en-CA"/>
        </w:rPr>
        <w:t>emergency</w:t>
      </w:r>
      <w:r w:rsidR="00AA1C44" w:rsidRPr="008675A9">
        <w:rPr>
          <w:lang w:val="en-CA"/>
        </w:rPr>
        <w:t xml:space="preserve"> </w:t>
      </w:r>
      <w:r w:rsidRPr="008675A9">
        <w:rPr>
          <w:lang w:val="en-CA"/>
        </w:rPr>
        <w:t xml:space="preserve">for </w:t>
      </w:r>
      <w:r w:rsidR="004C7889">
        <w:rPr>
          <w:lang w:val="en-CA"/>
        </w:rPr>
        <w:t>a maximum period</w:t>
      </w:r>
      <w:r w:rsidRPr="008675A9">
        <w:rPr>
          <w:lang w:val="en-CA"/>
        </w:rPr>
        <w:t xml:space="preserve"> of 10 days </w:t>
      </w:r>
      <w:r w:rsidR="00AA1C44" w:rsidRPr="008675A9">
        <w:rPr>
          <w:lang w:val="en-CA"/>
        </w:rPr>
        <w:t>and does not impose</w:t>
      </w:r>
      <w:r w:rsidRPr="008675A9">
        <w:rPr>
          <w:lang w:val="en-CA"/>
        </w:rPr>
        <w:t xml:space="preserve"> any limitation or condition other than the maximum duration. He added that </w:t>
      </w:r>
      <w:r w:rsidRPr="008675A9">
        <w:rPr>
          <w:lang w:val="en-CA"/>
        </w:rPr>
        <w:lastRenderedPageBreak/>
        <w:t xml:space="preserve">an amendment to the </w:t>
      </w:r>
      <w:r w:rsidRPr="008675A9">
        <w:rPr>
          <w:i/>
          <w:iCs/>
          <w:lang w:val="en-CA"/>
        </w:rPr>
        <w:t>PHA</w:t>
      </w:r>
      <w:r w:rsidRPr="008675A9">
        <w:rPr>
          <w:lang w:val="en-CA"/>
        </w:rPr>
        <w:t xml:space="preserve"> removed the former obligation to </w:t>
      </w:r>
      <w:r w:rsidR="002C3946">
        <w:rPr>
          <w:lang w:val="en-CA"/>
        </w:rPr>
        <w:t>lay</w:t>
      </w:r>
      <w:r w:rsidRPr="008675A9">
        <w:rPr>
          <w:lang w:val="en-CA"/>
        </w:rPr>
        <w:t xml:space="preserve"> before the National Assembly </w:t>
      </w:r>
      <w:r w:rsidR="006F1AC1">
        <w:rPr>
          <w:lang w:val="en-CA"/>
        </w:rPr>
        <w:t>any order in council</w:t>
      </w:r>
      <w:r w:rsidRPr="008675A9">
        <w:rPr>
          <w:lang w:val="en-CA"/>
        </w:rPr>
        <w:t xml:space="preserve"> declaring a state of emergency</w:t>
      </w:r>
      <w:r w:rsidR="00E56225" w:rsidRPr="00E56225">
        <w:rPr>
          <w:lang w:val="en-CA"/>
        </w:rPr>
        <w:t xml:space="preserve"> </w:t>
      </w:r>
      <w:r w:rsidR="00E56225">
        <w:rPr>
          <w:lang w:val="en-CA"/>
        </w:rPr>
        <w:t>made by the Government</w:t>
      </w:r>
      <w:r w:rsidRPr="008675A9">
        <w:rPr>
          <w:lang w:val="en-CA"/>
        </w:rPr>
        <w:t xml:space="preserve">. He was </w:t>
      </w:r>
      <w:r w:rsidR="00A8270C" w:rsidRPr="008675A9">
        <w:rPr>
          <w:lang w:val="en-CA"/>
        </w:rPr>
        <w:t>also</w:t>
      </w:r>
      <w:r w:rsidRPr="008675A9">
        <w:rPr>
          <w:lang w:val="en-CA"/>
        </w:rPr>
        <w:t xml:space="preserve"> of the </w:t>
      </w:r>
      <w:r w:rsidR="004324B0" w:rsidRPr="008675A9">
        <w:rPr>
          <w:lang w:val="en-CA"/>
        </w:rPr>
        <w:t>view</w:t>
      </w:r>
      <w:r w:rsidRPr="008675A9">
        <w:rPr>
          <w:lang w:val="en-CA"/>
        </w:rPr>
        <w:t xml:space="preserve"> that the orders</w:t>
      </w:r>
      <w:r w:rsidR="004324B0" w:rsidRPr="008675A9">
        <w:rPr>
          <w:lang w:val="en-CA"/>
        </w:rPr>
        <w:t xml:space="preserve"> in council</w:t>
      </w:r>
      <w:r w:rsidRPr="008675A9">
        <w:rPr>
          <w:lang w:val="en-CA"/>
        </w:rPr>
        <w:t xml:space="preserve"> </w:t>
      </w:r>
      <w:r w:rsidR="008711A5">
        <w:rPr>
          <w:lang w:val="en-CA"/>
        </w:rPr>
        <w:t xml:space="preserve">to renew </w:t>
      </w:r>
      <w:r w:rsidRPr="008675A9">
        <w:rPr>
          <w:lang w:val="en-CA"/>
        </w:rPr>
        <w:t xml:space="preserve">were consistent with the </w:t>
      </w:r>
      <w:r w:rsidRPr="008675A9">
        <w:rPr>
          <w:i/>
          <w:lang w:val="en-CA"/>
        </w:rPr>
        <w:t>PHA</w:t>
      </w:r>
      <w:r w:rsidRPr="008675A9">
        <w:rPr>
          <w:lang w:val="en-CA"/>
        </w:rPr>
        <w:t xml:space="preserve">, which is the enabling statute. </w:t>
      </w:r>
      <w:r w:rsidR="00A8270C" w:rsidRPr="00AB5ACC">
        <w:rPr>
          <w:lang w:val="en-CA"/>
        </w:rPr>
        <w:t>Further</w:t>
      </w:r>
      <w:r w:rsidRPr="00AB5ACC">
        <w:rPr>
          <w:lang w:val="en-CA"/>
        </w:rPr>
        <w:t xml:space="preserve">, according to the judge, the appellant did not rebut the presumption of validity of </w:t>
      </w:r>
      <w:r w:rsidR="00A8270C" w:rsidRPr="00AB5ACC">
        <w:rPr>
          <w:lang w:val="en-CA"/>
        </w:rPr>
        <w:t>G</w:t>
      </w:r>
      <w:r w:rsidRPr="00AB5ACC">
        <w:rPr>
          <w:lang w:val="en-CA"/>
        </w:rPr>
        <w:t>overnment decisions</w:t>
      </w:r>
      <w:r w:rsidR="00154718" w:rsidRPr="00AB5ACC">
        <w:rPr>
          <w:lang w:val="en-CA"/>
        </w:rPr>
        <w:t xml:space="preserve">, which includes </w:t>
      </w:r>
      <w:r w:rsidR="009D4F7D" w:rsidRPr="00AB5ACC">
        <w:rPr>
          <w:lang w:val="en-CA"/>
        </w:rPr>
        <w:t>o</w:t>
      </w:r>
      <w:r w:rsidRPr="00AB5ACC">
        <w:rPr>
          <w:lang w:val="en-CA"/>
        </w:rPr>
        <w:t xml:space="preserve">rders in </w:t>
      </w:r>
      <w:r w:rsidR="009D4F7D" w:rsidRPr="00AB5ACC">
        <w:rPr>
          <w:lang w:val="en-CA"/>
        </w:rPr>
        <w:t>c</w:t>
      </w:r>
      <w:r w:rsidRPr="00AB5ACC">
        <w:rPr>
          <w:lang w:val="en-CA"/>
        </w:rPr>
        <w:t>ouncil.</w:t>
      </w:r>
      <w:r w:rsidRPr="008675A9">
        <w:rPr>
          <w:lang w:val="en-CA"/>
        </w:rPr>
        <w:t xml:space="preserve"> </w:t>
      </w:r>
      <w:r w:rsidRPr="00AB5ACC">
        <w:rPr>
          <w:lang w:val="en-CA"/>
        </w:rPr>
        <w:t>He noted that</w:t>
      </w:r>
      <w:r w:rsidR="008711A5">
        <w:rPr>
          <w:lang w:val="en-CA"/>
        </w:rPr>
        <w:t>,</w:t>
      </w:r>
      <w:r w:rsidRPr="00AB5ACC">
        <w:rPr>
          <w:lang w:val="en-CA"/>
        </w:rPr>
        <w:t xml:space="preserve"> pursuant to section 122 </w:t>
      </w:r>
      <w:r w:rsidRPr="00AB5ACC">
        <w:rPr>
          <w:i/>
          <w:lang w:val="en-CA"/>
        </w:rPr>
        <w:t>PHA</w:t>
      </w:r>
      <w:r w:rsidR="008711A5">
        <w:rPr>
          <w:iCs/>
          <w:lang w:val="en-CA"/>
        </w:rPr>
        <w:t>,</w:t>
      </w:r>
      <w:r w:rsidRPr="00AB5ACC">
        <w:rPr>
          <w:lang w:val="en-CA"/>
        </w:rPr>
        <w:t xml:space="preserve"> </w:t>
      </w:r>
      <w:r w:rsidR="00FC6837" w:rsidRPr="00AB5ACC">
        <w:rPr>
          <w:lang w:val="en-CA"/>
        </w:rPr>
        <w:t xml:space="preserve">the National Assembly </w:t>
      </w:r>
      <w:r w:rsidRPr="00AB5ACC">
        <w:rPr>
          <w:lang w:val="en-CA"/>
        </w:rPr>
        <w:t>may vote to disallow any renewal of a public health emergency.</w:t>
      </w:r>
      <w:r w:rsidRPr="008675A9">
        <w:rPr>
          <w:lang w:val="en-CA"/>
        </w:rPr>
        <w:t xml:space="preserve"> </w:t>
      </w:r>
      <w:r w:rsidRPr="00AB5ACC">
        <w:rPr>
          <w:lang w:val="en-CA"/>
        </w:rPr>
        <w:t>No attempt was made in this regard.</w:t>
      </w:r>
      <w:r w:rsidRPr="008675A9">
        <w:rPr>
          <w:lang w:val="en-CA"/>
        </w:rPr>
        <w:t xml:space="preserve"> Last, the judge considered </w:t>
      </w:r>
      <w:r w:rsidR="00FC6837">
        <w:rPr>
          <w:lang w:val="en-CA"/>
        </w:rPr>
        <w:t xml:space="preserve">that </w:t>
      </w:r>
      <w:r w:rsidRPr="008675A9">
        <w:rPr>
          <w:lang w:val="en-CA"/>
        </w:rPr>
        <w:t xml:space="preserve">not only </w:t>
      </w:r>
      <w:r w:rsidR="00FC6837">
        <w:rPr>
          <w:lang w:val="en-CA"/>
        </w:rPr>
        <w:t>was there</w:t>
      </w:r>
      <w:r w:rsidR="002D4F61" w:rsidRPr="008675A9">
        <w:rPr>
          <w:lang w:val="en-CA"/>
        </w:rPr>
        <w:t xml:space="preserve"> </w:t>
      </w:r>
      <w:r w:rsidRPr="008675A9">
        <w:rPr>
          <w:lang w:val="en-CA"/>
        </w:rPr>
        <w:t xml:space="preserve">no evidence that the </w:t>
      </w:r>
      <w:r w:rsidR="00A8270C" w:rsidRPr="008675A9">
        <w:rPr>
          <w:lang w:val="en-CA"/>
        </w:rPr>
        <w:t>orders renewing</w:t>
      </w:r>
      <w:r w:rsidRPr="008675A9">
        <w:rPr>
          <w:lang w:val="en-CA"/>
        </w:rPr>
        <w:t xml:space="preserve"> the public health emergency were unreasonable, but the evidence </w:t>
      </w:r>
      <w:r w:rsidR="008711A5">
        <w:rPr>
          <w:lang w:val="en-CA"/>
        </w:rPr>
        <w:t xml:space="preserve">had </w:t>
      </w:r>
      <w:r w:rsidRPr="008675A9">
        <w:rPr>
          <w:lang w:val="en-CA"/>
        </w:rPr>
        <w:t>convince</w:t>
      </w:r>
      <w:r w:rsidR="00A8270C" w:rsidRPr="008675A9">
        <w:rPr>
          <w:lang w:val="en-CA"/>
        </w:rPr>
        <w:t>d</w:t>
      </w:r>
      <w:r w:rsidRPr="008675A9">
        <w:rPr>
          <w:lang w:val="en-CA"/>
        </w:rPr>
        <w:t xml:space="preserve"> him that they </w:t>
      </w:r>
      <w:r w:rsidR="00A8270C" w:rsidRPr="008675A9">
        <w:rPr>
          <w:lang w:val="en-CA"/>
        </w:rPr>
        <w:t>were</w:t>
      </w:r>
      <w:r w:rsidRPr="008675A9">
        <w:rPr>
          <w:lang w:val="en-CA"/>
        </w:rPr>
        <w:t xml:space="preserve"> reasonable.</w:t>
      </w:r>
      <w:r w:rsidRPr="008675A9">
        <w:rPr>
          <w:rStyle w:val="Appelnotedebasdep"/>
          <w:lang w:val="en-CA"/>
        </w:rPr>
        <w:footnoteReference w:id="5"/>
      </w:r>
      <w:r w:rsidRPr="008675A9">
        <w:rPr>
          <w:lang w:val="en-CA"/>
        </w:rPr>
        <w:t xml:space="preserve"> </w:t>
      </w:r>
    </w:p>
    <w:p w14:paraId="7423940C" w14:textId="1D3B6EBF" w:rsidR="001516A0" w:rsidRPr="008675A9" w:rsidRDefault="00BD41E7" w:rsidP="00043A62">
      <w:pPr>
        <w:pStyle w:val="Paragraphe"/>
        <w:spacing w:line="280" w:lineRule="exact"/>
        <w:rPr>
          <w:lang w:val="en-CA"/>
        </w:rPr>
      </w:pPr>
      <w:r w:rsidRPr="008675A9">
        <w:rPr>
          <w:lang w:val="en-CA"/>
        </w:rPr>
        <w:t xml:space="preserve">The judge </w:t>
      </w:r>
      <w:r w:rsidR="009B679C">
        <w:rPr>
          <w:lang w:val="en-CA"/>
        </w:rPr>
        <w:t xml:space="preserve">rejected </w:t>
      </w:r>
      <w:r w:rsidRPr="008675A9">
        <w:rPr>
          <w:lang w:val="en-CA"/>
        </w:rPr>
        <w:t xml:space="preserve">the appellant’s argument that the penal provisions </w:t>
      </w:r>
      <w:r w:rsidR="00BB51B4">
        <w:rPr>
          <w:lang w:val="en-CA"/>
        </w:rPr>
        <w:t xml:space="preserve">of </w:t>
      </w:r>
      <w:r w:rsidRPr="008675A9">
        <w:rPr>
          <w:lang w:val="en-CA"/>
        </w:rPr>
        <w:t xml:space="preserve">section 139 </w:t>
      </w:r>
      <w:r w:rsidRPr="008675A9">
        <w:rPr>
          <w:i/>
          <w:lang w:val="en-CA"/>
        </w:rPr>
        <w:t xml:space="preserve">PHA </w:t>
      </w:r>
      <w:r w:rsidRPr="008675A9">
        <w:rPr>
          <w:lang w:val="en-CA"/>
        </w:rPr>
        <w:t xml:space="preserve">are </w:t>
      </w:r>
      <w:r w:rsidR="009B679C">
        <w:rPr>
          <w:lang w:val="en-CA"/>
        </w:rPr>
        <w:t>in</w:t>
      </w:r>
      <w:r w:rsidRPr="008675A9">
        <w:rPr>
          <w:lang w:val="en-CA"/>
        </w:rPr>
        <w:t xml:space="preserve">applicable. </w:t>
      </w:r>
      <w:r w:rsidR="009B679C">
        <w:rPr>
          <w:lang w:val="en-CA"/>
        </w:rPr>
        <w:t>Whereas</w:t>
      </w:r>
      <w:r w:rsidR="009B679C" w:rsidRPr="008675A9">
        <w:rPr>
          <w:lang w:val="en-CA"/>
        </w:rPr>
        <w:t xml:space="preserve"> </w:t>
      </w:r>
      <w:r w:rsidRPr="008675A9">
        <w:rPr>
          <w:lang w:val="en-CA"/>
        </w:rPr>
        <w:t xml:space="preserve">the scope of the </w:t>
      </w:r>
      <w:r w:rsidR="009D4F7D" w:rsidRPr="008675A9">
        <w:rPr>
          <w:lang w:val="en-CA"/>
        </w:rPr>
        <w:t>o</w:t>
      </w:r>
      <w:r w:rsidRPr="008675A9">
        <w:rPr>
          <w:lang w:val="en-CA"/>
        </w:rPr>
        <w:t xml:space="preserve">rders in </w:t>
      </w:r>
      <w:r w:rsidR="009D4F7D" w:rsidRPr="008675A9">
        <w:rPr>
          <w:lang w:val="en-CA"/>
        </w:rPr>
        <w:t>c</w:t>
      </w:r>
      <w:r w:rsidRPr="008675A9">
        <w:rPr>
          <w:lang w:val="en-CA"/>
        </w:rPr>
        <w:t>ouncil are general, social, normative, and personal, the appellant argue</w:t>
      </w:r>
      <w:r w:rsidR="00A8270C" w:rsidRPr="008675A9">
        <w:rPr>
          <w:lang w:val="en-CA"/>
        </w:rPr>
        <w:t>d</w:t>
      </w:r>
      <w:r w:rsidRPr="008675A9">
        <w:rPr>
          <w:lang w:val="en-CA"/>
        </w:rPr>
        <w:t xml:space="preserve"> that section 139 </w:t>
      </w:r>
      <w:r w:rsidRPr="008675A9">
        <w:rPr>
          <w:i/>
          <w:iCs/>
          <w:lang w:val="en-CA"/>
        </w:rPr>
        <w:t>PHA</w:t>
      </w:r>
      <w:r w:rsidRPr="008675A9">
        <w:rPr>
          <w:lang w:val="en-CA"/>
        </w:rPr>
        <w:t xml:space="preserve"> can apply </w:t>
      </w:r>
      <w:r w:rsidR="008711A5">
        <w:rPr>
          <w:lang w:val="en-CA"/>
        </w:rPr>
        <w:t xml:space="preserve">only </w:t>
      </w:r>
      <w:r w:rsidR="00B404AE">
        <w:rPr>
          <w:lang w:val="en-CA"/>
        </w:rPr>
        <w:t>to</w:t>
      </w:r>
      <w:r w:rsidRPr="008675A9">
        <w:rPr>
          <w:lang w:val="en-CA"/>
        </w:rPr>
        <w:t xml:space="preserve"> individual </w:t>
      </w:r>
      <w:r w:rsidR="00B404AE">
        <w:rPr>
          <w:lang w:val="en-CA"/>
        </w:rPr>
        <w:t>orders</w:t>
      </w:r>
      <w:r w:rsidRPr="008675A9">
        <w:rPr>
          <w:lang w:val="en-CA"/>
        </w:rPr>
        <w:t>. The judge</w:t>
      </w:r>
      <w:r w:rsidR="008711A5">
        <w:rPr>
          <w:lang w:val="en-CA"/>
        </w:rPr>
        <w:t>, however,</w:t>
      </w:r>
      <w:r w:rsidRPr="008675A9">
        <w:rPr>
          <w:lang w:val="en-CA"/>
        </w:rPr>
        <w:t xml:space="preserve"> </w:t>
      </w:r>
      <w:r w:rsidR="00A8270C" w:rsidRPr="008675A9">
        <w:rPr>
          <w:lang w:val="en-CA"/>
        </w:rPr>
        <w:t>wa</w:t>
      </w:r>
      <w:r w:rsidRPr="008675A9">
        <w:rPr>
          <w:lang w:val="en-CA"/>
        </w:rPr>
        <w:t xml:space="preserve">s of the view that the appellant’s reasoning </w:t>
      </w:r>
      <w:r w:rsidR="00A8270C" w:rsidRPr="008675A9">
        <w:rPr>
          <w:lang w:val="en-CA"/>
        </w:rPr>
        <w:t>wa</w:t>
      </w:r>
      <w:r w:rsidRPr="008675A9">
        <w:rPr>
          <w:lang w:val="en-CA"/>
        </w:rPr>
        <w:t xml:space="preserve">s </w:t>
      </w:r>
      <w:r w:rsidR="00A8270C" w:rsidRPr="008675A9">
        <w:rPr>
          <w:lang w:val="en-CA"/>
        </w:rPr>
        <w:t>unsound</w:t>
      </w:r>
      <w:r w:rsidR="008711A5">
        <w:rPr>
          <w:lang w:val="en-CA"/>
        </w:rPr>
        <w:t>, as it would</w:t>
      </w:r>
      <w:r w:rsidR="00BB0E63">
        <w:rPr>
          <w:lang w:val="en-CA"/>
        </w:rPr>
        <w:t xml:space="preserve"> allow</w:t>
      </w:r>
      <w:r w:rsidRPr="008675A9">
        <w:rPr>
          <w:lang w:val="en-CA"/>
        </w:rPr>
        <w:t xml:space="preserve"> the Government </w:t>
      </w:r>
      <w:r w:rsidR="00BB0E63">
        <w:rPr>
          <w:lang w:val="en-CA"/>
        </w:rPr>
        <w:t>to</w:t>
      </w:r>
      <w:r w:rsidR="00BB0E63" w:rsidRPr="008675A9">
        <w:rPr>
          <w:lang w:val="en-CA"/>
        </w:rPr>
        <w:t xml:space="preserve"> </w:t>
      </w:r>
      <w:r w:rsidRPr="008675A9">
        <w:rPr>
          <w:lang w:val="en-CA"/>
        </w:rPr>
        <w:t xml:space="preserve">prescribe rules without being able to </w:t>
      </w:r>
      <w:r w:rsidR="00BB0E63">
        <w:rPr>
          <w:lang w:val="en-CA"/>
        </w:rPr>
        <w:t>sanction non-compliance</w:t>
      </w:r>
      <w:r w:rsidRPr="008675A9">
        <w:rPr>
          <w:lang w:val="en-CA"/>
        </w:rPr>
        <w:t xml:space="preserve"> by individual</w:t>
      </w:r>
      <w:r w:rsidR="00A8270C" w:rsidRPr="008675A9">
        <w:rPr>
          <w:lang w:val="en-CA"/>
        </w:rPr>
        <w:t>s</w:t>
      </w:r>
      <w:r w:rsidRPr="008675A9">
        <w:rPr>
          <w:lang w:val="en-CA"/>
        </w:rPr>
        <w:t>, which [</w:t>
      </w:r>
      <w:r w:rsidRPr="008675A9">
        <w:rPr>
          <w:smallCaps/>
          <w:lang w:val="en-CA"/>
        </w:rPr>
        <w:t>transla</w:t>
      </w:r>
      <w:r w:rsidR="00A8270C" w:rsidRPr="008675A9">
        <w:rPr>
          <w:smallCaps/>
          <w:lang w:val="en-CA"/>
        </w:rPr>
        <w:t>tion</w:t>
      </w:r>
      <w:r w:rsidRPr="008675A9">
        <w:rPr>
          <w:lang w:val="en-CA"/>
        </w:rPr>
        <w:t>] “</w:t>
      </w:r>
      <w:r w:rsidR="008711A5">
        <w:rPr>
          <w:lang w:val="en-CA"/>
        </w:rPr>
        <w:t xml:space="preserve">would </w:t>
      </w:r>
      <w:r w:rsidRPr="008675A9">
        <w:rPr>
          <w:lang w:val="en-CA"/>
        </w:rPr>
        <w:t xml:space="preserve">deprive the regulations and </w:t>
      </w:r>
      <w:r w:rsidR="009D4F7D" w:rsidRPr="008675A9">
        <w:rPr>
          <w:lang w:val="en-CA"/>
        </w:rPr>
        <w:t>o</w:t>
      </w:r>
      <w:r w:rsidRPr="008675A9">
        <w:rPr>
          <w:lang w:val="en-CA"/>
        </w:rPr>
        <w:t>rders</w:t>
      </w:r>
      <w:r w:rsidR="009D4F7D" w:rsidRPr="008675A9">
        <w:rPr>
          <w:lang w:val="en-CA"/>
        </w:rPr>
        <w:t xml:space="preserve"> in </w:t>
      </w:r>
      <w:r w:rsidR="002D4F61">
        <w:rPr>
          <w:lang w:val="en-CA"/>
        </w:rPr>
        <w:t>c</w:t>
      </w:r>
      <w:r w:rsidR="009D4F7D" w:rsidRPr="008675A9">
        <w:rPr>
          <w:lang w:val="en-CA"/>
        </w:rPr>
        <w:t xml:space="preserve">ouncil </w:t>
      </w:r>
      <w:r w:rsidRPr="008675A9">
        <w:rPr>
          <w:lang w:val="en-CA"/>
        </w:rPr>
        <w:t xml:space="preserve">of any real effect and lead to disaster”. </w:t>
      </w:r>
      <w:r w:rsidR="008711A5">
        <w:rPr>
          <w:lang w:val="en-CA"/>
        </w:rPr>
        <w:t>The judge concluded that, despite their normative and impersonal nature, t</w:t>
      </w:r>
      <w:r w:rsidRPr="008675A9">
        <w:rPr>
          <w:lang w:val="en-CA"/>
        </w:rPr>
        <w:t>o achieve their objective, [</w:t>
      </w:r>
      <w:r w:rsidRPr="008675A9">
        <w:rPr>
          <w:smallCaps/>
          <w:lang w:val="en-CA"/>
        </w:rPr>
        <w:t>translation</w:t>
      </w:r>
      <w:r w:rsidRPr="008675A9">
        <w:rPr>
          <w:lang w:val="en-CA"/>
        </w:rPr>
        <w:t xml:space="preserve">] “the regulations must one way or another control or delineate </w:t>
      </w:r>
      <w:r w:rsidR="00A8270C" w:rsidRPr="008675A9">
        <w:rPr>
          <w:lang w:val="en-CA"/>
        </w:rPr>
        <w:t xml:space="preserve">the </w:t>
      </w:r>
      <w:r w:rsidRPr="008675A9">
        <w:rPr>
          <w:lang w:val="en-CA"/>
        </w:rPr>
        <w:t>behaviour</w:t>
      </w:r>
      <w:r w:rsidR="00BB0E63">
        <w:rPr>
          <w:lang w:val="en-CA"/>
        </w:rPr>
        <w:t xml:space="preserve"> of individuals</w:t>
      </w:r>
      <w:r w:rsidRPr="008675A9">
        <w:rPr>
          <w:lang w:val="en-CA"/>
        </w:rPr>
        <w:t>”.</w:t>
      </w:r>
      <w:r w:rsidRPr="008675A9">
        <w:rPr>
          <w:rStyle w:val="Appelnotedebasdep"/>
          <w:lang w:val="en-CA"/>
        </w:rPr>
        <w:footnoteReference w:id="6"/>
      </w:r>
      <w:r w:rsidRPr="008675A9">
        <w:rPr>
          <w:lang w:val="en-CA"/>
        </w:rPr>
        <w:t xml:space="preserve"> </w:t>
      </w:r>
    </w:p>
    <w:p w14:paraId="13F387F3" w14:textId="0DF46754" w:rsidR="001516A0" w:rsidRPr="00AB5ACC" w:rsidRDefault="00BD41E7" w:rsidP="00043A62">
      <w:pPr>
        <w:pStyle w:val="Titre4"/>
        <w:rPr>
          <w:lang w:val="en-CA"/>
        </w:rPr>
      </w:pPr>
      <w:r w:rsidRPr="00AB5ACC">
        <w:rPr>
          <w:lang w:val="en-CA"/>
        </w:rPr>
        <w:t>The grounds of appeal</w:t>
      </w:r>
    </w:p>
    <w:p w14:paraId="00B324DC" w14:textId="0275BED9" w:rsidR="001516A0" w:rsidRPr="008675A9" w:rsidRDefault="00BD41E7" w:rsidP="00043A62">
      <w:pPr>
        <w:pStyle w:val="Paragraphe"/>
        <w:spacing w:line="280" w:lineRule="exact"/>
        <w:rPr>
          <w:lang w:val="en-CA"/>
        </w:rPr>
      </w:pPr>
      <w:r w:rsidRPr="008675A9">
        <w:rPr>
          <w:lang w:val="en-CA"/>
        </w:rPr>
        <w:t>The appellant raises two grounds of appeal, which can be expressed as follows:</w:t>
      </w:r>
    </w:p>
    <w:p w14:paraId="7399CC82" w14:textId="2F53B256" w:rsidR="001516A0" w:rsidRPr="00AB5ACC" w:rsidRDefault="00BD41E7" w:rsidP="00043A62">
      <w:pPr>
        <w:pStyle w:val="Paragraphedeliste"/>
        <w:numPr>
          <w:ilvl w:val="0"/>
          <w:numId w:val="19"/>
        </w:numPr>
        <w:spacing w:before="60" w:after="60"/>
        <w:jc w:val="both"/>
        <w:rPr>
          <w:kern w:val="28"/>
          <w:lang w:val="en-CA"/>
        </w:rPr>
      </w:pPr>
      <w:r w:rsidRPr="00AB5ACC">
        <w:rPr>
          <w:kern w:val="28"/>
          <w:lang w:val="en-CA"/>
        </w:rPr>
        <w:t xml:space="preserve">Did the trial judge err in concluding </w:t>
      </w:r>
      <w:r w:rsidR="00361DBF" w:rsidRPr="00AB5ACC">
        <w:rPr>
          <w:kern w:val="28"/>
          <w:lang w:val="en-CA"/>
        </w:rPr>
        <w:t xml:space="preserve">that </w:t>
      </w:r>
      <w:r w:rsidRPr="00AB5ACC">
        <w:rPr>
          <w:kern w:val="28"/>
          <w:lang w:val="en-CA"/>
        </w:rPr>
        <w:t>the orders in council renewing the public health emergency were valid?</w:t>
      </w:r>
    </w:p>
    <w:p w14:paraId="6E478718" w14:textId="77777777" w:rsidR="00823BC1" w:rsidRPr="008675A9" w:rsidRDefault="00EB60E0" w:rsidP="00823BC1">
      <w:pPr>
        <w:ind w:left="1440"/>
        <w:rPr>
          <w:lang w:val="en-CA"/>
        </w:rPr>
      </w:pPr>
    </w:p>
    <w:p w14:paraId="49169071" w14:textId="73A90134" w:rsidR="001516A0" w:rsidRPr="00AB5ACC" w:rsidRDefault="00BD41E7" w:rsidP="00043A62">
      <w:pPr>
        <w:pStyle w:val="Paragraphedeliste"/>
        <w:numPr>
          <w:ilvl w:val="0"/>
          <w:numId w:val="19"/>
        </w:numPr>
        <w:spacing w:before="60" w:after="60"/>
        <w:jc w:val="both"/>
        <w:rPr>
          <w:kern w:val="28"/>
          <w:lang w:val="en-CA"/>
        </w:rPr>
      </w:pPr>
      <w:r w:rsidRPr="00AB5ACC">
        <w:rPr>
          <w:kern w:val="28"/>
          <w:lang w:val="en-CA"/>
        </w:rPr>
        <w:t xml:space="preserve">Did the judge err in concluding that the penal provisions </w:t>
      </w:r>
      <w:r w:rsidR="00BB51B4">
        <w:rPr>
          <w:kern w:val="28"/>
          <w:lang w:val="en-CA"/>
        </w:rPr>
        <w:t>of</w:t>
      </w:r>
      <w:r w:rsidR="00BB51B4" w:rsidRPr="00AB5ACC">
        <w:rPr>
          <w:kern w:val="28"/>
          <w:lang w:val="en-CA"/>
        </w:rPr>
        <w:t xml:space="preserve"> </w:t>
      </w:r>
      <w:r w:rsidRPr="00AB5ACC">
        <w:rPr>
          <w:kern w:val="28"/>
          <w:lang w:val="en-CA"/>
        </w:rPr>
        <w:t xml:space="preserve">section 139 </w:t>
      </w:r>
      <w:r w:rsidRPr="00AB5ACC">
        <w:rPr>
          <w:i/>
          <w:iCs/>
          <w:kern w:val="28"/>
          <w:lang w:val="en-CA"/>
        </w:rPr>
        <w:t>PHA</w:t>
      </w:r>
      <w:r w:rsidRPr="00AB5ACC">
        <w:rPr>
          <w:kern w:val="28"/>
          <w:lang w:val="en-CA"/>
        </w:rPr>
        <w:t xml:space="preserve"> apply to the measures adopted by orders in council?</w:t>
      </w:r>
    </w:p>
    <w:p w14:paraId="01B0081C" w14:textId="54BDF016" w:rsidR="001516A0" w:rsidRPr="00AB5ACC" w:rsidRDefault="00BD41E7" w:rsidP="00043A62">
      <w:pPr>
        <w:pStyle w:val="Titre4"/>
        <w:rPr>
          <w:lang w:val="en-CA"/>
        </w:rPr>
      </w:pPr>
      <w:r w:rsidRPr="00AB5ACC">
        <w:rPr>
          <w:lang w:val="en-CA"/>
        </w:rPr>
        <w:t>Standard of review</w:t>
      </w:r>
    </w:p>
    <w:p w14:paraId="5933D178" w14:textId="6FC9614F" w:rsidR="001516A0" w:rsidRPr="008675A9" w:rsidRDefault="00BD41E7" w:rsidP="00043A62">
      <w:pPr>
        <w:pStyle w:val="Paragraphe"/>
        <w:spacing w:line="280" w:lineRule="exact"/>
        <w:rPr>
          <w:lang w:val="en-CA"/>
        </w:rPr>
      </w:pPr>
      <w:r w:rsidRPr="008675A9">
        <w:rPr>
          <w:lang w:val="en-CA"/>
        </w:rPr>
        <w:t xml:space="preserve">As stated, the parties </w:t>
      </w:r>
      <w:r w:rsidR="00015785" w:rsidRPr="008675A9">
        <w:rPr>
          <w:lang w:val="en-CA"/>
        </w:rPr>
        <w:t>agree</w:t>
      </w:r>
      <w:r w:rsidRPr="008675A9">
        <w:rPr>
          <w:lang w:val="en-CA"/>
        </w:rPr>
        <w:t xml:space="preserve"> that the reasonableness standard applies, in accordance with the principles established in </w:t>
      </w:r>
      <w:r w:rsidRPr="008675A9">
        <w:rPr>
          <w:i/>
          <w:lang w:val="en-CA"/>
        </w:rPr>
        <w:t>Vavilov</w:t>
      </w:r>
      <w:r w:rsidRPr="008675A9">
        <w:rPr>
          <w:lang w:val="en-CA"/>
        </w:rPr>
        <w:t>.</w:t>
      </w:r>
      <w:r w:rsidRPr="008675A9">
        <w:rPr>
          <w:rStyle w:val="Appelnotedebasdep"/>
          <w:lang w:val="en-CA"/>
        </w:rPr>
        <w:footnoteReference w:id="7"/>
      </w:r>
      <w:r w:rsidRPr="008675A9">
        <w:rPr>
          <w:lang w:val="en-CA"/>
        </w:rPr>
        <w:t xml:space="preserve"> </w:t>
      </w:r>
    </w:p>
    <w:p w14:paraId="33F7C462" w14:textId="4744D690" w:rsidR="001516A0" w:rsidRPr="008675A9" w:rsidRDefault="00A8270C" w:rsidP="00043A62">
      <w:pPr>
        <w:pStyle w:val="Paragraphe"/>
        <w:spacing w:line="280" w:lineRule="exact"/>
        <w:rPr>
          <w:lang w:val="en-CA"/>
        </w:rPr>
      </w:pPr>
      <w:r w:rsidRPr="00AB5ACC">
        <w:rPr>
          <w:lang w:val="en-CA"/>
        </w:rPr>
        <w:lastRenderedPageBreak/>
        <w:t>In matters of judicial review, t</w:t>
      </w:r>
      <w:r w:rsidR="00BD41E7" w:rsidRPr="00AB5ACC">
        <w:rPr>
          <w:lang w:val="en-CA"/>
        </w:rPr>
        <w:t xml:space="preserve">he Court of Appeal must ensure that the Superior Court </w:t>
      </w:r>
      <w:r w:rsidR="002D4F61" w:rsidRPr="00AB5ACC">
        <w:rPr>
          <w:lang w:val="en-CA"/>
        </w:rPr>
        <w:t>chose</w:t>
      </w:r>
      <w:r w:rsidR="00BD41E7" w:rsidRPr="00AB5ACC">
        <w:rPr>
          <w:lang w:val="en-CA"/>
        </w:rPr>
        <w:t xml:space="preserve"> the </w:t>
      </w:r>
      <w:r w:rsidR="00015785">
        <w:rPr>
          <w:lang w:val="en-CA"/>
        </w:rPr>
        <w:t>appropriate</w:t>
      </w:r>
      <w:r w:rsidR="00BD41E7" w:rsidRPr="00AB5ACC">
        <w:rPr>
          <w:lang w:val="en-CA"/>
        </w:rPr>
        <w:t xml:space="preserve"> standard of review and applied it correctly</w:t>
      </w:r>
      <w:r w:rsidRPr="008675A9">
        <w:rPr>
          <w:lang w:val="en-CA"/>
        </w:rPr>
        <w:t>.</w:t>
      </w:r>
      <w:r w:rsidR="00BD41E7" w:rsidRPr="008675A9">
        <w:rPr>
          <w:rStyle w:val="Appelnotedebasdep"/>
          <w:lang w:val="en-CA"/>
        </w:rPr>
        <w:footnoteReference w:id="8"/>
      </w:r>
      <w:r w:rsidR="00BD41E7" w:rsidRPr="008675A9">
        <w:rPr>
          <w:lang w:val="en-CA"/>
        </w:rPr>
        <w:t xml:space="preserve"> Its role is not </w:t>
      </w:r>
      <w:r w:rsidR="00FB6320">
        <w:rPr>
          <w:lang w:val="en-CA"/>
        </w:rPr>
        <w:t>merely to determine</w:t>
      </w:r>
      <w:r w:rsidR="00BD41E7" w:rsidRPr="008675A9">
        <w:rPr>
          <w:lang w:val="en-CA"/>
        </w:rPr>
        <w:t xml:space="preserve"> whether the judge committed a palpable and overriding error</w:t>
      </w:r>
      <w:r w:rsidR="00FB6320">
        <w:rPr>
          <w:lang w:val="en-CA"/>
        </w:rPr>
        <w:t>.</w:t>
      </w:r>
      <w:r w:rsidRPr="008675A9">
        <w:rPr>
          <w:rStyle w:val="Appelnotedebasdep"/>
          <w:lang w:val="en-CA"/>
        </w:rPr>
        <w:footnoteReference w:id="9"/>
      </w:r>
      <w:r w:rsidR="00BD41E7" w:rsidRPr="008675A9">
        <w:rPr>
          <w:lang w:val="en-CA"/>
        </w:rPr>
        <w:t xml:space="preserve"> </w:t>
      </w:r>
      <w:r w:rsidR="00FB6320">
        <w:rPr>
          <w:lang w:val="en-CA"/>
        </w:rPr>
        <w:t xml:space="preserve">Rather, it </w:t>
      </w:r>
      <w:r w:rsidR="00BD41E7" w:rsidRPr="008675A9">
        <w:rPr>
          <w:lang w:val="en-CA"/>
        </w:rPr>
        <w:t>must step into the shoes of the lower court</w:t>
      </w:r>
      <w:r w:rsidR="00FB6320">
        <w:rPr>
          <w:lang w:val="en-CA"/>
        </w:rPr>
        <w:t>,</w:t>
      </w:r>
      <w:r w:rsidR="00BD41E7" w:rsidRPr="008675A9">
        <w:rPr>
          <w:lang w:val="en-CA"/>
        </w:rPr>
        <w:t xml:space="preserve"> and </w:t>
      </w:r>
      <w:r w:rsidR="00361DBF" w:rsidRPr="008675A9">
        <w:rPr>
          <w:lang w:val="en-CA"/>
        </w:rPr>
        <w:t>its</w:t>
      </w:r>
      <w:r w:rsidR="00BD41E7" w:rsidRPr="008675A9">
        <w:rPr>
          <w:lang w:val="en-CA"/>
        </w:rPr>
        <w:t xml:space="preserve"> “focus is, in effect, on the administrative decision”.</w:t>
      </w:r>
      <w:r w:rsidR="00BD41E7" w:rsidRPr="008675A9">
        <w:rPr>
          <w:rStyle w:val="Appelnotedebasdep"/>
          <w:lang w:val="en-CA"/>
        </w:rPr>
        <w:footnoteReference w:id="10"/>
      </w:r>
      <w:r w:rsidRPr="008675A9">
        <w:rPr>
          <w:lang w:val="en-CA"/>
        </w:rPr>
        <w:t xml:space="preserve"> </w:t>
      </w:r>
      <w:r w:rsidR="00015785">
        <w:rPr>
          <w:lang w:val="en-CA"/>
        </w:rPr>
        <w:t xml:space="preserve">This case </w:t>
      </w:r>
      <w:r w:rsidR="00FB6320">
        <w:rPr>
          <w:lang w:val="en-CA"/>
        </w:rPr>
        <w:t xml:space="preserve">does not concern </w:t>
      </w:r>
      <w:r w:rsidR="00BD41E7" w:rsidRPr="008675A9">
        <w:rPr>
          <w:lang w:val="en-CA"/>
        </w:rPr>
        <w:t>an administrative tribunal decision</w:t>
      </w:r>
      <w:r w:rsidR="00FB6320">
        <w:rPr>
          <w:lang w:val="en-CA"/>
        </w:rPr>
        <w:t xml:space="preserve">; rather, it is </w:t>
      </w:r>
      <w:r w:rsidR="00BD41E7" w:rsidRPr="008675A9">
        <w:rPr>
          <w:lang w:val="en-CA"/>
        </w:rPr>
        <w:t xml:space="preserve">the exercise of the </w:t>
      </w:r>
      <w:r w:rsidR="00361DBF" w:rsidRPr="008675A9">
        <w:rPr>
          <w:lang w:val="en-CA"/>
        </w:rPr>
        <w:t>statutory</w:t>
      </w:r>
      <w:r w:rsidR="00BD41E7" w:rsidRPr="008675A9">
        <w:rPr>
          <w:lang w:val="en-CA"/>
        </w:rPr>
        <w:t xml:space="preserve"> power delegated to the Government to renew the public health emergency for periods of </w:t>
      </w:r>
      <w:r w:rsidR="002D4F61">
        <w:rPr>
          <w:lang w:val="en-CA"/>
        </w:rPr>
        <w:t>6</w:t>
      </w:r>
      <w:r w:rsidR="00BD41E7" w:rsidRPr="008675A9">
        <w:rPr>
          <w:lang w:val="en-CA"/>
        </w:rPr>
        <w:t xml:space="preserve"> to </w:t>
      </w:r>
      <w:r w:rsidR="002D4F61">
        <w:rPr>
          <w:lang w:val="en-CA"/>
        </w:rPr>
        <w:t>10</w:t>
      </w:r>
      <w:r w:rsidR="00BD41E7" w:rsidRPr="008675A9">
        <w:rPr>
          <w:lang w:val="en-CA"/>
        </w:rPr>
        <w:t xml:space="preserve"> days</w:t>
      </w:r>
      <w:r w:rsidR="00C40698" w:rsidRPr="008675A9">
        <w:rPr>
          <w:lang w:val="en-CA"/>
        </w:rPr>
        <w:t xml:space="preserve"> since March 13, 2020</w:t>
      </w:r>
      <w:r w:rsidR="00BD41E7" w:rsidRPr="008675A9">
        <w:rPr>
          <w:lang w:val="en-CA"/>
        </w:rPr>
        <w:t>, without the consent of the National Assembly</w:t>
      </w:r>
      <w:r w:rsidR="002D4F61">
        <w:rPr>
          <w:lang w:val="en-CA"/>
        </w:rPr>
        <w:t>,</w:t>
      </w:r>
      <w:r w:rsidR="002D4F61" w:rsidRPr="002D4F61">
        <w:rPr>
          <w:lang w:val="en-CA"/>
        </w:rPr>
        <w:t xml:space="preserve"> </w:t>
      </w:r>
      <w:r w:rsidR="00FB6320">
        <w:rPr>
          <w:lang w:val="en-CA"/>
        </w:rPr>
        <w:t xml:space="preserve">that </w:t>
      </w:r>
      <w:r w:rsidR="002D4F61">
        <w:rPr>
          <w:lang w:val="en-CA"/>
        </w:rPr>
        <w:t>must be reviewed</w:t>
      </w:r>
      <w:r w:rsidR="00BD41E7" w:rsidRPr="008675A9">
        <w:rPr>
          <w:lang w:val="en-CA"/>
        </w:rPr>
        <w:t>.</w:t>
      </w:r>
      <w:r w:rsidR="00BD41E7" w:rsidRPr="008675A9">
        <w:rPr>
          <w:rStyle w:val="Appelnotedebasdep"/>
          <w:lang w:val="en-CA"/>
        </w:rPr>
        <w:footnoteReference w:id="11"/>
      </w:r>
      <w:r w:rsidR="00BD41E7" w:rsidRPr="008675A9">
        <w:rPr>
          <w:lang w:val="en-CA"/>
        </w:rPr>
        <w:t xml:space="preserve"> </w:t>
      </w:r>
    </w:p>
    <w:p w14:paraId="4335C1A3" w14:textId="5BD5FF9C" w:rsidR="001516A0" w:rsidRPr="00AB5ACC" w:rsidRDefault="00BD41E7" w:rsidP="00043A62">
      <w:pPr>
        <w:pStyle w:val="Paragraphe"/>
        <w:numPr>
          <w:ilvl w:val="0"/>
          <w:numId w:val="20"/>
        </w:numPr>
        <w:spacing w:line="280" w:lineRule="exact"/>
        <w:rPr>
          <w:b/>
          <w:lang w:val="en-CA"/>
        </w:rPr>
      </w:pPr>
      <w:r w:rsidRPr="00AB5ACC">
        <w:rPr>
          <w:b/>
          <w:lang w:val="en-CA"/>
        </w:rPr>
        <w:t xml:space="preserve">Did the trial judge err in concluding </w:t>
      </w:r>
      <w:r w:rsidR="00361DBF" w:rsidRPr="00AB5ACC">
        <w:rPr>
          <w:b/>
          <w:lang w:val="en-CA"/>
        </w:rPr>
        <w:t xml:space="preserve">that </w:t>
      </w:r>
      <w:r w:rsidRPr="00AB5ACC">
        <w:rPr>
          <w:b/>
          <w:lang w:val="en-CA"/>
        </w:rPr>
        <w:t>the orders in council renewing the public health emergency were valid?</w:t>
      </w:r>
    </w:p>
    <w:p w14:paraId="0052627C" w14:textId="20190EA4" w:rsidR="001516A0" w:rsidRPr="008675A9" w:rsidRDefault="00361DBF" w:rsidP="00043A62">
      <w:pPr>
        <w:pStyle w:val="Paragraphe"/>
        <w:spacing w:line="280" w:lineRule="exact"/>
        <w:rPr>
          <w:lang w:val="en-CA"/>
        </w:rPr>
      </w:pPr>
      <w:r w:rsidRPr="008675A9">
        <w:rPr>
          <w:lang w:val="en-CA"/>
        </w:rPr>
        <w:t xml:space="preserve">The appellant argues that section 119 </w:t>
      </w:r>
      <w:r w:rsidRPr="008675A9">
        <w:rPr>
          <w:i/>
          <w:iCs/>
          <w:lang w:val="en-CA"/>
        </w:rPr>
        <w:t>PHA</w:t>
      </w:r>
      <w:r w:rsidRPr="008675A9">
        <w:rPr>
          <w:lang w:val="en-CA"/>
        </w:rPr>
        <w:t xml:space="preserve"> is open to interpretation and</w:t>
      </w:r>
      <w:r w:rsidR="00FB6320">
        <w:rPr>
          <w:lang w:val="en-CA"/>
        </w:rPr>
        <w:t xml:space="preserve"> that</w:t>
      </w:r>
      <w:r w:rsidRPr="008675A9">
        <w:rPr>
          <w:lang w:val="en-CA"/>
        </w:rPr>
        <w:t xml:space="preserve"> the intention of the legislature must </w:t>
      </w:r>
      <w:r w:rsidR="00FB6320">
        <w:rPr>
          <w:lang w:val="en-CA"/>
        </w:rPr>
        <w:t xml:space="preserve">therefore </w:t>
      </w:r>
      <w:r w:rsidRPr="008675A9">
        <w:rPr>
          <w:lang w:val="en-CA"/>
        </w:rPr>
        <w:t>be sought.</w:t>
      </w:r>
      <w:r w:rsidR="00BD41E7" w:rsidRPr="008675A9">
        <w:rPr>
          <w:lang w:val="en-CA"/>
        </w:rPr>
        <w:t xml:space="preserve"> </w:t>
      </w:r>
      <w:r w:rsidR="00FB6320">
        <w:rPr>
          <w:lang w:val="en-CA"/>
        </w:rPr>
        <w:t>In his view</w:t>
      </w:r>
      <w:r w:rsidRPr="008675A9">
        <w:rPr>
          <w:lang w:val="en-CA"/>
        </w:rPr>
        <w:t xml:space="preserve">, </w:t>
      </w:r>
      <w:r w:rsidR="00FB6320">
        <w:rPr>
          <w:lang w:val="en-CA"/>
        </w:rPr>
        <w:t xml:space="preserve">it should accordingly be concluded </w:t>
      </w:r>
      <w:r w:rsidRPr="008675A9">
        <w:rPr>
          <w:lang w:val="en-CA"/>
        </w:rPr>
        <w:t xml:space="preserve">that the </w:t>
      </w:r>
      <w:r w:rsidR="0068323E" w:rsidRPr="008675A9">
        <w:rPr>
          <w:lang w:val="en-CA"/>
        </w:rPr>
        <w:t>legislature</w:t>
      </w:r>
      <w:r w:rsidRPr="008675A9">
        <w:rPr>
          <w:lang w:val="en-CA"/>
        </w:rPr>
        <w:t xml:space="preserve"> did not want the Government to be able to renew the public health emergency by successive periods of a maximum of </w:t>
      </w:r>
      <w:r w:rsidR="002D4F61">
        <w:rPr>
          <w:lang w:val="en-CA"/>
        </w:rPr>
        <w:t>10</w:t>
      </w:r>
      <w:r w:rsidRPr="008675A9">
        <w:rPr>
          <w:lang w:val="en-CA"/>
        </w:rPr>
        <w:t xml:space="preserve"> days totalling more than 30 days without consulting the National Assembly,</w:t>
      </w:r>
      <w:r w:rsidR="00486D04">
        <w:rPr>
          <w:lang w:val="en-CA"/>
        </w:rPr>
        <w:t xml:space="preserve"> </w:t>
      </w:r>
      <w:r w:rsidRPr="008675A9">
        <w:rPr>
          <w:lang w:val="en-CA"/>
        </w:rPr>
        <w:t xml:space="preserve">knowing that the situation would continue and that the </w:t>
      </w:r>
      <w:r w:rsidR="001B7266">
        <w:rPr>
          <w:lang w:val="en-CA"/>
        </w:rPr>
        <w:t xml:space="preserve">necessary </w:t>
      </w:r>
      <w:r w:rsidRPr="008675A9">
        <w:rPr>
          <w:lang w:val="en-CA"/>
        </w:rPr>
        <w:t>measures could be anticipated.</w:t>
      </w:r>
      <w:r w:rsidR="00BD41E7" w:rsidRPr="008675A9">
        <w:rPr>
          <w:lang w:val="en-CA"/>
        </w:rPr>
        <w:t xml:space="preserve"> </w:t>
      </w:r>
      <w:r w:rsidRPr="008675A9">
        <w:rPr>
          <w:lang w:val="en-CA"/>
        </w:rPr>
        <w:t xml:space="preserve">The term “renew” </w:t>
      </w:r>
      <w:r w:rsidR="00BE564E" w:rsidRPr="008675A9">
        <w:rPr>
          <w:lang w:val="en-CA"/>
        </w:rPr>
        <w:t>points</w:t>
      </w:r>
      <w:r w:rsidRPr="008675A9">
        <w:rPr>
          <w:lang w:val="en-CA"/>
        </w:rPr>
        <w:t xml:space="preserve"> to a </w:t>
      </w:r>
      <w:r w:rsidR="004E4F9A">
        <w:rPr>
          <w:lang w:val="en-CA"/>
        </w:rPr>
        <w:t>situation that starts again</w:t>
      </w:r>
      <w:r w:rsidR="001B7266">
        <w:rPr>
          <w:lang w:val="en-CA"/>
        </w:rPr>
        <w:t>,</w:t>
      </w:r>
      <w:r w:rsidR="004E4F9A">
        <w:rPr>
          <w:lang w:val="en-CA"/>
        </w:rPr>
        <w:t xml:space="preserve"> rather than one that continues</w:t>
      </w:r>
      <w:r w:rsidRPr="008675A9">
        <w:rPr>
          <w:lang w:val="en-CA"/>
        </w:rPr>
        <w:t>.</w:t>
      </w:r>
      <w:r w:rsidR="00BD41E7" w:rsidRPr="008675A9">
        <w:rPr>
          <w:lang w:val="en-CA"/>
        </w:rPr>
        <w:t xml:space="preserve"> </w:t>
      </w:r>
      <w:r w:rsidRPr="008675A9">
        <w:rPr>
          <w:lang w:val="en-CA"/>
        </w:rPr>
        <w:t>Each renewal should therefore be subject to the same condition as the initial declaration of a public health emergency, that is, an emergency.</w:t>
      </w:r>
    </w:p>
    <w:p w14:paraId="7398E179" w14:textId="743FF075" w:rsidR="001516A0" w:rsidRPr="008675A9" w:rsidRDefault="00361DBF" w:rsidP="00043A62">
      <w:pPr>
        <w:pStyle w:val="Paragraphe"/>
        <w:spacing w:line="280" w:lineRule="exact"/>
        <w:rPr>
          <w:lang w:val="en-CA"/>
        </w:rPr>
      </w:pPr>
      <w:r w:rsidRPr="008675A9">
        <w:rPr>
          <w:lang w:val="en-CA"/>
        </w:rPr>
        <w:t xml:space="preserve">According to the appellant, the purposive construction approach </w:t>
      </w:r>
      <w:r w:rsidR="00BE564E" w:rsidRPr="008675A9">
        <w:rPr>
          <w:lang w:val="en-CA"/>
        </w:rPr>
        <w:t>l</w:t>
      </w:r>
      <w:r w:rsidRPr="008675A9">
        <w:rPr>
          <w:lang w:val="en-CA"/>
        </w:rPr>
        <w:t xml:space="preserve">eads to the conclusion that the legislature, by adding the terms “or, with the consent of the National Assembly, for a maximum period of 30 days”, wanted to subject the renewal of the public health emergency to the approval of the elected members </w:t>
      </w:r>
      <w:r w:rsidR="002F69C1">
        <w:rPr>
          <w:lang w:val="en-CA"/>
        </w:rPr>
        <w:t>whenever</w:t>
      </w:r>
      <w:r w:rsidRPr="008675A9">
        <w:rPr>
          <w:lang w:val="en-CA"/>
        </w:rPr>
        <w:t xml:space="preserve"> measures set out in section 123 </w:t>
      </w:r>
      <w:r w:rsidRPr="008675A9">
        <w:rPr>
          <w:i/>
          <w:iCs/>
          <w:lang w:val="en-CA"/>
        </w:rPr>
        <w:t>PHA</w:t>
      </w:r>
      <w:r w:rsidRPr="008675A9">
        <w:rPr>
          <w:lang w:val="en-CA"/>
        </w:rPr>
        <w:t xml:space="preserve"> are adopted for more than 10 days.</w:t>
      </w:r>
    </w:p>
    <w:p w14:paraId="4B0EC22A" w14:textId="2ACB8570" w:rsidR="001516A0" w:rsidRPr="008675A9" w:rsidRDefault="00361DBF" w:rsidP="00043A62">
      <w:pPr>
        <w:pStyle w:val="Paragraphe"/>
        <w:spacing w:line="280" w:lineRule="exact"/>
        <w:rPr>
          <w:lang w:val="en-CA"/>
        </w:rPr>
      </w:pPr>
      <w:r w:rsidRPr="008675A9">
        <w:rPr>
          <w:lang w:val="en-CA"/>
        </w:rPr>
        <w:t xml:space="preserve">The appellant understands from the parliamentary debates surrounding the adoption of the </w:t>
      </w:r>
      <w:r w:rsidRPr="008675A9">
        <w:rPr>
          <w:i/>
          <w:iCs/>
          <w:lang w:val="en-CA"/>
        </w:rPr>
        <w:t>Civil Protection Act</w:t>
      </w:r>
      <w:r w:rsidRPr="008675A9">
        <w:rPr>
          <w:lang w:val="en-CA"/>
        </w:rPr>
        <w:t xml:space="preserve"> that </w:t>
      </w:r>
      <w:r w:rsidR="007F5D57">
        <w:rPr>
          <w:lang w:val="en-CA"/>
        </w:rPr>
        <w:t>a</w:t>
      </w:r>
      <w:r w:rsidRPr="008675A9">
        <w:rPr>
          <w:lang w:val="en-CA"/>
        </w:rPr>
        <w:t xml:space="preserve"> declaration of </w:t>
      </w:r>
      <w:r w:rsidR="002F69C1" w:rsidRPr="008675A9">
        <w:rPr>
          <w:lang w:val="en-CA"/>
        </w:rPr>
        <w:t>a</w:t>
      </w:r>
      <w:r w:rsidR="008F0F7D">
        <w:rPr>
          <w:lang w:val="en-CA"/>
        </w:rPr>
        <w:t xml:space="preserve">n </w:t>
      </w:r>
      <w:r w:rsidRPr="008675A9">
        <w:rPr>
          <w:lang w:val="en-CA"/>
        </w:rPr>
        <w:t>emergency targets [</w:t>
      </w:r>
      <w:r w:rsidRPr="008675A9">
        <w:rPr>
          <w:smallCaps/>
          <w:lang w:val="en-CA"/>
        </w:rPr>
        <w:t>translation</w:t>
      </w:r>
      <w:r w:rsidRPr="008675A9">
        <w:rPr>
          <w:lang w:val="en-CA"/>
        </w:rPr>
        <w:t>] “rare and short-term situations”.</w:t>
      </w:r>
      <w:r w:rsidR="00BD41E7" w:rsidRPr="008675A9">
        <w:rPr>
          <w:rStyle w:val="Appelnotedebasdep"/>
          <w:lang w:val="en-CA"/>
        </w:rPr>
        <w:footnoteReference w:id="12"/>
      </w:r>
      <w:r w:rsidR="00BD41E7" w:rsidRPr="008675A9">
        <w:rPr>
          <w:lang w:val="en-CA"/>
        </w:rPr>
        <w:t xml:space="preserve"> </w:t>
      </w:r>
      <w:r w:rsidRPr="008675A9">
        <w:rPr>
          <w:lang w:val="en-CA"/>
        </w:rPr>
        <w:t xml:space="preserve">He considers that this </w:t>
      </w:r>
      <w:r w:rsidR="007F5D57">
        <w:rPr>
          <w:lang w:val="en-CA"/>
        </w:rPr>
        <w:t>indicates</w:t>
      </w:r>
      <w:r w:rsidRPr="008675A9">
        <w:rPr>
          <w:lang w:val="en-CA"/>
        </w:rPr>
        <w:t xml:space="preserve"> an intention </w:t>
      </w:r>
      <w:r w:rsidR="00801B0A">
        <w:rPr>
          <w:lang w:val="en-CA"/>
        </w:rPr>
        <w:t xml:space="preserve">not </w:t>
      </w:r>
      <w:r w:rsidRPr="008675A9">
        <w:rPr>
          <w:lang w:val="en-CA"/>
        </w:rPr>
        <w:t xml:space="preserve">to </w:t>
      </w:r>
      <w:r w:rsidR="00801B0A">
        <w:rPr>
          <w:lang w:val="en-CA"/>
        </w:rPr>
        <w:t xml:space="preserve">exclude </w:t>
      </w:r>
      <w:r w:rsidRPr="008675A9">
        <w:rPr>
          <w:lang w:val="en-CA"/>
        </w:rPr>
        <w:t xml:space="preserve">the elected members when </w:t>
      </w:r>
      <w:r w:rsidR="008F0F7D">
        <w:rPr>
          <w:lang w:val="en-CA"/>
        </w:rPr>
        <w:t>an</w:t>
      </w:r>
      <w:r w:rsidRPr="008675A9">
        <w:rPr>
          <w:lang w:val="en-CA"/>
        </w:rPr>
        <w:t xml:space="preserve"> emergency</w:t>
      </w:r>
      <w:r w:rsidR="00801B0A">
        <w:rPr>
          <w:lang w:val="en-CA"/>
        </w:rPr>
        <w:t xml:space="preserve"> is to be renewed</w:t>
      </w:r>
      <w:r w:rsidRPr="008675A9">
        <w:rPr>
          <w:lang w:val="en-CA"/>
        </w:rPr>
        <w:t>.</w:t>
      </w:r>
      <w:r w:rsidR="00BD41E7" w:rsidRPr="008675A9">
        <w:rPr>
          <w:lang w:val="en-CA"/>
        </w:rPr>
        <w:t xml:space="preserve"> </w:t>
      </w:r>
      <w:r w:rsidRPr="008675A9">
        <w:rPr>
          <w:lang w:val="en-CA"/>
        </w:rPr>
        <w:t>He is also of the opinion that it is impossible that</w:t>
      </w:r>
      <w:r w:rsidR="00801B0A">
        <w:rPr>
          <w:lang w:val="en-CA"/>
        </w:rPr>
        <w:t xml:space="preserve"> the legislative intent</w:t>
      </w:r>
      <w:r w:rsidRPr="008675A9">
        <w:rPr>
          <w:lang w:val="en-CA"/>
        </w:rPr>
        <w:t xml:space="preserve"> in adopting section 119 </w:t>
      </w:r>
      <w:r w:rsidRPr="008675A9">
        <w:rPr>
          <w:i/>
          <w:lang w:val="en-CA"/>
        </w:rPr>
        <w:t>PHA</w:t>
      </w:r>
      <w:r w:rsidRPr="008675A9">
        <w:rPr>
          <w:lang w:val="en-CA"/>
        </w:rPr>
        <w:t xml:space="preserve"> </w:t>
      </w:r>
      <w:r w:rsidR="00801B0A">
        <w:rPr>
          <w:lang w:val="en-CA"/>
        </w:rPr>
        <w:t xml:space="preserve">was for powers </w:t>
      </w:r>
      <w:r w:rsidRPr="008675A9">
        <w:rPr>
          <w:lang w:val="en-CA"/>
        </w:rPr>
        <w:t xml:space="preserve">as </w:t>
      </w:r>
      <w:r w:rsidR="00801B0A">
        <w:rPr>
          <w:lang w:val="en-CA"/>
        </w:rPr>
        <w:t xml:space="preserve">broad </w:t>
      </w:r>
      <w:r w:rsidRPr="008675A9">
        <w:rPr>
          <w:lang w:val="en-CA"/>
        </w:rPr>
        <w:t xml:space="preserve">as those in section 123 </w:t>
      </w:r>
      <w:r w:rsidRPr="008675A9">
        <w:rPr>
          <w:i/>
          <w:iCs/>
          <w:lang w:val="en-CA"/>
        </w:rPr>
        <w:t>PHA</w:t>
      </w:r>
      <w:r w:rsidRPr="008675A9">
        <w:rPr>
          <w:lang w:val="en-CA"/>
        </w:rPr>
        <w:t xml:space="preserve"> </w:t>
      </w:r>
      <w:r w:rsidR="00801B0A">
        <w:rPr>
          <w:lang w:val="en-CA"/>
        </w:rPr>
        <w:t xml:space="preserve">to </w:t>
      </w:r>
      <w:r w:rsidRPr="008675A9">
        <w:rPr>
          <w:lang w:val="en-CA"/>
        </w:rPr>
        <w:t xml:space="preserve">be exercised secretively </w:t>
      </w:r>
      <w:r w:rsidRPr="008675A9">
        <w:rPr>
          <w:lang w:val="en-CA"/>
        </w:rPr>
        <w:lastRenderedPageBreak/>
        <w:t xml:space="preserve">and outside parliamentary control for a </w:t>
      </w:r>
      <w:r w:rsidR="008F0F7D">
        <w:rPr>
          <w:lang w:val="en-CA"/>
        </w:rPr>
        <w:t>term</w:t>
      </w:r>
      <w:r w:rsidRPr="008675A9">
        <w:rPr>
          <w:lang w:val="en-CA"/>
        </w:rPr>
        <w:t xml:space="preserve"> that exceeds what is strictly necessary.</w:t>
      </w:r>
      <w:r w:rsidR="00BD41E7" w:rsidRPr="008675A9">
        <w:rPr>
          <w:lang w:val="en-CA"/>
        </w:rPr>
        <w:t xml:space="preserve"> </w:t>
      </w:r>
      <w:r w:rsidR="007F5D57">
        <w:rPr>
          <w:lang w:val="en-CA"/>
        </w:rPr>
        <w:t>With</w:t>
      </w:r>
      <w:r w:rsidRPr="008675A9">
        <w:rPr>
          <w:lang w:val="en-CA"/>
        </w:rPr>
        <w:t xml:space="preserve"> the power to renew </w:t>
      </w:r>
      <w:r w:rsidR="008F0F7D">
        <w:rPr>
          <w:lang w:val="en-CA"/>
        </w:rPr>
        <w:t xml:space="preserve">an </w:t>
      </w:r>
      <w:r w:rsidRPr="008675A9">
        <w:rPr>
          <w:lang w:val="en-CA"/>
        </w:rPr>
        <w:t>emergency without the National Assembly’s approval, the Government could</w:t>
      </w:r>
      <w:r w:rsidR="008F0F7D">
        <w:rPr>
          <w:lang w:val="en-CA"/>
        </w:rPr>
        <w:t>, for an unlimited period of time,</w:t>
      </w:r>
      <w:r w:rsidRPr="008675A9">
        <w:rPr>
          <w:lang w:val="en-CA"/>
        </w:rPr>
        <w:t xml:space="preserve"> suspend the application of any law and</w:t>
      </w:r>
      <w:r w:rsidR="008F0F7D">
        <w:rPr>
          <w:lang w:val="en-CA"/>
        </w:rPr>
        <w:t>, without filing a budget,</w:t>
      </w:r>
      <w:r w:rsidRPr="008675A9">
        <w:rPr>
          <w:lang w:val="en-CA"/>
        </w:rPr>
        <w:t xml:space="preserve"> incur any expen</w:t>
      </w:r>
      <w:r w:rsidR="004F41B5" w:rsidRPr="008675A9">
        <w:rPr>
          <w:lang w:val="en-CA"/>
        </w:rPr>
        <w:t>s</w:t>
      </w:r>
      <w:r w:rsidRPr="008675A9">
        <w:rPr>
          <w:lang w:val="en-CA"/>
        </w:rPr>
        <w:t xml:space="preserve">es it </w:t>
      </w:r>
      <w:r w:rsidR="008952A2" w:rsidRPr="008675A9">
        <w:rPr>
          <w:lang w:val="en-CA"/>
        </w:rPr>
        <w:t>deem</w:t>
      </w:r>
      <w:r w:rsidR="00E56225">
        <w:rPr>
          <w:lang w:val="en-CA"/>
        </w:rPr>
        <w:t>s</w:t>
      </w:r>
      <w:r w:rsidR="008952A2" w:rsidRPr="008675A9">
        <w:rPr>
          <w:lang w:val="en-CA"/>
        </w:rPr>
        <w:t xml:space="preserve"> </w:t>
      </w:r>
      <w:r w:rsidRPr="008675A9">
        <w:rPr>
          <w:lang w:val="en-CA"/>
        </w:rPr>
        <w:t xml:space="preserve">necessary. </w:t>
      </w:r>
    </w:p>
    <w:p w14:paraId="103B9A01" w14:textId="2483C5E0" w:rsidR="001516A0" w:rsidRPr="008675A9" w:rsidRDefault="00361DBF" w:rsidP="00043A62">
      <w:pPr>
        <w:pStyle w:val="Paragraphe"/>
        <w:spacing w:line="280" w:lineRule="exact"/>
        <w:rPr>
          <w:lang w:val="en-CA"/>
        </w:rPr>
      </w:pPr>
      <w:r w:rsidRPr="008675A9">
        <w:rPr>
          <w:lang w:val="en-CA"/>
        </w:rPr>
        <w:t xml:space="preserve">The appellant adds that section 119 </w:t>
      </w:r>
      <w:r w:rsidRPr="008675A9">
        <w:rPr>
          <w:i/>
          <w:iCs/>
          <w:lang w:val="en-CA"/>
        </w:rPr>
        <w:t>PHA</w:t>
      </w:r>
      <w:r w:rsidRPr="008675A9">
        <w:rPr>
          <w:lang w:val="en-CA"/>
        </w:rPr>
        <w:t xml:space="preserve"> must be narrowly interpreted </w:t>
      </w:r>
      <w:r w:rsidR="00F37174">
        <w:rPr>
          <w:lang w:val="en-CA"/>
        </w:rPr>
        <w:t xml:space="preserve">in order </w:t>
      </w:r>
      <w:r w:rsidR="00D129C0">
        <w:rPr>
          <w:lang w:val="en-CA"/>
        </w:rPr>
        <w:t>to</w:t>
      </w:r>
      <w:r w:rsidRPr="008675A9">
        <w:rPr>
          <w:lang w:val="en-CA"/>
        </w:rPr>
        <w:t xml:space="preserve"> </w:t>
      </w:r>
      <w:r w:rsidR="00F37174">
        <w:rPr>
          <w:lang w:val="en-CA"/>
        </w:rPr>
        <w:t xml:space="preserve">promote </w:t>
      </w:r>
      <w:r w:rsidR="008952A2">
        <w:rPr>
          <w:lang w:val="en-CA"/>
        </w:rPr>
        <w:t>human</w:t>
      </w:r>
      <w:r w:rsidRPr="008675A9">
        <w:rPr>
          <w:lang w:val="en-CA"/>
        </w:rPr>
        <w:t xml:space="preserve"> rights and freedoms. </w:t>
      </w:r>
    </w:p>
    <w:p w14:paraId="598FDC8C" w14:textId="7880C258" w:rsidR="001516A0" w:rsidRPr="008675A9" w:rsidRDefault="00361DBF" w:rsidP="00043A62">
      <w:pPr>
        <w:pStyle w:val="Paragraphe"/>
        <w:spacing w:line="280" w:lineRule="exact"/>
        <w:rPr>
          <w:lang w:val="en-CA"/>
        </w:rPr>
      </w:pPr>
      <w:r w:rsidRPr="008675A9">
        <w:rPr>
          <w:lang w:val="en-CA"/>
        </w:rPr>
        <w:t xml:space="preserve">The respondent argues that section 119 </w:t>
      </w:r>
      <w:r w:rsidRPr="008675A9">
        <w:rPr>
          <w:i/>
          <w:iCs/>
          <w:lang w:val="en-CA"/>
        </w:rPr>
        <w:t>PHA</w:t>
      </w:r>
      <w:r w:rsidRPr="008675A9">
        <w:rPr>
          <w:lang w:val="en-CA"/>
        </w:rPr>
        <w:t xml:space="preserve"> is clear and that the judge’s interpretation is consistent with the legislative and regulatory history.</w:t>
      </w:r>
      <w:r w:rsidR="00BD41E7" w:rsidRPr="008675A9">
        <w:rPr>
          <w:lang w:val="en-CA"/>
        </w:rPr>
        <w:t xml:space="preserve"> </w:t>
      </w:r>
      <w:r w:rsidRPr="008675A9">
        <w:rPr>
          <w:lang w:val="en-CA"/>
        </w:rPr>
        <w:t xml:space="preserve">Not only are the orders in council consistent with the objectives of the enabling statute, but </w:t>
      </w:r>
      <w:r w:rsidR="00BE564E" w:rsidRPr="008675A9">
        <w:rPr>
          <w:lang w:val="en-CA"/>
        </w:rPr>
        <w:t>they are</w:t>
      </w:r>
      <w:r w:rsidRPr="008675A9">
        <w:rPr>
          <w:lang w:val="en-CA"/>
        </w:rPr>
        <w:t xml:space="preserve"> reasonable</w:t>
      </w:r>
      <w:r w:rsidR="0089477E">
        <w:rPr>
          <w:lang w:val="en-CA"/>
        </w:rPr>
        <w:t>,</w:t>
      </w:r>
      <w:r w:rsidRPr="008675A9">
        <w:rPr>
          <w:lang w:val="en-CA"/>
        </w:rPr>
        <w:t xml:space="preserve"> and the strong presumption of validity has not been rebutted.</w:t>
      </w:r>
    </w:p>
    <w:p w14:paraId="7F0CCBEF" w14:textId="77777777" w:rsidR="001516A0" w:rsidRPr="008675A9" w:rsidRDefault="00BD41E7" w:rsidP="00043A62">
      <w:pPr>
        <w:spacing w:before="120" w:after="120"/>
        <w:jc w:val="center"/>
        <w:rPr>
          <w:lang w:val="en-CA"/>
        </w:rPr>
      </w:pPr>
      <w:r w:rsidRPr="008675A9">
        <w:rPr>
          <w:lang w:val="en-CA"/>
        </w:rPr>
        <w:t>* * *</w:t>
      </w:r>
    </w:p>
    <w:p w14:paraId="28F8914D" w14:textId="024D2624" w:rsidR="001516A0" w:rsidRPr="008675A9" w:rsidRDefault="00361DBF" w:rsidP="00043A62">
      <w:pPr>
        <w:pStyle w:val="Paragraphe"/>
        <w:spacing w:line="280" w:lineRule="exact"/>
        <w:rPr>
          <w:lang w:val="en-CA"/>
        </w:rPr>
      </w:pPr>
      <w:r w:rsidRPr="008675A9">
        <w:rPr>
          <w:lang w:val="en-CA"/>
        </w:rPr>
        <w:t xml:space="preserve">Sections 118 and 119 of the </w:t>
      </w:r>
      <w:r w:rsidRPr="008675A9">
        <w:rPr>
          <w:i/>
          <w:lang w:val="en-CA"/>
        </w:rPr>
        <w:t xml:space="preserve">PHA </w:t>
      </w:r>
      <w:r w:rsidRPr="008675A9">
        <w:rPr>
          <w:lang w:val="en-CA"/>
        </w:rPr>
        <w:t xml:space="preserve">allow the Government to declare a public health emergency </w:t>
      </w:r>
      <w:r w:rsidR="007F5D57">
        <w:rPr>
          <w:lang w:val="en-CA"/>
        </w:rPr>
        <w:t>by</w:t>
      </w:r>
      <w:r w:rsidRPr="008675A9">
        <w:rPr>
          <w:lang w:val="en-CA"/>
        </w:rPr>
        <w:t xml:space="preserve"> order in council and to </w:t>
      </w:r>
      <w:r w:rsidR="00BE564E" w:rsidRPr="008675A9">
        <w:rPr>
          <w:lang w:val="en-CA"/>
        </w:rPr>
        <w:t xml:space="preserve">subsequently </w:t>
      </w:r>
      <w:r w:rsidRPr="008675A9">
        <w:rPr>
          <w:lang w:val="en-CA"/>
        </w:rPr>
        <w:t>renew it.</w:t>
      </w:r>
      <w:r w:rsidR="00BD41E7" w:rsidRPr="008675A9">
        <w:rPr>
          <w:lang w:val="en-CA"/>
        </w:rPr>
        <w:t xml:space="preserve"> </w:t>
      </w:r>
      <w:r w:rsidRPr="00AB5ACC">
        <w:rPr>
          <w:lang w:val="en-CA"/>
        </w:rPr>
        <w:t xml:space="preserve">Section 123 </w:t>
      </w:r>
      <w:r w:rsidRPr="00AB5ACC">
        <w:rPr>
          <w:i/>
          <w:iCs/>
          <w:lang w:val="en-CA"/>
        </w:rPr>
        <w:t>PHA</w:t>
      </w:r>
      <w:r w:rsidRPr="00AB5ACC">
        <w:rPr>
          <w:lang w:val="en-CA"/>
        </w:rPr>
        <w:t xml:space="preserve"> </w:t>
      </w:r>
      <w:r w:rsidR="0046219B">
        <w:rPr>
          <w:lang w:val="en-CA"/>
        </w:rPr>
        <w:t xml:space="preserve">also </w:t>
      </w:r>
      <w:r w:rsidRPr="00AB5ACC">
        <w:rPr>
          <w:lang w:val="en-CA"/>
        </w:rPr>
        <w:t>authorizes the Government to adopt measures to protect the health of the population.</w:t>
      </w:r>
      <w:r w:rsidR="00BD41E7" w:rsidRPr="008675A9">
        <w:rPr>
          <w:lang w:val="en-CA"/>
        </w:rPr>
        <w:t xml:space="preserve"> </w:t>
      </w:r>
      <w:r w:rsidRPr="00AB5ACC">
        <w:rPr>
          <w:lang w:val="en-CA"/>
        </w:rPr>
        <w:t xml:space="preserve">It is a delegated </w:t>
      </w:r>
      <w:r w:rsidR="008952A2">
        <w:rPr>
          <w:lang w:val="en-CA"/>
        </w:rPr>
        <w:t>legislative</w:t>
      </w:r>
      <w:r w:rsidR="008952A2" w:rsidRPr="00AB5ACC">
        <w:rPr>
          <w:lang w:val="en-CA"/>
        </w:rPr>
        <w:t xml:space="preserve"> </w:t>
      </w:r>
      <w:r w:rsidRPr="00AB5ACC">
        <w:rPr>
          <w:lang w:val="en-CA"/>
        </w:rPr>
        <w:t>power.</w:t>
      </w:r>
      <w:r w:rsidR="00BD41E7" w:rsidRPr="008675A9">
        <w:rPr>
          <w:lang w:val="en-CA"/>
        </w:rPr>
        <w:t xml:space="preserve"> </w:t>
      </w:r>
      <w:r w:rsidRPr="00AB5ACC">
        <w:rPr>
          <w:lang w:val="en-CA"/>
        </w:rPr>
        <w:t xml:space="preserve">The Supreme Court, in </w:t>
      </w:r>
      <w:r w:rsidRPr="00AB5ACC">
        <w:rPr>
          <w:i/>
          <w:iCs/>
          <w:lang w:val="en-CA"/>
        </w:rPr>
        <w:t>Catalyst Paper</w:t>
      </w:r>
      <w:r w:rsidRPr="00AB5ACC">
        <w:rPr>
          <w:lang w:val="en-CA"/>
        </w:rPr>
        <w:t xml:space="preserve">, stated that </w:t>
      </w:r>
      <w:r w:rsidR="002A7308">
        <w:rPr>
          <w:lang w:val="en-CA"/>
        </w:rPr>
        <w:t>under</w:t>
      </w:r>
      <w:r w:rsidRPr="00AB5ACC">
        <w:rPr>
          <w:lang w:val="en-CA"/>
        </w:rPr>
        <w:t xml:space="preserve"> the principle of the rule of law, </w:t>
      </w:r>
      <w:r w:rsidR="002A7308">
        <w:rPr>
          <w:lang w:val="en-CA"/>
        </w:rPr>
        <w:t>s</w:t>
      </w:r>
      <w:r w:rsidRPr="00AB5ACC">
        <w:rPr>
          <w:lang w:val="en-CA"/>
        </w:rPr>
        <w:t xml:space="preserve">uperior </w:t>
      </w:r>
      <w:r w:rsidR="002A7308">
        <w:rPr>
          <w:lang w:val="en-CA"/>
        </w:rPr>
        <w:t>c</w:t>
      </w:r>
      <w:r w:rsidRPr="00AB5ACC">
        <w:rPr>
          <w:lang w:val="en-CA"/>
        </w:rPr>
        <w:t>ourts can control its exercise:</w:t>
      </w:r>
    </w:p>
    <w:p w14:paraId="62EB0C04" w14:textId="36860022" w:rsidR="001516A0" w:rsidRPr="008675A9" w:rsidRDefault="00BD41E7" w:rsidP="000D4A2C">
      <w:pPr>
        <w:pStyle w:val="Citationenretrait"/>
        <w:spacing w:after="0"/>
        <w:rPr>
          <w:lang w:val="en-CA"/>
        </w:rPr>
      </w:pPr>
      <w:r w:rsidRPr="008675A9">
        <w:rPr>
          <w:lang w:val="en-CA"/>
        </w:rPr>
        <w:t>[15]</w:t>
      </w:r>
      <w:r w:rsidRPr="008675A9">
        <w:rPr>
          <w:lang w:val="en-CA"/>
        </w:rPr>
        <w:tab/>
      </w:r>
      <w:r w:rsidR="004F41B5" w:rsidRPr="008675A9">
        <w:rPr>
          <w:lang w:val="en-CA"/>
        </w:rPr>
        <w:t>Unlike Parliament and provincial legislatures which possess inherent legislative power, regulatory bodies can exercise only those legislative powers that were delegated to them by the legislature. Their discretion is not unfettered. The rule of law insists on judicial review to ensure that delegated legislation complies with the rationale and purview of the statutory scheme under which it is adopted.  The delegating legislator is presumed to intend that the authority be exercised in a reasonable manner. Numerous cases have accepted that courts can review the substance of bylaws to ensure the lawful exercise of the power conferred on municipal councils and other regulatory bodies</w:t>
      </w:r>
      <w:r w:rsidRPr="008675A9">
        <w:rPr>
          <w:lang w:val="en-CA"/>
        </w:rPr>
        <w:t>.</w:t>
      </w:r>
      <w:r w:rsidRPr="008675A9">
        <w:rPr>
          <w:vertAlign w:val="superscript"/>
          <w:lang w:val="en-CA"/>
        </w:rPr>
        <w:footnoteReference w:id="13"/>
      </w:r>
    </w:p>
    <w:p w14:paraId="6E38D582" w14:textId="0429AD64" w:rsidR="001516A0" w:rsidRPr="00AB5ACC" w:rsidRDefault="004F41B5" w:rsidP="00065A98">
      <w:pPr>
        <w:spacing w:after="120"/>
        <w:ind w:left="720" w:right="720"/>
        <w:jc w:val="right"/>
        <w:rPr>
          <w:kern w:val="24"/>
          <w:sz w:val="22"/>
          <w:lang w:val="en-CA"/>
        </w:rPr>
      </w:pPr>
      <w:r w:rsidRPr="00AB5ACC">
        <w:rPr>
          <w:kern w:val="24"/>
          <w:sz w:val="22"/>
          <w:lang w:val="en-CA"/>
        </w:rPr>
        <w:t>[Citations omitted]</w:t>
      </w:r>
    </w:p>
    <w:p w14:paraId="1563D730" w14:textId="7890F887" w:rsidR="001516A0" w:rsidRPr="008675A9" w:rsidRDefault="004F41B5" w:rsidP="00043A62">
      <w:pPr>
        <w:pStyle w:val="Paragraphe"/>
        <w:spacing w:line="280" w:lineRule="exact"/>
        <w:rPr>
          <w:lang w:val="en-CA"/>
        </w:rPr>
      </w:pPr>
      <w:r w:rsidRPr="008675A9">
        <w:rPr>
          <w:lang w:val="en-CA"/>
        </w:rPr>
        <w:t xml:space="preserve">The </w:t>
      </w:r>
      <w:r w:rsidR="00AB1157">
        <w:rPr>
          <w:lang w:val="en-CA"/>
        </w:rPr>
        <w:t xml:space="preserve">impugned </w:t>
      </w:r>
      <w:r w:rsidRPr="008675A9">
        <w:rPr>
          <w:lang w:val="en-CA"/>
        </w:rPr>
        <w:t xml:space="preserve">orders in council are </w:t>
      </w:r>
      <w:bookmarkStart w:id="3" w:name="_Hlk130372791"/>
      <w:r w:rsidRPr="008675A9">
        <w:rPr>
          <w:lang w:val="en-CA"/>
        </w:rPr>
        <w:t xml:space="preserve">normative </w:t>
      </w:r>
      <w:r w:rsidR="008952A2">
        <w:rPr>
          <w:lang w:val="en-CA"/>
        </w:rPr>
        <w:t>instruments of a</w:t>
      </w:r>
      <w:r w:rsidRPr="008675A9">
        <w:rPr>
          <w:lang w:val="en-CA"/>
        </w:rPr>
        <w:t xml:space="preserve"> general </w:t>
      </w:r>
      <w:r w:rsidR="008952A2">
        <w:rPr>
          <w:lang w:val="en-CA"/>
        </w:rPr>
        <w:t>and</w:t>
      </w:r>
      <w:r w:rsidRPr="008675A9">
        <w:rPr>
          <w:lang w:val="en-CA"/>
        </w:rPr>
        <w:t xml:space="preserve"> impersonal</w:t>
      </w:r>
      <w:r w:rsidR="008952A2">
        <w:rPr>
          <w:lang w:val="en-CA"/>
        </w:rPr>
        <w:t xml:space="preserve"> nature</w:t>
      </w:r>
      <w:bookmarkEnd w:id="3"/>
      <w:r w:rsidRPr="008675A9">
        <w:rPr>
          <w:lang w:val="en-CA"/>
        </w:rPr>
        <w:t>.</w:t>
      </w:r>
      <w:r w:rsidR="00BD41E7" w:rsidRPr="008675A9">
        <w:rPr>
          <w:rStyle w:val="Appelnotedebasdep"/>
          <w:lang w:val="en-CA"/>
        </w:rPr>
        <w:footnoteReference w:id="14"/>
      </w:r>
      <w:r w:rsidR="00BD41E7" w:rsidRPr="008675A9">
        <w:rPr>
          <w:lang w:val="en-CA"/>
        </w:rPr>
        <w:t xml:space="preserve"> </w:t>
      </w:r>
      <w:r w:rsidRPr="008675A9">
        <w:rPr>
          <w:lang w:val="en-CA"/>
        </w:rPr>
        <w:t>The parties in fact recognized this in first instance.</w:t>
      </w:r>
      <w:r w:rsidR="00BD41E7" w:rsidRPr="008675A9">
        <w:rPr>
          <w:rStyle w:val="Appelnotedebasdep"/>
          <w:lang w:val="en-CA"/>
        </w:rPr>
        <w:footnoteReference w:id="15"/>
      </w:r>
      <w:r w:rsidRPr="008675A9">
        <w:rPr>
          <w:lang w:val="en-CA"/>
        </w:rPr>
        <w:t xml:space="preserve"> </w:t>
      </w:r>
      <w:r w:rsidR="00BE564E" w:rsidRPr="008675A9">
        <w:rPr>
          <w:lang w:val="en-CA"/>
        </w:rPr>
        <w:t>As with</w:t>
      </w:r>
      <w:r w:rsidRPr="008675A9">
        <w:rPr>
          <w:lang w:val="en-CA"/>
        </w:rPr>
        <w:t xml:space="preserve"> a </w:t>
      </w:r>
      <w:r w:rsidR="008952A2">
        <w:rPr>
          <w:lang w:val="en-CA"/>
        </w:rPr>
        <w:t>regulation</w:t>
      </w:r>
      <w:r w:rsidRPr="008675A9">
        <w:rPr>
          <w:lang w:val="en-CA"/>
        </w:rPr>
        <w:t xml:space="preserve">, this means that it applies to a category of citizens and not specifically to persons or </w:t>
      </w:r>
      <w:r w:rsidR="008952A2" w:rsidRPr="008675A9">
        <w:rPr>
          <w:lang w:val="en-CA"/>
        </w:rPr>
        <w:t>individual</w:t>
      </w:r>
      <w:r w:rsidR="00CE7158">
        <w:rPr>
          <w:lang w:val="en-CA"/>
        </w:rPr>
        <w:t xml:space="preserve"> </w:t>
      </w:r>
      <w:r w:rsidRPr="008675A9">
        <w:rPr>
          <w:lang w:val="en-CA"/>
        </w:rPr>
        <w:t>situations.</w:t>
      </w:r>
      <w:r w:rsidR="00BD41E7" w:rsidRPr="008675A9">
        <w:rPr>
          <w:rStyle w:val="Appelnotedebasdep"/>
          <w:lang w:val="en-CA"/>
        </w:rPr>
        <w:footnoteReference w:id="16"/>
      </w:r>
      <w:r w:rsidRPr="008675A9">
        <w:rPr>
          <w:lang w:val="en-CA"/>
        </w:rPr>
        <w:t xml:space="preserve"> To </w:t>
      </w:r>
      <w:r w:rsidR="004C4B5B" w:rsidRPr="008675A9">
        <w:rPr>
          <w:lang w:val="en-CA"/>
        </w:rPr>
        <w:t>successfully</w:t>
      </w:r>
      <w:r w:rsidRPr="008675A9">
        <w:rPr>
          <w:lang w:val="en-CA"/>
        </w:rPr>
        <w:t xml:space="preserve"> challenge an order in council, </w:t>
      </w:r>
      <w:r w:rsidR="005D5EC7">
        <w:rPr>
          <w:lang w:val="en-CA"/>
        </w:rPr>
        <w:t xml:space="preserve">therefore, </w:t>
      </w:r>
      <w:r w:rsidRPr="008675A9">
        <w:rPr>
          <w:lang w:val="en-CA"/>
        </w:rPr>
        <w:lastRenderedPageBreak/>
        <w:t xml:space="preserve">it must be </w:t>
      </w:r>
      <w:r w:rsidR="005D5EC7">
        <w:rPr>
          <w:lang w:val="en-CA"/>
        </w:rPr>
        <w:t>shown to be</w:t>
      </w:r>
      <w:r w:rsidRPr="008675A9">
        <w:rPr>
          <w:lang w:val="en-CA"/>
        </w:rPr>
        <w:t xml:space="preserve"> inconsistent with the objective of the enabling statute, as the Supreme Court explained in </w:t>
      </w:r>
      <w:r w:rsidRPr="008675A9">
        <w:rPr>
          <w:i/>
          <w:lang w:val="en-CA"/>
        </w:rPr>
        <w:t>Katz</w:t>
      </w:r>
      <w:r w:rsidRPr="008675A9">
        <w:rPr>
          <w:lang w:val="en-CA"/>
        </w:rPr>
        <w:t>:</w:t>
      </w:r>
    </w:p>
    <w:p w14:paraId="324302C3" w14:textId="26849F13" w:rsidR="001516A0" w:rsidRPr="008675A9" w:rsidRDefault="00BD41E7" w:rsidP="00043A62">
      <w:pPr>
        <w:pStyle w:val="Citationenretrait"/>
        <w:rPr>
          <w:lang w:val="en-CA" w:eastAsia="fr-CA"/>
        </w:rPr>
      </w:pPr>
      <w:r w:rsidRPr="008675A9">
        <w:rPr>
          <w:lang w:val="en-CA"/>
        </w:rPr>
        <w:t>[</w:t>
      </w:r>
      <w:bookmarkStart w:id="4" w:name="par24"/>
      <w:r w:rsidRPr="008675A9">
        <w:rPr>
          <w:lang w:val="en-CA"/>
        </w:rPr>
        <w:t>24</w:t>
      </w:r>
      <w:bookmarkEnd w:id="4"/>
      <w:r w:rsidRPr="008675A9">
        <w:rPr>
          <w:lang w:val="en-CA"/>
        </w:rPr>
        <w:t>]</w:t>
      </w:r>
      <w:r w:rsidRPr="008675A9">
        <w:rPr>
          <w:lang w:val="en-CA"/>
        </w:rPr>
        <w:tab/>
      </w:r>
      <w:r w:rsidR="007F185C" w:rsidRPr="008675A9">
        <w:rPr>
          <w:lang w:val="en-CA"/>
        </w:rPr>
        <w:t xml:space="preserve">A successful challenge to the </w:t>
      </w:r>
      <w:r w:rsidR="007F185C" w:rsidRPr="002B11DD">
        <w:rPr>
          <w:i/>
          <w:iCs/>
          <w:lang w:val="en-CA"/>
        </w:rPr>
        <w:t>vires</w:t>
      </w:r>
      <w:r w:rsidR="007F185C" w:rsidRPr="008675A9">
        <w:rPr>
          <w:lang w:val="en-CA"/>
        </w:rPr>
        <w:t xml:space="preserve"> of regulations requires that they be shown to be inconsistent with the objective of the enabling statute or the scope of the statutory mandate. This was succinctly explained by </w:t>
      </w:r>
      <w:proofErr w:type="spellStart"/>
      <w:r w:rsidR="007F185C" w:rsidRPr="008675A9">
        <w:rPr>
          <w:lang w:val="en-CA"/>
        </w:rPr>
        <w:t>Lysyk</w:t>
      </w:r>
      <w:proofErr w:type="spellEnd"/>
      <w:r w:rsidR="007F185C" w:rsidRPr="008675A9">
        <w:rPr>
          <w:lang w:val="en-CA"/>
        </w:rPr>
        <w:t xml:space="preserve"> J.:</w:t>
      </w:r>
    </w:p>
    <w:p w14:paraId="4FCDC0C4" w14:textId="33E42E0E" w:rsidR="001516A0" w:rsidRPr="008675A9" w:rsidRDefault="007F185C" w:rsidP="00043A62">
      <w:pPr>
        <w:pStyle w:val="Citationenretrait"/>
        <w:ind w:left="1440"/>
        <w:rPr>
          <w:sz w:val="20"/>
          <w:lang w:val="en-CA"/>
        </w:rPr>
      </w:pPr>
      <w:r w:rsidRPr="008675A9">
        <w:rPr>
          <w:sz w:val="20"/>
          <w:lang w:val="en-CA"/>
        </w:rPr>
        <w:t>In determining whether impugned subordinate legislation has been enacted in conformity with the terms of the parent statutory provision, it is essential to ascertain the scope of the mandate conferred by Parliament, having regard to the purpose(s) or objects(s) of the enactment as a whole. The test of conformity with the Act is not satisfied merely by showing that the delegate stayed within the literal (and often broad) terminology of the enabling provision when making subordinate legislation. The power-conferring language must be taken to be qualified by the overriding requirement that the subordinate legislation accord with the purposes and objects of the parent enactment read as a whole.</w:t>
      </w:r>
      <w:r w:rsidR="00BD41E7" w:rsidRPr="008675A9">
        <w:rPr>
          <w:vertAlign w:val="superscript"/>
          <w:lang w:val="en-CA"/>
        </w:rPr>
        <w:footnoteReference w:id="17"/>
      </w:r>
    </w:p>
    <w:p w14:paraId="0C9CF2E1" w14:textId="0754EAAE" w:rsidR="001516A0" w:rsidRPr="00AB5ACC" w:rsidRDefault="007F185C" w:rsidP="000D4A2C">
      <w:pPr>
        <w:pStyle w:val="Citationenretrait"/>
        <w:spacing w:before="0"/>
        <w:jc w:val="right"/>
        <w:rPr>
          <w:sz w:val="27"/>
          <w:szCs w:val="27"/>
          <w:lang w:val="en-CA"/>
        </w:rPr>
      </w:pPr>
      <w:r w:rsidRPr="00AB5ACC">
        <w:rPr>
          <w:lang w:val="en-CA"/>
        </w:rPr>
        <w:t>[Citations omitted.]</w:t>
      </w:r>
    </w:p>
    <w:p w14:paraId="7C1E5AC1" w14:textId="6B9564F3" w:rsidR="001516A0" w:rsidRPr="008675A9" w:rsidRDefault="007F185C" w:rsidP="00043A62">
      <w:pPr>
        <w:pStyle w:val="Paragraphe"/>
        <w:spacing w:line="280" w:lineRule="exact"/>
        <w:rPr>
          <w:lang w:val="en-CA"/>
        </w:rPr>
      </w:pPr>
      <w:r w:rsidRPr="00AB5ACC">
        <w:rPr>
          <w:lang w:val="en-CA"/>
        </w:rPr>
        <w:t xml:space="preserve">In addition, regulations enjoy a presumption of validity, as the </w:t>
      </w:r>
      <w:r w:rsidR="00523A7A">
        <w:rPr>
          <w:lang w:val="en-CA"/>
        </w:rPr>
        <w:t>trial</w:t>
      </w:r>
      <w:r w:rsidRPr="00AB5ACC">
        <w:rPr>
          <w:lang w:val="en-CA"/>
        </w:rPr>
        <w:t xml:space="preserve"> judge noted.</w:t>
      </w:r>
      <w:r w:rsidR="00BD41E7" w:rsidRPr="008675A9">
        <w:rPr>
          <w:rStyle w:val="Appelnotedebasdep"/>
          <w:lang w:val="en-CA"/>
        </w:rPr>
        <w:footnoteReference w:id="18"/>
      </w:r>
      <w:r w:rsidRPr="008675A9">
        <w:rPr>
          <w:lang w:val="en-CA"/>
        </w:rPr>
        <w:t xml:space="preserve"> When a court examines them, it does not assess their soundness or the </w:t>
      </w:r>
      <w:r w:rsidR="004C4B5B" w:rsidRPr="008675A9">
        <w:rPr>
          <w:lang w:val="en-CA"/>
        </w:rPr>
        <w:t>appropriateness</w:t>
      </w:r>
      <w:r w:rsidRPr="008675A9">
        <w:rPr>
          <w:lang w:val="en-CA"/>
        </w:rPr>
        <w:t xml:space="preserve"> of the executive’s policy choice:</w:t>
      </w:r>
    </w:p>
    <w:p w14:paraId="338CA715" w14:textId="46B81244" w:rsidR="001516A0" w:rsidRPr="008675A9" w:rsidRDefault="00BD41E7" w:rsidP="00043A62">
      <w:pPr>
        <w:pStyle w:val="Citationenretrait"/>
        <w:rPr>
          <w:lang w:val="en-CA"/>
        </w:rPr>
      </w:pPr>
      <w:r w:rsidRPr="008675A9">
        <w:rPr>
          <w:lang w:val="en-CA"/>
        </w:rPr>
        <w:t>[28]</w:t>
      </w:r>
      <w:r w:rsidRPr="008675A9">
        <w:rPr>
          <w:lang w:val="en-CA"/>
        </w:rPr>
        <w:tab/>
      </w:r>
      <w:r w:rsidR="007F185C" w:rsidRPr="008675A9">
        <w:rPr>
          <w:lang w:val="en-CA"/>
        </w:rPr>
        <w:t xml:space="preserve"> It is not an inquiry into the underlying “political, economic, social or partisan considerations”. Nor does the </w:t>
      </w:r>
      <w:r w:rsidR="007F185C" w:rsidRPr="00523A7A">
        <w:rPr>
          <w:i/>
          <w:iCs/>
          <w:lang w:val="en-CA"/>
        </w:rPr>
        <w:t xml:space="preserve">vires </w:t>
      </w:r>
      <w:r w:rsidR="007F185C" w:rsidRPr="008675A9">
        <w:rPr>
          <w:lang w:val="en-CA"/>
        </w:rPr>
        <w:t xml:space="preserve">of regulations hinge on whether, in the court’s view, they will actually succeed at achieving the statutory objectives. They must be “irrelevant”, “extraneous” or “completely unrelated” to the statutory purpose to be found to be </w:t>
      </w:r>
      <w:r w:rsidR="007F185C" w:rsidRPr="008675A9">
        <w:rPr>
          <w:i/>
          <w:iCs/>
          <w:lang w:val="en-CA"/>
        </w:rPr>
        <w:t>ultra vires</w:t>
      </w:r>
      <w:r w:rsidR="007F185C" w:rsidRPr="008675A9">
        <w:rPr>
          <w:lang w:val="en-CA"/>
        </w:rPr>
        <w:t xml:space="preserve"> on the basis of inconsistency with statutory purpose. In effect, although it is possible to strike down regulations as </w:t>
      </w:r>
      <w:r w:rsidR="007F185C" w:rsidRPr="008675A9">
        <w:rPr>
          <w:i/>
          <w:iCs/>
          <w:lang w:val="en-CA"/>
        </w:rPr>
        <w:t>ultra vires</w:t>
      </w:r>
      <w:r w:rsidR="007F185C" w:rsidRPr="008675A9">
        <w:rPr>
          <w:lang w:val="en-CA"/>
        </w:rPr>
        <w:t xml:space="preserve"> on this basis, as Dickson J. observed, “it would take an egregious case to warrant such action”</w:t>
      </w:r>
      <w:r w:rsidRPr="008675A9">
        <w:rPr>
          <w:lang w:val="en-CA"/>
        </w:rPr>
        <w:t>.</w:t>
      </w:r>
      <w:r w:rsidRPr="008675A9">
        <w:rPr>
          <w:vertAlign w:val="superscript"/>
          <w:lang w:val="en-CA"/>
        </w:rPr>
        <w:footnoteReference w:id="19"/>
      </w:r>
    </w:p>
    <w:p w14:paraId="35F2ABF8" w14:textId="5A2C810F" w:rsidR="001516A0" w:rsidRPr="00AB5ACC" w:rsidRDefault="007F185C" w:rsidP="00043A62">
      <w:pPr>
        <w:pStyle w:val="Citationenretrait"/>
        <w:jc w:val="right"/>
        <w:rPr>
          <w:lang w:val="en-CA"/>
        </w:rPr>
      </w:pPr>
      <w:r w:rsidRPr="00AB5ACC">
        <w:rPr>
          <w:lang w:val="en-CA"/>
        </w:rPr>
        <w:t>[Citations omitted.]</w:t>
      </w:r>
    </w:p>
    <w:p w14:paraId="39BC0CAE" w14:textId="7207A060" w:rsidR="001516A0" w:rsidRPr="008675A9" w:rsidRDefault="000C1F73" w:rsidP="00043A62">
      <w:pPr>
        <w:pStyle w:val="Paragraphe"/>
        <w:spacing w:line="280" w:lineRule="exact"/>
        <w:rPr>
          <w:lang w:val="en-CA"/>
        </w:rPr>
      </w:pPr>
      <w:r>
        <w:rPr>
          <w:lang w:val="en-CA"/>
        </w:rPr>
        <w:t xml:space="preserve">Therefore, in </w:t>
      </w:r>
      <w:r w:rsidR="0068323E" w:rsidRPr="008675A9">
        <w:rPr>
          <w:lang w:val="en-CA"/>
        </w:rPr>
        <w:t xml:space="preserve">light of these principles, it must be determined whether the </w:t>
      </w:r>
      <w:r w:rsidR="0068323E" w:rsidRPr="008675A9">
        <w:rPr>
          <w:i/>
          <w:lang w:val="en-CA"/>
        </w:rPr>
        <w:t>PHA</w:t>
      </w:r>
      <w:r w:rsidR="0068323E" w:rsidRPr="008675A9">
        <w:rPr>
          <w:lang w:val="en-CA"/>
        </w:rPr>
        <w:t xml:space="preserve"> authorizes the </w:t>
      </w:r>
      <w:r w:rsidR="00233F58">
        <w:rPr>
          <w:lang w:val="en-CA"/>
        </w:rPr>
        <w:t>G</w:t>
      </w:r>
      <w:r w:rsidR="0068323E" w:rsidRPr="008675A9">
        <w:rPr>
          <w:lang w:val="en-CA"/>
        </w:rPr>
        <w:t xml:space="preserve">overnment to issue orders in council every </w:t>
      </w:r>
      <w:r w:rsidR="007F5D57">
        <w:rPr>
          <w:lang w:val="en-CA"/>
        </w:rPr>
        <w:t>10</w:t>
      </w:r>
      <w:r w:rsidR="0068323E" w:rsidRPr="008675A9">
        <w:rPr>
          <w:lang w:val="en-CA"/>
        </w:rPr>
        <w:t xml:space="preserve"> days to renew </w:t>
      </w:r>
      <w:r w:rsidR="007F5D57">
        <w:rPr>
          <w:lang w:val="en-CA"/>
        </w:rPr>
        <w:t>a</w:t>
      </w:r>
      <w:r w:rsidR="0068323E" w:rsidRPr="008675A9">
        <w:rPr>
          <w:lang w:val="en-CA"/>
        </w:rPr>
        <w:t xml:space="preserve"> public </w:t>
      </w:r>
      <w:r w:rsidR="0068323E" w:rsidRPr="008675A9">
        <w:rPr>
          <w:lang w:val="en-CA"/>
        </w:rPr>
        <w:lastRenderedPageBreak/>
        <w:t>health emergency arising from a serious threat to the health of the population, whether real or imminent, without needing to obtain the prior consent of the National Assembly.</w:t>
      </w:r>
      <w:r w:rsidR="00BD41E7" w:rsidRPr="008675A9">
        <w:rPr>
          <w:lang w:val="en-CA"/>
        </w:rPr>
        <w:t xml:space="preserve"> </w:t>
      </w:r>
      <w:r w:rsidR="00186807" w:rsidRPr="00AB5ACC">
        <w:rPr>
          <w:lang w:val="en-CA"/>
        </w:rPr>
        <w:t xml:space="preserve">To that end, it is </w:t>
      </w:r>
      <w:r w:rsidR="00D86A77" w:rsidRPr="00AB5ACC">
        <w:rPr>
          <w:lang w:val="en-CA"/>
        </w:rPr>
        <w:t>necessary</w:t>
      </w:r>
      <w:r w:rsidR="00186807" w:rsidRPr="00AB5ACC">
        <w:rPr>
          <w:lang w:val="en-CA"/>
        </w:rPr>
        <w:t xml:space="preserve"> to </w:t>
      </w:r>
      <w:r w:rsidR="00F95E0B">
        <w:rPr>
          <w:lang w:val="en-CA"/>
        </w:rPr>
        <w:t xml:space="preserve">begin with an examination of </w:t>
      </w:r>
      <w:r w:rsidR="00186807" w:rsidRPr="00AB5ACC">
        <w:rPr>
          <w:lang w:val="en-CA"/>
        </w:rPr>
        <w:t xml:space="preserve">the </w:t>
      </w:r>
      <w:r w:rsidR="00F95E0B">
        <w:rPr>
          <w:lang w:val="en-CA"/>
        </w:rPr>
        <w:t>object</w:t>
      </w:r>
      <w:r w:rsidR="00186807" w:rsidRPr="00AB5ACC">
        <w:rPr>
          <w:lang w:val="en-CA"/>
        </w:rPr>
        <w:t xml:space="preserve"> of the </w:t>
      </w:r>
      <w:r w:rsidR="00186807" w:rsidRPr="00AB5ACC">
        <w:rPr>
          <w:i/>
          <w:iCs/>
          <w:lang w:val="en-CA"/>
        </w:rPr>
        <w:t>PHA</w:t>
      </w:r>
      <w:r w:rsidR="00186807" w:rsidRPr="00AB5ACC">
        <w:rPr>
          <w:lang w:val="en-CA"/>
        </w:rPr>
        <w:t>, as well as its enabling provisions.</w:t>
      </w:r>
    </w:p>
    <w:p w14:paraId="7E3F42E7" w14:textId="27F65910" w:rsidR="001516A0" w:rsidRPr="008675A9" w:rsidRDefault="007A2AE3" w:rsidP="00043A62">
      <w:pPr>
        <w:pStyle w:val="Paragraphe"/>
        <w:spacing w:line="280" w:lineRule="exact"/>
        <w:rPr>
          <w:lang w:val="en-CA"/>
        </w:rPr>
      </w:pPr>
      <w:r w:rsidRPr="008675A9">
        <w:rPr>
          <w:lang w:val="en-CA"/>
        </w:rPr>
        <w:t xml:space="preserve">The object of the </w:t>
      </w:r>
      <w:r w:rsidRPr="008675A9">
        <w:rPr>
          <w:i/>
          <w:lang w:val="en-CA"/>
        </w:rPr>
        <w:t xml:space="preserve">PHA </w:t>
      </w:r>
      <w:r w:rsidRPr="008675A9">
        <w:rPr>
          <w:lang w:val="en-CA"/>
        </w:rPr>
        <w:t xml:space="preserve">is </w:t>
      </w:r>
      <w:r w:rsidR="006E4B96" w:rsidRPr="008675A9">
        <w:rPr>
          <w:lang w:val="en-CA"/>
        </w:rPr>
        <w:t>“</w:t>
      </w:r>
      <w:r w:rsidRPr="008675A9">
        <w:rPr>
          <w:lang w:val="en-CA"/>
        </w:rPr>
        <w:t>the protection of the health of the population and the establishment of conditions favourable to the maintenance and enhancement of the health and well-being of the general population.</w:t>
      </w:r>
      <w:r w:rsidR="006E4B96" w:rsidRPr="008675A9">
        <w:rPr>
          <w:lang w:val="en-CA"/>
        </w:rPr>
        <w:t>”</w:t>
      </w:r>
      <w:r w:rsidR="00196F71" w:rsidRPr="008675A9">
        <w:rPr>
          <w:rStyle w:val="Appelnotedebasdep"/>
          <w:lang w:val="en-CA"/>
        </w:rPr>
        <w:footnoteReference w:id="20"/>
      </w:r>
    </w:p>
    <w:p w14:paraId="5BF693FF" w14:textId="164DD72E" w:rsidR="001516A0" w:rsidRPr="008675A9" w:rsidRDefault="007A2AE3" w:rsidP="00043A62">
      <w:pPr>
        <w:pStyle w:val="Paragraphe"/>
        <w:spacing w:line="280" w:lineRule="exact"/>
        <w:rPr>
          <w:lang w:val="en-CA"/>
        </w:rPr>
      </w:pPr>
      <w:r w:rsidRPr="008675A9">
        <w:rPr>
          <w:lang w:val="en-CA"/>
        </w:rPr>
        <w:t xml:space="preserve">In addition, the </w:t>
      </w:r>
      <w:r w:rsidRPr="008675A9">
        <w:rPr>
          <w:i/>
          <w:lang w:val="en-CA"/>
        </w:rPr>
        <w:t xml:space="preserve">Act </w:t>
      </w:r>
      <w:r w:rsidRPr="008675A9">
        <w:rPr>
          <w:lang w:val="en-CA"/>
        </w:rPr>
        <w:t xml:space="preserve">specifies that public health actions must be </w:t>
      </w:r>
      <w:r w:rsidR="00523A7A">
        <w:rPr>
          <w:lang w:val="en-CA"/>
        </w:rPr>
        <w:t>“</w:t>
      </w:r>
      <w:r w:rsidRPr="008675A9">
        <w:rPr>
          <w:lang w:val="en-CA"/>
        </w:rPr>
        <w:t>directed at protecting, maintaining or enhancing the health status and well-being of the general population and shall not focus on individuals except insofar as such actions are taken for the benefit of the community as a whole or a group of individuals</w:t>
      </w:r>
      <w:r w:rsidR="006E4B96" w:rsidRPr="008675A9">
        <w:rPr>
          <w:lang w:val="en-CA"/>
        </w:rPr>
        <w:t>”</w:t>
      </w:r>
      <w:r w:rsidRPr="008675A9">
        <w:rPr>
          <w:lang w:val="en-CA"/>
        </w:rPr>
        <w:t>.</w:t>
      </w:r>
      <w:r w:rsidR="00196F71" w:rsidRPr="008675A9">
        <w:rPr>
          <w:rStyle w:val="Appelnotedebasdep"/>
          <w:lang w:val="en-CA"/>
        </w:rPr>
        <w:footnoteReference w:id="21"/>
      </w:r>
      <w:r w:rsidR="00BD41E7" w:rsidRPr="008675A9">
        <w:rPr>
          <w:lang w:val="en-CA"/>
        </w:rPr>
        <w:t xml:space="preserve"> </w:t>
      </w:r>
      <w:r w:rsidRPr="008675A9">
        <w:rPr>
          <w:lang w:val="en-CA"/>
        </w:rPr>
        <w:t xml:space="preserve">It also </w:t>
      </w:r>
      <w:r w:rsidR="00F95E0B">
        <w:rPr>
          <w:lang w:val="en-CA"/>
        </w:rPr>
        <w:t>states</w:t>
      </w:r>
      <w:r w:rsidRPr="008675A9">
        <w:rPr>
          <w:lang w:val="en-CA"/>
        </w:rPr>
        <w:t xml:space="preserve"> that </w:t>
      </w:r>
      <w:r w:rsidR="006E4B96" w:rsidRPr="008675A9">
        <w:rPr>
          <w:lang w:val="en-CA"/>
        </w:rPr>
        <w:t>an</w:t>
      </w:r>
      <w:r w:rsidRPr="008675A9">
        <w:rPr>
          <w:lang w:val="en-CA"/>
        </w:rPr>
        <w:t xml:space="preserve"> emergency is an exceptional measure applicable for the sole purpose of confronting a serious threat to the health of the population,</w:t>
      </w:r>
      <w:r w:rsidR="00196F71" w:rsidRPr="008675A9">
        <w:rPr>
          <w:rStyle w:val="Appelnotedebasdep"/>
          <w:lang w:val="en-CA"/>
        </w:rPr>
        <w:footnoteReference w:id="22"/>
      </w:r>
      <w:r w:rsidRPr="008675A9">
        <w:rPr>
          <w:lang w:val="en-CA"/>
        </w:rPr>
        <w:t xml:space="preserve"> whether real or imminent, that requires the immediate application of certain measures </w:t>
      </w:r>
      <w:r w:rsidR="00460B4F">
        <w:rPr>
          <w:lang w:val="en-CA"/>
        </w:rPr>
        <w:t>set out</w:t>
      </w:r>
      <w:r w:rsidRPr="008675A9">
        <w:rPr>
          <w:lang w:val="en-CA"/>
        </w:rPr>
        <w:t xml:space="preserve"> in section 123 </w:t>
      </w:r>
      <w:r w:rsidRPr="008675A9">
        <w:rPr>
          <w:i/>
          <w:lang w:val="en-CA"/>
        </w:rPr>
        <w:t xml:space="preserve">PHA </w:t>
      </w:r>
      <w:r w:rsidRPr="008675A9">
        <w:rPr>
          <w:lang w:val="en-CA"/>
        </w:rPr>
        <w:t>to protect the health of the population.</w:t>
      </w:r>
    </w:p>
    <w:p w14:paraId="1D98960D" w14:textId="626D5CB3" w:rsidR="001516A0" w:rsidRPr="008675A9" w:rsidRDefault="00D86A77" w:rsidP="00043A62">
      <w:pPr>
        <w:pStyle w:val="Paragraphe"/>
        <w:spacing w:line="280" w:lineRule="exact"/>
        <w:rPr>
          <w:lang w:val="en-CA"/>
        </w:rPr>
      </w:pPr>
      <w:r w:rsidRPr="008675A9">
        <w:rPr>
          <w:lang w:val="en-CA"/>
        </w:rPr>
        <w:t xml:space="preserve">It appears clearly from the provisions dealing with public health emergencies that the legislature granted the Government a </w:t>
      </w:r>
      <w:r w:rsidR="0063246C">
        <w:rPr>
          <w:lang w:val="en-CA"/>
        </w:rPr>
        <w:t>broad</w:t>
      </w:r>
      <w:r w:rsidRPr="008675A9">
        <w:rPr>
          <w:lang w:val="en-CA"/>
        </w:rPr>
        <w:t xml:space="preserve"> discretionary power to declare a public health emergency and to issue renewal orders. However, it goes without saying that the measures taken pursuant to these emergency powers must be </w:t>
      </w:r>
      <w:r w:rsidR="00355DBF" w:rsidRPr="008675A9">
        <w:rPr>
          <w:lang w:val="en-CA"/>
        </w:rPr>
        <w:t xml:space="preserve">connected </w:t>
      </w:r>
      <w:r w:rsidRPr="008675A9">
        <w:rPr>
          <w:lang w:val="en-CA"/>
        </w:rPr>
        <w:t xml:space="preserve">to the serious threat to the health of the population, whether real or imminent, </w:t>
      </w:r>
      <w:r w:rsidR="0063246C">
        <w:rPr>
          <w:lang w:val="en-CA"/>
        </w:rPr>
        <w:t>that</w:t>
      </w:r>
      <w:r w:rsidRPr="008675A9">
        <w:rPr>
          <w:lang w:val="en-CA"/>
        </w:rPr>
        <w:t xml:space="preserve"> justified the declaration of the emergency [</w:t>
      </w:r>
      <w:r w:rsidRPr="008675A9">
        <w:rPr>
          <w:smallCaps/>
          <w:lang w:val="en-CA"/>
        </w:rPr>
        <w:t>translation</w:t>
      </w:r>
      <w:r w:rsidRPr="008675A9">
        <w:rPr>
          <w:lang w:val="en-CA"/>
        </w:rPr>
        <w:t xml:space="preserve">] </w:t>
      </w:r>
      <w:r w:rsidR="00355DBF" w:rsidRPr="008675A9">
        <w:rPr>
          <w:lang w:val="en-CA"/>
        </w:rPr>
        <w:t>“</w:t>
      </w:r>
      <w:r w:rsidRPr="008675A9">
        <w:rPr>
          <w:lang w:val="en-CA"/>
        </w:rPr>
        <w:t xml:space="preserve">to avoid and contain any </w:t>
      </w:r>
      <w:r w:rsidR="00460B4F">
        <w:rPr>
          <w:lang w:val="en-CA"/>
        </w:rPr>
        <w:t>aberrant</w:t>
      </w:r>
      <w:r w:rsidRPr="008675A9">
        <w:rPr>
          <w:lang w:val="en-CA"/>
        </w:rPr>
        <w:t xml:space="preserve"> use of the emergency power</w:t>
      </w:r>
      <w:r w:rsidR="00355DBF" w:rsidRPr="008675A9">
        <w:rPr>
          <w:lang w:val="en-CA"/>
        </w:rPr>
        <w:t>”</w:t>
      </w:r>
      <w:r w:rsidRPr="008675A9">
        <w:rPr>
          <w:lang w:val="en-CA"/>
        </w:rPr>
        <w:t>.</w:t>
      </w:r>
      <w:r w:rsidR="0063246C" w:rsidRPr="0063246C">
        <w:rPr>
          <w:rStyle w:val="Appelnotedebasdep"/>
          <w:lang w:val="en-CA"/>
        </w:rPr>
        <w:t xml:space="preserve"> </w:t>
      </w:r>
      <w:r w:rsidR="0063246C" w:rsidRPr="008675A9">
        <w:rPr>
          <w:rStyle w:val="Appelnotedebasdep"/>
          <w:lang w:val="en-CA"/>
        </w:rPr>
        <w:footnoteReference w:id="23"/>
      </w:r>
    </w:p>
    <w:p w14:paraId="01C1203B" w14:textId="188A223C" w:rsidR="001516A0" w:rsidRPr="008675A9" w:rsidRDefault="00D86A77" w:rsidP="00043A62">
      <w:pPr>
        <w:pStyle w:val="Paragraphe"/>
        <w:spacing w:line="280" w:lineRule="exact"/>
        <w:rPr>
          <w:lang w:val="en-CA"/>
        </w:rPr>
      </w:pPr>
      <w:r w:rsidRPr="008675A9">
        <w:rPr>
          <w:lang w:val="en-CA"/>
        </w:rPr>
        <w:t xml:space="preserve">With respect to the declaration of an emergency and its renewal, </w:t>
      </w:r>
      <w:r w:rsidR="00355DBF" w:rsidRPr="008675A9">
        <w:rPr>
          <w:lang w:val="en-CA"/>
        </w:rPr>
        <w:t>sections</w:t>
      </w:r>
      <w:r w:rsidRPr="008675A9">
        <w:rPr>
          <w:lang w:val="en-CA"/>
        </w:rPr>
        <w:t xml:space="preserve"> 118, 119</w:t>
      </w:r>
      <w:r w:rsidR="0063246C">
        <w:rPr>
          <w:lang w:val="en-CA"/>
        </w:rPr>
        <w:t>,</w:t>
      </w:r>
      <w:r w:rsidRPr="008675A9">
        <w:rPr>
          <w:lang w:val="en-CA"/>
        </w:rPr>
        <w:t xml:space="preserve"> and 122 </w:t>
      </w:r>
      <w:r w:rsidRPr="008675A9">
        <w:rPr>
          <w:i/>
          <w:lang w:val="en-CA"/>
        </w:rPr>
        <w:t xml:space="preserve">PHA </w:t>
      </w:r>
      <w:r w:rsidRPr="008675A9">
        <w:rPr>
          <w:lang w:val="en-CA"/>
        </w:rPr>
        <w:t xml:space="preserve">govern the </w:t>
      </w:r>
      <w:r w:rsidR="00233F58">
        <w:rPr>
          <w:lang w:val="en-CA"/>
        </w:rPr>
        <w:t>G</w:t>
      </w:r>
      <w:r w:rsidRPr="008675A9">
        <w:rPr>
          <w:lang w:val="en-CA"/>
        </w:rPr>
        <w:t>overnment</w:t>
      </w:r>
      <w:r w:rsidR="00B96F97">
        <w:rPr>
          <w:lang w:val="en-CA"/>
        </w:rPr>
        <w:t>’</w:t>
      </w:r>
      <w:r w:rsidRPr="008675A9">
        <w:rPr>
          <w:lang w:val="en-CA"/>
        </w:rPr>
        <w:t>s discretionary power.</w:t>
      </w:r>
      <w:r w:rsidR="00BD41E7" w:rsidRPr="008675A9">
        <w:rPr>
          <w:lang w:val="en-CA"/>
        </w:rPr>
        <w:t xml:space="preserve"> </w:t>
      </w:r>
      <w:r w:rsidRPr="00AB5ACC">
        <w:rPr>
          <w:lang w:val="en-CA"/>
        </w:rPr>
        <w:t>They are drafted as follows</w:t>
      </w:r>
      <w:r w:rsidR="00BD41E7" w:rsidRPr="00AB5ACC">
        <w:rPr>
          <w:lang w:val="en-CA"/>
        </w:rPr>
        <w:t>:</w:t>
      </w:r>
    </w:p>
    <w:tbl>
      <w:tblPr>
        <w:tblW w:w="0" w:type="auto"/>
        <w:tblCellMar>
          <w:left w:w="70" w:type="dxa"/>
          <w:right w:w="70" w:type="dxa"/>
        </w:tblCellMar>
        <w:tblLook w:val="0000" w:firstRow="0" w:lastRow="0" w:firstColumn="0" w:lastColumn="0" w:noHBand="0" w:noVBand="0"/>
      </w:tblPr>
      <w:tblGrid>
        <w:gridCol w:w="4676"/>
        <w:gridCol w:w="4686"/>
      </w:tblGrid>
      <w:tr w:rsidR="00720AD1" w:rsidRPr="008675A9" w14:paraId="105D70F3" w14:textId="77777777" w:rsidTr="00B37D7B">
        <w:tc>
          <w:tcPr>
            <w:tcW w:w="4676" w:type="dxa"/>
          </w:tcPr>
          <w:p w14:paraId="68FE310D" w14:textId="0B744260" w:rsidR="001516A0" w:rsidRPr="00AB5ACC" w:rsidRDefault="00B36BB7" w:rsidP="00147735">
            <w:pPr>
              <w:ind w:left="720" w:right="142"/>
              <w:jc w:val="both"/>
              <w:rPr>
                <w:b/>
                <w:sz w:val="22"/>
                <w:lang w:val="en-CA"/>
              </w:rPr>
            </w:pPr>
            <w:r w:rsidRPr="00AB5ACC">
              <w:rPr>
                <w:b/>
                <w:sz w:val="22"/>
                <w:lang w:val="en-CA"/>
              </w:rPr>
              <w:t>DIVISION III</w:t>
            </w:r>
          </w:p>
          <w:p w14:paraId="7AACB3B6" w14:textId="784735A0" w:rsidR="001516A0" w:rsidRPr="00AB5ACC" w:rsidRDefault="00B36BB7" w:rsidP="00147735">
            <w:pPr>
              <w:ind w:left="720" w:right="142"/>
              <w:jc w:val="both"/>
              <w:rPr>
                <w:sz w:val="22"/>
                <w:lang w:val="en-CA"/>
              </w:rPr>
            </w:pPr>
            <w:r w:rsidRPr="00AB5ACC">
              <w:rPr>
                <w:sz w:val="22"/>
                <w:lang w:val="en-CA"/>
              </w:rPr>
              <w:t>PUBLIC HEALTH EMERGENCY</w:t>
            </w:r>
            <w:r w:rsidRPr="00AB5ACC">
              <w:rPr>
                <w:lang w:val="en-CA"/>
              </w:rPr>
              <w:t xml:space="preserve"> </w:t>
            </w:r>
          </w:p>
          <w:p w14:paraId="5EE124C6" w14:textId="77777777" w:rsidR="00B36BB7" w:rsidRPr="008675A9" w:rsidRDefault="00B36BB7" w:rsidP="00147735">
            <w:pPr>
              <w:ind w:left="720" w:right="142"/>
              <w:jc w:val="both"/>
              <w:rPr>
                <w:sz w:val="22"/>
                <w:lang w:val="en-CA"/>
              </w:rPr>
            </w:pPr>
          </w:p>
          <w:p w14:paraId="4E7744DA" w14:textId="293BA9C5" w:rsidR="001516A0" w:rsidRPr="008675A9" w:rsidRDefault="00B36BB7" w:rsidP="00147735">
            <w:pPr>
              <w:ind w:left="720" w:right="142"/>
              <w:jc w:val="both"/>
              <w:rPr>
                <w:sz w:val="22"/>
                <w:lang w:val="en-CA"/>
              </w:rPr>
            </w:pPr>
            <w:r w:rsidRPr="008675A9">
              <w:rPr>
                <w:b/>
                <w:sz w:val="22"/>
                <w:lang w:val="en-CA"/>
              </w:rPr>
              <w:t>118.</w:t>
            </w:r>
            <w:r w:rsidRPr="008675A9">
              <w:rPr>
                <w:sz w:val="22"/>
                <w:lang w:val="en-CA"/>
              </w:rPr>
              <w:t xml:space="preserve"> The Government may declare a public health emergency in all or part of the territory of Québec where a serious threat to the health of the population, whether real or imminent, requires the immediate application of </w:t>
            </w:r>
            <w:r w:rsidRPr="008675A9">
              <w:rPr>
                <w:sz w:val="22"/>
                <w:lang w:val="en-CA"/>
              </w:rPr>
              <w:lastRenderedPageBreak/>
              <w:t>certain measures provided for in section 123 to protect the health of the population</w:t>
            </w:r>
            <w:r w:rsidR="00BD41E7" w:rsidRPr="008675A9">
              <w:rPr>
                <w:sz w:val="22"/>
                <w:lang w:val="en-CA"/>
              </w:rPr>
              <w:t>.</w:t>
            </w:r>
          </w:p>
          <w:p w14:paraId="50994339" w14:textId="77777777" w:rsidR="001516A0" w:rsidRPr="008675A9" w:rsidRDefault="00EB60E0" w:rsidP="00147735">
            <w:pPr>
              <w:ind w:left="720" w:right="142"/>
              <w:jc w:val="both"/>
              <w:rPr>
                <w:sz w:val="22"/>
                <w:lang w:val="en-CA"/>
              </w:rPr>
            </w:pPr>
          </w:p>
          <w:p w14:paraId="22B4CE5B" w14:textId="5ED84C6B" w:rsidR="001516A0" w:rsidRPr="008675A9" w:rsidRDefault="00BD41E7" w:rsidP="00147735">
            <w:pPr>
              <w:ind w:left="720" w:right="142"/>
              <w:jc w:val="both"/>
              <w:rPr>
                <w:sz w:val="22"/>
                <w:u w:val="single"/>
                <w:lang w:val="en-CA"/>
              </w:rPr>
            </w:pPr>
            <w:r w:rsidRPr="008675A9">
              <w:rPr>
                <w:b/>
                <w:sz w:val="22"/>
                <w:lang w:val="en-CA"/>
              </w:rPr>
              <w:t>119.</w:t>
            </w:r>
            <w:r w:rsidRPr="008675A9">
              <w:rPr>
                <w:sz w:val="22"/>
                <w:lang w:val="en-CA"/>
              </w:rPr>
              <w:t> </w:t>
            </w:r>
            <w:r w:rsidR="00B36BB7" w:rsidRPr="008675A9">
              <w:rPr>
                <w:sz w:val="22"/>
                <w:lang w:val="en-CA"/>
              </w:rPr>
              <w:t xml:space="preserve">A public health emergency declared by the Government is effective for a maximum period of 10 days at the expiry of which </w:t>
            </w:r>
            <w:r w:rsidR="00B36BB7" w:rsidRPr="008675A9">
              <w:rPr>
                <w:sz w:val="22"/>
                <w:u w:val="single"/>
                <w:lang w:val="en-CA"/>
              </w:rPr>
              <w:t>it may be renewed, as many times as necessary, for a maximum period of 10 days or, with the consent of the National Assembly, for a maximum period of 30 days</w:t>
            </w:r>
            <w:r w:rsidRPr="008675A9">
              <w:rPr>
                <w:sz w:val="22"/>
                <w:lang w:val="en-CA"/>
              </w:rPr>
              <w:t>.</w:t>
            </w:r>
          </w:p>
          <w:p w14:paraId="0D5D3B13" w14:textId="77777777" w:rsidR="001516A0" w:rsidRPr="008675A9" w:rsidRDefault="00EB60E0" w:rsidP="00147735">
            <w:pPr>
              <w:ind w:left="720" w:right="142"/>
              <w:jc w:val="both"/>
              <w:rPr>
                <w:sz w:val="22"/>
                <w:lang w:val="en-CA"/>
              </w:rPr>
            </w:pPr>
          </w:p>
          <w:p w14:paraId="4CAFFC5A" w14:textId="122A6A53" w:rsidR="001516A0" w:rsidRPr="008675A9" w:rsidRDefault="00B36BB7" w:rsidP="00147735">
            <w:pPr>
              <w:ind w:left="720" w:right="142"/>
              <w:jc w:val="both"/>
              <w:rPr>
                <w:sz w:val="22"/>
                <w:lang w:val="en-CA"/>
              </w:rPr>
            </w:pPr>
            <w:r w:rsidRPr="008675A9">
              <w:rPr>
                <w:sz w:val="22"/>
                <w:lang w:val="en-CA"/>
              </w:rPr>
              <w:t>If the Government is unable to meet immediately, the Minister may declare a public health emergency for a maximum period of 48 hours</w:t>
            </w:r>
            <w:r w:rsidR="00BD41E7" w:rsidRPr="008675A9">
              <w:rPr>
                <w:sz w:val="22"/>
                <w:lang w:val="en-CA"/>
              </w:rPr>
              <w:t>.</w:t>
            </w:r>
          </w:p>
          <w:p w14:paraId="1670E83B" w14:textId="77777777" w:rsidR="001516A0" w:rsidRPr="008675A9" w:rsidRDefault="00EB60E0" w:rsidP="00147735">
            <w:pPr>
              <w:ind w:left="720" w:right="142"/>
              <w:jc w:val="both"/>
              <w:rPr>
                <w:sz w:val="22"/>
                <w:lang w:val="en-CA"/>
              </w:rPr>
            </w:pPr>
          </w:p>
          <w:p w14:paraId="0489E99E" w14:textId="7CF36F73" w:rsidR="001516A0" w:rsidRPr="008675A9" w:rsidRDefault="00BD41E7" w:rsidP="00147735">
            <w:pPr>
              <w:ind w:left="720" w:right="142"/>
              <w:jc w:val="both"/>
              <w:rPr>
                <w:sz w:val="22"/>
                <w:lang w:val="en-CA"/>
              </w:rPr>
            </w:pPr>
            <w:r w:rsidRPr="008675A9">
              <w:rPr>
                <w:b/>
                <w:sz w:val="22"/>
                <w:lang w:val="en-CA"/>
              </w:rPr>
              <w:t>122.</w:t>
            </w:r>
            <w:r w:rsidRPr="008675A9">
              <w:rPr>
                <w:sz w:val="22"/>
                <w:lang w:val="en-CA"/>
              </w:rPr>
              <w:t> </w:t>
            </w:r>
            <w:r w:rsidR="00B36BB7" w:rsidRPr="008675A9">
              <w:rPr>
                <w:sz w:val="22"/>
                <w:lang w:val="en-CA"/>
              </w:rPr>
              <w:t xml:space="preserve"> The National Assembly may, in accordance with its rules of procedure, vote to disallow the declaration of a public health emergency or any renewal thereof</w:t>
            </w:r>
            <w:r w:rsidRPr="00AB5ACC">
              <w:rPr>
                <w:sz w:val="22"/>
                <w:lang w:val="en-CA"/>
              </w:rPr>
              <w:t>.</w:t>
            </w:r>
          </w:p>
          <w:p w14:paraId="39D3FF22" w14:textId="77777777" w:rsidR="001516A0" w:rsidRPr="008675A9" w:rsidRDefault="00EB60E0" w:rsidP="00147735">
            <w:pPr>
              <w:ind w:left="720" w:right="142"/>
              <w:jc w:val="both"/>
              <w:rPr>
                <w:sz w:val="22"/>
                <w:lang w:val="en-CA"/>
              </w:rPr>
            </w:pPr>
          </w:p>
          <w:p w14:paraId="14EF7FB0" w14:textId="114A59F3" w:rsidR="001516A0" w:rsidRPr="008675A9" w:rsidRDefault="00B36BB7" w:rsidP="00147735">
            <w:pPr>
              <w:ind w:left="720" w:right="142"/>
              <w:jc w:val="both"/>
              <w:rPr>
                <w:sz w:val="22"/>
                <w:lang w:val="en-CA"/>
              </w:rPr>
            </w:pPr>
            <w:r w:rsidRPr="00AB5ACC">
              <w:rPr>
                <w:sz w:val="22"/>
                <w:lang w:val="en-CA"/>
              </w:rPr>
              <w:t>The disallowance takes effect on the day the motion is passed</w:t>
            </w:r>
            <w:r w:rsidRPr="008675A9">
              <w:rPr>
                <w:sz w:val="22"/>
                <w:lang w:val="en-CA"/>
              </w:rPr>
              <w:t>.</w:t>
            </w:r>
          </w:p>
          <w:p w14:paraId="43024F97" w14:textId="77777777" w:rsidR="001516A0" w:rsidRPr="008675A9" w:rsidRDefault="00EB60E0" w:rsidP="00147735">
            <w:pPr>
              <w:ind w:left="720" w:right="142"/>
              <w:jc w:val="both"/>
              <w:rPr>
                <w:sz w:val="22"/>
                <w:lang w:val="en-CA"/>
              </w:rPr>
            </w:pPr>
          </w:p>
          <w:p w14:paraId="4AB426BA" w14:textId="085798FB" w:rsidR="001516A0" w:rsidRPr="008675A9" w:rsidRDefault="00B36BB7" w:rsidP="008557CB">
            <w:pPr>
              <w:ind w:left="720" w:right="142"/>
              <w:jc w:val="both"/>
              <w:rPr>
                <w:sz w:val="22"/>
                <w:lang w:val="en-CA"/>
              </w:rPr>
            </w:pPr>
            <w:r w:rsidRPr="008675A9">
              <w:rPr>
                <w:sz w:val="22"/>
                <w:lang w:val="en-CA"/>
              </w:rPr>
              <w:t xml:space="preserve">Notice of the disallowance shall be promptly published and disseminated by the Secretary General of the National Assembly by the most efficient means available to ensure that the populations concerned are rapidly informed. </w:t>
            </w:r>
            <w:r w:rsidRPr="00AB5ACC">
              <w:rPr>
                <w:sz w:val="22"/>
                <w:lang w:val="en-CA"/>
              </w:rPr>
              <w:t xml:space="preserve">It shall also be published by the Secretary General in the Gazette </w:t>
            </w:r>
            <w:proofErr w:type="spellStart"/>
            <w:r w:rsidRPr="00AB5ACC">
              <w:rPr>
                <w:sz w:val="22"/>
                <w:lang w:val="en-CA"/>
              </w:rPr>
              <w:t>officielle</w:t>
            </w:r>
            <w:proofErr w:type="spellEnd"/>
            <w:r w:rsidRPr="00AB5ACC">
              <w:rPr>
                <w:sz w:val="22"/>
                <w:lang w:val="en-CA"/>
              </w:rPr>
              <w:t xml:space="preserve"> du Québec</w:t>
            </w:r>
            <w:r w:rsidR="00BD41E7" w:rsidRPr="00AB5ACC">
              <w:rPr>
                <w:sz w:val="22"/>
                <w:lang w:val="en-CA"/>
              </w:rPr>
              <w:t>.</w:t>
            </w:r>
          </w:p>
        </w:tc>
        <w:tc>
          <w:tcPr>
            <w:tcW w:w="4686" w:type="dxa"/>
          </w:tcPr>
          <w:p w14:paraId="7C3E835C" w14:textId="10553A2A" w:rsidR="001516A0" w:rsidRPr="00152D35" w:rsidRDefault="00B36BB7" w:rsidP="00147735">
            <w:pPr>
              <w:ind w:left="144" w:right="720"/>
              <w:jc w:val="both"/>
              <w:rPr>
                <w:b/>
                <w:sz w:val="22"/>
              </w:rPr>
            </w:pPr>
            <w:r w:rsidRPr="00152D35">
              <w:rPr>
                <w:b/>
                <w:sz w:val="22"/>
              </w:rPr>
              <w:lastRenderedPageBreak/>
              <w:t>SECTION III</w:t>
            </w:r>
          </w:p>
          <w:p w14:paraId="05425FCE" w14:textId="7C06CFDD" w:rsidR="001516A0" w:rsidRPr="00152D35" w:rsidRDefault="00B36BB7" w:rsidP="00B36BB7">
            <w:pPr>
              <w:ind w:left="144" w:right="720"/>
              <w:rPr>
                <w:sz w:val="22"/>
              </w:rPr>
            </w:pPr>
            <w:r w:rsidRPr="00152D35">
              <w:rPr>
                <w:sz w:val="22"/>
              </w:rPr>
              <w:t>DÉCLARATION D’ÉTAT D’URGENCE SANITAIRE</w:t>
            </w:r>
          </w:p>
          <w:p w14:paraId="72A1FDB3" w14:textId="67688D0A" w:rsidR="001516A0" w:rsidRPr="00460B4F" w:rsidRDefault="00B36BB7" w:rsidP="00147735">
            <w:pPr>
              <w:ind w:left="144" w:right="720"/>
              <w:jc w:val="both"/>
              <w:rPr>
                <w:sz w:val="22"/>
              </w:rPr>
            </w:pPr>
            <w:r w:rsidRPr="00460B4F">
              <w:rPr>
                <w:b/>
                <w:sz w:val="22"/>
              </w:rPr>
              <w:t>118.</w:t>
            </w:r>
            <w:r w:rsidRPr="00460B4F">
              <w:rPr>
                <w:sz w:val="22"/>
              </w:rPr>
              <w:t xml:space="preserve"> Le gouvernement peut déclarer un état d’urgence sanitaire dans tout ou partie du territoire québécois lorsqu’une menace grave à la santé de la population, réelle ou imminente, exige l’application immédiate de </w:t>
            </w:r>
            <w:r w:rsidRPr="00460B4F">
              <w:rPr>
                <w:sz w:val="22"/>
              </w:rPr>
              <w:lastRenderedPageBreak/>
              <w:t>certaines mesures prévues à l’article 123 pour protéger la santé de la population.</w:t>
            </w:r>
            <w:r w:rsidRPr="00460B4F">
              <w:rPr>
                <w:b/>
                <w:sz w:val="22"/>
              </w:rPr>
              <w:t xml:space="preserve"> </w:t>
            </w:r>
          </w:p>
          <w:p w14:paraId="4B8EAC7F" w14:textId="77777777" w:rsidR="001516A0" w:rsidRPr="00460B4F" w:rsidRDefault="00EB60E0" w:rsidP="00147735">
            <w:pPr>
              <w:ind w:left="144" w:right="720"/>
              <w:jc w:val="both"/>
              <w:rPr>
                <w:sz w:val="22"/>
              </w:rPr>
            </w:pPr>
          </w:p>
          <w:p w14:paraId="3B7C5057" w14:textId="754C05CB" w:rsidR="001516A0" w:rsidRPr="00460B4F" w:rsidRDefault="00BD41E7" w:rsidP="00147735">
            <w:pPr>
              <w:ind w:left="144" w:right="720"/>
              <w:jc w:val="both"/>
              <w:rPr>
                <w:sz w:val="22"/>
                <w:u w:val="single"/>
              </w:rPr>
            </w:pPr>
            <w:r w:rsidRPr="00460B4F">
              <w:rPr>
                <w:b/>
                <w:sz w:val="22"/>
              </w:rPr>
              <w:t>119</w:t>
            </w:r>
            <w:r w:rsidRPr="00460B4F">
              <w:rPr>
                <w:sz w:val="22"/>
              </w:rPr>
              <w:t>. </w:t>
            </w:r>
            <w:r w:rsidR="00B36BB7" w:rsidRPr="00460B4F">
              <w:rPr>
                <w:sz w:val="22"/>
              </w:rPr>
              <w:t xml:space="preserve">L’état d’urgence sanitaire déclaré par le gouvernement vaut pour une période maximale de 10 jours à l’expiration de laquelle </w:t>
            </w:r>
            <w:r w:rsidR="00B36BB7" w:rsidRPr="0055795E">
              <w:rPr>
                <w:sz w:val="22"/>
                <w:u w:val="single"/>
              </w:rPr>
              <w:t>il peut être renouvelé pour d’autres périodes maximales de 10 jours ou, avec l’assentiment de l’Assemblée nationale, pour des périodes maximales de 30 jours</w:t>
            </w:r>
            <w:r w:rsidRPr="00460B4F">
              <w:rPr>
                <w:sz w:val="22"/>
              </w:rPr>
              <w:t>.</w:t>
            </w:r>
          </w:p>
          <w:p w14:paraId="2B22E908" w14:textId="77777777" w:rsidR="001516A0" w:rsidRPr="00460B4F" w:rsidRDefault="00EB60E0" w:rsidP="00147735">
            <w:pPr>
              <w:ind w:left="144" w:right="720"/>
              <w:jc w:val="both"/>
              <w:rPr>
                <w:sz w:val="22"/>
              </w:rPr>
            </w:pPr>
          </w:p>
          <w:p w14:paraId="7552A00F" w14:textId="003DA362" w:rsidR="001516A0" w:rsidRPr="00460B4F" w:rsidRDefault="00B36BB7" w:rsidP="00147735">
            <w:pPr>
              <w:ind w:left="144" w:right="720"/>
              <w:jc w:val="both"/>
              <w:rPr>
                <w:sz w:val="22"/>
              </w:rPr>
            </w:pPr>
            <w:r w:rsidRPr="00460B4F">
              <w:rPr>
                <w:sz w:val="22"/>
              </w:rPr>
              <w:t>Si le gouvernement ne peut se réunir en temps utile, le ministre peut déclarer l’état d’urgence sanitaire pour une période maximale de 48 heures</w:t>
            </w:r>
            <w:r w:rsidR="00BD41E7" w:rsidRPr="00460B4F">
              <w:rPr>
                <w:sz w:val="22"/>
              </w:rPr>
              <w:t>.</w:t>
            </w:r>
          </w:p>
          <w:p w14:paraId="7DD35C93" w14:textId="77777777" w:rsidR="001516A0" w:rsidRPr="00460B4F" w:rsidRDefault="00EB60E0" w:rsidP="00147735">
            <w:pPr>
              <w:ind w:right="720"/>
              <w:jc w:val="both"/>
              <w:rPr>
                <w:sz w:val="22"/>
              </w:rPr>
            </w:pPr>
          </w:p>
          <w:p w14:paraId="309380CB" w14:textId="5E41412A" w:rsidR="001516A0" w:rsidRPr="00460B4F" w:rsidRDefault="00BD41E7" w:rsidP="00147735">
            <w:pPr>
              <w:ind w:left="144" w:right="720"/>
              <w:jc w:val="both"/>
              <w:rPr>
                <w:sz w:val="22"/>
              </w:rPr>
            </w:pPr>
            <w:r w:rsidRPr="00460B4F">
              <w:rPr>
                <w:b/>
                <w:sz w:val="22"/>
              </w:rPr>
              <w:t>122</w:t>
            </w:r>
            <w:r w:rsidRPr="00460B4F">
              <w:rPr>
                <w:sz w:val="22"/>
              </w:rPr>
              <w:t>. </w:t>
            </w:r>
            <w:r w:rsidR="00B36BB7" w:rsidRPr="00460B4F">
              <w:rPr>
                <w:sz w:val="22"/>
              </w:rPr>
              <w:t>L’Assemblée nationale peut, conformément à ses règles de procédure, désavouer par un vote la déclaration d’état d’urgence sanitaire et tout renouvellement</w:t>
            </w:r>
            <w:r w:rsidRPr="00460B4F">
              <w:rPr>
                <w:sz w:val="22"/>
              </w:rPr>
              <w:t>.</w:t>
            </w:r>
          </w:p>
          <w:p w14:paraId="25C0BC4C" w14:textId="77777777" w:rsidR="001516A0" w:rsidRPr="00460B4F" w:rsidRDefault="00EB60E0" w:rsidP="00147735">
            <w:pPr>
              <w:ind w:left="144" w:right="720"/>
              <w:jc w:val="both"/>
              <w:rPr>
                <w:sz w:val="22"/>
              </w:rPr>
            </w:pPr>
          </w:p>
          <w:p w14:paraId="6E046D33" w14:textId="6C698C73" w:rsidR="001516A0" w:rsidRPr="00460B4F" w:rsidRDefault="00B36BB7" w:rsidP="00147735">
            <w:pPr>
              <w:ind w:left="144" w:right="720"/>
              <w:jc w:val="both"/>
              <w:rPr>
                <w:sz w:val="22"/>
              </w:rPr>
            </w:pPr>
            <w:r w:rsidRPr="00460B4F">
              <w:rPr>
                <w:sz w:val="22"/>
              </w:rPr>
              <w:t>Le désaveu prend effet le jour de l’adoption de la motion</w:t>
            </w:r>
            <w:r w:rsidR="00BD41E7" w:rsidRPr="00460B4F">
              <w:rPr>
                <w:sz w:val="22"/>
              </w:rPr>
              <w:t>.</w:t>
            </w:r>
          </w:p>
          <w:p w14:paraId="3ADE2335" w14:textId="77777777" w:rsidR="001516A0" w:rsidRPr="00460B4F" w:rsidRDefault="00EB60E0" w:rsidP="00147735">
            <w:pPr>
              <w:ind w:left="144" w:right="720"/>
              <w:jc w:val="both"/>
              <w:rPr>
                <w:sz w:val="22"/>
              </w:rPr>
            </w:pPr>
          </w:p>
          <w:p w14:paraId="76F96E75" w14:textId="1645764F" w:rsidR="001516A0" w:rsidRPr="00152D35" w:rsidRDefault="00B36BB7" w:rsidP="00147735">
            <w:pPr>
              <w:ind w:left="144" w:right="720"/>
              <w:jc w:val="both"/>
              <w:rPr>
                <w:sz w:val="22"/>
              </w:rPr>
            </w:pPr>
            <w:r w:rsidRPr="00460B4F">
              <w:rPr>
                <w:sz w:val="22"/>
              </w:rPr>
              <w:t>Le secrétaire général de l’Assemblée nationale doit promptement publier et diffuser un avis du désaveu avec les meilleurs moyens disponibles pour informer rapidement et efficacement la population concernée. Il doit, de plus, faire publier l’avis à la Gazette officielle du Québec</w:t>
            </w:r>
            <w:r w:rsidR="00BD41E7" w:rsidRPr="00152D35">
              <w:rPr>
                <w:sz w:val="22"/>
              </w:rPr>
              <w:t>.</w:t>
            </w:r>
          </w:p>
          <w:p w14:paraId="5A0F8646" w14:textId="77777777" w:rsidR="001516A0" w:rsidRPr="00152D35" w:rsidRDefault="00EB60E0" w:rsidP="00147735">
            <w:pPr>
              <w:ind w:left="144" w:right="720"/>
              <w:jc w:val="both"/>
              <w:rPr>
                <w:sz w:val="22"/>
              </w:rPr>
            </w:pPr>
          </w:p>
          <w:p w14:paraId="209F0A5E" w14:textId="2CFDC6D8" w:rsidR="001516A0" w:rsidRPr="00AB5ACC" w:rsidRDefault="00D86A77" w:rsidP="008557CB">
            <w:pPr>
              <w:ind w:left="144" w:right="720"/>
              <w:jc w:val="right"/>
              <w:rPr>
                <w:sz w:val="22"/>
                <w:lang w:val="en-CA"/>
              </w:rPr>
            </w:pPr>
            <w:r w:rsidRPr="00AB5ACC">
              <w:rPr>
                <w:sz w:val="22"/>
                <w:lang w:val="en-CA"/>
              </w:rPr>
              <w:t>[Emphasis added]</w:t>
            </w:r>
          </w:p>
        </w:tc>
      </w:tr>
    </w:tbl>
    <w:p w14:paraId="6BC2C19D" w14:textId="4BA998C8" w:rsidR="001516A0" w:rsidRPr="008675A9" w:rsidRDefault="0089505C" w:rsidP="00043A62">
      <w:pPr>
        <w:pStyle w:val="Paragraphe"/>
        <w:spacing w:line="280" w:lineRule="exact"/>
        <w:rPr>
          <w:lang w:val="en-CA"/>
        </w:rPr>
      </w:pPr>
      <w:r>
        <w:rPr>
          <w:lang w:val="en-CA"/>
        </w:rPr>
        <w:lastRenderedPageBreak/>
        <w:t xml:space="preserve">In light </w:t>
      </w:r>
      <w:r w:rsidR="00B37D7B" w:rsidRPr="008675A9">
        <w:rPr>
          <w:lang w:val="en-CA"/>
        </w:rPr>
        <w:t xml:space="preserve">of the object and </w:t>
      </w:r>
      <w:r>
        <w:rPr>
          <w:lang w:val="en-CA"/>
        </w:rPr>
        <w:t xml:space="preserve">the </w:t>
      </w:r>
      <w:r w:rsidR="00B37D7B" w:rsidRPr="008675A9">
        <w:rPr>
          <w:lang w:val="en-CA"/>
        </w:rPr>
        <w:t>spir</w:t>
      </w:r>
      <w:r w:rsidR="00B96F97">
        <w:rPr>
          <w:lang w:val="en-CA"/>
        </w:rPr>
        <w:t>i</w:t>
      </w:r>
      <w:r w:rsidR="00B37D7B" w:rsidRPr="008675A9">
        <w:rPr>
          <w:lang w:val="en-CA"/>
        </w:rPr>
        <w:t xml:space="preserve">t of the </w:t>
      </w:r>
      <w:r w:rsidR="00B37D7B" w:rsidRPr="008675A9">
        <w:rPr>
          <w:i/>
          <w:iCs/>
          <w:lang w:val="en-CA"/>
        </w:rPr>
        <w:t>PHA</w:t>
      </w:r>
      <w:r>
        <w:rPr>
          <w:lang w:val="en-CA"/>
        </w:rPr>
        <w:t xml:space="preserve">, as well as </w:t>
      </w:r>
      <w:r w:rsidR="00B37D7B" w:rsidRPr="008675A9">
        <w:rPr>
          <w:lang w:val="en-CA"/>
        </w:rPr>
        <w:t xml:space="preserve">the </w:t>
      </w:r>
      <w:r>
        <w:rPr>
          <w:lang w:val="en-CA"/>
        </w:rPr>
        <w:t xml:space="preserve">language </w:t>
      </w:r>
      <w:r w:rsidR="00B37D7B" w:rsidRPr="008675A9">
        <w:rPr>
          <w:lang w:val="en-CA"/>
        </w:rPr>
        <w:t xml:space="preserve">of the provisions, </w:t>
      </w:r>
      <w:r>
        <w:rPr>
          <w:lang w:val="en-CA"/>
        </w:rPr>
        <w:t xml:space="preserve">the Court finds that </w:t>
      </w:r>
      <w:r w:rsidR="00B37D7B" w:rsidRPr="008675A9">
        <w:rPr>
          <w:lang w:val="en-CA"/>
        </w:rPr>
        <w:t xml:space="preserve">the </w:t>
      </w:r>
      <w:r w:rsidR="00643714" w:rsidRPr="008675A9">
        <w:rPr>
          <w:lang w:val="en-CA"/>
        </w:rPr>
        <w:t>trial judge</w:t>
      </w:r>
      <w:r w:rsidR="00B37D7B" w:rsidRPr="008675A9">
        <w:rPr>
          <w:lang w:val="en-CA"/>
        </w:rPr>
        <w:t xml:space="preserve"> correctly interpreted </w:t>
      </w:r>
      <w:r>
        <w:rPr>
          <w:lang w:val="en-CA"/>
        </w:rPr>
        <w:t>these provisions when he concluded</w:t>
      </w:r>
      <w:r w:rsidR="00B37D7B" w:rsidRPr="008675A9">
        <w:rPr>
          <w:lang w:val="en-CA"/>
        </w:rPr>
        <w:t xml:space="preserve"> that the </w:t>
      </w:r>
      <w:r w:rsidR="00233F58">
        <w:rPr>
          <w:lang w:val="en-CA"/>
        </w:rPr>
        <w:t>G</w:t>
      </w:r>
      <w:r w:rsidR="00B37D7B" w:rsidRPr="008675A9">
        <w:rPr>
          <w:lang w:val="en-CA"/>
        </w:rPr>
        <w:t xml:space="preserve">overnment </w:t>
      </w:r>
      <w:r>
        <w:rPr>
          <w:lang w:val="en-CA"/>
        </w:rPr>
        <w:t xml:space="preserve">may </w:t>
      </w:r>
      <w:r w:rsidR="00B37D7B" w:rsidRPr="008675A9">
        <w:rPr>
          <w:lang w:val="en-CA"/>
        </w:rPr>
        <w:t xml:space="preserve">renew the orders in council as it did </w:t>
      </w:r>
      <w:r w:rsidR="00B96F97">
        <w:rPr>
          <w:lang w:val="en-CA"/>
        </w:rPr>
        <w:t>and</w:t>
      </w:r>
      <w:r>
        <w:rPr>
          <w:lang w:val="en-CA"/>
        </w:rPr>
        <w:t>, accordingly,</w:t>
      </w:r>
      <w:r w:rsidR="00B96F97">
        <w:rPr>
          <w:lang w:val="en-CA"/>
        </w:rPr>
        <w:t xml:space="preserve"> that these orders in council</w:t>
      </w:r>
      <w:r w:rsidR="00B37D7B" w:rsidRPr="008675A9">
        <w:rPr>
          <w:lang w:val="en-CA"/>
        </w:rPr>
        <w:t xml:space="preserve"> </w:t>
      </w:r>
      <w:r w:rsidR="009E1B62">
        <w:rPr>
          <w:lang w:val="en-CA"/>
        </w:rPr>
        <w:t xml:space="preserve">are </w:t>
      </w:r>
      <w:r w:rsidR="00BC3FFB" w:rsidRPr="008675A9">
        <w:rPr>
          <w:lang w:val="en-CA"/>
        </w:rPr>
        <w:t>valid</w:t>
      </w:r>
      <w:r w:rsidR="00BD41E7" w:rsidRPr="008675A9">
        <w:rPr>
          <w:lang w:val="en-CA"/>
        </w:rPr>
        <w:t>.</w:t>
      </w:r>
    </w:p>
    <w:p w14:paraId="298A8BBD" w14:textId="7351B167" w:rsidR="001516A0" w:rsidRPr="008675A9" w:rsidRDefault="00B04104" w:rsidP="00043A62">
      <w:pPr>
        <w:pStyle w:val="Paragraphe"/>
        <w:spacing w:line="280" w:lineRule="exact"/>
        <w:rPr>
          <w:lang w:val="en-CA"/>
        </w:rPr>
      </w:pPr>
      <w:r w:rsidRPr="008675A9">
        <w:rPr>
          <w:lang w:val="en-CA"/>
        </w:rPr>
        <w:lastRenderedPageBreak/>
        <w:t xml:space="preserve">When a provision </w:t>
      </w:r>
      <w:r w:rsidR="00643714" w:rsidRPr="008675A9">
        <w:rPr>
          <w:lang w:val="en-CA"/>
        </w:rPr>
        <w:t>appears</w:t>
      </w:r>
      <w:r w:rsidRPr="008675A9">
        <w:rPr>
          <w:lang w:val="en-CA"/>
        </w:rPr>
        <w:t xml:space="preserve"> clear, the overall context of the provision must be reviewed.</w:t>
      </w:r>
      <w:r w:rsidR="00BC3FFB" w:rsidRPr="008675A9">
        <w:rPr>
          <w:rStyle w:val="Appelnotedebasdep"/>
          <w:lang w:val="en-CA"/>
        </w:rPr>
        <w:footnoteReference w:id="24"/>
      </w:r>
      <w:r w:rsidR="00BD41E7" w:rsidRPr="008675A9">
        <w:rPr>
          <w:lang w:val="en-CA"/>
        </w:rPr>
        <w:t xml:space="preserve"> </w:t>
      </w:r>
      <w:r w:rsidRPr="00AB5ACC">
        <w:rPr>
          <w:lang w:val="en-CA"/>
        </w:rPr>
        <w:t xml:space="preserve">However, </w:t>
      </w:r>
      <w:r w:rsidR="00355DBF" w:rsidRPr="00AB5ACC">
        <w:rPr>
          <w:lang w:val="en-CA"/>
        </w:rPr>
        <w:t>“</w:t>
      </w:r>
      <w:r w:rsidRPr="00AB5ACC">
        <w:rPr>
          <w:lang w:val="en-CA"/>
        </w:rPr>
        <w:t>[w]here the words of a statute are precise and unequivocal, those words will play a dominant role in the interpretive process.</w:t>
      </w:r>
      <w:r w:rsidR="00355DBF" w:rsidRPr="008675A9">
        <w:rPr>
          <w:lang w:val="en-CA"/>
        </w:rPr>
        <w:t>”</w:t>
      </w:r>
      <w:r w:rsidRPr="008675A9">
        <w:rPr>
          <w:rStyle w:val="Appelnotedebasdep"/>
          <w:lang w:val="en-CA"/>
        </w:rPr>
        <w:footnoteReference w:id="25"/>
      </w:r>
      <w:r w:rsidR="00BD41E7" w:rsidRPr="008675A9">
        <w:rPr>
          <w:lang w:val="en-CA"/>
        </w:rPr>
        <w:t xml:space="preserve"> </w:t>
      </w:r>
      <w:r w:rsidR="00BC3FFB" w:rsidRPr="008675A9">
        <w:rPr>
          <w:lang w:val="en-CA"/>
        </w:rPr>
        <w:t>The fundamental principle of statutory interpretation can be summarized as follows:</w:t>
      </w:r>
      <w:r w:rsidR="00BD41E7" w:rsidRPr="008675A9">
        <w:rPr>
          <w:vertAlign w:val="superscript"/>
          <w:lang w:val="en-CA"/>
        </w:rPr>
        <w:footnoteReference w:id="26"/>
      </w:r>
      <w:r w:rsidR="00BD41E7" w:rsidRPr="008675A9">
        <w:rPr>
          <w:lang w:val="en-CA"/>
        </w:rPr>
        <w:t> </w:t>
      </w:r>
    </w:p>
    <w:p w14:paraId="431F941F" w14:textId="29BC11F0" w:rsidR="001516A0" w:rsidRPr="008675A9" w:rsidRDefault="00BD41E7" w:rsidP="001516A0">
      <w:pPr>
        <w:pStyle w:val="Citationenretrait"/>
        <w:rPr>
          <w:lang w:val="en-CA"/>
        </w:rPr>
      </w:pPr>
      <w:bookmarkStart w:id="5" w:name="par10"/>
      <w:r w:rsidRPr="008675A9">
        <w:rPr>
          <w:lang w:val="en-CA"/>
        </w:rPr>
        <w:t>10</w:t>
      </w:r>
      <w:bookmarkEnd w:id="5"/>
      <w:r w:rsidRPr="008675A9">
        <w:rPr>
          <w:lang w:val="en-CA"/>
        </w:rPr>
        <w:t xml:space="preserve"> </w:t>
      </w:r>
      <w:r w:rsidRPr="008675A9">
        <w:rPr>
          <w:lang w:val="en-CA"/>
        </w:rPr>
        <w:tab/>
      </w:r>
      <w:r w:rsidR="00BC3FFB" w:rsidRPr="008675A9">
        <w:rPr>
          <w:lang w:val="en-CA"/>
        </w:rPr>
        <w:t>It has been long established as a matter of statutory interpretation that “the words of an Act are to be read in their entire context and in their grammatical and ordinary sense harmoniously with the scheme of the Act, the object of the Act, and the intention of Parliament”. The interpretation of a statutory provision must be made according to a textual, contextual and purposive analysis to find a meaning that is harmonious with the Act as a whole. When the words of a provision are precise and unequivocal, the ordinary meaning of the words play a dominant role in the interpretive process. On the other hand, where the words can support more than one reasonable meaning, the ordinary meaning of the words plays a lesser role. The relative effects of ordinary meaning, context and purpose on the interpretive process may vary, but in all cases the court must seek to read the provisions of an Act as a harmonious whole.</w:t>
      </w:r>
      <w:r w:rsidRPr="008675A9">
        <w:rPr>
          <w:vertAlign w:val="superscript"/>
          <w:lang w:val="en-CA"/>
        </w:rPr>
        <w:footnoteReference w:id="27"/>
      </w:r>
    </w:p>
    <w:p w14:paraId="2D824786" w14:textId="0897A9CF" w:rsidR="001516A0" w:rsidRPr="008675A9" w:rsidRDefault="00BD41E7" w:rsidP="001516A0">
      <w:pPr>
        <w:pStyle w:val="Citationenretrait"/>
        <w:jc w:val="right"/>
        <w:rPr>
          <w:lang w:val="en-CA"/>
        </w:rPr>
      </w:pPr>
      <w:r w:rsidRPr="00AB5ACC">
        <w:rPr>
          <w:lang w:val="en-CA"/>
        </w:rPr>
        <w:t>[</w:t>
      </w:r>
      <w:r w:rsidR="00BC3FFB" w:rsidRPr="00AB5ACC">
        <w:rPr>
          <w:lang w:val="en-CA"/>
        </w:rPr>
        <w:t>Citations omitted</w:t>
      </w:r>
      <w:r w:rsidRPr="00AB5ACC">
        <w:rPr>
          <w:lang w:val="en-CA"/>
        </w:rPr>
        <w:t>]</w:t>
      </w:r>
    </w:p>
    <w:p w14:paraId="79FEA67C" w14:textId="7FCDC367" w:rsidR="001516A0" w:rsidRPr="008675A9" w:rsidRDefault="00BC3FFB" w:rsidP="00043A62">
      <w:pPr>
        <w:pStyle w:val="Paragraphe"/>
        <w:spacing w:line="280" w:lineRule="exact"/>
        <w:rPr>
          <w:lang w:val="en-CA"/>
        </w:rPr>
      </w:pPr>
      <w:r w:rsidRPr="00AB5ACC">
        <w:rPr>
          <w:lang w:val="en-CA"/>
        </w:rPr>
        <w:t xml:space="preserve">In this case, as the trial judge </w:t>
      </w:r>
      <w:r w:rsidR="00956FDF">
        <w:rPr>
          <w:lang w:val="en-CA"/>
        </w:rPr>
        <w:t>found</w:t>
      </w:r>
      <w:r w:rsidRPr="00AB5ACC">
        <w:rPr>
          <w:lang w:val="en-CA"/>
        </w:rPr>
        <w:t xml:space="preserve">, section 119 of the </w:t>
      </w:r>
      <w:r w:rsidRPr="008675A9">
        <w:rPr>
          <w:i/>
          <w:lang w:val="en-CA"/>
        </w:rPr>
        <w:t xml:space="preserve">PHA </w:t>
      </w:r>
      <w:r w:rsidRPr="008675A9">
        <w:rPr>
          <w:lang w:val="en-CA"/>
        </w:rPr>
        <w:t>is not ambiguous and allow</w:t>
      </w:r>
      <w:r w:rsidR="00555231">
        <w:rPr>
          <w:lang w:val="en-CA"/>
        </w:rPr>
        <w:t>s</w:t>
      </w:r>
      <w:r w:rsidRPr="008675A9">
        <w:rPr>
          <w:lang w:val="en-CA"/>
        </w:rPr>
        <w:t xml:space="preserve"> </w:t>
      </w:r>
      <w:r w:rsidR="00956FDF">
        <w:rPr>
          <w:lang w:val="en-CA"/>
        </w:rPr>
        <w:t xml:space="preserve">for </w:t>
      </w:r>
      <w:r w:rsidRPr="008675A9">
        <w:rPr>
          <w:lang w:val="en-CA"/>
        </w:rPr>
        <w:t xml:space="preserve">the renewal of </w:t>
      </w:r>
      <w:r w:rsidR="00555231">
        <w:rPr>
          <w:lang w:val="en-CA"/>
        </w:rPr>
        <w:t xml:space="preserve">the </w:t>
      </w:r>
      <w:r w:rsidRPr="008675A9">
        <w:rPr>
          <w:lang w:val="en-CA"/>
        </w:rPr>
        <w:t xml:space="preserve">public health emergency orders in council every </w:t>
      </w:r>
      <w:r w:rsidR="00555231">
        <w:rPr>
          <w:lang w:val="en-CA"/>
        </w:rPr>
        <w:t>6</w:t>
      </w:r>
      <w:r w:rsidRPr="008675A9">
        <w:rPr>
          <w:lang w:val="en-CA"/>
        </w:rPr>
        <w:t xml:space="preserve"> to </w:t>
      </w:r>
      <w:r w:rsidR="00555231">
        <w:rPr>
          <w:lang w:val="en-CA"/>
        </w:rPr>
        <w:t>10</w:t>
      </w:r>
      <w:r w:rsidRPr="008675A9">
        <w:rPr>
          <w:lang w:val="en-CA"/>
        </w:rPr>
        <w:t xml:space="preserve"> days.</w:t>
      </w:r>
      <w:r w:rsidR="00BD41E7" w:rsidRPr="008675A9">
        <w:rPr>
          <w:lang w:val="en-CA"/>
        </w:rPr>
        <w:t xml:space="preserve"> </w:t>
      </w:r>
      <w:r w:rsidRPr="00AB5ACC">
        <w:rPr>
          <w:lang w:val="en-CA"/>
        </w:rPr>
        <w:t>Several arguments support his conclusion.</w:t>
      </w:r>
    </w:p>
    <w:p w14:paraId="3945D5D6" w14:textId="71738A53" w:rsidR="001516A0" w:rsidRPr="008675A9" w:rsidRDefault="00956FDF" w:rsidP="00043A62">
      <w:pPr>
        <w:pStyle w:val="Paragraphe"/>
        <w:spacing w:line="280" w:lineRule="exact"/>
        <w:rPr>
          <w:lang w:val="en-CA"/>
        </w:rPr>
      </w:pPr>
      <w:r>
        <w:rPr>
          <w:lang w:val="en-CA"/>
        </w:rPr>
        <w:t>I</w:t>
      </w:r>
      <w:r w:rsidR="009E1B62">
        <w:rPr>
          <w:lang w:val="en-CA"/>
        </w:rPr>
        <w:t xml:space="preserve">n </w:t>
      </w:r>
      <w:r w:rsidR="00BC3FFB" w:rsidRPr="008675A9">
        <w:rPr>
          <w:lang w:val="en-CA"/>
        </w:rPr>
        <w:t xml:space="preserve">section 119, </w:t>
      </w:r>
      <w:r w:rsidR="009E1B62" w:rsidRPr="008675A9">
        <w:rPr>
          <w:lang w:val="en-CA"/>
        </w:rPr>
        <w:t>the legislature</w:t>
      </w:r>
      <w:r w:rsidR="009E1B62">
        <w:rPr>
          <w:lang w:val="en-CA"/>
        </w:rPr>
        <w:t xml:space="preserve"> </w:t>
      </w:r>
      <w:r w:rsidR="00BC3FFB" w:rsidRPr="008675A9">
        <w:rPr>
          <w:lang w:val="en-CA"/>
        </w:rPr>
        <w:t xml:space="preserve">states that the Government </w:t>
      </w:r>
      <w:r>
        <w:rPr>
          <w:lang w:val="en-CA"/>
        </w:rPr>
        <w:t>may</w:t>
      </w:r>
      <w:r w:rsidR="00BC3FFB" w:rsidRPr="008675A9">
        <w:rPr>
          <w:lang w:val="en-CA"/>
        </w:rPr>
        <w:t xml:space="preserve"> declare a public health emergency </w:t>
      </w:r>
      <w:r w:rsidR="00643714" w:rsidRPr="008675A9">
        <w:rPr>
          <w:lang w:val="en-CA"/>
        </w:rPr>
        <w:t>“</w:t>
      </w:r>
      <w:r w:rsidR="00BC3FFB" w:rsidRPr="008675A9">
        <w:rPr>
          <w:lang w:val="en-CA"/>
        </w:rPr>
        <w:t>for a maximum period of 10 days at the expiry of which it may be renewed, as many times as necessary, for a maximum period of 10 days</w:t>
      </w:r>
      <w:r w:rsidR="00643714" w:rsidRPr="008675A9">
        <w:rPr>
          <w:lang w:val="en-CA"/>
        </w:rPr>
        <w:t>”</w:t>
      </w:r>
      <w:r w:rsidR="00BC3FFB" w:rsidRPr="008675A9">
        <w:rPr>
          <w:lang w:val="en-CA"/>
        </w:rPr>
        <w:t>.</w:t>
      </w:r>
      <w:r w:rsidR="00BD41E7" w:rsidRPr="008675A9">
        <w:rPr>
          <w:lang w:val="en-CA"/>
        </w:rPr>
        <w:t xml:space="preserve"> </w:t>
      </w:r>
      <w:r>
        <w:rPr>
          <w:lang w:val="en-CA"/>
        </w:rPr>
        <w:t>Aside from</w:t>
      </w:r>
      <w:r w:rsidR="00BC3FFB" w:rsidRPr="008675A9">
        <w:rPr>
          <w:lang w:val="en-CA"/>
        </w:rPr>
        <w:t xml:space="preserve"> the existence of a serious threat to the health of the population, whether real or imminent, requiring the declaration of an emergency, the legislature </w:t>
      </w:r>
      <w:r>
        <w:rPr>
          <w:lang w:val="en-CA"/>
        </w:rPr>
        <w:t>imposed</w:t>
      </w:r>
      <w:r w:rsidR="00BC3FFB" w:rsidRPr="008675A9">
        <w:rPr>
          <w:lang w:val="en-CA"/>
        </w:rPr>
        <w:t xml:space="preserve"> only one other condition, </w:t>
      </w:r>
      <w:r>
        <w:rPr>
          <w:lang w:val="en-CA"/>
        </w:rPr>
        <w:t>namely</w:t>
      </w:r>
      <w:r w:rsidR="00BC3FFB" w:rsidRPr="008675A9">
        <w:rPr>
          <w:lang w:val="en-CA"/>
        </w:rPr>
        <w:t xml:space="preserve">, a </w:t>
      </w:r>
      <w:r w:rsidR="005A2118" w:rsidRPr="008675A9">
        <w:rPr>
          <w:lang w:val="en-CA"/>
        </w:rPr>
        <w:t>maximum</w:t>
      </w:r>
      <w:r w:rsidR="00BC3FFB" w:rsidRPr="008675A9">
        <w:rPr>
          <w:lang w:val="en-CA"/>
        </w:rPr>
        <w:t xml:space="preserve"> duration of 10 days.</w:t>
      </w:r>
      <w:r w:rsidR="00BD41E7" w:rsidRPr="008675A9">
        <w:rPr>
          <w:lang w:val="en-CA"/>
        </w:rPr>
        <w:t xml:space="preserve"> </w:t>
      </w:r>
      <w:r w:rsidR="00BC3FFB" w:rsidRPr="008675A9">
        <w:rPr>
          <w:lang w:val="en-CA"/>
        </w:rPr>
        <w:t xml:space="preserve">If the legislature had wanted the Government to obtain the consent of the National Assembly as soon as the total duration of the orders in council reached 30 days, it would have expressly </w:t>
      </w:r>
      <w:r w:rsidR="009E1B62">
        <w:rPr>
          <w:lang w:val="en-CA"/>
        </w:rPr>
        <w:t>stated</w:t>
      </w:r>
      <w:r w:rsidR="00BC3FFB" w:rsidRPr="008675A9">
        <w:rPr>
          <w:lang w:val="en-CA"/>
        </w:rPr>
        <w:t xml:space="preserve"> it.</w:t>
      </w:r>
      <w:r w:rsidR="00BD41E7" w:rsidRPr="008675A9">
        <w:rPr>
          <w:lang w:val="en-CA"/>
        </w:rPr>
        <w:t xml:space="preserve"> </w:t>
      </w:r>
      <w:r w:rsidR="00BC3FFB" w:rsidRPr="008675A9">
        <w:rPr>
          <w:lang w:val="en-CA"/>
        </w:rPr>
        <w:t xml:space="preserve">For example, it could have written that </w:t>
      </w:r>
      <w:r w:rsidR="004F26A6">
        <w:rPr>
          <w:lang w:val="en-CA"/>
        </w:rPr>
        <w:t>[</w:t>
      </w:r>
      <w:r w:rsidR="004F26A6" w:rsidRPr="004F26A6">
        <w:rPr>
          <w:smallCaps/>
          <w:lang w:val="en-CA"/>
        </w:rPr>
        <w:t>translation</w:t>
      </w:r>
      <w:r w:rsidR="004F26A6">
        <w:rPr>
          <w:lang w:val="en-CA"/>
        </w:rPr>
        <w:t xml:space="preserve">] </w:t>
      </w:r>
      <w:r w:rsidR="00643714" w:rsidRPr="008675A9">
        <w:rPr>
          <w:lang w:val="en-CA"/>
        </w:rPr>
        <w:t>“</w:t>
      </w:r>
      <w:r w:rsidR="00BC3FFB" w:rsidRPr="008675A9">
        <w:rPr>
          <w:lang w:val="en-CA"/>
        </w:rPr>
        <w:t xml:space="preserve">the emergency ... is </w:t>
      </w:r>
      <w:r>
        <w:rPr>
          <w:lang w:val="en-CA"/>
        </w:rPr>
        <w:t xml:space="preserve">effective </w:t>
      </w:r>
      <w:r w:rsidR="00BC3FFB" w:rsidRPr="008675A9">
        <w:rPr>
          <w:lang w:val="en-CA"/>
        </w:rPr>
        <w:t xml:space="preserve">for a maximum </w:t>
      </w:r>
      <w:r w:rsidR="00BC3FFB" w:rsidRPr="008675A9">
        <w:rPr>
          <w:lang w:val="en-CA"/>
        </w:rPr>
        <w:lastRenderedPageBreak/>
        <w:t xml:space="preserve">period of 10 days at the expiry of which it may be renewed </w:t>
      </w:r>
      <w:r w:rsidR="009E1B62">
        <w:rPr>
          <w:lang w:val="en-CA"/>
        </w:rPr>
        <w:t>twice</w:t>
      </w:r>
      <w:r w:rsidR="00BC3FFB" w:rsidRPr="008675A9">
        <w:rPr>
          <w:lang w:val="en-CA"/>
        </w:rPr>
        <w:t xml:space="preserve"> for a maximum period of 10 days</w:t>
      </w:r>
      <w:r w:rsidR="00643714" w:rsidRPr="008675A9">
        <w:rPr>
          <w:lang w:val="en-CA"/>
        </w:rPr>
        <w:t>”.</w:t>
      </w:r>
      <w:r w:rsidR="00BD41E7" w:rsidRPr="008675A9">
        <w:rPr>
          <w:lang w:val="en-CA"/>
        </w:rPr>
        <w:t xml:space="preserve"> </w:t>
      </w:r>
      <w:r w:rsidR="00BC3FFB" w:rsidRPr="008675A9">
        <w:rPr>
          <w:lang w:val="en-CA"/>
        </w:rPr>
        <w:t>This would have indicated that orders in council of a maximum duration of 10 days cannot be renewed without a time limit.</w:t>
      </w:r>
      <w:r w:rsidR="00BD41E7" w:rsidRPr="008675A9">
        <w:rPr>
          <w:lang w:val="en-CA"/>
        </w:rPr>
        <w:t xml:space="preserve"> </w:t>
      </w:r>
      <w:r w:rsidR="00BC3FFB" w:rsidRPr="008675A9">
        <w:rPr>
          <w:lang w:val="en-CA"/>
        </w:rPr>
        <w:t xml:space="preserve">Yet this is not what section 119 </w:t>
      </w:r>
      <w:r w:rsidR="00BC3FFB" w:rsidRPr="008675A9">
        <w:rPr>
          <w:i/>
          <w:lang w:val="en-CA"/>
        </w:rPr>
        <w:t xml:space="preserve">PHA </w:t>
      </w:r>
      <w:r w:rsidR="003742DC">
        <w:rPr>
          <w:lang w:val="en-CA"/>
        </w:rPr>
        <w:t>says</w:t>
      </w:r>
      <w:r w:rsidR="00BC3FFB" w:rsidRPr="008675A9">
        <w:rPr>
          <w:lang w:val="en-CA"/>
        </w:rPr>
        <w:t>.</w:t>
      </w:r>
      <w:r w:rsidR="00BD41E7" w:rsidRPr="008675A9">
        <w:rPr>
          <w:lang w:val="en-CA"/>
        </w:rPr>
        <w:t xml:space="preserve"> </w:t>
      </w:r>
      <w:r w:rsidR="00BC3FFB" w:rsidRPr="00AB5ACC">
        <w:rPr>
          <w:lang w:val="en-CA"/>
        </w:rPr>
        <w:t>It provides the Government with the alternative of making orders in council for a maximum period of 10 days or, at its discretion, for a longer period up to a maximum of 30 days, with the consent of the National Assembly.</w:t>
      </w:r>
    </w:p>
    <w:p w14:paraId="47295712" w14:textId="55E07C3C" w:rsidR="001516A0" w:rsidRPr="008675A9" w:rsidRDefault="00BC3FFB" w:rsidP="00043A62">
      <w:pPr>
        <w:pStyle w:val="Paragraphe"/>
        <w:spacing w:line="280" w:lineRule="exact"/>
        <w:rPr>
          <w:lang w:val="en-CA"/>
        </w:rPr>
      </w:pPr>
      <w:r w:rsidRPr="008675A9">
        <w:rPr>
          <w:lang w:val="en-CA"/>
        </w:rPr>
        <w:t xml:space="preserve">It must also </w:t>
      </w:r>
      <w:r w:rsidR="00643714" w:rsidRPr="008675A9">
        <w:rPr>
          <w:lang w:val="en-CA"/>
        </w:rPr>
        <w:t>b</w:t>
      </w:r>
      <w:r w:rsidRPr="008675A9">
        <w:rPr>
          <w:lang w:val="en-CA"/>
        </w:rPr>
        <w:t>e noted, as the trial judge</w:t>
      </w:r>
      <w:r w:rsidR="00643714" w:rsidRPr="008675A9">
        <w:rPr>
          <w:lang w:val="en-CA"/>
        </w:rPr>
        <w:t xml:space="preserve"> did</w:t>
      </w:r>
      <w:r w:rsidRPr="008675A9">
        <w:rPr>
          <w:lang w:val="en-CA"/>
        </w:rPr>
        <w:t xml:space="preserve">, that on December 21, 2001, section 119 </w:t>
      </w:r>
      <w:r w:rsidRPr="008675A9">
        <w:rPr>
          <w:i/>
          <w:iCs/>
          <w:lang w:val="en-CA"/>
        </w:rPr>
        <w:t>PHA</w:t>
      </w:r>
      <w:r w:rsidRPr="008675A9">
        <w:rPr>
          <w:lang w:val="en-CA"/>
        </w:rPr>
        <w:t xml:space="preserve"> replaced section</w:t>
      </w:r>
      <w:r w:rsidR="00643714" w:rsidRPr="008675A9">
        <w:rPr>
          <w:lang w:val="en-CA"/>
        </w:rPr>
        <w:t>s</w:t>
      </w:r>
      <w:r w:rsidRPr="008675A9">
        <w:rPr>
          <w:lang w:val="en-CA"/>
        </w:rPr>
        <w:t xml:space="preserve"> 17, 22</w:t>
      </w:r>
      <w:r w:rsidR="00643714" w:rsidRPr="008675A9">
        <w:rPr>
          <w:lang w:val="en-CA"/>
        </w:rPr>
        <w:t>,</w:t>
      </w:r>
      <w:r w:rsidRPr="008675A9">
        <w:rPr>
          <w:lang w:val="en-CA"/>
        </w:rPr>
        <w:t xml:space="preserve"> and 23 of the </w:t>
      </w:r>
      <w:r w:rsidRPr="008675A9">
        <w:rPr>
          <w:i/>
          <w:lang w:val="en-CA"/>
        </w:rPr>
        <w:t>Public Health Protection Act</w:t>
      </w:r>
      <w:r w:rsidRPr="008675A9">
        <w:rPr>
          <w:lang w:val="en-CA"/>
        </w:rPr>
        <w:t>,</w:t>
      </w:r>
      <w:r w:rsidRPr="008675A9">
        <w:rPr>
          <w:rStyle w:val="Appelnotedebasdep"/>
          <w:lang w:val="en-CA"/>
        </w:rPr>
        <w:footnoteReference w:id="28"/>
      </w:r>
      <w:r w:rsidRPr="008675A9">
        <w:rPr>
          <w:lang w:val="en-CA"/>
        </w:rPr>
        <w:t xml:space="preserve"> which were drafted as follows:</w:t>
      </w:r>
    </w:p>
    <w:tbl>
      <w:tblPr>
        <w:tblW w:w="0" w:type="auto"/>
        <w:tblCellMar>
          <w:left w:w="70" w:type="dxa"/>
          <w:right w:w="70" w:type="dxa"/>
        </w:tblCellMar>
        <w:tblLook w:val="0000" w:firstRow="0" w:lastRow="0" w:firstColumn="0" w:lastColumn="0" w:noHBand="0" w:noVBand="0"/>
      </w:tblPr>
      <w:tblGrid>
        <w:gridCol w:w="4327"/>
        <w:gridCol w:w="4303"/>
      </w:tblGrid>
      <w:tr w:rsidR="00720AD1" w:rsidRPr="008675A9" w14:paraId="698F18BC" w14:textId="77777777" w:rsidTr="00147735">
        <w:tc>
          <w:tcPr>
            <w:tcW w:w="4327" w:type="dxa"/>
          </w:tcPr>
          <w:p w14:paraId="17FE2FB3" w14:textId="3D31C4EE" w:rsidR="001516A0" w:rsidRPr="008675A9" w:rsidRDefault="00BD41E7" w:rsidP="00147735">
            <w:pPr>
              <w:pStyle w:val="Tableaugauchefranais"/>
              <w:jc w:val="both"/>
              <w:rPr>
                <w:rFonts w:cs="Arial"/>
                <w:szCs w:val="22"/>
                <w:shd w:val="clear" w:color="auto" w:fill="FFFFFF"/>
                <w:lang w:val="en-CA"/>
              </w:rPr>
            </w:pPr>
            <w:r w:rsidRPr="008675A9">
              <w:rPr>
                <w:b/>
                <w:lang w:val="en-CA"/>
              </w:rPr>
              <w:t>17.</w:t>
            </w:r>
            <w:r w:rsidRPr="008675A9">
              <w:rPr>
                <w:lang w:val="en-CA"/>
              </w:rPr>
              <w:t> </w:t>
            </w:r>
            <w:r w:rsidR="007B4E09" w:rsidRPr="008675A9">
              <w:rPr>
                <w:lang w:val="en-CA"/>
              </w:rPr>
              <w:t>The Government may, upon a notice by the Minister, declare that the public health is endangered in all or part of Québec because of an epidemic or real or appre</w:t>
            </w:r>
            <w:r w:rsidR="007B4E09" w:rsidRPr="008675A9">
              <w:rPr>
                <w:lang w:val="en-CA"/>
              </w:rPr>
              <w:softHyphen/>
              <w:t>hended danger and order the Minister to take charge of the emergency operations necessary, for a period not to exceed thirty days that it indicates</w:t>
            </w:r>
            <w:r w:rsidRPr="008675A9">
              <w:rPr>
                <w:lang w:val="en-CA"/>
              </w:rPr>
              <w:t xml:space="preserve">. </w:t>
            </w:r>
          </w:p>
          <w:p w14:paraId="0D78978F" w14:textId="77777777" w:rsidR="001516A0" w:rsidRPr="008675A9" w:rsidRDefault="00EB60E0" w:rsidP="00147735">
            <w:pPr>
              <w:pStyle w:val="Tableaugauchefranais"/>
              <w:jc w:val="both"/>
              <w:rPr>
                <w:rFonts w:cs="Arial"/>
                <w:szCs w:val="22"/>
                <w:lang w:val="en-CA" w:eastAsia="fr-CA"/>
              </w:rPr>
            </w:pPr>
          </w:p>
          <w:p w14:paraId="665AFEE5" w14:textId="5DC8230E" w:rsidR="004571C7" w:rsidRPr="008675A9" w:rsidRDefault="00BD41E7" w:rsidP="00147735">
            <w:pPr>
              <w:pStyle w:val="Tableaugauchefranais"/>
              <w:jc w:val="both"/>
              <w:rPr>
                <w:rFonts w:cs="Arial"/>
                <w:szCs w:val="22"/>
                <w:lang w:val="en-CA" w:eastAsia="fr-CA"/>
              </w:rPr>
            </w:pPr>
            <w:r w:rsidRPr="008675A9">
              <w:rPr>
                <w:rFonts w:cs="Arial"/>
                <w:szCs w:val="22"/>
                <w:lang w:val="en-CA" w:eastAsia="fr-CA"/>
              </w:rPr>
              <w:t>…</w:t>
            </w:r>
          </w:p>
          <w:p w14:paraId="4BF18F00" w14:textId="77777777" w:rsidR="004571C7" w:rsidRPr="008675A9" w:rsidRDefault="00EB60E0" w:rsidP="00147735">
            <w:pPr>
              <w:pStyle w:val="Tableaugauchefranais"/>
              <w:jc w:val="both"/>
              <w:rPr>
                <w:rFonts w:cs="Arial"/>
                <w:szCs w:val="22"/>
                <w:lang w:val="en-CA" w:eastAsia="fr-CA"/>
              </w:rPr>
            </w:pPr>
          </w:p>
        </w:tc>
        <w:tc>
          <w:tcPr>
            <w:tcW w:w="4303" w:type="dxa"/>
          </w:tcPr>
          <w:p w14:paraId="0D07DDDA" w14:textId="34DAD65D" w:rsidR="001516A0" w:rsidRPr="008467DE" w:rsidRDefault="00BD41E7" w:rsidP="00147735">
            <w:pPr>
              <w:pStyle w:val="Tableaudroiteanglais"/>
              <w:rPr>
                <w:rFonts w:cs="Arial"/>
                <w:lang w:val="fr-CA" w:eastAsia="fr-CA"/>
              </w:rPr>
            </w:pPr>
            <w:r w:rsidRPr="008467DE">
              <w:rPr>
                <w:b/>
                <w:lang w:val="fr-CA"/>
              </w:rPr>
              <w:t>17.</w:t>
            </w:r>
            <w:r w:rsidRPr="008467DE">
              <w:rPr>
                <w:lang w:val="fr-CA"/>
              </w:rPr>
              <w:t> </w:t>
            </w:r>
            <w:r w:rsidR="007B4E09" w:rsidRPr="008467DE">
              <w:rPr>
                <w:lang w:val="fr-CA"/>
              </w:rPr>
              <w:t>Le gouvernement peut, sur avis du ministre, déclarer que la santé publique est en danger dans l’ensemble ou dans une partie du Québec à cause d’une épidémie ou d’une catastrophe réelle ou appréhendée et ordonner que le ministre prenne charge des opérations d’urgence nécessaires pour une période qu’il indique, mais qui ne doit pas excéder trente jours</w:t>
            </w:r>
            <w:r w:rsidRPr="008467DE">
              <w:rPr>
                <w:lang w:val="fr-CA"/>
              </w:rPr>
              <w:t>.</w:t>
            </w:r>
            <w:r w:rsidRPr="008467DE">
              <w:rPr>
                <w:rFonts w:cs="Arial"/>
                <w:lang w:val="fr-CA" w:eastAsia="fr-CA"/>
              </w:rPr>
              <w:t xml:space="preserve"> </w:t>
            </w:r>
          </w:p>
          <w:p w14:paraId="01D6A86D" w14:textId="77777777" w:rsidR="001516A0" w:rsidRPr="008467DE" w:rsidRDefault="00EB60E0" w:rsidP="00147735">
            <w:pPr>
              <w:pStyle w:val="Tableaudroiteanglais"/>
              <w:rPr>
                <w:rFonts w:cs="Arial"/>
                <w:lang w:val="fr-CA" w:eastAsia="fr-CA"/>
              </w:rPr>
            </w:pPr>
          </w:p>
          <w:p w14:paraId="230801DD" w14:textId="77777777" w:rsidR="004571C7" w:rsidRPr="008467DE" w:rsidRDefault="00EB60E0" w:rsidP="00147735">
            <w:pPr>
              <w:pStyle w:val="Tableaudroiteanglais"/>
              <w:rPr>
                <w:rFonts w:cs="Arial"/>
                <w:lang w:val="fr-CA" w:eastAsia="fr-CA"/>
              </w:rPr>
            </w:pPr>
          </w:p>
          <w:p w14:paraId="053C51D5" w14:textId="77777777" w:rsidR="004571C7" w:rsidRPr="008467DE" w:rsidRDefault="00EB60E0" w:rsidP="00147735">
            <w:pPr>
              <w:pStyle w:val="Tableaudroiteanglais"/>
              <w:rPr>
                <w:rFonts w:cs="Arial"/>
                <w:lang w:val="fr-CA" w:eastAsia="fr-CA"/>
              </w:rPr>
            </w:pPr>
          </w:p>
          <w:p w14:paraId="761C1AFD" w14:textId="5249081B" w:rsidR="004571C7" w:rsidRPr="008467DE" w:rsidRDefault="00BD41E7" w:rsidP="00147735">
            <w:pPr>
              <w:pStyle w:val="Tableaudroiteanglais"/>
              <w:rPr>
                <w:rFonts w:cs="Arial"/>
                <w:lang w:val="fr-CA" w:eastAsia="fr-CA"/>
              </w:rPr>
            </w:pPr>
            <w:r w:rsidRPr="008467DE">
              <w:rPr>
                <w:rFonts w:cs="Arial"/>
                <w:lang w:val="fr-CA" w:eastAsia="fr-CA"/>
              </w:rPr>
              <w:t>…</w:t>
            </w:r>
          </w:p>
          <w:p w14:paraId="2F44481C" w14:textId="77777777" w:rsidR="004571C7" w:rsidRPr="008467DE" w:rsidRDefault="00EB60E0" w:rsidP="00147735">
            <w:pPr>
              <w:pStyle w:val="Tableaudroiteanglais"/>
              <w:rPr>
                <w:rFonts w:cs="Arial"/>
                <w:lang w:val="fr-CA" w:eastAsia="fr-CA"/>
              </w:rPr>
            </w:pPr>
          </w:p>
        </w:tc>
      </w:tr>
      <w:tr w:rsidR="00720AD1" w:rsidRPr="008675A9" w14:paraId="6CC444D7" w14:textId="77777777" w:rsidTr="00147735">
        <w:tc>
          <w:tcPr>
            <w:tcW w:w="4327" w:type="dxa"/>
          </w:tcPr>
          <w:p w14:paraId="31B4D7D6" w14:textId="159CCC6A" w:rsidR="001516A0" w:rsidRPr="008675A9" w:rsidRDefault="00BD41E7" w:rsidP="00147735">
            <w:pPr>
              <w:pStyle w:val="Tableaugauchefranais"/>
              <w:jc w:val="both"/>
              <w:rPr>
                <w:u w:val="single"/>
                <w:lang w:val="en-CA"/>
              </w:rPr>
            </w:pPr>
            <w:r w:rsidRPr="008675A9">
              <w:rPr>
                <w:b/>
                <w:lang w:val="en-CA"/>
              </w:rPr>
              <w:t>22.</w:t>
            </w:r>
            <w:r w:rsidRPr="008675A9">
              <w:rPr>
                <w:lang w:val="en-CA"/>
              </w:rPr>
              <w:t> </w:t>
            </w:r>
            <w:r w:rsidR="007B4E09" w:rsidRPr="008467DE">
              <w:rPr>
                <w:u w:val="single"/>
                <w:lang w:val="en-CA"/>
              </w:rPr>
              <w:t xml:space="preserve">The Minister must lay before the Assemblée </w:t>
            </w:r>
            <w:proofErr w:type="spellStart"/>
            <w:r w:rsidR="007B4E09" w:rsidRPr="008467DE">
              <w:rPr>
                <w:u w:val="single"/>
                <w:lang w:val="en-CA"/>
              </w:rPr>
              <w:t>nationale</w:t>
            </w:r>
            <w:proofErr w:type="spellEnd"/>
            <w:r w:rsidR="007B4E09" w:rsidRPr="008467DE">
              <w:rPr>
                <w:u w:val="single"/>
                <w:lang w:val="en-CA"/>
              </w:rPr>
              <w:t xml:space="preserve"> any order in council made under section 17 not later than the third day during which the Assemblée is sitting, after the making of the order</w:t>
            </w:r>
            <w:r w:rsidRPr="008675A9">
              <w:rPr>
                <w:lang w:val="en-CA"/>
              </w:rPr>
              <w:t>.</w:t>
            </w:r>
          </w:p>
          <w:p w14:paraId="01C90A08" w14:textId="77777777" w:rsidR="001516A0" w:rsidRPr="008675A9" w:rsidRDefault="00EB60E0" w:rsidP="00147735">
            <w:pPr>
              <w:pStyle w:val="Tableaugauchefranais"/>
              <w:jc w:val="both"/>
              <w:rPr>
                <w:lang w:val="en-CA"/>
              </w:rPr>
            </w:pPr>
          </w:p>
        </w:tc>
        <w:tc>
          <w:tcPr>
            <w:tcW w:w="4303" w:type="dxa"/>
          </w:tcPr>
          <w:p w14:paraId="18928DDB" w14:textId="38C085E6" w:rsidR="001516A0" w:rsidRPr="008467DE" w:rsidRDefault="00BD41E7" w:rsidP="00147735">
            <w:pPr>
              <w:pStyle w:val="Tableaudroiteanglais"/>
              <w:rPr>
                <w:lang w:val="fr-CA"/>
              </w:rPr>
            </w:pPr>
            <w:r w:rsidRPr="008467DE">
              <w:rPr>
                <w:b/>
                <w:lang w:val="fr-CA"/>
              </w:rPr>
              <w:t>22.</w:t>
            </w:r>
            <w:r w:rsidRPr="008467DE">
              <w:rPr>
                <w:lang w:val="fr-CA"/>
              </w:rPr>
              <w:t> </w:t>
            </w:r>
            <w:r w:rsidR="007B4E09" w:rsidRPr="008467DE">
              <w:rPr>
                <w:u w:val="single"/>
                <w:lang w:val="fr-CA"/>
              </w:rPr>
              <w:t>Le ministre doit déposer à l’Assemblée nationale tout arrêté en conseil adopté en vertu de l’article 17 au plus tard le troisième jour au cours duquel siège l’Assemblée, après l’adoption de l’arrêté</w:t>
            </w:r>
            <w:r w:rsidRPr="008467DE">
              <w:rPr>
                <w:lang w:val="fr-CA"/>
              </w:rPr>
              <w:t>.</w:t>
            </w:r>
          </w:p>
          <w:p w14:paraId="4958BFD6" w14:textId="77777777" w:rsidR="001516A0" w:rsidRPr="008467DE" w:rsidRDefault="00EB60E0" w:rsidP="00147735">
            <w:pPr>
              <w:pStyle w:val="Tableaudroiteanglais"/>
              <w:rPr>
                <w:lang w:val="fr-CA"/>
              </w:rPr>
            </w:pPr>
          </w:p>
        </w:tc>
      </w:tr>
      <w:tr w:rsidR="00720AD1" w:rsidRPr="008675A9" w14:paraId="59B730B7" w14:textId="77777777" w:rsidTr="00147735">
        <w:tc>
          <w:tcPr>
            <w:tcW w:w="4327" w:type="dxa"/>
          </w:tcPr>
          <w:p w14:paraId="4091CC9D" w14:textId="7CA62EB4" w:rsidR="001516A0" w:rsidRPr="008675A9" w:rsidRDefault="00BD41E7" w:rsidP="00147735">
            <w:pPr>
              <w:pStyle w:val="Tableaugauchefranais"/>
              <w:jc w:val="both"/>
              <w:rPr>
                <w:lang w:val="en-CA"/>
              </w:rPr>
            </w:pPr>
            <w:r w:rsidRPr="008675A9">
              <w:rPr>
                <w:b/>
                <w:lang w:val="en-CA"/>
              </w:rPr>
              <w:t>23.</w:t>
            </w:r>
            <w:r w:rsidRPr="008675A9">
              <w:rPr>
                <w:lang w:val="en-CA"/>
              </w:rPr>
              <w:t> </w:t>
            </w:r>
            <w:r w:rsidR="007B4E09" w:rsidRPr="008675A9">
              <w:rPr>
                <w:u w:val="single"/>
                <w:lang w:val="en-CA"/>
              </w:rPr>
              <w:t>As soon as an order in council is so laid, any member may, by a motion without notice, request the revocation of such order</w:t>
            </w:r>
            <w:r w:rsidR="007B4E09" w:rsidRPr="008675A9">
              <w:rPr>
                <w:lang w:val="en-CA"/>
              </w:rPr>
              <w:t xml:space="preserve">; such motion must be studied with urgency and its presentation shall </w:t>
            </w:r>
            <w:r w:rsidR="007B4E09" w:rsidRPr="008675A9">
              <w:rPr>
                <w:lang w:val="en-CA"/>
              </w:rPr>
              <w:lastRenderedPageBreak/>
              <w:t>interrupt any debate in progress; if it is adopted, the order in council shall cease to be in force</w:t>
            </w:r>
            <w:r w:rsidRPr="008675A9">
              <w:rPr>
                <w:lang w:val="en-CA"/>
              </w:rPr>
              <w:t>.</w:t>
            </w:r>
          </w:p>
          <w:p w14:paraId="34637B14" w14:textId="77777777" w:rsidR="001516A0" w:rsidRPr="008675A9" w:rsidRDefault="00EB60E0" w:rsidP="00147735">
            <w:pPr>
              <w:pStyle w:val="Tableaugauchefranais"/>
              <w:jc w:val="both"/>
              <w:rPr>
                <w:lang w:val="en-CA"/>
              </w:rPr>
            </w:pPr>
          </w:p>
        </w:tc>
        <w:tc>
          <w:tcPr>
            <w:tcW w:w="4303" w:type="dxa"/>
          </w:tcPr>
          <w:p w14:paraId="67757226" w14:textId="6EA10F8D" w:rsidR="001516A0" w:rsidRPr="008467DE" w:rsidRDefault="00BD41E7" w:rsidP="00147735">
            <w:pPr>
              <w:pStyle w:val="Tableaudroiteanglais"/>
              <w:rPr>
                <w:lang w:val="fr-CA"/>
              </w:rPr>
            </w:pPr>
            <w:r w:rsidRPr="008467DE">
              <w:rPr>
                <w:b/>
                <w:lang w:val="fr-CA"/>
              </w:rPr>
              <w:lastRenderedPageBreak/>
              <w:t>23.</w:t>
            </w:r>
            <w:r w:rsidRPr="008467DE">
              <w:rPr>
                <w:lang w:val="fr-CA"/>
              </w:rPr>
              <w:t> </w:t>
            </w:r>
            <w:r w:rsidR="007B4E09" w:rsidRPr="008467DE">
              <w:rPr>
                <w:u w:val="single"/>
                <w:lang w:val="fr-CA"/>
              </w:rPr>
              <w:t>Dès qu’un arrêté en conseil est ainsi déposé, tout député peut, par une motion non annoncée, demander la révocation de cet arrêté</w:t>
            </w:r>
            <w:r w:rsidR="007B4E09" w:rsidRPr="008467DE">
              <w:rPr>
                <w:lang w:val="fr-CA"/>
              </w:rPr>
              <w:t xml:space="preserve">; cette motion doit être étudiée d’urgence et sa </w:t>
            </w:r>
            <w:r w:rsidR="007B4E09" w:rsidRPr="008467DE">
              <w:rPr>
                <w:lang w:val="fr-CA"/>
              </w:rPr>
              <w:lastRenderedPageBreak/>
              <w:t>présentation interrompt tout débat en cours; si elle est adoptée, l’arrêté en conseil cesse d’être en vigueur</w:t>
            </w:r>
            <w:r w:rsidRPr="008467DE">
              <w:rPr>
                <w:lang w:val="fr-CA"/>
              </w:rPr>
              <w:t>.</w:t>
            </w:r>
          </w:p>
          <w:p w14:paraId="1FA90B60" w14:textId="77777777" w:rsidR="001516A0" w:rsidRPr="008467DE" w:rsidRDefault="00EB60E0" w:rsidP="00147735">
            <w:pPr>
              <w:pStyle w:val="Tableaudroiteanglais"/>
              <w:rPr>
                <w:lang w:val="fr-CA"/>
              </w:rPr>
            </w:pPr>
          </w:p>
          <w:p w14:paraId="3326271C" w14:textId="44872501" w:rsidR="001516A0" w:rsidRPr="008467DE" w:rsidRDefault="004F7A04" w:rsidP="00147735">
            <w:pPr>
              <w:pStyle w:val="Tableaudroiteanglais"/>
              <w:jc w:val="right"/>
              <w:rPr>
                <w:lang w:val="fr-CA"/>
              </w:rPr>
            </w:pPr>
            <w:r w:rsidRPr="008467DE">
              <w:rPr>
                <w:lang w:val="fr-CA"/>
              </w:rPr>
              <w:t>[</w:t>
            </w:r>
            <w:r w:rsidRPr="00F700C1">
              <w:t>Emphasis added]</w:t>
            </w:r>
          </w:p>
        </w:tc>
      </w:tr>
    </w:tbl>
    <w:p w14:paraId="63D4CAA0" w14:textId="6478C647" w:rsidR="001516A0" w:rsidRPr="008675A9" w:rsidRDefault="00D26BEE" w:rsidP="00043A62">
      <w:pPr>
        <w:pStyle w:val="Paragraphe"/>
        <w:spacing w:line="280" w:lineRule="exact"/>
        <w:rPr>
          <w:lang w:val="en-CA"/>
        </w:rPr>
      </w:pPr>
      <w:r>
        <w:rPr>
          <w:lang w:val="en-CA"/>
        </w:rPr>
        <w:lastRenderedPageBreak/>
        <w:t>In particular</w:t>
      </w:r>
      <w:r w:rsidR="00BB6837" w:rsidRPr="00AB5ACC">
        <w:rPr>
          <w:lang w:val="en-CA"/>
        </w:rPr>
        <w:t xml:space="preserve">, section 22 provided that </w:t>
      </w:r>
      <w:r w:rsidR="005819F1" w:rsidRPr="00AB5ACC">
        <w:rPr>
          <w:lang w:val="en-CA"/>
        </w:rPr>
        <w:t>“</w:t>
      </w:r>
      <w:r w:rsidR="00BB6837" w:rsidRPr="00AB5ACC">
        <w:rPr>
          <w:lang w:val="en-CA"/>
        </w:rPr>
        <w:t xml:space="preserve">[t]he Minister must lay before the Assemblée </w:t>
      </w:r>
      <w:proofErr w:type="spellStart"/>
      <w:r w:rsidR="00BB6837" w:rsidRPr="00AB5ACC">
        <w:rPr>
          <w:lang w:val="en-CA"/>
        </w:rPr>
        <w:t>nationale</w:t>
      </w:r>
      <w:proofErr w:type="spellEnd"/>
      <w:r w:rsidR="00BB6837" w:rsidRPr="00AB5ACC">
        <w:rPr>
          <w:lang w:val="en-CA"/>
        </w:rPr>
        <w:t xml:space="preserve"> any order in council made under section 17 not later than the third day during which the Assemblée is sitting, after the making of the order</w:t>
      </w:r>
      <w:r w:rsidR="00D3429F">
        <w:rPr>
          <w:lang w:val="en-CA"/>
        </w:rPr>
        <w:t>”</w:t>
      </w:r>
      <w:r w:rsidR="00BB6837" w:rsidRPr="00AB5ACC">
        <w:rPr>
          <w:lang w:val="en-CA"/>
        </w:rPr>
        <w:t>.</w:t>
      </w:r>
      <w:r w:rsidR="00BD41E7" w:rsidRPr="008675A9">
        <w:rPr>
          <w:lang w:val="en-CA"/>
        </w:rPr>
        <w:t xml:space="preserve"> </w:t>
      </w:r>
      <w:r w:rsidR="00BB6837" w:rsidRPr="008675A9">
        <w:rPr>
          <w:lang w:val="en-CA"/>
        </w:rPr>
        <w:t xml:space="preserve">By not </w:t>
      </w:r>
      <w:r w:rsidR="005A2118" w:rsidRPr="008675A9">
        <w:rPr>
          <w:lang w:val="en-CA"/>
        </w:rPr>
        <w:t>re-enacting</w:t>
      </w:r>
      <w:r w:rsidR="00BB6837" w:rsidRPr="008675A9">
        <w:rPr>
          <w:lang w:val="en-CA"/>
        </w:rPr>
        <w:t xml:space="preserve"> the obligation to </w:t>
      </w:r>
      <w:r w:rsidR="00B16B5E">
        <w:rPr>
          <w:lang w:val="en-CA"/>
        </w:rPr>
        <w:t>lay</w:t>
      </w:r>
      <w:r w:rsidR="00BB6837" w:rsidRPr="008675A9">
        <w:rPr>
          <w:lang w:val="en-CA"/>
        </w:rPr>
        <w:t xml:space="preserve"> before the National Assembly any order in council renewing the </w:t>
      </w:r>
      <w:r w:rsidR="005A2118" w:rsidRPr="008675A9">
        <w:rPr>
          <w:lang w:val="en-CA"/>
        </w:rPr>
        <w:t>public</w:t>
      </w:r>
      <w:r w:rsidR="00BB6837" w:rsidRPr="008675A9">
        <w:rPr>
          <w:lang w:val="en-CA"/>
        </w:rPr>
        <w:t xml:space="preserve"> health emergency in section 119 </w:t>
      </w:r>
      <w:r w:rsidR="00BB6837" w:rsidRPr="008675A9">
        <w:rPr>
          <w:i/>
          <w:iCs/>
          <w:lang w:val="en-CA"/>
        </w:rPr>
        <w:t>PHA</w:t>
      </w:r>
      <w:r w:rsidR="00BB6837" w:rsidRPr="008675A9">
        <w:rPr>
          <w:lang w:val="en-CA"/>
        </w:rPr>
        <w:t xml:space="preserve">, the legislature clearly amended the way in which the National Assembly could </w:t>
      </w:r>
      <w:r w:rsidR="009E1B62">
        <w:rPr>
          <w:lang w:val="en-CA"/>
        </w:rPr>
        <w:t>review</w:t>
      </w:r>
      <w:r w:rsidR="009E1B62" w:rsidRPr="008675A9">
        <w:rPr>
          <w:lang w:val="en-CA"/>
        </w:rPr>
        <w:t xml:space="preserve"> </w:t>
      </w:r>
      <w:r w:rsidR="00BB6837" w:rsidRPr="008675A9">
        <w:rPr>
          <w:lang w:val="en-CA"/>
        </w:rPr>
        <w:t>such orders.</w:t>
      </w:r>
    </w:p>
    <w:p w14:paraId="756E3669" w14:textId="438786E2" w:rsidR="001516A0" w:rsidRPr="008675A9" w:rsidRDefault="006054B1" w:rsidP="00043A62">
      <w:pPr>
        <w:pStyle w:val="Paragraphe"/>
        <w:spacing w:line="280" w:lineRule="exact"/>
        <w:rPr>
          <w:lang w:val="en-CA"/>
        </w:rPr>
      </w:pPr>
      <w:r w:rsidRPr="008675A9">
        <w:rPr>
          <w:lang w:val="en-CA"/>
        </w:rPr>
        <w:t xml:space="preserve">As the respondent argues, we note in effect that the power </w:t>
      </w:r>
      <w:r w:rsidR="00A62F13">
        <w:rPr>
          <w:lang w:val="en-CA"/>
        </w:rPr>
        <w:t>to disallow that</w:t>
      </w:r>
      <w:r w:rsidR="00A62F13" w:rsidRPr="008675A9">
        <w:rPr>
          <w:lang w:val="en-CA"/>
        </w:rPr>
        <w:t xml:space="preserve"> section 122 </w:t>
      </w:r>
      <w:r w:rsidR="00A62F13" w:rsidRPr="008675A9">
        <w:rPr>
          <w:i/>
          <w:lang w:val="en-CA"/>
        </w:rPr>
        <w:t>PHA</w:t>
      </w:r>
      <w:r w:rsidR="00A62F13" w:rsidRPr="008675A9">
        <w:rPr>
          <w:lang w:val="en-CA"/>
        </w:rPr>
        <w:t xml:space="preserve"> </w:t>
      </w:r>
      <w:r w:rsidR="00555231">
        <w:rPr>
          <w:lang w:val="en-CA"/>
        </w:rPr>
        <w:t>confer</w:t>
      </w:r>
      <w:r w:rsidR="00A62F13">
        <w:rPr>
          <w:lang w:val="en-CA"/>
        </w:rPr>
        <w:t>s</w:t>
      </w:r>
      <w:r w:rsidR="00555231">
        <w:rPr>
          <w:lang w:val="en-CA"/>
        </w:rPr>
        <w:t xml:space="preserve"> on</w:t>
      </w:r>
      <w:r w:rsidRPr="008675A9">
        <w:rPr>
          <w:lang w:val="en-CA"/>
        </w:rPr>
        <w:t xml:space="preserve"> the National Assembly is </w:t>
      </w:r>
      <w:r w:rsidR="001F05D3">
        <w:rPr>
          <w:lang w:val="en-CA"/>
        </w:rPr>
        <w:t>consistent with</w:t>
      </w:r>
      <w:r w:rsidRPr="008675A9">
        <w:rPr>
          <w:lang w:val="en-CA"/>
        </w:rPr>
        <w:t xml:space="preserve"> the generally </w:t>
      </w:r>
      <w:r w:rsidRPr="008675A9">
        <w:rPr>
          <w:i/>
          <w:lang w:val="en-CA"/>
        </w:rPr>
        <w:t xml:space="preserve">a posteriori </w:t>
      </w:r>
      <w:r w:rsidRPr="008675A9">
        <w:rPr>
          <w:lang w:val="en-CA"/>
        </w:rPr>
        <w:t xml:space="preserve">nature of this </w:t>
      </w:r>
      <w:r w:rsidR="001F05D3">
        <w:rPr>
          <w:lang w:val="en-CA"/>
        </w:rPr>
        <w:t>review</w:t>
      </w:r>
      <w:r w:rsidRPr="008675A9">
        <w:rPr>
          <w:lang w:val="en-CA"/>
        </w:rPr>
        <w:t>.</w:t>
      </w:r>
      <w:r w:rsidRPr="008675A9">
        <w:rPr>
          <w:rStyle w:val="Appelnotedebasdep"/>
          <w:lang w:val="en-CA"/>
        </w:rPr>
        <w:footnoteReference w:id="29"/>
      </w:r>
      <w:r w:rsidR="00BD41E7" w:rsidRPr="008675A9">
        <w:rPr>
          <w:lang w:val="en-CA"/>
        </w:rPr>
        <w:t xml:space="preserve"> </w:t>
      </w:r>
      <w:r w:rsidRPr="008675A9">
        <w:rPr>
          <w:lang w:val="en-CA"/>
        </w:rPr>
        <w:t xml:space="preserve">In our democratic tradition, the exercise of executive power does not </w:t>
      </w:r>
      <w:r w:rsidR="00A62F13">
        <w:rPr>
          <w:lang w:val="en-CA"/>
        </w:rPr>
        <w:t>lie with</w:t>
      </w:r>
      <w:r w:rsidRPr="008675A9">
        <w:rPr>
          <w:lang w:val="en-CA"/>
        </w:rPr>
        <w:t xml:space="preserve"> the National Assembly, </w:t>
      </w:r>
      <w:r w:rsidR="00A62F13">
        <w:rPr>
          <w:lang w:val="en-CA"/>
        </w:rPr>
        <w:t>but it must nevertheless</w:t>
      </w:r>
      <w:r w:rsidRPr="008675A9">
        <w:rPr>
          <w:lang w:val="en-CA"/>
        </w:rPr>
        <w:t xml:space="preserve"> </w:t>
      </w:r>
      <w:r w:rsidR="00A62F13">
        <w:rPr>
          <w:lang w:val="en-CA"/>
        </w:rPr>
        <w:t>review</w:t>
      </w:r>
      <w:r w:rsidRPr="008675A9">
        <w:rPr>
          <w:lang w:val="en-CA"/>
        </w:rPr>
        <w:t xml:space="preserve"> its exercise.</w:t>
      </w:r>
      <w:r w:rsidR="00BD41E7" w:rsidRPr="008675A9">
        <w:rPr>
          <w:lang w:val="en-CA"/>
        </w:rPr>
        <w:t xml:space="preserve"> </w:t>
      </w:r>
      <w:r w:rsidRPr="008675A9">
        <w:rPr>
          <w:lang w:val="en-CA"/>
        </w:rPr>
        <w:t xml:space="preserve">The decision to declare an emergency </w:t>
      </w:r>
      <w:r w:rsidR="002643CC">
        <w:rPr>
          <w:lang w:val="en-CA"/>
        </w:rPr>
        <w:t xml:space="preserve">falls to </w:t>
      </w:r>
      <w:r w:rsidRPr="008675A9">
        <w:rPr>
          <w:lang w:val="en-CA"/>
        </w:rPr>
        <w:t xml:space="preserve">the Government, which is </w:t>
      </w:r>
      <w:r w:rsidR="00A62F13">
        <w:rPr>
          <w:lang w:val="en-CA"/>
        </w:rPr>
        <w:t>accountable</w:t>
      </w:r>
      <w:r w:rsidR="006971B6">
        <w:rPr>
          <w:lang w:val="en-CA"/>
        </w:rPr>
        <w:t xml:space="preserve"> for its decision to</w:t>
      </w:r>
      <w:r w:rsidRPr="008675A9">
        <w:rPr>
          <w:lang w:val="en-CA"/>
        </w:rPr>
        <w:t xml:space="preserve"> the National Assembly.</w:t>
      </w:r>
      <w:r w:rsidR="00BD41E7" w:rsidRPr="008675A9">
        <w:rPr>
          <w:lang w:val="en-CA"/>
        </w:rPr>
        <w:t xml:space="preserve"> </w:t>
      </w:r>
      <w:r w:rsidRPr="00AB5ACC">
        <w:rPr>
          <w:lang w:val="en-CA"/>
        </w:rPr>
        <w:t>The National Assembly may “vote to disallow the declaration of a public health emergency or any renewal thereof</w:t>
      </w:r>
      <w:r w:rsidR="005819F1" w:rsidRPr="00AB5ACC">
        <w:rPr>
          <w:lang w:val="en-CA"/>
        </w:rPr>
        <w:t>”</w:t>
      </w:r>
      <w:r w:rsidRPr="00AB5ACC">
        <w:rPr>
          <w:lang w:val="en-CA"/>
        </w:rPr>
        <w:t xml:space="preserve"> (s. 122 </w:t>
      </w:r>
      <w:r w:rsidRPr="00AB5ACC">
        <w:rPr>
          <w:i/>
          <w:iCs/>
          <w:lang w:val="en-CA"/>
        </w:rPr>
        <w:t>PHA</w:t>
      </w:r>
      <w:r w:rsidRPr="00AB5ACC">
        <w:rPr>
          <w:lang w:val="en-CA"/>
        </w:rPr>
        <w:t>).</w:t>
      </w:r>
    </w:p>
    <w:p w14:paraId="202A55A1" w14:textId="73FC2E67" w:rsidR="001516A0" w:rsidRPr="008675A9" w:rsidRDefault="005A2118" w:rsidP="00043A62">
      <w:pPr>
        <w:pStyle w:val="Paragraphe"/>
        <w:spacing w:line="280" w:lineRule="exact"/>
        <w:rPr>
          <w:lang w:val="en-CA"/>
        </w:rPr>
      </w:pPr>
      <w:r w:rsidRPr="008675A9">
        <w:rPr>
          <w:lang w:val="en-CA"/>
        </w:rPr>
        <w:t xml:space="preserve">The </w:t>
      </w:r>
      <w:r w:rsidRPr="008675A9">
        <w:rPr>
          <w:i/>
          <w:iCs/>
          <w:lang w:val="en-CA"/>
        </w:rPr>
        <w:t>PHA</w:t>
      </w:r>
      <w:r w:rsidRPr="008675A9">
        <w:rPr>
          <w:lang w:val="en-CA"/>
        </w:rPr>
        <w:t xml:space="preserve"> </w:t>
      </w:r>
      <w:r w:rsidR="006971B6" w:rsidRPr="008675A9">
        <w:rPr>
          <w:lang w:val="en-CA"/>
        </w:rPr>
        <w:t>create</w:t>
      </w:r>
      <w:r w:rsidR="006971B6">
        <w:rPr>
          <w:lang w:val="en-CA"/>
        </w:rPr>
        <w:t xml:space="preserve">s </w:t>
      </w:r>
      <w:r w:rsidRPr="008675A9">
        <w:rPr>
          <w:lang w:val="en-CA"/>
        </w:rPr>
        <w:t xml:space="preserve">an imbalance between the legislative and executive powers </w:t>
      </w:r>
      <w:r w:rsidR="002643CC">
        <w:rPr>
          <w:lang w:val="en-CA"/>
        </w:rPr>
        <w:t xml:space="preserve">so that </w:t>
      </w:r>
      <w:r w:rsidRPr="008675A9">
        <w:rPr>
          <w:lang w:val="en-CA"/>
        </w:rPr>
        <w:t xml:space="preserve">the </w:t>
      </w:r>
      <w:r w:rsidR="00233F58">
        <w:rPr>
          <w:lang w:val="en-CA"/>
        </w:rPr>
        <w:t>G</w:t>
      </w:r>
      <w:r w:rsidRPr="008675A9">
        <w:rPr>
          <w:lang w:val="en-CA"/>
        </w:rPr>
        <w:t xml:space="preserve">overnment </w:t>
      </w:r>
      <w:r w:rsidR="002643CC">
        <w:rPr>
          <w:lang w:val="en-CA"/>
        </w:rPr>
        <w:t xml:space="preserve">may </w:t>
      </w:r>
      <w:r w:rsidRPr="008675A9">
        <w:rPr>
          <w:lang w:val="en-CA"/>
        </w:rPr>
        <w:t>act quickly to combat the crisis</w:t>
      </w:r>
      <w:r w:rsidR="002643CC">
        <w:rPr>
          <w:lang w:val="en-CA"/>
        </w:rPr>
        <w:t xml:space="preserve"> effectively</w:t>
      </w:r>
      <w:r w:rsidRPr="008675A9">
        <w:rPr>
          <w:lang w:val="en-CA"/>
        </w:rPr>
        <w:t>:</w:t>
      </w:r>
    </w:p>
    <w:p w14:paraId="183A009A" w14:textId="30422C72" w:rsidR="005819F1" w:rsidRPr="008675A9" w:rsidRDefault="005819F1" w:rsidP="005819F1">
      <w:pPr>
        <w:pStyle w:val="Paragraphe"/>
        <w:numPr>
          <w:ilvl w:val="0"/>
          <w:numId w:val="0"/>
        </w:numPr>
        <w:spacing w:line="280" w:lineRule="exact"/>
        <w:ind w:left="720"/>
        <w:rPr>
          <w:lang w:val="en-CA"/>
        </w:rPr>
      </w:pPr>
      <w:r w:rsidRPr="008675A9">
        <w:rPr>
          <w:lang w:val="en-CA"/>
        </w:rPr>
        <w:t>[</w:t>
      </w:r>
      <w:r w:rsidRPr="008675A9">
        <w:rPr>
          <w:smallCaps/>
          <w:lang w:val="en-CA"/>
        </w:rPr>
        <w:t>translation</w:t>
      </w:r>
      <w:r w:rsidRPr="008675A9">
        <w:rPr>
          <w:lang w:val="en-CA"/>
        </w:rPr>
        <w:t>]</w:t>
      </w:r>
    </w:p>
    <w:p w14:paraId="1323C228" w14:textId="6DF4E1CD" w:rsidR="001516A0" w:rsidRPr="008675A9" w:rsidRDefault="005A2118" w:rsidP="001516A0">
      <w:pPr>
        <w:pStyle w:val="Citationenretrait"/>
        <w:rPr>
          <w:lang w:val="en-CA"/>
        </w:rPr>
      </w:pPr>
      <w:r w:rsidRPr="008675A9">
        <w:rPr>
          <w:lang w:val="en-CA"/>
        </w:rPr>
        <w:t xml:space="preserve">In democratic States, a crisis of the magnitude of </w:t>
      </w:r>
      <w:r w:rsidR="00633C68">
        <w:rPr>
          <w:lang w:val="en-CA"/>
        </w:rPr>
        <w:t xml:space="preserve">our current one caused by the emergence of </w:t>
      </w:r>
      <w:r w:rsidRPr="008675A9">
        <w:rPr>
          <w:lang w:val="en-CA"/>
        </w:rPr>
        <w:t xml:space="preserve">COVID-19 </w:t>
      </w:r>
      <w:r w:rsidR="00633C68">
        <w:rPr>
          <w:lang w:val="en-CA"/>
        </w:rPr>
        <w:t xml:space="preserve">does </w:t>
      </w:r>
      <w:r w:rsidRPr="008675A9">
        <w:rPr>
          <w:lang w:val="en-CA"/>
        </w:rPr>
        <w:t xml:space="preserve">not </w:t>
      </w:r>
      <w:r w:rsidR="006971B6" w:rsidRPr="008675A9">
        <w:rPr>
          <w:lang w:val="en-CA"/>
        </w:rPr>
        <w:t>abrogat</w:t>
      </w:r>
      <w:r w:rsidR="006971B6">
        <w:rPr>
          <w:lang w:val="en-CA"/>
        </w:rPr>
        <w:t>e</w:t>
      </w:r>
      <w:r w:rsidR="006971B6" w:rsidRPr="008675A9">
        <w:rPr>
          <w:lang w:val="en-CA"/>
        </w:rPr>
        <w:t xml:space="preserve"> </w:t>
      </w:r>
      <w:r w:rsidRPr="008675A9">
        <w:rPr>
          <w:lang w:val="en-CA"/>
        </w:rPr>
        <w:t xml:space="preserve">the division of powers, but </w:t>
      </w:r>
      <w:r w:rsidR="00633C68">
        <w:rPr>
          <w:lang w:val="en-CA"/>
        </w:rPr>
        <w:t xml:space="preserve">it does </w:t>
      </w:r>
      <w:r w:rsidRPr="008675A9">
        <w:rPr>
          <w:lang w:val="en-CA"/>
        </w:rPr>
        <w:t xml:space="preserve">very significantly </w:t>
      </w:r>
      <w:r w:rsidR="006971B6">
        <w:rPr>
          <w:lang w:val="en-CA"/>
        </w:rPr>
        <w:t>alter</w:t>
      </w:r>
      <w:r w:rsidR="006971B6" w:rsidRPr="008675A9">
        <w:rPr>
          <w:lang w:val="en-CA"/>
        </w:rPr>
        <w:t xml:space="preserve"> </w:t>
      </w:r>
      <w:r w:rsidRPr="008675A9">
        <w:rPr>
          <w:lang w:val="en-CA"/>
        </w:rPr>
        <w:t xml:space="preserve">the balance </w:t>
      </w:r>
      <w:r w:rsidR="00633C68">
        <w:rPr>
          <w:lang w:val="en-CA"/>
        </w:rPr>
        <w:t xml:space="preserve">of the division of responsibilities among </w:t>
      </w:r>
      <w:r w:rsidRPr="008675A9">
        <w:rPr>
          <w:lang w:val="en-CA"/>
        </w:rPr>
        <w:t>the three branches [executive, legislative</w:t>
      </w:r>
      <w:r w:rsidR="00555231">
        <w:rPr>
          <w:lang w:val="en-CA"/>
        </w:rPr>
        <w:t>,</w:t>
      </w:r>
      <w:r w:rsidRPr="008675A9">
        <w:rPr>
          <w:lang w:val="en-CA"/>
        </w:rPr>
        <w:t xml:space="preserve"> and judicial]</w:t>
      </w:r>
      <w:r w:rsidR="007A2814">
        <w:rPr>
          <w:lang w:val="en-CA"/>
        </w:rPr>
        <w:t>; accordingly,</w:t>
      </w:r>
      <w:r w:rsidRPr="008675A9">
        <w:rPr>
          <w:lang w:val="en-CA"/>
        </w:rPr>
        <w:t xml:space="preserve"> the executive </w:t>
      </w:r>
      <w:r w:rsidR="00633C68">
        <w:rPr>
          <w:lang w:val="en-CA"/>
        </w:rPr>
        <w:t xml:space="preserve">is </w:t>
      </w:r>
      <w:r w:rsidRPr="008675A9">
        <w:rPr>
          <w:lang w:val="en-CA"/>
        </w:rPr>
        <w:t xml:space="preserve">called </w:t>
      </w:r>
      <w:r w:rsidR="00633C68">
        <w:rPr>
          <w:lang w:val="en-CA"/>
        </w:rPr>
        <w:t xml:space="preserve">upon </w:t>
      </w:r>
      <w:r w:rsidRPr="008675A9">
        <w:rPr>
          <w:lang w:val="en-CA"/>
        </w:rPr>
        <w:t xml:space="preserve">to assume a much more </w:t>
      </w:r>
      <w:r w:rsidR="00555231">
        <w:rPr>
          <w:lang w:val="en-CA"/>
        </w:rPr>
        <w:t>significant</w:t>
      </w:r>
      <w:r w:rsidRPr="008675A9">
        <w:rPr>
          <w:lang w:val="en-CA"/>
        </w:rPr>
        <w:t xml:space="preserve"> role.</w:t>
      </w:r>
      <w:r w:rsidR="00BD41E7" w:rsidRPr="008675A9">
        <w:rPr>
          <w:rStyle w:val="Appelnotedebasdep"/>
          <w:lang w:val="en-CA"/>
        </w:rPr>
        <w:footnoteReference w:id="30"/>
      </w:r>
    </w:p>
    <w:p w14:paraId="5DDC22A4" w14:textId="4D9CB5F6" w:rsidR="001516A0" w:rsidRPr="008675A9" w:rsidRDefault="00377BC7" w:rsidP="00043A62">
      <w:pPr>
        <w:pStyle w:val="Paragraphe"/>
        <w:spacing w:line="280" w:lineRule="exact"/>
        <w:rPr>
          <w:lang w:val="en-CA"/>
        </w:rPr>
      </w:pPr>
      <w:r>
        <w:rPr>
          <w:lang w:val="en-CA"/>
        </w:rPr>
        <w:t xml:space="preserve">The reason for </w:t>
      </w:r>
      <w:r w:rsidRPr="008675A9">
        <w:rPr>
          <w:lang w:val="en-CA"/>
        </w:rPr>
        <w:t xml:space="preserve">this imbalance </w:t>
      </w:r>
      <w:r>
        <w:rPr>
          <w:lang w:val="en-CA"/>
        </w:rPr>
        <w:t>in</w:t>
      </w:r>
      <w:r w:rsidR="005A2118" w:rsidRPr="008675A9">
        <w:rPr>
          <w:lang w:val="en-CA"/>
        </w:rPr>
        <w:t xml:space="preserve"> such a public health </w:t>
      </w:r>
      <w:r w:rsidR="005819F1" w:rsidRPr="008675A9">
        <w:rPr>
          <w:lang w:val="en-CA"/>
        </w:rPr>
        <w:t>emergency</w:t>
      </w:r>
      <w:r w:rsidR="00555231">
        <w:rPr>
          <w:lang w:val="en-CA"/>
        </w:rPr>
        <w:t xml:space="preserve"> situation</w:t>
      </w:r>
      <w:r w:rsidR="005A2118" w:rsidRPr="008675A9">
        <w:rPr>
          <w:lang w:val="en-CA"/>
        </w:rPr>
        <w:t xml:space="preserve"> is crisis management,</w:t>
      </w:r>
      <w:r w:rsidR="005A2118" w:rsidRPr="008675A9">
        <w:rPr>
          <w:rStyle w:val="Appelnotedebasdep"/>
          <w:lang w:val="en-CA"/>
        </w:rPr>
        <w:footnoteReference w:id="31"/>
      </w:r>
      <w:r w:rsidR="005A2118" w:rsidRPr="008675A9">
        <w:rPr>
          <w:lang w:val="en-CA"/>
        </w:rPr>
        <w:t xml:space="preserve"> but the National Assembly nevertheless </w:t>
      </w:r>
      <w:r w:rsidR="00365801">
        <w:rPr>
          <w:lang w:val="en-CA"/>
        </w:rPr>
        <w:t>preserves</w:t>
      </w:r>
      <w:r w:rsidR="00D950BF">
        <w:rPr>
          <w:lang w:val="en-CA"/>
        </w:rPr>
        <w:t xml:space="preserve"> an</w:t>
      </w:r>
      <w:r w:rsidR="005A2118" w:rsidRPr="008675A9">
        <w:rPr>
          <w:lang w:val="en-CA"/>
        </w:rPr>
        <w:t xml:space="preserve"> </w:t>
      </w:r>
      <w:r w:rsidR="005A2118" w:rsidRPr="008675A9">
        <w:rPr>
          <w:i/>
          <w:lang w:val="en-CA"/>
        </w:rPr>
        <w:t xml:space="preserve">a posteriori </w:t>
      </w:r>
      <w:r w:rsidR="00D950BF">
        <w:rPr>
          <w:lang w:val="en-CA"/>
        </w:rPr>
        <w:t>power of review</w:t>
      </w:r>
      <w:r w:rsidR="00D950BF" w:rsidRPr="008675A9">
        <w:rPr>
          <w:lang w:val="en-CA"/>
        </w:rPr>
        <w:t xml:space="preserve"> </w:t>
      </w:r>
      <w:r w:rsidR="007A2814">
        <w:rPr>
          <w:lang w:val="en-CA"/>
        </w:rPr>
        <w:t xml:space="preserve">whereby it may </w:t>
      </w:r>
      <w:r w:rsidR="005A2118" w:rsidRPr="008675A9">
        <w:rPr>
          <w:lang w:val="en-CA"/>
        </w:rPr>
        <w:t xml:space="preserve">disallow both </w:t>
      </w:r>
      <w:r w:rsidR="007A2814">
        <w:rPr>
          <w:lang w:val="en-CA"/>
        </w:rPr>
        <w:t>the</w:t>
      </w:r>
      <w:r w:rsidR="005A2118" w:rsidRPr="008675A9">
        <w:rPr>
          <w:lang w:val="en-CA"/>
        </w:rPr>
        <w:t xml:space="preserve"> declaration of a public health emergency </w:t>
      </w:r>
      <w:r w:rsidR="005819F1" w:rsidRPr="008675A9">
        <w:rPr>
          <w:lang w:val="en-CA"/>
        </w:rPr>
        <w:t>and</w:t>
      </w:r>
      <w:r w:rsidR="005A2118" w:rsidRPr="008675A9">
        <w:rPr>
          <w:lang w:val="en-CA"/>
        </w:rPr>
        <w:t xml:space="preserve"> any renewal thereof (s. 122 </w:t>
      </w:r>
      <w:r w:rsidR="005A2118" w:rsidRPr="008675A9">
        <w:rPr>
          <w:i/>
          <w:lang w:val="en-CA"/>
        </w:rPr>
        <w:t>PHA</w:t>
      </w:r>
      <w:r w:rsidR="005A2118" w:rsidRPr="008675A9">
        <w:rPr>
          <w:lang w:val="en-CA"/>
        </w:rPr>
        <w:t>).</w:t>
      </w:r>
    </w:p>
    <w:p w14:paraId="6129CA90" w14:textId="2A1C7C51" w:rsidR="001516A0" w:rsidRPr="008675A9" w:rsidRDefault="005A2118" w:rsidP="00043A62">
      <w:pPr>
        <w:pStyle w:val="Paragraphe"/>
        <w:spacing w:line="280" w:lineRule="exact"/>
        <w:rPr>
          <w:lang w:val="en-CA"/>
        </w:rPr>
      </w:pPr>
      <w:r w:rsidRPr="008675A9">
        <w:rPr>
          <w:lang w:val="en-CA"/>
        </w:rPr>
        <w:lastRenderedPageBreak/>
        <w:t xml:space="preserve">In addition, pursuant to the </w:t>
      </w:r>
      <w:r w:rsidRPr="008675A9">
        <w:rPr>
          <w:i/>
          <w:iCs/>
          <w:lang w:val="en-CA"/>
        </w:rPr>
        <w:t>Act respecting the National Assembly</w:t>
      </w:r>
      <w:r w:rsidRPr="008675A9">
        <w:rPr>
          <w:lang w:val="en-CA"/>
        </w:rPr>
        <w:t>,</w:t>
      </w:r>
      <w:r w:rsidR="00D659FE" w:rsidRPr="008675A9">
        <w:rPr>
          <w:rStyle w:val="Appelnotedebasdep"/>
          <w:lang w:val="en-CA"/>
        </w:rPr>
        <w:footnoteReference w:id="32"/>
      </w:r>
      <w:r w:rsidRPr="008675A9">
        <w:rPr>
          <w:lang w:val="en-CA"/>
        </w:rPr>
        <w:t xml:space="preserve"> the Assembly establishes its rules of procedure, and it alone has authority to see that they are observed.</w:t>
      </w:r>
      <w:r w:rsidR="00BD41E7" w:rsidRPr="008675A9">
        <w:rPr>
          <w:lang w:val="en-CA"/>
        </w:rPr>
        <w:t xml:space="preserve"> </w:t>
      </w:r>
      <w:r w:rsidRPr="008675A9">
        <w:rPr>
          <w:lang w:val="en-CA"/>
        </w:rPr>
        <w:t xml:space="preserve">The </w:t>
      </w:r>
      <w:r w:rsidR="00D659FE" w:rsidRPr="008675A9">
        <w:rPr>
          <w:lang w:val="en-CA"/>
        </w:rPr>
        <w:t>Standing Orders</w:t>
      </w:r>
      <w:r w:rsidRPr="008675A9">
        <w:rPr>
          <w:lang w:val="en-CA"/>
        </w:rPr>
        <w:t xml:space="preserve"> it adopted for this purpose set out the sessional periods, which includes two ordinary sessions established as follows:</w:t>
      </w:r>
    </w:p>
    <w:p w14:paraId="1B4CE01D" w14:textId="26F9814C" w:rsidR="001516A0" w:rsidRPr="008675A9" w:rsidRDefault="005A2118" w:rsidP="001516A0">
      <w:pPr>
        <w:pStyle w:val="Citationenretrait"/>
        <w:rPr>
          <w:lang w:val="en-CA"/>
        </w:rPr>
      </w:pPr>
      <w:r w:rsidRPr="00AB5ACC">
        <w:rPr>
          <w:lang w:val="en-CA"/>
        </w:rPr>
        <w:t xml:space="preserve">Section 19. Sessional periods – During the life of a Legislature the Assembly shall ordinarily hold two sessional periods each year, as follows: </w:t>
      </w:r>
    </w:p>
    <w:p w14:paraId="6F3E7E4A" w14:textId="337989F4" w:rsidR="001516A0" w:rsidRPr="00AB5ACC" w:rsidRDefault="005A2118" w:rsidP="001516A0">
      <w:pPr>
        <w:pStyle w:val="Citationenretrait"/>
        <w:rPr>
          <w:lang w:val="en-CA"/>
        </w:rPr>
      </w:pPr>
      <w:r w:rsidRPr="00AB5ACC">
        <w:rPr>
          <w:lang w:val="en-CA"/>
        </w:rPr>
        <w:t>(1) from the second Tuesday in February for sixteen weeks during ordinary hours of meeting followed by two weeks during extended hours of meeting;</w:t>
      </w:r>
    </w:p>
    <w:p w14:paraId="4B7FE135" w14:textId="35F1DC29" w:rsidR="001516A0" w:rsidRPr="008675A9" w:rsidRDefault="005A2118" w:rsidP="001516A0">
      <w:pPr>
        <w:pStyle w:val="Citationenretrait"/>
        <w:rPr>
          <w:lang w:val="en-CA"/>
        </w:rPr>
      </w:pPr>
      <w:r w:rsidRPr="00AB5ACC">
        <w:rPr>
          <w:lang w:val="en-CA"/>
        </w:rPr>
        <w:t>(2) from the third Tuesday in September for ten weeks during ordinary hours of meeting followed by two weeks during extended hours of meeting.</w:t>
      </w:r>
      <w:r w:rsidR="00BD41E7" w:rsidRPr="008675A9">
        <w:rPr>
          <w:rStyle w:val="Appelnotedebasdep"/>
          <w:lang w:val="en-CA"/>
        </w:rPr>
        <w:footnoteReference w:id="33"/>
      </w:r>
    </w:p>
    <w:p w14:paraId="03EF7FB4" w14:textId="233F0548" w:rsidR="001516A0" w:rsidRPr="008675A9" w:rsidRDefault="005A2118" w:rsidP="00043A62">
      <w:pPr>
        <w:pStyle w:val="Paragraphe"/>
        <w:spacing w:line="280" w:lineRule="exact"/>
        <w:rPr>
          <w:lang w:val="en-CA"/>
        </w:rPr>
      </w:pPr>
      <w:r w:rsidRPr="008675A9">
        <w:rPr>
          <w:lang w:val="en-CA"/>
        </w:rPr>
        <w:t xml:space="preserve">Only extraordinary sittings are </w:t>
      </w:r>
      <w:r w:rsidR="006A76FF">
        <w:rPr>
          <w:lang w:val="en-CA"/>
        </w:rPr>
        <w:t>called</w:t>
      </w:r>
      <w:r w:rsidR="0081361F">
        <w:rPr>
          <w:lang w:val="en-CA"/>
        </w:rPr>
        <w:t xml:space="preserve"> by</w:t>
      </w:r>
      <w:r w:rsidRPr="008675A9">
        <w:rPr>
          <w:lang w:val="en-CA"/>
        </w:rPr>
        <w:t xml:space="preserve"> the Prime Minister.</w:t>
      </w:r>
      <w:r w:rsidR="00D659FE" w:rsidRPr="008675A9">
        <w:rPr>
          <w:rStyle w:val="Appelnotedebasdep"/>
          <w:lang w:val="en-CA"/>
        </w:rPr>
        <w:footnoteReference w:id="34"/>
      </w:r>
    </w:p>
    <w:p w14:paraId="1602E0E1" w14:textId="7B07D041" w:rsidR="001516A0" w:rsidRPr="008675A9" w:rsidRDefault="00616AAD" w:rsidP="00043A62">
      <w:pPr>
        <w:pStyle w:val="Paragraphe"/>
        <w:spacing w:line="280" w:lineRule="exact"/>
        <w:rPr>
          <w:lang w:val="en-CA"/>
        </w:rPr>
      </w:pPr>
      <w:r w:rsidRPr="00AB5ACC">
        <w:rPr>
          <w:lang w:val="en-CA"/>
        </w:rPr>
        <w:t>The National Assembly has sat many times since the public health emergency was declared on March 13, 2020, and no motion to disallow has been tabled.</w:t>
      </w:r>
      <w:r w:rsidR="00BD41E7" w:rsidRPr="008675A9">
        <w:rPr>
          <w:rStyle w:val="Appelnotedebasdep"/>
          <w:lang w:val="en-CA"/>
        </w:rPr>
        <w:footnoteReference w:id="35"/>
      </w:r>
      <w:r w:rsidR="00D51831" w:rsidRPr="00AB5ACC">
        <w:rPr>
          <w:lang w:val="en-CA"/>
        </w:rPr>
        <w:t xml:space="preserve"> </w:t>
      </w:r>
      <w:r w:rsidRPr="00AB5ACC">
        <w:rPr>
          <w:lang w:val="en-CA"/>
        </w:rPr>
        <w:t xml:space="preserve">The Court is of </w:t>
      </w:r>
      <w:r w:rsidR="005819F1" w:rsidRPr="00AB5ACC">
        <w:rPr>
          <w:lang w:val="en-CA"/>
        </w:rPr>
        <w:t>the</w:t>
      </w:r>
      <w:r w:rsidRPr="00AB5ACC">
        <w:rPr>
          <w:lang w:val="en-CA"/>
        </w:rPr>
        <w:t xml:space="preserve"> </w:t>
      </w:r>
      <w:r w:rsidR="005819F1" w:rsidRPr="00AB5ACC">
        <w:rPr>
          <w:lang w:val="en-CA"/>
        </w:rPr>
        <w:t>opinion</w:t>
      </w:r>
      <w:r w:rsidRPr="00AB5ACC">
        <w:rPr>
          <w:lang w:val="en-CA"/>
        </w:rPr>
        <w:t xml:space="preserve"> that </w:t>
      </w:r>
      <w:r w:rsidR="00507A50">
        <w:rPr>
          <w:lang w:val="en-CA"/>
        </w:rPr>
        <w:t xml:space="preserve">the </w:t>
      </w:r>
      <w:r w:rsidRPr="00AB5ACC">
        <w:rPr>
          <w:lang w:val="en-CA"/>
        </w:rPr>
        <w:t>trial judge did not commit a reviewable error by inferring from this evidence a form of indirect consent to the orders in council.</w:t>
      </w:r>
      <w:r w:rsidR="00BD41E7" w:rsidRPr="008675A9">
        <w:rPr>
          <w:rStyle w:val="Appelnotedebasdep"/>
          <w:lang w:val="en-CA"/>
        </w:rPr>
        <w:footnoteReference w:id="36"/>
      </w:r>
      <w:r w:rsidR="00D659FE" w:rsidRPr="008675A9">
        <w:rPr>
          <w:lang w:val="en-CA"/>
        </w:rPr>
        <w:t xml:space="preserve"> Since the start of the public health emergency, the National Assembly could have </w:t>
      </w:r>
      <w:r w:rsidR="00507A50">
        <w:rPr>
          <w:lang w:val="en-CA"/>
        </w:rPr>
        <w:t>initiated</w:t>
      </w:r>
      <w:r w:rsidR="00D659FE" w:rsidRPr="008675A9">
        <w:rPr>
          <w:lang w:val="en-CA"/>
        </w:rPr>
        <w:t xml:space="preserve"> a debate and questioned the orders in council </w:t>
      </w:r>
      <w:r w:rsidR="005819F1" w:rsidRPr="008675A9">
        <w:rPr>
          <w:lang w:val="en-CA"/>
        </w:rPr>
        <w:t>renewing</w:t>
      </w:r>
      <w:r w:rsidR="00D659FE" w:rsidRPr="008675A9">
        <w:rPr>
          <w:lang w:val="en-CA"/>
        </w:rPr>
        <w:t xml:space="preserve"> the public health emergency through a simple motion to disallow.</w:t>
      </w:r>
      <w:r w:rsidR="00BD41E7" w:rsidRPr="008675A9">
        <w:rPr>
          <w:lang w:val="en-CA"/>
        </w:rPr>
        <w:t xml:space="preserve"> </w:t>
      </w:r>
      <w:r w:rsidR="00D659FE" w:rsidRPr="008675A9">
        <w:rPr>
          <w:lang w:val="en-CA"/>
        </w:rPr>
        <w:t xml:space="preserve">It decided not to exercise this power of </w:t>
      </w:r>
      <w:r w:rsidR="00507A50">
        <w:rPr>
          <w:lang w:val="en-CA"/>
        </w:rPr>
        <w:t xml:space="preserve">review </w:t>
      </w:r>
      <w:r w:rsidR="00D659FE" w:rsidRPr="008675A9">
        <w:rPr>
          <w:lang w:val="en-CA"/>
        </w:rPr>
        <w:t>over the decisions</w:t>
      </w:r>
      <w:r w:rsidR="00720686">
        <w:rPr>
          <w:lang w:val="en-CA"/>
        </w:rPr>
        <w:t xml:space="preserve"> of the executive</w:t>
      </w:r>
      <w:r w:rsidR="00D659FE" w:rsidRPr="008675A9">
        <w:rPr>
          <w:lang w:val="en-CA"/>
        </w:rPr>
        <w:t>.</w:t>
      </w:r>
    </w:p>
    <w:p w14:paraId="0779CBF8" w14:textId="2027E78A" w:rsidR="001516A0" w:rsidRPr="008675A9" w:rsidRDefault="00D659FE" w:rsidP="00043A62">
      <w:pPr>
        <w:pStyle w:val="Paragraphe"/>
        <w:spacing w:line="280" w:lineRule="exact"/>
        <w:rPr>
          <w:lang w:val="en-CA"/>
        </w:rPr>
      </w:pPr>
      <w:r w:rsidRPr="008675A9">
        <w:rPr>
          <w:lang w:val="en-CA"/>
        </w:rPr>
        <w:t xml:space="preserve">The trial judge </w:t>
      </w:r>
      <w:r w:rsidR="00720686">
        <w:rPr>
          <w:lang w:val="en-CA"/>
        </w:rPr>
        <w:t>also</w:t>
      </w:r>
      <w:r w:rsidR="00720686" w:rsidRPr="008675A9">
        <w:rPr>
          <w:lang w:val="en-CA"/>
        </w:rPr>
        <w:t xml:space="preserve"> </w:t>
      </w:r>
      <w:r w:rsidRPr="008675A9">
        <w:rPr>
          <w:lang w:val="en-CA"/>
        </w:rPr>
        <w:t xml:space="preserve">noted that the respondent referred to the English version of section 119 </w:t>
      </w:r>
      <w:r w:rsidRPr="008675A9">
        <w:rPr>
          <w:i/>
          <w:iCs/>
          <w:lang w:val="en-CA"/>
        </w:rPr>
        <w:t>PHA</w:t>
      </w:r>
      <w:r w:rsidRPr="008675A9">
        <w:rPr>
          <w:lang w:val="en-CA"/>
        </w:rPr>
        <w:t xml:space="preserve"> to support </w:t>
      </w:r>
      <w:r w:rsidR="00E04F87">
        <w:rPr>
          <w:lang w:val="en-CA"/>
        </w:rPr>
        <w:t>its</w:t>
      </w:r>
      <w:r w:rsidR="00E04F87" w:rsidRPr="008675A9">
        <w:rPr>
          <w:lang w:val="en-CA"/>
        </w:rPr>
        <w:t xml:space="preserve"> </w:t>
      </w:r>
      <w:r w:rsidRPr="008675A9">
        <w:rPr>
          <w:lang w:val="en-CA"/>
        </w:rPr>
        <w:t xml:space="preserve">interpretation that the </w:t>
      </w:r>
      <w:r w:rsidR="00233F58">
        <w:rPr>
          <w:lang w:val="en-CA"/>
        </w:rPr>
        <w:t>G</w:t>
      </w:r>
      <w:r w:rsidRPr="008675A9">
        <w:rPr>
          <w:lang w:val="en-CA"/>
        </w:rPr>
        <w:t>overnment can renew the public health emergency as many times as necessary for maximum periods of 10 days without the consent of the National Assembly.</w:t>
      </w:r>
      <w:r w:rsidR="00BD41E7" w:rsidRPr="008675A9">
        <w:rPr>
          <w:lang w:val="en-CA"/>
        </w:rPr>
        <w:t xml:space="preserve"> </w:t>
      </w:r>
      <w:r w:rsidRPr="008675A9">
        <w:rPr>
          <w:lang w:val="en-CA"/>
        </w:rPr>
        <w:t xml:space="preserve">Indeed, the English version states that the public health emergency </w:t>
      </w:r>
      <w:r w:rsidR="00D51831" w:rsidRPr="008675A9">
        <w:rPr>
          <w:lang w:val="en-CA"/>
        </w:rPr>
        <w:t>“</w:t>
      </w:r>
      <w:r w:rsidRPr="008675A9">
        <w:rPr>
          <w:lang w:val="en-CA"/>
        </w:rPr>
        <w:t>...may be renewed as many times as necessary, for a maximum period of 10 days ...</w:t>
      </w:r>
      <w:r w:rsidR="005819F1" w:rsidRPr="008675A9">
        <w:rPr>
          <w:lang w:val="en-CA"/>
        </w:rPr>
        <w:t>”</w:t>
      </w:r>
      <w:r w:rsidR="00BD41E7" w:rsidRPr="008675A9">
        <w:rPr>
          <w:lang w:val="en-CA"/>
        </w:rPr>
        <w:t xml:space="preserve"> </w:t>
      </w:r>
      <w:r w:rsidRPr="008675A9">
        <w:rPr>
          <w:lang w:val="en-CA"/>
        </w:rPr>
        <w:t xml:space="preserve">He concluded from this </w:t>
      </w:r>
      <w:r w:rsidR="00425061">
        <w:rPr>
          <w:lang w:val="en-CA"/>
        </w:rPr>
        <w:t>that</w:t>
      </w:r>
      <w:r w:rsidR="000E4A2B">
        <w:rPr>
          <w:lang w:val="en-CA"/>
        </w:rPr>
        <w:t>,</w:t>
      </w:r>
      <w:r w:rsidR="00D555F3">
        <w:rPr>
          <w:lang w:val="en-CA"/>
        </w:rPr>
        <w:t xml:space="preserve"> were</w:t>
      </w:r>
      <w:r w:rsidRPr="008675A9">
        <w:rPr>
          <w:lang w:val="en-CA"/>
        </w:rPr>
        <w:t xml:space="preserve"> </w:t>
      </w:r>
      <w:r w:rsidR="00425061">
        <w:rPr>
          <w:lang w:val="en-CA"/>
        </w:rPr>
        <w:t xml:space="preserve">it necessary </w:t>
      </w:r>
      <w:r w:rsidR="00AA17C7">
        <w:rPr>
          <w:lang w:val="en-CA"/>
        </w:rPr>
        <w:t>to seek</w:t>
      </w:r>
      <w:r w:rsidR="00425061">
        <w:rPr>
          <w:lang w:val="en-CA"/>
        </w:rPr>
        <w:t xml:space="preserve"> </w:t>
      </w:r>
      <w:r w:rsidRPr="008675A9">
        <w:rPr>
          <w:lang w:val="en-CA"/>
        </w:rPr>
        <w:t xml:space="preserve">a hidden meaning in section 119 </w:t>
      </w:r>
      <w:r w:rsidRPr="008675A9">
        <w:rPr>
          <w:i/>
          <w:iCs/>
          <w:lang w:val="en-CA"/>
        </w:rPr>
        <w:t>PHA</w:t>
      </w:r>
      <w:r w:rsidRPr="008675A9">
        <w:rPr>
          <w:lang w:val="en-CA"/>
        </w:rPr>
        <w:t xml:space="preserve">, this argument would support </w:t>
      </w:r>
      <w:r w:rsidR="00D555F3">
        <w:rPr>
          <w:lang w:val="en-CA"/>
        </w:rPr>
        <w:t xml:space="preserve">its </w:t>
      </w:r>
      <w:r w:rsidR="005819F1" w:rsidRPr="008675A9">
        <w:rPr>
          <w:lang w:val="en-CA"/>
        </w:rPr>
        <w:t>position</w:t>
      </w:r>
      <w:r w:rsidRPr="008675A9">
        <w:rPr>
          <w:lang w:val="en-CA"/>
        </w:rPr>
        <w:t>.</w:t>
      </w:r>
      <w:r w:rsidR="00BD41E7" w:rsidRPr="008675A9">
        <w:rPr>
          <w:lang w:val="en-CA"/>
        </w:rPr>
        <w:t xml:space="preserve"> </w:t>
      </w:r>
      <w:r w:rsidRPr="008675A9">
        <w:rPr>
          <w:lang w:val="en-CA"/>
        </w:rPr>
        <w:t xml:space="preserve">However, he </w:t>
      </w:r>
      <w:r w:rsidR="00E04F87">
        <w:rPr>
          <w:lang w:val="en-CA"/>
        </w:rPr>
        <w:t>was</w:t>
      </w:r>
      <w:r w:rsidR="00E04F87" w:rsidRPr="008675A9">
        <w:rPr>
          <w:lang w:val="en-CA"/>
        </w:rPr>
        <w:t xml:space="preserve"> </w:t>
      </w:r>
      <w:r w:rsidRPr="008675A9">
        <w:rPr>
          <w:lang w:val="en-CA"/>
        </w:rPr>
        <w:t xml:space="preserve">of the opinion that the French version </w:t>
      </w:r>
      <w:r w:rsidR="00E04F87" w:rsidRPr="008675A9">
        <w:rPr>
          <w:lang w:val="en-CA"/>
        </w:rPr>
        <w:t>suffice</w:t>
      </w:r>
      <w:r w:rsidR="00E04F87">
        <w:rPr>
          <w:lang w:val="en-CA"/>
        </w:rPr>
        <w:t>d</w:t>
      </w:r>
      <w:r w:rsidR="00E04F87" w:rsidRPr="008675A9">
        <w:rPr>
          <w:lang w:val="en-CA"/>
        </w:rPr>
        <w:t xml:space="preserve"> </w:t>
      </w:r>
      <w:r w:rsidRPr="008675A9">
        <w:rPr>
          <w:lang w:val="en-CA"/>
        </w:rPr>
        <w:t>to dismiss the appellant</w:t>
      </w:r>
      <w:r w:rsidR="00AA17C7">
        <w:rPr>
          <w:lang w:val="en-CA"/>
        </w:rPr>
        <w:t>’</w:t>
      </w:r>
      <w:r w:rsidRPr="008675A9">
        <w:rPr>
          <w:lang w:val="en-CA"/>
        </w:rPr>
        <w:t>s argument.</w:t>
      </w:r>
    </w:p>
    <w:p w14:paraId="66928D5B" w14:textId="71A03B27" w:rsidR="001516A0" w:rsidRPr="008675A9" w:rsidRDefault="00D659FE" w:rsidP="00043A62">
      <w:pPr>
        <w:pStyle w:val="Paragraphe"/>
        <w:spacing w:line="280" w:lineRule="exact"/>
        <w:rPr>
          <w:lang w:val="en-CA"/>
        </w:rPr>
      </w:pPr>
      <w:r w:rsidRPr="00AB5ACC">
        <w:rPr>
          <w:lang w:val="en-CA"/>
        </w:rPr>
        <w:t>The Court shares this point of view.</w:t>
      </w:r>
      <w:r w:rsidR="00BD41E7" w:rsidRPr="008675A9">
        <w:rPr>
          <w:lang w:val="en-CA"/>
        </w:rPr>
        <w:t xml:space="preserve"> </w:t>
      </w:r>
      <w:r w:rsidRPr="00AB5ACC">
        <w:rPr>
          <w:lang w:val="en-CA"/>
        </w:rPr>
        <w:t>The French version clearly reflects the legislature’s intention.</w:t>
      </w:r>
      <w:r w:rsidR="00BD41E7" w:rsidRPr="008675A9">
        <w:rPr>
          <w:lang w:val="en-CA"/>
        </w:rPr>
        <w:t xml:space="preserve"> </w:t>
      </w:r>
      <w:r w:rsidRPr="00AB5ACC">
        <w:rPr>
          <w:lang w:val="en-CA"/>
        </w:rPr>
        <w:t xml:space="preserve">The English version of the provision leads to the same conclusion, </w:t>
      </w:r>
      <w:r w:rsidRPr="00AB5ACC">
        <w:rPr>
          <w:lang w:val="en-CA"/>
        </w:rPr>
        <w:lastRenderedPageBreak/>
        <w:t xml:space="preserve">that the orders in council renewing the public health emergency for a maximum period of 10 days may be renewed as long as there is a serious threat to the health of the population, whether real or imminent (section 118 </w:t>
      </w:r>
      <w:r w:rsidRPr="00AB5ACC">
        <w:rPr>
          <w:i/>
          <w:lang w:val="en-CA"/>
        </w:rPr>
        <w:t>PHA</w:t>
      </w:r>
      <w:r w:rsidRPr="00AB5ACC">
        <w:rPr>
          <w:lang w:val="en-CA"/>
        </w:rPr>
        <w:t>).</w:t>
      </w:r>
    </w:p>
    <w:p w14:paraId="1F45D8F7" w14:textId="6380B045" w:rsidR="001516A0" w:rsidRPr="008675A9" w:rsidRDefault="0043170F" w:rsidP="00043A62">
      <w:pPr>
        <w:pStyle w:val="Paragraphe"/>
        <w:spacing w:line="280" w:lineRule="exact"/>
        <w:rPr>
          <w:lang w:val="en-CA"/>
        </w:rPr>
      </w:pPr>
      <w:r w:rsidRPr="00AB5ACC">
        <w:rPr>
          <w:lang w:val="en-CA"/>
        </w:rPr>
        <w:t>In 2001, t</w:t>
      </w:r>
      <w:r w:rsidR="00D659FE" w:rsidRPr="00AB5ACC">
        <w:rPr>
          <w:lang w:val="en-CA"/>
        </w:rPr>
        <w:t xml:space="preserve">he </w:t>
      </w:r>
      <w:r w:rsidR="00D659FE" w:rsidRPr="00AB5ACC">
        <w:rPr>
          <w:i/>
          <w:lang w:val="en-CA"/>
        </w:rPr>
        <w:t xml:space="preserve">PHA </w:t>
      </w:r>
      <w:r w:rsidR="00D659FE" w:rsidRPr="00AB5ACC">
        <w:rPr>
          <w:lang w:val="en-CA"/>
        </w:rPr>
        <w:t xml:space="preserve">replaced the </w:t>
      </w:r>
      <w:r w:rsidR="00D659FE" w:rsidRPr="00AB5ACC">
        <w:rPr>
          <w:i/>
          <w:lang w:val="en-CA"/>
        </w:rPr>
        <w:t>Public Health Protection Act</w:t>
      </w:r>
      <w:r>
        <w:rPr>
          <w:i/>
          <w:lang w:val="en-CA"/>
        </w:rPr>
        <w:t>.</w:t>
      </w:r>
      <w:r w:rsidR="00D659FE" w:rsidRPr="008675A9">
        <w:rPr>
          <w:rStyle w:val="Appelnotedebasdep"/>
          <w:lang w:val="en-CA"/>
        </w:rPr>
        <w:footnoteReference w:id="37"/>
      </w:r>
      <w:r w:rsidR="00BD41E7" w:rsidRPr="008675A9">
        <w:rPr>
          <w:lang w:val="en-CA"/>
        </w:rPr>
        <w:t xml:space="preserve"> </w:t>
      </w:r>
      <w:r w:rsidR="00D659FE" w:rsidRPr="008675A9">
        <w:rPr>
          <w:lang w:val="en-CA"/>
        </w:rPr>
        <w:t xml:space="preserve">It </w:t>
      </w:r>
      <w:r w:rsidR="00D51831" w:rsidRPr="008675A9">
        <w:rPr>
          <w:lang w:val="en-CA"/>
        </w:rPr>
        <w:t>should</w:t>
      </w:r>
      <w:r w:rsidR="00D659FE" w:rsidRPr="008675A9">
        <w:rPr>
          <w:lang w:val="en-CA"/>
        </w:rPr>
        <w:t xml:space="preserve"> be noted that section</w:t>
      </w:r>
      <w:r w:rsidR="00D51831" w:rsidRPr="008675A9">
        <w:rPr>
          <w:lang w:val="en-CA"/>
        </w:rPr>
        <w:t>s</w:t>
      </w:r>
      <w:r w:rsidR="00D659FE" w:rsidRPr="008675A9">
        <w:rPr>
          <w:lang w:val="en-CA"/>
        </w:rPr>
        <w:t xml:space="preserve"> 118 and 123 </w:t>
      </w:r>
      <w:r w:rsidR="00D659FE" w:rsidRPr="008675A9">
        <w:rPr>
          <w:i/>
          <w:iCs/>
          <w:lang w:val="en-CA"/>
        </w:rPr>
        <w:t>PHA</w:t>
      </w:r>
      <w:r w:rsidR="00D659FE" w:rsidRPr="008675A9">
        <w:rPr>
          <w:lang w:val="en-CA"/>
        </w:rPr>
        <w:t xml:space="preserve"> were used for the first time in March 2020 in the context of the fight against COVID-19.</w:t>
      </w:r>
      <w:r w:rsidR="00D659FE" w:rsidRPr="008675A9">
        <w:rPr>
          <w:vertAlign w:val="superscript"/>
          <w:lang w:val="en-CA"/>
        </w:rPr>
        <w:footnoteReference w:id="38"/>
      </w:r>
    </w:p>
    <w:p w14:paraId="55A14DB3" w14:textId="018ABD95" w:rsidR="001516A0" w:rsidRPr="008675A9" w:rsidRDefault="00D659FE" w:rsidP="00043A62">
      <w:pPr>
        <w:pStyle w:val="Paragraphe"/>
        <w:spacing w:line="280" w:lineRule="exact"/>
        <w:rPr>
          <w:lang w:val="en-CA"/>
        </w:rPr>
      </w:pPr>
      <w:r w:rsidRPr="008675A9">
        <w:rPr>
          <w:lang w:val="en-CA"/>
        </w:rPr>
        <w:t xml:space="preserve">In 2001, on the same day </w:t>
      </w:r>
      <w:r w:rsidR="00E04F87">
        <w:rPr>
          <w:lang w:val="en-CA"/>
        </w:rPr>
        <w:t xml:space="preserve">it enacted </w:t>
      </w:r>
      <w:r w:rsidRPr="008675A9">
        <w:rPr>
          <w:lang w:val="en-CA"/>
        </w:rPr>
        <w:t xml:space="preserve">the </w:t>
      </w:r>
      <w:r w:rsidRPr="008675A9">
        <w:rPr>
          <w:i/>
          <w:lang w:val="en-CA"/>
        </w:rPr>
        <w:t>PHA</w:t>
      </w:r>
      <w:r w:rsidRPr="008675A9">
        <w:rPr>
          <w:lang w:val="en-CA"/>
        </w:rPr>
        <w:t xml:space="preserve">, the legislature also enacted the </w:t>
      </w:r>
      <w:r w:rsidRPr="008675A9">
        <w:rPr>
          <w:i/>
          <w:lang w:val="en-CA"/>
        </w:rPr>
        <w:t>Civil Protection Act</w:t>
      </w:r>
      <w:r w:rsidRPr="008675A9">
        <w:rPr>
          <w:lang w:val="en-CA"/>
        </w:rPr>
        <w:t>, which allows the Government to declare a national state of emergency in the event of an actual or imminent major disaster situation or other event that interferes with the life of the community to the point of compromising human safety.</w:t>
      </w:r>
      <w:r w:rsidRPr="008675A9">
        <w:rPr>
          <w:rStyle w:val="Appelnotedebasdep"/>
          <w:lang w:val="en-CA"/>
        </w:rPr>
        <w:footnoteReference w:id="39"/>
      </w:r>
    </w:p>
    <w:p w14:paraId="282EC14B" w14:textId="74FD75A3" w:rsidR="001516A0" w:rsidRPr="008675A9" w:rsidRDefault="00D659FE" w:rsidP="00043A62">
      <w:pPr>
        <w:pStyle w:val="Paragraphe"/>
        <w:spacing w:line="280" w:lineRule="exact"/>
        <w:rPr>
          <w:lang w:val="en-CA"/>
        </w:rPr>
      </w:pPr>
      <w:r w:rsidRPr="00AB5ACC">
        <w:rPr>
          <w:lang w:val="en-CA"/>
        </w:rPr>
        <w:t xml:space="preserve">The relevant provisions of the </w:t>
      </w:r>
      <w:r w:rsidRPr="00AB5ACC">
        <w:rPr>
          <w:i/>
          <w:lang w:val="en-CA"/>
        </w:rPr>
        <w:t>Civil Protection Act</w:t>
      </w:r>
      <w:r w:rsidR="00EB4C5B" w:rsidRPr="008675A9">
        <w:rPr>
          <w:rStyle w:val="Appelnotedebasdep"/>
          <w:lang w:val="en-CA"/>
        </w:rPr>
        <w:footnoteReference w:id="40"/>
      </w:r>
      <w:r w:rsidR="00EB4C5B" w:rsidRPr="00AB5ACC">
        <w:rPr>
          <w:lang w:val="en-CA"/>
        </w:rPr>
        <w:t xml:space="preserve"> </w:t>
      </w:r>
      <w:r w:rsidRPr="00AB5ACC">
        <w:rPr>
          <w:lang w:val="en-CA"/>
        </w:rPr>
        <w:t>are drafted as follows:</w:t>
      </w:r>
    </w:p>
    <w:tbl>
      <w:tblPr>
        <w:tblW w:w="0" w:type="auto"/>
        <w:tblCellMar>
          <w:left w:w="70" w:type="dxa"/>
          <w:right w:w="70" w:type="dxa"/>
        </w:tblCellMar>
        <w:tblLook w:val="0000" w:firstRow="0" w:lastRow="0" w:firstColumn="0" w:lastColumn="0" w:noHBand="0" w:noVBand="0"/>
      </w:tblPr>
      <w:tblGrid>
        <w:gridCol w:w="4687"/>
        <w:gridCol w:w="4675"/>
      </w:tblGrid>
      <w:tr w:rsidR="00720AD1" w:rsidRPr="008675A9" w14:paraId="45B64A9C" w14:textId="77777777" w:rsidTr="00147735">
        <w:tc>
          <w:tcPr>
            <w:tcW w:w="4687" w:type="dxa"/>
          </w:tcPr>
          <w:p w14:paraId="24BA17FD" w14:textId="1A0E7DE4" w:rsidR="001516A0" w:rsidRPr="008675A9" w:rsidRDefault="00BD41E7" w:rsidP="00921056">
            <w:pPr>
              <w:pStyle w:val="Tableaugauchefranais"/>
              <w:jc w:val="both"/>
              <w:rPr>
                <w:lang w:val="en-CA"/>
              </w:rPr>
            </w:pPr>
            <w:r w:rsidRPr="008675A9">
              <w:rPr>
                <w:b/>
                <w:lang w:val="en-CA"/>
              </w:rPr>
              <w:t>88</w:t>
            </w:r>
            <w:r w:rsidRPr="008675A9">
              <w:rPr>
                <w:lang w:val="en-CA"/>
              </w:rPr>
              <w:t>. </w:t>
            </w:r>
            <w:r w:rsidR="00EC75BA" w:rsidRPr="008675A9">
              <w:rPr>
                <w:lang w:val="en-CA"/>
              </w:rPr>
              <w:t>The Government may declare a national state of emergency in all or part of the territory of Québec where, in an actual or imminent major disaster situation or other event that interferes with the life of the community to the point of compromising human safety, immediate action is required to protect human life, health or physical integrity which, in the Government’s opinion, cannot be taken within the scope of the normal operating rules of the civil protection authorities or government departments and government bodies concerned or within the scope of Québec’s national civil protection plan</w:t>
            </w:r>
            <w:r w:rsidRPr="008675A9">
              <w:rPr>
                <w:lang w:val="en-CA"/>
              </w:rPr>
              <w:t>.</w:t>
            </w:r>
          </w:p>
          <w:p w14:paraId="1237122A" w14:textId="5E876364" w:rsidR="001516A0" w:rsidRPr="008675A9" w:rsidRDefault="00EB60E0" w:rsidP="00921056">
            <w:pPr>
              <w:pStyle w:val="Tableaugauchefranais"/>
              <w:jc w:val="both"/>
              <w:rPr>
                <w:lang w:val="en-CA"/>
              </w:rPr>
            </w:pPr>
          </w:p>
          <w:p w14:paraId="0AFCE958" w14:textId="77777777" w:rsidR="00EC75BA" w:rsidRPr="008675A9" w:rsidRDefault="00EC75BA" w:rsidP="00921056">
            <w:pPr>
              <w:pStyle w:val="Tableaugauchefranais"/>
              <w:jc w:val="both"/>
              <w:rPr>
                <w:lang w:val="en-CA"/>
              </w:rPr>
            </w:pPr>
          </w:p>
          <w:p w14:paraId="65C09326" w14:textId="58EC1B06" w:rsidR="001516A0" w:rsidRPr="008675A9" w:rsidRDefault="00BD41E7" w:rsidP="00921056">
            <w:pPr>
              <w:pStyle w:val="Tableaugauchefranais"/>
              <w:jc w:val="both"/>
              <w:rPr>
                <w:lang w:val="en-CA"/>
              </w:rPr>
            </w:pPr>
            <w:r w:rsidRPr="008675A9">
              <w:rPr>
                <w:b/>
                <w:lang w:val="en-CA"/>
              </w:rPr>
              <w:t>89</w:t>
            </w:r>
            <w:r w:rsidRPr="008675A9">
              <w:rPr>
                <w:lang w:val="en-CA"/>
              </w:rPr>
              <w:t>. </w:t>
            </w:r>
            <w:r w:rsidR="00EC75BA" w:rsidRPr="008675A9">
              <w:rPr>
                <w:lang w:val="en-CA"/>
              </w:rPr>
              <w:t xml:space="preserve">The state of emergency declared by the Government is </w:t>
            </w:r>
            <w:r w:rsidR="00EC75BA" w:rsidRPr="008675A9">
              <w:rPr>
                <w:u w:val="single"/>
                <w:lang w:val="en-CA"/>
              </w:rPr>
              <w:t xml:space="preserve">effective for a maximum period of 10 days at the expiry of which it may be renewed, as </w:t>
            </w:r>
            <w:r w:rsidR="00EC75BA" w:rsidRPr="008675A9">
              <w:rPr>
                <w:u w:val="single"/>
                <w:lang w:val="en-CA"/>
              </w:rPr>
              <w:lastRenderedPageBreak/>
              <w:t>many times as necessary, for a maximum period of 10 days or, with the consent of the National Assembly, for a maximum period of 30 days</w:t>
            </w:r>
            <w:r w:rsidRPr="008675A9">
              <w:rPr>
                <w:lang w:val="en-CA"/>
              </w:rPr>
              <w:t>.</w:t>
            </w:r>
          </w:p>
          <w:p w14:paraId="27D9F3FF" w14:textId="77777777" w:rsidR="009C05F4" w:rsidRPr="008675A9" w:rsidRDefault="00EB60E0" w:rsidP="00921056">
            <w:pPr>
              <w:pStyle w:val="Tableaugauchefranais"/>
              <w:jc w:val="both"/>
              <w:rPr>
                <w:lang w:val="en-CA"/>
              </w:rPr>
            </w:pPr>
          </w:p>
          <w:p w14:paraId="6F723348" w14:textId="5DCBF32D" w:rsidR="001516A0" w:rsidRPr="008675A9" w:rsidRDefault="00EC75BA" w:rsidP="00921056">
            <w:pPr>
              <w:pStyle w:val="Tableaugauchefranais"/>
              <w:jc w:val="both"/>
              <w:rPr>
                <w:lang w:val="en-CA"/>
              </w:rPr>
            </w:pPr>
            <w:r w:rsidRPr="008675A9">
              <w:rPr>
                <w:lang w:val="en-CA"/>
              </w:rPr>
              <w:t xml:space="preserve">If the Government is unable to meet immediately, the Minister may declare a state of emergency for a maximum period of 48 hours. </w:t>
            </w:r>
          </w:p>
          <w:p w14:paraId="0B265376" w14:textId="77777777" w:rsidR="00921056" w:rsidRPr="008675A9" w:rsidRDefault="00EB60E0" w:rsidP="00921056">
            <w:pPr>
              <w:pStyle w:val="Tableaugauchefranais"/>
              <w:jc w:val="both"/>
              <w:rPr>
                <w:lang w:val="en-CA"/>
              </w:rPr>
            </w:pPr>
          </w:p>
          <w:p w14:paraId="585C848C" w14:textId="065007C2" w:rsidR="001516A0" w:rsidRPr="008675A9" w:rsidRDefault="00930659" w:rsidP="00921056">
            <w:pPr>
              <w:pStyle w:val="Tableaugauchefranais"/>
              <w:jc w:val="both"/>
              <w:rPr>
                <w:lang w:val="en-CA"/>
              </w:rPr>
            </w:pPr>
            <w:r w:rsidRPr="008675A9">
              <w:rPr>
                <w:lang w:val="en-CA"/>
              </w:rPr>
              <w:t>…</w:t>
            </w:r>
          </w:p>
          <w:p w14:paraId="7055CEEA" w14:textId="77777777" w:rsidR="001516A0" w:rsidRPr="008675A9" w:rsidRDefault="00EB60E0" w:rsidP="00921056">
            <w:pPr>
              <w:pStyle w:val="Tableaugauchefranais"/>
              <w:jc w:val="both"/>
              <w:rPr>
                <w:lang w:val="en-CA"/>
              </w:rPr>
            </w:pPr>
          </w:p>
          <w:p w14:paraId="26EFE1F8" w14:textId="12B9627D" w:rsidR="001516A0" w:rsidRPr="008675A9" w:rsidRDefault="00BD41E7" w:rsidP="00921056">
            <w:pPr>
              <w:pStyle w:val="Tableaugauchefranais"/>
              <w:jc w:val="both"/>
              <w:rPr>
                <w:u w:val="single"/>
                <w:lang w:val="en-CA"/>
              </w:rPr>
            </w:pPr>
            <w:r w:rsidRPr="008675A9">
              <w:rPr>
                <w:b/>
                <w:lang w:val="en-CA"/>
              </w:rPr>
              <w:t>92</w:t>
            </w:r>
            <w:r w:rsidRPr="008675A9">
              <w:rPr>
                <w:lang w:val="en-CA"/>
              </w:rPr>
              <w:t>. </w:t>
            </w:r>
            <w:r w:rsidR="00EC75BA" w:rsidRPr="008675A9">
              <w:rPr>
                <w:rFonts w:cs="Arial"/>
                <w:szCs w:val="22"/>
                <w:lang w:val="en-CA" w:eastAsia="fr-CA"/>
              </w:rPr>
              <w:t xml:space="preserve">The National Assembly may, in accordance with its rules of procedure, </w:t>
            </w:r>
            <w:r w:rsidR="00EC75BA" w:rsidRPr="008675A9">
              <w:rPr>
                <w:rFonts w:cs="Arial"/>
                <w:szCs w:val="22"/>
                <w:u w:val="single"/>
                <w:lang w:val="en-CA" w:eastAsia="fr-CA"/>
              </w:rPr>
              <w:t>vote to disallow the declaration of a state of emergency or any renewal thereof</w:t>
            </w:r>
            <w:r w:rsidR="00EC75BA" w:rsidRPr="008675A9">
              <w:rPr>
                <w:rFonts w:cs="Arial"/>
                <w:szCs w:val="22"/>
                <w:lang w:val="en-CA"/>
              </w:rPr>
              <w:t>.</w:t>
            </w:r>
            <w:r w:rsidR="00EC75BA" w:rsidRPr="00AB5ACC">
              <w:rPr>
                <w:lang w:val="en-CA"/>
              </w:rPr>
              <w:t xml:space="preserve"> </w:t>
            </w:r>
          </w:p>
          <w:p w14:paraId="5BBC9D6A" w14:textId="77777777" w:rsidR="00921056" w:rsidRPr="008675A9" w:rsidRDefault="00EB60E0" w:rsidP="00921056">
            <w:pPr>
              <w:pStyle w:val="Tableaugauchefranais"/>
              <w:jc w:val="both"/>
              <w:rPr>
                <w:u w:val="single"/>
                <w:lang w:val="en-CA"/>
              </w:rPr>
            </w:pPr>
          </w:p>
          <w:p w14:paraId="6DEFDFCB" w14:textId="66BB64D0" w:rsidR="001516A0" w:rsidRPr="00AB5ACC" w:rsidRDefault="00EC75BA" w:rsidP="00921056">
            <w:pPr>
              <w:pStyle w:val="Tableaugauchefranais"/>
              <w:jc w:val="both"/>
              <w:rPr>
                <w:u w:val="single"/>
                <w:lang w:val="en-CA"/>
              </w:rPr>
            </w:pPr>
            <w:r w:rsidRPr="00AB5ACC">
              <w:rPr>
                <w:rFonts w:cs="Arial"/>
                <w:szCs w:val="22"/>
                <w:u w:val="single"/>
                <w:lang w:val="en-CA" w:eastAsia="fr-CA"/>
              </w:rPr>
              <w:t>The disallowance takes effect on the day the motion is passed</w:t>
            </w:r>
            <w:r w:rsidR="00BD41E7" w:rsidRPr="00AB5ACC">
              <w:rPr>
                <w:lang w:val="en-CA"/>
              </w:rPr>
              <w:t>.</w:t>
            </w:r>
          </w:p>
          <w:p w14:paraId="26696B5B" w14:textId="77777777" w:rsidR="00D06DA4" w:rsidRPr="008675A9" w:rsidRDefault="00EB60E0" w:rsidP="00921056">
            <w:pPr>
              <w:pStyle w:val="Tableaugauchefranais"/>
              <w:jc w:val="both"/>
              <w:rPr>
                <w:u w:val="single"/>
                <w:lang w:val="en-CA"/>
              </w:rPr>
            </w:pPr>
          </w:p>
          <w:p w14:paraId="3548383C" w14:textId="0899FB5C" w:rsidR="001516A0" w:rsidRPr="008675A9" w:rsidRDefault="00EC75BA" w:rsidP="009C05F4">
            <w:pPr>
              <w:pStyle w:val="Tableaugauchefranais"/>
              <w:jc w:val="both"/>
              <w:rPr>
                <w:lang w:val="en-CA"/>
              </w:rPr>
            </w:pPr>
            <w:r w:rsidRPr="008675A9">
              <w:rPr>
                <w:rFonts w:cs="Arial"/>
                <w:szCs w:val="22"/>
                <w:lang w:val="en-CA" w:eastAsia="fr-CA"/>
              </w:rPr>
              <w:t xml:space="preserve">Notice of the disallowance shall be promptly published and disseminated by the Secretary General of the National Assembly by the most efficient means available to ensure that the authorities and population concerned are rapidly informed. </w:t>
            </w:r>
            <w:r w:rsidRPr="00AB5ACC">
              <w:rPr>
                <w:rFonts w:cs="Arial"/>
                <w:szCs w:val="22"/>
                <w:lang w:val="en-CA" w:eastAsia="fr-CA"/>
              </w:rPr>
              <w:t xml:space="preserve">It also shall be published by the Secretary General in the Gazette </w:t>
            </w:r>
            <w:proofErr w:type="spellStart"/>
            <w:r w:rsidRPr="00AB5ACC">
              <w:rPr>
                <w:rFonts w:cs="Arial"/>
                <w:szCs w:val="22"/>
                <w:lang w:val="en-CA" w:eastAsia="fr-CA"/>
              </w:rPr>
              <w:t>officielle</w:t>
            </w:r>
            <w:proofErr w:type="spellEnd"/>
            <w:r w:rsidRPr="00AB5ACC">
              <w:rPr>
                <w:rFonts w:cs="Arial"/>
                <w:szCs w:val="22"/>
                <w:lang w:val="en-CA" w:eastAsia="fr-CA"/>
              </w:rPr>
              <w:t xml:space="preserve"> du Québec</w:t>
            </w:r>
            <w:r w:rsidR="00BD41E7" w:rsidRPr="00AB5ACC">
              <w:rPr>
                <w:lang w:val="en-CA"/>
              </w:rPr>
              <w:t>.</w:t>
            </w:r>
          </w:p>
        </w:tc>
        <w:tc>
          <w:tcPr>
            <w:tcW w:w="4675" w:type="dxa"/>
          </w:tcPr>
          <w:p w14:paraId="1B2A9E82" w14:textId="743CE0C2" w:rsidR="001516A0" w:rsidRPr="00BF1FCA" w:rsidRDefault="00BD41E7" w:rsidP="00D06DA4">
            <w:pPr>
              <w:pStyle w:val="Tableaudroiteanglais"/>
              <w:rPr>
                <w:lang w:val="fr-CA"/>
              </w:rPr>
            </w:pPr>
            <w:r w:rsidRPr="00152D35">
              <w:rPr>
                <w:b/>
                <w:lang w:val="fr-CA"/>
              </w:rPr>
              <w:lastRenderedPageBreak/>
              <w:t>88</w:t>
            </w:r>
            <w:r w:rsidRPr="00152D35">
              <w:rPr>
                <w:lang w:val="fr-CA"/>
              </w:rPr>
              <w:t>. </w:t>
            </w:r>
            <w:r w:rsidR="00EC75BA" w:rsidRPr="00BF1FCA">
              <w:rPr>
                <w:lang w:val="fr-CA"/>
              </w:rPr>
              <w:t xml:space="preserve">Le gouvernement peut déclarer l’état d’urgence national, dans tout ou partie du territoire québécois, lorsqu’un sinistre majeur, réel ou imminent, ou un autre événement qui perturbe le fonctionnement de la communauté au point de compromettre la sécurité des personnes exige, pour protéger la vie, la santé ou l’intégrité des personnes, une action immédiate qu’il estime ne pas pouvoir se réaliser adéquatement dans le cadre des règles de fonctionnement habituelles des autorités responsables de la sécurité civile ou des ministères et organismes gouvernementaux concernés ou dans le cadre du plan national de sécurité civile. </w:t>
            </w:r>
          </w:p>
          <w:p w14:paraId="4D0F9693" w14:textId="77777777" w:rsidR="001516A0" w:rsidRPr="00BF1FCA" w:rsidRDefault="00EB60E0" w:rsidP="00D06DA4">
            <w:pPr>
              <w:pStyle w:val="Tableaudroiteanglais"/>
              <w:rPr>
                <w:lang w:val="fr-CA"/>
              </w:rPr>
            </w:pPr>
          </w:p>
          <w:p w14:paraId="6A106BD4" w14:textId="30475C60" w:rsidR="001516A0" w:rsidRPr="00BF1FCA" w:rsidRDefault="00BD41E7" w:rsidP="00D06DA4">
            <w:pPr>
              <w:pStyle w:val="Tableaudroiteanglais"/>
              <w:rPr>
                <w:u w:val="single"/>
                <w:lang w:val="fr-CA"/>
              </w:rPr>
            </w:pPr>
            <w:r w:rsidRPr="00BF1FCA">
              <w:rPr>
                <w:b/>
                <w:lang w:val="fr-CA"/>
              </w:rPr>
              <w:t>89</w:t>
            </w:r>
            <w:r w:rsidRPr="00BF1FCA">
              <w:rPr>
                <w:lang w:val="fr-CA"/>
              </w:rPr>
              <w:t>. </w:t>
            </w:r>
            <w:r w:rsidR="00EC75BA" w:rsidRPr="00BF1FCA">
              <w:rPr>
                <w:lang w:val="fr-CA"/>
              </w:rPr>
              <w:t xml:space="preserve">L’état d’urgence déclaré par le gouvernement vaut </w:t>
            </w:r>
            <w:r w:rsidR="00EC75BA" w:rsidRPr="001560E6">
              <w:rPr>
                <w:u w:val="single"/>
                <w:lang w:val="fr-CA"/>
              </w:rPr>
              <w:t xml:space="preserve">pour une période maximale de dix jours à l’expiration de laquelle il peut être renouvelé pour </w:t>
            </w:r>
            <w:r w:rsidR="00EC75BA" w:rsidRPr="001560E6">
              <w:rPr>
                <w:u w:val="single"/>
                <w:lang w:val="fr-CA"/>
              </w:rPr>
              <w:lastRenderedPageBreak/>
              <w:t>d’autres périodes maximales de dix jours ou, avec l’assentiment de l’Assemblée nationale, pour des périodes maximales de 30 jours</w:t>
            </w:r>
            <w:r w:rsidRPr="00BF1FCA">
              <w:rPr>
                <w:lang w:val="fr-CA"/>
              </w:rPr>
              <w:t>.</w:t>
            </w:r>
          </w:p>
          <w:p w14:paraId="13058979" w14:textId="77777777" w:rsidR="009C05F4" w:rsidRPr="00BF1FCA" w:rsidRDefault="00EB60E0" w:rsidP="00D06DA4">
            <w:pPr>
              <w:pStyle w:val="Tableaudroiteanglais"/>
              <w:rPr>
                <w:u w:val="single"/>
                <w:lang w:val="fr-CA"/>
              </w:rPr>
            </w:pPr>
          </w:p>
          <w:p w14:paraId="5677982F" w14:textId="5BA4D6A9" w:rsidR="001516A0" w:rsidRPr="00BF1FCA" w:rsidRDefault="00EC75BA" w:rsidP="00D06DA4">
            <w:pPr>
              <w:pStyle w:val="Tableaudroiteanglais"/>
              <w:rPr>
                <w:lang w:val="fr-CA"/>
              </w:rPr>
            </w:pPr>
            <w:r w:rsidRPr="00BF1FCA">
              <w:rPr>
                <w:lang w:val="fr-CA"/>
              </w:rPr>
              <w:t xml:space="preserve">Si le gouvernement ne peut se réunir en temps utile, le ministre peut déclarer l’état d’urgence pour une période maximale de 48 heures. </w:t>
            </w:r>
          </w:p>
          <w:p w14:paraId="451629E0" w14:textId="77777777" w:rsidR="00921056" w:rsidRPr="00BF1FCA" w:rsidRDefault="00EB60E0" w:rsidP="00D06DA4">
            <w:pPr>
              <w:pStyle w:val="Tableaudroiteanglais"/>
              <w:rPr>
                <w:lang w:val="fr-CA"/>
              </w:rPr>
            </w:pPr>
          </w:p>
          <w:p w14:paraId="7E51584E" w14:textId="5A701935" w:rsidR="001516A0" w:rsidRPr="00BF1FCA" w:rsidRDefault="00BD41E7" w:rsidP="00D06DA4">
            <w:pPr>
              <w:pStyle w:val="Tableaudroiteanglais"/>
              <w:rPr>
                <w:lang w:val="fr-CA"/>
              </w:rPr>
            </w:pPr>
            <w:r w:rsidRPr="00BF1FCA">
              <w:rPr>
                <w:lang w:val="fr-CA"/>
              </w:rPr>
              <w:t>…</w:t>
            </w:r>
          </w:p>
          <w:p w14:paraId="11B591B0" w14:textId="77777777" w:rsidR="001516A0" w:rsidRPr="00BF1FCA" w:rsidRDefault="00EB60E0" w:rsidP="00D06DA4">
            <w:pPr>
              <w:pStyle w:val="Tableaudroiteanglais"/>
              <w:rPr>
                <w:lang w:val="fr-CA"/>
              </w:rPr>
            </w:pPr>
          </w:p>
          <w:p w14:paraId="7DA2CF65" w14:textId="23BCA084" w:rsidR="001516A0" w:rsidRPr="00BF1FCA" w:rsidRDefault="00BD41E7" w:rsidP="00D06DA4">
            <w:pPr>
              <w:pStyle w:val="Tableaudroiteanglais"/>
              <w:rPr>
                <w:rFonts w:cs="Arial"/>
                <w:szCs w:val="22"/>
                <w:u w:val="single"/>
                <w:lang w:val="fr-CA" w:eastAsia="fr-CA"/>
              </w:rPr>
            </w:pPr>
            <w:r w:rsidRPr="00BF1FCA">
              <w:rPr>
                <w:rFonts w:cs="Arial"/>
                <w:b/>
                <w:szCs w:val="22"/>
                <w:lang w:val="fr-CA" w:eastAsia="fr-CA"/>
              </w:rPr>
              <w:t>92</w:t>
            </w:r>
            <w:r w:rsidRPr="00BF1FCA">
              <w:rPr>
                <w:rFonts w:cs="Arial"/>
                <w:szCs w:val="22"/>
                <w:lang w:val="fr-CA" w:eastAsia="fr-CA"/>
              </w:rPr>
              <w:t>. </w:t>
            </w:r>
            <w:r w:rsidR="00EC75BA" w:rsidRPr="00BF1FCA">
              <w:rPr>
                <w:lang w:val="fr-CA"/>
              </w:rPr>
              <w:t xml:space="preserve">L’Assemblée nationale peut, conformément à ses règles de procédure, </w:t>
            </w:r>
            <w:r w:rsidR="00EC75BA" w:rsidRPr="00BF1FCA">
              <w:rPr>
                <w:u w:val="single"/>
                <w:lang w:val="fr-CA"/>
              </w:rPr>
              <w:t>désavouer par un vote la déclaration d’état d’urgence et tout renouvellement</w:t>
            </w:r>
            <w:r w:rsidRPr="00BF1FCA">
              <w:rPr>
                <w:rFonts w:cs="Arial"/>
                <w:szCs w:val="22"/>
                <w:lang w:val="fr-CA" w:eastAsia="fr-CA"/>
              </w:rPr>
              <w:t>.</w:t>
            </w:r>
          </w:p>
          <w:p w14:paraId="69FB5A50" w14:textId="77777777" w:rsidR="00921056" w:rsidRPr="00BF1FCA" w:rsidRDefault="00EB60E0" w:rsidP="00D06DA4">
            <w:pPr>
              <w:pStyle w:val="Tableaudroiteanglais"/>
              <w:rPr>
                <w:rFonts w:cs="Arial"/>
                <w:szCs w:val="22"/>
                <w:u w:val="single"/>
                <w:lang w:val="fr-CA" w:eastAsia="fr-CA"/>
              </w:rPr>
            </w:pPr>
          </w:p>
          <w:p w14:paraId="6AC49C61" w14:textId="150CCE6B" w:rsidR="001516A0" w:rsidRPr="00BF1FCA" w:rsidRDefault="00EC75BA" w:rsidP="00D06DA4">
            <w:pPr>
              <w:pStyle w:val="Tableaudroiteanglais"/>
              <w:rPr>
                <w:rFonts w:cs="Arial"/>
                <w:szCs w:val="22"/>
                <w:u w:val="single"/>
                <w:lang w:val="fr-CA" w:eastAsia="fr-CA"/>
              </w:rPr>
            </w:pPr>
            <w:r w:rsidRPr="00BF1FCA">
              <w:rPr>
                <w:u w:val="single"/>
                <w:lang w:val="fr-CA"/>
              </w:rPr>
              <w:t>Le désaveu prend effet le jour de l’adoption de la motion</w:t>
            </w:r>
            <w:r w:rsidR="00BD41E7" w:rsidRPr="00BF1FCA">
              <w:rPr>
                <w:rFonts w:cs="Arial"/>
                <w:szCs w:val="22"/>
                <w:lang w:val="fr-CA" w:eastAsia="fr-CA"/>
              </w:rPr>
              <w:t>.</w:t>
            </w:r>
          </w:p>
          <w:p w14:paraId="13B035F8" w14:textId="77777777" w:rsidR="00921056" w:rsidRPr="00BF1FCA" w:rsidRDefault="00EB60E0" w:rsidP="00D06DA4">
            <w:pPr>
              <w:pStyle w:val="Tableaudroiteanglais"/>
              <w:rPr>
                <w:rFonts w:cs="Arial"/>
                <w:szCs w:val="22"/>
                <w:u w:val="single"/>
                <w:lang w:val="fr-CA" w:eastAsia="fr-CA"/>
              </w:rPr>
            </w:pPr>
          </w:p>
          <w:p w14:paraId="6A1320D1" w14:textId="00373F7B" w:rsidR="001516A0" w:rsidRPr="00152D35" w:rsidRDefault="00EC75BA" w:rsidP="00D06DA4">
            <w:pPr>
              <w:pStyle w:val="Tableaudroiteanglais"/>
              <w:rPr>
                <w:rFonts w:cs="Arial"/>
                <w:szCs w:val="22"/>
                <w:lang w:val="fr-CA" w:eastAsia="fr-CA"/>
              </w:rPr>
            </w:pPr>
            <w:r w:rsidRPr="00BF1FCA">
              <w:rPr>
                <w:lang w:val="fr-CA"/>
              </w:rPr>
              <w:t>Le secrétaire général de l’Assemblée nationale doit promptement publier et diffuser un avis du désaveu avec les meilleurs moyens disponibles pour informer rapidement et efficacement les autorités et les populations concernées. Il doit, de plus, faire publier l’avis à la Gazette officielle du Québec</w:t>
            </w:r>
            <w:r w:rsidR="00BD41E7" w:rsidRPr="00152D35">
              <w:rPr>
                <w:rFonts w:cs="Arial"/>
                <w:szCs w:val="22"/>
                <w:lang w:val="fr-CA" w:eastAsia="fr-CA"/>
              </w:rPr>
              <w:t>.</w:t>
            </w:r>
          </w:p>
          <w:p w14:paraId="7ADED4D4" w14:textId="77777777" w:rsidR="00921056" w:rsidRPr="00152D35" w:rsidRDefault="00EB60E0" w:rsidP="00D06DA4">
            <w:pPr>
              <w:pStyle w:val="Tableaudroiteanglais"/>
              <w:rPr>
                <w:rFonts w:cs="Arial"/>
                <w:szCs w:val="22"/>
                <w:lang w:val="fr-CA" w:eastAsia="fr-CA"/>
              </w:rPr>
            </w:pPr>
          </w:p>
          <w:p w14:paraId="5197C03A" w14:textId="0EBEA867" w:rsidR="001516A0" w:rsidRPr="004F7A04" w:rsidRDefault="004F7A04" w:rsidP="00D06DA4">
            <w:pPr>
              <w:pStyle w:val="Tableaudroiteanglais"/>
              <w:jc w:val="right"/>
            </w:pPr>
            <w:r w:rsidRPr="004F7A04">
              <w:rPr>
                <w:rFonts w:cs="Arial"/>
              </w:rPr>
              <w:t>[Emphasis added]</w:t>
            </w:r>
          </w:p>
        </w:tc>
      </w:tr>
    </w:tbl>
    <w:p w14:paraId="7D591ED5" w14:textId="3439A0BA" w:rsidR="001516A0" w:rsidRPr="008675A9" w:rsidRDefault="00E86651" w:rsidP="00043A62">
      <w:pPr>
        <w:pStyle w:val="Paragraphe"/>
        <w:spacing w:line="280" w:lineRule="exact"/>
        <w:rPr>
          <w:lang w:val="en-CA"/>
        </w:rPr>
      </w:pPr>
      <w:r w:rsidRPr="008675A9">
        <w:rPr>
          <w:lang w:val="en-CA"/>
        </w:rPr>
        <w:lastRenderedPageBreak/>
        <w:t xml:space="preserve">Since the </w:t>
      </w:r>
      <w:r w:rsidRPr="008675A9">
        <w:rPr>
          <w:i/>
          <w:lang w:val="en-CA"/>
        </w:rPr>
        <w:t>PHA</w:t>
      </w:r>
      <w:r w:rsidRPr="008675A9">
        <w:rPr>
          <w:lang w:val="en-CA"/>
        </w:rPr>
        <w:t xml:space="preserve"> was enacted without being </w:t>
      </w:r>
      <w:r w:rsidR="00FC127F" w:rsidRPr="008675A9">
        <w:rPr>
          <w:lang w:val="en-CA"/>
        </w:rPr>
        <w:t>debated</w:t>
      </w:r>
      <w:r w:rsidRPr="008675A9">
        <w:rPr>
          <w:lang w:val="en-CA"/>
        </w:rPr>
        <w:t xml:space="preserve">, the parties agreed to refer to the discussions held in the parliamentary committee and in </w:t>
      </w:r>
      <w:r w:rsidR="00FC127F" w:rsidRPr="008675A9">
        <w:rPr>
          <w:lang w:val="en-CA"/>
        </w:rPr>
        <w:t xml:space="preserve">the </w:t>
      </w:r>
      <w:r w:rsidRPr="008675A9">
        <w:rPr>
          <w:lang w:val="en-CA"/>
        </w:rPr>
        <w:t xml:space="preserve">house </w:t>
      </w:r>
      <w:r w:rsidR="0051703D">
        <w:rPr>
          <w:lang w:val="en-CA"/>
        </w:rPr>
        <w:t>when</w:t>
      </w:r>
      <w:r w:rsidRPr="008675A9">
        <w:rPr>
          <w:lang w:val="en-CA"/>
        </w:rPr>
        <w:t xml:space="preserve"> the </w:t>
      </w:r>
      <w:r w:rsidRPr="008675A9">
        <w:rPr>
          <w:i/>
          <w:lang w:val="en-CA"/>
        </w:rPr>
        <w:t>Civil Protection Act</w:t>
      </w:r>
      <w:r w:rsidR="0051703D">
        <w:rPr>
          <w:iCs/>
          <w:lang w:val="en-CA"/>
        </w:rPr>
        <w:t xml:space="preserve"> was enacted</w:t>
      </w:r>
      <w:r w:rsidRPr="008675A9">
        <w:rPr>
          <w:lang w:val="en-CA"/>
        </w:rPr>
        <w:t xml:space="preserve"> since both statutes contain similar provisions concerning the renewal of an emergency.</w:t>
      </w:r>
    </w:p>
    <w:p w14:paraId="5F00BB40" w14:textId="56D96F60" w:rsidR="001516A0" w:rsidRPr="008675A9" w:rsidRDefault="00123EB4" w:rsidP="00043A62">
      <w:pPr>
        <w:pStyle w:val="Paragraphe"/>
        <w:spacing w:line="280" w:lineRule="exact"/>
        <w:rPr>
          <w:lang w:val="en-CA"/>
        </w:rPr>
      </w:pPr>
      <w:r>
        <w:rPr>
          <w:lang w:val="en-CA"/>
        </w:rPr>
        <w:t>A</w:t>
      </w:r>
      <w:r w:rsidRPr="008675A9">
        <w:rPr>
          <w:lang w:val="en-CA"/>
        </w:rPr>
        <w:t>s the Court recently recalled,</w:t>
      </w:r>
      <w:r w:rsidRPr="008675A9">
        <w:rPr>
          <w:rStyle w:val="Appelnotedebasdep"/>
          <w:lang w:val="en-CA"/>
        </w:rPr>
        <w:footnoteReference w:id="41"/>
      </w:r>
      <w:r w:rsidRPr="008675A9">
        <w:rPr>
          <w:lang w:val="en-CA"/>
        </w:rPr>
        <w:t xml:space="preserve"> </w:t>
      </w:r>
      <w:r>
        <w:rPr>
          <w:lang w:val="en-CA"/>
        </w:rPr>
        <w:t>i</w:t>
      </w:r>
      <w:r w:rsidR="00E86651" w:rsidRPr="008675A9">
        <w:rPr>
          <w:lang w:val="en-CA"/>
        </w:rPr>
        <w:t xml:space="preserve">t is often useful to examine parliamentary proceedings, which supplement the usual </w:t>
      </w:r>
      <w:r w:rsidR="00FC127F" w:rsidRPr="008675A9">
        <w:rPr>
          <w:lang w:val="en-CA"/>
        </w:rPr>
        <w:t>principles</w:t>
      </w:r>
      <w:r w:rsidR="00E86651" w:rsidRPr="008675A9">
        <w:rPr>
          <w:lang w:val="en-CA"/>
        </w:rPr>
        <w:t xml:space="preserve"> of interpretation, to properly </w:t>
      </w:r>
      <w:r w:rsidR="00E86651" w:rsidRPr="008675A9">
        <w:rPr>
          <w:lang w:val="en-CA"/>
        </w:rPr>
        <w:lastRenderedPageBreak/>
        <w:t>understand the context of a law</w:t>
      </w:r>
      <w:r w:rsidR="0051703D">
        <w:rPr>
          <w:lang w:val="en-CA"/>
        </w:rPr>
        <w:t>’s enactment</w:t>
      </w:r>
      <w:r w:rsidR="00E86651" w:rsidRPr="008675A9">
        <w:rPr>
          <w:lang w:val="en-CA"/>
        </w:rPr>
        <w:t>.</w:t>
      </w:r>
      <w:r w:rsidR="00BD41E7" w:rsidRPr="008675A9">
        <w:rPr>
          <w:lang w:val="en-CA"/>
        </w:rPr>
        <w:t xml:space="preserve"> </w:t>
      </w:r>
      <w:r w:rsidR="00E86651" w:rsidRPr="00AB5ACC">
        <w:rPr>
          <w:lang w:val="en-CA"/>
        </w:rPr>
        <w:t xml:space="preserve">In this case, the discussions did not </w:t>
      </w:r>
      <w:r w:rsidR="00A675C6">
        <w:rPr>
          <w:lang w:val="en-CA"/>
        </w:rPr>
        <w:t>focus on</w:t>
      </w:r>
      <w:r w:rsidR="00E86651" w:rsidRPr="00AB5ACC">
        <w:rPr>
          <w:lang w:val="en-CA"/>
        </w:rPr>
        <w:t xml:space="preserve"> the conditions for the renewal of the emergency, but rather </w:t>
      </w:r>
      <w:r w:rsidR="00D55657">
        <w:rPr>
          <w:lang w:val="en-CA"/>
        </w:rPr>
        <w:t>on</w:t>
      </w:r>
      <w:r w:rsidR="00D55657" w:rsidRPr="00AB5ACC">
        <w:rPr>
          <w:lang w:val="en-CA"/>
        </w:rPr>
        <w:t xml:space="preserve"> </w:t>
      </w:r>
      <w:r w:rsidR="00E86651" w:rsidRPr="00AB5ACC">
        <w:rPr>
          <w:lang w:val="en-CA"/>
        </w:rPr>
        <w:t xml:space="preserve">the </w:t>
      </w:r>
      <w:r w:rsidR="00E86651" w:rsidRPr="008675A9">
        <w:rPr>
          <w:lang w:val="en-CA"/>
        </w:rPr>
        <w:t>National Assembly</w:t>
      </w:r>
      <w:r w:rsidR="00FC127F" w:rsidRPr="008675A9">
        <w:rPr>
          <w:lang w:val="en-CA"/>
        </w:rPr>
        <w:t>’</w:t>
      </w:r>
      <w:r w:rsidR="00E86651" w:rsidRPr="008675A9">
        <w:rPr>
          <w:lang w:val="en-CA"/>
        </w:rPr>
        <w:t xml:space="preserve">s </w:t>
      </w:r>
      <w:r w:rsidR="00E86651" w:rsidRPr="008675A9">
        <w:rPr>
          <w:i/>
          <w:lang w:val="en-CA"/>
        </w:rPr>
        <w:t>a posteriori</w:t>
      </w:r>
      <w:r w:rsidR="00E86651" w:rsidRPr="008675A9">
        <w:rPr>
          <w:lang w:val="en-CA"/>
        </w:rPr>
        <w:t xml:space="preserve"> power </w:t>
      </w:r>
      <w:r>
        <w:rPr>
          <w:lang w:val="en-CA"/>
        </w:rPr>
        <w:t>to disallow</w:t>
      </w:r>
      <w:r w:rsidR="00E86651" w:rsidRPr="008675A9">
        <w:rPr>
          <w:lang w:val="en-CA"/>
        </w:rPr>
        <w:t>.</w:t>
      </w:r>
      <w:r w:rsidR="00BD41E7" w:rsidRPr="008675A9">
        <w:rPr>
          <w:lang w:val="en-CA"/>
        </w:rPr>
        <w:t xml:space="preserve"> </w:t>
      </w:r>
      <w:r w:rsidR="00E86651" w:rsidRPr="008675A9">
        <w:rPr>
          <w:lang w:val="en-CA"/>
        </w:rPr>
        <w:t>When the Committee on Institutions studied Bill 173 (</w:t>
      </w:r>
      <w:r w:rsidR="00E86651" w:rsidRPr="008675A9">
        <w:rPr>
          <w:i/>
          <w:iCs/>
          <w:lang w:val="en-CA"/>
        </w:rPr>
        <w:t>Civil Protection Act</w:t>
      </w:r>
      <w:r w:rsidR="00E86651" w:rsidRPr="008675A9">
        <w:rPr>
          <w:lang w:val="en-CA"/>
        </w:rPr>
        <w:t>)</w:t>
      </w:r>
      <w:r w:rsidR="00D16C95">
        <w:rPr>
          <w:lang w:val="en-CA"/>
        </w:rPr>
        <w:t>,</w:t>
      </w:r>
      <w:r w:rsidR="00E86651" w:rsidRPr="008675A9">
        <w:rPr>
          <w:lang w:val="en-CA"/>
        </w:rPr>
        <w:t xml:space="preserve"> the Minister declared that the possibility </w:t>
      </w:r>
      <w:r w:rsidR="00D16C95">
        <w:rPr>
          <w:lang w:val="en-CA"/>
        </w:rPr>
        <w:t>to</w:t>
      </w:r>
      <w:r w:rsidR="00E86651" w:rsidRPr="008675A9">
        <w:rPr>
          <w:lang w:val="en-CA"/>
        </w:rPr>
        <w:t xml:space="preserve"> disallow </w:t>
      </w:r>
      <w:r w:rsidR="00D16C95">
        <w:rPr>
          <w:lang w:val="en-CA"/>
        </w:rPr>
        <w:t>a</w:t>
      </w:r>
      <w:r w:rsidR="00E86651" w:rsidRPr="008675A9">
        <w:rPr>
          <w:lang w:val="en-CA"/>
        </w:rPr>
        <w:t xml:space="preserve"> state of emergency was a constitutional </w:t>
      </w:r>
      <w:r w:rsidR="00FC127F" w:rsidRPr="008675A9">
        <w:rPr>
          <w:lang w:val="en-CA"/>
        </w:rPr>
        <w:t>protection</w:t>
      </w:r>
      <w:r w:rsidR="00E86651" w:rsidRPr="008675A9">
        <w:rPr>
          <w:lang w:val="en-CA"/>
        </w:rPr>
        <w:t xml:space="preserve"> </w:t>
      </w:r>
      <w:r w:rsidR="00D3429F">
        <w:rPr>
          <w:lang w:val="en-CA"/>
        </w:rPr>
        <w:t>of</w:t>
      </w:r>
      <w:r w:rsidR="00E86651" w:rsidRPr="008675A9">
        <w:rPr>
          <w:lang w:val="en-CA"/>
        </w:rPr>
        <w:t xml:space="preserve"> the Assembly</w:t>
      </w:r>
      <w:r w:rsidR="00FC127F" w:rsidRPr="008675A9">
        <w:rPr>
          <w:lang w:val="en-CA"/>
        </w:rPr>
        <w:t>’</w:t>
      </w:r>
      <w:r w:rsidR="00E86651" w:rsidRPr="008675A9">
        <w:rPr>
          <w:lang w:val="en-CA"/>
        </w:rPr>
        <w:t xml:space="preserve">s power over an executive </w:t>
      </w:r>
      <w:r w:rsidR="00577212">
        <w:rPr>
          <w:lang w:val="en-CA"/>
        </w:rPr>
        <w:t>that seeks</w:t>
      </w:r>
      <w:r w:rsidR="00E86651" w:rsidRPr="008675A9">
        <w:rPr>
          <w:lang w:val="en-CA"/>
        </w:rPr>
        <w:t xml:space="preserve"> to abuse a declaration of </w:t>
      </w:r>
      <w:r w:rsidR="00854E2B">
        <w:rPr>
          <w:lang w:val="en-CA"/>
        </w:rPr>
        <w:t xml:space="preserve">an </w:t>
      </w:r>
      <w:r w:rsidR="00E86651" w:rsidRPr="008675A9">
        <w:rPr>
          <w:lang w:val="en-CA"/>
        </w:rPr>
        <w:t>emergency:</w:t>
      </w:r>
    </w:p>
    <w:p w14:paraId="6458CEA7" w14:textId="310F182E" w:rsidR="00E86651" w:rsidRPr="008675A9" w:rsidRDefault="00E86651" w:rsidP="00E86651">
      <w:pPr>
        <w:pStyle w:val="Paragraphe"/>
        <w:numPr>
          <w:ilvl w:val="0"/>
          <w:numId w:val="0"/>
        </w:numPr>
        <w:spacing w:line="280" w:lineRule="exact"/>
        <w:ind w:left="720"/>
        <w:rPr>
          <w:lang w:val="en-CA"/>
        </w:rPr>
      </w:pPr>
      <w:r w:rsidRPr="008675A9">
        <w:rPr>
          <w:lang w:val="en-CA"/>
        </w:rPr>
        <w:t>[</w:t>
      </w:r>
      <w:r w:rsidRPr="008675A9">
        <w:rPr>
          <w:smallCaps/>
          <w:lang w:val="en-CA"/>
        </w:rPr>
        <w:t>translation</w:t>
      </w:r>
      <w:r w:rsidRPr="008675A9">
        <w:rPr>
          <w:lang w:val="en-CA"/>
        </w:rPr>
        <w:t>]</w:t>
      </w:r>
    </w:p>
    <w:p w14:paraId="3A1C796A" w14:textId="0AD1691B" w:rsidR="001516A0" w:rsidRPr="008675A9" w:rsidRDefault="00E86651" w:rsidP="00043A62">
      <w:pPr>
        <w:spacing w:before="120" w:after="120"/>
        <w:ind w:left="720" w:right="720"/>
        <w:jc w:val="both"/>
        <w:rPr>
          <w:kern w:val="24"/>
          <w:sz w:val="22"/>
          <w:lang w:val="en-CA"/>
        </w:rPr>
      </w:pPr>
      <w:r w:rsidRPr="008675A9">
        <w:rPr>
          <w:b/>
          <w:kern w:val="24"/>
          <w:sz w:val="22"/>
          <w:lang w:val="en-CA"/>
        </w:rPr>
        <w:t>President</w:t>
      </w:r>
      <w:r w:rsidR="00BD41E7" w:rsidRPr="008675A9">
        <w:rPr>
          <w:kern w:val="24"/>
          <w:sz w:val="22"/>
          <w:lang w:val="en-CA"/>
        </w:rPr>
        <w:t xml:space="preserve"> (M</w:t>
      </w:r>
      <w:r w:rsidRPr="008675A9">
        <w:rPr>
          <w:kern w:val="24"/>
          <w:sz w:val="22"/>
          <w:lang w:val="en-CA"/>
        </w:rPr>
        <w:t>r</w:t>
      </w:r>
      <w:r w:rsidR="00BD41E7" w:rsidRPr="008675A9">
        <w:rPr>
          <w:kern w:val="24"/>
          <w:sz w:val="22"/>
          <w:lang w:val="en-CA"/>
        </w:rPr>
        <w:t xml:space="preserve">. Bertrand, </w:t>
      </w:r>
      <w:proofErr w:type="spellStart"/>
      <w:r w:rsidR="00BD41E7" w:rsidRPr="008675A9">
        <w:rPr>
          <w:kern w:val="24"/>
          <w:sz w:val="22"/>
          <w:lang w:val="en-CA"/>
        </w:rPr>
        <w:t>Portneuf</w:t>
      </w:r>
      <w:proofErr w:type="spellEnd"/>
      <w:r w:rsidR="00BD41E7" w:rsidRPr="008675A9">
        <w:rPr>
          <w:kern w:val="24"/>
          <w:sz w:val="22"/>
          <w:lang w:val="en-CA"/>
        </w:rPr>
        <w:t xml:space="preserve">): </w:t>
      </w:r>
      <w:r w:rsidRPr="008675A9">
        <w:rPr>
          <w:kern w:val="24"/>
          <w:sz w:val="22"/>
          <w:lang w:val="en-CA"/>
        </w:rPr>
        <w:t xml:space="preserve">Very </w:t>
      </w:r>
      <w:r w:rsidR="00181D07">
        <w:rPr>
          <w:kern w:val="24"/>
          <w:sz w:val="22"/>
          <w:lang w:val="en-CA"/>
        </w:rPr>
        <w:t>well</w:t>
      </w:r>
      <w:r w:rsidR="00BD41E7" w:rsidRPr="008675A9">
        <w:rPr>
          <w:kern w:val="24"/>
          <w:sz w:val="22"/>
          <w:lang w:val="en-CA"/>
        </w:rPr>
        <w:t xml:space="preserve">. </w:t>
      </w:r>
      <w:r w:rsidRPr="008675A9">
        <w:rPr>
          <w:kern w:val="24"/>
          <w:sz w:val="22"/>
          <w:lang w:val="en-CA"/>
        </w:rPr>
        <w:t>So, Minister, would you like to do the presentation</w:t>
      </w:r>
      <w:r w:rsidR="00FF25C8">
        <w:rPr>
          <w:kern w:val="24"/>
          <w:sz w:val="22"/>
          <w:lang w:val="en-CA"/>
        </w:rPr>
        <w:t xml:space="preserve"> on 92 as amended</w:t>
      </w:r>
      <w:r w:rsidRPr="008675A9">
        <w:rPr>
          <w:kern w:val="24"/>
          <w:sz w:val="22"/>
          <w:lang w:val="en-CA"/>
        </w:rPr>
        <w:t>?</w:t>
      </w:r>
    </w:p>
    <w:p w14:paraId="716AB850" w14:textId="6A76E0B7" w:rsidR="001516A0" w:rsidRPr="008675A9" w:rsidRDefault="00E86651" w:rsidP="001516A0">
      <w:pPr>
        <w:spacing w:before="120" w:after="120"/>
        <w:ind w:left="720" w:right="720"/>
        <w:jc w:val="both"/>
        <w:rPr>
          <w:bCs/>
          <w:kern w:val="24"/>
          <w:sz w:val="22"/>
          <w:lang w:val="en-CA"/>
        </w:rPr>
      </w:pPr>
      <w:r w:rsidRPr="008675A9">
        <w:rPr>
          <w:b/>
          <w:kern w:val="24"/>
          <w:sz w:val="22"/>
          <w:lang w:val="en-CA"/>
        </w:rPr>
        <w:t xml:space="preserve">Mr. Dupuis: </w:t>
      </w:r>
      <w:r w:rsidRPr="008675A9">
        <w:rPr>
          <w:bCs/>
          <w:kern w:val="24"/>
          <w:sz w:val="22"/>
          <w:lang w:val="en-CA"/>
        </w:rPr>
        <w:t>I can perhaps make my...</w:t>
      </w:r>
    </w:p>
    <w:p w14:paraId="262DC8FA" w14:textId="5C9454E6" w:rsidR="001516A0" w:rsidRPr="008675A9" w:rsidRDefault="00E86651" w:rsidP="00043A62">
      <w:pPr>
        <w:spacing w:before="120" w:after="120"/>
        <w:ind w:left="720" w:right="720"/>
        <w:jc w:val="both"/>
        <w:rPr>
          <w:kern w:val="24"/>
          <w:sz w:val="22"/>
          <w:lang w:val="en-CA"/>
        </w:rPr>
      </w:pPr>
      <w:r w:rsidRPr="008675A9">
        <w:rPr>
          <w:b/>
          <w:bCs/>
          <w:kern w:val="24"/>
          <w:sz w:val="22"/>
          <w:lang w:val="en-CA"/>
        </w:rPr>
        <w:t xml:space="preserve">Mr. </w:t>
      </w:r>
      <w:proofErr w:type="spellStart"/>
      <w:r w:rsidRPr="008675A9">
        <w:rPr>
          <w:b/>
          <w:bCs/>
          <w:kern w:val="24"/>
          <w:sz w:val="22"/>
          <w:lang w:val="en-CA"/>
        </w:rPr>
        <w:t>Ménard</w:t>
      </w:r>
      <w:proofErr w:type="spellEnd"/>
      <w:r w:rsidRPr="008675A9">
        <w:rPr>
          <w:kern w:val="24"/>
          <w:sz w:val="22"/>
          <w:lang w:val="en-CA"/>
        </w:rPr>
        <w:t>: Al</w:t>
      </w:r>
      <w:r w:rsidR="00181D07">
        <w:rPr>
          <w:kern w:val="24"/>
          <w:sz w:val="22"/>
          <w:lang w:val="en-CA"/>
        </w:rPr>
        <w:t xml:space="preserve">l </w:t>
      </w:r>
      <w:r w:rsidRPr="008675A9">
        <w:rPr>
          <w:kern w:val="24"/>
          <w:sz w:val="22"/>
          <w:lang w:val="en-CA"/>
        </w:rPr>
        <w:t>right, its very simple — yes</w:t>
      </w:r>
      <w:r w:rsidR="00FC127F" w:rsidRPr="008675A9">
        <w:rPr>
          <w:kern w:val="24"/>
          <w:sz w:val="22"/>
          <w:lang w:val="en-CA"/>
        </w:rPr>
        <w:t>,</w:t>
      </w:r>
      <w:r w:rsidRPr="008675A9">
        <w:rPr>
          <w:kern w:val="24"/>
          <w:sz w:val="22"/>
          <w:lang w:val="en-CA"/>
        </w:rPr>
        <w:t xml:space="preserve"> it</w:t>
      </w:r>
      <w:r w:rsidR="00FC127F" w:rsidRPr="008675A9">
        <w:rPr>
          <w:kern w:val="24"/>
          <w:sz w:val="22"/>
          <w:lang w:val="en-CA"/>
        </w:rPr>
        <w:t>’</w:t>
      </w:r>
      <w:r w:rsidRPr="008675A9">
        <w:rPr>
          <w:kern w:val="24"/>
          <w:sz w:val="22"/>
          <w:lang w:val="en-CA"/>
        </w:rPr>
        <w:t xml:space="preserve">s clearly explained in the commentary: </w:t>
      </w:r>
      <w:r w:rsidR="00FF25C8">
        <w:rPr>
          <w:kern w:val="24"/>
          <w:sz w:val="22"/>
          <w:lang w:val="en-CA"/>
        </w:rPr>
        <w:t>This</w:t>
      </w:r>
      <w:r w:rsidRPr="008675A9">
        <w:rPr>
          <w:kern w:val="24"/>
          <w:sz w:val="22"/>
          <w:lang w:val="en-CA"/>
        </w:rPr>
        <w:t xml:space="preserve"> provision</w:t>
      </w:r>
      <w:r w:rsidR="00FF25C8">
        <w:rPr>
          <w:kern w:val="24"/>
          <w:sz w:val="22"/>
          <w:lang w:val="en-CA"/>
        </w:rPr>
        <w:t xml:space="preserve"> subjects</w:t>
      </w:r>
      <w:r w:rsidR="00FF25C8" w:rsidRPr="008675A9">
        <w:rPr>
          <w:kern w:val="24"/>
          <w:sz w:val="22"/>
          <w:lang w:val="en-CA"/>
        </w:rPr>
        <w:t xml:space="preserve"> </w:t>
      </w:r>
      <w:r w:rsidRPr="008675A9">
        <w:rPr>
          <w:kern w:val="24"/>
          <w:sz w:val="22"/>
          <w:lang w:val="en-CA"/>
        </w:rPr>
        <w:t xml:space="preserve">the declaration of a state of emergency to </w:t>
      </w:r>
      <w:r w:rsidR="005F41BA">
        <w:rPr>
          <w:kern w:val="24"/>
          <w:sz w:val="22"/>
          <w:lang w:val="en-CA"/>
        </w:rPr>
        <w:t>review by</w:t>
      </w:r>
      <w:r w:rsidRPr="008675A9">
        <w:rPr>
          <w:kern w:val="24"/>
          <w:sz w:val="22"/>
          <w:lang w:val="en-CA"/>
        </w:rPr>
        <w:t xml:space="preserve"> the National Assembly, even </w:t>
      </w:r>
      <w:r w:rsidR="005F41BA">
        <w:rPr>
          <w:kern w:val="24"/>
          <w:sz w:val="22"/>
          <w:lang w:val="en-CA"/>
        </w:rPr>
        <w:t>when there is no need</w:t>
      </w:r>
      <w:r w:rsidRPr="008675A9">
        <w:rPr>
          <w:kern w:val="24"/>
          <w:sz w:val="22"/>
          <w:lang w:val="en-CA"/>
        </w:rPr>
        <w:t xml:space="preserve"> to extend it.</w:t>
      </w:r>
    </w:p>
    <w:p w14:paraId="4583F8A9" w14:textId="4189D219" w:rsidR="001516A0" w:rsidRPr="008675A9" w:rsidRDefault="00E86651" w:rsidP="001516A0">
      <w:pPr>
        <w:pStyle w:val="Citationenretrait"/>
        <w:rPr>
          <w:lang w:val="en-CA"/>
        </w:rPr>
      </w:pPr>
      <w:r w:rsidRPr="008675A9">
        <w:rPr>
          <w:lang w:val="en-CA"/>
        </w:rPr>
        <w:t>I do</w:t>
      </w:r>
      <w:r w:rsidR="00FC127F" w:rsidRPr="008675A9">
        <w:rPr>
          <w:lang w:val="en-CA"/>
        </w:rPr>
        <w:t>n’</w:t>
      </w:r>
      <w:r w:rsidRPr="008675A9">
        <w:rPr>
          <w:lang w:val="en-CA"/>
        </w:rPr>
        <w:t xml:space="preserve">t expect this provision to be used very often, but, </w:t>
      </w:r>
      <w:r w:rsidR="00123EB4">
        <w:rPr>
          <w:lang w:val="en-CA"/>
        </w:rPr>
        <w:t>ultimately</w:t>
      </w:r>
      <w:r w:rsidRPr="008675A9">
        <w:rPr>
          <w:lang w:val="en-CA"/>
        </w:rPr>
        <w:t xml:space="preserve">, it </w:t>
      </w:r>
      <w:r w:rsidR="00123EB4">
        <w:rPr>
          <w:lang w:val="en-CA"/>
        </w:rPr>
        <w:t>i</w:t>
      </w:r>
      <w:r w:rsidR="00FC127F" w:rsidRPr="008675A9">
        <w:rPr>
          <w:lang w:val="en-CA"/>
        </w:rPr>
        <w:t>s</w:t>
      </w:r>
      <w:r w:rsidRPr="008675A9">
        <w:rPr>
          <w:lang w:val="en-CA"/>
        </w:rPr>
        <w:t xml:space="preserve"> one of the constitutional protections of the </w:t>
      </w:r>
      <w:r w:rsidR="00FC127F" w:rsidRPr="008675A9">
        <w:rPr>
          <w:lang w:val="en-CA"/>
        </w:rPr>
        <w:t xml:space="preserve">National Assembly’s </w:t>
      </w:r>
      <w:r w:rsidRPr="008675A9">
        <w:rPr>
          <w:lang w:val="en-CA"/>
        </w:rPr>
        <w:t xml:space="preserve">power over an Executive </w:t>
      </w:r>
      <w:r w:rsidR="00577212">
        <w:rPr>
          <w:lang w:val="en-CA"/>
        </w:rPr>
        <w:t>that seeks</w:t>
      </w:r>
      <w:r w:rsidRPr="008675A9">
        <w:rPr>
          <w:lang w:val="en-CA"/>
        </w:rPr>
        <w:t xml:space="preserve"> to abuse a declaration of emergency in </w:t>
      </w:r>
      <w:r w:rsidR="00FC127F" w:rsidRPr="008675A9">
        <w:rPr>
          <w:lang w:val="en-CA"/>
        </w:rPr>
        <w:t>circumstances</w:t>
      </w:r>
      <w:r w:rsidRPr="008675A9">
        <w:rPr>
          <w:lang w:val="en-CA"/>
        </w:rPr>
        <w:t xml:space="preserve"> that are not...</w:t>
      </w:r>
      <w:r w:rsidR="00BD41E7" w:rsidRPr="008675A9">
        <w:rPr>
          <w:lang w:val="en-CA"/>
        </w:rPr>
        <w:t xml:space="preserve"> </w:t>
      </w:r>
      <w:r w:rsidRPr="008675A9">
        <w:rPr>
          <w:lang w:val="en-CA"/>
        </w:rPr>
        <w:t>I do not expect to see such a thing in my lifetime, although we never know.</w:t>
      </w:r>
      <w:r w:rsidR="00BD41E7" w:rsidRPr="008675A9">
        <w:rPr>
          <w:lang w:val="en-CA"/>
        </w:rPr>
        <w:t xml:space="preserve"> …</w:t>
      </w:r>
    </w:p>
    <w:p w14:paraId="72E73D10" w14:textId="3C295040" w:rsidR="001516A0" w:rsidRPr="008675A9" w:rsidRDefault="00BD41E7" w:rsidP="001516A0">
      <w:pPr>
        <w:pStyle w:val="Citationenretrait"/>
        <w:rPr>
          <w:lang w:val="en-CA"/>
        </w:rPr>
      </w:pPr>
      <w:r w:rsidRPr="008675A9">
        <w:rPr>
          <w:lang w:val="en-CA"/>
        </w:rPr>
        <w:t>…</w:t>
      </w:r>
    </w:p>
    <w:p w14:paraId="2C1E8E91" w14:textId="4DAD8FBE" w:rsidR="001516A0" w:rsidRPr="008675A9" w:rsidRDefault="00E86651" w:rsidP="001516A0">
      <w:pPr>
        <w:pStyle w:val="Citationenretrait"/>
        <w:rPr>
          <w:lang w:val="en-CA"/>
        </w:rPr>
      </w:pPr>
      <w:r w:rsidRPr="008675A9">
        <w:rPr>
          <w:b/>
          <w:bCs/>
          <w:lang w:val="en-CA"/>
        </w:rPr>
        <w:t>Mr. Dupuis</w:t>
      </w:r>
      <w:r w:rsidRPr="008675A9">
        <w:rPr>
          <w:lang w:val="en-CA"/>
        </w:rPr>
        <w:t xml:space="preserve">: ... The </w:t>
      </w:r>
      <w:r w:rsidR="00996123">
        <w:rPr>
          <w:lang w:val="en-CA"/>
        </w:rPr>
        <w:t>R</w:t>
      </w:r>
      <w:r w:rsidRPr="008675A9">
        <w:rPr>
          <w:lang w:val="en-CA"/>
        </w:rPr>
        <w:t>ules o</w:t>
      </w:r>
      <w:r w:rsidR="00FC127F" w:rsidRPr="008675A9">
        <w:rPr>
          <w:lang w:val="en-CA"/>
        </w:rPr>
        <w:t>f</w:t>
      </w:r>
      <w:r w:rsidRPr="008675A9">
        <w:rPr>
          <w:lang w:val="en-CA"/>
        </w:rPr>
        <w:t xml:space="preserve"> </w:t>
      </w:r>
      <w:r w:rsidR="00996123">
        <w:rPr>
          <w:lang w:val="en-CA"/>
        </w:rPr>
        <w:t>P</w:t>
      </w:r>
      <w:r w:rsidRPr="008675A9">
        <w:rPr>
          <w:lang w:val="en-CA"/>
        </w:rPr>
        <w:t xml:space="preserve">rocedure provide that only the Prime Minister can </w:t>
      </w:r>
      <w:r w:rsidR="009E5B24">
        <w:rPr>
          <w:lang w:val="en-CA"/>
        </w:rPr>
        <w:t>summon</w:t>
      </w:r>
      <w:r w:rsidR="006A76FF" w:rsidRPr="008675A9">
        <w:rPr>
          <w:lang w:val="en-CA"/>
        </w:rPr>
        <w:t xml:space="preserve"> </w:t>
      </w:r>
      <w:r w:rsidRPr="008675A9">
        <w:rPr>
          <w:lang w:val="en-CA"/>
        </w:rPr>
        <w:t xml:space="preserve">the Assembly to an extraordinary sitting, such that, for a declaration of emergency that occurs when the National Assembly is not </w:t>
      </w:r>
      <w:r w:rsidR="00181D07">
        <w:rPr>
          <w:lang w:val="en-CA"/>
        </w:rPr>
        <w:t>in session</w:t>
      </w:r>
      <w:r w:rsidRPr="008675A9">
        <w:rPr>
          <w:lang w:val="en-CA"/>
        </w:rPr>
        <w:t xml:space="preserve">, the </w:t>
      </w:r>
      <w:r w:rsidR="00FC127F" w:rsidRPr="008675A9">
        <w:rPr>
          <w:lang w:val="en-CA"/>
        </w:rPr>
        <w:t>National</w:t>
      </w:r>
      <w:r w:rsidRPr="008675A9">
        <w:rPr>
          <w:lang w:val="en-CA"/>
        </w:rPr>
        <w:t xml:space="preserve"> </w:t>
      </w:r>
      <w:r w:rsidR="00FC127F" w:rsidRPr="008675A9">
        <w:rPr>
          <w:lang w:val="en-CA"/>
        </w:rPr>
        <w:t>A</w:t>
      </w:r>
      <w:r w:rsidRPr="008675A9">
        <w:rPr>
          <w:lang w:val="en-CA"/>
        </w:rPr>
        <w:t xml:space="preserve">ssembly would not be summoned because you do not </w:t>
      </w:r>
      <w:r w:rsidR="009D355F">
        <w:rPr>
          <w:lang w:val="en-CA"/>
        </w:rPr>
        <w:t>require</w:t>
      </w:r>
      <w:r w:rsidRPr="008675A9">
        <w:rPr>
          <w:lang w:val="en-CA"/>
        </w:rPr>
        <w:t xml:space="preserve"> the </w:t>
      </w:r>
      <w:r w:rsidR="00217982">
        <w:rPr>
          <w:lang w:val="en-CA"/>
        </w:rPr>
        <w:t>M</w:t>
      </w:r>
      <w:r w:rsidRPr="008675A9">
        <w:rPr>
          <w:lang w:val="en-CA"/>
        </w:rPr>
        <w:t>inister to table the declaration of emergency before the National Assembly.</w:t>
      </w:r>
      <w:r w:rsidR="00BD41E7" w:rsidRPr="008675A9">
        <w:rPr>
          <w:lang w:val="en-CA"/>
        </w:rPr>
        <w:t xml:space="preserve"> </w:t>
      </w:r>
      <w:r w:rsidR="009E7E5F">
        <w:rPr>
          <w:lang w:val="en-CA"/>
        </w:rPr>
        <w:t>So</w:t>
      </w:r>
      <w:r w:rsidRPr="008675A9">
        <w:rPr>
          <w:lang w:val="en-CA"/>
        </w:rPr>
        <w:t>, the Assembly will not be summoned if the Prime Minister decide</w:t>
      </w:r>
      <w:r w:rsidR="00FC127F" w:rsidRPr="008675A9">
        <w:rPr>
          <w:lang w:val="en-CA"/>
        </w:rPr>
        <w:t>s</w:t>
      </w:r>
      <w:r w:rsidRPr="008675A9">
        <w:rPr>
          <w:lang w:val="en-CA"/>
        </w:rPr>
        <w:t xml:space="preserve"> not to summon it.</w:t>
      </w:r>
      <w:r w:rsidR="009E7E5F">
        <w:rPr>
          <w:lang w:val="en-CA"/>
        </w:rPr>
        <w:t xml:space="preserve"> And</w:t>
      </w:r>
      <w:r w:rsidRPr="008675A9">
        <w:rPr>
          <w:lang w:val="en-CA"/>
        </w:rPr>
        <w:t xml:space="preserve"> there was </w:t>
      </w:r>
      <w:r w:rsidR="009E7E5F">
        <w:rPr>
          <w:lang w:val="en-CA"/>
        </w:rPr>
        <w:t xml:space="preserve">an additional </w:t>
      </w:r>
      <w:r w:rsidRPr="008675A9">
        <w:rPr>
          <w:lang w:val="en-CA"/>
        </w:rPr>
        <w:t xml:space="preserve">protection in the </w:t>
      </w:r>
      <w:r w:rsidR="009D355F">
        <w:rPr>
          <w:lang w:val="en-CA"/>
        </w:rPr>
        <w:t>wording</w:t>
      </w:r>
      <w:r w:rsidR="009D355F" w:rsidRPr="008675A9">
        <w:rPr>
          <w:lang w:val="en-CA"/>
        </w:rPr>
        <w:t xml:space="preserve"> </w:t>
      </w:r>
      <w:r w:rsidRPr="008675A9">
        <w:rPr>
          <w:lang w:val="en-CA"/>
        </w:rPr>
        <w:t>you table</w:t>
      </w:r>
      <w:r w:rsidR="00FC127F" w:rsidRPr="008675A9">
        <w:rPr>
          <w:lang w:val="en-CA"/>
        </w:rPr>
        <w:t>d</w:t>
      </w:r>
      <w:r w:rsidRPr="008675A9">
        <w:rPr>
          <w:lang w:val="en-CA"/>
        </w:rPr>
        <w:t xml:space="preserve"> at the time of the draft bill, </w:t>
      </w:r>
      <w:r w:rsidR="00FC127F" w:rsidRPr="008675A9">
        <w:rPr>
          <w:lang w:val="en-CA"/>
        </w:rPr>
        <w:t>which</w:t>
      </w:r>
      <w:r w:rsidRPr="008675A9">
        <w:rPr>
          <w:lang w:val="en-CA"/>
        </w:rPr>
        <w:t xml:space="preserve"> provided that </w:t>
      </w:r>
      <w:r w:rsidR="00FF01C7" w:rsidRPr="008675A9">
        <w:rPr>
          <w:lang w:val="en-CA"/>
        </w:rPr>
        <w:t xml:space="preserve">the </w:t>
      </w:r>
      <w:r w:rsidR="00FF01C7">
        <w:rPr>
          <w:lang w:val="en-CA"/>
        </w:rPr>
        <w:t>M</w:t>
      </w:r>
      <w:r w:rsidR="00FF01C7" w:rsidRPr="008675A9">
        <w:rPr>
          <w:lang w:val="en-CA"/>
        </w:rPr>
        <w:t xml:space="preserve">inister must table </w:t>
      </w:r>
      <w:r w:rsidRPr="008675A9">
        <w:rPr>
          <w:lang w:val="en-CA"/>
        </w:rPr>
        <w:t>every declaration of a state of emergency before the National Assembly.</w:t>
      </w:r>
      <w:r w:rsidR="00BD41E7" w:rsidRPr="008675A9">
        <w:rPr>
          <w:lang w:val="en-CA"/>
        </w:rPr>
        <w:t xml:space="preserve"> </w:t>
      </w:r>
      <w:r w:rsidRPr="008675A9">
        <w:rPr>
          <w:lang w:val="en-CA"/>
        </w:rPr>
        <w:t xml:space="preserve">And, </w:t>
      </w:r>
      <w:r w:rsidR="009E7E5F">
        <w:rPr>
          <w:lang w:val="en-CA"/>
        </w:rPr>
        <w:t xml:space="preserve">it was provided that, </w:t>
      </w:r>
      <w:r w:rsidRPr="008675A9">
        <w:rPr>
          <w:lang w:val="en-CA"/>
        </w:rPr>
        <w:t xml:space="preserve">when </w:t>
      </w:r>
      <w:r w:rsidR="00FC127F" w:rsidRPr="008675A9">
        <w:rPr>
          <w:lang w:val="en-CA"/>
        </w:rPr>
        <w:t>the</w:t>
      </w:r>
      <w:r w:rsidRPr="008675A9">
        <w:rPr>
          <w:lang w:val="en-CA"/>
        </w:rPr>
        <w:t xml:space="preserve"> Assembly </w:t>
      </w:r>
      <w:r w:rsidR="009E7E5F">
        <w:rPr>
          <w:lang w:val="en-CA"/>
        </w:rPr>
        <w:t xml:space="preserve">was </w:t>
      </w:r>
      <w:r w:rsidR="0020457E">
        <w:rPr>
          <w:lang w:val="en-CA"/>
        </w:rPr>
        <w:t xml:space="preserve">not </w:t>
      </w:r>
      <w:r w:rsidR="00E64474">
        <w:rPr>
          <w:lang w:val="en-CA"/>
        </w:rPr>
        <w:t>in session</w:t>
      </w:r>
      <w:r w:rsidRPr="008675A9">
        <w:rPr>
          <w:lang w:val="en-CA"/>
        </w:rPr>
        <w:t xml:space="preserve">, an </w:t>
      </w:r>
      <w:r w:rsidR="00FC127F" w:rsidRPr="008675A9">
        <w:rPr>
          <w:lang w:val="en-CA"/>
        </w:rPr>
        <w:t>extraordinary</w:t>
      </w:r>
      <w:r w:rsidRPr="008675A9">
        <w:rPr>
          <w:lang w:val="en-CA"/>
        </w:rPr>
        <w:t xml:space="preserve"> sitting </w:t>
      </w:r>
      <w:r w:rsidR="00D86479">
        <w:rPr>
          <w:lang w:val="en-CA"/>
        </w:rPr>
        <w:t xml:space="preserve">was to </w:t>
      </w:r>
      <w:r w:rsidR="00FC127F" w:rsidRPr="008675A9">
        <w:rPr>
          <w:lang w:val="en-CA"/>
        </w:rPr>
        <w:t>be</w:t>
      </w:r>
      <w:r w:rsidRPr="008675A9">
        <w:rPr>
          <w:lang w:val="en-CA"/>
        </w:rPr>
        <w:t xml:space="preserve"> called.</w:t>
      </w:r>
      <w:r w:rsidR="00BD41E7" w:rsidRPr="008675A9">
        <w:rPr>
          <w:lang w:val="en-CA"/>
        </w:rPr>
        <w:t xml:space="preserve"> </w:t>
      </w:r>
      <w:r w:rsidR="00215EB5" w:rsidRPr="008675A9">
        <w:rPr>
          <w:lang w:val="en-CA"/>
        </w:rPr>
        <w:t xml:space="preserve">Now, the new provision </w:t>
      </w:r>
      <w:r w:rsidR="00D86479">
        <w:rPr>
          <w:lang w:val="en-CA"/>
        </w:rPr>
        <w:t>means</w:t>
      </w:r>
      <w:r w:rsidR="00D86479" w:rsidRPr="008675A9">
        <w:rPr>
          <w:lang w:val="en-CA"/>
        </w:rPr>
        <w:t xml:space="preserve"> </w:t>
      </w:r>
      <w:r w:rsidR="00215EB5" w:rsidRPr="008675A9">
        <w:rPr>
          <w:lang w:val="en-CA"/>
        </w:rPr>
        <w:t xml:space="preserve">that if the Prime Minister decides that the </w:t>
      </w:r>
      <w:r w:rsidR="00FC127F" w:rsidRPr="008675A9">
        <w:rPr>
          <w:lang w:val="en-CA"/>
        </w:rPr>
        <w:t>Assembly</w:t>
      </w:r>
      <w:r w:rsidR="00215EB5" w:rsidRPr="008675A9">
        <w:rPr>
          <w:lang w:val="en-CA"/>
        </w:rPr>
        <w:t xml:space="preserve"> will be summoned, it is summoned, but </w:t>
      </w:r>
      <w:r w:rsidR="00FF55F9">
        <w:rPr>
          <w:lang w:val="en-CA"/>
        </w:rPr>
        <w:t>there might be</w:t>
      </w:r>
      <w:r w:rsidR="00215EB5" w:rsidRPr="008675A9">
        <w:rPr>
          <w:lang w:val="en-CA"/>
        </w:rPr>
        <w:t xml:space="preserve"> a situation where the emergency is </w:t>
      </w:r>
      <w:r w:rsidR="00217982">
        <w:rPr>
          <w:lang w:val="en-CA"/>
        </w:rPr>
        <w:t>declared</w:t>
      </w:r>
      <w:r w:rsidR="00215EB5" w:rsidRPr="008675A9">
        <w:rPr>
          <w:lang w:val="en-CA"/>
        </w:rPr>
        <w:t xml:space="preserve"> and the National Assembly does not sit.</w:t>
      </w:r>
    </w:p>
    <w:p w14:paraId="2B501EFA" w14:textId="2BB1B5BE" w:rsidR="001516A0" w:rsidRPr="008675A9" w:rsidRDefault="00FC127F" w:rsidP="001516A0">
      <w:pPr>
        <w:pStyle w:val="Citationenretrait"/>
        <w:rPr>
          <w:lang w:val="en-CA"/>
        </w:rPr>
      </w:pPr>
      <w:r w:rsidRPr="00AB5ACC">
        <w:rPr>
          <w:lang w:val="en-CA"/>
        </w:rPr>
        <w:t>I agree with you</w:t>
      </w:r>
      <w:r w:rsidR="00233F58">
        <w:rPr>
          <w:lang w:val="en-CA"/>
        </w:rPr>
        <w:t xml:space="preserve"> </w:t>
      </w:r>
      <w:r w:rsidRPr="00AB5ACC">
        <w:rPr>
          <w:lang w:val="en-CA"/>
        </w:rPr>
        <w:t>...</w:t>
      </w:r>
      <w:r w:rsidR="00BD41E7" w:rsidRPr="008675A9">
        <w:rPr>
          <w:lang w:val="en-CA"/>
        </w:rPr>
        <w:t xml:space="preserve"> </w:t>
      </w:r>
      <w:r w:rsidRPr="008675A9">
        <w:rPr>
          <w:lang w:val="en-CA"/>
        </w:rPr>
        <w:t>I</w:t>
      </w:r>
      <w:r w:rsidR="00E62E03">
        <w:rPr>
          <w:lang w:val="en-CA"/>
        </w:rPr>
        <w:t>’</w:t>
      </w:r>
      <w:r w:rsidRPr="008675A9">
        <w:rPr>
          <w:lang w:val="en-CA"/>
        </w:rPr>
        <w:t xml:space="preserve">ll let you listen to what they’re </w:t>
      </w:r>
      <w:r w:rsidR="00EE533B">
        <w:rPr>
          <w:lang w:val="en-CA"/>
        </w:rPr>
        <w:t>saying to</w:t>
      </w:r>
      <w:r w:rsidRPr="008675A9">
        <w:rPr>
          <w:lang w:val="en-CA"/>
        </w:rPr>
        <w:t xml:space="preserve"> you, unless you’re listening to me.</w:t>
      </w:r>
      <w:r w:rsidR="00BD41E7" w:rsidRPr="008675A9">
        <w:rPr>
          <w:lang w:val="en-CA"/>
        </w:rPr>
        <w:t xml:space="preserve"> </w:t>
      </w:r>
      <w:r w:rsidRPr="00AB5ACC">
        <w:rPr>
          <w:lang w:val="en-CA"/>
        </w:rPr>
        <w:t>I'm speaking</w:t>
      </w:r>
      <w:r w:rsidR="00233F58">
        <w:rPr>
          <w:lang w:val="en-CA"/>
        </w:rPr>
        <w:t xml:space="preserve"> </w:t>
      </w:r>
      <w:r w:rsidRPr="00AB5ACC">
        <w:rPr>
          <w:lang w:val="en-CA"/>
        </w:rPr>
        <w:t>...</w:t>
      </w:r>
    </w:p>
    <w:p w14:paraId="3BC12F8B" w14:textId="600A99FB" w:rsidR="001516A0" w:rsidRPr="008675A9" w:rsidRDefault="00FC127F" w:rsidP="001516A0">
      <w:pPr>
        <w:pStyle w:val="Citationenretrait"/>
        <w:rPr>
          <w:lang w:val="en-CA"/>
        </w:rPr>
      </w:pPr>
      <w:r w:rsidRPr="00AB5ACC">
        <w:rPr>
          <w:b/>
          <w:lang w:val="en-CA"/>
        </w:rPr>
        <w:t xml:space="preserve">Mr. </w:t>
      </w:r>
      <w:proofErr w:type="spellStart"/>
      <w:r w:rsidRPr="00AB5ACC">
        <w:rPr>
          <w:b/>
          <w:lang w:val="en-CA"/>
        </w:rPr>
        <w:t>Ménard</w:t>
      </w:r>
      <w:proofErr w:type="spellEnd"/>
      <w:r w:rsidRPr="00AB5ACC">
        <w:rPr>
          <w:b/>
          <w:lang w:val="en-CA"/>
        </w:rPr>
        <w:t xml:space="preserve">: </w:t>
      </w:r>
      <w:r w:rsidRPr="00AB5ACC">
        <w:rPr>
          <w:bCs/>
          <w:lang w:val="en-CA"/>
        </w:rPr>
        <w:t>I</w:t>
      </w:r>
      <w:r w:rsidR="00E62E03" w:rsidRPr="00AB5ACC">
        <w:rPr>
          <w:bCs/>
          <w:lang w:val="en-CA"/>
        </w:rPr>
        <w:t>’</w:t>
      </w:r>
      <w:r w:rsidRPr="00AB5ACC">
        <w:rPr>
          <w:bCs/>
          <w:lang w:val="en-CA"/>
        </w:rPr>
        <w:t>m listening.</w:t>
      </w:r>
      <w:r w:rsidR="00BD41E7" w:rsidRPr="008675A9">
        <w:rPr>
          <w:lang w:val="en-CA"/>
        </w:rPr>
        <w:t xml:space="preserve"> </w:t>
      </w:r>
      <w:r w:rsidRPr="00AB5ACC">
        <w:rPr>
          <w:lang w:val="en-CA"/>
        </w:rPr>
        <w:t>They</w:t>
      </w:r>
      <w:r w:rsidR="00E62E03" w:rsidRPr="00AB5ACC">
        <w:rPr>
          <w:lang w:val="en-CA"/>
        </w:rPr>
        <w:t>’</w:t>
      </w:r>
      <w:r w:rsidRPr="00AB5ACC">
        <w:rPr>
          <w:lang w:val="en-CA"/>
        </w:rPr>
        <w:t xml:space="preserve">re </w:t>
      </w:r>
      <w:r w:rsidR="00906950">
        <w:rPr>
          <w:lang w:val="en-CA"/>
        </w:rPr>
        <w:t>talking to each other</w:t>
      </w:r>
      <w:r w:rsidRPr="00AB5ACC">
        <w:rPr>
          <w:lang w:val="en-CA"/>
        </w:rPr>
        <w:t>.</w:t>
      </w:r>
    </w:p>
    <w:p w14:paraId="0ED8F0F5" w14:textId="3F4B1A9E" w:rsidR="001516A0" w:rsidRPr="008675A9" w:rsidRDefault="00FC127F" w:rsidP="00FC127F">
      <w:pPr>
        <w:pStyle w:val="Citationenretrait"/>
        <w:rPr>
          <w:lang w:val="en-CA"/>
        </w:rPr>
      </w:pPr>
      <w:r w:rsidRPr="008675A9">
        <w:rPr>
          <w:b/>
          <w:bCs/>
          <w:lang w:val="en-CA"/>
        </w:rPr>
        <w:lastRenderedPageBreak/>
        <w:t>Mr. Dupuis:</w:t>
      </w:r>
      <w:r w:rsidRPr="008675A9">
        <w:rPr>
          <w:lang w:val="en-CA"/>
        </w:rPr>
        <w:t xml:space="preserve"> OK good, al</w:t>
      </w:r>
      <w:r w:rsidR="00906950">
        <w:rPr>
          <w:lang w:val="en-CA"/>
        </w:rPr>
        <w:t xml:space="preserve">l </w:t>
      </w:r>
      <w:r w:rsidRPr="008675A9">
        <w:rPr>
          <w:lang w:val="en-CA"/>
        </w:rPr>
        <w:t>right.</w:t>
      </w:r>
      <w:r w:rsidR="00BD41E7" w:rsidRPr="008675A9">
        <w:rPr>
          <w:lang w:val="en-CA"/>
        </w:rPr>
        <w:t xml:space="preserve"> </w:t>
      </w:r>
      <w:r w:rsidRPr="008675A9">
        <w:rPr>
          <w:lang w:val="en-CA"/>
        </w:rPr>
        <w:t xml:space="preserve">So, I agree with you, </w:t>
      </w:r>
      <w:r w:rsidR="00D33D61">
        <w:rPr>
          <w:lang w:val="en-CA"/>
        </w:rPr>
        <w:t>these are</w:t>
      </w:r>
      <w:r w:rsidRPr="008675A9">
        <w:rPr>
          <w:lang w:val="en-CA"/>
        </w:rPr>
        <w:t xml:space="preserve"> probably </w:t>
      </w:r>
      <w:r w:rsidR="00D33D61">
        <w:rPr>
          <w:lang w:val="en-CA"/>
        </w:rPr>
        <w:t>not</w:t>
      </w:r>
      <w:r w:rsidR="0020457E">
        <w:rPr>
          <w:lang w:val="en-CA"/>
        </w:rPr>
        <w:t xml:space="preserve"> </w:t>
      </w:r>
      <w:r w:rsidRPr="008675A9">
        <w:rPr>
          <w:lang w:val="en-CA"/>
        </w:rPr>
        <w:t>situation</w:t>
      </w:r>
      <w:r w:rsidR="00D33D61">
        <w:rPr>
          <w:lang w:val="en-CA"/>
        </w:rPr>
        <w:t>s</w:t>
      </w:r>
      <w:r w:rsidRPr="008675A9">
        <w:rPr>
          <w:lang w:val="en-CA"/>
        </w:rPr>
        <w:t xml:space="preserve"> </w:t>
      </w:r>
      <w:r w:rsidR="00D33D61">
        <w:rPr>
          <w:lang w:val="en-CA"/>
        </w:rPr>
        <w:t>that will last very</w:t>
      </w:r>
      <w:r w:rsidRPr="008675A9">
        <w:rPr>
          <w:lang w:val="en-CA"/>
        </w:rPr>
        <w:t xml:space="preserve"> long, but</w:t>
      </w:r>
      <w:r w:rsidR="00DB5F25">
        <w:rPr>
          <w:lang w:val="en-CA"/>
        </w:rPr>
        <w:t xml:space="preserve"> this is</w:t>
      </w:r>
      <w:r w:rsidRPr="008675A9">
        <w:rPr>
          <w:lang w:val="en-CA"/>
        </w:rPr>
        <w:t xml:space="preserve">, if you will, </w:t>
      </w:r>
      <w:r w:rsidR="00F7043D">
        <w:rPr>
          <w:lang w:val="en-CA"/>
        </w:rPr>
        <w:t>a matter of principle</w:t>
      </w:r>
      <w:r w:rsidRPr="008675A9">
        <w:rPr>
          <w:lang w:val="en-CA"/>
        </w:rPr>
        <w:t xml:space="preserve"> </w:t>
      </w:r>
      <w:r w:rsidR="00F7043D">
        <w:rPr>
          <w:lang w:val="en-CA"/>
        </w:rPr>
        <w:t>concerning</w:t>
      </w:r>
      <w:r w:rsidR="00F7043D" w:rsidRPr="008675A9">
        <w:rPr>
          <w:lang w:val="en-CA"/>
        </w:rPr>
        <w:t xml:space="preserve"> </w:t>
      </w:r>
      <w:r w:rsidRPr="008675A9">
        <w:rPr>
          <w:lang w:val="en-CA"/>
        </w:rPr>
        <w:t xml:space="preserve">the fundamental guarantee that the members of the National Assembly, whoever they are, not </w:t>
      </w:r>
      <w:r w:rsidR="00F7043D">
        <w:rPr>
          <w:lang w:val="en-CA"/>
        </w:rPr>
        <w:t>just</w:t>
      </w:r>
      <w:r w:rsidR="00F7043D" w:rsidRPr="008675A9">
        <w:rPr>
          <w:lang w:val="en-CA"/>
        </w:rPr>
        <w:t xml:space="preserve"> </w:t>
      </w:r>
      <w:r w:rsidRPr="008675A9">
        <w:rPr>
          <w:lang w:val="en-CA"/>
        </w:rPr>
        <w:t xml:space="preserve">the Prime Minister, but </w:t>
      </w:r>
      <w:r w:rsidR="00F7043D">
        <w:rPr>
          <w:lang w:val="en-CA"/>
        </w:rPr>
        <w:t>every</w:t>
      </w:r>
      <w:r w:rsidRPr="008675A9">
        <w:rPr>
          <w:lang w:val="en-CA"/>
        </w:rPr>
        <w:t xml:space="preserve"> member of the National Assembly, whether they are </w:t>
      </w:r>
      <w:r w:rsidR="00F7043D">
        <w:rPr>
          <w:lang w:val="en-CA"/>
        </w:rPr>
        <w:t>members of</w:t>
      </w:r>
      <w:r w:rsidR="00F7043D" w:rsidRPr="008675A9">
        <w:rPr>
          <w:lang w:val="en-CA"/>
        </w:rPr>
        <w:t xml:space="preserve"> </w:t>
      </w:r>
      <w:r w:rsidRPr="008675A9">
        <w:rPr>
          <w:lang w:val="en-CA"/>
        </w:rPr>
        <w:t xml:space="preserve">the opposition or </w:t>
      </w:r>
      <w:r w:rsidR="00F7043D">
        <w:rPr>
          <w:lang w:val="en-CA"/>
        </w:rPr>
        <w:t>of the ruling party</w:t>
      </w:r>
      <w:r w:rsidRPr="008675A9">
        <w:rPr>
          <w:lang w:val="en-CA"/>
        </w:rPr>
        <w:t xml:space="preserve">, </w:t>
      </w:r>
      <w:r w:rsidR="00FB3560">
        <w:rPr>
          <w:lang w:val="en-CA"/>
        </w:rPr>
        <w:t>do</w:t>
      </w:r>
      <w:r w:rsidR="00FB3560" w:rsidRPr="008675A9">
        <w:rPr>
          <w:lang w:val="en-CA"/>
        </w:rPr>
        <w:t xml:space="preserve"> </w:t>
      </w:r>
      <w:r w:rsidRPr="008675A9">
        <w:rPr>
          <w:lang w:val="en-CA"/>
        </w:rPr>
        <w:t xml:space="preserve">not have their powers eroded </w:t>
      </w:r>
      <w:r w:rsidR="00F7043D">
        <w:rPr>
          <w:lang w:val="en-CA"/>
        </w:rPr>
        <w:t>by</w:t>
      </w:r>
      <w:r w:rsidR="00F7043D" w:rsidRPr="008675A9">
        <w:rPr>
          <w:lang w:val="en-CA"/>
        </w:rPr>
        <w:t xml:space="preserve"> </w:t>
      </w:r>
      <w:r w:rsidRPr="008675A9">
        <w:rPr>
          <w:lang w:val="en-CA"/>
        </w:rPr>
        <w:t>various statutes.</w:t>
      </w:r>
      <w:r w:rsidR="00BD41E7" w:rsidRPr="008675A9">
        <w:rPr>
          <w:lang w:val="en-CA"/>
        </w:rPr>
        <w:t xml:space="preserve"> </w:t>
      </w:r>
      <w:r w:rsidR="00FB3560" w:rsidRPr="008675A9">
        <w:rPr>
          <w:lang w:val="en-CA"/>
        </w:rPr>
        <w:t>And</w:t>
      </w:r>
      <w:r w:rsidRPr="008675A9">
        <w:rPr>
          <w:lang w:val="en-CA"/>
        </w:rPr>
        <w:t xml:space="preserve"> I respectfully submit that</w:t>
      </w:r>
      <w:r w:rsidR="00FB3560">
        <w:rPr>
          <w:lang w:val="en-CA"/>
        </w:rPr>
        <w:t xml:space="preserve"> </w:t>
      </w:r>
      <w:r w:rsidRPr="008675A9">
        <w:rPr>
          <w:lang w:val="en-CA"/>
        </w:rPr>
        <w:t xml:space="preserve">in </w:t>
      </w:r>
      <w:r w:rsidR="00FB3560" w:rsidRPr="008675A9">
        <w:rPr>
          <w:lang w:val="en-CA"/>
        </w:rPr>
        <w:t>th</w:t>
      </w:r>
      <w:r w:rsidR="00FB3560">
        <w:rPr>
          <w:lang w:val="en-CA"/>
        </w:rPr>
        <w:t>is</w:t>
      </w:r>
      <w:r w:rsidR="00FB3560" w:rsidRPr="008675A9">
        <w:rPr>
          <w:lang w:val="en-CA"/>
        </w:rPr>
        <w:t xml:space="preserve"> </w:t>
      </w:r>
      <w:r w:rsidRPr="008675A9">
        <w:rPr>
          <w:lang w:val="en-CA"/>
        </w:rPr>
        <w:t xml:space="preserve">case the powers of the members of the National Assembly — all of them, whoever they are, whatever side they </w:t>
      </w:r>
      <w:r w:rsidR="00FB3560">
        <w:rPr>
          <w:lang w:val="en-CA"/>
        </w:rPr>
        <w:t>are on</w:t>
      </w:r>
      <w:r w:rsidR="00FB3560" w:rsidRPr="008675A9">
        <w:rPr>
          <w:lang w:val="en-CA"/>
        </w:rPr>
        <w:t xml:space="preserve"> </w:t>
      </w:r>
      <w:r w:rsidRPr="008675A9">
        <w:rPr>
          <w:lang w:val="en-CA"/>
        </w:rPr>
        <w:t xml:space="preserve">— are eroded by the fact that you replaced the provision in the draft bill </w:t>
      </w:r>
      <w:r w:rsidR="00FB3560">
        <w:rPr>
          <w:lang w:val="en-CA"/>
        </w:rPr>
        <w:t>with</w:t>
      </w:r>
      <w:r w:rsidR="00FB3560" w:rsidRPr="008675A9">
        <w:rPr>
          <w:lang w:val="en-CA"/>
        </w:rPr>
        <w:t xml:space="preserve"> </w:t>
      </w:r>
      <w:r w:rsidRPr="008675A9">
        <w:rPr>
          <w:lang w:val="en-CA"/>
        </w:rPr>
        <w:t>the one you are now tabling.</w:t>
      </w:r>
      <w:r w:rsidR="00BD41E7" w:rsidRPr="008675A9">
        <w:rPr>
          <w:rStyle w:val="Appelnotedebasdep"/>
          <w:lang w:val="en-CA"/>
        </w:rPr>
        <w:footnoteReference w:id="42"/>
      </w:r>
    </w:p>
    <w:p w14:paraId="33A091CA" w14:textId="2FEBB9AA" w:rsidR="001516A0" w:rsidRPr="008675A9" w:rsidRDefault="00DB5F25" w:rsidP="00043A62">
      <w:pPr>
        <w:pStyle w:val="Paragraphe"/>
        <w:spacing w:line="280" w:lineRule="exact"/>
        <w:rPr>
          <w:lang w:val="en-CA"/>
        </w:rPr>
      </w:pPr>
      <w:r>
        <w:rPr>
          <w:lang w:val="en-CA"/>
        </w:rPr>
        <w:t>We</w:t>
      </w:r>
      <w:r w:rsidR="00FC127F" w:rsidRPr="008675A9">
        <w:rPr>
          <w:lang w:val="en-CA"/>
        </w:rPr>
        <w:t xml:space="preserve"> note</w:t>
      </w:r>
      <w:r>
        <w:rPr>
          <w:lang w:val="en-CA"/>
        </w:rPr>
        <w:t>, therefore,</w:t>
      </w:r>
      <w:r w:rsidR="00FC127F" w:rsidRPr="008675A9">
        <w:rPr>
          <w:lang w:val="en-CA"/>
        </w:rPr>
        <w:t xml:space="preserve"> that the members discussed the declaration of </w:t>
      </w:r>
      <w:r>
        <w:rPr>
          <w:lang w:val="en-CA"/>
        </w:rPr>
        <w:t>a state of emergency</w:t>
      </w:r>
      <w:r w:rsidR="00FC127F" w:rsidRPr="008675A9">
        <w:rPr>
          <w:lang w:val="en-CA"/>
        </w:rPr>
        <w:t>.</w:t>
      </w:r>
      <w:r w:rsidR="00BD41E7" w:rsidRPr="008675A9">
        <w:rPr>
          <w:lang w:val="en-CA"/>
        </w:rPr>
        <w:t xml:space="preserve"> </w:t>
      </w:r>
      <w:r w:rsidR="00FC127F" w:rsidRPr="008675A9">
        <w:rPr>
          <w:lang w:val="en-CA"/>
        </w:rPr>
        <w:t xml:space="preserve">However, section 88 of </w:t>
      </w:r>
      <w:r w:rsidR="00FC127F" w:rsidRPr="00854E2B">
        <w:rPr>
          <w:lang w:val="en-CA"/>
        </w:rPr>
        <w:t>Bill 173</w:t>
      </w:r>
      <w:r w:rsidR="00FC127F" w:rsidRPr="008675A9">
        <w:rPr>
          <w:lang w:val="en-CA"/>
        </w:rPr>
        <w:t xml:space="preserve">, which deals with the renewal of the declaration of emergency by periods of </w:t>
      </w:r>
      <w:r w:rsidR="00E62E03">
        <w:rPr>
          <w:lang w:val="en-CA"/>
        </w:rPr>
        <w:t>10</w:t>
      </w:r>
      <w:r w:rsidR="00FC127F" w:rsidRPr="008675A9">
        <w:rPr>
          <w:lang w:val="en-CA"/>
        </w:rPr>
        <w:t xml:space="preserve"> or 30 days, was enacted </w:t>
      </w:r>
      <w:r w:rsidR="00E62E03" w:rsidRPr="008675A9">
        <w:rPr>
          <w:lang w:val="en-CA"/>
        </w:rPr>
        <w:t>without</w:t>
      </w:r>
      <w:r w:rsidR="00FC127F" w:rsidRPr="008675A9">
        <w:rPr>
          <w:lang w:val="en-CA"/>
        </w:rPr>
        <w:t xml:space="preserve"> debate.</w:t>
      </w:r>
      <w:r w:rsidR="00BD41E7" w:rsidRPr="008675A9">
        <w:rPr>
          <w:lang w:val="en-CA"/>
        </w:rPr>
        <w:t xml:space="preserve"> </w:t>
      </w:r>
      <w:r w:rsidR="00FC127F" w:rsidRPr="008675A9">
        <w:rPr>
          <w:lang w:val="en-CA"/>
        </w:rPr>
        <w:t xml:space="preserve">It is section 92 on the disallowance </w:t>
      </w:r>
      <w:r w:rsidR="00E62E03">
        <w:rPr>
          <w:lang w:val="en-CA"/>
        </w:rPr>
        <w:t>by</w:t>
      </w:r>
      <w:r w:rsidR="00FC127F" w:rsidRPr="008675A9">
        <w:rPr>
          <w:lang w:val="en-CA"/>
        </w:rPr>
        <w:t xml:space="preserve"> the National Assembly </w:t>
      </w:r>
      <w:r>
        <w:rPr>
          <w:lang w:val="en-CA"/>
        </w:rPr>
        <w:t>that</w:t>
      </w:r>
      <w:r w:rsidR="00FC127F" w:rsidRPr="008675A9">
        <w:rPr>
          <w:lang w:val="en-CA"/>
        </w:rPr>
        <w:t xml:space="preserve"> </w:t>
      </w:r>
      <w:r w:rsidR="00E62E03" w:rsidRPr="008675A9">
        <w:rPr>
          <w:lang w:val="en-CA"/>
        </w:rPr>
        <w:t>attracted</w:t>
      </w:r>
      <w:r w:rsidR="00FC127F" w:rsidRPr="008675A9">
        <w:rPr>
          <w:lang w:val="en-CA"/>
        </w:rPr>
        <w:t xml:space="preserve"> the members</w:t>
      </w:r>
      <w:r w:rsidR="00E62E03">
        <w:rPr>
          <w:lang w:val="en-CA"/>
        </w:rPr>
        <w:t>’</w:t>
      </w:r>
      <w:r w:rsidR="00FC127F" w:rsidRPr="008675A9">
        <w:rPr>
          <w:lang w:val="en-CA"/>
        </w:rPr>
        <w:t xml:space="preserve"> attention.</w:t>
      </w:r>
      <w:r w:rsidR="00BD41E7" w:rsidRPr="008675A9">
        <w:rPr>
          <w:lang w:val="en-CA"/>
        </w:rPr>
        <w:t xml:space="preserve"> </w:t>
      </w:r>
      <w:r w:rsidR="00FC127F" w:rsidRPr="008675A9">
        <w:rPr>
          <w:lang w:val="en-CA"/>
        </w:rPr>
        <w:t xml:space="preserve">It is clear that </w:t>
      </w:r>
      <w:r w:rsidR="00E62E03">
        <w:rPr>
          <w:lang w:val="en-CA"/>
        </w:rPr>
        <w:t xml:space="preserve">the </w:t>
      </w:r>
      <w:r w:rsidR="00E62E03" w:rsidRPr="00E62E03">
        <w:rPr>
          <w:i/>
          <w:iCs/>
          <w:lang w:val="en-CA"/>
        </w:rPr>
        <w:t>PHA</w:t>
      </w:r>
      <w:r w:rsidR="00E62E03">
        <w:rPr>
          <w:lang w:val="en-CA"/>
        </w:rPr>
        <w:t xml:space="preserve"> </w:t>
      </w:r>
      <w:r w:rsidR="00FC127F" w:rsidRPr="008675A9">
        <w:rPr>
          <w:lang w:val="en-CA"/>
        </w:rPr>
        <w:t xml:space="preserve">enacted </w:t>
      </w:r>
      <w:r w:rsidR="00E62E03" w:rsidRPr="008675A9">
        <w:rPr>
          <w:i/>
          <w:lang w:val="en-CA"/>
        </w:rPr>
        <w:t>a posteriori</w:t>
      </w:r>
      <w:r w:rsidR="00E62E03" w:rsidRPr="008675A9">
        <w:rPr>
          <w:lang w:val="en-CA"/>
        </w:rPr>
        <w:t xml:space="preserve"> </w:t>
      </w:r>
      <w:r w:rsidR="005F41BA">
        <w:rPr>
          <w:lang w:val="en-CA"/>
        </w:rPr>
        <w:t>review</w:t>
      </w:r>
      <w:r w:rsidR="00FC127F" w:rsidRPr="008675A9">
        <w:rPr>
          <w:lang w:val="en-CA"/>
        </w:rPr>
        <w:t xml:space="preserve">, except if the </w:t>
      </w:r>
      <w:r w:rsidR="006B4AB0">
        <w:rPr>
          <w:lang w:val="en-CA"/>
        </w:rPr>
        <w:t>G</w:t>
      </w:r>
      <w:r w:rsidR="00FC127F" w:rsidRPr="008675A9">
        <w:rPr>
          <w:lang w:val="en-CA"/>
        </w:rPr>
        <w:t xml:space="preserve">overnment decides to declare a state of emergency for a period </w:t>
      </w:r>
      <w:r w:rsidR="00E77572">
        <w:rPr>
          <w:lang w:val="en-CA"/>
        </w:rPr>
        <w:t>of more than</w:t>
      </w:r>
      <w:r w:rsidR="00FC127F" w:rsidRPr="008675A9">
        <w:rPr>
          <w:lang w:val="en-CA"/>
        </w:rPr>
        <w:t xml:space="preserve"> 10 days, up to a maximum of 30 days. </w:t>
      </w:r>
    </w:p>
    <w:p w14:paraId="3205C15C" w14:textId="3D9B0205" w:rsidR="001516A0" w:rsidRPr="008675A9" w:rsidRDefault="00FC127F" w:rsidP="009C05F4">
      <w:pPr>
        <w:pStyle w:val="Paragraphe"/>
        <w:spacing w:line="280" w:lineRule="exact"/>
        <w:rPr>
          <w:lang w:val="en-CA"/>
        </w:rPr>
      </w:pPr>
      <w:r w:rsidRPr="008675A9">
        <w:rPr>
          <w:lang w:val="en-CA"/>
        </w:rPr>
        <w:t xml:space="preserve">A reading of these excepts from the parliamentary proceedings also suggests that no one </w:t>
      </w:r>
      <w:r w:rsidR="00E77572">
        <w:rPr>
          <w:lang w:val="en-CA"/>
        </w:rPr>
        <w:t>expected</w:t>
      </w:r>
      <w:r w:rsidR="00E77572" w:rsidRPr="008675A9">
        <w:rPr>
          <w:lang w:val="en-CA"/>
        </w:rPr>
        <w:t xml:space="preserve"> </w:t>
      </w:r>
      <w:r w:rsidRPr="008675A9">
        <w:rPr>
          <w:lang w:val="en-CA"/>
        </w:rPr>
        <w:t xml:space="preserve">a state of emergency </w:t>
      </w:r>
      <w:r w:rsidR="00E77572">
        <w:rPr>
          <w:lang w:val="en-CA"/>
        </w:rPr>
        <w:t>to</w:t>
      </w:r>
      <w:r w:rsidR="00E77572" w:rsidRPr="008675A9">
        <w:rPr>
          <w:lang w:val="en-CA"/>
        </w:rPr>
        <w:t xml:space="preserve"> </w:t>
      </w:r>
      <w:r w:rsidRPr="008675A9">
        <w:rPr>
          <w:lang w:val="en-CA"/>
        </w:rPr>
        <w:t>last as long as the one we are currently experiencing.</w:t>
      </w:r>
    </w:p>
    <w:p w14:paraId="21D7AB22" w14:textId="7D492520" w:rsidR="001516A0" w:rsidRPr="008675A9" w:rsidRDefault="00FC127F" w:rsidP="00043A62">
      <w:pPr>
        <w:pStyle w:val="Paragraphe"/>
        <w:spacing w:line="280" w:lineRule="exact"/>
        <w:rPr>
          <w:lang w:val="en-CA"/>
        </w:rPr>
      </w:pPr>
      <w:r w:rsidRPr="00AB5ACC">
        <w:rPr>
          <w:lang w:val="en-CA"/>
        </w:rPr>
        <w:t xml:space="preserve">The appellant also correctly argues that the </w:t>
      </w:r>
      <w:r w:rsidR="006B4AB0">
        <w:rPr>
          <w:lang w:val="en-CA"/>
        </w:rPr>
        <w:t>G</w:t>
      </w:r>
      <w:r w:rsidRPr="00AB5ACC">
        <w:rPr>
          <w:lang w:val="en-CA"/>
        </w:rPr>
        <w:t>overnment cannot renew the public health emergency for an unlimited period if the serious threat to the health of the population, whether real or imminent, no longer exists.</w:t>
      </w:r>
      <w:r w:rsidR="00BD41E7" w:rsidRPr="008675A9">
        <w:rPr>
          <w:lang w:val="en-CA"/>
        </w:rPr>
        <w:t xml:space="preserve"> </w:t>
      </w:r>
      <w:r w:rsidRPr="00AB5ACC">
        <w:rPr>
          <w:lang w:val="en-CA"/>
        </w:rPr>
        <w:t xml:space="preserve">The facts remains, however, that the public health emergency </w:t>
      </w:r>
      <w:r w:rsidR="00E77572">
        <w:rPr>
          <w:lang w:val="en-CA"/>
        </w:rPr>
        <w:t>ends when</w:t>
      </w:r>
      <w:r w:rsidRPr="00AB5ACC">
        <w:rPr>
          <w:lang w:val="en-CA"/>
        </w:rPr>
        <w:t xml:space="preserve"> the </w:t>
      </w:r>
      <w:r w:rsidR="006B4AB0">
        <w:rPr>
          <w:lang w:val="en-CA"/>
        </w:rPr>
        <w:t>G</w:t>
      </w:r>
      <w:r w:rsidRPr="00AB5ACC">
        <w:rPr>
          <w:lang w:val="en-CA"/>
        </w:rPr>
        <w:t>overnment considers that it is no longer necessary.</w:t>
      </w:r>
      <w:r w:rsidR="00BD41E7" w:rsidRPr="008675A9">
        <w:rPr>
          <w:lang w:val="en-CA"/>
        </w:rPr>
        <w:t xml:space="preserve"> </w:t>
      </w:r>
      <w:r w:rsidRPr="00AB5ACC">
        <w:rPr>
          <w:lang w:val="en-CA"/>
        </w:rPr>
        <w:t xml:space="preserve">Section 128 </w:t>
      </w:r>
      <w:r w:rsidRPr="00AB5ACC">
        <w:rPr>
          <w:i/>
          <w:lang w:val="en-CA"/>
        </w:rPr>
        <w:t xml:space="preserve">PHA </w:t>
      </w:r>
      <w:r w:rsidRPr="00AB5ACC">
        <w:rPr>
          <w:lang w:val="en-CA"/>
        </w:rPr>
        <w:t>provides as follows:</w:t>
      </w:r>
    </w:p>
    <w:tbl>
      <w:tblPr>
        <w:tblW w:w="0" w:type="auto"/>
        <w:tblCellMar>
          <w:left w:w="70" w:type="dxa"/>
          <w:right w:w="70" w:type="dxa"/>
        </w:tblCellMar>
        <w:tblLook w:val="0000" w:firstRow="0" w:lastRow="0" w:firstColumn="0" w:lastColumn="0" w:noHBand="0" w:noVBand="0"/>
      </w:tblPr>
      <w:tblGrid>
        <w:gridCol w:w="4679"/>
        <w:gridCol w:w="4683"/>
      </w:tblGrid>
      <w:tr w:rsidR="00720AD1" w:rsidRPr="008675A9" w14:paraId="53A8EC0F" w14:textId="77777777" w:rsidTr="00147735">
        <w:tc>
          <w:tcPr>
            <w:tcW w:w="4751" w:type="dxa"/>
          </w:tcPr>
          <w:p w14:paraId="69CD007B" w14:textId="5CCD6AFD" w:rsidR="001516A0" w:rsidRPr="008675A9" w:rsidRDefault="00BD41E7" w:rsidP="00147735">
            <w:pPr>
              <w:ind w:left="720" w:right="142"/>
              <w:jc w:val="both"/>
              <w:rPr>
                <w:sz w:val="22"/>
                <w:lang w:val="en-CA"/>
              </w:rPr>
            </w:pPr>
            <w:r w:rsidRPr="008675A9">
              <w:rPr>
                <w:b/>
                <w:sz w:val="22"/>
                <w:lang w:val="en-CA"/>
              </w:rPr>
              <w:t>128</w:t>
            </w:r>
            <w:r w:rsidRPr="008675A9">
              <w:rPr>
                <w:sz w:val="22"/>
                <w:lang w:val="en-CA"/>
              </w:rPr>
              <w:t>. </w:t>
            </w:r>
            <w:r w:rsidR="00FC127F" w:rsidRPr="008675A9">
              <w:rPr>
                <w:sz w:val="22"/>
                <w:lang w:val="en-CA"/>
              </w:rPr>
              <w:t>The Government may terminate the public health emergency as soon as it considers that it is no longer necessary</w:t>
            </w:r>
            <w:r w:rsidRPr="00AB5ACC">
              <w:rPr>
                <w:sz w:val="22"/>
                <w:lang w:val="en-CA"/>
              </w:rPr>
              <w:t>.</w:t>
            </w:r>
          </w:p>
          <w:p w14:paraId="7898534F" w14:textId="77777777" w:rsidR="001516A0" w:rsidRPr="008675A9" w:rsidRDefault="00EB60E0" w:rsidP="00147735">
            <w:pPr>
              <w:ind w:left="720" w:right="142"/>
              <w:jc w:val="both"/>
              <w:rPr>
                <w:sz w:val="22"/>
                <w:lang w:val="en-CA"/>
              </w:rPr>
            </w:pPr>
          </w:p>
          <w:p w14:paraId="06C0FBBC" w14:textId="114458E8" w:rsidR="001516A0" w:rsidRPr="008675A9" w:rsidRDefault="00FC127F" w:rsidP="00147735">
            <w:pPr>
              <w:ind w:left="720" w:right="142"/>
              <w:jc w:val="both"/>
              <w:rPr>
                <w:sz w:val="22"/>
                <w:lang w:val="en-CA"/>
              </w:rPr>
            </w:pPr>
            <w:r w:rsidRPr="008675A9">
              <w:rPr>
                <w:sz w:val="22"/>
                <w:lang w:val="en-CA"/>
              </w:rPr>
              <w:t>A notice must be published and disseminated by the most efficient means available to ensure that the population concerned is rapidly informed</w:t>
            </w:r>
            <w:r w:rsidR="00BD41E7" w:rsidRPr="008675A9">
              <w:rPr>
                <w:sz w:val="22"/>
                <w:lang w:val="en-CA"/>
              </w:rPr>
              <w:t>.</w:t>
            </w:r>
          </w:p>
          <w:p w14:paraId="3485FC7E" w14:textId="77777777" w:rsidR="001516A0" w:rsidRPr="008675A9" w:rsidRDefault="00EB60E0" w:rsidP="00147735">
            <w:pPr>
              <w:ind w:left="720" w:right="142"/>
              <w:jc w:val="both"/>
              <w:rPr>
                <w:sz w:val="22"/>
                <w:lang w:val="en-CA"/>
              </w:rPr>
            </w:pPr>
          </w:p>
          <w:p w14:paraId="549B6703" w14:textId="0594787D" w:rsidR="001516A0" w:rsidRPr="00AB5ACC" w:rsidRDefault="00FC127F" w:rsidP="00D03C84">
            <w:pPr>
              <w:ind w:left="720" w:right="142"/>
              <w:jc w:val="both"/>
              <w:rPr>
                <w:sz w:val="22"/>
                <w:lang w:val="en-CA"/>
              </w:rPr>
            </w:pPr>
            <w:r w:rsidRPr="00AB5ACC">
              <w:rPr>
                <w:sz w:val="22"/>
                <w:lang w:val="en-CA"/>
              </w:rPr>
              <w:t xml:space="preserve">Moreover, the decision must be published in the Gazette </w:t>
            </w:r>
            <w:proofErr w:type="spellStart"/>
            <w:r w:rsidRPr="00AB5ACC">
              <w:rPr>
                <w:sz w:val="22"/>
                <w:lang w:val="en-CA"/>
              </w:rPr>
              <w:t>officielle</w:t>
            </w:r>
            <w:proofErr w:type="spellEnd"/>
            <w:r w:rsidRPr="00AB5ACC">
              <w:rPr>
                <w:sz w:val="22"/>
                <w:lang w:val="en-CA"/>
              </w:rPr>
              <w:t xml:space="preserve"> du Québec</w:t>
            </w:r>
            <w:r w:rsidR="00D03C84">
              <w:rPr>
                <w:sz w:val="22"/>
                <w:lang w:val="en-CA"/>
              </w:rPr>
              <w:t>.</w:t>
            </w:r>
          </w:p>
        </w:tc>
        <w:tc>
          <w:tcPr>
            <w:tcW w:w="4751" w:type="dxa"/>
          </w:tcPr>
          <w:p w14:paraId="68CBC3FD" w14:textId="3B80F25C" w:rsidR="001516A0" w:rsidRPr="00D03C84" w:rsidRDefault="00BD41E7" w:rsidP="00147735">
            <w:pPr>
              <w:ind w:left="144" w:right="720"/>
              <w:jc w:val="both"/>
              <w:rPr>
                <w:sz w:val="22"/>
              </w:rPr>
            </w:pPr>
            <w:r w:rsidRPr="00152D35">
              <w:rPr>
                <w:b/>
                <w:sz w:val="22"/>
              </w:rPr>
              <w:t>128.</w:t>
            </w:r>
            <w:r w:rsidRPr="00152D35">
              <w:rPr>
                <w:sz w:val="22"/>
              </w:rPr>
              <w:t> </w:t>
            </w:r>
            <w:r w:rsidR="00FC127F" w:rsidRPr="00D03C84">
              <w:rPr>
                <w:sz w:val="22"/>
              </w:rPr>
              <w:t>Le gouvernement peut mettre fin à l’état d’urgence sanitaire dès qu’il estime que celui-ci n’est plus nécessaire</w:t>
            </w:r>
            <w:r w:rsidRPr="00D03C84">
              <w:rPr>
                <w:sz w:val="22"/>
              </w:rPr>
              <w:t>.</w:t>
            </w:r>
          </w:p>
          <w:p w14:paraId="6C2AC24F" w14:textId="77777777" w:rsidR="001516A0" w:rsidRPr="00D03C84" w:rsidRDefault="00EB60E0" w:rsidP="00147735">
            <w:pPr>
              <w:ind w:left="144" w:right="720"/>
              <w:jc w:val="both"/>
              <w:rPr>
                <w:sz w:val="22"/>
              </w:rPr>
            </w:pPr>
          </w:p>
          <w:p w14:paraId="3F6D4523" w14:textId="00FFC3F7" w:rsidR="001516A0" w:rsidRPr="00D03C84" w:rsidRDefault="00FC127F" w:rsidP="00147735">
            <w:pPr>
              <w:ind w:left="144" w:right="720"/>
              <w:jc w:val="both"/>
              <w:rPr>
                <w:sz w:val="22"/>
              </w:rPr>
            </w:pPr>
            <w:r w:rsidRPr="00D03C84">
              <w:rPr>
                <w:sz w:val="22"/>
              </w:rPr>
              <w:t>Un avis doit être publié et diffusé avec les meilleurs moyens disponibles pour informer rapidement et efficacement la population concernée</w:t>
            </w:r>
            <w:r w:rsidR="00BD41E7" w:rsidRPr="00D03C84">
              <w:rPr>
                <w:sz w:val="22"/>
              </w:rPr>
              <w:t>.</w:t>
            </w:r>
          </w:p>
          <w:p w14:paraId="6F0D8390" w14:textId="77777777" w:rsidR="00FC127F" w:rsidRPr="00D03C84" w:rsidRDefault="00FC127F" w:rsidP="00147735">
            <w:pPr>
              <w:ind w:left="144" w:right="720"/>
              <w:jc w:val="both"/>
              <w:rPr>
                <w:sz w:val="22"/>
              </w:rPr>
            </w:pPr>
          </w:p>
          <w:p w14:paraId="5E02340B" w14:textId="77777777" w:rsidR="001516A0" w:rsidRPr="00D03C84" w:rsidRDefault="00EB60E0" w:rsidP="00147735">
            <w:pPr>
              <w:ind w:left="144" w:right="720"/>
              <w:jc w:val="both"/>
              <w:rPr>
                <w:sz w:val="22"/>
              </w:rPr>
            </w:pPr>
          </w:p>
          <w:p w14:paraId="15936C28" w14:textId="376339D8" w:rsidR="001516A0" w:rsidRPr="00152D35" w:rsidRDefault="00FC127F" w:rsidP="00147735">
            <w:pPr>
              <w:ind w:left="144" w:right="720"/>
              <w:jc w:val="both"/>
              <w:rPr>
                <w:sz w:val="22"/>
              </w:rPr>
            </w:pPr>
            <w:r w:rsidRPr="00D03C84">
              <w:rPr>
                <w:sz w:val="22"/>
              </w:rPr>
              <w:t>La décision doit, de plus, être publiée à la Gazette officielle du Québec</w:t>
            </w:r>
            <w:r w:rsidR="00BD41E7" w:rsidRPr="00D03C84">
              <w:rPr>
                <w:sz w:val="22"/>
              </w:rPr>
              <w:t>.</w:t>
            </w:r>
          </w:p>
        </w:tc>
      </w:tr>
    </w:tbl>
    <w:p w14:paraId="1274D7C4" w14:textId="5BF149B2" w:rsidR="001516A0" w:rsidRPr="008675A9" w:rsidRDefault="009E40E3" w:rsidP="00043A62">
      <w:pPr>
        <w:pStyle w:val="Paragraphe"/>
        <w:spacing w:line="280" w:lineRule="exact"/>
        <w:rPr>
          <w:lang w:val="en-CA"/>
        </w:rPr>
      </w:pPr>
      <w:r w:rsidRPr="008675A9">
        <w:rPr>
          <w:lang w:val="en-CA"/>
        </w:rPr>
        <w:lastRenderedPageBreak/>
        <w:t xml:space="preserve">Here again, the decision to terminate the emergency </w:t>
      </w:r>
      <w:r w:rsidR="008F0534">
        <w:rPr>
          <w:lang w:val="en-CA"/>
        </w:rPr>
        <w:t>falls to</w:t>
      </w:r>
      <w:r w:rsidRPr="008675A9">
        <w:rPr>
          <w:lang w:val="en-CA"/>
        </w:rPr>
        <w:t xml:space="preserve"> the Government.</w:t>
      </w:r>
      <w:r w:rsidR="00BD41E7" w:rsidRPr="008675A9">
        <w:rPr>
          <w:lang w:val="en-CA"/>
        </w:rPr>
        <w:t xml:space="preserve"> </w:t>
      </w:r>
      <w:r w:rsidRPr="008675A9">
        <w:rPr>
          <w:lang w:val="en-CA"/>
        </w:rPr>
        <w:t>It falls within its discretionary pow</w:t>
      </w:r>
      <w:r w:rsidR="00986CB6">
        <w:rPr>
          <w:lang w:val="en-CA"/>
        </w:rPr>
        <w:t>e</w:t>
      </w:r>
      <w:r w:rsidRPr="008675A9">
        <w:rPr>
          <w:lang w:val="en-CA"/>
        </w:rPr>
        <w:t xml:space="preserve">r, but it </w:t>
      </w:r>
      <w:r w:rsidR="008F0534">
        <w:rPr>
          <w:lang w:val="en-CA"/>
        </w:rPr>
        <w:t xml:space="preserve">may not exercise it </w:t>
      </w:r>
      <w:r w:rsidRPr="008675A9">
        <w:rPr>
          <w:lang w:val="en-CA"/>
        </w:rPr>
        <w:t>in an unreasonable manner.</w:t>
      </w:r>
    </w:p>
    <w:p w14:paraId="2786254A" w14:textId="032BCFBB" w:rsidR="001516A0" w:rsidRPr="008675A9" w:rsidRDefault="009E40E3" w:rsidP="00043A62">
      <w:pPr>
        <w:pStyle w:val="Paragraphe"/>
        <w:spacing w:line="280" w:lineRule="exact"/>
        <w:rPr>
          <w:lang w:val="en-CA"/>
        </w:rPr>
      </w:pPr>
      <w:r w:rsidRPr="008675A9">
        <w:rPr>
          <w:lang w:val="en-CA"/>
        </w:rPr>
        <w:t xml:space="preserve">Following </w:t>
      </w:r>
      <w:r w:rsidR="008F0534">
        <w:rPr>
          <w:lang w:val="en-CA"/>
        </w:rPr>
        <w:t>World War I</w:t>
      </w:r>
      <w:r w:rsidRPr="008675A9">
        <w:rPr>
          <w:lang w:val="en-CA"/>
        </w:rPr>
        <w:t xml:space="preserve">, the Privy Council of London had to decide a similar question in </w:t>
      </w:r>
      <w:r w:rsidRPr="008675A9">
        <w:rPr>
          <w:i/>
          <w:lang w:val="en-CA"/>
        </w:rPr>
        <w:t>Fort Frances and Paper Co. v. Manitoba Free Press Co</w:t>
      </w:r>
      <w:r w:rsidRPr="008675A9">
        <w:rPr>
          <w:lang w:val="en-CA"/>
        </w:rPr>
        <w:t>.</w:t>
      </w:r>
      <w:r w:rsidR="00BD41E7" w:rsidRPr="008675A9">
        <w:rPr>
          <w:vertAlign w:val="superscript"/>
          <w:lang w:val="en-CA"/>
        </w:rPr>
        <w:footnoteReference w:id="43"/>
      </w:r>
      <w:r w:rsidR="00986CB6">
        <w:rPr>
          <w:lang w:val="en-CA"/>
        </w:rPr>
        <w:t xml:space="preserve"> </w:t>
      </w:r>
      <w:r w:rsidRPr="008675A9">
        <w:rPr>
          <w:lang w:val="en-CA"/>
        </w:rPr>
        <w:t xml:space="preserve">In that case, </w:t>
      </w:r>
      <w:r w:rsidR="00986CB6" w:rsidRPr="008675A9">
        <w:rPr>
          <w:lang w:val="en-CA"/>
        </w:rPr>
        <w:t>Canadian</w:t>
      </w:r>
      <w:r w:rsidRPr="008675A9">
        <w:rPr>
          <w:lang w:val="en-CA"/>
        </w:rPr>
        <w:t xml:space="preserve"> </w:t>
      </w:r>
      <w:r w:rsidR="00B713A3">
        <w:rPr>
          <w:lang w:val="en-CA"/>
        </w:rPr>
        <w:t xml:space="preserve">newsprint paper </w:t>
      </w:r>
      <w:r w:rsidRPr="008675A9">
        <w:rPr>
          <w:lang w:val="en-CA"/>
        </w:rPr>
        <w:t xml:space="preserve">manufacturers opposed measures </w:t>
      </w:r>
      <w:r w:rsidR="008F0534">
        <w:rPr>
          <w:lang w:val="en-CA"/>
        </w:rPr>
        <w:t xml:space="preserve">taken by Canada to regulate </w:t>
      </w:r>
      <w:r w:rsidR="00986CB6" w:rsidRPr="008675A9">
        <w:rPr>
          <w:lang w:val="en-CA"/>
        </w:rPr>
        <w:t>newsprint</w:t>
      </w:r>
      <w:r w:rsidRPr="008675A9">
        <w:rPr>
          <w:lang w:val="en-CA"/>
        </w:rPr>
        <w:t xml:space="preserve"> paper prices pursuant to its extraordinary powers to control commerce in times of war</w:t>
      </w:r>
      <w:r w:rsidR="008F0534">
        <w:rPr>
          <w:lang w:val="en-CA"/>
        </w:rPr>
        <w:t>. These</w:t>
      </w:r>
      <w:r w:rsidRPr="008675A9">
        <w:rPr>
          <w:lang w:val="en-CA"/>
        </w:rPr>
        <w:t xml:space="preserve"> measures were to be in place until December 1919.</w:t>
      </w:r>
      <w:r w:rsidR="00BD41E7" w:rsidRPr="008675A9">
        <w:rPr>
          <w:lang w:val="en-CA"/>
        </w:rPr>
        <w:t xml:space="preserve"> </w:t>
      </w:r>
      <w:r w:rsidR="00986CB6" w:rsidRPr="008675A9">
        <w:rPr>
          <w:lang w:val="en-CA"/>
        </w:rPr>
        <w:t>Viscount</w:t>
      </w:r>
      <w:r w:rsidRPr="008675A9">
        <w:rPr>
          <w:lang w:val="en-CA"/>
        </w:rPr>
        <w:t xml:space="preserve"> Haldane explained what </w:t>
      </w:r>
      <w:r w:rsidR="00986CB6" w:rsidRPr="008675A9">
        <w:rPr>
          <w:lang w:val="en-CA"/>
        </w:rPr>
        <w:t>circumstances</w:t>
      </w:r>
      <w:r w:rsidRPr="008675A9">
        <w:rPr>
          <w:lang w:val="en-CA"/>
        </w:rPr>
        <w:t xml:space="preserve"> could justify judicial intervention in the event of the </w:t>
      </w:r>
      <w:r w:rsidRPr="00986CB6">
        <w:rPr>
          <w:i/>
          <w:iCs/>
          <w:lang w:val="en-CA"/>
        </w:rPr>
        <w:t>ultra vires</w:t>
      </w:r>
      <w:r w:rsidRPr="008675A9">
        <w:rPr>
          <w:lang w:val="en-CA"/>
        </w:rPr>
        <w:t xml:space="preserve"> exercise of such powers:</w:t>
      </w:r>
    </w:p>
    <w:p w14:paraId="60514C5E" w14:textId="77777777" w:rsidR="001516A0" w:rsidRPr="008675A9" w:rsidRDefault="00BD41E7" w:rsidP="00921056">
      <w:pPr>
        <w:pStyle w:val="Citationenretrait"/>
        <w:rPr>
          <w:lang w:val="en-CA"/>
        </w:rPr>
      </w:pPr>
      <w:r w:rsidRPr="008675A9">
        <w:rPr>
          <w:lang w:val="en-CA"/>
        </w:rPr>
        <w:t xml:space="preserve">The question of the extent to which provision for circumstances such as these may have to be maintained is one on which a Court of law is loathe to enter. No authority other than the central government is in a position to deal with a problem which is essentially one of statesmanship. It may be that it has become clear that the crisis which arose is wholly at an end and that there is no justification for the continued exercise of an exceptional interference which becomes </w:t>
      </w:r>
      <w:r w:rsidRPr="00AB5ACC">
        <w:rPr>
          <w:lang w:val="en-CA"/>
        </w:rPr>
        <w:t>ultra vires</w:t>
      </w:r>
      <w:r w:rsidRPr="008675A9">
        <w:rPr>
          <w:lang w:val="en-CA"/>
        </w:rPr>
        <w:t xml:space="preserve"> when it is no longer called for. In such a case the law as laid down for distribution of powers in the ruling instrument would have to be invoked. But very clear evidence that the crisis had wholly passed away would be required to justify the judiciary, even when the question raised was one of </w:t>
      </w:r>
      <w:r w:rsidRPr="00AB5ACC">
        <w:rPr>
          <w:lang w:val="en-CA"/>
        </w:rPr>
        <w:t>ultra vires</w:t>
      </w:r>
      <w:r w:rsidRPr="008675A9">
        <w:rPr>
          <w:lang w:val="en-CA"/>
        </w:rPr>
        <w:t xml:space="preserve"> which it had to decide, in overruling the decision of the Government that exceptional measures were still requisite.</w:t>
      </w:r>
      <w:r w:rsidRPr="008675A9">
        <w:rPr>
          <w:vertAlign w:val="superscript"/>
          <w:lang w:val="en-CA"/>
        </w:rPr>
        <w:footnoteReference w:id="44"/>
      </w:r>
    </w:p>
    <w:p w14:paraId="29EB8CBD" w14:textId="17EEEA4B" w:rsidR="001516A0" w:rsidRPr="008675A9" w:rsidRDefault="009E40E3" w:rsidP="00043A62">
      <w:pPr>
        <w:pStyle w:val="Paragraphe"/>
        <w:spacing w:line="280" w:lineRule="exact"/>
        <w:rPr>
          <w:lang w:val="en-CA"/>
        </w:rPr>
      </w:pPr>
      <w:r w:rsidRPr="00AB5ACC">
        <w:rPr>
          <w:lang w:val="en-CA"/>
        </w:rPr>
        <w:t xml:space="preserve">Although the </w:t>
      </w:r>
      <w:r w:rsidR="00986CB6" w:rsidRPr="00AB5ACC">
        <w:rPr>
          <w:lang w:val="en-CA"/>
        </w:rPr>
        <w:t>context</w:t>
      </w:r>
      <w:r w:rsidRPr="00AB5ACC">
        <w:rPr>
          <w:lang w:val="en-CA"/>
        </w:rPr>
        <w:t xml:space="preserve"> is different, </w:t>
      </w:r>
      <w:r w:rsidR="00C905C8">
        <w:rPr>
          <w:lang w:val="en-CA"/>
        </w:rPr>
        <w:t>that</w:t>
      </w:r>
      <w:r w:rsidRPr="00AB5ACC">
        <w:rPr>
          <w:lang w:val="en-CA"/>
        </w:rPr>
        <w:t xml:space="preserve"> case </w:t>
      </w:r>
      <w:r w:rsidR="00C905C8">
        <w:rPr>
          <w:lang w:val="en-CA"/>
        </w:rPr>
        <w:t xml:space="preserve">emphasizes </w:t>
      </w:r>
      <w:r w:rsidRPr="00AB5ACC">
        <w:rPr>
          <w:lang w:val="en-CA"/>
        </w:rPr>
        <w:t xml:space="preserve">that the period during which a public health emergency may be maintained is </w:t>
      </w:r>
      <w:r w:rsidR="007A0AD1">
        <w:rPr>
          <w:lang w:val="en-CA"/>
        </w:rPr>
        <w:t xml:space="preserve">within </w:t>
      </w:r>
      <w:r w:rsidR="00B713A3">
        <w:rPr>
          <w:lang w:val="en-CA"/>
        </w:rPr>
        <w:t>the</w:t>
      </w:r>
      <w:r w:rsidRPr="00AB5ACC">
        <w:rPr>
          <w:lang w:val="en-CA"/>
        </w:rPr>
        <w:t xml:space="preserve"> discretion </w:t>
      </w:r>
      <w:r w:rsidR="00B713A3">
        <w:rPr>
          <w:lang w:val="en-CA"/>
        </w:rPr>
        <w:t xml:space="preserve">of the executive </w:t>
      </w:r>
      <w:r w:rsidRPr="00AB5ACC">
        <w:rPr>
          <w:lang w:val="en-CA"/>
        </w:rPr>
        <w:t xml:space="preserve">and </w:t>
      </w:r>
      <w:r w:rsidR="00C905C8">
        <w:rPr>
          <w:lang w:val="en-CA"/>
        </w:rPr>
        <w:t xml:space="preserve">that </w:t>
      </w:r>
      <w:r w:rsidRPr="00AB5ACC">
        <w:rPr>
          <w:lang w:val="en-CA"/>
        </w:rPr>
        <w:t xml:space="preserve">the courts must show great deference </w:t>
      </w:r>
      <w:r w:rsidR="00C905C8">
        <w:rPr>
          <w:lang w:val="en-CA"/>
        </w:rPr>
        <w:t xml:space="preserve">towards </w:t>
      </w:r>
      <w:r w:rsidRPr="00AB5ACC">
        <w:rPr>
          <w:lang w:val="en-CA"/>
        </w:rPr>
        <w:t>this decision.</w:t>
      </w:r>
      <w:r w:rsidR="00BD41E7" w:rsidRPr="008675A9">
        <w:rPr>
          <w:lang w:val="en-CA"/>
        </w:rPr>
        <w:t xml:space="preserve"> </w:t>
      </w:r>
      <w:r w:rsidR="00C905C8">
        <w:rPr>
          <w:lang w:val="en-CA"/>
        </w:rPr>
        <w:t>Such an intervention requires c</w:t>
      </w:r>
      <w:r w:rsidRPr="008675A9">
        <w:rPr>
          <w:lang w:val="en-CA"/>
        </w:rPr>
        <w:t xml:space="preserve">lear proof that the state of emergency is no longer necessary and </w:t>
      </w:r>
      <w:r w:rsidR="007A0AD1">
        <w:rPr>
          <w:lang w:val="en-CA"/>
        </w:rPr>
        <w:t xml:space="preserve">that </w:t>
      </w:r>
      <w:r w:rsidRPr="008675A9">
        <w:rPr>
          <w:lang w:val="en-CA"/>
        </w:rPr>
        <w:t>the government is abusing its powers.</w:t>
      </w:r>
      <w:r w:rsidR="00BD41E7" w:rsidRPr="008675A9">
        <w:rPr>
          <w:lang w:val="en-CA"/>
        </w:rPr>
        <w:t xml:space="preserve"> </w:t>
      </w:r>
      <w:r w:rsidR="004E2939">
        <w:rPr>
          <w:lang w:val="en-CA"/>
        </w:rPr>
        <w:t xml:space="preserve">The appellant, it must be noted, </w:t>
      </w:r>
      <w:r w:rsidRPr="00AB5ACC">
        <w:rPr>
          <w:lang w:val="en-CA"/>
        </w:rPr>
        <w:t>has not proved this.</w:t>
      </w:r>
      <w:r w:rsidR="007A0AD1">
        <w:rPr>
          <w:lang w:val="en-CA"/>
        </w:rPr>
        <w:t xml:space="preserve"> </w:t>
      </w:r>
      <w:r w:rsidR="004E2939">
        <w:rPr>
          <w:lang w:val="en-CA"/>
        </w:rPr>
        <w:t xml:space="preserve">He </w:t>
      </w:r>
      <w:r w:rsidRPr="00AB5ACC">
        <w:rPr>
          <w:lang w:val="en-CA"/>
        </w:rPr>
        <w:t xml:space="preserve">has adduced no evidence establishing that the public health emergency no longer existed </w:t>
      </w:r>
      <w:r w:rsidR="00986CB6" w:rsidRPr="00AB5ACC">
        <w:rPr>
          <w:lang w:val="en-CA"/>
        </w:rPr>
        <w:t>when</w:t>
      </w:r>
      <w:r w:rsidRPr="00AB5ACC">
        <w:rPr>
          <w:lang w:val="en-CA"/>
        </w:rPr>
        <w:t xml:space="preserve"> he filed his application for judicial review in August 2020.</w:t>
      </w:r>
    </w:p>
    <w:p w14:paraId="4C82F94A" w14:textId="1F9DDC15" w:rsidR="001516A0" w:rsidRPr="00AB5ACC" w:rsidRDefault="009E40E3" w:rsidP="00043A62">
      <w:pPr>
        <w:pStyle w:val="Paragraphe"/>
        <w:spacing w:line="280" w:lineRule="exact"/>
        <w:rPr>
          <w:lang w:val="en-CA"/>
        </w:rPr>
      </w:pPr>
      <w:r w:rsidRPr="00AB5ACC">
        <w:rPr>
          <w:lang w:val="en-CA"/>
        </w:rPr>
        <w:t xml:space="preserve">This ground of appeal is therefore </w:t>
      </w:r>
      <w:r w:rsidR="004E2939">
        <w:rPr>
          <w:lang w:val="en-CA"/>
        </w:rPr>
        <w:t>rejected</w:t>
      </w:r>
      <w:r w:rsidRPr="00AB5ACC">
        <w:rPr>
          <w:lang w:val="en-CA"/>
        </w:rPr>
        <w:t>.</w:t>
      </w:r>
    </w:p>
    <w:p w14:paraId="57A2626D" w14:textId="780BFD8D" w:rsidR="001516A0" w:rsidRPr="00AB5ACC" w:rsidRDefault="009E40E3" w:rsidP="00043A62">
      <w:pPr>
        <w:pStyle w:val="Paragraphe"/>
        <w:numPr>
          <w:ilvl w:val="0"/>
          <w:numId w:val="20"/>
        </w:numPr>
        <w:spacing w:line="280" w:lineRule="exact"/>
        <w:rPr>
          <w:b/>
          <w:lang w:val="en-CA"/>
        </w:rPr>
      </w:pPr>
      <w:r w:rsidRPr="00AB5ACC">
        <w:rPr>
          <w:b/>
          <w:lang w:val="en-CA"/>
        </w:rPr>
        <w:t xml:space="preserve">Did the judge err in concluding that the penal provisions </w:t>
      </w:r>
      <w:r w:rsidR="00BB51B4">
        <w:rPr>
          <w:b/>
          <w:lang w:val="en-CA"/>
        </w:rPr>
        <w:t>of</w:t>
      </w:r>
      <w:r w:rsidR="00BB51B4" w:rsidRPr="00AB5ACC">
        <w:rPr>
          <w:b/>
          <w:lang w:val="en-CA"/>
        </w:rPr>
        <w:t xml:space="preserve"> </w:t>
      </w:r>
      <w:r w:rsidRPr="00AB5ACC">
        <w:rPr>
          <w:b/>
          <w:lang w:val="en-CA"/>
        </w:rPr>
        <w:t xml:space="preserve">section 139 </w:t>
      </w:r>
      <w:r w:rsidRPr="00AB5ACC">
        <w:rPr>
          <w:b/>
          <w:i/>
          <w:iCs/>
          <w:lang w:val="en-CA"/>
        </w:rPr>
        <w:t>PHA</w:t>
      </w:r>
      <w:r w:rsidRPr="00AB5ACC">
        <w:rPr>
          <w:b/>
          <w:lang w:val="en-CA"/>
        </w:rPr>
        <w:t xml:space="preserve"> apply to the measures adopted by </w:t>
      </w:r>
      <w:r w:rsidR="00FA05F2">
        <w:rPr>
          <w:b/>
          <w:lang w:val="en-CA"/>
        </w:rPr>
        <w:t>o</w:t>
      </w:r>
      <w:r w:rsidR="00FA05F2" w:rsidRPr="00AB5ACC">
        <w:rPr>
          <w:b/>
          <w:lang w:val="en-CA"/>
        </w:rPr>
        <w:t xml:space="preserve">rders </w:t>
      </w:r>
      <w:r w:rsidRPr="00AB5ACC">
        <w:rPr>
          <w:b/>
          <w:lang w:val="en-CA"/>
        </w:rPr>
        <w:t xml:space="preserve">in </w:t>
      </w:r>
      <w:r w:rsidR="00FA05F2">
        <w:rPr>
          <w:b/>
          <w:lang w:val="en-CA"/>
        </w:rPr>
        <w:t>c</w:t>
      </w:r>
      <w:r w:rsidR="00FA05F2" w:rsidRPr="00AB5ACC">
        <w:rPr>
          <w:b/>
          <w:lang w:val="en-CA"/>
        </w:rPr>
        <w:t>ouncil</w:t>
      </w:r>
      <w:r w:rsidRPr="00AB5ACC">
        <w:rPr>
          <w:b/>
          <w:lang w:val="en-CA"/>
        </w:rPr>
        <w:t>?</w:t>
      </w:r>
    </w:p>
    <w:p w14:paraId="0BA6C193" w14:textId="5604E10C" w:rsidR="001516A0" w:rsidRPr="008675A9" w:rsidRDefault="009E40E3" w:rsidP="00043A62">
      <w:pPr>
        <w:pStyle w:val="Paragraphe"/>
        <w:spacing w:line="280" w:lineRule="exact"/>
        <w:rPr>
          <w:lang w:val="en-CA"/>
        </w:rPr>
      </w:pPr>
      <w:r w:rsidRPr="008675A9">
        <w:rPr>
          <w:lang w:val="en-CA"/>
        </w:rPr>
        <w:t xml:space="preserve">In the alternative, the appellant argues that the penal provisions </w:t>
      </w:r>
      <w:r w:rsidR="00BB51B4">
        <w:rPr>
          <w:lang w:val="en-CA"/>
        </w:rPr>
        <w:t>of</w:t>
      </w:r>
      <w:r w:rsidR="00BB51B4" w:rsidRPr="008675A9">
        <w:rPr>
          <w:lang w:val="en-CA"/>
        </w:rPr>
        <w:t xml:space="preserve"> </w:t>
      </w:r>
      <w:r w:rsidRPr="008675A9">
        <w:rPr>
          <w:lang w:val="en-CA"/>
        </w:rPr>
        <w:t xml:space="preserve">section 139 </w:t>
      </w:r>
      <w:r w:rsidRPr="008675A9">
        <w:rPr>
          <w:i/>
          <w:lang w:val="en-CA"/>
        </w:rPr>
        <w:t xml:space="preserve">PHA </w:t>
      </w:r>
      <w:r w:rsidRPr="008675A9">
        <w:rPr>
          <w:lang w:val="en-CA"/>
        </w:rPr>
        <w:t xml:space="preserve">apply to individual orders </w:t>
      </w:r>
      <w:r w:rsidR="005B202B">
        <w:rPr>
          <w:lang w:val="en-CA"/>
        </w:rPr>
        <w:t xml:space="preserve">only, </w:t>
      </w:r>
      <w:r w:rsidRPr="008675A9">
        <w:rPr>
          <w:lang w:val="en-CA"/>
        </w:rPr>
        <w:t xml:space="preserve">not to regulatory measures </w:t>
      </w:r>
      <w:r w:rsidR="00FA05F2">
        <w:rPr>
          <w:lang w:val="en-CA"/>
        </w:rPr>
        <w:t>adopted</w:t>
      </w:r>
      <w:r w:rsidR="00FA05F2" w:rsidRPr="008675A9">
        <w:rPr>
          <w:lang w:val="en-CA"/>
        </w:rPr>
        <w:t xml:space="preserve"> </w:t>
      </w:r>
      <w:r w:rsidRPr="008675A9">
        <w:rPr>
          <w:lang w:val="en-CA"/>
        </w:rPr>
        <w:t>by order</w:t>
      </w:r>
      <w:r w:rsidR="00EC2D65">
        <w:rPr>
          <w:lang w:val="en-CA"/>
        </w:rPr>
        <w:t>s</w:t>
      </w:r>
      <w:r w:rsidRPr="008675A9">
        <w:rPr>
          <w:lang w:val="en-CA"/>
        </w:rPr>
        <w:t xml:space="preserve"> in council or order</w:t>
      </w:r>
      <w:r w:rsidR="00EC2D65">
        <w:rPr>
          <w:lang w:val="en-CA"/>
        </w:rPr>
        <w:t>s</w:t>
      </w:r>
      <w:r w:rsidRPr="008675A9">
        <w:rPr>
          <w:lang w:val="en-CA"/>
        </w:rPr>
        <w:t xml:space="preserve"> </w:t>
      </w:r>
      <w:r w:rsidR="00EC2D65">
        <w:rPr>
          <w:lang w:val="en-CA"/>
        </w:rPr>
        <w:t>under</w:t>
      </w:r>
      <w:r w:rsidRPr="008675A9">
        <w:rPr>
          <w:lang w:val="en-CA"/>
        </w:rPr>
        <w:t xml:space="preserve"> section 123 </w:t>
      </w:r>
      <w:r w:rsidRPr="00EC2D65">
        <w:rPr>
          <w:i/>
          <w:iCs/>
          <w:lang w:val="en-CA"/>
        </w:rPr>
        <w:t>PHA</w:t>
      </w:r>
      <w:r w:rsidRPr="008675A9">
        <w:rPr>
          <w:lang w:val="en-CA"/>
        </w:rPr>
        <w:t xml:space="preserve">. It would be contrary to the principle of the </w:t>
      </w:r>
      <w:r w:rsidRPr="008675A9">
        <w:rPr>
          <w:lang w:val="en-CA"/>
        </w:rPr>
        <w:lastRenderedPageBreak/>
        <w:t>predictability of the law if non-</w:t>
      </w:r>
      <w:r w:rsidR="00EC2D65" w:rsidRPr="008675A9">
        <w:rPr>
          <w:lang w:val="en-CA"/>
        </w:rPr>
        <w:t>compliance</w:t>
      </w:r>
      <w:r w:rsidRPr="008675A9">
        <w:rPr>
          <w:lang w:val="en-CA"/>
        </w:rPr>
        <w:t xml:space="preserve"> with a regulatory provision </w:t>
      </w:r>
      <w:r w:rsidR="00645EF6">
        <w:rPr>
          <w:lang w:val="en-CA"/>
        </w:rPr>
        <w:t>resulted in</w:t>
      </w:r>
      <w:r w:rsidR="00645EF6" w:rsidRPr="008675A9">
        <w:rPr>
          <w:lang w:val="en-CA"/>
        </w:rPr>
        <w:t xml:space="preserve"> </w:t>
      </w:r>
      <w:r w:rsidRPr="008675A9">
        <w:rPr>
          <w:lang w:val="en-CA"/>
        </w:rPr>
        <w:t xml:space="preserve">a sanction without first </w:t>
      </w:r>
      <w:r w:rsidR="00645EF6" w:rsidRPr="008675A9">
        <w:rPr>
          <w:lang w:val="en-CA"/>
        </w:rPr>
        <w:t>giv</w:t>
      </w:r>
      <w:r w:rsidR="00645EF6">
        <w:rPr>
          <w:lang w:val="en-CA"/>
        </w:rPr>
        <w:t>ing</w:t>
      </w:r>
      <w:r w:rsidR="00645EF6" w:rsidRPr="008675A9">
        <w:rPr>
          <w:lang w:val="en-CA"/>
        </w:rPr>
        <w:t xml:space="preserve"> an individual order </w:t>
      </w:r>
      <w:r w:rsidR="00645EF6">
        <w:rPr>
          <w:lang w:val="en-CA"/>
        </w:rPr>
        <w:t xml:space="preserve">to </w:t>
      </w:r>
      <w:r w:rsidR="003E1B2D">
        <w:rPr>
          <w:lang w:val="en-CA"/>
        </w:rPr>
        <w:t>offenders</w:t>
      </w:r>
      <w:r w:rsidRPr="008675A9">
        <w:rPr>
          <w:lang w:val="en-CA"/>
        </w:rPr>
        <w:t>.</w:t>
      </w:r>
    </w:p>
    <w:p w14:paraId="175CCCF1" w14:textId="77777777" w:rsidR="001516A0" w:rsidRPr="008675A9" w:rsidRDefault="00BD41E7" w:rsidP="009C05F4">
      <w:pPr>
        <w:spacing w:before="120" w:after="120"/>
        <w:jc w:val="center"/>
        <w:rPr>
          <w:lang w:val="en-CA"/>
        </w:rPr>
      </w:pPr>
      <w:r w:rsidRPr="008675A9">
        <w:rPr>
          <w:lang w:val="en-CA"/>
        </w:rPr>
        <w:t>* * *</w:t>
      </w:r>
    </w:p>
    <w:p w14:paraId="5E2EF74A" w14:textId="0AEFF210" w:rsidR="001516A0" w:rsidRPr="00AB5ACC" w:rsidRDefault="009E40E3" w:rsidP="00043A62">
      <w:pPr>
        <w:pStyle w:val="Paragraphe"/>
        <w:spacing w:line="280" w:lineRule="exact"/>
        <w:rPr>
          <w:lang w:val="en-CA"/>
        </w:rPr>
      </w:pPr>
      <w:r w:rsidRPr="00AB5ACC">
        <w:rPr>
          <w:lang w:val="en-CA"/>
        </w:rPr>
        <w:t>This ground of appeal must also fail.</w:t>
      </w:r>
    </w:p>
    <w:p w14:paraId="4AD1C57F" w14:textId="5D952B66" w:rsidR="001516A0" w:rsidRPr="008675A9" w:rsidRDefault="00EC2D65" w:rsidP="00043A62">
      <w:pPr>
        <w:pStyle w:val="Paragraphe"/>
        <w:spacing w:line="280" w:lineRule="exact"/>
        <w:rPr>
          <w:lang w:val="en-CA"/>
        </w:rPr>
      </w:pPr>
      <w:r w:rsidRPr="00AB5ACC">
        <w:rPr>
          <w:lang w:val="en-CA"/>
        </w:rPr>
        <w:t>S</w:t>
      </w:r>
      <w:r w:rsidR="009E40E3" w:rsidRPr="00AB5ACC">
        <w:rPr>
          <w:lang w:val="en-CA"/>
        </w:rPr>
        <w:t xml:space="preserve">ection 123 authorizes the </w:t>
      </w:r>
      <w:r w:rsidR="006B4AB0">
        <w:rPr>
          <w:lang w:val="en-CA"/>
        </w:rPr>
        <w:t>G</w:t>
      </w:r>
      <w:r w:rsidR="009E40E3" w:rsidRPr="00AB5ACC">
        <w:rPr>
          <w:lang w:val="en-CA"/>
        </w:rPr>
        <w:t>overnment to take measures to protect the health of the population where serious threats exist, whether real or imminent.</w:t>
      </w:r>
    </w:p>
    <w:tbl>
      <w:tblPr>
        <w:tblW w:w="0" w:type="auto"/>
        <w:tblCellMar>
          <w:left w:w="70" w:type="dxa"/>
          <w:right w:w="70" w:type="dxa"/>
        </w:tblCellMar>
        <w:tblLook w:val="0000" w:firstRow="0" w:lastRow="0" w:firstColumn="0" w:lastColumn="0" w:noHBand="0" w:noVBand="0"/>
      </w:tblPr>
      <w:tblGrid>
        <w:gridCol w:w="4681"/>
        <w:gridCol w:w="4681"/>
      </w:tblGrid>
      <w:tr w:rsidR="00720AD1" w:rsidRPr="008675A9" w14:paraId="5A56B06B" w14:textId="77777777" w:rsidTr="00147735">
        <w:tc>
          <w:tcPr>
            <w:tcW w:w="4681" w:type="dxa"/>
          </w:tcPr>
          <w:p w14:paraId="6C927D63" w14:textId="6CF6A3AA" w:rsidR="001516A0" w:rsidRPr="008675A9" w:rsidRDefault="00BD41E7" w:rsidP="00147735">
            <w:pPr>
              <w:pStyle w:val="Tableaugauchefranais"/>
              <w:jc w:val="both"/>
              <w:rPr>
                <w:lang w:val="en-CA"/>
              </w:rPr>
            </w:pPr>
            <w:r w:rsidRPr="008675A9">
              <w:rPr>
                <w:b/>
                <w:lang w:val="en-CA"/>
              </w:rPr>
              <w:t>123</w:t>
            </w:r>
            <w:r w:rsidRPr="008675A9">
              <w:rPr>
                <w:lang w:val="en-CA"/>
              </w:rPr>
              <w:t>. </w:t>
            </w:r>
            <w:r w:rsidR="00EC2D65" w:rsidRPr="008675A9">
              <w:rPr>
                <w:lang w:val="en-CA"/>
              </w:rPr>
              <w:t>Notwithstanding any provision to the contrary, while the public health emergency is in effect, the Government or the Minister, if he or she has been so empowered, may, without delay and without further formality, to protect the health of the population</w:t>
            </w:r>
            <w:r w:rsidR="00EC2D65">
              <w:rPr>
                <w:lang w:val="en-CA"/>
              </w:rPr>
              <w:t>,</w:t>
            </w:r>
          </w:p>
          <w:p w14:paraId="4AE14084" w14:textId="77777777" w:rsidR="001516A0" w:rsidRPr="008675A9" w:rsidRDefault="00EB60E0" w:rsidP="00147735">
            <w:pPr>
              <w:pStyle w:val="Tableaugauchefranais"/>
              <w:jc w:val="both"/>
              <w:rPr>
                <w:lang w:val="en-CA"/>
              </w:rPr>
            </w:pPr>
          </w:p>
          <w:p w14:paraId="3E74E40A" w14:textId="34147B83" w:rsidR="001516A0" w:rsidRPr="008675A9" w:rsidRDefault="00EC2D65" w:rsidP="00147735">
            <w:pPr>
              <w:pStyle w:val="Tableaugauchefranais"/>
              <w:jc w:val="both"/>
              <w:rPr>
                <w:lang w:val="en-CA"/>
              </w:rPr>
            </w:pPr>
            <w:r w:rsidRPr="008675A9">
              <w:rPr>
                <w:lang w:val="en-CA"/>
              </w:rPr>
              <w:t>(1)   </w:t>
            </w:r>
            <w:r w:rsidRPr="008675A9">
              <w:rPr>
                <w:u w:val="single"/>
                <w:lang w:val="en-CA"/>
              </w:rPr>
              <w:t>order</w:t>
            </w:r>
            <w:r w:rsidRPr="008675A9">
              <w:rPr>
                <w:lang w:val="en-CA"/>
              </w:rPr>
              <w:t xml:space="preserve"> compulsory vaccination of the entire population or any part of it against smallpox or any other contagious disease seriously threatening the health of the population and, if necessary, prepare a list of persons or groups who require priority vaccination</w:t>
            </w:r>
            <w:r w:rsidR="003E1B2D">
              <w:rPr>
                <w:lang w:val="en-CA"/>
              </w:rPr>
              <w:t>;</w:t>
            </w:r>
          </w:p>
          <w:p w14:paraId="255D368A" w14:textId="77777777" w:rsidR="001516A0" w:rsidRPr="008675A9" w:rsidRDefault="00EB60E0" w:rsidP="00147735">
            <w:pPr>
              <w:pStyle w:val="Tableaugauchefranais"/>
              <w:jc w:val="both"/>
              <w:rPr>
                <w:lang w:val="en-CA"/>
              </w:rPr>
            </w:pPr>
          </w:p>
          <w:p w14:paraId="601EA2A5" w14:textId="77777777" w:rsidR="001516A0" w:rsidRPr="008675A9" w:rsidRDefault="00EB60E0" w:rsidP="00147735">
            <w:pPr>
              <w:pStyle w:val="Tableaugauchefranais"/>
              <w:jc w:val="both"/>
              <w:rPr>
                <w:lang w:val="en-CA"/>
              </w:rPr>
            </w:pPr>
          </w:p>
          <w:p w14:paraId="12528F80" w14:textId="2D599A90" w:rsidR="001516A0" w:rsidRPr="008675A9" w:rsidRDefault="00EC2D65" w:rsidP="00147735">
            <w:pPr>
              <w:pStyle w:val="Tableaugauchefranais"/>
              <w:jc w:val="both"/>
              <w:rPr>
                <w:lang w:val="en-CA"/>
              </w:rPr>
            </w:pPr>
            <w:r>
              <w:rPr>
                <w:lang w:val="en-CA"/>
              </w:rPr>
              <w:t>(</w:t>
            </w:r>
            <w:r w:rsidR="00BD41E7" w:rsidRPr="008675A9">
              <w:rPr>
                <w:lang w:val="en-CA"/>
              </w:rPr>
              <w:t>2</w:t>
            </w:r>
            <w:r>
              <w:rPr>
                <w:lang w:val="en-CA"/>
              </w:rPr>
              <w:t>)</w:t>
            </w:r>
            <w:r w:rsidR="00BD41E7" w:rsidRPr="008675A9">
              <w:rPr>
                <w:lang w:val="en-CA"/>
              </w:rPr>
              <w:t> </w:t>
            </w:r>
            <w:r w:rsidRPr="008675A9">
              <w:rPr>
                <w:u w:val="single"/>
                <w:lang w:val="en-CA"/>
              </w:rPr>
              <w:t>order</w:t>
            </w:r>
            <w:r w:rsidRPr="008675A9">
              <w:rPr>
                <w:lang w:val="en-CA"/>
              </w:rPr>
              <w:t xml:space="preserve"> the closing of educational institutions or of any other place of assembly</w:t>
            </w:r>
            <w:r w:rsidR="00BD41E7" w:rsidRPr="008675A9">
              <w:rPr>
                <w:lang w:val="en-CA"/>
              </w:rPr>
              <w:t>;</w:t>
            </w:r>
          </w:p>
          <w:p w14:paraId="0457E923" w14:textId="77777777" w:rsidR="001516A0" w:rsidRPr="008675A9" w:rsidRDefault="00EB60E0" w:rsidP="00147735">
            <w:pPr>
              <w:pStyle w:val="Tableaugauchefranais"/>
              <w:jc w:val="both"/>
              <w:rPr>
                <w:lang w:val="en-CA"/>
              </w:rPr>
            </w:pPr>
          </w:p>
          <w:p w14:paraId="3B9789B4" w14:textId="42FB036B" w:rsidR="001516A0" w:rsidRPr="008675A9" w:rsidRDefault="00EC2D65" w:rsidP="00147735">
            <w:pPr>
              <w:pStyle w:val="Tableaugauchefranais"/>
              <w:jc w:val="both"/>
              <w:rPr>
                <w:lang w:val="en-CA"/>
              </w:rPr>
            </w:pPr>
            <w:r>
              <w:rPr>
                <w:lang w:val="en-CA"/>
              </w:rPr>
              <w:t>(</w:t>
            </w:r>
            <w:r w:rsidR="00BD41E7" w:rsidRPr="008675A9">
              <w:rPr>
                <w:lang w:val="en-CA"/>
              </w:rPr>
              <w:t>3</w:t>
            </w:r>
            <w:r>
              <w:rPr>
                <w:lang w:val="en-CA"/>
              </w:rPr>
              <w:t>)</w:t>
            </w:r>
            <w:r w:rsidR="00BD41E7" w:rsidRPr="008675A9">
              <w:rPr>
                <w:lang w:val="en-CA"/>
              </w:rPr>
              <w:t> </w:t>
            </w:r>
            <w:r w:rsidRPr="008675A9">
              <w:rPr>
                <w:u w:val="single"/>
                <w:lang w:val="en-CA"/>
              </w:rPr>
              <w:t>order</w:t>
            </w:r>
            <w:r w:rsidRPr="008675A9">
              <w:rPr>
                <w:lang w:val="en-CA"/>
              </w:rPr>
              <w:t xml:space="preserve"> any person, government department or body to communicate or give to the Government or the Minister immediate access to any document or information held, even personal or confidential information or a confidential document</w:t>
            </w:r>
            <w:r>
              <w:rPr>
                <w:lang w:val="en-CA"/>
              </w:rPr>
              <w:t>;</w:t>
            </w:r>
          </w:p>
          <w:p w14:paraId="3F8A9BC0" w14:textId="509F05B6" w:rsidR="001516A0" w:rsidRDefault="00EB60E0" w:rsidP="00147735">
            <w:pPr>
              <w:pStyle w:val="Tableaugauchefranais"/>
              <w:jc w:val="both"/>
              <w:rPr>
                <w:lang w:val="en-CA"/>
              </w:rPr>
            </w:pPr>
          </w:p>
          <w:p w14:paraId="7FAAEF9B" w14:textId="5BB6FB01" w:rsidR="00C85B5D" w:rsidRDefault="00C85B5D" w:rsidP="00147735">
            <w:pPr>
              <w:pStyle w:val="Tableaugauchefranais"/>
              <w:jc w:val="both"/>
              <w:rPr>
                <w:lang w:val="en-CA"/>
              </w:rPr>
            </w:pPr>
          </w:p>
          <w:p w14:paraId="15C82C35" w14:textId="77777777" w:rsidR="00C85B5D" w:rsidRPr="008675A9" w:rsidRDefault="00C85B5D" w:rsidP="00147735">
            <w:pPr>
              <w:pStyle w:val="Tableaugauchefranais"/>
              <w:jc w:val="both"/>
              <w:rPr>
                <w:lang w:val="en-CA"/>
              </w:rPr>
            </w:pPr>
          </w:p>
          <w:p w14:paraId="4385FB07" w14:textId="7BE63F80" w:rsidR="001516A0" w:rsidRPr="008675A9" w:rsidRDefault="00C85B5D" w:rsidP="00147735">
            <w:pPr>
              <w:pStyle w:val="Tableaugauchefranais"/>
              <w:jc w:val="both"/>
              <w:rPr>
                <w:lang w:val="en-CA"/>
              </w:rPr>
            </w:pPr>
            <w:r>
              <w:rPr>
                <w:lang w:val="en-CA"/>
              </w:rPr>
              <w:lastRenderedPageBreak/>
              <w:t>(</w:t>
            </w:r>
            <w:r w:rsidR="00BD41E7" w:rsidRPr="008675A9">
              <w:rPr>
                <w:lang w:val="en-CA"/>
              </w:rPr>
              <w:t>4</w:t>
            </w:r>
            <w:r>
              <w:rPr>
                <w:lang w:val="en-CA"/>
              </w:rPr>
              <w:t>)</w:t>
            </w:r>
            <w:r w:rsidR="00EC2D65" w:rsidRPr="008675A9">
              <w:rPr>
                <w:lang w:val="en-CA"/>
              </w:rPr>
              <w:t xml:space="preserve"> prohibit entry into all or part of the area concerned or allow access to an area only to certain persons and subject to certain conditions, or order, for the time necessary where there is no other means of protection, the evacuation of persons from all or any part of the area or their confinement and, if the persons affected have no other resources, provide for their lodging, feeding, clothing and security needs</w:t>
            </w:r>
            <w:r w:rsidR="00BD41E7" w:rsidRPr="008675A9">
              <w:rPr>
                <w:lang w:val="en-CA"/>
              </w:rPr>
              <w:t>;</w:t>
            </w:r>
          </w:p>
          <w:p w14:paraId="05FC1310" w14:textId="12C2A4BA" w:rsidR="001516A0" w:rsidRDefault="00EB60E0" w:rsidP="00147735">
            <w:pPr>
              <w:pStyle w:val="Tableaugauchefranais"/>
              <w:jc w:val="both"/>
              <w:rPr>
                <w:lang w:val="en-CA"/>
              </w:rPr>
            </w:pPr>
          </w:p>
          <w:p w14:paraId="50364218" w14:textId="4C927A58" w:rsidR="00C85B5D" w:rsidRDefault="00C85B5D" w:rsidP="00147735">
            <w:pPr>
              <w:pStyle w:val="Tableaugauchefranais"/>
              <w:jc w:val="both"/>
              <w:rPr>
                <w:lang w:val="en-CA"/>
              </w:rPr>
            </w:pPr>
          </w:p>
          <w:p w14:paraId="2A6C63D4" w14:textId="77777777" w:rsidR="00C85B5D" w:rsidRPr="008675A9" w:rsidRDefault="00C85B5D" w:rsidP="00147735">
            <w:pPr>
              <w:pStyle w:val="Tableaugauchefranais"/>
              <w:jc w:val="both"/>
              <w:rPr>
                <w:lang w:val="en-CA"/>
              </w:rPr>
            </w:pPr>
          </w:p>
          <w:p w14:paraId="32740649" w14:textId="26C29B0A" w:rsidR="001516A0" w:rsidRPr="008675A9" w:rsidRDefault="00C85B5D" w:rsidP="00147735">
            <w:pPr>
              <w:pStyle w:val="Tableaugauchefranais"/>
              <w:jc w:val="both"/>
              <w:rPr>
                <w:lang w:val="en-CA"/>
              </w:rPr>
            </w:pPr>
            <w:r w:rsidRPr="008675A9">
              <w:rPr>
                <w:lang w:val="en-CA"/>
              </w:rPr>
              <w:t>(5) </w:t>
            </w:r>
            <w:r w:rsidRPr="008675A9">
              <w:rPr>
                <w:u w:val="single"/>
                <w:lang w:val="en-CA"/>
              </w:rPr>
              <w:t>order</w:t>
            </w:r>
            <w:r w:rsidRPr="008675A9">
              <w:rPr>
                <w:lang w:val="en-CA"/>
              </w:rPr>
              <w:t xml:space="preserve"> the construction of any work, the installation of sanitary facilities or the provision of health and social services</w:t>
            </w:r>
            <w:r w:rsidR="00BD41E7" w:rsidRPr="008675A9">
              <w:rPr>
                <w:lang w:val="en-CA"/>
              </w:rPr>
              <w:t>;</w:t>
            </w:r>
          </w:p>
          <w:p w14:paraId="2821DE36" w14:textId="124DED07" w:rsidR="001516A0" w:rsidRDefault="00EB60E0" w:rsidP="00147735">
            <w:pPr>
              <w:pStyle w:val="Tableaugauchefranais"/>
              <w:jc w:val="both"/>
              <w:rPr>
                <w:lang w:val="en-CA"/>
              </w:rPr>
            </w:pPr>
          </w:p>
          <w:p w14:paraId="528ACDC7" w14:textId="77777777" w:rsidR="00CE466D" w:rsidRPr="008675A9" w:rsidRDefault="00CE466D" w:rsidP="00147735">
            <w:pPr>
              <w:pStyle w:val="Tableaugauchefranais"/>
              <w:jc w:val="both"/>
              <w:rPr>
                <w:lang w:val="en-CA"/>
              </w:rPr>
            </w:pPr>
          </w:p>
          <w:p w14:paraId="3656803B" w14:textId="3BA817ED" w:rsidR="001516A0" w:rsidRDefault="00C85B5D" w:rsidP="00147735">
            <w:pPr>
              <w:pStyle w:val="Tableaugauchefranais"/>
              <w:jc w:val="both"/>
              <w:rPr>
                <w:lang w:val="en-CA"/>
              </w:rPr>
            </w:pPr>
            <w:r>
              <w:rPr>
                <w:lang w:val="en-CA"/>
              </w:rPr>
              <w:t>(</w:t>
            </w:r>
            <w:r w:rsidR="00BD41E7" w:rsidRPr="008675A9">
              <w:rPr>
                <w:lang w:val="en-CA"/>
              </w:rPr>
              <w:t>6</w:t>
            </w:r>
            <w:r>
              <w:rPr>
                <w:lang w:val="en-CA"/>
              </w:rPr>
              <w:t>)</w:t>
            </w:r>
            <w:r w:rsidR="00BD41E7" w:rsidRPr="008675A9">
              <w:rPr>
                <w:lang w:val="en-CA"/>
              </w:rPr>
              <w:t> </w:t>
            </w:r>
            <w:r w:rsidRPr="008675A9">
              <w:rPr>
                <w:lang w:val="en-CA"/>
              </w:rPr>
              <w:t>require the assistance of any government department or body capable of assisting the personnel deployed</w:t>
            </w:r>
            <w:r w:rsidR="00BD41E7" w:rsidRPr="008675A9">
              <w:rPr>
                <w:lang w:val="en-CA"/>
              </w:rPr>
              <w:t>;</w:t>
            </w:r>
          </w:p>
          <w:p w14:paraId="3AAAB617" w14:textId="77777777" w:rsidR="003E1B2D" w:rsidRPr="008675A9" w:rsidRDefault="003E1B2D" w:rsidP="00147735">
            <w:pPr>
              <w:pStyle w:val="Tableaugauchefranais"/>
              <w:jc w:val="both"/>
              <w:rPr>
                <w:lang w:val="en-CA"/>
              </w:rPr>
            </w:pPr>
          </w:p>
          <w:p w14:paraId="3D455BDE" w14:textId="77777777" w:rsidR="00CE466D" w:rsidRDefault="00CE466D" w:rsidP="00147735">
            <w:pPr>
              <w:pStyle w:val="Tableaugauchefranais"/>
              <w:jc w:val="both"/>
              <w:rPr>
                <w:lang w:val="en-CA"/>
              </w:rPr>
            </w:pPr>
          </w:p>
          <w:p w14:paraId="5F377A07" w14:textId="3DFA1005" w:rsidR="001516A0" w:rsidRPr="008675A9" w:rsidRDefault="00CE466D" w:rsidP="00147735">
            <w:pPr>
              <w:pStyle w:val="Tableaugauchefranais"/>
              <w:jc w:val="both"/>
              <w:rPr>
                <w:lang w:val="en-CA"/>
              </w:rPr>
            </w:pPr>
            <w:r>
              <w:rPr>
                <w:lang w:val="en-CA"/>
              </w:rPr>
              <w:t>(</w:t>
            </w:r>
            <w:r w:rsidR="00BD41E7" w:rsidRPr="008675A9">
              <w:rPr>
                <w:lang w:val="en-CA"/>
              </w:rPr>
              <w:t>7</w:t>
            </w:r>
            <w:r>
              <w:rPr>
                <w:lang w:val="en-CA"/>
              </w:rPr>
              <w:t>)</w:t>
            </w:r>
            <w:r w:rsidR="00BD41E7" w:rsidRPr="008675A9">
              <w:rPr>
                <w:lang w:val="en-CA"/>
              </w:rPr>
              <w:t> </w:t>
            </w:r>
            <w:r w:rsidRPr="008675A9">
              <w:rPr>
                <w:lang w:val="en-CA"/>
              </w:rPr>
              <w:t>incur such expenses and enter into such contracts as are considered necessary</w:t>
            </w:r>
            <w:r w:rsidR="00BD41E7" w:rsidRPr="008675A9">
              <w:rPr>
                <w:lang w:val="en-CA"/>
              </w:rPr>
              <w:t>;</w:t>
            </w:r>
          </w:p>
          <w:p w14:paraId="3D711353" w14:textId="77777777" w:rsidR="001516A0" w:rsidRPr="008675A9" w:rsidRDefault="00EB60E0" w:rsidP="00147735">
            <w:pPr>
              <w:pStyle w:val="Tableaugauchefranais"/>
              <w:jc w:val="both"/>
              <w:rPr>
                <w:lang w:val="en-CA"/>
              </w:rPr>
            </w:pPr>
          </w:p>
          <w:p w14:paraId="35FF32CA" w14:textId="40980687" w:rsidR="001516A0" w:rsidRPr="00AB5ACC" w:rsidRDefault="00CE466D" w:rsidP="00147735">
            <w:pPr>
              <w:pStyle w:val="Tableaugauchefranais"/>
              <w:jc w:val="both"/>
              <w:rPr>
                <w:bCs/>
                <w:lang w:val="en-CA"/>
              </w:rPr>
            </w:pPr>
            <w:r w:rsidRPr="00AB5ACC">
              <w:rPr>
                <w:lang w:val="en-CA"/>
              </w:rPr>
              <w:t>(</w:t>
            </w:r>
            <w:r w:rsidR="00BD41E7" w:rsidRPr="00AB5ACC">
              <w:rPr>
                <w:lang w:val="en-CA"/>
              </w:rPr>
              <w:t>8</w:t>
            </w:r>
            <w:r w:rsidRPr="00AB5ACC">
              <w:rPr>
                <w:lang w:val="en-CA"/>
              </w:rPr>
              <w:t xml:space="preserve">) </w:t>
            </w:r>
            <w:r w:rsidRPr="00AB5ACC">
              <w:rPr>
                <w:u w:val="single"/>
                <w:lang w:val="en-CA"/>
              </w:rPr>
              <w:t>order</w:t>
            </w:r>
            <w:r w:rsidRPr="00AB5ACC">
              <w:rPr>
                <w:lang w:val="en-CA"/>
              </w:rPr>
              <w:t xml:space="preserve"> any other measure necessary to protect the health of the population</w:t>
            </w:r>
            <w:r w:rsidR="00BD41E7" w:rsidRPr="00AB5ACC">
              <w:rPr>
                <w:lang w:val="en-CA"/>
              </w:rPr>
              <w:t>.</w:t>
            </w:r>
          </w:p>
        </w:tc>
        <w:tc>
          <w:tcPr>
            <w:tcW w:w="4681" w:type="dxa"/>
          </w:tcPr>
          <w:p w14:paraId="1A4C4ED8" w14:textId="5F33F4F4" w:rsidR="001516A0" w:rsidRDefault="00BD41E7" w:rsidP="00A72D8C">
            <w:pPr>
              <w:pStyle w:val="Tableaudroiteanglais"/>
              <w:rPr>
                <w:lang w:val="fr-CA"/>
              </w:rPr>
            </w:pPr>
            <w:r w:rsidRPr="00152D35">
              <w:rPr>
                <w:b/>
                <w:lang w:val="fr-CA"/>
              </w:rPr>
              <w:lastRenderedPageBreak/>
              <w:t>123</w:t>
            </w:r>
            <w:r w:rsidRPr="00152D35">
              <w:rPr>
                <w:lang w:val="fr-CA"/>
              </w:rPr>
              <w:t>.</w:t>
            </w:r>
            <w:r w:rsidR="003E1B2D" w:rsidRPr="00152D35">
              <w:rPr>
                <w:lang w:val="fr-CA"/>
              </w:rPr>
              <w:t xml:space="preserve"> </w:t>
            </w:r>
            <w:r w:rsidR="003E1B2D" w:rsidRPr="003E1B2D">
              <w:rPr>
                <w:lang w:val="fr-CA"/>
              </w:rPr>
              <w:t>Au cours de l’état d’urgence sanitaire, malgré toute disposition contraire, le gouvernement ou le ministre, s’il a été habilité, peut, sans délai et sans formalité, pour protéger la santé de la population</w:t>
            </w:r>
            <w:r w:rsidR="00EC2D65" w:rsidRPr="003E1B2D">
              <w:rPr>
                <w:lang w:val="fr-CA"/>
              </w:rPr>
              <w:t>:</w:t>
            </w:r>
          </w:p>
          <w:p w14:paraId="776F26A9" w14:textId="77777777" w:rsidR="003E1B2D" w:rsidRPr="003E1B2D" w:rsidRDefault="003E1B2D" w:rsidP="00A72D8C">
            <w:pPr>
              <w:pStyle w:val="Tableaudroiteanglais"/>
              <w:rPr>
                <w:lang w:val="fr-CA"/>
              </w:rPr>
            </w:pPr>
          </w:p>
          <w:p w14:paraId="7C7977AD" w14:textId="2C82ACE9" w:rsidR="001516A0" w:rsidRDefault="00EB60E0" w:rsidP="00A72D8C">
            <w:pPr>
              <w:pStyle w:val="Tableaudroiteanglais"/>
              <w:rPr>
                <w:lang w:val="fr-CA"/>
              </w:rPr>
            </w:pPr>
          </w:p>
          <w:p w14:paraId="2C303732" w14:textId="77777777" w:rsidR="003E1B2D" w:rsidRPr="003E1B2D" w:rsidRDefault="003E1B2D" w:rsidP="00A72D8C">
            <w:pPr>
              <w:pStyle w:val="Tableaudroiteanglais"/>
              <w:rPr>
                <w:lang w:val="fr-CA"/>
              </w:rPr>
            </w:pPr>
          </w:p>
          <w:p w14:paraId="7035B0EB" w14:textId="68EF2986" w:rsidR="001516A0" w:rsidRPr="003E1B2D" w:rsidRDefault="00EC2D65" w:rsidP="00A72D8C">
            <w:pPr>
              <w:pStyle w:val="Tableaudroiteanglais"/>
              <w:rPr>
                <w:lang w:val="fr-CA"/>
              </w:rPr>
            </w:pPr>
            <w:r w:rsidRPr="003E1B2D">
              <w:rPr>
                <w:lang w:val="fr-CA"/>
              </w:rPr>
              <w:t xml:space="preserve">1° </w:t>
            </w:r>
            <w:r w:rsidRPr="003E1B2D">
              <w:rPr>
                <w:u w:val="single"/>
                <w:lang w:val="fr-CA"/>
              </w:rPr>
              <w:t>ordonner</w:t>
            </w:r>
            <w:r w:rsidRPr="003E1B2D">
              <w:rPr>
                <w:lang w:val="fr-CA"/>
              </w:rPr>
              <w:t xml:space="preserve"> la vaccination obligatoire de toute la population ou d’une certaine partie de celle-ci contre la variole ou contre une autre maladie contagieuse menaçant gravement la santé de la population et, s’il y a lieu, dresser une liste de personnes ou de groupes devant être prioritairement vaccinés;</w:t>
            </w:r>
            <w:r w:rsidR="00BD41E7" w:rsidRPr="003E1B2D">
              <w:rPr>
                <w:lang w:val="fr-CA"/>
              </w:rPr>
              <w:t>  </w:t>
            </w:r>
          </w:p>
          <w:p w14:paraId="56D11DE8" w14:textId="77777777" w:rsidR="001516A0" w:rsidRPr="003E1B2D" w:rsidRDefault="00EB60E0" w:rsidP="00A72D8C">
            <w:pPr>
              <w:pStyle w:val="Tableaudroiteanglais"/>
              <w:rPr>
                <w:lang w:val="fr-CA"/>
              </w:rPr>
            </w:pPr>
          </w:p>
          <w:p w14:paraId="2F7534E9" w14:textId="4CC72DDB" w:rsidR="001516A0" w:rsidRPr="003E1B2D" w:rsidRDefault="00EC2D65" w:rsidP="00A72D8C">
            <w:pPr>
              <w:pStyle w:val="Tableaudroiteanglais"/>
              <w:rPr>
                <w:lang w:val="fr-CA"/>
              </w:rPr>
            </w:pPr>
            <w:r w:rsidRPr="003E1B2D">
              <w:rPr>
                <w:lang w:val="fr-CA"/>
              </w:rPr>
              <w:t>2° </w:t>
            </w:r>
            <w:r w:rsidRPr="003E1B2D">
              <w:rPr>
                <w:u w:val="single"/>
                <w:lang w:val="fr-CA"/>
              </w:rPr>
              <w:t>ordonner</w:t>
            </w:r>
            <w:r w:rsidRPr="003E1B2D">
              <w:rPr>
                <w:lang w:val="fr-CA"/>
              </w:rPr>
              <w:t xml:space="preserve"> la fermeture des établissements d’enseignement ou de tout autre lieu de rassemblement</w:t>
            </w:r>
            <w:r w:rsidR="003E1B2D">
              <w:rPr>
                <w:lang w:val="fr-CA"/>
              </w:rPr>
              <w:t>;</w:t>
            </w:r>
            <w:r w:rsidRPr="003E1B2D">
              <w:rPr>
                <w:lang w:val="fr-CA"/>
              </w:rPr>
              <w:t xml:space="preserve"> </w:t>
            </w:r>
            <w:r w:rsidR="00BD41E7" w:rsidRPr="003E1B2D">
              <w:rPr>
                <w:lang w:val="fr-CA"/>
              </w:rPr>
              <w:t> </w:t>
            </w:r>
          </w:p>
          <w:p w14:paraId="3E7B8A23" w14:textId="77777777" w:rsidR="001516A0" w:rsidRPr="003E1B2D" w:rsidRDefault="00EB60E0" w:rsidP="00A72D8C">
            <w:pPr>
              <w:pStyle w:val="Tableaudroiteanglais"/>
              <w:rPr>
                <w:lang w:val="fr-CA"/>
              </w:rPr>
            </w:pPr>
          </w:p>
          <w:p w14:paraId="246F4319" w14:textId="3DB0A523" w:rsidR="001516A0" w:rsidRPr="003E1B2D" w:rsidRDefault="00BD41E7" w:rsidP="00A72D8C">
            <w:pPr>
              <w:pStyle w:val="Tableaudroiteanglais"/>
              <w:rPr>
                <w:lang w:val="fr-CA"/>
              </w:rPr>
            </w:pPr>
            <w:r w:rsidRPr="003E1B2D">
              <w:rPr>
                <w:lang w:val="fr-CA"/>
              </w:rPr>
              <w:t>3</w:t>
            </w:r>
            <w:r w:rsidR="00EC2D65" w:rsidRPr="003E1B2D">
              <w:rPr>
                <w:lang w:val="fr-CA"/>
              </w:rPr>
              <w:t>°</w:t>
            </w:r>
            <w:r w:rsidRPr="003E1B2D">
              <w:rPr>
                <w:lang w:val="fr-CA"/>
              </w:rPr>
              <w:t>   </w:t>
            </w:r>
            <w:r w:rsidR="00EC2D65" w:rsidRPr="003E1B2D">
              <w:rPr>
                <w:u w:val="single"/>
                <w:lang w:val="fr-CA"/>
              </w:rPr>
              <w:t>ordonner</w:t>
            </w:r>
            <w:r w:rsidR="00EC2D65" w:rsidRPr="003E1B2D">
              <w:rPr>
                <w:lang w:val="fr-CA"/>
              </w:rPr>
              <w:t xml:space="preserve"> à toute personne, ministère ou organisme de lui communiquer ou de lui donner accès immédiatement à tout document ou à tout renseignement en sa possession, même s’il s’agit d’un renseignement personnel, d’un document ou d’un renseignement </w:t>
            </w:r>
            <w:r w:rsidR="003E1B2D" w:rsidRPr="003E1B2D">
              <w:rPr>
                <w:lang w:val="fr-CA"/>
              </w:rPr>
              <w:t>confidentiel</w:t>
            </w:r>
            <w:r w:rsidRPr="003E1B2D">
              <w:rPr>
                <w:lang w:val="fr-CA"/>
              </w:rPr>
              <w:t>;</w:t>
            </w:r>
          </w:p>
          <w:p w14:paraId="5B6DDC83" w14:textId="77777777" w:rsidR="001516A0" w:rsidRPr="003E1B2D" w:rsidRDefault="00EB60E0" w:rsidP="00A72D8C">
            <w:pPr>
              <w:pStyle w:val="Tableaudroiteanglais"/>
              <w:rPr>
                <w:lang w:val="fr-CA"/>
              </w:rPr>
            </w:pPr>
          </w:p>
          <w:p w14:paraId="20B183E7" w14:textId="77777777" w:rsidR="001516A0" w:rsidRPr="003E1B2D" w:rsidRDefault="00EB60E0" w:rsidP="00A72D8C">
            <w:pPr>
              <w:pStyle w:val="Tableaudroiteanglais"/>
              <w:rPr>
                <w:lang w:val="fr-CA"/>
              </w:rPr>
            </w:pPr>
          </w:p>
          <w:p w14:paraId="5F633DCC" w14:textId="5563108A" w:rsidR="001516A0" w:rsidRPr="003E1B2D" w:rsidRDefault="00C85B5D" w:rsidP="00C85B5D">
            <w:pPr>
              <w:pStyle w:val="Tableaudroiteanglais"/>
              <w:rPr>
                <w:lang w:val="fr-CA"/>
              </w:rPr>
            </w:pPr>
            <w:r w:rsidRPr="003E1B2D">
              <w:rPr>
                <w:lang w:val="fr-CA"/>
              </w:rPr>
              <w:lastRenderedPageBreak/>
              <w:t>4</w:t>
            </w:r>
            <w:r w:rsidR="00EC2D65" w:rsidRPr="003E1B2D">
              <w:rPr>
                <w:lang w:val="fr-CA"/>
              </w:rPr>
              <w:t xml:space="preserve">° interdire l’accès à tout ou partie du territoire concerné ou n’en permettre l’accès qu’à certaines personnes et qu’à certaines conditions, ou ordonner, lorsqu’il n’y a pas d’autre moyen de protection, pour le temps nécessaire, l’évacuation des personnes de tout ou partie du territoire ou leur confinement et veiller, si les personnes touchées n’ont pas d’autres ressources, à leur hébergement, leur ravitaillement et leur habillement ainsi qu’à leur sécurité; </w:t>
            </w:r>
          </w:p>
          <w:p w14:paraId="7D46B1B8" w14:textId="77777777" w:rsidR="001516A0" w:rsidRPr="003E1B2D" w:rsidRDefault="00EB60E0" w:rsidP="00A72D8C">
            <w:pPr>
              <w:pStyle w:val="Tableaudroiteanglais"/>
              <w:rPr>
                <w:lang w:val="fr-CA"/>
              </w:rPr>
            </w:pPr>
          </w:p>
          <w:p w14:paraId="1C1CCE4A" w14:textId="3D3B1304" w:rsidR="001516A0" w:rsidRPr="003E1B2D" w:rsidRDefault="00BD41E7" w:rsidP="00A72D8C">
            <w:pPr>
              <w:pStyle w:val="Tableaudroiteanglais"/>
              <w:rPr>
                <w:lang w:val="fr-CA"/>
              </w:rPr>
            </w:pPr>
            <w:r w:rsidRPr="003E1B2D">
              <w:rPr>
                <w:lang w:val="fr-CA"/>
              </w:rPr>
              <w:t>5</w:t>
            </w:r>
            <w:r w:rsidR="00C85B5D" w:rsidRPr="003E1B2D">
              <w:rPr>
                <w:lang w:val="fr-CA"/>
              </w:rPr>
              <w:t>° </w:t>
            </w:r>
            <w:r w:rsidR="00C85B5D" w:rsidRPr="003E1B2D">
              <w:rPr>
                <w:u w:val="single"/>
                <w:lang w:val="fr-CA"/>
              </w:rPr>
              <w:t>ordonner</w:t>
            </w:r>
            <w:r w:rsidR="00C85B5D" w:rsidRPr="003E1B2D">
              <w:rPr>
                <w:lang w:val="fr-CA"/>
              </w:rPr>
              <w:t xml:space="preserve"> la construction de tout ouvrage ou la mise en place d’installations à des fins sanitaires ou de dispensation de services de santé et de services;</w:t>
            </w:r>
          </w:p>
          <w:p w14:paraId="1822BCD6" w14:textId="77777777" w:rsidR="001516A0" w:rsidRPr="003E1B2D" w:rsidRDefault="00EB60E0" w:rsidP="00A72D8C">
            <w:pPr>
              <w:pStyle w:val="Tableaudroiteanglais"/>
              <w:rPr>
                <w:lang w:val="fr-CA"/>
              </w:rPr>
            </w:pPr>
          </w:p>
          <w:p w14:paraId="7A918F8F" w14:textId="192964DE" w:rsidR="001516A0" w:rsidRPr="003E1B2D" w:rsidRDefault="00BD41E7" w:rsidP="00A72D8C">
            <w:pPr>
              <w:pStyle w:val="Tableaudroiteanglais"/>
              <w:rPr>
                <w:lang w:val="fr-CA"/>
              </w:rPr>
            </w:pPr>
            <w:r w:rsidRPr="003E1B2D">
              <w:rPr>
                <w:lang w:val="fr-CA"/>
              </w:rPr>
              <w:t>6</w:t>
            </w:r>
            <w:r w:rsidR="00C85B5D" w:rsidRPr="003E1B2D">
              <w:rPr>
                <w:lang w:val="fr-CA"/>
              </w:rPr>
              <w:t>° requérir l’aide de tout ministère ou organisme en mesure d’assister les effectifs déployés</w:t>
            </w:r>
            <w:r w:rsidRPr="003E1B2D">
              <w:rPr>
                <w:lang w:val="fr-CA"/>
              </w:rPr>
              <w:t>;</w:t>
            </w:r>
          </w:p>
          <w:p w14:paraId="3D3D4A73" w14:textId="28E23B80" w:rsidR="001516A0" w:rsidRPr="003E1B2D" w:rsidRDefault="00EB60E0" w:rsidP="00A72D8C">
            <w:pPr>
              <w:pStyle w:val="Tableaudroiteanglais"/>
              <w:rPr>
                <w:lang w:val="fr-CA"/>
              </w:rPr>
            </w:pPr>
          </w:p>
          <w:p w14:paraId="0A116DE7" w14:textId="77777777" w:rsidR="00CE466D" w:rsidRPr="003E1B2D" w:rsidRDefault="00CE466D" w:rsidP="00A72D8C">
            <w:pPr>
              <w:pStyle w:val="Tableaudroiteanglais"/>
              <w:rPr>
                <w:lang w:val="fr-CA"/>
              </w:rPr>
            </w:pPr>
          </w:p>
          <w:p w14:paraId="6FEEFA02" w14:textId="77777777" w:rsidR="00CE466D" w:rsidRPr="003E1B2D" w:rsidRDefault="00CE466D" w:rsidP="00A72D8C">
            <w:pPr>
              <w:pStyle w:val="Tableaudroiteanglais"/>
              <w:rPr>
                <w:lang w:val="fr-CA"/>
              </w:rPr>
            </w:pPr>
          </w:p>
          <w:p w14:paraId="735DEE06" w14:textId="518C5CE9" w:rsidR="001516A0" w:rsidRPr="003E1B2D" w:rsidRDefault="00BD41E7" w:rsidP="00A72D8C">
            <w:pPr>
              <w:pStyle w:val="Tableaudroiteanglais"/>
              <w:rPr>
                <w:lang w:val="fr-CA"/>
              </w:rPr>
            </w:pPr>
            <w:r w:rsidRPr="003E1B2D">
              <w:rPr>
                <w:lang w:val="fr-CA"/>
              </w:rPr>
              <w:t>7</w:t>
            </w:r>
            <w:r w:rsidR="00CE466D" w:rsidRPr="003E1B2D">
              <w:rPr>
                <w:lang w:val="fr-CA"/>
              </w:rPr>
              <w:t>° faire les dépenses et conclure les contrats qu’il juge nécessaires</w:t>
            </w:r>
            <w:r w:rsidRPr="003E1B2D">
              <w:rPr>
                <w:lang w:val="fr-CA"/>
              </w:rPr>
              <w:t>;</w:t>
            </w:r>
          </w:p>
          <w:p w14:paraId="75814A9F" w14:textId="595C22FB" w:rsidR="001516A0" w:rsidRPr="003E1B2D" w:rsidRDefault="00EB60E0" w:rsidP="00A72D8C">
            <w:pPr>
              <w:pStyle w:val="Tableaudroiteanglais"/>
              <w:rPr>
                <w:lang w:val="fr-CA"/>
              </w:rPr>
            </w:pPr>
          </w:p>
          <w:p w14:paraId="3EB6D837" w14:textId="77777777" w:rsidR="00CE466D" w:rsidRPr="003E1B2D" w:rsidRDefault="00CE466D" w:rsidP="00A72D8C">
            <w:pPr>
              <w:pStyle w:val="Tableaudroiteanglais"/>
              <w:rPr>
                <w:lang w:val="fr-CA"/>
              </w:rPr>
            </w:pPr>
          </w:p>
          <w:p w14:paraId="7C18AC12" w14:textId="7E173C8C" w:rsidR="001516A0" w:rsidRPr="00152D35" w:rsidRDefault="00BD41E7" w:rsidP="00A72D8C">
            <w:pPr>
              <w:pStyle w:val="Tableaudroiteanglais"/>
              <w:rPr>
                <w:lang w:val="fr-CA"/>
              </w:rPr>
            </w:pPr>
            <w:r w:rsidRPr="003E1B2D">
              <w:rPr>
                <w:lang w:val="fr-CA"/>
              </w:rPr>
              <w:t>8</w:t>
            </w:r>
            <w:r w:rsidR="00CE466D" w:rsidRPr="003E1B2D">
              <w:rPr>
                <w:lang w:val="fr-CA"/>
              </w:rPr>
              <w:t>° </w:t>
            </w:r>
            <w:r w:rsidRPr="003E1B2D">
              <w:rPr>
                <w:lang w:val="fr-CA"/>
              </w:rPr>
              <w:t>  </w:t>
            </w:r>
            <w:r w:rsidR="00CE466D" w:rsidRPr="003E1B2D">
              <w:rPr>
                <w:u w:val="single"/>
                <w:lang w:val="fr-CA"/>
              </w:rPr>
              <w:t>ordonner</w:t>
            </w:r>
            <w:r w:rsidR="00CE466D" w:rsidRPr="003E1B2D">
              <w:rPr>
                <w:lang w:val="fr-CA"/>
              </w:rPr>
              <w:t xml:space="preserve"> toute autre mesure nécessaire pour protéger la santé de la population</w:t>
            </w:r>
            <w:r w:rsidRPr="00152D35">
              <w:rPr>
                <w:lang w:val="fr-CA"/>
              </w:rPr>
              <w:t>.</w:t>
            </w:r>
          </w:p>
          <w:p w14:paraId="598E278C" w14:textId="77777777" w:rsidR="00921056" w:rsidRPr="00152D35" w:rsidRDefault="00EB60E0" w:rsidP="00A72D8C">
            <w:pPr>
              <w:pStyle w:val="Tableaudroiteanglais"/>
              <w:rPr>
                <w:lang w:val="fr-CA"/>
              </w:rPr>
            </w:pPr>
          </w:p>
          <w:p w14:paraId="3D900D30" w14:textId="4EE58819" w:rsidR="00921056" w:rsidRPr="00AB5ACC" w:rsidRDefault="004F7A04" w:rsidP="00A72D8C">
            <w:pPr>
              <w:pStyle w:val="Tableaudroiteanglais"/>
              <w:jc w:val="right"/>
            </w:pPr>
            <w:r w:rsidRPr="00AB5ACC">
              <w:t>[Emphasis added]</w:t>
            </w:r>
          </w:p>
        </w:tc>
      </w:tr>
    </w:tbl>
    <w:p w14:paraId="4ABAEBBC" w14:textId="771A1479" w:rsidR="001516A0" w:rsidRPr="008675A9" w:rsidRDefault="00E716AE" w:rsidP="00FF6487">
      <w:pPr>
        <w:pStyle w:val="Paragraphe"/>
        <w:spacing w:after="240" w:line="280" w:lineRule="exact"/>
        <w:rPr>
          <w:lang w:val="en-CA"/>
        </w:rPr>
      </w:pPr>
      <w:r>
        <w:rPr>
          <w:lang w:val="en-CA"/>
        </w:rPr>
        <w:lastRenderedPageBreak/>
        <w:t>Since</w:t>
      </w:r>
      <w:r w:rsidRPr="00AB5ACC">
        <w:rPr>
          <w:lang w:val="en-CA"/>
        </w:rPr>
        <w:t xml:space="preserve"> </w:t>
      </w:r>
      <w:r w:rsidR="004F7A04" w:rsidRPr="00AB5ACC">
        <w:rPr>
          <w:lang w:val="en-CA"/>
        </w:rPr>
        <w:t>measures adopted by</w:t>
      </w:r>
      <w:r w:rsidR="00AC2DF4" w:rsidRPr="00AB5ACC">
        <w:rPr>
          <w:lang w:val="en-CA"/>
        </w:rPr>
        <w:t xml:space="preserve"> </w:t>
      </w:r>
      <w:r w:rsidR="004F7A04" w:rsidRPr="00AB5ACC">
        <w:rPr>
          <w:lang w:val="en-CA"/>
        </w:rPr>
        <w:t xml:space="preserve">the government </w:t>
      </w:r>
      <w:r>
        <w:rPr>
          <w:lang w:val="en-CA"/>
        </w:rPr>
        <w:t>can</w:t>
      </w:r>
      <w:r w:rsidRPr="00AB5ACC">
        <w:rPr>
          <w:lang w:val="en-CA"/>
        </w:rPr>
        <w:t xml:space="preserve"> </w:t>
      </w:r>
      <w:r w:rsidR="004F7A04" w:rsidRPr="00AB5ACC">
        <w:rPr>
          <w:lang w:val="en-CA"/>
        </w:rPr>
        <w:t>be likened to a regulation, each public health order in council is a “normative instrument of a general and impersonal nature, made under an Act and having force of law when it is in effect”.</w:t>
      </w:r>
      <w:r w:rsidR="004F7A04" w:rsidRPr="004F7A04">
        <w:rPr>
          <w:rStyle w:val="Appelnotedebasdep"/>
          <w:lang w:val="en-CA"/>
        </w:rPr>
        <w:footnoteReference w:id="45"/>
      </w:r>
      <w:r w:rsidR="00BD41E7" w:rsidRPr="008675A9">
        <w:rPr>
          <w:lang w:val="en-CA"/>
        </w:rPr>
        <w:t xml:space="preserve"> </w:t>
      </w:r>
      <w:r w:rsidR="004F7A04">
        <w:rPr>
          <w:lang w:val="en-CA"/>
        </w:rPr>
        <w:t xml:space="preserve">In most cases, </w:t>
      </w:r>
      <w:r w:rsidR="004F7A04">
        <w:rPr>
          <w:lang w:val="en-CA"/>
        </w:rPr>
        <w:lastRenderedPageBreak/>
        <w:t xml:space="preserve">the enabling statute </w:t>
      </w:r>
      <w:r w:rsidR="001C3BF7">
        <w:rPr>
          <w:lang w:val="en-CA"/>
        </w:rPr>
        <w:t>makes it</w:t>
      </w:r>
      <w:r w:rsidR="004F7A04">
        <w:rPr>
          <w:lang w:val="en-CA"/>
        </w:rPr>
        <w:t xml:space="preserve"> an offence </w:t>
      </w:r>
      <w:r w:rsidR="001C3BF7">
        <w:rPr>
          <w:lang w:val="en-CA"/>
        </w:rPr>
        <w:t>to violate</w:t>
      </w:r>
      <w:r w:rsidR="004F7A04">
        <w:rPr>
          <w:lang w:val="en-CA"/>
        </w:rPr>
        <w:t xml:space="preserve"> its regulations.</w:t>
      </w:r>
      <w:r w:rsidR="004F7A04" w:rsidRPr="008675A9">
        <w:rPr>
          <w:vertAlign w:val="superscript"/>
          <w:lang w:val="en-CA"/>
        </w:rPr>
        <w:footnoteReference w:id="46"/>
      </w:r>
      <w:r w:rsidR="00BD41E7" w:rsidRPr="008675A9">
        <w:rPr>
          <w:lang w:val="en-CA"/>
        </w:rPr>
        <w:t xml:space="preserve"> </w:t>
      </w:r>
      <w:r w:rsidR="004F7A04">
        <w:rPr>
          <w:lang w:val="en-CA"/>
        </w:rPr>
        <w:t>It also sets out the applicable sanction.</w:t>
      </w:r>
      <w:r w:rsidR="00BD41E7" w:rsidRPr="008675A9">
        <w:rPr>
          <w:lang w:val="en-CA"/>
        </w:rPr>
        <w:t xml:space="preserve"> </w:t>
      </w:r>
      <w:r w:rsidR="004F7A04" w:rsidRPr="00AB5ACC">
        <w:rPr>
          <w:lang w:val="en-CA"/>
        </w:rPr>
        <w:t xml:space="preserve">That is the case under section 139 </w:t>
      </w:r>
      <w:r w:rsidR="004F7A04" w:rsidRPr="00AB5ACC">
        <w:rPr>
          <w:i/>
          <w:lang w:val="en-CA"/>
        </w:rPr>
        <w:t>PHA</w:t>
      </w:r>
      <w:r w:rsidR="004F7A04" w:rsidRPr="00AB5ACC">
        <w:rPr>
          <w:lang w:val="en-CA"/>
        </w:rPr>
        <w:t>:</w:t>
      </w:r>
    </w:p>
    <w:tbl>
      <w:tblPr>
        <w:tblW w:w="0" w:type="auto"/>
        <w:tblCellMar>
          <w:left w:w="70" w:type="dxa"/>
          <w:right w:w="70" w:type="dxa"/>
        </w:tblCellMar>
        <w:tblLook w:val="0000" w:firstRow="0" w:lastRow="0" w:firstColumn="0" w:lastColumn="0" w:noHBand="0" w:noVBand="0"/>
      </w:tblPr>
      <w:tblGrid>
        <w:gridCol w:w="4679"/>
        <w:gridCol w:w="4683"/>
      </w:tblGrid>
      <w:tr w:rsidR="00720AD1" w:rsidRPr="008675A9" w14:paraId="10746424" w14:textId="77777777" w:rsidTr="00147735">
        <w:tc>
          <w:tcPr>
            <w:tcW w:w="4751" w:type="dxa"/>
          </w:tcPr>
          <w:p w14:paraId="7FF27697" w14:textId="509AFFC9" w:rsidR="001516A0" w:rsidRPr="008675A9" w:rsidRDefault="00BD41E7" w:rsidP="003D590C">
            <w:pPr>
              <w:pStyle w:val="Tableaugauchefranais"/>
              <w:jc w:val="both"/>
              <w:rPr>
                <w:lang w:val="en-CA"/>
              </w:rPr>
            </w:pPr>
            <w:r w:rsidRPr="008675A9">
              <w:rPr>
                <w:b/>
                <w:lang w:val="en-CA"/>
              </w:rPr>
              <w:t>139</w:t>
            </w:r>
            <w:r w:rsidRPr="008675A9">
              <w:rPr>
                <w:lang w:val="en-CA"/>
              </w:rPr>
              <w:t>.</w:t>
            </w:r>
            <w:r w:rsidR="009B11BE" w:rsidRPr="008675A9">
              <w:rPr>
                <w:lang w:val="en-CA"/>
              </w:rPr>
              <w:t xml:space="preserve"> Any person who, within the scope of application of Chapter XI, impedes or hinders the Minister, the national public health director, a public health director or a person authorized to act on their behalf, </w:t>
            </w:r>
            <w:r w:rsidR="009B11BE" w:rsidRPr="008675A9">
              <w:rPr>
                <w:u w:val="single"/>
                <w:lang w:val="en-CA"/>
              </w:rPr>
              <w:t>refuses to obey an order they are entitled to give</w:t>
            </w:r>
            <w:r w:rsidR="009B11BE" w:rsidRPr="008675A9">
              <w:rPr>
                <w:lang w:val="en-CA"/>
              </w:rPr>
              <w:t xml:space="preserve">, refuses to give access to or communicate the information or documents they are entitled to require, or conceals or destroys documents or other things relevant to the exercise of their functions </w:t>
            </w:r>
            <w:r w:rsidR="009B11BE" w:rsidRPr="008675A9">
              <w:rPr>
                <w:u w:val="single"/>
                <w:lang w:val="en-CA"/>
              </w:rPr>
              <w:t>is guilty of an offence</w:t>
            </w:r>
            <w:r w:rsidR="009B11BE" w:rsidRPr="008675A9">
              <w:rPr>
                <w:lang w:val="en-CA"/>
              </w:rPr>
              <w:t xml:space="preserve"> and is liable to a fine of $1,000 to $6,000</w:t>
            </w:r>
            <w:r w:rsidRPr="008675A9">
              <w:rPr>
                <w:lang w:val="en-CA"/>
              </w:rPr>
              <w:t> .</w:t>
            </w:r>
          </w:p>
        </w:tc>
        <w:tc>
          <w:tcPr>
            <w:tcW w:w="4751" w:type="dxa"/>
          </w:tcPr>
          <w:p w14:paraId="13BC8342" w14:textId="7548D6DC" w:rsidR="001516A0" w:rsidRPr="00152D35" w:rsidRDefault="00BD41E7" w:rsidP="00A72D8C">
            <w:pPr>
              <w:pStyle w:val="Tableaudroiteanglais"/>
              <w:rPr>
                <w:lang w:val="fr-CA"/>
              </w:rPr>
            </w:pPr>
            <w:r w:rsidRPr="00152D35">
              <w:rPr>
                <w:b/>
                <w:lang w:val="fr-CA"/>
              </w:rPr>
              <w:t>139</w:t>
            </w:r>
            <w:r w:rsidRPr="00152D35">
              <w:rPr>
                <w:lang w:val="fr-CA"/>
              </w:rPr>
              <w:t>. </w:t>
            </w:r>
            <w:r w:rsidR="009B11BE" w:rsidRPr="0055795E">
              <w:rPr>
                <w:u w:val="single"/>
                <w:lang w:val="fr-CA"/>
              </w:rPr>
              <w:t>Commet une infraction</w:t>
            </w:r>
            <w:r w:rsidR="009B11BE" w:rsidRPr="0055795E">
              <w:rPr>
                <w:lang w:val="fr-CA"/>
              </w:rPr>
              <w:t xml:space="preserve"> et est passible d’une amende de 1 000 $ à 6 000 $ quiconque, dans le cadre de l’application du chapitre XI, entrave ou gêne le ministre, le directeur national de santé publique, un directeur de santé publique ou une personne autorisée à agir en leur nom, </w:t>
            </w:r>
            <w:r w:rsidR="009B11BE" w:rsidRPr="0055795E">
              <w:rPr>
                <w:u w:val="single"/>
                <w:lang w:val="fr-CA"/>
              </w:rPr>
              <w:t>refuse d’obéir à un ordre que l’un d’eux est en droit de donner,</w:t>
            </w:r>
            <w:r w:rsidR="009B11BE" w:rsidRPr="0055795E">
              <w:rPr>
                <w:lang w:val="fr-CA"/>
              </w:rPr>
              <w:t xml:space="preserve"> refuse de donner accès ou de communiquer un renseignement ou un document que l’un d’eux est en droit d’exiger ou cache ou détruit un document ou toute autre chose utile à l’exercice de leurs fonctions</w:t>
            </w:r>
            <w:r w:rsidRPr="00152D35">
              <w:rPr>
                <w:lang w:val="fr-CA"/>
              </w:rPr>
              <w:t>.</w:t>
            </w:r>
          </w:p>
          <w:p w14:paraId="42042CF4" w14:textId="77777777" w:rsidR="001516A0" w:rsidRPr="00152D35" w:rsidRDefault="00EB60E0" w:rsidP="00A72D8C">
            <w:pPr>
              <w:pStyle w:val="Tableaudroiteanglais"/>
              <w:rPr>
                <w:lang w:val="fr-CA"/>
              </w:rPr>
            </w:pPr>
          </w:p>
          <w:p w14:paraId="353D6C66" w14:textId="779E8B09" w:rsidR="001516A0" w:rsidRPr="00AB5ACC" w:rsidRDefault="004F7A04" w:rsidP="00A72D8C">
            <w:pPr>
              <w:pStyle w:val="Tableaudroiteanglais"/>
              <w:jc w:val="right"/>
            </w:pPr>
            <w:r w:rsidRPr="00AB5ACC">
              <w:t>[Emphasis added]</w:t>
            </w:r>
          </w:p>
        </w:tc>
      </w:tr>
    </w:tbl>
    <w:p w14:paraId="5C327FCF" w14:textId="60A5B57C" w:rsidR="001516A0" w:rsidRPr="008675A9" w:rsidRDefault="004F7A04" w:rsidP="00043A62">
      <w:pPr>
        <w:pStyle w:val="Paragraphe"/>
        <w:spacing w:line="280" w:lineRule="exact"/>
        <w:rPr>
          <w:lang w:val="en-CA"/>
        </w:rPr>
      </w:pPr>
      <w:r w:rsidRPr="004F7A04">
        <w:rPr>
          <w:lang w:val="en-CA"/>
        </w:rPr>
        <w:t xml:space="preserve">Since the term </w:t>
      </w:r>
      <w:r>
        <w:rPr>
          <w:lang w:val="en-CA"/>
        </w:rPr>
        <w:t>“</w:t>
      </w:r>
      <w:r w:rsidRPr="004F7A04">
        <w:rPr>
          <w:lang w:val="en-CA"/>
        </w:rPr>
        <w:t>order</w:t>
      </w:r>
      <w:r>
        <w:rPr>
          <w:lang w:val="en-CA"/>
        </w:rPr>
        <w:t>”</w:t>
      </w:r>
      <w:r w:rsidRPr="004F7A04">
        <w:rPr>
          <w:lang w:val="en-CA"/>
        </w:rPr>
        <w:t xml:space="preserve"> </w:t>
      </w:r>
      <w:r w:rsidR="00590436">
        <w:rPr>
          <w:lang w:val="en-CA"/>
        </w:rPr>
        <w:t>used</w:t>
      </w:r>
      <w:r w:rsidRPr="004F7A04">
        <w:rPr>
          <w:lang w:val="en-CA"/>
        </w:rPr>
        <w:t xml:space="preserve"> in section 139 is not defined in the </w:t>
      </w:r>
      <w:r w:rsidRPr="004F7A04">
        <w:rPr>
          <w:i/>
          <w:lang w:val="en-CA"/>
        </w:rPr>
        <w:t>PHA</w:t>
      </w:r>
      <w:r w:rsidRPr="004F7A04">
        <w:rPr>
          <w:lang w:val="en-CA"/>
        </w:rPr>
        <w:t xml:space="preserve">, its meaning must be sought by </w:t>
      </w:r>
      <w:r w:rsidR="00590436">
        <w:rPr>
          <w:lang w:val="en-CA"/>
        </w:rPr>
        <w:t>considering</w:t>
      </w:r>
      <w:r w:rsidRPr="004F7A04">
        <w:rPr>
          <w:lang w:val="en-CA"/>
        </w:rPr>
        <w:t xml:space="preserve"> the </w:t>
      </w:r>
      <w:r w:rsidR="00590436">
        <w:rPr>
          <w:lang w:val="en-CA"/>
        </w:rPr>
        <w:t>overall</w:t>
      </w:r>
      <w:r w:rsidRPr="004F7A04">
        <w:rPr>
          <w:lang w:val="en-CA"/>
        </w:rPr>
        <w:t xml:space="preserve"> context of the </w:t>
      </w:r>
      <w:r w:rsidRPr="0055795E">
        <w:rPr>
          <w:i/>
          <w:iCs/>
          <w:lang w:val="en-CA"/>
        </w:rPr>
        <w:t>Act</w:t>
      </w:r>
      <w:r w:rsidR="00590436">
        <w:rPr>
          <w:i/>
          <w:iCs/>
          <w:lang w:val="en-CA"/>
        </w:rPr>
        <w:t xml:space="preserve"> </w:t>
      </w:r>
      <w:r w:rsidR="00590436">
        <w:rPr>
          <w:lang w:val="en-CA"/>
        </w:rPr>
        <w:t>and</w:t>
      </w:r>
      <w:r w:rsidRPr="004F7A04">
        <w:rPr>
          <w:lang w:val="en-CA"/>
        </w:rPr>
        <w:t xml:space="preserve"> its grammatical and ordinary sense</w:t>
      </w:r>
      <w:r w:rsidR="00590436">
        <w:rPr>
          <w:lang w:val="en-CA"/>
        </w:rPr>
        <w:t>,</w:t>
      </w:r>
      <w:r w:rsidRPr="004F7A04">
        <w:rPr>
          <w:lang w:val="en-CA"/>
        </w:rPr>
        <w:t xml:space="preserve"> read harmoniously with the scheme</w:t>
      </w:r>
      <w:r w:rsidR="00590436">
        <w:rPr>
          <w:lang w:val="en-CA"/>
        </w:rPr>
        <w:t xml:space="preserve"> and</w:t>
      </w:r>
      <w:r w:rsidRPr="004F7A04">
        <w:rPr>
          <w:lang w:val="en-CA"/>
        </w:rPr>
        <w:t xml:space="preserve"> object of the </w:t>
      </w:r>
      <w:r w:rsidRPr="0055795E">
        <w:rPr>
          <w:i/>
          <w:iCs/>
          <w:lang w:val="en-CA"/>
        </w:rPr>
        <w:t>Act</w:t>
      </w:r>
      <w:r w:rsidRPr="004F7A04">
        <w:rPr>
          <w:lang w:val="en-CA"/>
        </w:rPr>
        <w:t>, and the</w:t>
      </w:r>
      <w:r w:rsidR="001C3BF7">
        <w:rPr>
          <w:lang w:val="en-CA"/>
        </w:rPr>
        <w:t xml:space="preserve"> legislature’s</w:t>
      </w:r>
      <w:r w:rsidRPr="004F7A04">
        <w:rPr>
          <w:lang w:val="en-CA"/>
        </w:rPr>
        <w:t xml:space="preserve"> intention.</w:t>
      </w:r>
      <w:r w:rsidRPr="008675A9">
        <w:rPr>
          <w:rStyle w:val="Appelnotedebasdep"/>
          <w:lang w:val="en-CA"/>
        </w:rPr>
        <w:footnoteReference w:id="47"/>
      </w:r>
    </w:p>
    <w:p w14:paraId="185E1406" w14:textId="34B7C285" w:rsidR="001516A0" w:rsidRPr="008675A9" w:rsidRDefault="004F7A04" w:rsidP="00043A62">
      <w:pPr>
        <w:pStyle w:val="Paragraphe"/>
        <w:spacing w:line="280" w:lineRule="exact"/>
        <w:rPr>
          <w:lang w:val="en-CA"/>
        </w:rPr>
      </w:pPr>
      <w:r w:rsidRPr="004F7A04">
        <w:rPr>
          <w:lang w:val="en-CA"/>
        </w:rPr>
        <w:t xml:space="preserve">This term is defined in the </w:t>
      </w:r>
      <w:proofErr w:type="spellStart"/>
      <w:r w:rsidRPr="00152D35">
        <w:rPr>
          <w:i/>
          <w:iCs/>
          <w:lang w:val="en-CA"/>
        </w:rPr>
        <w:t>Dictionnaire</w:t>
      </w:r>
      <w:proofErr w:type="spellEnd"/>
      <w:r w:rsidRPr="00152D35">
        <w:rPr>
          <w:i/>
          <w:iCs/>
          <w:lang w:val="en-CA"/>
        </w:rPr>
        <w:t xml:space="preserve"> de droit </w:t>
      </w:r>
      <w:proofErr w:type="spellStart"/>
      <w:r w:rsidRPr="00152D35">
        <w:rPr>
          <w:i/>
          <w:iCs/>
          <w:lang w:val="en-CA"/>
        </w:rPr>
        <w:t>québécois</w:t>
      </w:r>
      <w:proofErr w:type="spellEnd"/>
      <w:r w:rsidRPr="00152D35">
        <w:rPr>
          <w:i/>
          <w:iCs/>
          <w:lang w:val="en-CA"/>
        </w:rPr>
        <w:t xml:space="preserve"> et </w:t>
      </w:r>
      <w:proofErr w:type="spellStart"/>
      <w:r w:rsidRPr="00152D35">
        <w:rPr>
          <w:i/>
          <w:iCs/>
          <w:lang w:val="en-CA"/>
        </w:rPr>
        <w:t>canadien</w:t>
      </w:r>
      <w:proofErr w:type="spellEnd"/>
      <w:r w:rsidRPr="004F7A04">
        <w:rPr>
          <w:lang w:val="en-CA"/>
        </w:rPr>
        <w:t xml:space="preserve"> as [</w:t>
      </w:r>
      <w:r w:rsidRPr="004F7A04">
        <w:rPr>
          <w:smallCaps/>
          <w:lang w:val="en-CA"/>
        </w:rPr>
        <w:t>translation</w:t>
      </w:r>
      <w:r w:rsidRPr="004F7A04">
        <w:rPr>
          <w:lang w:val="en-CA"/>
        </w:rPr>
        <w:t xml:space="preserve">] </w:t>
      </w:r>
      <w:r>
        <w:rPr>
          <w:lang w:val="en-CA"/>
        </w:rPr>
        <w:t>“</w:t>
      </w:r>
      <w:r w:rsidRPr="004F7A04">
        <w:rPr>
          <w:lang w:val="en-CA"/>
        </w:rPr>
        <w:t xml:space="preserve">an act by which a person in authority manifests his or her will and </w:t>
      </w:r>
      <w:r w:rsidR="00AC2DF4">
        <w:rPr>
          <w:lang w:val="en-CA"/>
        </w:rPr>
        <w:t>commands</w:t>
      </w:r>
      <w:r w:rsidRPr="004F7A04">
        <w:rPr>
          <w:lang w:val="en-CA"/>
        </w:rPr>
        <w:t xml:space="preserve"> another person to submit to it and by extension the object of an order or the document </w:t>
      </w:r>
      <w:r w:rsidR="00F7464E">
        <w:rPr>
          <w:lang w:val="en-CA"/>
        </w:rPr>
        <w:t>that embodies</w:t>
      </w:r>
      <w:r w:rsidRPr="004F7A04">
        <w:rPr>
          <w:lang w:val="en-CA"/>
        </w:rPr>
        <w:t xml:space="preserve"> it</w:t>
      </w:r>
      <w:r>
        <w:rPr>
          <w:lang w:val="en-CA"/>
        </w:rPr>
        <w:t>”</w:t>
      </w:r>
      <w:r w:rsidRPr="004F7A04">
        <w:rPr>
          <w:lang w:val="en-CA"/>
        </w:rPr>
        <w:t>.</w:t>
      </w:r>
      <w:r w:rsidRPr="008675A9">
        <w:rPr>
          <w:rStyle w:val="Appelnotedebasdep"/>
          <w:lang w:val="en-CA"/>
        </w:rPr>
        <w:footnoteReference w:id="48"/>
      </w:r>
      <w:r w:rsidR="00BD41E7" w:rsidRPr="008675A9">
        <w:rPr>
          <w:lang w:val="en-CA"/>
        </w:rPr>
        <w:t xml:space="preserve"> </w:t>
      </w:r>
      <w:r w:rsidRPr="004F7A04">
        <w:rPr>
          <w:lang w:val="en-CA"/>
        </w:rPr>
        <w:t xml:space="preserve">Moreover, the </w:t>
      </w:r>
      <w:r w:rsidRPr="004F7A04">
        <w:rPr>
          <w:i/>
          <w:lang w:val="en-CA"/>
        </w:rPr>
        <w:t>Interpretation Act</w:t>
      </w:r>
      <w:r w:rsidRPr="008675A9">
        <w:rPr>
          <w:rStyle w:val="Appelnotedebasdep"/>
          <w:lang w:val="en-CA"/>
        </w:rPr>
        <w:footnoteReference w:id="49"/>
      </w:r>
      <w:r w:rsidRPr="004F7A04">
        <w:rPr>
          <w:lang w:val="en-CA"/>
        </w:rPr>
        <w:t xml:space="preserve"> states the following:</w:t>
      </w:r>
    </w:p>
    <w:tbl>
      <w:tblPr>
        <w:tblW w:w="0" w:type="auto"/>
        <w:tblCellMar>
          <w:left w:w="70" w:type="dxa"/>
          <w:right w:w="70" w:type="dxa"/>
        </w:tblCellMar>
        <w:tblLook w:val="0000" w:firstRow="0" w:lastRow="0" w:firstColumn="0" w:lastColumn="0" w:noHBand="0" w:noVBand="0"/>
      </w:tblPr>
      <w:tblGrid>
        <w:gridCol w:w="4680"/>
        <w:gridCol w:w="4682"/>
      </w:tblGrid>
      <w:tr w:rsidR="00720AD1" w:rsidRPr="008675A9" w14:paraId="7F644688" w14:textId="77777777" w:rsidTr="00147735">
        <w:tc>
          <w:tcPr>
            <w:tcW w:w="4751" w:type="dxa"/>
          </w:tcPr>
          <w:p w14:paraId="6C32EC44" w14:textId="4890A6EB" w:rsidR="001516A0" w:rsidRPr="008675A9" w:rsidRDefault="00BD41E7" w:rsidP="00A72D8C">
            <w:pPr>
              <w:pStyle w:val="Tableaugauchefranais"/>
              <w:jc w:val="both"/>
              <w:rPr>
                <w:lang w:val="en-CA"/>
              </w:rPr>
            </w:pPr>
            <w:r w:rsidRPr="008675A9">
              <w:rPr>
                <w:b/>
                <w:lang w:val="en-CA"/>
              </w:rPr>
              <w:t>54</w:t>
            </w:r>
            <w:r w:rsidRPr="008675A9">
              <w:rPr>
                <w:lang w:val="en-CA"/>
              </w:rPr>
              <w:t>. </w:t>
            </w:r>
            <w:r w:rsidR="009B11BE" w:rsidRPr="008675A9">
              <w:rPr>
                <w:lang w:val="en-CA"/>
              </w:rPr>
              <w:t xml:space="preserve">The singular number shall extend to more than one person or more than one thing of the same sort, whenever the context admits of such extension. The plural number can apply to one </w:t>
            </w:r>
            <w:r w:rsidR="009B11BE" w:rsidRPr="008675A9">
              <w:rPr>
                <w:lang w:val="en-CA"/>
              </w:rPr>
              <w:lastRenderedPageBreak/>
              <w:t>person only or to one thing only if the context so permits</w:t>
            </w:r>
            <w:r w:rsidRPr="00AB5ACC">
              <w:rPr>
                <w:lang w:val="en-CA"/>
              </w:rPr>
              <w:t>.</w:t>
            </w:r>
          </w:p>
        </w:tc>
        <w:tc>
          <w:tcPr>
            <w:tcW w:w="4751" w:type="dxa"/>
          </w:tcPr>
          <w:p w14:paraId="789ECE7B" w14:textId="37D02E65" w:rsidR="001516A0" w:rsidRPr="00152D35" w:rsidRDefault="00BD41E7" w:rsidP="00A72D8C">
            <w:pPr>
              <w:pStyle w:val="Tableaudroiteanglais"/>
              <w:rPr>
                <w:lang w:val="fr-CA"/>
              </w:rPr>
            </w:pPr>
            <w:r w:rsidRPr="00152D35">
              <w:rPr>
                <w:b/>
                <w:lang w:val="fr-CA"/>
              </w:rPr>
              <w:lastRenderedPageBreak/>
              <w:t>54</w:t>
            </w:r>
            <w:r w:rsidRPr="00152D35">
              <w:rPr>
                <w:lang w:val="fr-CA"/>
              </w:rPr>
              <w:t>. </w:t>
            </w:r>
            <w:r w:rsidR="009B11BE" w:rsidRPr="0055795E">
              <w:rPr>
                <w:lang w:val="fr-CA"/>
              </w:rPr>
              <w:t xml:space="preserve">Le nombre singulier s’étend à plusieurs personnes ou à plusieurs choses de même espèce, chaque fois que le contexte se prête à cette extension. Le nombre pluriel peut ne </w:t>
            </w:r>
            <w:r w:rsidR="009B11BE" w:rsidRPr="0055795E">
              <w:rPr>
                <w:lang w:val="fr-CA"/>
              </w:rPr>
              <w:lastRenderedPageBreak/>
              <w:t>s’appliquer qu’à une seule personne ou qu’à un seul objet si le contexte s’y prête</w:t>
            </w:r>
            <w:r w:rsidRPr="00152D35">
              <w:rPr>
                <w:lang w:val="fr-CA"/>
              </w:rPr>
              <w:t>.</w:t>
            </w:r>
          </w:p>
        </w:tc>
      </w:tr>
    </w:tbl>
    <w:p w14:paraId="44F2C75E" w14:textId="6320B414" w:rsidR="001516A0" w:rsidRPr="008675A9" w:rsidRDefault="00AC2DF4" w:rsidP="00043A62">
      <w:pPr>
        <w:pStyle w:val="Paragraphe"/>
        <w:spacing w:line="280" w:lineRule="exact"/>
        <w:rPr>
          <w:lang w:val="en-CA"/>
        </w:rPr>
      </w:pPr>
      <w:r w:rsidRPr="00AB5ACC">
        <w:rPr>
          <w:lang w:val="en-CA"/>
        </w:rPr>
        <w:lastRenderedPageBreak/>
        <w:t>The term “order”</w:t>
      </w:r>
      <w:r w:rsidR="00233F58">
        <w:rPr>
          <w:lang w:val="en-CA"/>
        </w:rPr>
        <w:t>,</w:t>
      </w:r>
      <w:r w:rsidRPr="00AB5ACC">
        <w:rPr>
          <w:lang w:val="en-CA"/>
        </w:rPr>
        <w:t xml:space="preserve"> </w:t>
      </w:r>
      <w:r w:rsidR="00233F58">
        <w:rPr>
          <w:lang w:val="en-CA"/>
        </w:rPr>
        <w:t>which is found</w:t>
      </w:r>
      <w:r w:rsidRPr="00AB5ACC">
        <w:rPr>
          <w:lang w:val="en-CA"/>
        </w:rPr>
        <w:t xml:space="preserve"> section 139 </w:t>
      </w:r>
      <w:r w:rsidRPr="0055795E">
        <w:rPr>
          <w:i/>
          <w:iCs/>
          <w:lang w:val="en-CA"/>
        </w:rPr>
        <w:t>PHA</w:t>
      </w:r>
      <w:r w:rsidR="00233F58" w:rsidRPr="00233F58">
        <w:rPr>
          <w:lang w:val="en-CA"/>
        </w:rPr>
        <w:t>,</w:t>
      </w:r>
      <w:r w:rsidRPr="00233F58">
        <w:rPr>
          <w:lang w:val="en-CA"/>
        </w:rPr>
        <w:t xml:space="preserve"> </w:t>
      </w:r>
      <w:r w:rsidRPr="00AB5ACC">
        <w:rPr>
          <w:lang w:val="en-CA"/>
        </w:rPr>
        <w:t xml:space="preserve">may therefore </w:t>
      </w:r>
      <w:r w:rsidR="00F62ED8">
        <w:rPr>
          <w:lang w:val="en-CA"/>
        </w:rPr>
        <w:t>be directed at</w:t>
      </w:r>
      <w:r w:rsidRPr="00AB5ACC">
        <w:rPr>
          <w:lang w:val="en-CA"/>
        </w:rPr>
        <w:t xml:space="preserve"> the community as a whole.</w:t>
      </w:r>
      <w:r w:rsidR="00BD41E7" w:rsidRPr="008675A9">
        <w:rPr>
          <w:lang w:val="en-CA"/>
        </w:rPr>
        <w:t xml:space="preserve"> </w:t>
      </w:r>
      <w:r w:rsidRPr="00AC2DF4">
        <w:rPr>
          <w:lang w:val="en-CA"/>
        </w:rPr>
        <w:t xml:space="preserve">It must also be noted that the verb </w:t>
      </w:r>
      <w:r w:rsidR="00F62ED8">
        <w:rPr>
          <w:lang w:val="en-CA"/>
        </w:rPr>
        <w:t>“</w:t>
      </w:r>
      <w:r w:rsidRPr="00AC2DF4">
        <w:rPr>
          <w:lang w:val="en-CA"/>
        </w:rPr>
        <w:t>order</w:t>
      </w:r>
      <w:r w:rsidR="00F62ED8">
        <w:rPr>
          <w:lang w:val="en-CA"/>
        </w:rPr>
        <w:t>”</w:t>
      </w:r>
      <w:r w:rsidRPr="00AC2DF4">
        <w:rPr>
          <w:lang w:val="en-CA"/>
        </w:rPr>
        <w:t xml:space="preserve"> is found in several paragraphs of section 123 </w:t>
      </w:r>
      <w:r w:rsidRPr="00AC2DF4">
        <w:rPr>
          <w:i/>
          <w:lang w:val="en-CA"/>
        </w:rPr>
        <w:t>PHA</w:t>
      </w:r>
      <w:r w:rsidRPr="00AC2DF4">
        <w:rPr>
          <w:lang w:val="en-CA"/>
        </w:rPr>
        <w:t>.</w:t>
      </w:r>
    </w:p>
    <w:p w14:paraId="30D733A5" w14:textId="3B3FE288" w:rsidR="001516A0" w:rsidRPr="008675A9" w:rsidRDefault="00AC2DF4" w:rsidP="00043A62">
      <w:pPr>
        <w:pStyle w:val="Paragraphe"/>
        <w:spacing w:line="280" w:lineRule="exact"/>
        <w:rPr>
          <w:lang w:val="en-CA"/>
        </w:rPr>
      </w:pPr>
      <w:r w:rsidRPr="00AC2DF4">
        <w:rPr>
          <w:lang w:val="en-CA"/>
        </w:rPr>
        <w:t xml:space="preserve">As previously stated, the object of the </w:t>
      </w:r>
      <w:r w:rsidRPr="00AC2DF4">
        <w:rPr>
          <w:i/>
          <w:lang w:val="en-CA"/>
        </w:rPr>
        <w:t xml:space="preserve">PHA </w:t>
      </w:r>
      <w:r w:rsidRPr="00AC2DF4">
        <w:rPr>
          <w:lang w:val="en-CA"/>
        </w:rPr>
        <w:t>is the protection of the health of the population and the establishment of conditions favourable to the maintenance and enhancement of the health and well-being of the general population</w:t>
      </w:r>
      <w:r w:rsidR="00BD41E7" w:rsidRPr="008675A9">
        <w:rPr>
          <w:lang w:val="en-CA"/>
        </w:rPr>
        <w:t xml:space="preserve"> </w:t>
      </w:r>
      <w:r w:rsidR="003516DE">
        <w:rPr>
          <w:lang w:val="en-CA"/>
        </w:rPr>
        <w:t xml:space="preserve">(s. 1 </w:t>
      </w:r>
      <w:r w:rsidR="003516DE" w:rsidRPr="003516DE">
        <w:rPr>
          <w:i/>
          <w:iCs/>
          <w:lang w:val="en-CA"/>
        </w:rPr>
        <w:t>PHA</w:t>
      </w:r>
      <w:r w:rsidR="003516DE">
        <w:rPr>
          <w:lang w:val="en-CA"/>
        </w:rPr>
        <w:t xml:space="preserve">). </w:t>
      </w:r>
      <w:r w:rsidRPr="00AC2DF4">
        <w:rPr>
          <w:lang w:val="en-CA"/>
        </w:rPr>
        <w:t xml:space="preserve">To this end, the legislature </w:t>
      </w:r>
      <w:r w:rsidR="00EB60E0">
        <w:rPr>
          <w:lang w:val="en-CA"/>
        </w:rPr>
        <w:t>conferred on</w:t>
      </w:r>
      <w:r w:rsidRPr="00AC2DF4">
        <w:rPr>
          <w:lang w:val="en-CA"/>
        </w:rPr>
        <w:t xml:space="preserve"> government authorities vast powers to take action in cases where the health of the population is threatened (s. 2 </w:t>
      </w:r>
      <w:r w:rsidRPr="00AC2DF4">
        <w:rPr>
          <w:i/>
          <w:iCs/>
          <w:lang w:val="en-CA"/>
        </w:rPr>
        <w:t>PHA</w:t>
      </w:r>
      <w:r w:rsidRPr="00AC2DF4">
        <w:rPr>
          <w:lang w:val="en-CA"/>
        </w:rPr>
        <w:t>)</w:t>
      </w:r>
      <w:r>
        <w:rPr>
          <w:lang w:val="en-CA"/>
        </w:rPr>
        <w:t>.</w:t>
      </w:r>
      <w:r w:rsidRPr="00AC2DF4">
        <w:rPr>
          <w:lang w:val="en-CA"/>
        </w:rPr>
        <w:t xml:space="preserve"> </w:t>
      </w:r>
    </w:p>
    <w:p w14:paraId="4AE51A41" w14:textId="094346FA" w:rsidR="001516A0" w:rsidRPr="008675A9" w:rsidRDefault="00AC2DF4" w:rsidP="00043A62">
      <w:pPr>
        <w:pStyle w:val="Paragraphe"/>
        <w:spacing w:line="280" w:lineRule="exact"/>
        <w:rPr>
          <w:lang w:val="en-CA"/>
        </w:rPr>
      </w:pPr>
      <w:r>
        <w:rPr>
          <w:lang w:val="en-CA"/>
        </w:rPr>
        <w:t xml:space="preserve">Chapter XI of the </w:t>
      </w:r>
      <w:r w:rsidRPr="00AC2DF4">
        <w:rPr>
          <w:i/>
          <w:iCs/>
          <w:lang w:val="en-CA"/>
        </w:rPr>
        <w:t>PHA</w:t>
      </w:r>
      <w:r>
        <w:rPr>
          <w:lang w:val="en-CA"/>
        </w:rPr>
        <w:t xml:space="preserve"> sets out the powers of the public health authorities and the </w:t>
      </w:r>
      <w:r w:rsidR="00EB60E0">
        <w:rPr>
          <w:lang w:val="en-CA"/>
        </w:rPr>
        <w:t>G</w:t>
      </w:r>
      <w:r>
        <w:rPr>
          <w:lang w:val="en-CA"/>
        </w:rPr>
        <w:t>overnment in the event of a health threat.</w:t>
      </w:r>
      <w:r w:rsidR="00BD41E7" w:rsidRPr="008675A9">
        <w:rPr>
          <w:lang w:val="en-CA"/>
        </w:rPr>
        <w:t xml:space="preserve"> </w:t>
      </w:r>
      <w:r w:rsidRPr="00AC2DF4">
        <w:rPr>
          <w:lang w:val="en-CA"/>
        </w:rPr>
        <w:t xml:space="preserve">Division I deals with epidemiological investigations, Division II with the powers of the Minister, </w:t>
      </w:r>
      <w:r w:rsidR="00EB60E0">
        <w:rPr>
          <w:lang w:val="en-CA"/>
        </w:rPr>
        <w:t xml:space="preserve">and </w:t>
      </w:r>
      <w:r w:rsidRPr="00AC2DF4">
        <w:rPr>
          <w:lang w:val="en-CA"/>
        </w:rPr>
        <w:t>Division IV with vector-borne diseases, including the West Nile virus.</w:t>
      </w:r>
      <w:r w:rsidR="00BD41E7" w:rsidRPr="008675A9">
        <w:rPr>
          <w:lang w:val="en-CA"/>
        </w:rPr>
        <w:t xml:space="preserve"> </w:t>
      </w:r>
      <w:r w:rsidR="00045C83">
        <w:rPr>
          <w:lang w:val="en-CA"/>
        </w:rPr>
        <w:t xml:space="preserve">It is in </w:t>
      </w:r>
      <w:r w:rsidRPr="00AC2DF4">
        <w:rPr>
          <w:lang w:val="en-CA"/>
        </w:rPr>
        <w:t xml:space="preserve">Division III, however, </w:t>
      </w:r>
      <w:r w:rsidR="00045C83">
        <w:rPr>
          <w:lang w:val="en-CA"/>
        </w:rPr>
        <w:t>that</w:t>
      </w:r>
      <w:r w:rsidR="00045C83" w:rsidRPr="00AC2DF4">
        <w:rPr>
          <w:lang w:val="en-CA"/>
        </w:rPr>
        <w:t xml:space="preserve"> </w:t>
      </w:r>
      <w:r w:rsidRPr="00AC2DF4">
        <w:rPr>
          <w:lang w:val="en-CA"/>
        </w:rPr>
        <w:t xml:space="preserve">we find the most important powers granted to </w:t>
      </w:r>
      <w:r w:rsidR="00233F58">
        <w:rPr>
          <w:lang w:val="en-CA"/>
        </w:rPr>
        <w:t>G</w:t>
      </w:r>
      <w:r w:rsidRPr="00AC2DF4">
        <w:rPr>
          <w:lang w:val="en-CA"/>
        </w:rPr>
        <w:t xml:space="preserve">overnment authorities </w:t>
      </w:r>
      <w:r w:rsidR="00045C83">
        <w:rPr>
          <w:lang w:val="en-CA"/>
        </w:rPr>
        <w:t>when</w:t>
      </w:r>
      <w:r w:rsidRPr="00AC2DF4">
        <w:rPr>
          <w:lang w:val="en-CA"/>
        </w:rPr>
        <w:t xml:space="preserve"> a serious threat to the health of the population</w:t>
      </w:r>
      <w:r w:rsidR="00045C83">
        <w:rPr>
          <w:lang w:val="en-CA"/>
        </w:rPr>
        <w:t>, whether</w:t>
      </w:r>
      <w:r w:rsidRPr="00AC2DF4">
        <w:rPr>
          <w:lang w:val="en-CA"/>
        </w:rPr>
        <w:t xml:space="preserve"> </w:t>
      </w:r>
      <w:r w:rsidR="00045C83" w:rsidRPr="00AC2DF4">
        <w:rPr>
          <w:lang w:val="en-CA"/>
        </w:rPr>
        <w:t xml:space="preserve">real or </w:t>
      </w:r>
      <w:r w:rsidR="00045C83">
        <w:rPr>
          <w:lang w:val="en-CA"/>
        </w:rPr>
        <w:t>imminent</w:t>
      </w:r>
      <w:r w:rsidR="00045C83" w:rsidRPr="00AC2DF4">
        <w:rPr>
          <w:lang w:val="en-CA"/>
        </w:rPr>
        <w:t xml:space="preserve">, </w:t>
      </w:r>
      <w:r w:rsidRPr="00AC2DF4">
        <w:rPr>
          <w:lang w:val="en-CA"/>
        </w:rPr>
        <w:t xml:space="preserve">requires the application of the measures set out in section 123 </w:t>
      </w:r>
      <w:r w:rsidRPr="00AC2DF4">
        <w:rPr>
          <w:i/>
          <w:lang w:val="en-CA"/>
        </w:rPr>
        <w:t>PHA</w:t>
      </w:r>
      <w:r w:rsidRPr="00AC2DF4">
        <w:rPr>
          <w:lang w:val="en-CA"/>
        </w:rPr>
        <w:t>.</w:t>
      </w:r>
      <w:r w:rsidR="00BD41E7" w:rsidRPr="008675A9">
        <w:rPr>
          <w:lang w:val="en-CA"/>
        </w:rPr>
        <w:t xml:space="preserve"> </w:t>
      </w:r>
      <w:r w:rsidRPr="00AC2DF4">
        <w:rPr>
          <w:lang w:val="en-CA"/>
        </w:rPr>
        <w:t xml:space="preserve">They may be taken by the </w:t>
      </w:r>
      <w:r w:rsidR="00233F58">
        <w:rPr>
          <w:lang w:val="en-CA"/>
        </w:rPr>
        <w:t>G</w:t>
      </w:r>
      <w:r w:rsidRPr="00AC2DF4">
        <w:rPr>
          <w:lang w:val="en-CA"/>
        </w:rPr>
        <w:t xml:space="preserve">overnment or the </w:t>
      </w:r>
      <w:r w:rsidR="00045C83" w:rsidRPr="00AC2DF4">
        <w:rPr>
          <w:lang w:val="en-CA"/>
        </w:rPr>
        <w:t>Minister if</w:t>
      </w:r>
      <w:r w:rsidRPr="00AC2DF4">
        <w:rPr>
          <w:lang w:val="en-CA"/>
        </w:rPr>
        <w:t xml:space="preserve"> he or she has been authorized to do so.</w:t>
      </w:r>
      <w:r w:rsidR="00BD41E7" w:rsidRPr="008675A9">
        <w:rPr>
          <w:lang w:val="en-CA"/>
        </w:rPr>
        <w:t xml:space="preserve"> </w:t>
      </w:r>
      <w:r w:rsidRPr="00AC2DF4">
        <w:rPr>
          <w:lang w:val="en-CA"/>
        </w:rPr>
        <w:t xml:space="preserve">The only penal provision applying to all of Chapter </w:t>
      </w:r>
      <w:r w:rsidR="003516DE">
        <w:rPr>
          <w:lang w:val="en-CA"/>
        </w:rPr>
        <w:t>X</w:t>
      </w:r>
      <w:r w:rsidRPr="00AC2DF4">
        <w:rPr>
          <w:lang w:val="en-CA"/>
        </w:rPr>
        <w:t xml:space="preserve">I is section 139 </w:t>
      </w:r>
      <w:r w:rsidRPr="00AC2DF4">
        <w:rPr>
          <w:i/>
          <w:lang w:val="en-CA"/>
        </w:rPr>
        <w:t>PHA</w:t>
      </w:r>
      <w:r w:rsidRPr="00AC2DF4">
        <w:rPr>
          <w:lang w:val="en-CA"/>
        </w:rPr>
        <w:t>.</w:t>
      </w:r>
    </w:p>
    <w:p w14:paraId="522D1D3C" w14:textId="5667C04A" w:rsidR="001516A0" w:rsidRPr="008675A9" w:rsidRDefault="00AC2DF4" w:rsidP="00043A62">
      <w:pPr>
        <w:pStyle w:val="Paragraphe"/>
        <w:spacing w:line="280" w:lineRule="exact"/>
        <w:rPr>
          <w:lang w:val="en-CA"/>
        </w:rPr>
      </w:pPr>
      <w:r w:rsidRPr="00AC2DF4">
        <w:rPr>
          <w:lang w:val="en-CA"/>
        </w:rPr>
        <w:t xml:space="preserve">The trial judge </w:t>
      </w:r>
      <w:r w:rsidR="00EB60E0">
        <w:rPr>
          <w:lang w:val="en-CA"/>
        </w:rPr>
        <w:t>was correct to</w:t>
      </w:r>
      <w:r w:rsidRPr="00AC2DF4">
        <w:rPr>
          <w:lang w:val="en-CA"/>
        </w:rPr>
        <w:t xml:space="preserve"> reject the appellant</w:t>
      </w:r>
      <w:r w:rsidR="003516DE">
        <w:rPr>
          <w:lang w:val="en-CA"/>
        </w:rPr>
        <w:t>’</w:t>
      </w:r>
      <w:r w:rsidRPr="00AC2DF4">
        <w:rPr>
          <w:lang w:val="en-CA"/>
        </w:rPr>
        <w:t xml:space="preserve">s argument, although section 139 </w:t>
      </w:r>
      <w:r w:rsidRPr="00AC2DF4">
        <w:rPr>
          <w:i/>
          <w:lang w:val="en-CA"/>
        </w:rPr>
        <w:t xml:space="preserve">PHA </w:t>
      </w:r>
      <w:r w:rsidRPr="00AC2DF4">
        <w:rPr>
          <w:lang w:val="en-CA"/>
        </w:rPr>
        <w:t xml:space="preserve">is not </w:t>
      </w:r>
      <w:r w:rsidR="001E2CE7">
        <w:rPr>
          <w:lang w:val="en-CA"/>
        </w:rPr>
        <w:t>very well drafted</w:t>
      </w:r>
      <w:r w:rsidRPr="00AC2DF4">
        <w:rPr>
          <w:lang w:val="en-CA"/>
        </w:rPr>
        <w:t>.</w:t>
      </w:r>
      <w:r w:rsidR="00BD41E7" w:rsidRPr="008675A9">
        <w:rPr>
          <w:lang w:val="en-CA"/>
        </w:rPr>
        <w:t xml:space="preserve"> </w:t>
      </w:r>
      <w:r w:rsidRPr="00AB5ACC">
        <w:rPr>
          <w:lang w:val="en-CA"/>
        </w:rPr>
        <w:t xml:space="preserve">Indeed, as the respondent </w:t>
      </w:r>
      <w:r w:rsidR="001E2CE7" w:rsidRPr="00AB5ACC">
        <w:rPr>
          <w:lang w:val="en-CA"/>
        </w:rPr>
        <w:t>argue</w:t>
      </w:r>
      <w:r w:rsidR="001E2CE7">
        <w:rPr>
          <w:lang w:val="en-CA"/>
        </w:rPr>
        <w:t>s</w:t>
      </w:r>
      <w:r w:rsidRPr="00AB5ACC">
        <w:rPr>
          <w:lang w:val="en-CA"/>
        </w:rPr>
        <w:t xml:space="preserve">, in this regard, the judge’s interpretation is the only one consistent with the wording of the </w:t>
      </w:r>
      <w:r w:rsidRPr="00AB5ACC">
        <w:rPr>
          <w:i/>
          <w:lang w:val="en-CA"/>
        </w:rPr>
        <w:t xml:space="preserve">PHA </w:t>
      </w:r>
      <w:r w:rsidRPr="00AB5ACC">
        <w:rPr>
          <w:lang w:val="en-CA"/>
        </w:rPr>
        <w:t>and the achievement of its objectives.</w:t>
      </w:r>
      <w:r w:rsidR="00BD41E7" w:rsidRPr="008675A9">
        <w:rPr>
          <w:lang w:val="en-CA"/>
        </w:rPr>
        <w:t xml:space="preserve"> </w:t>
      </w:r>
      <w:r>
        <w:rPr>
          <w:lang w:val="en-CA"/>
        </w:rPr>
        <w:t xml:space="preserve">Accepting the appellant's position would </w:t>
      </w:r>
      <w:r w:rsidR="001E2CE7">
        <w:rPr>
          <w:lang w:val="en-CA"/>
        </w:rPr>
        <w:t xml:space="preserve">neutralize </w:t>
      </w:r>
      <w:r>
        <w:rPr>
          <w:lang w:val="en-CA"/>
        </w:rPr>
        <w:t xml:space="preserve">the </w:t>
      </w:r>
      <w:r w:rsidR="00233F58">
        <w:rPr>
          <w:lang w:val="en-CA"/>
        </w:rPr>
        <w:t>G</w:t>
      </w:r>
      <w:r w:rsidR="003516DE">
        <w:rPr>
          <w:lang w:val="en-CA"/>
        </w:rPr>
        <w:t>overnment’s discretionary</w:t>
      </w:r>
      <w:r w:rsidR="001E2CE7">
        <w:rPr>
          <w:lang w:val="en-CA"/>
        </w:rPr>
        <w:t xml:space="preserve"> power pursuant to</w:t>
      </w:r>
      <w:r>
        <w:rPr>
          <w:lang w:val="en-CA"/>
        </w:rPr>
        <w:t xml:space="preserve"> section 123 </w:t>
      </w:r>
      <w:r w:rsidRPr="003516DE">
        <w:rPr>
          <w:i/>
          <w:iCs/>
          <w:lang w:val="en-CA"/>
        </w:rPr>
        <w:t>PHA</w:t>
      </w:r>
      <w:r>
        <w:rPr>
          <w:lang w:val="en-CA"/>
        </w:rPr>
        <w:t xml:space="preserve"> to impose urgent measures to effectively fight a serious threat to public health, which justifies the public health emergency.</w:t>
      </w:r>
      <w:r w:rsidR="00BD41E7" w:rsidRPr="008675A9">
        <w:rPr>
          <w:lang w:val="en-CA"/>
        </w:rPr>
        <w:t xml:space="preserve"> </w:t>
      </w:r>
      <w:r w:rsidRPr="00AB5ACC">
        <w:rPr>
          <w:lang w:val="en-CA"/>
        </w:rPr>
        <w:t xml:space="preserve">Furthermore, the measures taken by the government are published in the </w:t>
      </w:r>
      <w:r w:rsidRPr="00AC2DF4">
        <w:rPr>
          <w:i/>
          <w:lang w:val="en-CA"/>
        </w:rPr>
        <w:t xml:space="preserve">Gazette </w:t>
      </w:r>
      <w:proofErr w:type="spellStart"/>
      <w:r w:rsidRPr="00AC2DF4">
        <w:rPr>
          <w:i/>
          <w:lang w:val="en-CA"/>
        </w:rPr>
        <w:t>officielle</w:t>
      </w:r>
      <w:proofErr w:type="spellEnd"/>
      <w:r w:rsidRPr="00AC2DF4">
        <w:rPr>
          <w:i/>
          <w:lang w:val="en-CA"/>
        </w:rPr>
        <w:t xml:space="preserve"> du Québec</w:t>
      </w:r>
      <w:r w:rsidRPr="00AC2DF4">
        <w:rPr>
          <w:lang w:val="en-CA"/>
        </w:rPr>
        <w:t xml:space="preserve"> and widely publicized on its Internet sites, as well as by the media.</w:t>
      </w:r>
    </w:p>
    <w:p w14:paraId="27C756AC" w14:textId="198B9308" w:rsidR="001516A0" w:rsidRPr="008675A9" w:rsidRDefault="00AC2DF4" w:rsidP="00043A62">
      <w:pPr>
        <w:spacing w:before="120" w:after="120"/>
        <w:jc w:val="both"/>
        <w:rPr>
          <w:b/>
          <w:lang w:val="en-CA"/>
        </w:rPr>
      </w:pPr>
      <w:r w:rsidRPr="00AB5ACC">
        <w:rPr>
          <w:b/>
          <w:lang w:val="en-CA"/>
        </w:rPr>
        <w:t>FOR THESE REASONS, THE COURT:</w:t>
      </w:r>
    </w:p>
    <w:p w14:paraId="2554D017" w14:textId="6D844549" w:rsidR="008F364A" w:rsidRPr="008675A9" w:rsidRDefault="00AC2DF4" w:rsidP="00043A62">
      <w:pPr>
        <w:pStyle w:val="Paragraphe"/>
        <w:spacing w:line="280" w:lineRule="exact"/>
        <w:rPr>
          <w:lang w:val="en-CA"/>
        </w:rPr>
      </w:pPr>
      <w:r w:rsidRPr="00AB5ACC">
        <w:rPr>
          <w:b/>
          <w:lang w:val="en-CA"/>
        </w:rPr>
        <w:t xml:space="preserve">DISMISSES </w:t>
      </w:r>
      <w:r w:rsidRPr="00AB5ACC">
        <w:rPr>
          <w:bCs/>
          <w:lang w:val="en-CA"/>
        </w:rPr>
        <w:t>the appeal, with legal costs.</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720AD1" w:rsidRPr="00152D35" w14:paraId="7444CBD0" w14:textId="77777777" w:rsidTr="003E3239">
        <w:trPr>
          <w:trHeight w:val="576"/>
        </w:trPr>
        <w:tc>
          <w:tcPr>
            <w:tcW w:w="9362" w:type="dxa"/>
            <w:gridSpan w:val="3"/>
            <w:tcBorders>
              <w:top w:val="nil"/>
              <w:bottom w:val="nil"/>
            </w:tcBorders>
          </w:tcPr>
          <w:p w14:paraId="41BFC065" w14:textId="77777777" w:rsidR="008F364A" w:rsidRPr="008675A9" w:rsidRDefault="00EB60E0">
            <w:pPr>
              <w:keepNext/>
              <w:rPr>
                <w:lang w:val="en-CA"/>
              </w:rPr>
            </w:pPr>
          </w:p>
        </w:tc>
      </w:tr>
      <w:tr w:rsidR="00720AD1" w:rsidRPr="00152D35" w14:paraId="33BCD35D" w14:textId="77777777" w:rsidTr="00117914">
        <w:trPr>
          <w:trHeight w:val="283"/>
        </w:trPr>
        <w:tc>
          <w:tcPr>
            <w:tcW w:w="4682" w:type="dxa"/>
            <w:gridSpan w:val="2"/>
            <w:tcBorders>
              <w:top w:val="nil"/>
              <w:bottom w:val="nil"/>
            </w:tcBorders>
          </w:tcPr>
          <w:p w14:paraId="0E4BE4B3" w14:textId="77777777" w:rsidR="008F364A" w:rsidRPr="008675A9" w:rsidRDefault="00EB60E0">
            <w:pPr>
              <w:keepNext/>
              <w:rPr>
                <w:lang w:val="en-CA"/>
              </w:rPr>
            </w:pPr>
          </w:p>
        </w:tc>
        <w:tc>
          <w:tcPr>
            <w:tcW w:w="4680" w:type="dxa"/>
            <w:tcBorders>
              <w:top w:val="nil"/>
              <w:bottom w:val="single" w:sz="8" w:space="0" w:color="auto"/>
            </w:tcBorders>
          </w:tcPr>
          <w:p w14:paraId="10915D81" w14:textId="77777777" w:rsidR="008F364A" w:rsidRPr="008675A9" w:rsidRDefault="00EB60E0">
            <w:pPr>
              <w:keepNext/>
              <w:rPr>
                <w:lang w:val="en-CA"/>
              </w:rPr>
            </w:pPr>
          </w:p>
        </w:tc>
      </w:tr>
      <w:tr w:rsidR="00720AD1" w:rsidRPr="008675A9" w14:paraId="542ABFC6" w14:textId="77777777" w:rsidTr="00117914">
        <w:trPr>
          <w:trHeight w:val="283"/>
        </w:trPr>
        <w:tc>
          <w:tcPr>
            <w:tcW w:w="4682" w:type="dxa"/>
            <w:gridSpan w:val="2"/>
            <w:tcBorders>
              <w:top w:val="nil"/>
            </w:tcBorders>
          </w:tcPr>
          <w:p w14:paraId="6E0564C8" w14:textId="77777777" w:rsidR="008F364A" w:rsidRPr="008675A9" w:rsidRDefault="00EB60E0">
            <w:pPr>
              <w:keepNext/>
              <w:rPr>
                <w:lang w:val="en-CA"/>
              </w:rPr>
            </w:pPr>
          </w:p>
        </w:tc>
        <w:tc>
          <w:tcPr>
            <w:tcW w:w="4680" w:type="dxa"/>
            <w:tcBorders>
              <w:top w:val="single" w:sz="8" w:space="0" w:color="auto"/>
            </w:tcBorders>
          </w:tcPr>
          <w:p w14:paraId="5FF8503B" w14:textId="77777777" w:rsidR="008F364A" w:rsidRPr="00152D35" w:rsidRDefault="00BD41E7">
            <w:r w:rsidRPr="00152D35">
              <w:t>YVES-MARIE MORISSETTE, J.C.A.</w:t>
            </w:r>
          </w:p>
        </w:tc>
      </w:tr>
      <w:tr w:rsidR="00720AD1" w:rsidRPr="008675A9" w14:paraId="34BD6DEA" w14:textId="77777777" w:rsidTr="00117914">
        <w:trPr>
          <w:trHeight w:val="283"/>
        </w:trPr>
        <w:tc>
          <w:tcPr>
            <w:tcW w:w="4682" w:type="dxa"/>
            <w:gridSpan w:val="2"/>
            <w:tcBorders>
              <w:top w:val="nil"/>
            </w:tcBorders>
          </w:tcPr>
          <w:p w14:paraId="070BEEB1" w14:textId="77777777" w:rsidR="008F364A" w:rsidRPr="00152D35" w:rsidRDefault="00EB60E0">
            <w:pPr>
              <w:keepNext/>
            </w:pPr>
            <w:bookmarkStart w:id="7" w:name="Signature2"/>
          </w:p>
        </w:tc>
        <w:tc>
          <w:tcPr>
            <w:tcW w:w="4680" w:type="dxa"/>
            <w:tcBorders>
              <w:top w:val="nil"/>
            </w:tcBorders>
          </w:tcPr>
          <w:p w14:paraId="6FD0B505" w14:textId="77777777" w:rsidR="008F364A" w:rsidRPr="00152D35" w:rsidRDefault="00EB60E0">
            <w:pPr>
              <w:keepNext/>
            </w:pPr>
          </w:p>
        </w:tc>
      </w:tr>
      <w:tr w:rsidR="00720AD1" w:rsidRPr="008675A9" w14:paraId="34C7C4FE" w14:textId="77777777" w:rsidTr="00117914">
        <w:trPr>
          <w:trHeight w:val="283"/>
        </w:trPr>
        <w:tc>
          <w:tcPr>
            <w:tcW w:w="4682" w:type="dxa"/>
            <w:gridSpan w:val="2"/>
            <w:tcBorders>
              <w:top w:val="nil"/>
              <w:bottom w:val="nil"/>
            </w:tcBorders>
          </w:tcPr>
          <w:p w14:paraId="622E6F77" w14:textId="77777777" w:rsidR="008F364A" w:rsidRPr="00152D35" w:rsidRDefault="00EB60E0">
            <w:pPr>
              <w:keepNext/>
            </w:pPr>
          </w:p>
        </w:tc>
        <w:tc>
          <w:tcPr>
            <w:tcW w:w="4680" w:type="dxa"/>
            <w:tcBorders>
              <w:top w:val="nil"/>
              <w:bottom w:val="single" w:sz="8" w:space="0" w:color="auto"/>
            </w:tcBorders>
          </w:tcPr>
          <w:p w14:paraId="2A7710AF" w14:textId="77777777" w:rsidR="008F364A" w:rsidRPr="00152D35" w:rsidRDefault="00EB60E0">
            <w:pPr>
              <w:keepNext/>
            </w:pPr>
          </w:p>
        </w:tc>
      </w:tr>
      <w:tr w:rsidR="00720AD1" w:rsidRPr="008675A9" w14:paraId="35164A6C" w14:textId="77777777" w:rsidTr="00117914">
        <w:trPr>
          <w:trHeight w:val="283"/>
        </w:trPr>
        <w:tc>
          <w:tcPr>
            <w:tcW w:w="4682" w:type="dxa"/>
            <w:gridSpan w:val="2"/>
            <w:tcBorders>
              <w:top w:val="nil"/>
            </w:tcBorders>
          </w:tcPr>
          <w:p w14:paraId="6EDD1FAF" w14:textId="77777777" w:rsidR="008F364A" w:rsidRPr="00152D35" w:rsidRDefault="00EB60E0">
            <w:pPr>
              <w:keepNext/>
            </w:pPr>
          </w:p>
        </w:tc>
        <w:tc>
          <w:tcPr>
            <w:tcW w:w="4680" w:type="dxa"/>
            <w:tcBorders>
              <w:top w:val="single" w:sz="8" w:space="0" w:color="auto"/>
            </w:tcBorders>
          </w:tcPr>
          <w:p w14:paraId="34156D7E" w14:textId="6F17D885" w:rsidR="008F364A" w:rsidRPr="008675A9" w:rsidRDefault="00BD41E7">
            <w:pPr>
              <w:keepNext/>
              <w:rPr>
                <w:lang w:val="en-CA"/>
              </w:rPr>
            </w:pPr>
            <w:r w:rsidRPr="00AB5ACC">
              <w:rPr>
                <w:lang w:val="en-CA"/>
              </w:rPr>
              <w:t>JULIE DUTIL, J.A.</w:t>
            </w:r>
          </w:p>
        </w:tc>
      </w:tr>
      <w:tr w:rsidR="00720AD1" w:rsidRPr="008675A9" w14:paraId="2A93EF18" w14:textId="77777777" w:rsidTr="00117914">
        <w:trPr>
          <w:trHeight w:val="283"/>
        </w:trPr>
        <w:tc>
          <w:tcPr>
            <w:tcW w:w="4682" w:type="dxa"/>
            <w:gridSpan w:val="2"/>
            <w:tcBorders>
              <w:top w:val="nil"/>
            </w:tcBorders>
          </w:tcPr>
          <w:p w14:paraId="3331EE4C" w14:textId="77777777" w:rsidR="008F364A" w:rsidRPr="008675A9" w:rsidRDefault="00EB60E0">
            <w:pPr>
              <w:keepNext/>
              <w:rPr>
                <w:lang w:val="en-CA"/>
              </w:rPr>
            </w:pPr>
            <w:bookmarkStart w:id="8" w:name="Signature3"/>
            <w:bookmarkEnd w:id="7"/>
          </w:p>
        </w:tc>
        <w:tc>
          <w:tcPr>
            <w:tcW w:w="4680" w:type="dxa"/>
            <w:tcBorders>
              <w:top w:val="nil"/>
            </w:tcBorders>
          </w:tcPr>
          <w:p w14:paraId="1D8FA404" w14:textId="77777777" w:rsidR="008F364A" w:rsidRPr="008675A9" w:rsidRDefault="00EB60E0">
            <w:pPr>
              <w:keepNext/>
              <w:rPr>
                <w:lang w:val="en-CA"/>
              </w:rPr>
            </w:pPr>
          </w:p>
        </w:tc>
      </w:tr>
      <w:tr w:rsidR="00720AD1" w:rsidRPr="008675A9" w14:paraId="2E4BC693" w14:textId="77777777" w:rsidTr="00117914">
        <w:trPr>
          <w:trHeight w:val="283"/>
        </w:trPr>
        <w:tc>
          <w:tcPr>
            <w:tcW w:w="4682" w:type="dxa"/>
            <w:gridSpan w:val="2"/>
            <w:tcBorders>
              <w:top w:val="nil"/>
              <w:bottom w:val="nil"/>
            </w:tcBorders>
          </w:tcPr>
          <w:p w14:paraId="084823B2" w14:textId="77777777" w:rsidR="008F364A" w:rsidRPr="008675A9" w:rsidRDefault="00EB60E0">
            <w:pPr>
              <w:keepNext/>
              <w:rPr>
                <w:lang w:val="en-CA"/>
              </w:rPr>
            </w:pPr>
          </w:p>
        </w:tc>
        <w:tc>
          <w:tcPr>
            <w:tcW w:w="4680" w:type="dxa"/>
            <w:tcBorders>
              <w:top w:val="nil"/>
              <w:bottom w:val="single" w:sz="8" w:space="0" w:color="auto"/>
            </w:tcBorders>
          </w:tcPr>
          <w:p w14:paraId="528E0B13" w14:textId="77777777" w:rsidR="008F364A" w:rsidRPr="008675A9" w:rsidRDefault="00EB60E0">
            <w:pPr>
              <w:keepNext/>
              <w:rPr>
                <w:lang w:val="en-CA"/>
              </w:rPr>
            </w:pPr>
          </w:p>
        </w:tc>
      </w:tr>
      <w:tr w:rsidR="00720AD1" w:rsidRPr="008675A9" w14:paraId="5CFD3CAE" w14:textId="77777777" w:rsidTr="00117914">
        <w:trPr>
          <w:trHeight w:val="283"/>
        </w:trPr>
        <w:tc>
          <w:tcPr>
            <w:tcW w:w="4682" w:type="dxa"/>
            <w:gridSpan w:val="2"/>
            <w:tcBorders>
              <w:top w:val="nil"/>
            </w:tcBorders>
          </w:tcPr>
          <w:p w14:paraId="2C0DB3BF" w14:textId="77777777" w:rsidR="008F364A" w:rsidRPr="008675A9" w:rsidRDefault="00EB60E0">
            <w:pPr>
              <w:keepNext/>
              <w:rPr>
                <w:lang w:val="en-CA"/>
              </w:rPr>
            </w:pPr>
          </w:p>
        </w:tc>
        <w:tc>
          <w:tcPr>
            <w:tcW w:w="4680" w:type="dxa"/>
            <w:tcBorders>
              <w:top w:val="single" w:sz="8" w:space="0" w:color="auto"/>
            </w:tcBorders>
          </w:tcPr>
          <w:p w14:paraId="24B55EA9" w14:textId="2D73CBE8" w:rsidR="008F364A" w:rsidRPr="00152D35" w:rsidRDefault="00BD41E7">
            <w:pPr>
              <w:keepNext/>
            </w:pPr>
            <w:r w:rsidRPr="00152D35">
              <w:t>MARIE-JOSÉE HOGUE, J.A.</w:t>
            </w:r>
          </w:p>
        </w:tc>
      </w:tr>
      <w:bookmarkEnd w:id="8"/>
      <w:tr w:rsidR="00720AD1" w:rsidRPr="008675A9" w14:paraId="7C27B1E4" w14:textId="77777777" w:rsidTr="00DE4F14">
        <w:tc>
          <w:tcPr>
            <w:tcW w:w="9362" w:type="dxa"/>
            <w:gridSpan w:val="3"/>
            <w:tcBorders>
              <w:bottom w:val="nil"/>
            </w:tcBorders>
          </w:tcPr>
          <w:p w14:paraId="7A0DBD65" w14:textId="77777777" w:rsidR="005A78BF" w:rsidRPr="00152D35" w:rsidRDefault="00EB60E0" w:rsidP="005A78BF"/>
        </w:tc>
      </w:tr>
      <w:tr w:rsidR="00720AD1" w:rsidRPr="008675A9" w14:paraId="52052CB0" w14:textId="77777777" w:rsidTr="00DE4F14">
        <w:tc>
          <w:tcPr>
            <w:tcW w:w="9362" w:type="dxa"/>
            <w:gridSpan w:val="3"/>
            <w:tcBorders>
              <w:top w:val="nil"/>
            </w:tcBorders>
          </w:tcPr>
          <w:p w14:paraId="19E06EBE" w14:textId="4E62533B" w:rsidR="005A78BF" w:rsidRPr="00AB5ACC" w:rsidRDefault="00BD41E7" w:rsidP="005A78BF">
            <w:pPr>
              <w:pStyle w:val="zSoquijdatNomProcureurDem"/>
              <w:rPr>
                <w:lang w:val="en-CA"/>
              </w:rPr>
            </w:pPr>
            <w:r w:rsidRPr="00AB5ACC">
              <w:rPr>
                <w:lang w:val="en-CA"/>
              </w:rPr>
              <w:t xml:space="preserve">Stanislas </w:t>
            </w:r>
            <w:proofErr w:type="spellStart"/>
            <w:r w:rsidRPr="00AB5ACC">
              <w:rPr>
                <w:lang w:val="en-CA"/>
              </w:rPr>
              <w:t>Bricka</w:t>
            </w:r>
            <w:proofErr w:type="spellEnd"/>
          </w:p>
        </w:tc>
      </w:tr>
      <w:tr w:rsidR="00720AD1" w:rsidRPr="008675A9" w14:paraId="593D6481" w14:textId="77777777" w:rsidTr="00423DF1">
        <w:tc>
          <w:tcPr>
            <w:tcW w:w="9362" w:type="dxa"/>
            <w:gridSpan w:val="3"/>
          </w:tcPr>
          <w:p w14:paraId="2B904896" w14:textId="5528D33C" w:rsidR="005A78BF" w:rsidRPr="00AB5ACC" w:rsidRDefault="00AC2DF4" w:rsidP="005A78BF">
            <w:pPr>
              <w:pStyle w:val="zSoquijlblProcureurDem"/>
              <w:rPr>
                <w:lang w:val="en-CA"/>
              </w:rPr>
            </w:pPr>
            <w:r w:rsidRPr="00AB5ACC">
              <w:rPr>
                <w:lang w:val="en-CA"/>
              </w:rPr>
              <w:t>Unrepresented</w:t>
            </w:r>
          </w:p>
        </w:tc>
      </w:tr>
      <w:tr w:rsidR="00720AD1" w:rsidRPr="008675A9" w14:paraId="3CD96362" w14:textId="77777777" w:rsidTr="00423DF1">
        <w:tc>
          <w:tcPr>
            <w:tcW w:w="9362" w:type="dxa"/>
            <w:gridSpan w:val="3"/>
          </w:tcPr>
          <w:p w14:paraId="234583AE" w14:textId="77777777" w:rsidR="005A78BF" w:rsidRPr="008675A9" w:rsidRDefault="00EB60E0" w:rsidP="005A78BF">
            <w:pPr>
              <w:rPr>
                <w:lang w:val="en-CA"/>
              </w:rPr>
            </w:pPr>
          </w:p>
        </w:tc>
      </w:tr>
      <w:tr w:rsidR="00720AD1" w:rsidRPr="008675A9" w14:paraId="4A555F86" w14:textId="77777777" w:rsidTr="00423DF1">
        <w:tc>
          <w:tcPr>
            <w:tcW w:w="9362" w:type="dxa"/>
            <w:gridSpan w:val="3"/>
          </w:tcPr>
          <w:p w14:paraId="7AC670C7" w14:textId="574B94E1" w:rsidR="005A78BF" w:rsidRPr="00152D35" w:rsidRDefault="00BD41E7" w:rsidP="005A78BF">
            <w:pPr>
              <w:pStyle w:val="zSoquijdatNomProcureurDef"/>
            </w:pPr>
            <w:r w:rsidRPr="00152D35">
              <w:t>M</w:t>
            </w:r>
            <w:r w:rsidR="00AC2DF4" w:rsidRPr="00152D35">
              <w:t>tr</w:t>
            </w:r>
            <w:r w:rsidRPr="00152D35">
              <w:t xml:space="preserve">e </w:t>
            </w:r>
            <w:proofErr w:type="spellStart"/>
            <w:r w:rsidRPr="00152D35">
              <w:t>Lizann</w:t>
            </w:r>
            <w:proofErr w:type="spellEnd"/>
            <w:r w:rsidRPr="00152D35">
              <w:t xml:space="preserve"> Demers</w:t>
            </w:r>
          </w:p>
          <w:p w14:paraId="29E17BC1" w14:textId="28205593" w:rsidR="00DE4F14" w:rsidRPr="00152D35" w:rsidRDefault="00BD41E7" w:rsidP="005A78BF">
            <w:pPr>
              <w:pStyle w:val="zSoquijdatNomProcureurDef"/>
            </w:pPr>
            <w:r w:rsidRPr="00152D35">
              <w:t>M</w:t>
            </w:r>
            <w:r w:rsidR="00AC2DF4" w:rsidRPr="00152D35">
              <w:t>tr</w:t>
            </w:r>
            <w:r w:rsidRPr="00152D35">
              <w:t>e François-Alexandre Gagné</w:t>
            </w:r>
          </w:p>
        </w:tc>
      </w:tr>
      <w:tr w:rsidR="00720AD1" w:rsidRPr="008675A9" w14:paraId="1DA737BA" w14:textId="77777777" w:rsidTr="00423DF1">
        <w:tc>
          <w:tcPr>
            <w:tcW w:w="9362" w:type="dxa"/>
            <w:gridSpan w:val="3"/>
          </w:tcPr>
          <w:p w14:paraId="483E6B4D" w14:textId="77777777" w:rsidR="005A78BF" w:rsidRPr="00AB5ACC" w:rsidRDefault="00BD41E7" w:rsidP="005A78BF">
            <w:pPr>
              <w:pStyle w:val="zSoquijdatCabinetProcureurDef"/>
              <w:rPr>
                <w:smallCaps/>
                <w:lang w:val="en-CA"/>
              </w:rPr>
            </w:pPr>
            <w:proofErr w:type="spellStart"/>
            <w:r w:rsidRPr="00AB5ACC">
              <w:rPr>
                <w:smallCaps/>
                <w:lang w:val="en-CA"/>
              </w:rPr>
              <w:t>bernard</w:t>
            </w:r>
            <w:proofErr w:type="spellEnd"/>
            <w:r w:rsidRPr="00AB5ACC">
              <w:rPr>
                <w:smallCaps/>
                <w:lang w:val="en-CA"/>
              </w:rPr>
              <w:t xml:space="preserve">, </w:t>
            </w:r>
            <w:proofErr w:type="spellStart"/>
            <w:r w:rsidRPr="00AB5ACC">
              <w:rPr>
                <w:smallCaps/>
                <w:lang w:val="en-CA"/>
              </w:rPr>
              <w:t>roy</w:t>
            </w:r>
            <w:proofErr w:type="spellEnd"/>
            <w:r w:rsidRPr="00AB5ACC">
              <w:rPr>
                <w:smallCaps/>
                <w:lang w:val="en-CA"/>
              </w:rPr>
              <w:t xml:space="preserve"> (justice – </w:t>
            </w:r>
            <w:proofErr w:type="spellStart"/>
            <w:r w:rsidRPr="00AB5ACC">
              <w:rPr>
                <w:smallCaps/>
                <w:lang w:val="en-CA"/>
              </w:rPr>
              <w:t>québec</w:t>
            </w:r>
            <w:proofErr w:type="spellEnd"/>
            <w:r w:rsidRPr="00AB5ACC">
              <w:rPr>
                <w:smallCaps/>
                <w:lang w:val="en-CA"/>
              </w:rPr>
              <w:t>)</w:t>
            </w:r>
          </w:p>
        </w:tc>
      </w:tr>
      <w:tr w:rsidR="00720AD1" w:rsidRPr="008675A9" w14:paraId="42F65A5E" w14:textId="77777777" w:rsidTr="00423DF1">
        <w:tc>
          <w:tcPr>
            <w:tcW w:w="9362" w:type="dxa"/>
            <w:gridSpan w:val="3"/>
          </w:tcPr>
          <w:p w14:paraId="33118A60" w14:textId="622763B4" w:rsidR="005A78BF" w:rsidRPr="00AB5ACC" w:rsidRDefault="00AC2DF4" w:rsidP="005A78BF">
            <w:pPr>
              <w:pStyle w:val="zSoquijlblProcureurDef"/>
              <w:rPr>
                <w:lang w:val="en-CA"/>
              </w:rPr>
            </w:pPr>
            <w:r w:rsidRPr="00AB5ACC">
              <w:rPr>
                <w:lang w:val="en-CA"/>
              </w:rPr>
              <w:t>For the respondent</w:t>
            </w:r>
          </w:p>
        </w:tc>
      </w:tr>
      <w:tr w:rsidR="00720AD1" w:rsidRPr="008675A9" w14:paraId="0EC707E7" w14:textId="77777777" w:rsidTr="00423DF1">
        <w:tc>
          <w:tcPr>
            <w:tcW w:w="9362" w:type="dxa"/>
            <w:gridSpan w:val="3"/>
          </w:tcPr>
          <w:p w14:paraId="7FF5ABA6" w14:textId="77777777" w:rsidR="005A78BF" w:rsidRPr="008675A9" w:rsidRDefault="00EB60E0" w:rsidP="005A78BF">
            <w:pPr>
              <w:rPr>
                <w:lang w:val="en-CA"/>
              </w:rPr>
            </w:pPr>
          </w:p>
        </w:tc>
      </w:tr>
      <w:tr w:rsidR="00720AD1" w:rsidRPr="008675A9" w14:paraId="277D49BE" w14:textId="77777777" w:rsidTr="00423DF1">
        <w:tc>
          <w:tcPr>
            <w:tcW w:w="1997" w:type="dxa"/>
          </w:tcPr>
          <w:p w14:paraId="0486E17E" w14:textId="16135414" w:rsidR="005A78BF" w:rsidRPr="00AB5ACC" w:rsidRDefault="00AC2DF4" w:rsidP="005A78BF">
            <w:pPr>
              <w:pStyle w:val="zSoquijlblDateAudience"/>
              <w:rPr>
                <w:lang w:val="en-CA"/>
              </w:rPr>
            </w:pPr>
            <w:r w:rsidRPr="00AB5ACC">
              <w:rPr>
                <w:lang w:val="en-CA"/>
              </w:rPr>
              <w:t>Date of hearing:</w:t>
            </w:r>
          </w:p>
        </w:tc>
        <w:tc>
          <w:tcPr>
            <w:tcW w:w="7365" w:type="dxa"/>
            <w:gridSpan w:val="2"/>
          </w:tcPr>
          <w:p w14:paraId="45855792" w14:textId="73ED1BD2" w:rsidR="005A78BF" w:rsidRPr="00AB5ACC" w:rsidRDefault="00AC2DF4" w:rsidP="005A78BF">
            <w:pPr>
              <w:pStyle w:val="zSoquijdatDateAudience"/>
              <w:rPr>
                <w:lang w:val="en-CA"/>
              </w:rPr>
            </w:pPr>
            <w:r w:rsidRPr="00AB5ACC">
              <w:rPr>
                <w:lang w:val="en-CA"/>
              </w:rPr>
              <w:t>December 16, 2021</w:t>
            </w:r>
          </w:p>
        </w:tc>
      </w:tr>
      <w:bookmarkEnd w:id="2"/>
    </w:tbl>
    <w:p w14:paraId="0C82BF5D" w14:textId="77777777" w:rsidR="00740A17" w:rsidRPr="008675A9" w:rsidRDefault="00EB60E0" w:rsidP="00DE4F14">
      <w:pPr>
        <w:rPr>
          <w:lang w:val="en-CA"/>
        </w:rPr>
      </w:pPr>
    </w:p>
    <w:sectPr w:rsidR="00740A17" w:rsidRPr="008675A9" w:rsidSect="00DE4F14">
      <w:headerReference w:type="default" r:id="rId8"/>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7729" w14:textId="77777777" w:rsidR="00093154" w:rsidRDefault="00BD41E7">
      <w:pPr>
        <w:spacing w:line="240" w:lineRule="auto"/>
      </w:pPr>
      <w:r>
        <w:separator/>
      </w:r>
    </w:p>
  </w:endnote>
  <w:endnote w:type="continuationSeparator" w:id="0">
    <w:p w14:paraId="42580206" w14:textId="77777777" w:rsidR="00093154" w:rsidRDefault="00BD4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1540" w14:textId="77777777" w:rsidR="00FA54D9" w:rsidRDefault="00BD41E7">
      <w:r>
        <w:separator/>
      </w:r>
    </w:p>
  </w:footnote>
  <w:footnote w:type="continuationSeparator" w:id="0">
    <w:p w14:paraId="5E0CA89C" w14:textId="77777777" w:rsidR="00FA54D9" w:rsidRDefault="00BD41E7">
      <w:r>
        <w:continuationSeparator/>
      </w:r>
    </w:p>
  </w:footnote>
  <w:footnote w:id="1">
    <w:p w14:paraId="7DFF90F3" w14:textId="4F399134" w:rsidR="001516A0" w:rsidRPr="00152D35" w:rsidRDefault="00BD41E7" w:rsidP="001516A0">
      <w:pPr>
        <w:pStyle w:val="Notedebasdepage"/>
      </w:pPr>
      <w:r w:rsidRPr="006521E1">
        <w:rPr>
          <w:rStyle w:val="Appelnotedebasdep"/>
          <w:lang w:val="en-CA"/>
        </w:rPr>
        <w:footnoteRef/>
      </w:r>
      <w:r w:rsidRPr="00152D35">
        <w:t xml:space="preserve"> </w:t>
      </w:r>
      <w:r w:rsidRPr="00152D35">
        <w:tab/>
      </w:r>
      <w:proofErr w:type="spellStart"/>
      <w:r w:rsidRPr="00152D35">
        <w:rPr>
          <w:i/>
        </w:rPr>
        <w:t>Bricka</w:t>
      </w:r>
      <w:proofErr w:type="spellEnd"/>
      <w:r w:rsidRPr="00152D35">
        <w:rPr>
          <w:i/>
        </w:rPr>
        <w:t xml:space="preserve"> c. Procureur général du Québec</w:t>
      </w:r>
      <w:r w:rsidRPr="00152D35">
        <w:t>, 2021 QCCS 1245 [</w:t>
      </w:r>
      <w:proofErr w:type="spellStart"/>
      <w:r w:rsidR="00AA1C44" w:rsidRPr="00152D35">
        <w:t>Judgment</w:t>
      </w:r>
      <w:proofErr w:type="spellEnd"/>
      <w:r w:rsidR="00AA1C44" w:rsidRPr="00152D35">
        <w:t xml:space="preserve"> </w:t>
      </w:r>
      <w:proofErr w:type="spellStart"/>
      <w:r w:rsidR="00AA1C44" w:rsidRPr="00152D35">
        <w:t>under</w:t>
      </w:r>
      <w:proofErr w:type="spellEnd"/>
      <w:r w:rsidR="00AA1C44" w:rsidRPr="00152D35">
        <w:t xml:space="preserve"> </w:t>
      </w:r>
      <w:proofErr w:type="spellStart"/>
      <w:r w:rsidR="00AA1C44" w:rsidRPr="00152D35">
        <w:t>appeal</w:t>
      </w:r>
      <w:proofErr w:type="spellEnd"/>
      <w:r w:rsidRPr="00152D35">
        <w:t>].</w:t>
      </w:r>
    </w:p>
  </w:footnote>
  <w:footnote w:id="2">
    <w:p w14:paraId="530ECBD4" w14:textId="75F53F15" w:rsidR="00186448" w:rsidRPr="006521E1" w:rsidRDefault="00186448" w:rsidP="00186448">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6521E1">
        <w:rPr>
          <w:i/>
          <w:lang w:val="en-CA"/>
        </w:rPr>
        <w:t>Public Health Act</w:t>
      </w:r>
      <w:r w:rsidRPr="006521E1">
        <w:rPr>
          <w:iCs/>
          <w:lang w:val="en-CA"/>
        </w:rPr>
        <w:t>,</w:t>
      </w:r>
      <w:r w:rsidRPr="006521E1">
        <w:rPr>
          <w:i/>
          <w:lang w:val="en-CA"/>
        </w:rPr>
        <w:t xml:space="preserve"> </w:t>
      </w:r>
      <w:r w:rsidRPr="006521E1">
        <w:rPr>
          <w:iCs/>
          <w:lang w:val="en-CA"/>
        </w:rPr>
        <w:t>CQLR c</w:t>
      </w:r>
      <w:r>
        <w:rPr>
          <w:iCs/>
          <w:lang w:val="en-CA"/>
        </w:rPr>
        <w:t>.</w:t>
      </w:r>
      <w:r w:rsidRPr="006521E1">
        <w:rPr>
          <w:iCs/>
          <w:lang w:val="en-CA"/>
        </w:rPr>
        <w:t xml:space="preserve"> S-2.2</w:t>
      </w:r>
      <w:r w:rsidRPr="00AB5ACC">
        <w:rPr>
          <w:iCs/>
          <w:lang w:val="en-CA"/>
        </w:rPr>
        <w:t>.</w:t>
      </w:r>
    </w:p>
  </w:footnote>
  <w:footnote w:id="3">
    <w:p w14:paraId="6869C979" w14:textId="3EC1C519" w:rsidR="00705A19" w:rsidRPr="006521E1" w:rsidRDefault="00705A19" w:rsidP="00705A19">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AA1C44" w:rsidRPr="00AB5ACC">
        <w:rPr>
          <w:lang w:val="en-CA"/>
        </w:rPr>
        <w:t>Order in Council</w:t>
      </w:r>
      <w:r w:rsidRPr="00AB5ACC">
        <w:rPr>
          <w:lang w:val="en-CA"/>
        </w:rPr>
        <w:t xml:space="preserve"> 117-2020</w:t>
      </w:r>
      <w:r w:rsidR="001B6B3B" w:rsidRPr="00AB5ACC">
        <w:rPr>
          <w:lang w:val="en-CA"/>
        </w:rPr>
        <w:t>,</w:t>
      </w:r>
      <w:r w:rsidRPr="00AB5ACC">
        <w:rPr>
          <w:lang w:val="en-CA"/>
        </w:rPr>
        <w:t xml:space="preserve"> </w:t>
      </w:r>
      <w:r w:rsidR="00AA1C44" w:rsidRPr="00AB5ACC">
        <w:rPr>
          <w:lang w:val="en-CA"/>
        </w:rPr>
        <w:t>date</w:t>
      </w:r>
      <w:r w:rsidR="001B6B3B" w:rsidRPr="00AB5ACC">
        <w:rPr>
          <w:lang w:val="en-CA"/>
        </w:rPr>
        <w:t>d</w:t>
      </w:r>
      <w:r w:rsidRPr="00AB5ACC">
        <w:rPr>
          <w:lang w:val="en-CA"/>
        </w:rPr>
        <w:t xml:space="preserve"> </w:t>
      </w:r>
      <w:r w:rsidR="001001AE" w:rsidRPr="00AB5ACC">
        <w:rPr>
          <w:lang w:val="en-CA"/>
        </w:rPr>
        <w:t>13</w:t>
      </w:r>
      <w:r w:rsidR="00F7464E" w:rsidRPr="00F7464E">
        <w:rPr>
          <w:lang w:val="en-CA"/>
        </w:rPr>
        <w:t xml:space="preserve"> </w:t>
      </w:r>
      <w:r w:rsidR="00F7464E" w:rsidRPr="00AB5ACC">
        <w:rPr>
          <w:lang w:val="en-CA"/>
        </w:rPr>
        <w:t>March</w:t>
      </w:r>
      <w:r w:rsidR="001001AE" w:rsidRPr="00AB5ACC">
        <w:rPr>
          <w:lang w:val="en-CA"/>
        </w:rPr>
        <w:t xml:space="preserve"> </w:t>
      </w:r>
      <w:r w:rsidRPr="00AB5ACC">
        <w:rPr>
          <w:lang w:val="en-CA"/>
        </w:rPr>
        <w:t>2020.</w:t>
      </w:r>
    </w:p>
  </w:footnote>
  <w:footnote w:id="4">
    <w:p w14:paraId="17A517AC" w14:textId="7344DCBA"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AA1C44" w:rsidRPr="00AB5ACC">
        <w:rPr>
          <w:lang w:val="en-CA"/>
        </w:rPr>
        <w:t>Application for judicial review</w:t>
      </w:r>
      <w:r w:rsidRPr="00AB5ACC">
        <w:rPr>
          <w:lang w:val="en-CA"/>
        </w:rPr>
        <w:t xml:space="preserve">, </w:t>
      </w:r>
      <w:r w:rsidR="001001AE" w:rsidRPr="00AB5ACC">
        <w:rPr>
          <w:lang w:val="en-CA"/>
        </w:rPr>
        <w:t>11</w:t>
      </w:r>
      <w:r w:rsidR="00F7464E">
        <w:rPr>
          <w:lang w:val="en-CA"/>
        </w:rPr>
        <w:t xml:space="preserve"> </w:t>
      </w:r>
      <w:r w:rsidR="00F7464E" w:rsidRPr="00AB5ACC">
        <w:rPr>
          <w:lang w:val="en-CA"/>
        </w:rPr>
        <w:t xml:space="preserve">March </w:t>
      </w:r>
      <w:r w:rsidRPr="00AB5ACC">
        <w:rPr>
          <w:lang w:val="en-CA"/>
        </w:rPr>
        <w:t>2021.</w:t>
      </w:r>
    </w:p>
  </w:footnote>
  <w:footnote w:id="5">
    <w:p w14:paraId="3389E67F" w14:textId="7F6D940E"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A8270C" w:rsidRPr="00AB5ACC">
        <w:rPr>
          <w:lang w:val="en-CA"/>
        </w:rPr>
        <w:t>Judgment under appeal</w:t>
      </w:r>
      <w:r w:rsidRPr="00AB5ACC">
        <w:rPr>
          <w:lang w:val="en-CA"/>
        </w:rPr>
        <w:t>.</w:t>
      </w:r>
    </w:p>
  </w:footnote>
  <w:footnote w:id="6">
    <w:p w14:paraId="4C5C54C7" w14:textId="7377A0C9"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AB5ACC">
        <w:rPr>
          <w:i/>
          <w:lang w:val="en-CA"/>
        </w:rPr>
        <w:t>I</w:t>
      </w:r>
      <w:r w:rsidR="00A8270C" w:rsidRPr="00AB5ACC">
        <w:rPr>
          <w:i/>
          <w:lang w:val="en-CA"/>
        </w:rPr>
        <w:t>bi</w:t>
      </w:r>
      <w:r w:rsidRPr="00AB5ACC">
        <w:rPr>
          <w:i/>
          <w:lang w:val="en-CA"/>
        </w:rPr>
        <w:t>d</w:t>
      </w:r>
      <w:r w:rsidR="00A8270C" w:rsidRPr="00AB5ACC">
        <w:rPr>
          <w:i/>
          <w:lang w:val="en-CA"/>
        </w:rPr>
        <w:t>.</w:t>
      </w:r>
      <w:r w:rsidR="00A8270C" w:rsidRPr="00AB5ACC">
        <w:rPr>
          <w:iCs/>
          <w:lang w:val="en-CA"/>
        </w:rPr>
        <w:t xml:space="preserve"> at</w:t>
      </w:r>
      <w:r w:rsidRPr="00AB5ACC">
        <w:rPr>
          <w:i/>
          <w:lang w:val="en-CA"/>
        </w:rPr>
        <w:t xml:space="preserve"> </w:t>
      </w:r>
      <w:r w:rsidRPr="00AB5ACC">
        <w:rPr>
          <w:lang w:val="en-CA"/>
        </w:rPr>
        <w:t>para</w:t>
      </w:r>
      <w:r w:rsidR="00A8270C" w:rsidRPr="00AB5ACC">
        <w:rPr>
          <w:lang w:val="en-CA"/>
        </w:rPr>
        <w:t>s</w:t>
      </w:r>
      <w:r w:rsidRPr="00AB5ACC">
        <w:rPr>
          <w:lang w:val="en-CA"/>
        </w:rPr>
        <w:t>.</w:t>
      </w:r>
      <w:r w:rsidRPr="006521E1">
        <w:rPr>
          <w:lang w:val="en-CA"/>
        </w:rPr>
        <w:t xml:space="preserve"> 52</w:t>
      </w:r>
      <w:r w:rsidR="00583A14">
        <w:rPr>
          <w:lang w:val="en-CA"/>
        </w:rPr>
        <w:t>–</w:t>
      </w:r>
      <w:r w:rsidRPr="006521E1">
        <w:rPr>
          <w:lang w:val="en-CA"/>
        </w:rPr>
        <w:t>53.</w:t>
      </w:r>
    </w:p>
  </w:footnote>
  <w:footnote w:id="7">
    <w:p w14:paraId="0D2D2A71" w14:textId="5EC67A1C"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A8270C" w:rsidRPr="006521E1">
        <w:rPr>
          <w:i/>
          <w:lang w:val="en-CA"/>
        </w:rPr>
        <w:t>Canada (Minister of Citizenship and Immigration) v. Vavilov</w:t>
      </w:r>
      <w:r w:rsidR="00A8270C" w:rsidRPr="006521E1">
        <w:rPr>
          <w:iCs/>
          <w:lang w:val="en-CA"/>
        </w:rPr>
        <w:t>, 2019 SCC 65</w:t>
      </w:r>
      <w:r w:rsidRPr="00AB5ACC">
        <w:rPr>
          <w:lang w:val="en-CA"/>
        </w:rPr>
        <w:t>.</w:t>
      </w:r>
    </w:p>
  </w:footnote>
  <w:footnote w:id="8">
    <w:p w14:paraId="18C1E3DB" w14:textId="7C537B65" w:rsidR="001516A0" w:rsidRPr="00152D35" w:rsidRDefault="00BD41E7" w:rsidP="001516A0">
      <w:pPr>
        <w:pStyle w:val="Notedebasdepage"/>
      </w:pPr>
      <w:r w:rsidRPr="006521E1">
        <w:rPr>
          <w:rStyle w:val="Appelnotedebasdep"/>
          <w:lang w:val="en-CA"/>
        </w:rPr>
        <w:footnoteRef/>
      </w:r>
      <w:r w:rsidRPr="006521E1">
        <w:rPr>
          <w:lang w:val="en-CA"/>
        </w:rPr>
        <w:t xml:space="preserve"> </w:t>
      </w:r>
      <w:r w:rsidRPr="006521E1">
        <w:rPr>
          <w:lang w:val="en-CA"/>
        </w:rPr>
        <w:tab/>
      </w:r>
      <w:proofErr w:type="spellStart"/>
      <w:r w:rsidR="00A8270C" w:rsidRPr="006521E1">
        <w:rPr>
          <w:i/>
          <w:color w:val="000000"/>
          <w:lang w:val="en-CA"/>
        </w:rPr>
        <w:t>Agraira</w:t>
      </w:r>
      <w:proofErr w:type="spellEnd"/>
      <w:r w:rsidR="00A8270C" w:rsidRPr="006521E1">
        <w:rPr>
          <w:i/>
          <w:color w:val="000000"/>
          <w:lang w:val="en-CA"/>
        </w:rPr>
        <w:t xml:space="preserve"> v. Canada (Public Safety and Emergency Preparedness</w:t>
      </w:r>
      <w:r w:rsidR="00A8270C" w:rsidRPr="006521E1">
        <w:rPr>
          <w:iCs/>
          <w:color w:val="000000"/>
          <w:lang w:val="en-CA"/>
        </w:rPr>
        <w:t>), 2013 SCC 36, [2013] 2 S.C.R. 559</w:t>
      </w:r>
      <w:r w:rsidR="00A8270C" w:rsidRPr="00AB5ACC">
        <w:rPr>
          <w:color w:val="000000"/>
          <w:lang w:val="en-CA"/>
        </w:rPr>
        <w:t xml:space="preserve"> at</w:t>
      </w:r>
      <w:r w:rsidRPr="00AB5ACC">
        <w:rPr>
          <w:color w:val="000000"/>
          <w:lang w:val="en-CA"/>
        </w:rPr>
        <w:t xml:space="preserve"> para.</w:t>
      </w:r>
      <w:r w:rsidRPr="006521E1">
        <w:rPr>
          <w:color w:val="000000"/>
          <w:lang w:val="en-CA"/>
        </w:rPr>
        <w:t> </w:t>
      </w:r>
      <w:r w:rsidRPr="00152D35">
        <w:rPr>
          <w:color w:val="000000"/>
        </w:rPr>
        <w:t xml:space="preserve">47. </w:t>
      </w:r>
      <w:r w:rsidR="00A8270C" w:rsidRPr="00152D35">
        <w:t xml:space="preserve">See </w:t>
      </w:r>
      <w:proofErr w:type="spellStart"/>
      <w:r w:rsidR="00A8270C" w:rsidRPr="00152D35">
        <w:t>also</w:t>
      </w:r>
      <w:proofErr w:type="spellEnd"/>
      <w:r w:rsidRPr="00152D35">
        <w:rPr>
          <w:color w:val="000000"/>
        </w:rPr>
        <w:t xml:space="preserve"> </w:t>
      </w:r>
      <w:r w:rsidRPr="00FA111C">
        <w:rPr>
          <w:i/>
          <w:color w:val="000000"/>
        </w:rPr>
        <w:t xml:space="preserve">F.S. </w:t>
      </w:r>
      <w:r w:rsidRPr="00FA111C">
        <w:rPr>
          <w:i/>
        </w:rPr>
        <w:t>c</w:t>
      </w:r>
      <w:r w:rsidRPr="00FA111C">
        <w:rPr>
          <w:i/>
          <w:color w:val="000000"/>
        </w:rPr>
        <w:t>. Commission des normes, de l'équité, de la santé et de la sécurité du travail</w:t>
      </w:r>
      <w:r w:rsidRPr="00152D35">
        <w:rPr>
          <w:color w:val="000000"/>
        </w:rPr>
        <w:t>, 2020 QCCA 1625</w:t>
      </w:r>
      <w:r w:rsidR="00A8270C" w:rsidRPr="00152D35">
        <w:rPr>
          <w:color w:val="000000"/>
        </w:rPr>
        <w:t xml:space="preserve"> at para</w:t>
      </w:r>
      <w:r w:rsidRPr="00152D35">
        <w:rPr>
          <w:color w:val="000000"/>
        </w:rPr>
        <w:t xml:space="preserve">. 32; </w:t>
      </w:r>
      <w:r w:rsidRPr="00FA111C">
        <w:rPr>
          <w:i/>
        </w:rPr>
        <w:t>Procureur général</w:t>
      </w:r>
      <w:r w:rsidRPr="00152D35">
        <w:rPr>
          <w:i/>
        </w:rPr>
        <w:t xml:space="preserve"> du Québec</w:t>
      </w:r>
      <w:r w:rsidRPr="00152D35">
        <w:rPr>
          <w:i/>
          <w:color w:val="000000"/>
        </w:rPr>
        <w:t xml:space="preserve"> </w:t>
      </w:r>
      <w:r w:rsidRPr="00152D35">
        <w:rPr>
          <w:i/>
        </w:rPr>
        <w:t>c</w:t>
      </w:r>
      <w:r w:rsidRPr="00152D35">
        <w:rPr>
          <w:i/>
          <w:color w:val="000000"/>
        </w:rPr>
        <w:t xml:space="preserve">. </w:t>
      </w:r>
      <w:proofErr w:type="spellStart"/>
      <w:r w:rsidRPr="00152D35">
        <w:rPr>
          <w:i/>
          <w:color w:val="000000"/>
        </w:rPr>
        <w:t>Lamontagne</w:t>
      </w:r>
      <w:proofErr w:type="spellEnd"/>
      <w:r w:rsidRPr="00152D35">
        <w:rPr>
          <w:color w:val="000000"/>
        </w:rPr>
        <w:t>, 2020 QCCA 1137</w:t>
      </w:r>
      <w:r w:rsidR="00A8270C" w:rsidRPr="00152D35">
        <w:rPr>
          <w:color w:val="000000"/>
        </w:rPr>
        <w:t xml:space="preserve"> at</w:t>
      </w:r>
      <w:r w:rsidRPr="00152D35">
        <w:rPr>
          <w:color w:val="000000"/>
        </w:rPr>
        <w:t xml:space="preserve"> para. 23.</w:t>
      </w:r>
    </w:p>
  </w:footnote>
  <w:footnote w:id="9">
    <w:p w14:paraId="6A294BD9" w14:textId="5EDD68B7" w:rsidR="00A8270C" w:rsidRPr="00152D35" w:rsidRDefault="00A8270C" w:rsidP="00A8270C">
      <w:pPr>
        <w:pStyle w:val="Notedebasdepage"/>
      </w:pPr>
      <w:r w:rsidRPr="006521E1">
        <w:rPr>
          <w:rStyle w:val="Appelnotedebasdep"/>
          <w:lang w:val="en-CA"/>
        </w:rPr>
        <w:footnoteRef/>
      </w:r>
      <w:r w:rsidRPr="00152D35">
        <w:t xml:space="preserve"> </w:t>
      </w:r>
      <w:r w:rsidRPr="00152D35">
        <w:tab/>
      </w:r>
      <w:proofErr w:type="spellStart"/>
      <w:r w:rsidR="00361DBF" w:rsidRPr="00152D35">
        <w:rPr>
          <w:i/>
        </w:rPr>
        <w:t>Agraira</w:t>
      </w:r>
      <w:proofErr w:type="spellEnd"/>
      <w:r w:rsidR="00361DBF" w:rsidRPr="00152D35">
        <w:rPr>
          <w:i/>
        </w:rPr>
        <w:t xml:space="preserve"> v. Canada (Public </w:t>
      </w:r>
      <w:proofErr w:type="spellStart"/>
      <w:r w:rsidR="00361DBF" w:rsidRPr="00152D35">
        <w:rPr>
          <w:i/>
        </w:rPr>
        <w:t>Safety</w:t>
      </w:r>
      <w:proofErr w:type="spellEnd"/>
      <w:r w:rsidR="00361DBF" w:rsidRPr="00152D35">
        <w:rPr>
          <w:i/>
        </w:rPr>
        <w:t xml:space="preserve"> and Emergency </w:t>
      </w:r>
      <w:proofErr w:type="spellStart"/>
      <w:r w:rsidR="00361DBF" w:rsidRPr="00152D35">
        <w:rPr>
          <w:i/>
        </w:rPr>
        <w:t>Preparedness</w:t>
      </w:r>
      <w:proofErr w:type="spellEnd"/>
      <w:r w:rsidR="00361DBF" w:rsidRPr="00152D35">
        <w:rPr>
          <w:i/>
        </w:rPr>
        <w:t>)</w:t>
      </w:r>
      <w:r w:rsidR="00361DBF" w:rsidRPr="00152D35">
        <w:rPr>
          <w:iCs/>
        </w:rPr>
        <w:t>, 2013 SCC 36, [2013] 2 S.C.R. 559</w:t>
      </w:r>
      <w:r w:rsidR="00361DBF" w:rsidRPr="00152D35">
        <w:t xml:space="preserve"> at</w:t>
      </w:r>
      <w:r w:rsidRPr="00152D35">
        <w:t xml:space="preserve"> para. 45.</w:t>
      </w:r>
    </w:p>
  </w:footnote>
  <w:footnote w:id="10">
    <w:p w14:paraId="2F07ECDB" w14:textId="4002E2E5" w:rsidR="001516A0" w:rsidRPr="00152D35" w:rsidRDefault="00BD41E7" w:rsidP="001516A0">
      <w:pPr>
        <w:pStyle w:val="Notedebasdepage"/>
      </w:pPr>
      <w:r w:rsidRPr="006521E1">
        <w:rPr>
          <w:rStyle w:val="Appelnotedebasdep"/>
          <w:lang w:val="en-CA"/>
        </w:rPr>
        <w:footnoteRef/>
      </w:r>
      <w:r w:rsidRPr="00152D35">
        <w:t xml:space="preserve"> </w:t>
      </w:r>
      <w:r w:rsidRPr="00152D35">
        <w:tab/>
      </w:r>
      <w:r w:rsidRPr="00152D35">
        <w:rPr>
          <w:i/>
        </w:rPr>
        <w:t>I</w:t>
      </w:r>
      <w:r w:rsidR="00361DBF" w:rsidRPr="00152D35">
        <w:rPr>
          <w:i/>
        </w:rPr>
        <w:t>bi</w:t>
      </w:r>
      <w:r w:rsidRPr="00152D35">
        <w:rPr>
          <w:i/>
        </w:rPr>
        <w:t>d.</w:t>
      </w:r>
      <w:r w:rsidR="00361DBF" w:rsidRPr="00152D35">
        <w:t xml:space="preserve"> at</w:t>
      </w:r>
      <w:r w:rsidRPr="00152D35">
        <w:t xml:space="preserve"> para. 46.</w:t>
      </w:r>
    </w:p>
  </w:footnote>
  <w:footnote w:id="11">
    <w:p w14:paraId="5E165869" w14:textId="7B36589E" w:rsidR="001516A0" w:rsidRPr="006521E1" w:rsidRDefault="00BD41E7" w:rsidP="001516A0">
      <w:pPr>
        <w:pStyle w:val="Notedebasdepage"/>
        <w:rPr>
          <w:lang w:val="en-CA"/>
        </w:rPr>
      </w:pPr>
      <w:r w:rsidRPr="006521E1">
        <w:rPr>
          <w:rStyle w:val="Appelnotedebasdep"/>
          <w:lang w:val="en-CA"/>
        </w:rPr>
        <w:footnoteRef/>
      </w:r>
      <w:r w:rsidRPr="00152D35">
        <w:t xml:space="preserve"> </w:t>
      </w:r>
      <w:r w:rsidRPr="00152D35">
        <w:tab/>
      </w:r>
      <w:r w:rsidR="001B7266">
        <w:t>F</w:t>
      </w:r>
      <w:r w:rsidR="00361DBF" w:rsidRPr="00152D35">
        <w:t xml:space="preserve">or </w:t>
      </w:r>
      <w:proofErr w:type="spellStart"/>
      <w:r w:rsidR="00361DBF" w:rsidRPr="00152D35">
        <w:t>example</w:t>
      </w:r>
      <w:proofErr w:type="spellEnd"/>
      <w:r w:rsidR="001B7266">
        <w:t>, see</w:t>
      </w:r>
      <w:r w:rsidRPr="00152D35">
        <w:t xml:space="preserve"> </w:t>
      </w:r>
      <w:r w:rsidRPr="00152D35">
        <w:rPr>
          <w:i/>
        </w:rPr>
        <w:t>Janssen inc. c. Ministre de la Santé et des Services sociaux</w:t>
      </w:r>
      <w:r w:rsidRPr="00152D35">
        <w:t>, 2019 QCCA 39</w:t>
      </w:r>
      <w:r w:rsidR="00361DBF" w:rsidRPr="00152D35">
        <w:t xml:space="preserve"> at</w:t>
      </w:r>
      <w:r w:rsidRPr="00152D35">
        <w:t xml:space="preserve"> para</w:t>
      </w:r>
      <w:r w:rsidR="00361DBF" w:rsidRPr="00152D35">
        <w:t>s</w:t>
      </w:r>
      <w:r w:rsidRPr="00152D35">
        <w:t xml:space="preserve">. </w:t>
      </w:r>
      <w:r w:rsidRPr="006521E1">
        <w:rPr>
          <w:lang w:val="en-CA"/>
        </w:rPr>
        <w:t>33</w:t>
      </w:r>
      <w:r w:rsidR="004E3BD4">
        <w:rPr>
          <w:lang w:val="en-CA"/>
        </w:rPr>
        <w:t>–</w:t>
      </w:r>
      <w:r w:rsidRPr="006521E1">
        <w:rPr>
          <w:lang w:val="en-CA"/>
        </w:rPr>
        <w:t>35.</w:t>
      </w:r>
    </w:p>
  </w:footnote>
  <w:footnote w:id="12">
    <w:p w14:paraId="1A4A9F98" w14:textId="647C226F"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361DBF" w:rsidRPr="006521E1">
        <w:rPr>
          <w:i/>
          <w:lang w:val="en-CA"/>
        </w:rPr>
        <w:t>Civil Protection Act</w:t>
      </w:r>
      <w:r w:rsidR="00361DBF" w:rsidRPr="006521E1">
        <w:rPr>
          <w:iCs/>
          <w:lang w:val="en-CA"/>
        </w:rPr>
        <w:t>, CQLR c</w:t>
      </w:r>
      <w:r w:rsidR="007F5D57">
        <w:rPr>
          <w:iCs/>
          <w:lang w:val="en-CA"/>
        </w:rPr>
        <w:t>.</w:t>
      </w:r>
      <w:r w:rsidR="00361DBF" w:rsidRPr="006521E1">
        <w:rPr>
          <w:iCs/>
          <w:lang w:val="en-CA"/>
        </w:rPr>
        <w:t xml:space="preserve"> S-2.3</w:t>
      </w:r>
      <w:r w:rsidRPr="00AB5ACC">
        <w:rPr>
          <w:iCs/>
          <w:lang w:val="en-CA"/>
        </w:rPr>
        <w:t>.</w:t>
      </w:r>
    </w:p>
  </w:footnote>
  <w:footnote w:id="13">
    <w:p w14:paraId="3BD94FD4" w14:textId="14222BE2" w:rsidR="001516A0" w:rsidRPr="00152D35" w:rsidRDefault="00BD41E7" w:rsidP="001516A0">
      <w:pPr>
        <w:pStyle w:val="Notedebasdepage"/>
      </w:pPr>
      <w:r w:rsidRPr="006521E1">
        <w:rPr>
          <w:rStyle w:val="Appelnotedebasdep"/>
          <w:lang w:val="en-CA"/>
        </w:rPr>
        <w:footnoteRef/>
      </w:r>
      <w:r w:rsidRPr="006521E1">
        <w:rPr>
          <w:lang w:val="en-CA"/>
        </w:rPr>
        <w:t xml:space="preserve"> </w:t>
      </w:r>
      <w:r w:rsidRPr="006521E1">
        <w:rPr>
          <w:lang w:val="en-CA"/>
        </w:rPr>
        <w:tab/>
      </w:r>
      <w:r w:rsidR="00361DBF" w:rsidRPr="006521E1">
        <w:rPr>
          <w:i/>
          <w:lang w:val="en-CA"/>
        </w:rPr>
        <w:t xml:space="preserve">Catalyst Paper Corp. v. North Cowichan (District), </w:t>
      </w:r>
      <w:r w:rsidR="00361DBF" w:rsidRPr="006521E1">
        <w:rPr>
          <w:iCs/>
          <w:lang w:val="en-CA"/>
        </w:rPr>
        <w:t>2012 SCC 2, [2012] 1 S.C.R. 5</w:t>
      </w:r>
      <w:r w:rsidR="00361DBF" w:rsidRPr="00AB5ACC">
        <w:rPr>
          <w:iCs/>
          <w:lang w:val="en-CA"/>
        </w:rPr>
        <w:t xml:space="preserve"> at</w:t>
      </w:r>
      <w:r w:rsidRPr="00AB5ACC">
        <w:rPr>
          <w:lang w:val="en-CA"/>
        </w:rPr>
        <w:t xml:space="preserve"> para.</w:t>
      </w:r>
      <w:r w:rsidRPr="006521E1">
        <w:rPr>
          <w:lang w:val="en-CA"/>
        </w:rPr>
        <w:t xml:space="preserve"> </w:t>
      </w:r>
      <w:r w:rsidRPr="00152D35">
        <w:t>15.</w:t>
      </w:r>
    </w:p>
  </w:footnote>
  <w:footnote w:id="14">
    <w:p w14:paraId="1AD8480B" w14:textId="743AD543" w:rsidR="001516A0" w:rsidRPr="00152D35" w:rsidRDefault="00BD41E7" w:rsidP="001516A0">
      <w:pPr>
        <w:pStyle w:val="Notedebasdepage"/>
      </w:pPr>
      <w:r w:rsidRPr="006521E1">
        <w:rPr>
          <w:rStyle w:val="Appelnotedebasdep"/>
          <w:lang w:val="en-CA"/>
        </w:rPr>
        <w:footnoteRef/>
      </w:r>
      <w:r w:rsidRPr="00152D35">
        <w:t xml:space="preserve"> </w:t>
      </w:r>
      <w:r w:rsidRPr="00152D35">
        <w:tab/>
      </w:r>
      <w:r w:rsidRPr="00152D35">
        <w:rPr>
          <w:i/>
        </w:rPr>
        <w:t xml:space="preserve">Racicot c. </w:t>
      </w:r>
      <w:r w:rsidRPr="00FA111C">
        <w:rPr>
          <w:i/>
        </w:rPr>
        <w:t>Procureure générale du Québec</w:t>
      </w:r>
      <w:r w:rsidRPr="00152D35">
        <w:t>, 2020 QCCA 656</w:t>
      </w:r>
      <w:r w:rsidR="00361DBF" w:rsidRPr="00152D35">
        <w:t xml:space="preserve"> at </w:t>
      </w:r>
      <w:r w:rsidRPr="00152D35">
        <w:t xml:space="preserve">para. 11; </w:t>
      </w:r>
      <w:r w:rsidRPr="00FA111C">
        <w:rPr>
          <w:i/>
        </w:rPr>
        <w:t>Conseil des juifs hassidiques du Québec c. Procureur général du Québ</w:t>
      </w:r>
      <w:r w:rsidRPr="00152D35">
        <w:rPr>
          <w:i/>
        </w:rPr>
        <w:t>ec,</w:t>
      </w:r>
      <w:r w:rsidRPr="00152D35">
        <w:t xml:space="preserve"> 2021 QCCS 281</w:t>
      </w:r>
      <w:r w:rsidR="00361DBF" w:rsidRPr="00152D35">
        <w:t xml:space="preserve"> at</w:t>
      </w:r>
      <w:r w:rsidRPr="00152D35">
        <w:t xml:space="preserve"> para. 45; </w:t>
      </w:r>
      <w:proofErr w:type="spellStart"/>
      <w:r w:rsidRPr="00152D35">
        <w:rPr>
          <w:i/>
        </w:rPr>
        <w:t>Karounis</w:t>
      </w:r>
      <w:proofErr w:type="spellEnd"/>
      <w:r w:rsidRPr="00152D35">
        <w:rPr>
          <w:i/>
        </w:rPr>
        <w:t xml:space="preserve"> c. Procureur général du Québec</w:t>
      </w:r>
      <w:r w:rsidRPr="00152D35">
        <w:t>, 2020 QCCS 2817</w:t>
      </w:r>
      <w:r w:rsidR="00361DBF" w:rsidRPr="00152D35">
        <w:t xml:space="preserve"> at</w:t>
      </w:r>
      <w:r w:rsidRPr="00152D35">
        <w:t xml:space="preserve"> para. 15.</w:t>
      </w:r>
    </w:p>
  </w:footnote>
  <w:footnote w:id="15">
    <w:p w14:paraId="7650812B" w14:textId="5CD2DF8D" w:rsidR="001516A0" w:rsidRPr="00152D35" w:rsidRDefault="00BD41E7" w:rsidP="001516A0">
      <w:pPr>
        <w:pStyle w:val="Notedebasdepage"/>
      </w:pPr>
      <w:r w:rsidRPr="006521E1">
        <w:rPr>
          <w:rStyle w:val="Appelnotedebasdep"/>
          <w:lang w:val="en-CA"/>
        </w:rPr>
        <w:footnoteRef/>
      </w:r>
      <w:r w:rsidRPr="00152D35">
        <w:t xml:space="preserve"> </w:t>
      </w:r>
      <w:r w:rsidRPr="00152D35">
        <w:tab/>
      </w:r>
      <w:proofErr w:type="spellStart"/>
      <w:r w:rsidR="00361DBF" w:rsidRPr="00152D35">
        <w:t>Judgment</w:t>
      </w:r>
      <w:proofErr w:type="spellEnd"/>
      <w:r w:rsidR="00361DBF" w:rsidRPr="00152D35">
        <w:t xml:space="preserve"> </w:t>
      </w:r>
      <w:proofErr w:type="spellStart"/>
      <w:r w:rsidR="00361DBF" w:rsidRPr="00152D35">
        <w:t>under</w:t>
      </w:r>
      <w:proofErr w:type="spellEnd"/>
      <w:r w:rsidR="00361DBF" w:rsidRPr="00152D35">
        <w:t xml:space="preserve"> </w:t>
      </w:r>
      <w:proofErr w:type="spellStart"/>
      <w:r w:rsidR="00361DBF" w:rsidRPr="00152D35">
        <w:t>appeal</w:t>
      </w:r>
      <w:proofErr w:type="spellEnd"/>
      <w:r w:rsidR="00361DBF" w:rsidRPr="00152D35">
        <w:t xml:space="preserve"> at</w:t>
      </w:r>
      <w:r w:rsidRPr="00152D35">
        <w:t xml:space="preserve"> para. 48.</w:t>
      </w:r>
    </w:p>
  </w:footnote>
  <w:footnote w:id="16">
    <w:p w14:paraId="09785126" w14:textId="395DCB5A" w:rsidR="001516A0" w:rsidRPr="006521E1" w:rsidRDefault="00BD41E7" w:rsidP="003D4EB0">
      <w:pPr>
        <w:pStyle w:val="Notedebasdepage"/>
        <w:rPr>
          <w:lang w:val="en-CA"/>
        </w:rPr>
      </w:pPr>
      <w:r w:rsidRPr="006521E1">
        <w:rPr>
          <w:rStyle w:val="Appelnotedebasdep"/>
          <w:lang w:val="en-CA"/>
        </w:rPr>
        <w:footnoteRef/>
      </w:r>
      <w:r w:rsidRPr="00152D35">
        <w:t xml:space="preserve"> </w:t>
      </w:r>
      <w:r w:rsidRPr="00152D35">
        <w:tab/>
        <w:t xml:space="preserve">Patrice Garant, </w:t>
      </w:r>
      <w:r w:rsidRPr="00152D35">
        <w:rPr>
          <w:i/>
        </w:rPr>
        <w:t>Droit administratif</w:t>
      </w:r>
      <w:r w:rsidRPr="00152D35">
        <w:t xml:space="preserve">, </w:t>
      </w:r>
      <w:r w:rsidR="00361DBF" w:rsidRPr="00152D35">
        <w:t xml:space="preserve">7th </w:t>
      </w:r>
      <w:proofErr w:type="spellStart"/>
      <w:r w:rsidR="00361DBF" w:rsidRPr="00152D35">
        <w:t>ed</w:t>
      </w:r>
      <w:proofErr w:type="spellEnd"/>
      <w:r w:rsidRPr="00152D35">
        <w:t xml:space="preserve">. </w:t>
      </w:r>
      <w:r w:rsidR="00361DBF" w:rsidRPr="00AB5ACC">
        <w:rPr>
          <w:lang w:val="en-CA"/>
        </w:rPr>
        <w:t>(</w:t>
      </w:r>
      <w:r w:rsidRPr="00AB5ACC">
        <w:rPr>
          <w:lang w:val="en-CA"/>
        </w:rPr>
        <w:t>Montr</w:t>
      </w:r>
      <w:r w:rsidR="00361DBF" w:rsidRPr="00AB5ACC">
        <w:rPr>
          <w:lang w:val="en-CA"/>
        </w:rPr>
        <w:t>e</w:t>
      </w:r>
      <w:r w:rsidRPr="00AB5ACC">
        <w:rPr>
          <w:lang w:val="en-CA"/>
        </w:rPr>
        <w:t>al</w:t>
      </w:r>
      <w:r w:rsidR="00361DBF" w:rsidRPr="00AB5ACC">
        <w:rPr>
          <w:lang w:val="en-CA"/>
        </w:rPr>
        <w:t>:</w:t>
      </w:r>
      <w:r w:rsidRPr="00AB5ACC">
        <w:rPr>
          <w:lang w:val="en-CA"/>
        </w:rPr>
        <w:t xml:space="preserve"> Yvon Blais, 2017</w:t>
      </w:r>
      <w:r w:rsidR="00361DBF" w:rsidRPr="00AB5ACC">
        <w:rPr>
          <w:lang w:val="en-CA"/>
        </w:rPr>
        <w:t>)</w:t>
      </w:r>
      <w:r w:rsidRPr="00AB5ACC">
        <w:rPr>
          <w:lang w:val="en-CA"/>
        </w:rPr>
        <w:t xml:space="preserve"> </w:t>
      </w:r>
      <w:r w:rsidR="00361DBF" w:rsidRPr="00AB5ACC">
        <w:rPr>
          <w:lang w:val="en-CA"/>
        </w:rPr>
        <w:t>at</w:t>
      </w:r>
      <w:r w:rsidRPr="00AB5ACC">
        <w:rPr>
          <w:lang w:val="en-CA"/>
        </w:rPr>
        <w:t xml:space="preserve"> 271</w:t>
      </w:r>
      <w:r w:rsidR="00D70342">
        <w:rPr>
          <w:lang w:val="en-CA"/>
        </w:rPr>
        <w:t>–</w:t>
      </w:r>
      <w:r w:rsidRPr="00AB5ACC">
        <w:rPr>
          <w:lang w:val="en-CA"/>
        </w:rPr>
        <w:t>272.</w:t>
      </w:r>
    </w:p>
  </w:footnote>
  <w:footnote w:id="17">
    <w:p w14:paraId="67CDE276" w14:textId="64A11EB6" w:rsidR="00065A98" w:rsidRPr="006521E1" w:rsidRDefault="00BD41E7" w:rsidP="00065A98">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4F41B5" w:rsidRPr="006521E1">
        <w:rPr>
          <w:i/>
          <w:lang w:val="en-CA"/>
        </w:rPr>
        <w:t>Katz Group Canada Inc. v. Ontario (Health and Long</w:t>
      </w:r>
      <w:r w:rsidR="004F41B5" w:rsidRPr="006521E1">
        <w:rPr>
          <w:rFonts w:ascii="Cambria Math" w:hAnsi="Cambria Math" w:cs="Cambria Math"/>
          <w:i/>
          <w:lang w:val="en-CA"/>
        </w:rPr>
        <w:t>‑</w:t>
      </w:r>
      <w:r w:rsidR="004F41B5" w:rsidRPr="006521E1">
        <w:rPr>
          <w:i/>
          <w:lang w:val="en-CA"/>
        </w:rPr>
        <w:t xml:space="preserve">Term Care), </w:t>
      </w:r>
      <w:r w:rsidR="004F41B5" w:rsidRPr="006521E1">
        <w:rPr>
          <w:iCs/>
          <w:lang w:val="en-CA"/>
        </w:rPr>
        <w:t>2013 SCC 64, [2013] 3 S.C.R. 810</w:t>
      </w:r>
      <w:r w:rsidRPr="00AB5ACC">
        <w:rPr>
          <w:lang w:val="en-CA"/>
        </w:rPr>
        <w:t xml:space="preserve">, </w:t>
      </w:r>
      <w:r w:rsidR="004F41B5" w:rsidRPr="00AB5ACC">
        <w:rPr>
          <w:lang w:val="en-CA"/>
        </w:rPr>
        <w:t xml:space="preserve">at </w:t>
      </w:r>
      <w:r w:rsidRPr="00AB5ACC">
        <w:rPr>
          <w:lang w:val="en-CA"/>
        </w:rPr>
        <w:t>para.</w:t>
      </w:r>
      <w:r w:rsidRPr="006521E1">
        <w:rPr>
          <w:lang w:val="en-CA"/>
        </w:rPr>
        <w:t xml:space="preserve"> </w:t>
      </w:r>
      <w:r w:rsidRPr="00152D35">
        <w:t xml:space="preserve">24, </w:t>
      </w:r>
      <w:proofErr w:type="spellStart"/>
      <w:r w:rsidR="004F41B5" w:rsidRPr="00152D35">
        <w:t>cited</w:t>
      </w:r>
      <w:proofErr w:type="spellEnd"/>
      <w:r w:rsidR="004F41B5" w:rsidRPr="00152D35">
        <w:t xml:space="preserve"> in</w:t>
      </w:r>
      <w:r w:rsidRPr="00152D35">
        <w:t xml:space="preserve"> </w:t>
      </w:r>
      <w:r w:rsidRPr="00495133">
        <w:rPr>
          <w:i/>
        </w:rPr>
        <w:t>Association des chirurgiens-dentistes du Québec c. Ministre de la Santé et des Services sociaux</w:t>
      </w:r>
      <w:r w:rsidRPr="00495133">
        <w:t>,</w:t>
      </w:r>
      <w:r w:rsidRPr="00152D35">
        <w:t xml:space="preserve"> 2021 QCCA 170</w:t>
      </w:r>
      <w:r w:rsidR="004F41B5" w:rsidRPr="00152D35">
        <w:t xml:space="preserve"> at </w:t>
      </w:r>
      <w:r w:rsidRPr="00152D35">
        <w:t xml:space="preserve">para. </w:t>
      </w:r>
      <w:r w:rsidRPr="006521E1">
        <w:rPr>
          <w:lang w:val="en-CA"/>
        </w:rPr>
        <w:t xml:space="preserve">45. </w:t>
      </w:r>
      <w:r w:rsidR="004F41B5" w:rsidRPr="00AB5ACC">
        <w:rPr>
          <w:lang w:val="en-CA"/>
        </w:rPr>
        <w:t>See also</w:t>
      </w:r>
      <w:r w:rsidRPr="00AB5ACC">
        <w:rPr>
          <w:lang w:val="en-CA"/>
        </w:rPr>
        <w:t xml:space="preserve"> </w:t>
      </w:r>
      <w:r w:rsidR="004F41B5" w:rsidRPr="006521E1">
        <w:rPr>
          <w:i/>
          <w:lang w:val="en-CA"/>
        </w:rPr>
        <w:t xml:space="preserve">West Fraser Mills Ltd. v. British Columbia (Workers’ Compensation Appeal Tribunal), </w:t>
      </w:r>
      <w:r w:rsidR="004F41B5" w:rsidRPr="006521E1">
        <w:rPr>
          <w:iCs/>
          <w:lang w:val="en-CA"/>
        </w:rPr>
        <w:t>2018 SCC 22, [2018] 1 S.C.R. 635</w:t>
      </w:r>
      <w:r w:rsidR="004F41B5" w:rsidRPr="00AB5ACC">
        <w:rPr>
          <w:iCs/>
          <w:lang w:val="en-CA"/>
        </w:rPr>
        <w:t xml:space="preserve"> at</w:t>
      </w:r>
      <w:r w:rsidRPr="00AB5ACC">
        <w:rPr>
          <w:iCs/>
          <w:lang w:val="en-CA"/>
        </w:rPr>
        <w:t xml:space="preserve"> </w:t>
      </w:r>
      <w:r w:rsidRPr="00AB5ACC">
        <w:rPr>
          <w:lang w:val="en-CA"/>
        </w:rPr>
        <w:t>para.</w:t>
      </w:r>
      <w:r w:rsidRPr="006521E1">
        <w:rPr>
          <w:lang w:val="en-CA"/>
        </w:rPr>
        <w:t xml:space="preserve"> 12; </w:t>
      </w:r>
      <w:r w:rsidR="004F41B5" w:rsidRPr="006521E1">
        <w:rPr>
          <w:i/>
          <w:lang w:val="en-CA"/>
        </w:rPr>
        <w:t xml:space="preserve">Groupe Maison </w:t>
      </w:r>
      <w:proofErr w:type="spellStart"/>
      <w:r w:rsidR="004F41B5" w:rsidRPr="006521E1">
        <w:rPr>
          <w:i/>
          <w:lang w:val="en-CA"/>
        </w:rPr>
        <w:t>Candiac</w:t>
      </w:r>
      <w:proofErr w:type="spellEnd"/>
      <w:r w:rsidR="004F41B5" w:rsidRPr="006521E1">
        <w:rPr>
          <w:i/>
          <w:lang w:val="en-CA"/>
        </w:rPr>
        <w:t xml:space="preserve"> Inc. v. Canada (Attorney General), </w:t>
      </w:r>
      <w:r w:rsidR="004F41B5" w:rsidRPr="006521E1">
        <w:rPr>
          <w:iCs/>
          <w:lang w:val="en-CA"/>
        </w:rPr>
        <w:t>2020 FCA 88, [2020] 3 F.C.R. 64</w:t>
      </w:r>
      <w:r w:rsidR="004F41B5" w:rsidRPr="00AB5ACC">
        <w:rPr>
          <w:lang w:val="en-CA"/>
        </w:rPr>
        <w:t xml:space="preserve"> at</w:t>
      </w:r>
      <w:r w:rsidRPr="00AB5ACC">
        <w:rPr>
          <w:lang w:val="en-CA"/>
        </w:rPr>
        <w:t xml:space="preserve"> para.</w:t>
      </w:r>
      <w:r w:rsidRPr="006521E1">
        <w:rPr>
          <w:lang w:val="en-CA"/>
        </w:rPr>
        <w:t xml:space="preserve"> 29.</w:t>
      </w:r>
    </w:p>
  </w:footnote>
  <w:footnote w:id="18">
    <w:p w14:paraId="6075C9E4" w14:textId="2E184B39"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4F41B5" w:rsidRPr="00AB5ACC">
        <w:rPr>
          <w:lang w:val="en-CA"/>
        </w:rPr>
        <w:t xml:space="preserve">Judgment under </w:t>
      </w:r>
      <w:r w:rsidR="00D70342">
        <w:rPr>
          <w:lang w:val="en-CA"/>
        </w:rPr>
        <w:t>appeal</w:t>
      </w:r>
      <w:r w:rsidR="00D70342" w:rsidRPr="00AB5ACC">
        <w:rPr>
          <w:lang w:val="en-CA"/>
        </w:rPr>
        <w:t xml:space="preserve"> </w:t>
      </w:r>
      <w:r w:rsidR="004F41B5" w:rsidRPr="00AB5ACC">
        <w:rPr>
          <w:lang w:val="en-CA"/>
        </w:rPr>
        <w:t>at</w:t>
      </w:r>
      <w:r w:rsidRPr="00AB5ACC">
        <w:rPr>
          <w:lang w:val="en-CA"/>
        </w:rPr>
        <w:t xml:space="preserve"> para</w:t>
      </w:r>
      <w:r w:rsidR="004F41B5" w:rsidRPr="00AB5ACC">
        <w:rPr>
          <w:lang w:val="en-CA"/>
        </w:rPr>
        <w:t>s</w:t>
      </w:r>
      <w:r w:rsidRPr="00AB5ACC">
        <w:rPr>
          <w:lang w:val="en-CA"/>
        </w:rPr>
        <w:t>.</w:t>
      </w:r>
      <w:r w:rsidRPr="006521E1">
        <w:rPr>
          <w:lang w:val="en-CA"/>
        </w:rPr>
        <w:t xml:space="preserve"> </w:t>
      </w:r>
      <w:r w:rsidRPr="00AB5ACC">
        <w:rPr>
          <w:lang w:val="en-CA"/>
        </w:rPr>
        <w:t>33</w:t>
      </w:r>
      <w:r w:rsidR="00D70342">
        <w:rPr>
          <w:lang w:val="en-CA"/>
        </w:rPr>
        <w:t>–</w:t>
      </w:r>
      <w:r w:rsidRPr="00AB5ACC">
        <w:rPr>
          <w:lang w:val="en-CA"/>
        </w:rPr>
        <w:t>38;</w:t>
      </w:r>
      <w:r w:rsidRPr="00AB5ACC">
        <w:rPr>
          <w:i/>
          <w:lang w:val="en-CA"/>
        </w:rPr>
        <w:t xml:space="preserve"> </w:t>
      </w:r>
      <w:r w:rsidR="004F41B5" w:rsidRPr="006521E1">
        <w:rPr>
          <w:i/>
          <w:lang w:val="en-CA"/>
        </w:rPr>
        <w:t>Katz Group Canada Inc. v. Ontario (Health and Long</w:t>
      </w:r>
      <w:r w:rsidR="004F41B5" w:rsidRPr="006521E1">
        <w:rPr>
          <w:rFonts w:ascii="Cambria Math" w:hAnsi="Cambria Math" w:cs="Cambria Math"/>
          <w:i/>
          <w:lang w:val="en-CA"/>
        </w:rPr>
        <w:t>‑</w:t>
      </w:r>
      <w:r w:rsidR="004F41B5" w:rsidRPr="006521E1">
        <w:rPr>
          <w:i/>
          <w:lang w:val="en-CA"/>
        </w:rPr>
        <w:t xml:space="preserve">Term Care), </w:t>
      </w:r>
      <w:r w:rsidR="004F41B5" w:rsidRPr="006521E1">
        <w:rPr>
          <w:iCs/>
          <w:lang w:val="en-CA"/>
        </w:rPr>
        <w:t>2013 SCC 64, [2013] 3 S.C.R. 810</w:t>
      </w:r>
      <w:r w:rsidR="004F41B5" w:rsidRPr="00AB5ACC">
        <w:rPr>
          <w:lang w:val="en-CA"/>
        </w:rPr>
        <w:t xml:space="preserve"> at</w:t>
      </w:r>
      <w:r w:rsidRPr="00AB5ACC">
        <w:rPr>
          <w:lang w:val="en-CA"/>
        </w:rPr>
        <w:t xml:space="preserve"> para.</w:t>
      </w:r>
      <w:r w:rsidRPr="006521E1">
        <w:rPr>
          <w:lang w:val="en-CA"/>
        </w:rPr>
        <w:t xml:space="preserve"> 25.</w:t>
      </w:r>
    </w:p>
  </w:footnote>
  <w:footnote w:id="19">
    <w:p w14:paraId="21CF27CA" w14:textId="0A3BDCE6"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4F41B5" w:rsidRPr="006521E1">
        <w:rPr>
          <w:i/>
          <w:lang w:val="en-CA"/>
        </w:rPr>
        <w:t>Katz Group Canada Inc. v. Ontario (Health and Long</w:t>
      </w:r>
      <w:r w:rsidR="004F41B5" w:rsidRPr="006521E1">
        <w:rPr>
          <w:rFonts w:ascii="Cambria Math" w:hAnsi="Cambria Math" w:cs="Cambria Math"/>
          <w:i/>
          <w:lang w:val="en-CA"/>
        </w:rPr>
        <w:t>‑</w:t>
      </w:r>
      <w:r w:rsidR="004F41B5" w:rsidRPr="006521E1">
        <w:rPr>
          <w:i/>
          <w:lang w:val="en-CA"/>
        </w:rPr>
        <w:t xml:space="preserve">Term Care), </w:t>
      </w:r>
      <w:r w:rsidR="004F41B5" w:rsidRPr="006521E1">
        <w:rPr>
          <w:iCs/>
          <w:lang w:val="en-CA"/>
        </w:rPr>
        <w:t xml:space="preserve">2013 SCC 64, [2013] 3 S.C.R. 810 at </w:t>
      </w:r>
      <w:r w:rsidRPr="00AB5ACC">
        <w:rPr>
          <w:lang w:val="en-CA"/>
        </w:rPr>
        <w:t>para.</w:t>
      </w:r>
      <w:r w:rsidRPr="006521E1">
        <w:rPr>
          <w:lang w:val="en-CA"/>
        </w:rPr>
        <w:t xml:space="preserve"> 28. </w:t>
      </w:r>
      <w:r w:rsidR="004F41B5" w:rsidRPr="00AB5ACC">
        <w:rPr>
          <w:lang w:val="en-CA"/>
        </w:rPr>
        <w:t>See also</w:t>
      </w:r>
      <w:r w:rsidRPr="00AB5ACC">
        <w:rPr>
          <w:lang w:val="en-CA"/>
        </w:rPr>
        <w:t xml:space="preserve"> </w:t>
      </w:r>
      <w:r w:rsidR="004F41B5" w:rsidRPr="006521E1">
        <w:rPr>
          <w:i/>
          <w:lang w:val="en-CA"/>
        </w:rPr>
        <w:t xml:space="preserve">West Fraser Mills Ltd. v. British Columbia (Workers’ Compensation Appeal Tribunal), </w:t>
      </w:r>
      <w:r w:rsidR="004F41B5" w:rsidRPr="006521E1">
        <w:rPr>
          <w:iCs/>
          <w:lang w:val="en-CA"/>
        </w:rPr>
        <w:t>2018 SCC 22, [2018] 1 S.C.R. 635 at para</w:t>
      </w:r>
      <w:r w:rsidRPr="00AB5ACC">
        <w:rPr>
          <w:lang w:val="en-CA"/>
        </w:rPr>
        <w:t>.</w:t>
      </w:r>
      <w:r w:rsidRPr="006521E1">
        <w:rPr>
          <w:lang w:val="en-CA"/>
        </w:rPr>
        <w:t xml:space="preserve"> 12.</w:t>
      </w:r>
    </w:p>
  </w:footnote>
  <w:footnote w:id="20">
    <w:p w14:paraId="47278FA5" w14:textId="78E0B5DA" w:rsidR="00196F71" w:rsidRPr="006521E1" w:rsidRDefault="00196F71" w:rsidP="00196F71">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6521E1" w:rsidRPr="006521E1">
        <w:rPr>
          <w:i/>
          <w:lang w:val="en-CA"/>
        </w:rPr>
        <w:t xml:space="preserve">Public Health Act, </w:t>
      </w:r>
      <w:r w:rsidR="006521E1" w:rsidRPr="006521E1">
        <w:rPr>
          <w:iCs/>
          <w:lang w:val="en-CA"/>
        </w:rPr>
        <w:t>CQLR c</w:t>
      </w:r>
      <w:r w:rsidR="00B96F97">
        <w:rPr>
          <w:iCs/>
          <w:lang w:val="en-CA"/>
        </w:rPr>
        <w:t>.</w:t>
      </w:r>
      <w:r w:rsidR="006521E1" w:rsidRPr="006521E1">
        <w:rPr>
          <w:iCs/>
          <w:lang w:val="en-CA"/>
        </w:rPr>
        <w:t xml:space="preserve"> S-2.2</w:t>
      </w:r>
      <w:r w:rsidRPr="00AB5ACC">
        <w:rPr>
          <w:lang w:val="en-CA"/>
        </w:rPr>
        <w:t xml:space="preserve"> </w:t>
      </w:r>
      <w:r w:rsidR="006521E1" w:rsidRPr="00AB5ACC">
        <w:rPr>
          <w:lang w:val="en-CA"/>
        </w:rPr>
        <w:t>s</w:t>
      </w:r>
      <w:r w:rsidRPr="00AB5ACC">
        <w:rPr>
          <w:lang w:val="en-CA"/>
        </w:rPr>
        <w:t>. 1.</w:t>
      </w:r>
    </w:p>
  </w:footnote>
  <w:footnote w:id="21">
    <w:p w14:paraId="7F3F2201" w14:textId="4B2935F4" w:rsidR="00196F71" w:rsidRPr="006521E1" w:rsidRDefault="00196F71" w:rsidP="00196F71">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AB5ACC">
        <w:rPr>
          <w:i/>
          <w:lang w:val="en-CA"/>
        </w:rPr>
        <w:t>I</w:t>
      </w:r>
      <w:r w:rsidR="006521E1" w:rsidRPr="00AB5ACC">
        <w:rPr>
          <w:i/>
          <w:lang w:val="en-CA"/>
        </w:rPr>
        <w:t>bid</w:t>
      </w:r>
      <w:r w:rsidRPr="00AB5ACC">
        <w:rPr>
          <w:i/>
          <w:lang w:val="en-CA"/>
        </w:rPr>
        <w:t>.</w:t>
      </w:r>
      <w:r w:rsidRPr="00AB5ACC">
        <w:rPr>
          <w:lang w:val="en-CA"/>
        </w:rPr>
        <w:t xml:space="preserve">, </w:t>
      </w:r>
      <w:r w:rsidR="006521E1" w:rsidRPr="00AB5ACC">
        <w:rPr>
          <w:lang w:val="en-CA"/>
        </w:rPr>
        <w:t>s</w:t>
      </w:r>
      <w:r w:rsidRPr="00AB5ACC">
        <w:rPr>
          <w:lang w:val="en-CA"/>
        </w:rPr>
        <w:t>. 5.</w:t>
      </w:r>
    </w:p>
  </w:footnote>
  <w:footnote w:id="22">
    <w:p w14:paraId="32232D47" w14:textId="7D273187" w:rsidR="00196F71" w:rsidRPr="00152D35" w:rsidRDefault="00196F71" w:rsidP="00196F71">
      <w:pPr>
        <w:pStyle w:val="Notedebasdepage"/>
      </w:pPr>
      <w:r w:rsidRPr="006521E1">
        <w:rPr>
          <w:rStyle w:val="Appelnotedebasdep"/>
          <w:lang w:val="en-CA"/>
        </w:rPr>
        <w:footnoteRef/>
      </w:r>
      <w:r w:rsidRPr="006521E1">
        <w:rPr>
          <w:lang w:val="en-CA"/>
        </w:rPr>
        <w:t xml:space="preserve"> </w:t>
      </w:r>
      <w:r w:rsidRPr="006521E1">
        <w:rPr>
          <w:lang w:val="en-CA"/>
        </w:rPr>
        <w:tab/>
      </w:r>
      <w:r w:rsidR="006521E1" w:rsidRPr="006521E1">
        <w:rPr>
          <w:lang w:val="en-CA"/>
        </w:rPr>
        <w:t>See the definition of</w:t>
      </w:r>
      <w:r w:rsidRPr="006521E1">
        <w:rPr>
          <w:lang w:val="en-CA"/>
        </w:rPr>
        <w:t> </w:t>
      </w:r>
      <w:r w:rsidR="006521E1" w:rsidRPr="006521E1">
        <w:rPr>
          <w:lang w:val="en-CA"/>
        </w:rPr>
        <w:t xml:space="preserve">a </w:t>
      </w:r>
      <w:r w:rsidR="006521E1">
        <w:rPr>
          <w:lang w:val="en-CA"/>
        </w:rPr>
        <w:t>“</w:t>
      </w:r>
      <w:r w:rsidR="006521E1" w:rsidRPr="006521E1">
        <w:rPr>
          <w:lang w:val="en-CA"/>
        </w:rPr>
        <w:t xml:space="preserve">threat to the health of the </w:t>
      </w:r>
      <w:r w:rsidR="006521E1">
        <w:rPr>
          <w:lang w:val="en-CA"/>
        </w:rPr>
        <w:t xml:space="preserve">population” at s. </w:t>
      </w:r>
      <w:r w:rsidRPr="006521E1">
        <w:rPr>
          <w:lang w:val="en-CA"/>
        </w:rPr>
        <w:t xml:space="preserve">2 </w:t>
      </w:r>
      <w:r w:rsidR="006521E1">
        <w:rPr>
          <w:lang w:val="en-CA"/>
        </w:rPr>
        <w:t>para</w:t>
      </w:r>
      <w:r w:rsidRPr="006521E1">
        <w:rPr>
          <w:lang w:val="en-CA"/>
        </w:rPr>
        <w:t xml:space="preserve">. </w:t>
      </w:r>
      <w:r w:rsidRPr="00152D35">
        <w:t xml:space="preserve">2 </w:t>
      </w:r>
      <w:r w:rsidR="006521E1" w:rsidRPr="00152D35">
        <w:rPr>
          <w:i/>
        </w:rPr>
        <w:t>PHA</w:t>
      </w:r>
      <w:r w:rsidRPr="00152D35">
        <w:t>.</w:t>
      </w:r>
    </w:p>
  </w:footnote>
  <w:footnote w:id="23">
    <w:p w14:paraId="615B113A" w14:textId="77777777" w:rsidR="0063246C" w:rsidRPr="00152D35" w:rsidRDefault="0063246C" w:rsidP="0063246C">
      <w:pPr>
        <w:pStyle w:val="Notedebasdepage"/>
      </w:pPr>
      <w:r w:rsidRPr="006521E1">
        <w:rPr>
          <w:rStyle w:val="Appelnotedebasdep"/>
          <w:lang w:val="en-CA"/>
        </w:rPr>
        <w:footnoteRef/>
      </w:r>
      <w:r w:rsidRPr="00152D35">
        <w:t xml:space="preserve"> </w:t>
      </w:r>
      <w:r w:rsidRPr="00152D35">
        <w:tab/>
        <w:t>Marie-Claude Prémont, Marie-Ève Couture-Ménard &amp; Geneviève Brisson, “L’état d’urgence sanitaire au Québec : un régime de guerre ou de santé publique?” (2021) 55 R.J.T.U.M. 233 at 264.</w:t>
      </w:r>
    </w:p>
  </w:footnote>
  <w:footnote w:id="24">
    <w:p w14:paraId="26DF82D3" w14:textId="77777777" w:rsidR="00BC3FFB" w:rsidRPr="006521E1" w:rsidRDefault="00BC3FFB" w:rsidP="00BC3FFB">
      <w:pPr>
        <w:pStyle w:val="Notedebasdepage"/>
        <w:rPr>
          <w:lang w:val="en-CA"/>
        </w:rPr>
      </w:pPr>
      <w:r w:rsidRPr="006521E1">
        <w:rPr>
          <w:rStyle w:val="Appelnotedebasdep"/>
          <w:lang w:val="en-CA"/>
        </w:rPr>
        <w:footnoteRef/>
      </w:r>
      <w:r w:rsidRPr="00152D35">
        <w:t xml:space="preserve"> </w:t>
      </w:r>
      <w:r w:rsidRPr="00152D35">
        <w:tab/>
      </w:r>
      <w:proofErr w:type="spellStart"/>
      <w:r w:rsidRPr="00152D35">
        <w:rPr>
          <w:rFonts w:cs="Arial"/>
          <w:i/>
          <w:iCs/>
          <w:shd w:val="clear" w:color="auto" w:fill="FFFFFF"/>
        </w:rPr>
        <w:t>Pharmascience</w:t>
      </w:r>
      <w:proofErr w:type="spellEnd"/>
      <w:r w:rsidRPr="00152D35">
        <w:rPr>
          <w:rFonts w:cs="Arial"/>
          <w:i/>
          <w:iCs/>
          <w:shd w:val="clear" w:color="auto" w:fill="FFFFFF"/>
        </w:rPr>
        <w:t xml:space="preserve"> inc. v. Binet</w:t>
      </w:r>
      <w:r w:rsidRPr="00152D35">
        <w:rPr>
          <w:rFonts w:cs="Arial"/>
          <w:shd w:val="clear" w:color="auto" w:fill="FFFFFF"/>
        </w:rPr>
        <w:t xml:space="preserve">, 2006 SCC 48, [2006] 2 S.C.R. 513 at para. 32; </w:t>
      </w:r>
      <w:r w:rsidRPr="00152D35">
        <w:rPr>
          <w:rFonts w:cs="Arial"/>
          <w:i/>
          <w:shd w:val="clear" w:color="auto" w:fill="FFFFFF"/>
        </w:rPr>
        <w:t>Montréal (City) v. 2952</w:t>
      </w:r>
      <w:r w:rsidRPr="00152D35">
        <w:rPr>
          <w:rFonts w:ascii="Cambria Math" w:hAnsi="Cambria Math" w:cs="Cambria Math"/>
          <w:i/>
          <w:shd w:val="clear" w:color="auto" w:fill="FFFFFF"/>
        </w:rPr>
        <w:t>‑</w:t>
      </w:r>
      <w:r w:rsidRPr="00152D35">
        <w:rPr>
          <w:rFonts w:cs="Arial"/>
          <w:i/>
          <w:shd w:val="clear" w:color="auto" w:fill="FFFFFF"/>
        </w:rPr>
        <w:t>1366 Québec Inc</w:t>
      </w:r>
      <w:r w:rsidRPr="00152D35">
        <w:rPr>
          <w:rFonts w:cs="Arial"/>
          <w:shd w:val="clear" w:color="auto" w:fill="FFFFFF"/>
        </w:rPr>
        <w:t>.,</w:t>
      </w:r>
      <w:r w:rsidRPr="00152D35">
        <w:t xml:space="preserve"> </w:t>
      </w:r>
      <w:r w:rsidRPr="00152D35">
        <w:rPr>
          <w:rFonts w:cs="Arial"/>
          <w:shd w:val="clear" w:color="auto" w:fill="FFFFFF"/>
        </w:rPr>
        <w:t xml:space="preserve">2005 SCC 62, [2005] 3 S.C.R. 141 at para. 10; </w:t>
      </w:r>
      <w:r w:rsidRPr="00495133">
        <w:rPr>
          <w:rFonts w:cs="Arial"/>
          <w:i/>
          <w:shd w:val="clear" w:color="auto" w:fill="FFFFFF"/>
        </w:rPr>
        <w:t>Ouimet c. Commission des normes, de l'équité, de la santé et de la sécurité du travail</w:t>
      </w:r>
      <w:r w:rsidRPr="00495133">
        <w:rPr>
          <w:rFonts w:cs="Arial"/>
          <w:shd w:val="clear" w:color="auto" w:fill="FFFFFF"/>
        </w:rPr>
        <w:t>,</w:t>
      </w:r>
      <w:r w:rsidRPr="00152D35">
        <w:rPr>
          <w:rFonts w:cs="Arial"/>
          <w:shd w:val="clear" w:color="auto" w:fill="FFFFFF"/>
        </w:rPr>
        <w:t xml:space="preserve"> 2018 QCCA 601 at para. </w:t>
      </w:r>
      <w:r w:rsidRPr="006521E1">
        <w:rPr>
          <w:rFonts w:cs="Arial"/>
          <w:shd w:val="clear" w:color="auto" w:fill="FFFFFF"/>
          <w:lang w:val="en-CA"/>
        </w:rPr>
        <w:t>15.</w:t>
      </w:r>
    </w:p>
  </w:footnote>
  <w:footnote w:id="25">
    <w:p w14:paraId="03BA8395" w14:textId="77777777" w:rsidR="00B04104" w:rsidRPr="00152D35" w:rsidRDefault="00B04104" w:rsidP="00B04104">
      <w:pPr>
        <w:pStyle w:val="Notedebasdepage"/>
      </w:pPr>
      <w:r w:rsidRPr="006521E1">
        <w:rPr>
          <w:rStyle w:val="Appelnotedebasdep"/>
          <w:lang w:val="en-CA"/>
        </w:rPr>
        <w:footnoteRef/>
      </w:r>
      <w:r w:rsidRPr="006521E1">
        <w:rPr>
          <w:lang w:val="en-CA"/>
        </w:rPr>
        <w:t xml:space="preserve"> </w:t>
      </w:r>
      <w:r w:rsidRPr="006521E1">
        <w:rPr>
          <w:lang w:val="en-CA"/>
        </w:rPr>
        <w:tab/>
      </w:r>
      <w:r w:rsidRPr="00AB5ACC">
        <w:rPr>
          <w:i/>
          <w:lang w:val="en-CA"/>
        </w:rPr>
        <w:t xml:space="preserve">Placer </w:t>
      </w:r>
      <w:r w:rsidRPr="00B04104">
        <w:rPr>
          <w:i/>
          <w:lang w:val="en-CA"/>
        </w:rPr>
        <w:t xml:space="preserve">Dome Canada Ltd. v. Ontario (Minister of Finance), </w:t>
      </w:r>
      <w:r w:rsidRPr="00B04104">
        <w:rPr>
          <w:iCs/>
          <w:lang w:val="en-CA"/>
        </w:rPr>
        <w:t>2006 SCC 20</w:t>
      </w:r>
      <w:r w:rsidRPr="00AB5ACC">
        <w:rPr>
          <w:iCs/>
          <w:lang w:val="en-CA"/>
        </w:rPr>
        <w:t>,</w:t>
      </w:r>
      <w:r w:rsidRPr="00AB5ACC">
        <w:rPr>
          <w:lang w:val="en-CA"/>
        </w:rPr>
        <w:t xml:space="preserve"> [2006] 1 S.C.R.</w:t>
      </w:r>
      <w:r w:rsidRPr="006521E1">
        <w:rPr>
          <w:lang w:val="en-CA"/>
        </w:rPr>
        <w:t xml:space="preserve"> </w:t>
      </w:r>
      <w:r w:rsidRPr="00AB5ACC">
        <w:rPr>
          <w:lang w:val="en-CA"/>
        </w:rPr>
        <w:t>715 at para.</w:t>
      </w:r>
      <w:r w:rsidRPr="006521E1">
        <w:rPr>
          <w:lang w:val="en-CA"/>
        </w:rPr>
        <w:t xml:space="preserve"> </w:t>
      </w:r>
      <w:r w:rsidRPr="00152D35">
        <w:t>21.</w:t>
      </w:r>
    </w:p>
  </w:footnote>
  <w:footnote w:id="26">
    <w:p w14:paraId="219DFFEE" w14:textId="6C97DD48" w:rsidR="001516A0" w:rsidRPr="006521E1" w:rsidRDefault="00BD41E7" w:rsidP="001516A0">
      <w:pPr>
        <w:pStyle w:val="Notedebasdepage"/>
        <w:rPr>
          <w:lang w:val="en-CA"/>
        </w:rPr>
      </w:pPr>
      <w:r w:rsidRPr="006521E1">
        <w:rPr>
          <w:rStyle w:val="Appelnotedebasdep"/>
          <w:lang w:val="en-CA"/>
        </w:rPr>
        <w:footnoteRef/>
      </w:r>
      <w:r w:rsidRPr="00152D35">
        <w:t xml:space="preserve"> </w:t>
      </w:r>
      <w:r w:rsidRPr="00152D35">
        <w:tab/>
      </w:r>
      <w:r w:rsidRPr="00495133">
        <w:rPr>
          <w:i/>
          <w:iCs/>
        </w:rPr>
        <w:t>Québec (Procureur général) c. Paulin</w:t>
      </w:r>
      <w:r w:rsidRPr="00152D35">
        <w:t>, 2007 QCCA 1716</w:t>
      </w:r>
      <w:r w:rsidR="00B04104" w:rsidRPr="00152D35">
        <w:t xml:space="preserve"> at </w:t>
      </w:r>
      <w:r w:rsidRPr="00152D35">
        <w:t xml:space="preserve">para. 30, </w:t>
      </w:r>
      <w:proofErr w:type="spellStart"/>
      <w:r w:rsidR="00B04104" w:rsidRPr="00152D35">
        <w:t>quoting</w:t>
      </w:r>
      <w:proofErr w:type="spellEnd"/>
      <w:r w:rsidRPr="00152D35">
        <w:t xml:space="preserve"> Pierre-André Côté, </w:t>
      </w:r>
      <w:r w:rsidRPr="00152D35">
        <w:rPr>
          <w:i/>
          <w:iCs/>
        </w:rPr>
        <w:t xml:space="preserve">Interprétation des lois, </w:t>
      </w:r>
      <w:r w:rsidR="00B04104" w:rsidRPr="00152D35">
        <w:t>3rd</w:t>
      </w:r>
      <w:r w:rsidRPr="00152D35">
        <w:t xml:space="preserve"> </w:t>
      </w:r>
      <w:proofErr w:type="spellStart"/>
      <w:r w:rsidR="00B04104" w:rsidRPr="00152D35">
        <w:t>e</w:t>
      </w:r>
      <w:r w:rsidRPr="00152D35">
        <w:t>d</w:t>
      </w:r>
      <w:proofErr w:type="spellEnd"/>
      <w:r w:rsidRPr="00152D35">
        <w:t>.</w:t>
      </w:r>
      <w:r w:rsidR="00B04104" w:rsidRPr="00152D35">
        <w:t xml:space="preserve"> </w:t>
      </w:r>
      <w:r w:rsidR="00B04104" w:rsidRPr="00AB5ACC">
        <w:rPr>
          <w:lang w:val="en-CA"/>
        </w:rPr>
        <w:t>(</w:t>
      </w:r>
      <w:r w:rsidRPr="00AB5ACC">
        <w:rPr>
          <w:lang w:val="en-CA"/>
        </w:rPr>
        <w:t>Cowansville</w:t>
      </w:r>
      <w:r w:rsidR="00B04104" w:rsidRPr="00AB5ACC">
        <w:rPr>
          <w:lang w:val="en-CA"/>
        </w:rPr>
        <w:t>:</w:t>
      </w:r>
      <w:r w:rsidRPr="00AB5ACC">
        <w:rPr>
          <w:lang w:val="en-CA"/>
        </w:rPr>
        <w:t xml:space="preserve"> Yvon Blais</w:t>
      </w:r>
      <w:r w:rsidR="00B04104" w:rsidRPr="00AB5ACC">
        <w:rPr>
          <w:lang w:val="en-CA"/>
        </w:rPr>
        <w:t>,</w:t>
      </w:r>
      <w:r w:rsidRPr="00AB5ACC">
        <w:rPr>
          <w:lang w:val="en-CA"/>
        </w:rPr>
        <w:t xml:space="preserve"> 1999</w:t>
      </w:r>
      <w:r w:rsidR="00B04104" w:rsidRPr="00AB5ACC">
        <w:rPr>
          <w:lang w:val="en-CA"/>
        </w:rPr>
        <w:t>) at</w:t>
      </w:r>
      <w:r w:rsidRPr="00AB5ACC">
        <w:rPr>
          <w:lang w:val="en-CA"/>
        </w:rPr>
        <w:t> 364.</w:t>
      </w:r>
    </w:p>
  </w:footnote>
  <w:footnote w:id="27">
    <w:p w14:paraId="457022BB" w14:textId="3A132891"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B04104" w:rsidRPr="00B04104">
        <w:rPr>
          <w:i/>
          <w:lang w:val="en-CA"/>
        </w:rPr>
        <w:t>Canada Trustco Mortgage Co. v. Canada</w:t>
      </w:r>
      <w:r w:rsidR="00B04104" w:rsidRPr="00B04104">
        <w:rPr>
          <w:iCs/>
          <w:lang w:val="en-CA"/>
        </w:rPr>
        <w:t>, 2005 SCC 54</w:t>
      </w:r>
      <w:r w:rsidRPr="00AB5ACC">
        <w:rPr>
          <w:lang w:val="en-CA"/>
        </w:rPr>
        <w:t xml:space="preserve">, [2005] 2 </w:t>
      </w:r>
      <w:r w:rsidR="00B04104" w:rsidRPr="00AB5ACC">
        <w:rPr>
          <w:lang w:val="en-CA"/>
        </w:rPr>
        <w:t>S.C.R.</w:t>
      </w:r>
      <w:r w:rsidRPr="006521E1">
        <w:rPr>
          <w:lang w:val="en-CA"/>
        </w:rPr>
        <w:t xml:space="preserve"> </w:t>
      </w:r>
      <w:r w:rsidRPr="00AB5ACC">
        <w:rPr>
          <w:lang w:val="en-CA"/>
        </w:rPr>
        <w:t>601</w:t>
      </w:r>
      <w:r w:rsidR="00B04104" w:rsidRPr="00AB5ACC">
        <w:rPr>
          <w:lang w:val="en-CA"/>
        </w:rPr>
        <w:t xml:space="preserve"> at</w:t>
      </w:r>
      <w:r w:rsidRPr="00AB5ACC">
        <w:rPr>
          <w:lang w:val="en-CA"/>
        </w:rPr>
        <w:t xml:space="preserve"> para.</w:t>
      </w:r>
      <w:r w:rsidRPr="006521E1">
        <w:rPr>
          <w:lang w:val="en-CA"/>
        </w:rPr>
        <w:t xml:space="preserve"> 10. </w:t>
      </w:r>
      <w:r w:rsidR="00B04104" w:rsidRPr="00AB5ACC">
        <w:rPr>
          <w:lang w:val="en-CA"/>
        </w:rPr>
        <w:t>See also</w:t>
      </w:r>
      <w:r w:rsidRPr="00AB5ACC">
        <w:rPr>
          <w:lang w:val="en-CA"/>
        </w:rPr>
        <w:t xml:space="preserve"> </w:t>
      </w:r>
      <w:r w:rsidRPr="00AB5ACC">
        <w:rPr>
          <w:i/>
          <w:lang w:val="en-CA"/>
        </w:rPr>
        <w:t xml:space="preserve">Canada </w:t>
      </w:r>
      <w:r w:rsidR="00B04104" w:rsidRPr="00AB5ACC">
        <w:rPr>
          <w:i/>
          <w:lang w:val="en-CA"/>
        </w:rPr>
        <w:t>v</w:t>
      </w:r>
      <w:r w:rsidRPr="00AB5ACC">
        <w:rPr>
          <w:i/>
          <w:lang w:val="en-CA"/>
        </w:rPr>
        <w:t>.</w:t>
      </w:r>
      <w:r w:rsidRPr="00AB5ACC">
        <w:rPr>
          <w:lang w:val="en-CA"/>
        </w:rPr>
        <w:t xml:space="preserve"> </w:t>
      </w:r>
      <w:r w:rsidRPr="00AB5ACC">
        <w:rPr>
          <w:i/>
          <w:lang w:val="en-CA"/>
        </w:rPr>
        <w:t>Loblaw Financial Holdings Inc.</w:t>
      </w:r>
      <w:r w:rsidRPr="00AB5ACC">
        <w:rPr>
          <w:lang w:val="en-CA"/>
        </w:rPr>
        <w:t xml:space="preserve">, 2021 </w:t>
      </w:r>
      <w:r w:rsidR="00B04104" w:rsidRPr="00AB5ACC">
        <w:rPr>
          <w:lang w:val="en-CA"/>
        </w:rPr>
        <w:t>SCC</w:t>
      </w:r>
      <w:r w:rsidRPr="00AB5ACC">
        <w:rPr>
          <w:lang w:val="en-CA"/>
        </w:rPr>
        <w:t xml:space="preserve"> 51</w:t>
      </w:r>
      <w:r w:rsidR="00B04104" w:rsidRPr="00AB5ACC">
        <w:rPr>
          <w:lang w:val="en-CA"/>
        </w:rPr>
        <w:t xml:space="preserve"> at </w:t>
      </w:r>
      <w:r w:rsidRPr="00AB5ACC">
        <w:rPr>
          <w:lang w:val="en-CA"/>
        </w:rPr>
        <w:t>para.</w:t>
      </w:r>
      <w:r w:rsidRPr="006521E1">
        <w:rPr>
          <w:lang w:val="en-CA"/>
        </w:rPr>
        <w:t xml:space="preserve"> </w:t>
      </w:r>
      <w:r w:rsidRPr="00AB5ACC">
        <w:rPr>
          <w:lang w:val="en-CA"/>
        </w:rPr>
        <w:t xml:space="preserve">41; </w:t>
      </w:r>
      <w:r w:rsidRPr="00AB5ACC">
        <w:rPr>
          <w:i/>
          <w:lang w:val="en-CA"/>
        </w:rPr>
        <w:t xml:space="preserve">9354-9186 Québec inc. </w:t>
      </w:r>
      <w:r w:rsidR="00B04104" w:rsidRPr="00AB5ACC">
        <w:rPr>
          <w:i/>
          <w:lang w:val="en-CA"/>
        </w:rPr>
        <w:t>v</w:t>
      </w:r>
      <w:r w:rsidRPr="00AB5ACC">
        <w:rPr>
          <w:i/>
          <w:lang w:val="en-CA"/>
        </w:rPr>
        <w:t>. Callidus Capital Corp</w:t>
      </w:r>
      <w:r w:rsidRPr="00AB5ACC">
        <w:rPr>
          <w:lang w:val="en-CA"/>
        </w:rPr>
        <w:t xml:space="preserve">., 2020 </w:t>
      </w:r>
      <w:r w:rsidR="00B04104" w:rsidRPr="00AB5ACC">
        <w:rPr>
          <w:lang w:val="en-CA"/>
        </w:rPr>
        <w:t>SCC</w:t>
      </w:r>
      <w:r w:rsidRPr="00AB5ACC">
        <w:rPr>
          <w:lang w:val="en-CA"/>
        </w:rPr>
        <w:t xml:space="preserve"> 10</w:t>
      </w:r>
      <w:r w:rsidR="00B04104" w:rsidRPr="00AB5ACC">
        <w:rPr>
          <w:lang w:val="en-CA"/>
        </w:rPr>
        <w:t xml:space="preserve"> at</w:t>
      </w:r>
      <w:r w:rsidRPr="00AB5ACC">
        <w:rPr>
          <w:lang w:val="en-CA"/>
        </w:rPr>
        <w:t xml:space="preserve"> para.</w:t>
      </w:r>
      <w:r w:rsidRPr="006521E1">
        <w:rPr>
          <w:lang w:val="en-CA"/>
        </w:rPr>
        <w:t xml:space="preserve"> 60; </w:t>
      </w:r>
      <w:r w:rsidRPr="006521E1">
        <w:rPr>
          <w:i/>
          <w:lang w:val="en-CA"/>
        </w:rPr>
        <w:t xml:space="preserve">Canada </w:t>
      </w:r>
      <w:r w:rsidR="00B04104" w:rsidRPr="00B04104">
        <w:rPr>
          <w:i/>
          <w:lang w:val="en-CA"/>
        </w:rPr>
        <w:t xml:space="preserve">(Minister of Citizenship and Immigration) v. Vavilov, </w:t>
      </w:r>
      <w:r w:rsidR="00B04104" w:rsidRPr="00B04104">
        <w:rPr>
          <w:iCs/>
          <w:lang w:val="en-CA"/>
        </w:rPr>
        <w:t>2019 SCC 65</w:t>
      </w:r>
      <w:r w:rsidRPr="006521E1">
        <w:rPr>
          <w:lang w:val="en-CA"/>
        </w:rPr>
        <w:t xml:space="preserve">; Ruth Sullivan, </w:t>
      </w:r>
      <w:r w:rsidRPr="006521E1">
        <w:rPr>
          <w:i/>
          <w:lang w:val="en-CA"/>
        </w:rPr>
        <w:t>Statutory Interpretation</w:t>
      </w:r>
      <w:r w:rsidRPr="006521E1">
        <w:rPr>
          <w:lang w:val="en-CA"/>
        </w:rPr>
        <w:t xml:space="preserve">, </w:t>
      </w:r>
      <w:r w:rsidR="00B04104">
        <w:rPr>
          <w:lang w:val="en-CA"/>
        </w:rPr>
        <w:t xml:space="preserve">3rd </w:t>
      </w:r>
      <w:r w:rsidRPr="006521E1">
        <w:rPr>
          <w:lang w:val="en-CA"/>
        </w:rPr>
        <w:t>ed.</w:t>
      </w:r>
      <w:r w:rsidR="00B04104">
        <w:rPr>
          <w:lang w:val="en-CA"/>
        </w:rPr>
        <w:t xml:space="preserve"> (</w:t>
      </w:r>
      <w:r w:rsidRPr="006521E1">
        <w:rPr>
          <w:lang w:val="en-CA"/>
        </w:rPr>
        <w:t>Toronto</w:t>
      </w:r>
      <w:r w:rsidR="00B04104">
        <w:rPr>
          <w:lang w:val="en-CA"/>
        </w:rPr>
        <w:t>:</w:t>
      </w:r>
      <w:r w:rsidRPr="006521E1">
        <w:rPr>
          <w:lang w:val="en-CA"/>
        </w:rPr>
        <w:t xml:space="preserve"> Irwin Law, 2016</w:t>
      </w:r>
      <w:r w:rsidR="00B04104">
        <w:rPr>
          <w:lang w:val="en-CA"/>
        </w:rPr>
        <w:t>) at</w:t>
      </w:r>
      <w:r w:rsidRPr="006521E1">
        <w:rPr>
          <w:lang w:val="en-CA"/>
        </w:rPr>
        <w:t xml:space="preserve"> 46, 49</w:t>
      </w:r>
      <w:r w:rsidR="00BD6B5E">
        <w:rPr>
          <w:lang w:val="en-CA"/>
        </w:rPr>
        <w:t>,</w:t>
      </w:r>
      <w:r w:rsidRPr="006521E1">
        <w:rPr>
          <w:lang w:val="en-CA"/>
        </w:rPr>
        <w:t xml:space="preserve"> </w:t>
      </w:r>
      <w:r w:rsidR="00B04104">
        <w:rPr>
          <w:lang w:val="en-CA"/>
        </w:rPr>
        <w:t>and</w:t>
      </w:r>
      <w:r w:rsidRPr="006521E1">
        <w:rPr>
          <w:lang w:val="en-CA"/>
        </w:rPr>
        <w:t xml:space="preserve"> 59.</w:t>
      </w:r>
    </w:p>
  </w:footnote>
  <w:footnote w:id="28">
    <w:p w14:paraId="0E23E4E7" w14:textId="47D88E59" w:rsidR="00BC3FFB" w:rsidRPr="006521E1" w:rsidRDefault="00BC3FFB" w:rsidP="00BC3FFB">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AB5ACC">
        <w:rPr>
          <w:lang w:val="en-CA"/>
        </w:rPr>
        <w:t>R.S.Q.</w:t>
      </w:r>
      <w:r w:rsidRPr="006521E1">
        <w:rPr>
          <w:lang w:val="en-CA"/>
        </w:rPr>
        <w:t xml:space="preserve"> </w:t>
      </w:r>
      <w:r w:rsidRPr="00AB5ACC">
        <w:rPr>
          <w:lang w:val="en-CA"/>
        </w:rPr>
        <w:t>1977, c. P-35 (</w:t>
      </w:r>
      <w:r w:rsidR="007B4E09" w:rsidRPr="00AB5ACC">
        <w:rPr>
          <w:lang w:val="en-CA"/>
        </w:rPr>
        <w:t>repealed</w:t>
      </w:r>
      <w:r w:rsidRPr="00AB5ACC">
        <w:rPr>
          <w:lang w:val="en-CA"/>
        </w:rPr>
        <w:t>).</w:t>
      </w:r>
    </w:p>
  </w:footnote>
  <w:footnote w:id="29">
    <w:p w14:paraId="723A16B0" w14:textId="2BB36933" w:rsidR="006054B1" w:rsidRPr="006521E1" w:rsidRDefault="006054B1" w:rsidP="006054B1">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AB5ACC">
        <w:rPr>
          <w:lang w:val="en-CA"/>
        </w:rPr>
        <w:t xml:space="preserve">Section 4 </w:t>
      </w:r>
      <w:r>
        <w:rPr>
          <w:lang w:val="en-CA"/>
        </w:rPr>
        <w:t xml:space="preserve">of the </w:t>
      </w:r>
      <w:r w:rsidRPr="00AB5ACC">
        <w:rPr>
          <w:i/>
          <w:lang w:val="en-CA"/>
        </w:rPr>
        <w:t>Act respecting the National Assembly</w:t>
      </w:r>
      <w:r w:rsidRPr="00AB5ACC">
        <w:rPr>
          <w:iCs/>
          <w:lang w:val="en-CA"/>
        </w:rPr>
        <w:t>, CQLR c A-23.1</w:t>
      </w:r>
      <w:r w:rsidR="007D0216">
        <w:rPr>
          <w:iCs/>
          <w:lang w:val="en-CA"/>
        </w:rPr>
        <w:t>,</w:t>
      </w:r>
      <w:r w:rsidRPr="00AB5ACC">
        <w:rPr>
          <w:lang w:val="en-CA"/>
        </w:rPr>
        <w:t xml:space="preserve"> states: </w:t>
      </w:r>
      <w:r>
        <w:rPr>
          <w:lang w:val="en-CA"/>
        </w:rPr>
        <w:t>“</w:t>
      </w:r>
      <w:r w:rsidRPr="007B4E09">
        <w:rPr>
          <w:lang w:val="en-CA"/>
        </w:rPr>
        <w:t>The Assembly has the power of supervision over all the acts of the Government and of its departments and agencies</w:t>
      </w:r>
      <w:r w:rsidRPr="00AB5ACC">
        <w:rPr>
          <w:lang w:val="en-CA"/>
        </w:rPr>
        <w:t>”.</w:t>
      </w:r>
    </w:p>
  </w:footnote>
  <w:footnote w:id="30">
    <w:p w14:paraId="075A0BBD" w14:textId="3D0EBCD3" w:rsidR="001516A0" w:rsidRPr="00152D35" w:rsidRDefault="00BD41E7" w:rsidP="001516A0">
      <w:pPr>
        <w:pStyle w:val="Notedebasdepage"/>
      </w:pPr>
      <w:r w:rsidRPr="006521E1">
        <w:rPr>
          <w:rStyle w:val="Appelnotedebasdep"/>
          <w:lang w:val="en-CA"/>
        </w:rPr>
        <w:footnoteRef/>
      </w:r>
      <w:r w:rsidRPr="00152D35">
        <w:t xml:space="preserve"> </w:t>
      </w:r>
      <w:r w:rsidRPr="00152D35">
        <w:tab/>
        <w:t xml:space="preserve">Louis-Philippe Lampron, </w:t>
      </w:r>
      <w:r w:rsidR="005A2118" w:rsidRPr="00152D35">
        <w:t>“</w:t>
      </w:r>
      <w:r w:rsidRPr="00152D35">
        <w:t>Les droits en temps de crise – première partie</w:t>
      </w:r>
      <w:r w:rsidR="005A2118" w:rsidRPr="00152D35">
        <w:t>”</w:t>
      </w:r>
      <w:r w:rsidRPr="00152D35">
        <w:t xml:space="preserve">, </w:t>
      </w:r>
      <w:r w:rsidR="005A2118" w:rsidRPr="00152D35">
        <w:rPr>
          <w:i/>
        </w:rPr>
        <w:t>L</w:t>
      </w:r>
      <w:r w:rsidRPr="00152D35">
        <w:rPr>
          <w:i/>
        </w:rPr>
        <w:t>e Solei</w:t>
      </w:r>
      <w:r w:rsidR="005A2118" w:rsidRPr="00152D35">
        <w:rPr>
          <w:i/>
        </w:rPr>
        <w:t>l</w:t>
      </w:r>
      <w:r w:rsidRPr="00152D35">
        <w:t xml:space="preserve"> </w:t>
      </w:r>
      <w:r w:rsidR="005A2118" w:rsidRPr="00152D35">
        <w:t>(</w:t>
      </w:r>
      <w:r w:rsidRPr="00152D35">
        <w:t>16 </w:t>
      </w:r>
      <w:r w:rsidR="005A2118" w:rsidRPr="00152D35">
        <w:t>April</w:t>
      </w:r>
      <w:r w:rsidRPr="00152D35">
        <w:t xml:space="preserve"> 2020</w:t>
      </w:r>
      <w:r w:rsidR="005A2118" w:rsidRPr="00152D35">
        <w:t>)</w:t>
      </w:r>
      <w:r w:rsidRPr="00152D35">
        <w:t xml:space="preserve">, </w:t>
      </w:r>
      <w:r w:rsidR="005A2118" w:rsidRPr="00152D35">
        <w:t>online</w:t>
      </w:r>
      <w:r w:rsidRPr="00152D35">
        <w:t>:</w:t>
      </w:r>
      <w:r w:rsidR="004A60F6" w:rsidRPr="00152D35">
        <w:t xml:space="preserve"> </w:t>
      </w:r>
      <w:r w:rsidRPr="00152D35">
        <w:t>https://www.lesoleil.com/2020/04/16/les-droits-en-temps-de-crise--premiere-partie-2ab94679bd188756e77bbdd711855b15 (</w:t>
      </w:r>
      <w:proofErr w:type="spellStart"/>
      <w:r w:rsidR="005A2118" w:rsidRPr="00152D35">
        <w:t>consulted</w:t>
      </w:r>
      <w:proofErr w:type="spellEnd"/>
      <w:r w:rsidR="005A2118" w:rsidRPr="00152D35">
        <w:t xml:space="preserve"> on</w:t>
      </w:r>
      <w:r w:rsidRPr="00152D35">
        <w:t xml:space="preserve"> </w:t>
      </w:r>
      <w:r w:rsidR="007D0216" w:rsidRPr="00152D35">
        <w:t xml:space="preserve">10 </w:t>
      </w:r>
      <w:proofErr w:type="spellStart"/>
      <w:r w:rsidR="005A2118" w:rsidRPr="00152D35">
        <w:t>November</w:t>
      </w:r>
      <w:proofErr w:type="spellEnd"/>
      <w:r w:rsidRPr="00152D35">
        <w:t>).</w:t>
      </w:r>
    </w:p>
  </w:footnote>
  <w:footnote w:id="31">
    <w:p w14:paraId="31C8F947" w14:textId="0D8E51AD" w:rsidR="005A2118" w:rsidRPr="006521E1" w:rsidRDefault="005A2118" w:rsidP="005A2118">
      <w:pPr>
        <w:pStyle w:val="Notedebasdepage"/>
        <w:rPr>
          <w:lang w:val="en-CA"/>
        </w:rPr>
      </w:pPr>
      <w:r w:rsidRPr="006521E1">
        <w:rPr>
          <w:rStyle w:val="Appelnotedebasdep"/>
          <w:lang w:val="en-CA"/>
        </w:rPr>
        <w:footnoteRef/>
      </w:r>
      <w:r w:rsidRPr="006521E1">
        <w:rPr>
          <w:lang w:val="en-CA"/>
        </w:rPr>
        <w:t xml:space="preserve"> </w:t>
      </w:r>
      <w:r w:rsidRPr="006521E1">
        <w:rPr>
          <w:lang w:val="en-CA"/>
        </w:rPr>
        <w:tab/>
        <w:t xml:space="preserve">Victoria Carmichael </w:t>
      </w:r>
      <w:r w:rsidR="00365801">
        <w:rPr>
          <w:lang w:val="en-CA"/>
        </w:rPr>
        <w:t>&amp;</w:t>
      </w:r>
      <w:r w:rsidRPr="006521E1">
        <w:rPr>
          <w:lang w:val="en-CA"/>
        </w:rPr>
        <w:t xml:space="preserve"> Grégoire Webber, </w:t>
      </w:r>
      <w:r>
        <w:rPr>
          <w:lang w:val="en-CA"/>
        </w:rPr>
        <w:t>“</w:t>
      </w:r>
      <w:r w:rsidRPr="006521E1">
        <w:rPr>
          <w:lang w:val="en-CA"/>
        </w:rPr>
        <w:t>The Rule of Law in a Pandemic</w:t>
      </w:r>
      <w:r>
        <w:rPr>
          <w:lang w:val="en-CA"/>
        </w:rPr>
        <w:t>”</w:t>
      </w:r>
      <w:r w:rsidRPr="006521E1">
        <w:rPr>
          <w:lang w:val="en-CA"/>
        </w:rPr>
        <w:t xml:space="preserve"> (2021) 46:2 Queen’s L.J. </w:t>
      </w:r>
      <w:r w:rsidRPr="00AB5ACC">
        <w:rPr>
          <w:lang w:val="en-CA"/>
        </w:rPr>
        <w:t>317 at 324.</w:t>
      </w:r>
    </w:p>
  </w:footnote>
  <w:footnote w:id="32">
    <w:p w14:paraId="5FB7037D" w14:textId="061CC33F" w:rsidR="00D659FE" w:rsidRPr="006521E1" w:rsidRDefault="00D659FE" w:rsidP="00D659FE">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B96337">
        <w:rPr>
          <w:lang w:val="en-CA"/>
        </w:rPr>
        <w:t>CQLR</w:t>
      </w:r>
      <w:r w:rsidRPr="00AB5ACC">
        <w:rPr>
          <w:lang w:val="en-CA"/>
        </w:rPr>
        <w:t>, c. A-23.1.</w:t>
      </w:r>
    </w:p>
  </w:footnote>
  <w:footnote w:id="33">
    <w:p w14:paraId="06C4A559" w14:textId="78FE8BE4"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EB4C5B" w:rsidRPr="00AB5ACC">
        <w:rPr>
          <w:lang w:val="en-CA"/>
        </w:rPr>
        <w:t>National Assembly</w:t>
      </w:r>
      <w:r w:rsidRPr="006521E1">
        <w:rPr>
          <w:lang w:val="en-CA"/>
        </w:rPr>
        <w:t xml:space="preserve">, </w:t>
      </w:r>
      <w:bookmarkStart w:id="6" w:name="_Hlk131147075"/>
      <w:r w:rsidR="00EB4C5B" w:rsidRPr="00AB5ACC">
        <w:rPr>
          <w:i/>
          <w:lang w:val="en-CA"/>
        </w:rPr>
        <w:t>Standing Orders and Other Rules of Procedure of the National Assembly</w:t>
      </w:r>
      <w:bookmarkEnd w:id="6"/>
      <w:r w:rsidRPr="006521E1">
        <w:rPr>
          <w:lang w:val="en-CA"/>
        </w:rPr>
        <w:t xml:space="preserve">, </w:t>
      </w:r>
      <w:r w:rsidR="00EB4C5B">
        <w:rPr>
          <w:lang w:val="en-CA"/>
        </w:rPr>
        <w:t>42</w:t>
      </w:r>
      <w:r w:rsidR="00343967" w:rsidRPr="00343967">
        <w:rPr>
          <w:vertAlign w:val="superscript"/>
          <w:lang w:val="en-CA"/>
        </w:rPr>
        <w:t>nd</w:t>
      </w:r>
      <w:r w:rsidR="00343967">
        <w:rPr>
          <w:vertAlign w:val="superscript"/>
          <w:lang w:val="en-CA"/>
        </w:rPr>
        <w:t xml:space="preserve"> </w:t>
      </w:r>
      <w:r w:rsidR="00EB4C5B">
        <w:rPr>
          <w:lang w:val="en-CA"/>
        </w:rPr>
        <w:t>legislature</w:t>
      </w:r>
      <w:r w:rsidRPr="006521E1">
        <w:rPr>
          <w:lang w:val="en-CA"/>
        </w:rPr>
        <w:t xml:space="preserve">, </w:t>
      </w:r>
      <w:r w:rsidR="00EB4C5B">
        <w:rPr>
          <w:lang w:val="en-CA"/>
        </w:rPr>
        <w:t>18th</w:t>
      </w:r>
      <w:r w:rsidRPr="006521E1">
        <w:rPr>
          <w:lang w:val="en-CA"/>
        </w:rPr>
        <w:t xml:space="preserve"> </w:t>
      </w:r>
      <w:r w:rsidR="00EB4C5B" w:rsidRPr="006521E1">
        <w:rPr>
          <w:lang w:val="en-CA"/>
        </w:rPr>
        <w:t>edition</w:t>
      </w:r>
      <w:r w:rsidRPr="006521E1">
        <w:rPr>
          <w:lang w:val="en-CA"/>
        </w:rPr>
        <w:t xml:space="preserve"> (</w:t>
      </w:r>
      <w:r w:rsidR="00EB4C5B" w:rsidRPr="00AB5ACC">
        <w:rPr>
          <w:lang w:val="en-CA"/>
        </w:rPr>
        <w:t>November</w:t>
      </w:r>
      <w:r w:rsidRPr="006521E1">
        <w:rPr>
          <w:lang w:val="en-CA"/>
        </w:rPr>
        <w:t xml:space="preserve"> 2018), </w:t>
      </w:r>
      <w:r w:rsidR="00EB4C5B">
        <w:rPr>
          <w:lang w:val="en-CA"/>
        </w:rPr>
        <w:t>online</w:t>
      </w:r>
      <w:r w:rsidRPr="006521E1">
        <w:rPr>
          <w:lang w:val="en-CA"/>
        </w:rPr>
        <w:t xml:space="preserve">: </w:t>
      </w:r>
      <w:r w:rsidR="00EB4C5B" w:rsidRPr="00EB4C5B">
        <w:rPr>
          <w:lang w:val="en-CA"/>
        </w:rPr>
        <w:t>https://www.assnat.qc.ca/en/abc-assemblee/fondements-procedure-parlementaire/reglement-assemblee.html</w:t>
      </w:r>
      <w:r w:rsidR="00EB4C5B">
        <w:rPr>
          <w:lang w:val="en-CA"/>
        </w:rPr>
        <w:t xml:space="preserve"> </w:t>
      </w:r>
      <w:r w:rsidRPr="006521E1">
        <w:rPr>
          <w:lang w:val="en-CA"/>
        </w:rPr>
        <w:t>(</w:t>
      </w:r>
      <w:r w:rsidR="00EB4C5B">
        <w:rPr>
          <w:lang w:val="en-CA"/>
        </w:rPr>
        <w:t>French</w:t>
      </w:r>
      <w:r w:rsidR="00851B4A">
        <w:rPr>
          <w:lang w:val="en-CA"/>
        </w:rPr>
        <w:t>-language page</w:t>
      </w:r>
      <w:r w:rsidR="00EB4C5B">
        <w:rPr>
          <w:lang w:val="en-CA"/>
        </w:rPr>
        <w:t xml:space="preserve"> consulted on</w:t>
      </w:r>
      <w:r w:rsidRPr="006521E1">
        <w:rPr>
          <w:lang w:val="en-CA"/>
        </w:rPr>
        <w:t> </w:t>
      </w:r>
      <w:r w:rsidR="00555231" w:rsidRPr="006521E1">
        <w:rPr>
          <w:lang w:val="en-CA"/>
        </w:rPr>
        <w:t>21</w:t>
      </w:r>
      <w:r w:rsidRPr="006521E1">
        <w:rPr>
          <w:lang w:val="en-CA"/>
        </w:rPr>
        <w:t xml:space="preserve"> </w:t>
      </w:r>
      <w:r w:rsidR="00851B4A" w:rsidRPr="00AB5ACC">
        <w:rPr>
          <w:lang w:val="en-CA"/>
        </w:rPr>
        <w:t xml:space="preserve">December </w:t>
      </w:r>
      <w:r w:rsidRPr="006521E1">
        <w:rPr>
          <w:lang w:val="en-CA"/>
        </w:rPr>
        <w:t>2021).</w:t>
      </w:r>
    </w:p>
  </w:footnote>
  <w:footnote w:id="34">
    <w:p w14:paraId="3BF2F7E0" w14:textId="5678CA1E" w:rsidR="00D659FE" w:rsidRPr="006521E1" w:rsidRDefault="00D659FE" w:rsidP="00D659FE">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AB5ACC">
        <w:rPr>
          <w:i/>
          <w:lang w:val="en-CA"/>
        </w:rPr>
        <w:t>I</w:t>
      </w:r>
      <w:r w:rsidR="00EB4C5B" w:rsidRPr="00AB5ACC">
        <w:rPr>
          <w:i/>
          <w:lang w:val="en-CA"/>
        </w:rPr>
        <w:t>bi</w:t>
      </w:r>
      <w:r w:rsidRPr="00AB5ACC">
        <w:rPr>
          <w:i/>
          <w:lang w:val="en-CA"/>
        </w:rPr>
        <w:t>d</w:t>
      </w:r>
      <w:r w:rsidRPr="00AB5ACC">
        <w:rPr>
          <w:lang w:val="en-CA"/>
        </w:rPr>
        <w:t>.</w:t>
      </w:r>
      <w:r w:rsidR="00EB4C5B" w:rsidRPr="00AB5ACC">
        <w:rPr>
          <w:lang w:val="en-CA"/>
        </w:rPr>
        <w:t xml:space="preserve"> at</w:t>
      </w:r>
      <w:r w:rsidRPr="00AB5ACC">
        <w:rPr>
          <w:lang w:val="en-CA"/>
        </w:rPr>
        <w:t xml:space="preserve"> </w:t>
      </w:r>
      <w:r w:rsidR="00851B4A">
        <w:rPr>
          <w:lang w:val="en-CA"/>
        </w:rPr>
        <w:t>S.O.</w:t>
      </w:r>
      <w:r w:rsidRPr="00AB5ACC">
        <w:rPr>
          <w:lang w:val="en-CA"/>
        </w:rPr>
        <w:t xml:space="preserve"> 23.</w:t>
      </w:r>
    </w:p>
  </w:footnote>
  <w:footnote w:id="35">
    <w:p w14:paraId="695EB22E" w14:textId="611839B9"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EB4C5B" w:rsidRPr="00AB5ACC">
        <w:rPr>
          <w:lang w:val="en-CA"/>
        </w:rPr>
        <w:t>Judgment under appeal at</w:t>
      </w:r>
      <w:r w:rsidRPr="00AB5ACC">
        <w:rPr>
          <w:lang w:val="en-CA"/>
        </w:rPr>
        <w:t xml:space="preserve"> para.</w:t>
      </w:r>
      <w:r w:rsidRPr="006521E1">
        <w:rPr>
          <w:lang w:val="en-CA"/>
        </w:rPr>
        <w:t xml:space="preserve"> 41.</w:t>
      </w:r>
    </w:p>
  </w:footnote>
  <w:footnote w:id="36">
    <w:p w14:paraId="70E68445" w14:textId="4AA84772"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AB5ACC">
        <w:rPr>
          <w:i/>
          <w:lang w:val="en-CA"/>
        </w:rPr>
        <w:t>I</w:t>
      </w:r>
      <w:r w:rsidR="00EB4C5B" w:rsidRPr="00AB5ACC">
        <w:rPr>
          <w:i/>
          <w:lang w:val="en-CA"/>
        </w:rPr>
        <w:t>bi</w:t>
      </w:r>
      <w:r w:rsidRPr="00AB5ACC">
        <w:rPr>
          <w:i/>
          <w:lang w:val="en-CA"/>
        </w:rPr>
        <w:t>d</w:t>
      </w:r>
      <w:r w:rsidRPr="00AB5ACC">
        <w:rPr>
          <w:lang w:val="en-CA"/>
        </w:rPr>
        <w:t>.</w:t>
      </w:r>
      <w:r w:rsidR="00EB4C5B" w:rsidRPr="00AB5ACC">
        <w:rPr>
          <w:lang w:val="en-CA"/>
        </w:rPr>
        <w:t xml:space="preserve"> at</w:t>
      </w:r>
      <w:r w:rsidRPr="00AB5ACC">
        <w:rPr>
          <w:lang w:val="en-CA"/>
        </w:rPr>
        <w:t xml:space="preserve"> para.</w:t>
      </w:r>
      <w:r w:rsidRPr="006521E1">
        <w:rPr>
          <w:lang w:val="en-CA"/>
        </w:rPr>
        <w:t xml:space="preserve"> 42.</w:t>
      </w:r>
    </w:p>
  </w:footnote>
  <w:footnote w:id="37">
    <w:p w14:paraId="705EBBA4" w14:textId="145F8FCB" w:rsidR="00D659FE" w:rsidRPr="006521E1" w:rsidRDefault="00D659FE" w:rsidP="00D659FE">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EB4C5B" w:rsidRPr="00152D35">
        <w:rPr>
          <w:i/>
          <w:lang w:val="en-CA"/>
        </w:rPr>
        <w:t>Public Health Protection Act</w:t>
      </w:r>
      <w:r w:rsidRPr="00AB5ACC">
        <w:rPr>
          <w:lang w:val="en-CA"/>
        </w:rPr>
        <w:t xml:space="preserve">, </w:t>
      </w:r>
      <w:r w:rsidR="00930659">
        <w:rPr>
          <w:lang w:val="en-CA"/>
        </w:rPr>
        <w:t>CQLR</w:t>
      </w:r>
      <w:r w:rsidR="00EB4C5B" w:rsidRPr="00AB5ACC">
        <w:rPr>
          <w:lang w:val="en-CA"/>
        </w:rPr>
        <w:t>, c. A-23.1</w:t>
      </w:r>
      <w:r w:rsidRPr="00AB5ACC">
        <w:rPr>
          <w:lang w:val="en-CA"/>
        </w:rPr>
        <w:t>.</w:t>
      </w:r>
    </w:p>
  </w:footnote>
  <w:footnote w:id="38">
    <w:p w14:paraId="4E446BEF" w14:textId="42A95412" w:rsidR="00D659FE" w:rsidRPr="006521E1" w:rsidRDefault="00D659FE" w:rsidP="00D659FE">
      <w:pPr>
        <w:pStyle w:val="Notedebasdepage"/>
        <w:rPr>
          <w:lang w:val="en-CA"/>
        </w:rPr>
      </w:pPr>
      <w:r w:rsidRPr="006521E1">
        <w:rPr>
          <w:rStyle w:val="Appelnotedebasdep"/>
          <w:lang w:val="en-CA"/>
        </w:rPr>
        <w:footnoteRef/>
      </w:r>
      <w:r w:rsidRPr="00152D35">
        <w:t xml:space="preserve"> </w:t>
      </w:r>
      <w:r w:rsidRPr="00152D35">
        <w:tab/>
      </w:r>
      <w:r w:rsidRPr="00150B25">
        <w:t xml:space="preserve">Marie-Claude Prémont, Marie-Ève Couture-Ménard </w:t>
      </w:r>
      <w:r w:rsidR="00EB4C5B" w:rsidRPr="00150B25">
        <w:t>&amp;</w:t>
      </w:r>
      <w:r w:rsidRPr="00150B25">
        <w:t xml:space="preserve"> Geneviève Brisson,</w:t>
      </w:r>
      <w:r w:rsidR="001560E6" w:rsidRPr="00150B25">
        <w:t xml:space="preserve"> </w:t>
      </w:r>
      <w:r w:rsidR="00930659" w:rsidRPr="00150B25">
        <w:t>“</w:t>
      </w:r>
      <w:r w:rsidRPr="00150B25">
        <w:t>L’état d’urgence sanitaire au Québec: un régime de guerre ou de santé publique</w:t>
      </w:r>
      <w:r w:rsidRPr="00152D35">
        <w:t>?</w:t>
      </w:r>
      <w:r w:rsidR="00EB4C5B" w:rsidRPr="00152D35">
        <w:t>”</w:t>
      </w:r>
      <w:r w:rsidRPr="00152D35">
        <w:t xml:space="preserve"> </w:t>
      </w:r>
      <w:r w:rsidRPr="006521E1">
        <w:rPr>
          <w:lang w:val="en-CA"/>
        </w:rPr>
        <w:t>(2021) 55 R.J.T.U.M. 233</w:t>
      </w:r>
      <w:r w:rsidR="00EB4C5B">
        <w:rPr>
          <w:lang w:val="en-CA"/>
        </w:rPr>
        <w:t xml:space="preserve"> at</w:t>
      </w:r>
      <w:r w:rsidRPr="006521E1">
        <w:rPr>
          <w:lang w:val="en-CA"/>
        </w:rPr>
        <w:t xml:space="preserve"> 250.</w:t>
      </w:r>
    </w:p>
  </w:footnote>
  <w:footnote w:id="39">
    <w:p w14:paraId="72323B2F" w14:textId="0A4301DF" w:rsidR="00D659FE" w:rsidRPr="006521E1" w:rsidRDefault="00D659FE" w:rsidP="00D659FE">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EB4C5B" w:rsidRPr="00EB4C5B">
        <w:rPr>
          <w:i/>
          <w:lang w:val="en-CA"/>
        </w:rPr>
        <w:t>Civil Protection Act</w:t>
      </w:r>
      <w:r w:rsidR="00EB4C5B" w:rsidRPr="00EB4C5B">
        <w:rPr>
          <w:iCs/>
          <w:lang w:val="en-CA"/>
        </w:rPr>
        <w:t>, CQLR c</w:t>
      </w:r>
      <w:r w:rsidR="00D51831">
        <w:rPr>
          <w:iCs/>
          <w:lang w:val="en-CA"/>
        </w:rPr>
        <w:t>.</w:t>
      </w:r>
      <w:r w:rsidR="00EB4C5B" w:rsidRPr="00EB4C5B">
        <w:rPr>
          <w:iCs/>
          <w:lang w:val="en-CA"/>
        </w:rPr>
        <w:t xml:space="preserve"> S-2.3</w:t>
      </w:r>
      <w:r w:rsidRPr="00AB5ACC">
        <w:rPr>
          <w:lang w:val="en-CA"/>
        </w:rPr>
        <w:t xml:space="preserve">, </w:t>
      </w:r>
      <w:r w:rsidR="00EB4C5B" w:rsidRPr="00AB5ACC">
        <w:rPr>
          <w:lang w:val="en-CA"/>
        </w:rPr>
        <w:t>s</w:t>
      </w:r>
      <w:r w:rsidRPr="00AB5ACC">
        <w:rPr>
          <w:lang w:val="en-CA"/>
        </w:rPr>
        <w:t>. 88.</w:t>
      </w:r>
    </w:p>
  </w:footnote>
  <w:footnote w:id="40">
    <w:p w14:paraId="03A7D583" w14:textId="47AB7DF6" w:rsidR="00EB4C5B" w:rsidRPr="006521E1" w:rsidRDefault="00EB4C5B" w:rsidP="00EB4C5B">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EB4C5B">
        <w:rPr>
          <w:i/>
          <w:lang w:val="en-CA"/>
        </w:rPr>
        <w:t>Civil Protection Act</w:t>
      </w:r>
      <w:r w:rsidRPr="00EB4C5B">
        <w:rPr>
          <w:iCs/>
          <w:lang w:val="en-CA"/>
        </w:rPr>
        <w:t>, CQLR c</w:t>
      </w:r>
      <w:r w:rsidR="00D51831">
        <w:rPr>
          <w:iCs/>
          <w:lang w:val="en-CA"/>
        </w:rPr>
        <w:t>.</w:t>
      </w:r>
      <w:r w:rsidRPr="00EB4C5B">
        <w:rPr>
          <w:iCs/>
          <w:lang w:val="en-CA"/>
        </w:rPr>
        <w:t xml:space="preserve"> S-2.3</w:t>
      </w:r>
      <w:r w:rsidRPr="00AB5ACC">
        <w:rPr>
          <w:lang w:val="en-CA"/>
        </w:rPr>
        <w:t>.</w:t>
      </w:r>
    </w:p>
  </w:footnote>
  <w:footnote w:id="41">
    <w:p w14:paraId="1591C830" w14:textId="70541099" w:rsidR="00123EB4" w:rsidRPr="00152D35" w:rsidRDefault="00123EB4" w:rsidP="00123EB4">
      <w:pPr>
        <w:pStyle w:val="Notedebasdepage"/>
      </w:pPr>
      <w:r w:rsidRPr="006521E1">
        <w:rPr>
          <w:rStyle w:val="Appelnotedebasdep"/>
          <w:lang w:val="en-CA"/>
        </w:rPr>
        <w:footnoteRef/>
      </w:r>
      <w:r w:rsidRPr="00152D35">
        <w:t xml:space="preserve"> </w:t>
      </w:r>
      <w:r w:rsidRPr="00152D35">
        <w:tab/>
      </w:r>
      <w:r w:rsidRPr="00150B25">
        <w:rPr>
          <w:i/>
        </w:rPr>
        <w:t>Association des chirurgiens-dentistes du Québec c. Ministre de la Santé et des Services sociaux</w:t>
      </w:r>
      <w:r w:rsidRPr="00152D35">
        <w:t xml:space="preserve">, 2021 QCCA 170 </w:t>
      </w:r>
      <w:r w:rsidR="00BE5F00" w:rsidRPr="00152D35">
        <w:t>at para</w:t>
      </w:r>
      <w:r w:rsidRPr="00152D35">
        <w:t xml:space="preserve">. 60, </w:t>
      </w:r>
      <w:proofErr w:type="spellStart"/>
      <w:r w:rsidR="00BE5F00" w:rsidRPr="00152D35">
        <w:t>quoting</w:t>
      </w:r>
      <w:proofErr w:type="spellEnd"/>
      <w:r w:rsidRPr="00152D35">
        <w:t xml:space="preserve"> </w:t>
      </w:r>
      <w:r w:rsidRPr="00150B25">
        <w:t xml:space="preserve">Pierre-André Côté, </w:t>
      </w:r>
      <w:r w:rsidRPr="00150B25">
        <w:rPr>
          <w:i/>
        </w:rPr>
        <w:t>Interprétation des lois</w:t>
      </w:r>
      <w:r w:rsidRPr="00150B25">
        <w:t>,</w:t>
      </w:r>
      <w:r w:rsidRPr="00152D35">
        <w:t xml:space="preserve"> </w:t>
      </w:r>
      <w:r w:rsidR="00316D51" w:rsidRPr="00152D35">
        <w:t xml:space="preserve">4th </w:t>
      </w:r>
      <w:proofErr w:type="spellStart"/>
      <w:r w:rsidR="00316D51" w:rsidRPr="00152D35">
        <w:t>ed</w:t>
      </w:r>
      <w:proofErr w:type="spellEnd"/>
      <w:r w:rsidRPr="00152D35">
        <w:t>., (</w:t>
      </w:r>
      <w:proofErr w:type="spellStart"/>
      <w:r w:rsidRPr="00152D35">
        <w:t>Montr</w:t>
      </w:r>
      <w:r w:rsidR="00316D51" w:rsidRPr="00152D35">
        <w:t>e</w:t>
      </w:r>
      <w:r w:rsidRPr="00152D35">
        <w:t>al</w:t>
      </w:r>
      <w:proofErr w:type="spellEnd"/>
      <w:r w:rsidR="00B5347C" w:rsidRPr="00152D35">
        <w:t>:</w:t>
      </w:r>
      <w:r w:rsidRPr="00152D35">
        <w:t xml:space="preserve"> Thémis, 2009</w:t>
      </w:r>
      <w:r w:rsidR="00316D51" w:rsidRPr="00152D35">
        <w:t>)</w:t>
      </w:r>
      <w:r w:rsidRPr="00152D35">
        <w:t xml:space="preserve"> at 506.</w:t>
      </w:r>
    </w:p>
  </w:footnote>
  <w:footnote w:id="42">
    <w:p w14:paraId="78848729" w14:textId="123F2E93"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00E62E03">
        <w:rPr>
          <w:lang w:val="en-CA"/>
        </w:rPr>
        <w:t>Quebec, National Assembly</w:t>
      </w:r>
      <w:r w:rsidRPr="00AB5ACC">
        <w:rPr>
          <w:lang w:val="en-CA"/>
        </w:rPr>
        <w:t xml:space="preserve">, </w:t>
      </w:r>
      <w:r w:rsidRPr="00AB5ACC">
        <w:rPr>
          <w:i/>
          <w:lang w:val="en-CA"/>
        </w:rPr>
        <w:t xml:space="preserve">Journal des </w:t>
      </w:r>
      <w:proofErr w:type="spellStart"/>
      <w:r w:rsidRPr="00AB5ACC">
        <w:rPr>
          <w:i/>
          <w:lang w:val="en-CA"/>
        </w:rPr>
        <w:t>débats</w:t>
      </w:r>
      <w:proofErr w:type="spellEnd"/>
      <w:r w:rsidRPr="00AB5ACC">
        <w:rPr>
          <w:lang w:val="en-CA"/>
        </w:rPr>
        <w:t xml:space="preserve">, </w:t>
      </w:r>
      <w:r w:rsidR="00FB3560">
        <w:rPr>
          <w:lang w:val="en-CA"/>
        </w:rPr>
        <w:t>36-2,</w:t>
      </w:r>
      <w:r w:rsidRPr="00AB5ACC">
        <w:rPr>
          <w:lang w:val="en-CA"/>
        </w:rPr>
        <w:t xml:space="preserve"> </w:t>
      </w:r>
      <w:r w:rsidR="00E62E03" w:rsidRPr="00AB5ACC">
        <w:rPr>
          <w:lang w:val="en-CA"/>
        </w:rPr>
        <w:t>vol.</w:t>
      </w:r>
      <w:r w:rsidR="00E62E03" w:rsidRPr="006521E1">
        <w:rPr>
          <w:lang w:val="en-CA"/>
        </w:rPr>
        <w:t xml:space="preserve"> </w:t>
      </w:r>
      <w:r w:rsidR="00E62E03" w:rsidRPr="00AB5ACC">
        <w:rPr>
          <w:lang w:val="en-CA"/>
        </w:rPr>
        <w:t xml:space="preserve">37, </w:t>
      </w:r>
      <w:r w:rsidR="00FB3560">
        <w:rPr>
          <w:lang w:val="en-CA"/>
        </w:rPr>
        <w:t>N</w:t>
      </w:r>
      <w:r w:rsidR="00FB3560" w:rsidRPr="00AB5ACC">
        <w:rPr>
          <w:lang w:val="en-CA"/>
        </w:rPr>
        <w:t>o</w:t>
      </w:r>
      <w:r w:rsidR="00986CB6" w:rsidRPr="00AB5ACC">
        <w:rPr>
          <w:lang w:val="en-CA"/>
        </w:rPr>
        <w:t>.</w:t>
      </w:r>
      <w:r w:rsidR="00E62E03" w:rsidRPr="00AB5ACC">
        <w:rPr>
          <w:lang w:val="en-CA"/>
        </w:rPr>
        <w:t xml:space="preserve"> 33 (</w:t>
      </w:r>
      <w:r w:rsidRPr="00AB5ACC">
        <w:rPr>
          <w:lang w:val="en-CA"/>
        </w:rPr>
        <w:t xml:space="preserve">29 </w:t>
      </w:r>
      <w:r w:rsidR="00E62E03" w:rsidRPr="00AB5ACC">
        <w:rPr>
          <w:lang w:val="en-CA"/>
        </w:rPr>
        <w:t>August</w:t>
      </w:r>
      <w:r w:rsidRPr="00AB5ACC">
        <w:rPr>
          <w:lang w:val="en-CA"/>
        </w:rPr>
        <w:t xml:space="preserve"> 2001</w:t>
      </w:r>
      <w:r w:rsidR="00E62E03" w:rsidRPr="00AB5ACC">
        <w:rPr>
          <w:lang w:val="en-CA"/>
        </w:rPr>
        <w:t>) at</w:t>
      </w:r>
      <w:r w:rsidRPr="00AB5ACC">
        <w:rPr>
          <w:lang w:val="en-CA"/>
        </w:rPr>
        <w:t xml:space="preserve"> 12</w:t>
      </w:r>
      <w:r w:rsidR="00FB3560">
        <w:rPr>
          <w:lang w:val="en-CA"/>
        </w:rPr>
        <w:t>–</w:t>
      </w:r>
      <w:r w:rsidRPr="00AB5ACC">
        <w:rPr>
          <w:lang w:val="en-CA"/>
        </w:rPr>
        <w:t>16.</w:t>
      </w:r>
    </w:p>
  </w:footnote>
  <w:footnote w:id="43">
    <w:p w14:paraId="0F423186" w14:textId="77777777"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6521E1">
        <w:rPr>
          <w:i/>
          <w:lang w:val="en-CA"/>
        </w:rPr>
        <w:t>Fort Frances Pulp and Paper Co. v. Manitoba Free Press Co</w:t>
      </w:r>
      <w:r w:rsidRPr="006521E1">
        <w:rPr>
          <w:lang w:val="en-CA"/>
        </w:rPr>
        <w:t>., [1923] AC 695, 1923 CanLII 429 (UK JCPC).</w:t>
      </w:r>
    </w:p>
  </w:footnote>
  <w:footnote w:id="44">
    <w:p w14:paraId="79729E71" w14:textId="23051868" w:rsidR="001516A0" w:rsidRPr="006521E1" w:rsidRDefault="00BD41E7" w:rsidP="001516A0">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AB5ACC">
        <w:rPr>
          <w:i/>
          <w:lang w:val="en-CA"/>
        </w:rPr>
        <w:t>I</w:t>
      </w:r>
      <w:r w:rsidR="009E40E3" w:rsidRPr="00AB5ACC">
        <w:rPr>
          <w:i/>
          <w:lang w:val="en-CA"/>
        </w:rPr>
        <w:t>bi</w:t>
      </w:r>
      <w:r w:rsidRPr="00AB5ACC">
        <w:rPr>
          <w:i/>
          <w:lang w:val="en-CA"/>
        </w:rPr>
        <w:t>d.</w:t>
      </w:r>
      <w:r w:rsidRPr="00AB5ACC">
        <w:rPr>
          <w:lang w:val="en-CA"/>
        </w:rPr>
        <w:t xml:space="preserve"> </w:t>
      </w:r>
      <w:r w:rsidR="009E40E3" w:rsidRPr="00AB5ACC">
        <w:rPr>
          <w:lang w:val="en-CA"/>
        </w:rPr>
        <w:t>at</w:t>
      </w:r>
      <w:r w:rsidRPr="00AB5ACC">
        <w:rPr>
          <w:lang w:val="en-CA"/>
        </w:rPr>
        <w:t xml:space="preserve"> 635.</w:t>
      </w:r>
    </w:p>
  </w:footnote>
  <w:footnote w:id="45">
    <w:p w14:paraId="4FB28A9F" w14:textId="77777777" w:rsidR="004F7A04" w:rsidRPr="006521E1" w:rsidRDefault="004F7A04" w:rsidP="004F7A04">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9B11BE">
        <w:rPr>
          <w:i/>
          <w:lang w:val="en-CA"/>
        </w:rPr>
        <w:t>Regulations Act</w:t>
      </w:r>
      <w:r w:rsidRPr="005B202B">
        <w:rPr>
          <w:iCs/>
          <w:lang w:val="en-CA"/>
        </w:rPr>
        <w:t>,</w:t>
      </w:r>
      <w:r w:rsidRPr="009B11BE">
        <w:rPr>
          <w:i/>
          <w:lang w:val="en-CA"/>
        </w:rPr>
        <w:t xml:space="preserve"> </w:t>
      </w:r>
      <w:r w:rsidRPr="009B11BE">
        <w:rPr>
          <w:iCs/>
          <w:lang w:val="en-CA"/>
        </w:rPr>
        <w:t>CQLR c. R-18.1</w:t>
      </w:r>
      <w:r w:rsidRPr="00AB5ACC">
        <w:rPr>
          <w:lang w:val="en-CA"/>
        </w:rPr>
        <w:t>, s. 1.</w:t>
      </w:r>
    </w:p>
  </w:footnote>
  <w:footnote w:id="46">
    <w:p w14:paraId="22277E2C" w14:textId="55F2B9F2" w:rsidR="004F7A04" w:rsidRPr="006521E1" w:rsidRDefault="004F7A04" w:rsidP="004F7A04">
      <w:pPr>
        <w:pStyle w:val="Notedebasdepage"/>
        <w:rPr>
          <w:lang w:val="en-CA"/>
        </w:rPr>
      </w:pPr>
      <w:r w:rsidRPr="006521E1">
        <w:rPr>
          <w:rStyle w:val="Appelnotedebasdep"/>
          <w:lang w:val="en-CA"/>
        </w:rPr>
        <w:footnoteRef/>
      </w:r>
      <w:r w:rsidRPr="00152D35">
        <w:t xml:space="preserve"> </w:t>
      </w:r>
      <w:r w:rsidRPr="00152D35">
        <w:tab/>
        <w:t xml:space="preserve">Pierre </w:t>
      </w:r>
      <w:proofErr w:type="spellStart"/>
      <w:r w:rsidRPr="00152D35">
        <w:t>Issalys</w:t>
      </w:r>
      <w:proofErr w:type="spellEnd"/>
      <w:r w:rsidRPr="00152D35">
        <w:t xml:space="preserve"> &amp; Denis Lemieux, </w:t>
      </w:r>
      <w:r w:rsidRPr="00152D35">
        <w:rPr>
          <w:i/>
        </w:rPr>
        <w:t>L'action gouvernementale – Précis de droit des institutions administratives</w:t>
      </w:r>
      <w:r w:rsidRPr="00152D35">
        <w:t>, 4</w:t>
      </w:r>
      <w:r w:rsidR="00590436">
        <w:t>th</w:t>
      </w:r>
      <w:r w:rsidRPr="00152D35">
        <w:t xml:space="preserve"> </w:t>
      </w:r>
      <w:proofErr w:type="spellStart"/>
      <w:r w:rsidRPr="00152D35">
        <w:t>ed</w:t>
      </w:r>
      <w:proofErr w:type="spellEnd"/>
      <w:r w:rsidRPr="00152D35">
        <w:t xml:space="preserve">. </w:t>
      </w:r>
      <w:r w:rsidRPr="00AB5ACC">
        <w:rPr>
          <w:lang w:val="en-CA"/>
        </w:rPr>
        <w:t>(Montreal: Yvon Blais, 2020) at 706.</w:t>
      </w:r>
    </w:p>
  </w:footnote>
  <w:footnote w:id="47">
    <w:p w14:paraId="2AD4CC1D" w14:textId="51929C1F" w:rsidR="004F7A04" w:rsidRPr="006521E1" w:rsidRDefault="004F7A04" w:rsidP="004F7A04">
      <w:pPr>
        <w:pStyle w:val="Notedebasdepage"/>
        <w:rPr>
          <w:lang w:val="en-CA"/>
        </w:rPr>
      </w:pPr>
      <w:r w:rsidRPr="006521E1">
        <w:rPr>
          <w:rStyle w:val="Appelnotedebasdep"/>
          <w:lang w:val="en-CA"/>
        </w:rPr>
        <w:footnoteRef/>
      </w:r>
      <w:r w:rsidRPr="006521E1">
        <w:rPr>
          <w:lang w:val="en-CA"/>
        </w:rPr>
        <w:t xml:space="preserve"> </w:t>
      </w:r>
      <w:r w:rsidRPr="006521E1">
        <w:rPr>
          <w:lang w:val="en-CA"/>
        </w:rPr>
        <w:tab/>
        <w:t xml:space="preserve">Ruth Sullivan, </w:t>
      </w:r>
      <w:r w:rsidRPr="006521E1">
        <w:rPr>
          <w:i/>
          <w:lang w:val="en-CA"/>
        </w:rPr>
        <w:t>Statutory Interpretation</w:t>
      </w:r>
      <w:r w:rsidRPr="006521E1">
        <w:rPr>
          <w:lang w:val="en-CA"/>
        </w:rPr>
        <w:t xml:space="preserve">, </w:t>
      </w:r>
      <w:r>
        <w:rPr>
          <w:lang w:val="en-CA"/>
        </w:rPr>
        <w:t>3rd</w:t>
      </w:r>
      <w:r w:rsidRPr="006521E1">
        <w:rPr>
          <w:lang w:val="en-CA"/>
        </w:rPr>
        <w:t xml:space="preserve"> ed.</w:t>
      </w:r>
      <w:r>
        <w:rPr>
          <w:lang w:val="en-CA"/>
        </w:rPr>
        <w:t xml:space="preserve"> (</w:t>
      </w:r>
      <w:r w:rsidRPr="006521E1">
        <w:rPr>
          <w:lang w:val="en-CA"/>
        </w:rPr>
        <w:t>Toronto</w:t>
      </w:r>
      <w:r>
        <w:rPr>
          <w:lang w:val="en-CA"/>
        </w:rPr>
        <w:t>:</w:t>
      </w:r>
      <w:r w:rsidRPr="006521E1">
        <w:rPr>
          <w:lang w:val="en-CA"/>
        </w:rPr>
        <w:t xml:space="preserve"> Irwin Law, 2016</w:t>
      </w:r>
      <w:r>
        <w:rPr>
          <w:lang w:val="en-CA"/>
        </w:rPr>
        <w:t>)</w:t>
      </w:r>
      <w:r w:rsidRPr="006521E1">
        <w:rPr>
          <w:lang w:val="en-CA"/>
        </w:rPr>
        <w:t xml:space="preserve"> </w:t>
      </w:r>
      <w:r>
        <w:rPr>
          <w:lang w:val="en-CA"/>
        </w:rPr>
        <w:t>at</w:t>
      </w:r>
      <w:r w:rsidRPr="006521E1">
        <w:rPr>
          <w:lang w:val="en-CA"/>
        </w:rPr>
        <w:t xml:space="preserve"> 49; Elmer A. </w:t>
      </w:r>
      <w:proofErr w:type="spellStart"/>
      <w:r w:rsidRPr="006521E1">
        <w:rPr>
          <w:lang w:val="en-CA"/>
        </w:rPr>
        <w:t>Driedger</w:t>
      </w:r>
      <w:proofErr w:type="spellEnd"/>
      <w:r w:rsidRPr="006521E1">
        <w:rPr>
          <w:lang w:val="en-CA"/>
        </w:rPr>
        <w:t xml:space="preserve">, </w:t>
      </w:r>
      <w:r w:rsidRPr="006521E1">
        <w:rPr>
          <w:i/>
          <w:iCs/>
          <w:lang w:val="en-CA"/>
        </w:rPr>
        <w:t xml:space="preserve">The Construction of Statutes, </w:t>
      </w:r>
      <w:r>
        <w:rPr>
          <w:lang w:val="en-CA"/>
        </w:rPr>
        <w:t>2</w:t>
      </w:r>
      <w:r w:rsidR="00590436">
        <w:rPr>
          <w:lang w:val="en-CA"/>
        </w:rPr>
        <w:t>nd</w:t>
      </w:r>
      <w:r>
        <w:rPr>
          <w:lang w:val="en-CA"/>
        </w:rPr>
        <w:t xml:space="preserve"> ed</w:t>
      </w:r>
      <w:r w:rsidRPr="006521E1">
        <w:rPr>
          <w:lang w:val="en-CA"/>
        </w:rPr>
        <w:t xml:space="preserve">. </w:t>
      </w:r>
      <w:r>
        <w:rPr>
          <w:lang w:val="en-CA"/>
        </w:rPr>
        <w:t>(</w:t>
      </w:r>
      <w:r w:rsidRPr="006521E1">
        <w:rPr>
          <w:lang w:val="en-CA"/>
        </w:rPr>
        <w:t>Toronto</w:t>
      </w:r>
      <w:r>
        <w:rPr>
          <w:lang w:val="en-CA"/>
        </w:rPr>
        <w:t>:</w:t>
      </w:r>
      <w:r w:rsidRPr="006521E1">
        <w:rPr>
          <w:lang w:val="en-CA"/>
        </w:rPr>
        <w:t xml:space="preserve"> Butterworths, 1983</w:t>
      </w:r>
      <w:r>
        <w:rPr>
          <w:lang w:val="en-CA"/>
        </w:rPr>
        <w:t>)</w:t>
      </w:r>
      <w:r w:rsidRPr="006521E1">
        <w:rPr>
          <w:lang w:val="en-CA"/>
        </w:rPr>
        <w:t xml:space="preserve"> </w:t>
      </w:r>
      <w:r>
        <w:rPr>
          <w:lang w:val="en-CA"/>
        </w:rPr>
        <w:t>at</w:t>
      </w:r>
      <w:r w:rsidRPr="006521E1">
        <w:rPr>
          <w:lang w:val="en-CA"/>
        </w:rPr>
        <w:t> 87.</w:t>
      </w:r>
    </w:p>
  </w:footnote>
  <w:footnote w:id="48">
    <w:p w14:paraId="3539C7D5" w14:textId="0A4B4774" w:rsidR="004F7A04" w:rsidRPr="006521E1" w:rsidRDefault="004F7A04" w:rsidP="004F7A04">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Pr>
          <w:lang w:val="en-CA"/>
        </w:rPr>
        <w:t>“Ordre” ([</w:t>
      </w:r>
      <w:proofErr w:type="spellStart"/>
      <w:r w:rsidRPr="009B11BE">
        <w:rPr>
          <w:smallCaps/>
          <w:lang w:val="en-CA"/>
        </w:rPr>
        <w:t>translaton</w:t>
      </w:r>
      <w:proofErr w:type="spellEnd"/>
      <w:r>
        <w:rPr>
          <w:lang w:val="en-CA"/>
        </w:rPr>
        <w:t>]: Order) in</w:t>
      </w:r>
      <w:r w:rsidRPr="006521E1">
        <w:rPr>
          <w:lang w:val="en-CA"/>
        </w:rPr>
        <w:t xml:space="preserve"> </w:t>
      </w:r>
      <w:proofErr w:type="spellStart"/>
      <w:r w:rsidRPr="006521E1">
        <w:rPr>
          <w:i/>
          <w:lang w:val="en-CA"/>
        </w:rPr>
        <w:t>Dictionnaire</w:t>
      </w:r>
      <w:proofErr w:type="spellEnd"/>
      <w:r w:rsidRPr="006521E1">
        <w:rPr>
          <w:i/>
          <w:lang w:val="en-CA"/>
        </w:rPr>
        <w:t xml:space="preserve"> de </w:t>
      </w:r>
      <w:r w:rsidRPr="00AB5ACC">
        <w:rPr>
          <w:i/>
          <w:lang w:val="en-CA"/>
        </w:rPr>
        <w:t xml:space="preserve">droit </w:t>
      </w:r>
      <w:proofErr w:type="spellStart"/>
      <w:r w:rsidRPr="00AB5ACC">
        <w:rPr>
          <w:i/>
          <w:lang w:val="en-CA"/>
        </w:rPr>
        <w:t>québécois</w:t>
      </w:r>
      <w:proofErr w:type="spellEnd"/>
      <w:r w:rsidRPr="006521E1">
        <w:rPr>
          <w:i/>
          <w:lang w:val="en-CA"/>
        </w:rPr>
        <w:t xml:space="preserve"> et </w:t>
      </w:r>
      <w:proofErr w:type="spellStart"/>
      <w:r w:rsidRPr="00AB5ACC">
        <w:rPr>
          <w:i/>
          <w:lang w:val="en-CA"/>
        </w:rPr>
        <w:t>canadien</w:t>
      </w:r>
      <w:proofErr w:type="spellEnd"/>
      <w:r w:rsidRPr="006521E1">
        <w:rPr>
          <w:lang w:val="en-CA"/>
        </w:rPr>
        <w:t xml:space="preserve">, </w:t>
      </w:r>
      <w:r>
        <w:rPr>
          <w:lang w:val="en-CA"/>
        </w:rPr>
        <w:t>online</w:t>
      </w:r>
      <w:r w:rsidRPr="006521E1">
        <w:rPr>
          <w:lang w:val="en-CA"/>
        </w:rPr>
        <w:t xml:space="preserve">: https://dictionnairereid.caij.qc.ca/recherche#q=ordre&amp;t=edictionnaire&amp;sort=relevancy&amp;m=search (page </w:t>
      </w:r>
      <w:r w:rsidR="00F7464E">
        <w:rPr>
          <w:lang w:val="en-CA"/>
        </w:rPr>
        <w:t>consulted on</w:t>
      </w:r>
      <w:r w:rsidRPr="006521E1">
        <w:rPr>
          <w:lang w:val="en-CA"/>
        </w:rPr>
        <w:t xml:space="preserve"> 15 </w:t>
      </w:r>
      <w:r w:rsidR="00F7464E" w:rsidRPr="00AB5ACC">
        <w:rPr>
          <w:lang w:val="en-CA"/>
        </w:rPr>
        <w:t>November</w:t>
      </w:r>
      <w:r w:rsidRPr="006521E1">
        <w:rPr>
          <w:lang w:val="en-CA"/>
        </w:rPr>
        <w:t xml:space="preserve"> 2021).</w:t>
      </w:r>
    </w:p>
  </w:footnote>
  <w:footnote w:id="49">
    <w:p w14:paraId="4D94DC4F" w14:textId="77777777" w:rsidR="004F7A04" w:rsidRPr="006521E1" w:rsidRDefault="004F7A04" w:rsidP="004F7A04">
      <w:pPr>
        <w:pStyle w:val="Notedebasdepage"/>
        <w:rPr>
          <w:lang w:val="en-CA"/>
        </w:rPr>
      </w:pPr>
      <w:r w:rsidRPr="006521E1">
        <w:rPr>
          <w:rStyle w:val="Appelnotedebasdep"/>
          <w:lang w:val="en-CA"/>
        </w:rPr>
        <w:footnoteRef/>
      </w:r>
      <w:r w:rsidRPr="006521E1">
        <w:rPr>
          <w:lang w:val="en-CA"/>
        </w:rPr>
        <w:t xml:space="preserve"> </w:t>
      </w:r>
      <w:r w:rsidRPr="006521E1">
        <w:rPr>
          <w:lang w:val="en-CA"/>
        </w:rPr>
        <w:tab/>
      </w:r>
      <w:r w:rsidRPr="00AB5ACC">
        <w:rPr>
          <w:i/>
          <w:lang w:val="en-CA"/>
        </w:rPr>
        <w:t xml:space="preserve">Interpretation Act, </w:t>
      </w:r>
      <w:r w:rsidRPr="00AB5ACC">
        <w:rPr>
          <w:iCs/>
          <w:lang w:val="en-CA"/>
        </w:rPr>
        <w:t>CQLR c. I-16.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C421" w14:textId="6DAF96EC" w:rsidR="007E33E4" w:rsidRDefault="00BD41E7" w:rsidP="00DB2119">
    <w:pPr>
      <w:tabs>
        <w:tab w:val="center" w:pos="4709"/>
        <w:tab w:val="right" w:pos="9360"/>
      </w:tabs>
      <w:spacing w:line="360" w:lineRule="auto"/>
      <w:ind w:right="524"/>
    </w:pPr>
    <w:bookmarkStart w:id="9" w:name="EntDossier"/>
    <w:r>
      <w:t>500-09-029500-212</w:t>
    </w:r>
    <w:bookmarkEnd w:id="9"/>
    <w:r>
      <w:t xml:space="preserve"> </w:t>
    </w:r>
    <w:r>
      <w:tab/>
    </w:r>
    <w:r>
      <w:tab/>
    </w:r>
    <w:r w:rsidRPr="00AB5ACC">
      <w:t>PAGE:</w:t>
    </w:r>
    <w:r>
      <w:t xml:space="preserve"> </w:t>
    </w:r>
    <w:r>
      <w:fldChar w:fldCharType="begin"/>
    </w:r>
    <w:r>
      <w:instrText xml:space="preserve"> PAGE </w:instrText>
    </w:r>
    <w:r>
      <w:fldChar w:fldCharType="separate"/>
    </w:r>
    <w:r>
      <w:rPr>
        <w:noProof/>
      </w:rPr>
      <w:t>21</w:t>
    </w:r>
    <w:r>
      <w:fldChar w:fldCharType="end"/>
    </w:r>
  </w:p>
  <w:p w14:paraId="44D5EA79" w14:textId="77777777" w:rsidR="007E33E4" w:rsidRDefault="00EB60E0" w:rsidP="00DB2119">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A6CD4"/>
    <w:multiLevelType w:val="hybridMultilevel"/>
    <w:tmpl w:val="403A8712"/>
    <w:lvl w:ilvl="0" w:tplc="4D484C44">
      <w:start w:val="1"/>
      <w:numFmt w:val="bullet"/>
      <w:lvlText w:val=""/>
      <w:lvlJc w:val="left"/>
      <w:pPr>
        <w:ind w:left="1440" w:hanging="360"/>
      </w:pPr>
      <w:rPr>
        <w:rFonts w:ascii="Symbol" w:hAnsi="Symbol" w:hint="default"/>
      </w:rPr>
    </w:lvl>
    <w:lvl w:ilvl="1" w:tplc="35E4BFB8" w:tentative="1">
      <w:start w:val="1"/>
      <w:numFmt w:val="bullet"/>
      <w:lvlText w:val="o"/>
      <w:lvlJc w:val="left"/>
      <w:pPr>
        <w:ind w:left="2160" w:hanging="360"/>
      </w:pPr>
      <w:rPr>
        <w:rFonts w:ascii="Courier New" w:hAnsi="Courier New" w:cs="Courier New" w:hint="default"/>
      </w:rPr>
    </w:lvl>
    <w:lvl w:ilvl="2" w:tplc="980EEDA6" w:tentative="1">
      <w:start w:val="1"/>
      <w:numFmt w:val="bullet"/>
      <w:lvlText w:val=""/>
      <w:lvlJc w:val="left"/>
      <w:pPr>
        <w:ind w:left="2880" w:hanging="360"/>
      </w:pPr>
      <w:rPr>
        <w:rFonts w:ascii="Wingdings" w:hAnsi="Wingdings" w:hint="default"/>
      </w:rPr>
    </w:lvl>
    <w:lvl w:ilvl="3" w:tplc="A14E9CBE" w:tentative="1">
      <w:start w:val="1"/>
      <w:numFmt w:val="bullet"/>
      <w:lvlText w:val=""/>
      <w:lvlJc w:val="left"/>
      <w:pPr>
        <w:ind w:left="3600" w:hanging="360"/>
      </w:pPr>
      <w:rPr>
        <w:rFonts w:ascii="Symbol" w:hAnsi="Symbol" w:hint="default"/>
      </w:rPr>
    </w:lvl>
    <w:lvl w:ilvl="4" w:tplc="BDF4B9B0" w:tentative="1">
      <w:start w:val="1"/>
      <w:numFmt w:val="bullet"/>
      <w:lvlText w:val="o"/>
      <w:lvlJc w:val="left"/>
      <w:pPr>
        <w:ind w:left="4320" w:hanging="360"/>
      </w:pPr>
      <w:rPr>
        <w:rFonts w:ascii="Courier New" w:hAnsi="Courier New" w:cs="Courier New" w:hint="default"/>
      </w:rPr>
    </w:lvl>
    <w:lvl w:ilvl="5" w:tplc="3CDAFA88" w:tentative="1">
      <w:start w:val="1"/>
      <w:numFmt w:val="bullet"/>
      <w:lvlText w:val=""/>
      <w:lvlJc w:val="left"/>
      <w:pPr>
        <w:ind w:left="5040" w:hanging="360"/>
      </w:pPr>
      <w:rPr>
        <w:rFonts w:ascii="Wingdings" w:hAnsi="Wingdings" w:hint="default"/>
      </w:rPr>
    </w:lvl>
    <w:lvl w:ilvl="6" w:tplc="EBF6F7D4" w:tentative="1">
      <w:start w:val="1"/>
      <w:numFmt w:val="bullet"/>
      <w:lvlText w:val=""/>
      <w:lvlJc w:val="left"/>
      <w:pPr>
        <w:ind w:left="5760" w:hanging="360"/>
      </w:pPr>
      <w:rPr>
        <w:rFonts w:ascii="Symbol" w:hAnsi="Symbol" w:hint="default"/>
      </w:rPr>
    </w:lvl>
    <w:lvl w:ilvl="7" w:tplc="41968606" w:tentative="1">
      <w:start w:val="1"/>
      <w:numFmt w:val="bullet"/>
      <w:lvlText w:val="o"/>
      <w:lvlJc w:val="left"/>
      <w:pPr>
        <w:ind w:left="6480" w:hanging="360"/>
      </w:pPr>
      <w:rPr>
        <w:rFonts w:ascii="Courier New" w:hAnsi="Courier New" w:cs="Courier New" w:hint="default"/>
      </w:rPr>
    </w:lvl>
    <w:lvl w:ilvl="8" w:tplc="33CA1F44" w:tentative="1">
      <w:start w:val="1"/>
      <w:numFmt w:val="bullet"/>
      <w:lvlText w:val=""/>
      <w:lvlJc w:val="left"/>
      <w:pPr>
        <w:ind w:left="7200" w:hanging="360"/>
      </w:pPr>
      <w:rPr>
        <w:rFonts w:ascii="Wingdings" w:hAnsi="Wingdings" w:hint="default"/>
      </w:rPr>
    </w:lvl>
  </w:abstractNum>
  <w:abstractNum w:abstractNumId="11"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AA4759C"/>
    <w:multiLevelType w:val="hybridMultilevel"/>
    <w:tmpl w:val="2F0A11F0"/>
    <w:lvl w:ilvl="0" w:tplc="0EDC6C6A">
      <w:start w:val="1"/>
      <w:numFmt w:val="decimal"/>
      <w:lvlText w:val="%1)"/>
      <w:lvlJc w:val="left"/>
      <w:pPr>
        <w:ind w:left="720" w:hanging="360"/>
      </w:pPr>
      <w:rPr>
        <w:rFonts w:hint="default"/>
      </w:rPr>
    </w:lvl>
    <w:lvl w:ilvl="1" w:tplc="7FCE8DE2" w:tentative="1">
      <w:start w:val="1"/>
      <w:numFmt w:val="lowerLetter"/>
      <w:lvlText w:val="%2."/>
      <w:lvlJc w:val="left"/>
      <w:pPr>
        <w:ind w:left="1440" w:hanging="360"/>
      </w:pPr>
    </w:lvl>
    <w:lvl w:ilvl="2" w:tplc="7F2A12CA" w:tentative="1">
      <w:start w:val="1"/>
      <w:numFmt w:val="lowerRoman"/>
      <w:lvlText w:val="%3."/>
      <w:lvlJc w:val="right"/>
      <w:pPr>
        <w:ind w:left="2160" w:hanging="180"/>
      </w:pPr>
    </w:lvl>
    <w:lvl w:ilvl="3" w:tplc="101EC2BC" w:tentative="1">
      <w:start w:val="1"/>
      <w:numFmt w:val="decimal"/>
      <w:lvlText w:val="%4."/>
      <w:lvlJc w:val="left"/>
      <w:pPr>
        <w:ind w:left="2880" w:hanging="360"/>
      </w:pPr>
    </w:lvl>
    <w:lvl w:ilvl="4" w:tplc="5A8C3634" w:tentative="1">
      <w:start w:val="1"/>
      <w:numFmt w:val="lowerLetter"/>
      <w:lvlText w:val="%5."/>
      <w:lvlJc w:val="left"/>
      <w:pPr>
        <w:ind w:left="3600" w:hanging="360"/>
      </w:pPr>
    </w:lvl>
    <w:lvl w:ilvl="5" w:tplc="B95EEDC0" w:tentative="1">
      <w:start w:val="1"/>
      <w:numFmt w:val="lowerRoman"/>
      <w:lvlText w:val="%6."/>
      <w:lvlJc w:val="right"/>
      <w:pPr>
        <w:ind w:left="4320" w:hanging="180"/>
      </w:pPr>
    </w:lvl>
    <w:lvl w:ilvl="6" w:tplc="71D2E38C" w:tentative="1">
      <w:start w:val="1"/>
      <w:numFmt w:val="decimal"/>
      <w:lvlText w:val="%7."/>
      <w:lvlJc w:val="left"/>
      <w:pPr>
        <w:ind w:left="5040" w:hanging="360"/>
      </w:pPr>
    </w:lvl>
    <w:lvl w:ilvl="7" w:tplc="FD88E5EA" w:tentative="1">
      <w:start w:val="1"/>
      <w:numFmt w:val="lowerLetter"/>
      <w:lvlText w:val="%8."/>
      <w:lvlJc w:val="left"/>
      <w:pPr>
        <w:ind w:left="5760" w:hanging="360"/>
      </w:pPr>
    </w:lvl>
    <w:lvl w:ilvl="8" w:tplc="E1F65B88" w:tentative="1">
      <w:start w:val="1"/>
      <w:numFmt w:val="lowerRoman"/>
      <w:lvlText w:val="%9."/>
      <w:lvlJc w:val="right"/>
      <w:pPr>
        <w:ind w:left="6480" w:hanging="180"/>
      </w:pPr>
    </w:lvl>
  </w:abstractNum>
  <w:num w:numId="1" w16cid:durableId="1762407851">
    <w:abstractNumId w:val="13"/>
  </w:num>
  <w:num w:numId="2" w16cid:durableId="1462459819">
    <w:abstractNumId w:val="13"/>
  </w:num>
  <w:num w:numId="3" w16cid:durableId="269701316">
    <w:abstractNumId w:val="13"/>
  </w:num>
  <w:num w:numId="4" w16cid:durableId="810252472">
    <w:abstractNumId w:val="8"/>
  </w:num>
  <w:num w:numId="5" w16cid:durableId="235406617">
    <w:abstractNumId w:val="3"/>
  </w:num>
  <w:num w:numId="6" w16cid:durableId="724254903">
    <w:abstractNumId w:val="2"/>
  </w:num>
  <w:num w:numId="7" w16cid:durableId="187641159">
    <w:abstractNumId w:val="1"/>
  </w:num>
  <w:num w:numId="8" w16cid:durableId="220530670">
    <w:abstractNumId w:val="0"/>
  </w:num>
  <w:num w:numId="9" w16cid:durableId="952983819">
    <w:abstractNumId w:val="9"/>
  </w:num>
  <w:num w:numId="10" w16cid:durableId="466510000">
    <w:abstractNumId w:val="7"/>
  </w:num>
  <w:num w:numId="11" w16cid:durableId="2121990826">
    <w:abstractNumId w:val="6"/>
  </w:num>
  <w:num w:numId="12" w16cid:durableId="325668798">
    <w:abstractNumId w:val="5"/>
  </w:num>
  <w:num w:numId="13" w16cid:durableId="936329292">
    <w:abstractNumId w:val="4"/>
  </w:num>
  <w:num w:numId="14" w16cid:durableId="1726249705">
    <w:abstractNumId w:val="13"/>
  </w:num>
  <w:num w:numId="15" w16cid:durableId="496113094">
    <w:abstractNumId w:val="13"/>
  </w:num>
  <w:num w:numId="16" w16cid:durableId="535630259">
    <w:abstractNumId w:val="13"/>
  </w:num>
  <w:num w:numId="17" w16cid:durableId="134949851">
    <w:abstractNumId w:val="12"/>
  </w:num>
  <w:num w:numId="18" w16cid:durableId="1762873610">
    <w:abstractNumId w:val="11"/>
  </w:num>
  <w:num w:numId="19" w16cid:durableId="1549679397">
    <w:abstractNumId w:val="10"/>
  </w:num>
  <w:num w:numId="20" w16cid:durableId="1688366787">
    <w:abstractNumId w:val="14"/>
  </w:num>
  <w:num w:numId="21" w16cid:durableId="13848695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07CDC9-C223-403E-BA27-CC55C1EA48F3}"/>
    <w:docVar w:name="dgnword-eventsink" w:val="631978912"/>
    <w:docVar w:name="inNBChoix" w:val="3"/>
    <w:docVar w:name="MotifJuge1" w:val="MOTIFS DU JUGE"/>
    <w:docVar w:name="MotifJuge2" w:val="MOTIFS DE LA JUGE"/>
    <w:docVar w:name="MotifJuge3" w:val="MOTIFS DE LA JUGE"/>
    <w:docVar w:name="NomFamJuge1" w:val="MORISSETTE"/>
    <w:docVar w:name="NomFamJuge2" w:val="DUTIL"/>
    <w:docVar w:name="NomFamJuge3" w:val="HOGUE"/>
    <w:docVar w:name="NomFamJuge4" w:val="MAILHOT"/>
    <w:docVar w:name="NomFamJuge5" w:val="BAUDOUIN"/>
    <w:docVar w:name="QteJuge1" w:val=", J.C.A."/>
    <w:docVar w:name="QteJuge2" w:val=", J.C.A."/>
    <w:docVar w:name="QteJuge3" w:val=", J.C.A."/>
    <w:docVar w:name="stPremiereFois" w:val="Non"/>
  </w:docVars>
  <w:rsids>
    <w:rsidRoot w:val="00720AD1"/>
    <w:rsid w:val="00015785"/>
    <w:rsid w:val="00045C83"/>
    <w:rsid w:val="00077731"/>
    <w:rsid w:val="00093154"/>
    <w:rsid w:val="00097024"/>
    <w:rsid w:val="000A226D"/>
    <w:rsid w:val="000C1F73"/>
    <w:rsid w:val="000E4A2B"/>
    <w:rsid w:val="000E54E1"/>
    <w:rsid w:val="000F332E"/>
    <w:rsid w:val="001001AE"/>
    <w:rsid w:val="001021AF"/>
    <w:rsid w:val="00123EB4"/>
    <w:rsid w:val="00134429"/>
    <w:rsid w:val="00150B25"/>
    <w:rsid w:val="00152D35"/>
    <w:rsid w:val="00154718"/>
    <w:rsid w:val="001560E6"/>
    <w:rsid w:val="00181D07"/>
    <w:rsid w:val="00186448"/>
    <w:rsid w:val="00186807"/>
    <w:rsid w:val="00196F71"/>
    <w:rsid w:val="001B35DC"/>
    <w:rsid w:val="001B6B3B"/>
    <w:rsid w:val="001B6E97"/>
    <w:rsid w:val="001B7266"/>
    <w:rsid w:val="001C3BF7"/>
    <w:rsid w:val="001E0F5E"/>
    <w:rsid w:val="001E2CE7"/>
    <w:rsid w:val="001F05D3"/>
    <w:rsid w:val="0020457E"/>
    <w:rsid w:val="00215EB5"/>
    <w:rsid w:val="00217982"/>
    <w:rsid w:val="00233F58"/>
    <w:rsid w:val="002643CC"/>
    <w:rsid w:val="002A7308"/>
    <w:rsid w:val="002B0E1B"/>
    <w:rsid w:val="002B11DD"/>
    <w:rsid w:val="002C3946"/>
    <w:rsid w:val="002D2FBE"/>
    <w:rsid w:val="002D4F61"/>
    <w:rsid w:val="002E5E0A"/>
    <w:rsid w:val="002F69C1"/>
    <w:rsid w:val="0030717C"/>
    <w:rsid w:val="003130C9"/>
    <w:rsid w:val="00316D51"/>
    <w:rsid w:val="00343967"/>
    <w:rsid w:val="003516DE"/>
    <w:rsid w:val="00355DBF"/>
    <w:rsid w:val="00361DBF"/>
    <w:rsid w:val="003639BA"/>
    <w:rsid w:val="00365801"/>
    <w:rsid w:val="00372474"/>
    <w:rsid w:val="003742DC"/>
    <w:rsid w:val="00377BC7"/>
    <w:rsid w:val="00386CAC"/>
    <w:rsid w:val="003C43CB"/>
    <w:rsid w:val="003E1B2D"/>
    <w:rsid w:val="0040769A"/>
    <w:rsid w:val="00425061"/>
    <w:rsid w:val="0042713F"/>
    <w:rsid w:val="0043170F"/>
    <w:rsid w:val="004324B0"/>
    <w:rsid w:val="00440FC1"/>
    <w:rsid w:val="0045279D"/>
    <w:rsid w:val="00460B4F"/>
    <w:rsid w:val="0046219B"/>
    <w:rsid w:val="00486D04"/>
    <w:rsid w:val="00495133"/>
    <w:rsid w:val="004A60F6"/>
    <w:rsid w:val="004C4B5B"/>
    <w:rsid w:val="004C7889"/>
    <w:rsid w:val="004E2939"/>
    <w:rsid w:val="004E3BD4"/>
    <w:rsid w:val="004E3E7B"/>
    <w:rsid w:val="004E4F9A"/>
    <w:rsid w:val="004F26A6"/>
    <w:rsid w:val="004F41B5"/>
    <w:rsid w:val="004F7A04"/>
    <w:rsid w:val="00507A50"/>
    <w:rsid w:val="0051703D"/>
    <w:rsid w:val="00523A7A"/>
    <w:rsid w:val="00555231"/>
    <w:rsid w:val="0055795E"/>
    <w:rsid w:val="005743BA"/>
    <w:rsid w:val="00577212"/>
    <w:rsid w:val="005807B2"/>
    <w:rsid w:val="005819F1"/>
    <w:rsid w:val="00583A14"/>
    <w:rsid w:val="00590436"/>
    <w:rsid w:val="005A2118"/>
    <w:rsid w:val="005A76C4"/>
    <w:rsid w:val="005B202B"/>
    <w:rsid w:val="005D5EC7"/>
    <w:rsid w:val="005F41BA"/>
    <w:rsid w:val="006054B1"/>
    <w:rsid w:val="00616AAD"/>
    <w:rsid w:val="0063246C"/>
    <w:rsid w:val="00633C68"/>
    <w:rsid w:val="00643714"/>
    <w:rsid w:val="00645EF6"/>
    <w:rsid w:val="006521E1"/>
    <w:rsid w:val="0068323E"/>
    <w:rsid w:val="006971B6"/>
    <w:rsid w:val="006A76FF"/>
    <w:rsid w:val="006B4AB0"/>
    <w:rsid w:val="006C494A"/>
    <w:rsid w:val="006E4B96"/>
    <w:rsid w:val="006F1AC1"/>
    <w:rsid w:val="00705A19"/>
    <w:rsid w:val="00720686"/>
    <w:rsid w:val="00720AD1"/>
    <w:rsid w:val="0073286C"/>
    <w:rsid w:val="00793BD2"/>
    <w:rsid w:val="007A0AD1"/>
    <w:rsid w:val="007A2814"/>
    <w:rsid w:val="007A2AE3"/>
    <w:rsid w:val="007A7478"/>
    <w:rsid w:val="007B4E09"/>
    <w:rsid w:val="007D0216"/>
    <w:rsid w:val="007F185C"/>
    <w:rsid w:val="007F5D57"/>
    <w:rsid w:val="00801B0A"/>
    <w:rsid w:val="0081361F"/>
    <w:rsid w:val="008142A2"/>
    <w:rsid w:val="0084210B"/>
    <w:rsid w:val="008467DE"/>
    <w:rsid w:val="008512ED"/>
    <w:rsid w:val="00851B4A"/>
    <w:rsid w:val="00854E2B"/>
    <w:rsid w:val="008675A9"/>
    <w:rsid w:val="008711A5"/>
    <w:rsid w:val="0089477E"/>
    <w:rsid w:val="0089505C"/>
    <w:rsid w:val="008952A2"/>
    <w:rsid w:val="008A43DB"/>
    <w:rsid w:val="008F0534"/>
    <w:rsid w:val="008F0F7D"/>
    <w:rsid w:val="00906950"/>
    <w:rsid w:val="009259FF"/>
    <w:rsid w:val="00930659"/>
    <w:rsid w:val="00956FDF"/>
    <w:rsid w:val="00986CB6"/>
    <w:rsid w:val="009874D8"/>
    <w:rsid w:val="00996123"/>
    <w:rsid w:val="009B11BE"/>
    <w:rsid w:val="009B679C"/>
    <w:rsid w:val="009D355F"/>
    <w:rsid w:val="009D4F7D"/>
    <w:rsid w:val="009E1B62"/>
    <w:rsid w:val="009E40E3"/>
    <w:rsid w:val="009E5B24"/>
    <w:rsid w:val="009E7E5F"/>
    <w:rsid w:val="00A201DB"/>
    <w:rsid w:val="00A2668E"/>
    <w:rsid w:val="00A46B15"/>
    <w:rsid w:val="00A62F13"/>
    <w:rsid w:val="00A675C6"/>
    <w:rsid w:val="00A8270C"/>
    <w:rsid w:val="00AA17C7"/>
    <w:rsid w:val="00AA1C44"/>
    <w:rsid w:val="00AA3D2B"/>
    <w:rsid w:val="00AB1157"/>
    <w:rsid w:val="00AB5ACC"/>
    <w:rsid w:val="00AC2DF4"/>
    <w:rsid w:val="00B0393C"/>
    <w:rsid w:val="00B04104"/>
    <w:rsid w:val="00B16B5E"/>
    <w:rsid w:val="00B355FD"/>
    <w:rsid w:val="00B36BB7"/>
    <w:rsid w:val="00B37D7B"/>
    <w:rsid w:val="00B404AE"/>
    <w:rsid w:val="00B42199"/>
    <w:rsid w:val="00B5347C"/>
    <w:rsid w:val="00B713A3"/>
    <w:rsid w:val="00B96337"/>
    <w:rsid w:val="00B96F97"/>
    <w:rsid w:val="00BB0E63"/>
    <w:rsid w:val="00BB51B4"/>
    <w:rsid w:val="00BB6837"/>
    <w:rsid w:val="00BC3FFB"/>
    <w:rsid w:val="00BD41E7"/>
    <w:rsid w:val="00BD6B5E"/>
    <w:rsid w:val="00BD6E6E"/>
    <w:rsid w:val="00BE564E"/>
    <w:rsid w:val="00BE5F00"/>
    <w:rsid w:val="00BE7A98"/>
    <w:rsid w:val="00BF1FCA"/>
    <w:rsid w:val="00C01033"/>
    <w:rsid w:val="00C40698"/>
    <w:rsid w:val="00C77206"/>
    <w:rsid w:val="00C85B5D"/>
    <w:rsid w:val="00C905C8"/>
    <w:rsid w:val="00CE466D"/>
    <w:rsid w:val="00CE7158"/>
    <w:rsid w:val="00CF4C10"/>
    <w:rsid w:val="00D03C84"/>
    <w:rsid w:val="00D129C0"/>
    <w:rsid w:val="00D16C95"/>
    <w:rsid w:val="00D26BEE"/>
    <w:rsid w:val="00D33D61"/>
    <w:rsid w:val="00D3429F"/>
    <w:rsid w:val="00D51831"/>
    <w:rsid w:val="00D555F3"/>
    <w:rsid w:val="00D55657"/>
    <w:rsid w:val="00D64AD3"/>
    <w:rsid w:val="00D659FE"/>
    <w:rsid w:val="00D70342"/>
    <w:rsid w:val="00D8227E"/>
    <w:rsid w:val="00D86479"/>
    <w:rsid w:val="00D86A77"/>
    <w:rsid w:val="00D9390D"/>
    <w:rsid w:val="00D950BF"/>
    <w:rsid w:val="00DA2792"/>
    <w:rsid w:val="00DB5F25"/>
    <w:rsid w:val="00E04F87"/>
    <w:rsid w:val="00E17D5E"/>
    <w:rsid w:val="00E3486B"/>
    <w:rsid w:val="00E56225"/>
    <w:rsid w:val="00E62E03"/>
    <w:rsid w:val="00E64474"/>
    <w:rsid w:val="00E716AE"/>
    <w:rsid w:val="00E77572"/>
    <w:rsid w:val="00E86651"/>
    <w:rsid w:val="00E92A1A"/>
    <w:rsid w:val="00EB4C5B"/>
    <w:rsid w:val="00EB60E0"/>
    <w:rsid w:val="00EC2B7C"/>
    <w:rsid w:val="00EC2D65"/>
    <w:rsid w:val="00EC75BA"/>
    <w:rsid w:val="00EE533B"/>
    <w:rsid w:val="00EE78BE"/>
    <w:rsid w:val="00EF59B0"/>
    <w:rsid w:val="00F37174"/>
    <w:rsid w:val="00F62ED8"/>
    <w:rsid w:val="00F700C1"/>
    <w:rsid w:val="00F7043D"/>
    <w:rsid w:val="00F7406F"/>
    <w:rsid w:val="00F7464E"/>
    <w:rsid w:val="00F95E0B"/>
    <w:rsid w:val="00FA05F2"/>
    <w:rsid w:val="00FA111C"/>
    <w:rsid w:val="00FB3560"/>
    <w:rsid w:val="00FB5180"/>
    <w:rsid w:val="00FB6320"/>
    <w:rsid w:val="00FC127F"/>
    <w:rsid w:val="00FC6837"/>
    <w:rsid w:val="00FC7393"/>
    <w:rsid w:val="00FE37BF"/>
    <w:rsid w:val="00FF01C7"/>
    <w:rsid w:val="00FF25C8"/>
    <w:rsid w:val="00FF55F9"/>
    <w:rsid w:val="00FF74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8AB0"/>
  <w15:chartTrackingRefBased/>
  <w15:docId w15:val="{1092EFBC-7995-4221-92AE-99258A17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uiPriority w:val="99"/>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semiHidden/>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link w:val="Notedebasdepage"/>
    <w:uiPriority w:val="99"/>
    <w:rsid w:val="001516A0"/>
    <w:rPr>
      <w:rFonts w:ascii="Arial" w:hAnsi="Arial"/>
      <w:lang w:eastAsia="fr-FR"/>
    </w:rPr>
  </w:style>
  <w:style w:type="character" w:customStyle="1" w:styleId="ParagrapheCar">
    <w:name w:val="Paragraphe Car"/>
    <w:link w:val="Paragraphe"/>
    <w:qFormat/>
    <w:rsid w:val="001516A0"/>
    <w:rPr>
      <w:rFonts w:ascii="Arial" w:hAnsi="Arial"/>
      <w:kern w:val="28"/>
      <w:sz w:val="24"/>
      <w:lang w:eastAsia="fr-FR"/>
    </w:rPr>
  </w:style>
  <w:style w:type="paragraph" w:styleId="Paragraphedeliste">
    <w:name w:val="List Paragraph"/>
    <w:basedOn w:val="Normal"/>
    <w:uiPriority w:val="34"/>
    <w:qFormat/>
    <w:rsid w:val="001516A0"/>
    <w:pPr>
      <w:ind w:left="720"/>
      <w:contextualSpacing/>
    </w:pPr>
  </w:style>
  <w:style w:type="paragraph" w:styleId="Rvision">
    <w:name w:val="Revision"/>
    <w:hidden/>
    <w:uiPriority w:val="99"/>
    <w:semiHidden/>
    <w:rsid w:val="001516A0"/>
    <w:rPr>
      <w:rFonts w:ascii="Arial" w:hAnsi="Arial"/>
      <w:sz w:val="24"/>
      <w:lang w:eastAsia="fr-FR"/>
    </w:rPr>
  </w:style>
  <w:style w:type="character" w:styleId="Marquedecommentaire">
    <w:name w:val="annotation reference"/>
    <w:basedOn w:val="Policepardfaut"/>
    <w:uiPriority w:val="99"/>
    <w:semiHidden/>
    <w:unhideWhenUsed/>
    <w:rsid w:val="001516A0"/>
    <w:rPr>
      <w:sz w:val="16"/>
      <w:szCs w:val="16"/>
    </w:rPr>
  </w:style>
  <w:style w:type="paragraph" w:styleId="Commentaire">
    <w:name w:val="annotation text"/>
    <w:basedOn w:val="Normal"/>
    <w:link w:val="CommentaireCar"/>
    <w:uiPriority w:val="99"/>
    <w:unhideWhenUsed/>
    <w:rsid w:val="001516A0"/>
    <w:pPr>
      <w:spacing w:line="240" w:lineRule="auto"/>
    </w:pPr>
    <w:rPr>
      <w:sz w:val="20"/>
    </w:rPr>
  </w:style>
  <w:style w:type="character" w:customStyle="1" w:styleId="CommentaireCar">
    <w:name w:val="Commentaire Car"/>
    <w:basedOn w:val="Policepardfaut"/>
    <w:link w:val="Commentaire"/>
    <w:uiPriority w:val="99"/>
    <w:rsid w:val="001516A0"/>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1516A0"/>
    <w:rPr>
      <w:b/>
      <w:bCs/>
    </w:rPr>
  </w:style>
  <w:style w:type="character" w:customStyle="1" w:styleId="ObjetducommentaireCar">
    <w:name w:val="Objet du commentaire Car"/>
    <w:basedOn w:val="CommentaireCar"/>
    <w:link w:val="Objetducommentaire"/>
    <w:uiPriority w:val="99"/>
    <w:semiHidden/>
    <w:rsid w:val="001516A0"/>
    <w:rPr>
      <w:rFonts w:ascii="Arial" w:hAnsi="Arial"/>
      <w:b/>
      <w:bCs/>
      <w:lang w:eastAsia="fr-FR"/>
    </w:rPr>
  </w:style>
  <w:style w:type="character" w:styleId="Hyperlien">
    <w:name w:val="Hyperlink"/>
    <w:basedOn w:val="Policepardfaut"/>
    <w:uiPriority w:val="99"/>
    <w:unhideWhenUsed/>
    <w:rsid w:val="001516A0"/>
    <w:rPr>
      <w:color w:val="0563C1" w:themeColor="hyperlink"/>
      <w:u w:val="single"/>
    </w:rPr>
  </w:style>
  <w:style w:type="character" w:styleId="Mentionnonrsolue">
    <w:name w:val="Unresolved Mention"/>
    <w:basedOn w:val="Policepardfaut"/>
    <w:uiPriority w:val="99"/>
    <w:rsid w:val="00EB4C5B"/>
    <w:rPr>
      <w:color w:val="605E5C"/>
      <w:shd w:val="clear" w:color="auto" w:fill="E1DFDD"/>
    </w:rPr>
  </w:style>
  <w:style w:type="character" w:customStyle="1" w:styleId="subsection">
    <w:name w:val="subsection"/>
    <w:basedOn w:val="Policepardfaut"/>
    <w:rsid w:val="001001AE"/>
  </w:style>
  <w:style w:type="character" w:customStyle="1" w:styleId="label-z">
    <w:name w:val="label-z"/>
    <w:basedOn w:val="Policepardfaut"/>
    <w:rsid w:val="001001AE"/>
  </w:style>
  <w:style w:type="character" w:customStyle="1" w:styleId="Normal1">
    <w:name w:val="Normal1"/>
    <w:basedOn w:val="Policepardfaut"/>
    <w:rsid w:val="001001AE"/>
  </w:style>
  <w:style w:type="character" w:customStyle="1" w:styleId="widthfixforlabel">
    <w:name w:val="widthfixforlabel"/>
    <w:basedOn w:val="Policepardfaut"/>
    <w:rsid w:val="001001AE"/>
  </w:style>
  <w:style w:type="character" w:customStyle="1" w:styleId="paragraph">
    <w:name w:val="paragraph"/>
    <w:basedOn w:val="Policepardfaut"/>
    <w:rsid w:val="001001AE"/>
  </w:style>
  <w:style w:type="character" w:customStyle="1" w:styleId="Normal2">
    <w:name w:val="Normal2"/>
    <w:basedOn w:val="Policepardfaut"/>
    <w:rsid w:val="001B6E97"/>
  </w:style>
  <w:style w:type="character" w:styleId="Lienvisit">
    <w:name w:val="FollowedHyperlink"/>
    <w:basedOn w:val="Policepardfaut"/>
    <w:uiPriority w:val="99"/>
    <w:semiHidden/>
    <w:unhideWhenUsed/>
    <w:rsid w:val="00813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91657">
      <w:bodyDiv w:val="1"/>
      <w:marLeft w:val="0"/>
      <w:marRight w:val="0"/>
      <w:marTop w:val="0"/>
      <w:marBottom w:val="0"/>
      <w:divBdr>
        <w:top w:val="none" w:sz="0" w:space="0" w:color="auto"/>
        <w:left w:val="none" w:sz="0" w:space="0" w:color="auto"/>
        <w:bottom w:val="none" w:sz="0" w:space="0" w:color="auto"/>
        <w:right w:val="none" w:sz="0" w:space="0" w:color="auto"/>
      </w:divBdr>
    </w:div>
    <w:div w:id="1614291053">
      <w:bodyDiv w:val="1"/>
      <w:marLeft w:val="0"/>
      <w:marRight w:val="0"/>
      <w:marTop w:val="0"/>
      <w:marBottom w:val="0"/>
      <w:divBdr>
        <w:top w:val="none" w:sz="0" w:space="0" w:color="auto"/>
        <w:left w:val="none" w:sz="0" w:space="0" w:color="auto"/>
        <w:bottom w:val="none" w:sz="0" w:space="0" w:color="auto"/>
        <w:right w:val="none" w:sz="0" w:space="0" w:color="auto"/>
      </w:divBdr>
      <w:divsChild>
        <w:div w:id="798915538">
          <w:marLeft w:val="0"/>
          <w:marRight w:val="0"/>
          <w:marTop w:val="219"/>
          <w:marBottom w:val="0"/>
          <w:divBdr>
            <w:top w:val="none" w:sz="0" w:space="0" w:color="auto"/>
            <w:left w:val="none" w:sz="0" w:space="0" w:color="auto"/>
            <w:bottom w:val="none" w:sz="0" w:space="0" w:color="auto"/>
            <w:right w:val="none" w:sz="0" w:space="0" w:color="auto"/>
          </w:divBdr>
        </w:div>
      </w:divsChild>
    </w:div>
    <w:div w:id="1657949938">
      <w:bodyDiv w:val="1"/>
      <w:marLeft w:val="0"/>
      <w:marRight w:val="0"/>
      <w:marTop w:val="0"/>
      <w:marBottom w:val="0"/>
      <w:divBdr>
        <w:top w:val="none" w:sz="0" w:space="0" w:color="auto"/>
        <w:left w:val="none" w:sz="0" w:space="0" w:color="auto"/>
        <w:bottom w:val="none" w:sz="0" w:space="0" w:color="auto"/>
        <w:right w:val="none" w:sz="0" w:space="0" w:color="auto"/>
      </w:divBdr>
      <w:divsChild>
        <w:div w:id="1063673405">
          <w:marLeft w:val="0"/>
          <w:marRight w:val="0"/>
          <w:marTop w:val="21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6821-F832-486A-B5AA-4F1CC5DD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7162</Words>
  <Characters>39391</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46461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Paule Gagné</dc:creator>
  <cp:lastModifiedBy>trad-rev</cp:lastModifiedBy>
  <cp:revision>37</cp:revision>
  <cp:lastPrinted>2022-01-20T19:48:00Z</cp:lastPrinted>
  <dcterms:created xsi:type="dcterms:W3CDTF">2023-05-08T14:23:00Z</dcterms:created>
  <dcterms:modified xsi:type="dcterms:W3CDTF">2023-05-08T17:42:00Z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