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35960" w14:textId="77777777" w:rsidR="00787D2B" w:rsidRPr="00E248AE" w:rsidRDefault="00787D2B" w:rsidP="006F140A">
      <w:pPr>
        <w:pStyle w:val="Notedebasdepage"/>
        <w:rPr>
          <w:lang w:val="en-CA"/>
        </w:rPr>
      </w:pPr>
      <w:r w:rsidRPr="00E248AE">
        <w:rPr>
          <w:lang w:val="en-CA"/>
        </w:rPr>
        <w:t>Unofficial English Translation of the Judgment of the Court</w:t>
      </w:r>
    </w:p>
    <w:p w14:paraId="5F58B860" w14:textId="77777777" w:rsidR="00787D2B" w:rsidRPr="00E248AE" w:rsidRDefault="00787D2B">
      <w:pPr>
        <w:rPr>
          <w:lang w:val="en-CA"/>
        </w:rPr>
      </w:pPr>
    </w:p>
    <w:tbl>
      <w:tblPr>
        <w:tblStyle w:val="Grilledutableau"/>
        <w:tblW w:w="0" w:type="auto"/>
        <w:tblLayout w:type="fixed"/>
        <w:tblLook w:val="04A0" w:firstRow="1" w:lastRow="0" w:firstColumn="1" w:lastColumn="0" w:noHBand="0" w:noVBand="1"/>
      </w:tblPr>
      <w:tblGrid>
        <w:gridCol w:w="630"/>
        <w:gridCol w:w="788"/>
        <w:gridCol w:w="5656"/>
        <w:gridCol w:w="2196"/>
      </w:tblGrid>
      <w:tr w:rsidR="00A8574C" w:rsidRPr="00E248AE" w14:paraId="237EF284" w14:textId="77777777" w:rsidTr="00A34B32">
        <w:tc>
          <w:tcPr>
            <w:tcW w:w="7074" w:type="dxa"/>
            <w:gridSpan w:val="3"/>
            <w:tcBorders>
              <w:top w:val="nil"/>
              <w:left w:val="nil"/>
              <w:bottom w:val="nil"/>
              <w:right w:val="nil"/>
            </w:tcBorders>
          </w:tcPr>
          <w:p w14:paraId="26AC1EB2" w14:textId="4B9E6758" w:rsidR="00DF7D37" w:rsidRPr="006F140A" w:rsidRDefault="00A1634B" w:rsidP="009C39A1">
            <w:pPr>
              <w:pStyle w:val="zSoquijdatRepertorie"/>
              <w:rPr>
                <w:highlight w:val="yellow"/>
              </w:rPr>
            </w:pPr>
            <w:r w:rsidRPr="006F140A">
              <w:t>Lamoureux c. Organisme canadien de réglementation du commerce des valeurs mobilières (OCRCVM)</w:t>
            </w:r>
            <w:r w:rsidRPr="006F140A">
              <w:rPr>
                <w:highlight w:val="yellow"/>
              </w:rPr>
              <w:t xml:space="preserve"> </w:t>
            </w:r>
          </w:p>
        </w:tc>
        <w:tc>
          <w:tcPr>
            <w:tcW w:w="2196" w:type="dxa"/>
            <w:tcBorders>
              <w:top w:val="nil"/>
              <w:left w:val="nil"/>
              <w:bottom w:val="nil"/>
              <w:right w:val="nil"/>
            </w:tcBorders>
          </w:tcPr>
          <w:p w14:paraId="342250B5" w14:textId="77777777" w:rsidR="00DF7D37" w:rsidRPr="00E248AE" w:rsidRDefault="00493995" w:rsidP="00493995">
            <w:pPr>
              <w:pStyle w:val="zSoquijdatRefNeutre"/>
              <w:jc w:val="right"/>
              <w:rPr>
                <w:lang w:val="en-CA"/>
              </w:rPr>
            </w:pPr>
            <w:r w:rsidRPr="00E248AE">
              <w:rPr>
                <w:lang w:val="en-CA"/>
              </w:rPr>
              <w:t>2022 QCCA 685</w:t>
            </w:r>
          </w:p>
        </w:tc>
      </w:tr>
      <w:tr w:rsidR="00A8574C" w:rsidRPr="00E248AE" w14:paraId="7258E6E4" w14:textId="77777777" w:rsidTr="00A34B32">
        <w:tc>
          <w:tcPr>
            <w:tcW w:w="9270" w:type="dxa"/>
            <w:gridSpan w:val="4"/>
            <w:tcBorders>
              <w:top w:val="nil"/>
              <w:left w:val="nil"/>
              <w:bottom w:val="nil"/>
              <w:right w:val="nil"/>
            </w:tcBorders>
          </w:tcPr>
          <w:p w14:paraId="582A85B9" w14:textId="77777777" w:rsidR="00DF7D37" w:rsidRPr="00E248AE" w:rsidRDefault="0099733B" w:rsidP="00C02B72">
            <w:pPr>
              <w:pStyle w:val="zSoquijlblCour"/>
              <w:rPr>
                <w:lang w:val="en-CA"/>
              </w:rPr>
            </w:pPr>
            <w:r w:rsidRPr="00E248AE">
              <w:rPr>
                <w:lang w:val="en-CA"/>
              </w:rPr>
              <w:t xml:space="preserve">COURT OF </w:t>
            </w:r>
            <w:r w:rsidR="00A1634B" w:rsidRPr="00E248AE">
              <w:rPr>
                <w:lang w:val="en-CA"/>
              </w:rPr>
              <w:t>APPE</w:t>
            </w:r>
            <w:r w:rsidRPr="00E248AE">
              <w:rPr>
                <w:lang w:val="en-CA"/>
              </w:rPr>
              <w:t>A</w:t>
            </w:r>
            <w:r w:rsidR="00A1634B" w:rsidRPr="00E248AE">
              <w:rPr>
                <w:lang w:val="en-CA"/>
              </w:rPr>
              <w:t>L</w:t>
            </w:r>
          </w:p>
        </w:tc>
      </w:tr>
      <w:tr w:rsidR="00A8574C" w:rsidRPr="00E248AE" w14:paraId="7D642E23" w14:textId="77777777" w:rsidTr="00A34B32">
        <w:tc>
          <w:tcPr>
            <w:tcW w:w="9270" w:type="dxa"/>
            <w:gridSpan w:val="4"/>
            <w:tcBorders>
              <w:top w:val="nil"/>
              <w:left w:val="nil"/>
              <w:bottom w:val="nil"/>
              <w:right w:val="nil"/>
            </w:tcBorders>
          </w:tcPr>
          <w:p w14:paraId="579EAD1E" w14:textId="77777777" w:rsidR="00DF7D37" w:rsidRPr="00E248AE" w:rsidRDefault="00A1634B" w:rsidP="00447A05">
            <w:pPr>
              <w:pStyle w:val="zSoquijlblPays"/>
              <w:rPr>
                <w:lang w:val="en-CA"/>
              </w:rPr>
            </w:pPr>
            <w:r w:rsidRPr="00E248AE">
              <w:rPr>
                <w:lang w:val="en-CA"/>
              </w:rPr>
              <w:t>CANADA</w:t>
            </w:r>
          </w:p>
        </w:tc>
      </w:tr>
      <w:tr w:rsidR="00A8574C" w:rsidRPr="00E248AE" w14:paraId="620748AA" w14:textId="77777777" w:rsidTr="00A34B32">
        <w:tc>
          <w:tcPr>
            <w:tcW w:w="9270" w:type="dxa"/>
            <w:gridSpan w:val="4"/>
            <w:tcBorders>
              <w:top w:val="nil"/>
              <w:left w:val="nil"/>
              <w:bottom w:val="nil"/>
              <w:right w:val="nil"/>
            </w:tcBorders>
          </w:tcPr>
          <w:p w14:paraId="074AF78B" w14:textId="77777777" w:rsidR="00DF7D37" w:rsidRPr="00E248AE" w:rsidRDefault="00A1634B" w:rsidP="00787D2B">
            <w:pPr>
              <w:pStyle w:val="zSoquijlblProvince"/>
              <w:rPr>
                <w:lang w:val="en-CA"/>
              </w:rPr>
            </w:pPr>
            <w:r w:rsidRPr="00E248AE">
              <w:rPr>
                <w:lang w:val="en-CA"/>
              </w:rPr>
              <w:t xml:space="preserve">PROVINCE </w:t>
            </w:r>
            <w:r w:rsidR="00787D2B" w:rsidRPr="00E248AE">
              <w:rPr>
                <w:lang w:val="en-CA"/>
              </w:rPr>
              <w:t>OF QUE</w:t>
            </w:r>
            <w:r w:rsidRPr="00E248AE">
              <w:rPr>
                <w:lang w:val="en-CA"/>
              </w:rPr>
              <w:t>BEC</w:t>
            </w:r>
          </w:p>
        </w:tc>
      </w:tr>
      <w:tr w:rsidR="00A8574C" w:rsidRPr="00E248AE" w14:paraId="4686E1E0" w14:textId="77777777" w:rsidTr="006E67B3">
        <w:tc>
          <w:tcPr>
            <w:tcW w:w="1418" w:type="dxa"/>
            <w:gridSpan w:val="2"/>
            <w:tcBorders>
              <w:top w:val="nil"/>
              <w:left w:val="nil"/>
              <w:bottom w:val="nil"/>
              <w:right w:val="nil"/>
            </w:tcBorders>
          </w:tcPr>
          <w:p w14:paraId="4C7B924D" w14:textId="77777777" w:rsidR="00803B9C" w:rsidRPr="00E248AE" w:rsidRDefault="00787D2B" w:rsidP="00803B9C">
            <w:pPr>
              <w:pStyle w:val="zSoquijlblGreffe"/>
              <w:rPr>
                <w:lang w:val="en-CA"/>
              </w:rPr>
            </w:pPr>
            <w:r w:rsidRPr="00E248AE">
              <w:rPr>
                <w:lang w:val="en-CA"/>
              </w:rPr>
              <w:t>REGISTRY</w:t>
            </w:r>
          </w:p>
        </w:tc>
        <w:tc>
          <w:tcPr>
            <w:tcW w:w="7852" w:type="dxa"/>
            <w:gridSpan w:val="2"/>
            <w:tcBorders>
              <w:top w:val="nil"/>
              <w:left w:val="nil"/>
              <w:bottom w:val="nil"/>
              <w:right w:val="nil"/>
            </w:tcBorders>
          </w:tcPr>
          <w:p w14:paraId="3BA86712" w14:textId="77777777" w:rsidR="00803B9C" w:rsidRPr="00E248AE" w:rsidRDefault="00787D2B" w:rsidP="00653B6E">
            <w:pPr>
              <w:pStyle w:val="zSoquijdatGreffe"/>
              <w:ind w:left="-396" w:firstLine="288"/>
              <w:rPr>
                <w:lang w:val="en-CA"/>
              </w:rPr>
            </w:pPr>
            <w:bookmarkStart w:id="0" w:name="District_2"/>
            <w:r w:rsidRPr="00E248AE">
              <w:rPr>
                <w:lang w:val="en-CA"/>
              </w:rPr>
              <w:t xml:space="preserve">OF </w:t>
            </w:r>
            <w:r w:rsidR="00653B6E" w:rsidRPr="00E248AE">
              <w:rPr>
                <w:lang w:val="en-CA"/>
              </w:rPr>
              <w:t>MONTRE</w:t>
            </w:r>
            <w:r w:rsidR="00A1634B" w:rsidRPr="00E248AE">
              <w:rPr>
                <w:lang w:val="en-CA"/>
              </w:rPr>
              <w:t>AL</w:t>
            </w:r>
            <w:bookmarkEnd w:id="0"/>
          </w:p>
        </w:tc>
      </w:tr>
      <w:tr w:rsidR="00A8574C" w:rsidRPr="00E248AE" w14:paraId="2FDDAE6A" w14:textId="77777777" w:rsidTr="00A34B32">
        <w:tc>
          <w:tcPr>
            <w:tcW w:w="9270" w:type="dxa"/>
            <w:gridSpan w:val="4"/>
            <w:tcBorders>
              <w:top w:val="nil"/>
              <w:left w:val="nil"/>
              <w:bottom w:val="nil"/>
              <w:right w:val="nil"/>
            </w:tcBorders>
          </w:tcPr>
          <w:p w14:paraId="3F941B07" w14:textId="77777777" w:rsidR="00F55CD4" w:rsidRPr="00E248AE" w:rsidRDefault="00F55CD4" w:rsidP="002C7179">
            <w:pPr>
              <w:ind w:left="-108"/>
              <w:rPr>
                <w:lang w:val="en-CA"/>
              </w:rPr>
            </w:pPr>
          </w:p>
        </w:tc>
      </w:tr>
      <w:tr w:rsidR="00A8574C" w:rsidRPr="00E248AE" w14:paraId="604333A8" w14:textId="77777777" w:rsidTr="00392DCA">
        <w:tc>
          <w:tcPr>
            <w:tcW w:w="630" w:type="dxa"/>
            <w:tcBorders>
              <w:top w:val="nil"/>
              <w:left w:val="nil"/>
              <w:bottom w:val="nil"/>
              <w:right w:val="nil"/>
            </w:tcBorders>
          </w:tcPr>
          <w:p w14:paraId="6678EE4C" w14:textId="77777777" w:rsidR="00803B9C" w:rsidRPr="00E248AE" w:rsidRDefault="008E5C40" w:rsidP="00392DCA">
            <w:pPr>
              <w:pStyle w:val="zSoquijlblNoDossier"/>
              <w:ind w:left="-108"/>
              <w:rPr>
                <w:lang w:val="en-CA"/>
              </w:rPr>
            </w:pPr>
            <w:r w:rsidRPr="00E248AE">
              <w:rPr>
                <w:lang w:val="en-CA"/>
              </w:rPr>
              <w:t>No</w:t>
            </w:r>
            <w:r w:rsidR="00A1634B" w:rsidRPr="00E248AE">
              <w:rPr>
                <w:lang w:val="en-CA"/>
              </w:rPr>
              <w:t xml:space="preserve">:  </w:t>
            </w:r>
          </w:p>
        </w:tc>
        <w:tc>
          <w:tcPr>
            <w:tcW w:w="8640" w:type="dxa"/>
            <w:gridSpan w:val="3"/>
            <w:tcBorders>
              <w:top w:val="nil"/>
              <w:left w:val="nil"/>
              <w:bottom w:val="nil"/>
              <w:right w:val="nil"/>
            </w:tcBorders>
          </w:tcPr>
          <w:p w14:paraId="485AD8FD" w14:textId="77777777" w:rsidR="00803B9C" w:rsidRPr="00E248AE" w:rsidRDefault="00A1634B" w:rsidP="00392DCA">
            <w:pPr>
              <w:pStyle w:val="zSoquijdatNoDossier"/>
              <w:rPr>
                <w:lang w:val="en-CA"/>
              </w:rPr>
            </w:pPr>
            <w:bookmarkStart w:id="1" w:name="NoDossier"/>
            <w:r w:rsidRPr="00E248AE">
              <w:rPr>
                <w:lang w:val="en-CA"/>
              </w:rPr>
              <w:t>500-09-029478-211</w:t>
            </w:r>
            <w:bookmarkEnd w:id="1"/>
          </w:p>
        </w:tc>
      </w:tr>
      <w:tr w:rsidR="00A8574C" w:rsidRPr="00E248AE" w14:paraId="5C468A6E" w14:textId="77777777" w:rsidTr="00A34B32">
        <w:tc>
          <w:tcPr>
            <w:tcW w:w="9270" w:type="dxa"/>
            <w:gridSpan w:val="4"/>
            <w:tcBorders>
              <w:top w:val="nil"/>
              <w:left w:val="nil"/>
              <w:bottom w:val="nil"/>
              <w:right w:val="nil"/>
            </w:tcBorders>
          </w:tcPr>
          <w:p w14:paraId="0D219464" w14:textId="77777777" w:rsidR="00EC57E1" w:rsidRPr="00E248AE" w:rsidRDefault="00A1634B" w:rsidP="00392DCA">
            <w:pPr>
              <w:pStyle w:val="zSoquijdatNoDossierAnt"/>
              <w:rPr>
                <w:lang w:val="en-CA"/>
              </w:rPr>
            </w:pPr>
            <w:r w:rsidRPr="00E248AE">
              <w:rPr>
                <w:lang w:val="en-CA"/>
              </w:rPr>
              <w:t xml:space="preserve">     </w:t>
            </w:r>
            <w:r w:rsidR="00A34B32" w:rsidRPr="00E248AE">
              <w:rPr>
                <w:lang w:val="en-CA"/>
              </w:rPr>
              <w:t xml:space="preserve"> </w:t>
            </w:r>
            <w:r w:rsidRPr="00E248AE">
              <w:rPr>
                <w:lang w:val="en-CA"/>
              </w:rPr>
              <w:t xml:space="preserve"> </w:t>
            </w:r>
            <w:r w:rsidR="00392DCA" w:rsidRPr="00E248AE">
              <w:rPr>
                <w:lang w:val="en-CA"/>
              </w:rPr>
              <w:t xml:space="preserve"> </w:t>
            </w:r>
            <w:r w:rsidRPr="00E248AE">
              <w:rPr>
                <w:lang w:val="en-CA"/>
              </w:rPr>
              <w:t>(</w:t>
            </w:r>
            <w:bookmarkStart w:id="2" w:name="DossierAnt"/>
            <w:r w:rsidR="00F513B9" w:rsidRPr="00E248AE">
              <w:rPr>
                <w:lang w:val="en-CA"/>
              </w:rPr>
              <w:t>500-06-000774-154</w:t>
            </w:r>
            <w:bookmarkEnd w:id="2"/>
            <w:r w:rsidRPr="00E248AE">
              <w:rPr>
                <w:lang w:val="en-CA"/>
              </w:rPr>
              <w:t>)</w:t>
            </w:r>
          </w:p>
        </w:tc>
      </w:tr>
      <w:tr w:rsidR="00A8574C" w:rsidRPr="00E248AE" w14:paraId="50677A98" w14:textId="77777777" w:rsidTr="00A34B32">
        <w:tc>
          <w:tcPr>
            <w:tcW w:w="9270" w:type="dxa"/>
            <w:gridSpan w:val="4"/>
            <w:tcBorders>
              <w:top w:val="nil"/>
              <w:left w:val="nil"/>
              <w:bottom w:val="single" w:sz="4" w:space="0" w:color="auto"/>
              <w:right w:val="nil"/>
            </w:tcBorders>
          </w:tcPr>
          <w:p w14:paraId="19399074" w14:textId="77777777" w:rsidR="00EC57E1" w:rsidRPr="00E248AE" w:rsidRDefault="00EC57E1">
            <w:pPr>
              <w:rPr>
                <w:lang w:val="en-CA"/>
              </w:rPr>
            </w:pPr>
          </w:p>
        </w:tc>
      </w:tr>
      <w:tr w:rsidR="00A8574C" w:rsidRPr="00E248AE" w14:paraId="50EECD50" w14:textId="77777777" w:rsidTr="00A34B32">
        <w:tc>
          <w:tcPr>
            <w:tcW w:w="9270" w:type="dxa"/>
            <w:gridSpan w:val="4"/>
            <w:tcBorders>
              <w:top w:val="single" w:sz="4" w:space="0" w:color="auto"/>
              <w:left w:val="nil"/>
              <w:bottom w:val="nil"/>
              <w:right w:val="nil"/>
            </w:tcBorders>
          </w:tcPr>
          <w:p w14:paraId="2CD70BDC" w14:textId="77777777" w:rsidR="00EC57E1" w:rsidRPr="00E248AE" w:rsidRDefault="00EC57E1">
            <w:pPr>
              <w:rPr>
                <w:lang w:val="en-CA"/>
              </w:rPr>
            </w:pPr>
          </w:p>
        </w:tc>
      </w:tr>
      <w:tr w:rsidR="00A8574C" w:rsidRPr="00E248AE" w14:paraId="714C6602" w14:textId="77777777" w:rsidTr="00A34B32">
        <w:tc>
          <w:tcPr>
            <w:tcW w:w="9270" w:type="dxa"/>
            <w:gridSpan w:val="4"/>
            <w:tcBorders>
              <w:top w:val="nil"/>
              <w:left w:val="nil"/>
              <w:bottom w:val="nil"/>
              <w:right w:val="nil"/>
            </w:tcBorders>
          </w:tcPr>
          <w:p w14:paraId="74476075" w14:textId="649C9727" w:rsidR="00EC57E1" w:rsidRPr="00E248AE" w:rsidRDefault="005C0FC7" w:rsidP="00787D2B">
            <w:pPr>
              <w:pStyle w:val="zSoquijlblTypeDocument"/>
              <w:rPr>
                <w:lang w:val="en-CA"/>
              </w:rPr>
            </w:pPr>
            <w:r w:rsidRPr="00E248AE">
              <w:rPr>
                <w:lang w:val="en-CA"/>
              </w:rPr>
              <w:t>MINUTES</w:t>
            </w:r>
            <w:r w:rsidR="00787D2B" w:rsidRPr="00E248AE">
              <w:rPr>
                <w:lang w:val="en-CA"/>
              </w:rPr>
              <w:t xml:space="preserve"> OF HEARING</w:t>
            </w:r>
          </w:p>
        </w:tc>
      </w:tr>
      <w:tr w:rsidR="00A8574C" w:rsidRPr="00E248AE" w14:paraId="5A475FDE" w14:textId="77777777" w:rsidTr="00A34B32">
        <w:tc>
          <w:tcPr>
            <w:tcW w:w="9270" w:type="dxa"/>
            <w:gridSpan w:val="4"/>
            <w:tcBorders>
              <w:top w:val="nil"/>
              <w:left w:val="nil"/>
              <w:bottom w:val="single" w:sz="4" w:space="0" w:color="auto"/>
              <w:right w:val="nil"/>
            </w:tcBorders>
          </w:tcPr>
          <w:p w14:paraId="1AF23E29" w14:textId="77777777" w:rsidR="00EC57E1" w:rsidRPr="00E248AE" w:rsidRDefault="00EC57E1">
            <w:pPr>
              <w:rPr>
                <w:lang w:val="en-CA"/>
              </w:rPr>
            </w:pPr>
          </w:p>
        </w:tc>
      </w:tr>
    </w:tbl>
    <w:p w14:paraId="7F35B198" w14:textId="77777777" w:rsidR="000949A6" w:rsidRPr="00E248AE" w:rsidRDefault="000949A6" w:rsidP="00887EEB">
      <w:pPr>
        <w:tabs>
          <w:tab w:val="left" w:pos="630"/>
        </w:tabs>
        <w:spacing w:line="240" w:lineRule="auto"/>
        <w:jc w:val="both"/>
        <w:rPr>
          <w:rFonts w:cs="Arial"/>
          <w:szCs w:val="24"/>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5215"/>
      </w:tblGrid>
      <w:tr w:rsidR="00A8574C" w:rsidRPr="00E248AE" w14:paraId="73844681" w14:textId="77777777" w:rsidTr="00BE1C8F">
        <w:tc>
          <w:tcPr>
            <w:tcW w:w="4045" w:type="dxa"/>
          </w:tcPr>
          <w:p w14:paraId="49EB0E47" w14:textId="77777777" w:rsidR="00E01CAD" w:rsidRPr="00E248AE" w:rsidRDefault="00787D2B" w:rsidP="00787D2B">
            <w:pPr>
              <w:pStyle w:val="zSoquijdatDateJugement"/>
              <w:rPr>
                <w:lang w:val="en-CA"/>
              </w:rPr>
            </w:pPr>
            <w:r w:rsidRPr="00E248AE">
              <w:rPr>
                <w:lang w:val="en-CA"/>
              </w:rPr>
              <w:t>DATE</w:t>
            </w:r>
            <w:r w:rsidR="00A1634B" w:rsidRPr="00E248AE">
              <w:rPr>
                <w:lang w:val="en-CA"/>
              </w:rPr>
              <w:t xml:space="preserve">: </w:t>
            </w:r>
            <w:r w:rsidRPr="00E248AE">
              <w:rPr>
                <w:lang w:val="en-CA"/>
              </w:rPr>
              <w:t>May 13, 2022</w:t>
            </w:r>
          </w:p>
        </w:tc>
        <w:tc>
          <w:tcPr>
            <w:tcW w:w="5215" w:type="dxa"/>
          </w:tcPr>
          <w:p w14:paraId="598F8F96" w14:textId="77777777" w:rsidR="00E01CAD" w:rsidRPr="00E248AE" w:rsidRDefault="00E01CAD" w:rsidP="00887EEB">
            <w:pPr>
              <w:tabs>
                <w:tab w:val="left" w:pos="630"/>
              </w:tabs>
              <w:spacing w:line="240" w:lineRule="auto"/>
              <w:jc w:val="both"/>
              <w:rPr>
                <w:lang w:val="en-CA"/>
              </w:rPr>
            </w:pPr>
          </w:p>
        </w:tc>
      </w:tr>
      <w:tr w:rsidR="00A8574C" w:rsidRPr="00E248AE" w14:paraId="124775E7" w14:textId="77777777" w:rsidTr="00BE1C8F">
        <w:tc>
          <w:tcPr>
            <w:tcW w:w="4045" w:type="dxa"/>
          </w:tcPr>
          <w:p w14:paraId="3491BAF9" w14:textId="77777777" w:rsidR="00E01CAD" w:rsidRPr="00E248AE" w:rsidRDefault="00E01CAD" w:rsidP="00887EEB">
            <w:pPr>
              <w:tabs>
                <w:tab w:val="left" w:pos="630"/>
              </w:tabs>
              <w:spacing w:line="240" w:lineRule="auto"/>
              <w:jc w:val="both"/>
              <w:rPr>
                <w:lang w:val="en-CA"/>
              </w:rPr>
            </w:pPr>
          </w:p>
        </w:tc>
        <w:tc>
          <w:tcPr>
            <w:tcW w:w="5215" w:type="dxa"/>
          </w:tcPr>
          <w:p w14:paraId="55BEC2E4" w14:textId="77777777" w:rsidR="00E01CAD" w:rsidRPr="00E248AE" w:rsidRDefault="00E01CAD" w:rsidP="00887EEB">
            <w:pPr>
              <w:tabs>
                <w:tab w:val="left" w:pos="630"/>
              </w:tabs>
              <w:spacing w:line="240" w:lineRule="auto"/>
              <w:jc w:val="both"/>
              <w:rPr>
                <w:lang w:val="en-CA"/>
              </w:rPr>
            </w:pPr>
          </w:p>
        </w:tc>
      </w:tr>
      <w:tr w:rsidR="00A8574C" w:rsidRPr="00E248AE" w14:paraId="7598A537" w14:textId="77777777" w:rsidTr="00BE1C8F">
        <w:tc>
          <w:tcPr>
            <w:tcW w:w="4045" w:type="dxa"/>
          </w:tcPr>
          <w:p w14:paraId="5A82E6EC" w14:textId="77777777" w:rsidR="00E01CAD" w:rsidRPr="00E248AE" w:rsidRDefault="00787D2B" w:rsidP="003822C1">
            <w:pPr>
              <w:pStyle w:val="zSoquijdatQteJuge"/>
              <w:ind w:left="-108"/>
              <w:rPr>
                <w:lang w:val="en-CA"/>
              </w:rPr>
            </w:pPr>
            <w:r w:rsidRPr="00E248AE">
              <w:rPr>
                <w:lang w:val="en-CA"/>
              </w:rPr>
              <w:t>CORAM</w:t>
            </w:r>
            <w:r w:rsidR="00A1634B" w:rsidRPr="00E248AE">
              <w:rPr>
                <w:lang w:val="en-CA"/>
              </w:rPr>
              <w:t xml:space="preserve">: </w:t>
            </w:r>
            <w:r w:rsidRPr="00E248AE">
              <w:rPr>
                <w:lang w:val="en-CA"/>
              </w:rPr>
              <w:t xml:space="preserve">          THE</w:t>
            </w:r>
            <w:r w:rsidR="00A1634B" w:rsidRPr="00E248AE">
              <w:rPr>
                <w:lang w:val="en-CA"/>
              </w:rPr>
              <w:t xml:space="preserve"> HONO</w:t>
            </w:r>
            <w:r w:rsidRPr="00E248AE">
              <w:rPr>
                <w:lang w:val="en-CA"/>
              </w:rPr>
              <w:t>U</w:t>
            </w:r>
            <w:r w:rsidR="00A1634B" w:rsidRPr="00E248AE">
              <w:rPr>
                <w:lang w:val="en-CA"/>
              </w:rPr>
              <w:t>RABLE</w:t>
            </w:r>
          </w:p>
        </w:tc>
        <w:tc>
          <w:tcPr>
            <w:tcW w:w="5215" w:type="dxa"/>
          </w:tcPr>
          <w:p w14:paraId="6AE1DAED" w14:textId="77777777" w:rsidR="00E01CAD" w:rsidRPr="00E248AE" w:rsidRDefault="00787D2B" w:rsidP="00E21494">
            <w:pPr>
              <w:pStyle w:val="zSoquijdatJuge1"/>
              <w:rPr>
                <w:lang w:val="en-CA"/>
              </w:rPr>
            </w:pPr>
            <w:bookmarkStart w:id="3" w:name="NomJuge1"/>
            <w:r w:rsidRPr="00E248AE">
              <w:rPr>
                <w:lang w:val="en-CA"/>
              </w:rPr>
              <w:t>GENEVIÈVE MARCOTTE, J.</w:t>
            </w:r>
            <w:r w:rsidR="00A1634B" w:rsidRPr="00E248AE">
              <w:rPr>
                <w:lang w:val="en-CA"/>
              </w:rPr>
              <w:t>A.</w:t>
            </w:r>
            <w:bookmarkEnd w:id="3"/>
          </w:p>
        </w:tc>
      </w:tr>
      <w:tr w:rsidR="00A8574C" w:rsidRPr="00E248AE" w14:paraId="4C5DCEB6" w14:textId="77777777" w:rsidTr="00BE1C8F">
        <w:tc>
          <w:tcPr>
            <w:tcW w:w="4045" w:type="dxa"/>
          </w:tcPr>
          <w:p w14:paraId="7C071734" w14:textId="77777777" w:rsidR="00E01CAD" w:rsidRPr="00E248AE" w:rsidRDefault="00E01CAD" w:rsidP="00887EEB">
            <w:pPr>
              <w:tabs>
                <w:tab w:val="left" w:pos="630"/>
              </w:tabs>
              <w:spacing w:line="240" w:lineRule="auto"/>
              <w:jc w:val="both"/>
              <w:rPr>
                <w:lang w:val="en-CA"/>
              </w:rPr>
            </w:pPr>
          </w:p>
        </w:tc>
        <w:tc>
          <w:tcPr>
            <w:tcW w:w="5215" w:type="dxa"/>
          </w:tcPr>
          <w:p w14:paraId="37121935" w14:textId="77777777" w:rsidR="00E01CAD" w:rsidRPr="00E248AE" w:rsidRDefault="00787D2B" w:rsidP="00E21494">
            <w:pPr>
              <w:pStyle w:val="zSoquijdatJuge2"/>
              <w:rPr>
                <w:lang w:val="en-CA"/>
              </w:rPr>
            </w:pPr>
            <w:bookmarkStart w:id="4" w:name="NomJuge2"/>
            <w:r w:rsidRPr="00E248AE">
              <w:rPr>
                <w:lang w:val="en-CA"/>
              </w:rPr>
              <w:t>MARK SCHRAGER, J.</w:t>
            </w:r>
            <w:r w:rsidR="00A1634B" w:rsidRPr="00E248AE">
              <w:rPr>
                <w:lang w:val="en-CA"/>
              </w:rPr>
              <w:t>A.</w:t>
            </w:r>
            <w:bookmarkEnd w:id="4"/>
          </w:p>
        </w:tc>
      </w:tr>
      <w:tr w:rsidR="00A8574C" w:rsidRPr="00E248AE" w14:paraId="01B4AD08" w14:textId="77777777" w:rsidTr="00BE1C8F">
        <w:tc>
          <w:tcPr>
            <w:tcW w:w="4045" w:type="dxa"/>
          </w:tcPr>
          <w:p w14:paraId="45CFE865" w14:textId="77777777" w:rsidR="00E01CAD" w:rsidRPr="00E248AE" w:rsidRDefault="00E01CAD" w:rsidP="00887EEB">
            <w:pPr>
              <w:tabs>
                <w:tab w:val="left" w:pos="630"/>
              </w:tabs>
              <w:spacing w:line="240" w:lineRule="auto"/>
              <w:jc w:val="both"/>
              <w:rPr>
                <w:lang w:val="en-CA"/>
              </w:rPr>
            </w:pPr>
          </w:p>
        </w:tc>
        <w:tc>
          <w:tcPr>
            <w:tcW w:w="5215" w:type="dxa"/>
          </w:tcPr>
          <w:p w14:paraId="54134115" w14:textId="77777777" w:rsidR="00E01CAD" w:rsidRPr="00E248AE" w:rsidRDefault="00787D2B" w:rsidP="00E21494">
            <w:pPr>
              <w:pStyle w:val="zSoquijdatJuge3"/>
              <w:rPr>
                <w:lang w:val="en-CA"/>
              </w:rPr>
            </w:pPr>
            <w:bookmarkStart w:id="5" w:name="NomJuge3"/>
            <w:r w:rsidRPr="00E248AE">
              <w:rPr>
                <w:lang w:val="en-CA"/>
              </w:rPr>
              <w:t>PETER KALICHMAN, J.</w:t>
            </w:r>
            <w:r w:rsidR="00A1634B" w:rsidRPr="00E248AE">
              <w:rPr>
                <w:lang w:val="en-CA"/>
              </w:rPr>
              <w:t>A.</w:t>
            </w:r>
            <w:bookmarkEnd w:id="5"/>
          </w:p>
        </w:tc>
      </w:tr>
    </w:tbl>
    <w:p w14:paraId="0B5EBCB0" w14:textId="77777777" w:rsidR="00887EEB" w:rsidRPr="00E248AE" w:rsidRDefault="00887EEB" w:rsidP="00887EEB">
      <w:pPr>
        <w:spacing w:line="240" w:lineRule="auto"/>
        <w:jc w:val="both"/>
        <w:rPr>
          <w:rFonts w:cs="Arial"/>
          <w:szCs w:val="24"/>
          <w:lang w:val="en-CA"/>
        </w:rPr>
      </w:pPr>
      <w:bookmarkStart w:id="6" w:name="Faillite"/>
      <w:bookmarkEnd w:id="6"/>
    </w:p>
    <w:tbl>
      <w:tblPr>
        <w:tblStyle w:val="Grilledutableau1"/>
        <w:tblW w:w="0" w:type="auto"/>
        <w:tblInd w:w="-5"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3"/>
        <w:gridCol w:w="4852"/>
      </w:tblGrid>
      <w:tr w:rsidR="00A8574C" w:rsidRPr="00E248AE" w14:paraId="77085D7F" w14:textId="77777777" w:rsidTr="00846C08">
        <w:tc>
          <w:tcPr>
            <w:tcW w:w="4413" w:type="dxa"/>
          </w:tcPr>
          <w:p w14:paraId="4C7968EE" w14:textId="77777777" w:rsidR="00887EEB" w:rsidRPr="00E248AE" w:rsidRDefault="00A1634B" w:rsidP="00FA7F32">
            <w:pPr>
              <w:pStyle w:val="zSoquijdatQtePartieDem"/>
              <w:rPr>
                <w:lang w:val="en-CA"/>
              </w:rPr>
            </w:pPr>
            <w:r w:rsidRPr="00E248AE">
              <w:rPr>
                <w:lang w:val="en-CA"/>
              </w:rPr>
              <w:t>APPEL</w:t>
            </w:r>
            <w:r w:rsidR="00AB7802" w:rsidRPr="00E248AE">
              <w:rPr>
                <w:lang w:val="en-CA"/>
              </w:rPr>
              <w:t>L</w:t>
            </w:r>
            <w:r w:rsidRPr="00E248AE">
              <w:rPr>
                <w:lang w:val="en-CA"/>
              </w:rPr>
              <w:t>ANT</w:t>
            </w:r>
          </w:p>
        </w:tc>
        <w:tc>
          <w:tcPr>
            <w:tcW w:w="4852" w:type="dxa"/>
            <w:vAlign w:val="center"/>
          </w:tcPr>
          <w:p w14:paraId="68BB5DBF" w14:textId="7FF85A9D" w:rsidR="00887EEB" w:rsidRPr="00E248AE" w:rsidRDefault="005C0FC7" w:rsidP="00C551F8">
            <w:pPr>
              <w:pStyle w:val="zSoquijlblProcureurDem"/>
              <w:rPr>
                <w:lang w:val="en-CA"/>
              </w:rPr>
            </w:pPr>
            <w:r w:rsidRPr="00E248AE">
              <w:rPr>
                <w:lang w:val="en-CA"/>
              </w:rPr>
              <w:t>COUNSEL</w:t>
            </w:r>
          </w:p>
        </w:tc>
      </w:tr>
      <w:tr w:rsidR="00A8574C" w:rsidRPr="00E248AE" w14:paraId="351D31E5" w14:textId="77777777" w:rsidTr="00846C08">
        <w:tc>
          <w:tcPr>
            <w:tcW w:w="4413" w:type="dxa"/>
          </w:tcPr>
          <w:p w14:paraId="16F7CDAC" w14:textId="77777777" w:rsidR="00887EEB" w:rsidRPr="00E248AE" w:rsidRDefault="00887EEB" w:rsidP="00033ACA">
            <w:pPr>
              <w:tabs>
                <w:tab w:val="center" w:pos="2162"/>
              </w:tabs>
              <w:spacing w:line="240" w:lineRule="auto"/>
              <w:jc w:val="center"/>
              <w:rPr>
                <w:b/>
                <w:lang w:val="en-CA"/>
              </w:rPr>
            </w:pPr>
          </w:p>
          <w:p w14:paraId="3B99EEC4" w14:textId="77777777" w:rsidR="00033ACA" w:rsidRPr="00E248AE" w:rsidRDefault="00A1634B" w:rsidP="00F12661">
            <w:pPr>
              <w:pStyle w:val="zSoquijdatNomPartieDem"/>
              <w:tabs>
                <w:tab w:val="center" w:pos="2412"/>
              </w:tabs>
              <w:rPr>
                <w:lang w:val="en-CA"/>
              </w:rPr>
            </w:pPr>
            <w:bookmarkStart w:id="7" w:name="App"/>
            <w:r w:rsidRPr="00E248AE">
              <w:rPr>
                <w:caps/>
                <w:lang w:val="en-CA"/>
              </w:rPr>
              <w:t>danny lamoureux</w:t>
            </w:r>
            <w:bookmarkEnd w:id="7"/>
          </w:p>
        </w:tc>
        <w:tc>
          <w:tcPr>
            <w:tcW w:w="4852" w:type="dxa"/>
          </w:tcPr>
          <w:p w14:paraId="1B69A049" w14:textId="77777777" w:rsidR="00887EEB" w:rsidRPr="006F140A" w:rsidRDefault="00887EEB" w:rsidP="00887EEB">
            <w:pPr>
              <w:spacing w:line="240" w:lineRule="auto"/>
              <w:jc w:val="center"/>
              <w:rPr>
                <w:rFonts w:cs="Arial"/>
                <w:szCs w:val="24"/>
              </w:rPr>
            </w:pPr>
          </w:p>
          <w:p w14:paraId="3E36C425" w14:textId="77777777" w:rsidR="00887EEB" w:rsidRPr="006F140A" w:rsidRDefault="00A1634B" w:rsidP="00C551F8">
            <w:pPr>
              <w:pStyle w:val="zSoquijdatNomProcureurDem"/>
              <w:rPr>
                <w:caps/>
              </w:rPr>
            </w:pPr>
            <w:r w:rsidRPr="006F140A">
              <w:t>M</w:t>
            </w:r>
            <w:r w:rsidR="00AB7802" w:rsidRPr="006F140A">
              <w:t>tr</w:t>
            </w:r>
            <w:r w:rsidR="002E7403" w:rsidRPr="006F140A">
              <w:t xml:space="preserve">e </w:t>
            </w:r>
            <w:bookmarkStart w:id="8" w:name="Avocat_app"/>
            <w:r w:rsidR="00F513B9" w:rsidRPr="006F140A">
              <w:rPr>
                <w:caps/>
              </w:rPr>
              <w:t>louis demers</w:t>
            </w:r>
            <w:bookmarkEnd w:id="8"/>
          </w:p>
          <w:p w14:paraId="560F9F0D" w14:textId="77777777" w:rsidR="00236668" w:rsidRPr="006F140A" w:rsidRDefault="00AB7802" w:rsidP="00C551F8">
            <w:pPr>
              <w:pStyle w:val="zSoquijdatNomProcureurDem"/>
            </w:pPr>
            <w:r w:rsidRPr="006F140A">
              <w:t>Mtre</w:t>
            </w:r>
            <w:r w:rsidR="00A1634B" w:rsidRPr="006F140A">
              <w:rPr>
                <w:caps/>
              </w:rPr>
              <w:t xml:space="preserve"> alexandra sorrentino</w:t>
            </w:r>
          </w:p>
          <w:p w14:paraId="305586DF" w14:textId="77777777" w:rsidR="00013BB9" w:rsidRPr="00E248AE" w:rsidRDefault="00A1634B" w:rsidP="00013BB9">
            <w:pPr>
              <w:pStyle w:val="zSoquijdatCabinetProcureurDem"/>
              <w:rPr>
                <w:lang w:val="en-CA"/>
              </w:rPr>
            </w:pPr>
            <w:r w:rsidRPr="00E248AE">
              <w:rPr>
                <w:lang w:val="en-CA"/>
              </w:rPr>
              <w:t>(</w:t>
            </w:r>
            <w:bookmarkStart w:id="9" w:name="Bureau_Avocat_app"/>
            <w:bookmarkEnd w:id="9"/>
            <w:r w:rsidR="00846C08" w:rsidRPr="00E248AE">
              <w:rPr>
                <w:i/>
                <w:lang w:val="en-CA"/>
              </w:rPr>
              <w:t xml:space="preserve">Gilbert </w:t>
            </w:r>
            <w:proofErr w:type="spellStart"/>
            <w:r w:rsidR="00846C08" w:rsidRPr="00E248AE">
              <w:rPr>
                <w:i/>
                <w:lang w:val="en-CA"/>
              </w:rPr>
              <w:t>Séguin</w:t>
            </w:r>
            <w:proofErr w:type="spellEnd"/>
            <w:r w:rsidR="00846C08" w:rsidRPr="00E248AE">
              <w:rPr>
                <w:i/>
                <w:lang w:val="en-CA"/>
              </w:rPr>
              <w:t xml:space="preserve"> </w:t>
            </w:r>
            <w:proofErr w:type="spellStart"/>
            <w:r w:rsidR="00846C08" w:rsidRPr="00E248AE">
              <w:rPr>
                <w:i/>
                <w:lang w:val="en-CA"/>
              </w:rPr>
              <w:t>Guilbeault</w:t>
            </w:r>
            <w:proofErr w:type="spellEnd"/>
            <w:r w:rsidRPr="00E248AE">
              <w:rPr>
                <w:lang w:val="en-CA"/>
              </w:rPr>
              <w:t>)</w:t>
            </w:r>
          </w:p>
          <w:p w14:paraId="5C23E7FC" w14:textId="77777777" w:rsidR="00CE3563" w:rsidRPr="00E248AE" w:rsidRDefault="00AB7802" w:rsidP="00013BB9">
            <w:pPr>
              <w:pStyle w:val="zSoquijdatCabinetProcureurDem"/>
              <w:rPr>
                <w:lang w:val="en-CA"/>
              </w:rPr>
            </w:pPr>
            <w:r w:rsidRPr="00E248AE">
              <w:rPr>
                <w:lang w:val="en-CA"/>
              </w:rPr>
              <w:t>Absent</w:t>
            </w:r>
          </w:p>
          <w:p w14:paraId="6887999E" w14:textId="77777777" w:rsidR="00887EEB" w:rsidRPr="00E248AE" w:rsidRDefault="00887EEB" w:rsidP="004A7589">
            <w:pPr>
              <w:spacing w:line="240" w:lineRule="auto"/>
              <w:jc w:val="center"/>
              <w:rPr>
                <w:rFonts w:cs="Arial"/>
                <w:szCs w:val="24"/>
                <w:lang w:val="en-CA"/>
              </w:rPr>
            </w:pPr>
          </w:p>
        </w:tc>
      </w:tr>
      <w:tr w:rsidR="00A8574C" w:rsidRPr="00E248AE" w14:paraId="793BFB63" w14:textId="77777777" w:rsidTr="00846C08">
        <w:tc>
          <w:tcPr>
            <w:tcW w:w="4413" w:type="dxa"/>
          </w:tcPr>
          <w:p w14:paraId="3C0FDC75" w14:textId="77777777" w:rsidR="00887EEB" w:rsidRPr="00E248AE" w:rsidRDefault="00AB7802" w:rsidP="00FA7F32">
            <w:pPr>
              <w:pStyle w:val="zSoquijdatQtePartieDef"/>
              <w:rPr>
                <w:lang w:val="en-CA"/>
              </w:rPr>
            </w:pPr>
            <w:r w:rsidRPr="00E248AE">
              <w:rPr>
                <w:lang w:val="en-CA"/>
              </w:rPr>
              <w:t>RESPONDENT</w:t>
            </w:r>
          </w:p>
        </w:tc>
        <w:tc>
          <w:tcPr>
            <w:tcW w:w="4852" w:type="dxa"/>
            <w:vAlign w:val="center"/>
          </w:tcPr>
          <w:p w14:paraId="47894C2B" w14:textId="67FEFE00" w:rsidR="00887EEB" w:rsidRPr="00E248AE" w:rsidRDefault="005C0FC7" w:rsidP="00C551F8">
            <w:pPr>
              <w:pStyle w:val="zSoquijlblProcureurDef"/>
              <w:rPr>
                <w:lang w:val="en-CA"/>
              </w:rPr>
            </w:pPr>
            <w:r w:rsidRPr="00E248AE">
              <w:rPr>
                <w:lang w:val="en-CA"/>
              </w:rPr>
              <w:t>COUNSEL</w:t>
            </w:r>
          </w:p>
        </w:tc>
      </w:tr>
      <w:tr w:rsidR="00A8574C" w:rsidRPr="00E248AE" w14:paraId="42CA38A2" w14:textId="77777777" w:rsidTr="00846C08">
        <w:tc>
          <w:tcPr>
            <w:tcW w:w="4413" w:type="dxa"/>
          </w:tcPr>
          <w:p w14:paraId="0D280924" w14:textId="77777777" w:rsidR="00887EEB" w:rsidRPr="00E248AE" w:rsidRDefault="00887EEB" w:rsidP="00887EEB">
            <w:pPr>
              <w:spacing w:line="240" w:lineRule="auto"/>
              <w:jc w:val="center"/>
              <w:rPr>
                <w:b/>
                <w:lang w:val="en-CA"/>
              </w:rPr>
            </w:pPr>
          </w:p>
          <w:p w14:paraId="53F36D70" w14:textId="77777777" w:rsidR="00AB7802" w:rsidRPr="00E248AE" w:rsidRDefault="00AB7802" w:rsidP="007377D2">
            <w:pPr>
              <w:pStyle w:val="zSoquijdatNomPartieDef"/>
              <w:tabs>
                <w:tab w:val="center" w:pos="2412"/>
              </w:tabs>
              <w:rPr>
                <w:caps/>
                <w:lang w:val="en-CA"/>
              </w:rPr>
            </w:pPr>
            <w:r w:rsidRPr="00E248AE">
              <w:rPr>
                <w:caps/>
                <w:lang w:val="en-CA"/>
              </w:rPr>
              <w:t xml:space="preserve">Investment Industry Regulatory Organization of Canada </w:t>
            </w:r>
          </w:p>
          <w:p w14:paraId="3CBA46D7" w14:textId="77777777" w:rsidR="00F12661" w:rsidRPr="00E248AE" w:rsidRDefault="00AB7802" w:rsidP="007377D2">
            <w:pPr>
              <w:pStyle w:val="zSoquijdatNomPartieDef"/>
              <w:tabs>
                <w:tab w:val="center" w:pos="2412"/>
              </w:tabs>
              <w:rPr>
                <w:caps/>
                <w:lang w:val="en-CA"/>
              </w:rPr>
            </w:pPr>
            <w:r w:rsidRPr="00E248AE">
              <w:rPr>
                <w:caps/>
                <w:lang w:val="en-CA"/>
              </w:rPr>
              <w:t xml:space="preserve">(IIROC) </w:t>
            </w:r>
          </w:p>
          <w:p w14:paraId="513C8830" w14:textId="77777777" w:rsidR="00AB7802" w:rsidRPr="00E248AE" w:rsidRDefault="00AB7802" w:rsidP="007377D2">
            <w:pPr>
              <w:pStyle w:val="zSoquijdatNomPartieDef"/>
              <w:tabs>
                <w:tab w:val="center" w:pos="2412"/>
              </w:tabs>
              <w:rPr>
                <w:lang w:val="en-CA"/>
              </w:rPr>
            </w:pPr>
          </w:p>
        </w:tc>
        <w:tc>
          <w:tcPr>
            <w:tcW w:w="4852" w:type="dxa"/>
          </w:tcPr>
          <w:p w14:paraId="1A416A5D" w14:textId="77777777" w:rsidR="00887EEB" w:rsidRPr="006F140A" w:rsidRDefault="00887EEB" w:rsidP="00887EEB">
            <w:pPr>
              <w:spacing w:line="240" w:lineRule="auto"/>
              <w:jc w:val="center"/>
              <w:rPr>
                <w:rFonts w:cs="Arial"/>
                <w:szCs w:val="24"/>
              </w:rPr>
            </w:pPr>
          </w:p>
          <w:p w14:paraId="5A9A2BDA" w14:textId="77777777" w:rsidR="00434D64" w:rsidRPr="006F140A" w:rsidRDefault="00AB7802" w:rsidP="00434D64">
            <w:pPr>
              <w:pStyle w:val="zSoquijdatCabinetProcureurDem"/>
              <w:rPr>
                <w:lang w:val="fr-CA"/>
              </w:rPr>
            </w:pPr>
            <w:r w:rsidRPr="006F140A">
              <w:rPr>
                <w:lang w:val="fr-CA"/>
              </w:rPr>
              <w:t>Mtre</w:t>
            </w:r>
            <w:r w:rsidR="00A1634B" w:rsidRPr="006F140A">
              <w:rPr>
                <w:lang w:val="fr-CA"/>
              </w:rPr>
              <w:t xml:space="preserve"> ALEXIS ALAIN LERAY</w:t>
            </w:r>
          </w:p>
          <w:p w14:paraId="679141A1" w14:textId="77777777" w:rsidR="00887EEB" w:rsidRPr="006F140A" w:rsidRDefault="00A1634B" w:rsidP="00C551F8">
            <w:pPr>
              <w:pStyle w:val="zSoquijdatNomProcureurDef"/>
              <w:rPr>
                <w:caps/>
              </w:rPr>
            </w:pPr>
            <w:r w:rsidRPr="006F140A">
              <w:t>M</w:t>
            </w:r>
            <w:r w:rsidR="00AB7802" w:rsidRPr="006F140A">
              <w:t>tr</w:t>
            </w:r>
            <w:r w:rsidR="002E7403" w:rsidRPr="006F140A">
              <w:t xml:space="preserve">e </w:t>
            </w:r>
            <w:bookmarkStart w:id="10" w:name="Avocat_int"/>
            <w:r w:rsidR="00F513B9" w:rsidRPr="006F140A">
              <w:rPr>
                <w:caps/>
              </w:rPr>
              <w:t>stéphane pitre</w:t>
            </w:r>
            <w:bookmarkEnd w:id="10"/>
          </w:p>
          <w:p w14:paraId="4A8FABDB" w14:textId="77777777" w:rsidR="00887EEB" w:rsidRPr="00E248AE" w:rsidRDefault="00A1634B" w:rsidP="00C551F8">
            <w:pPr>
              <w:pStyle w:val="zSoquijdatCabinetProcureurDef"/>
              <w:rPr>
                <w:lang w:val="en-CA"/>
              </w:rPr>
            </w:pPr>
            <w:r w:rsidRPr="00E248AE">
              <w:rPr>
                <w:lang w:val="en-CA"/>
              </w:rPr>
              <w:t>(</w:t>
            </w:r>
            <w:bookmarkStart w:id="11" w:name="Bureau_Avocat_int"/>
            <w:bookmarkEnd w:id="11"/>
            <w:r w:rsidR="00846C08" w:rsidRPr="00E248AE">
              <w:rPr>
                <w:i/>
                <w:lang w:val="en-CA"/>
              </w:rPr>
              <w:t>Borden Ladner Gervais</w:t>
            </w:r>
            <w:r w:rsidRPr="00E248AE">
              <w:rPr>
                <w:lang w:val="en-CA"/>
              </w:rPr>
              <w:t>)</w:t>
            </w:r>
          </w:p>
          <w:p w14:paraId="04C0DFC2" w14:textId="77777777" w:rsidR="00BD52FE" w:rsidRPr="00E248AE" w:rsidRDefault="00AB7802" w:rsidP="00C551F8">
            <w:pPr>
              <w:pStyle w:val="zSoquijdatCabinetProcureurDef"/>
              <w:rPr>
                <w:lang w:val="en-CA"/>
              </w:rPr>
            </w:pPr>
            <w:r w:rsidRPr="00E248AE">
              <w:rPr>
                <w:lang w:val="en-CA"/>
              </w:rPr>
              <w:t>By videoconfe</w:t>
            </w:r>
            <w:r w:rsidR="00A1634B" w:rsidRPr="00E248AE">
              <w:rPr>
                <w:lang w:val="en-CA"/>
              </w:rPr>
              <w:t>rence</w:t>
            </w:r>
          </w:p>
          <w:p w14:paraId="7654B7DE" w14:textId="77777777" w:rsidR="00434D64" w:rsidRPr="00E248AE" w:rsidRDefault="00434D64" w:rsidP="00C551F8">
            <w:pPr>
              <w:pStyle w:val="zSoquijdatCabinetProcureurDef"/>
              <w:rPr>
                <w:lang w:val="en-CA"/>
              </w:rPr>
            </w:pPr>
          </w:p>
          <w:p w14:paraId="2B1EA7CD" w14:textId="77777777" w:rsidR="00434D64" w:rsidRPr="00E248AE" w:rsidRDefault="00A1634B" w:rsidP="00434D64">
            <w:pPr>
              <w:pStyle w:val="zSoquijdatNomProcureurDef"/>
              <w:rPr>
                <w:lang w:val="en-CA"/>
              </w:rPr>
            </w:pPr>
            <w:r w:rsidRPr="00E248AE">
              <w:rPr>
                <w:caps/>
                <w:lang w:val="en-CA"/>
              </w:rPr>
              <w:t>M</w:t>
            </w:r>
            <w:r w:rsidR="004B72C9" w:rsidRPr="00E248AE">
              <w:rPr>
                <w:lang w:val="en-CA"/>
              </w:rPr>
              <w:t>tre</w:t>
            </w:r>
            <w:r w:rsidRPr="00E248AE">
              <w:rPr>
                <w:caps/>
                <w:lang w:val="en-CA"/>
              </w:rPr>
              <w:t xml:space="preserve"> ANNE MERMINOD</w:t>
            </w:r>
          </w:p>
          <w:p w14:paraId="52182988" w14:textId="77777777" w:rsidR="00434D64" w:rsidRPr="00E248AE" w:rsidRDefault="00A1634B" w:rsidP="00434D64">
            <w:pPr>
              <w:pStyle w:val="zSoquijdatCabinetProcureurDef"/>
              <w:rPr>
                <w:lang w:val="en-CA"/>
              </w:rPr>
            </w:pPr>
            <w:r w:rsidRPr="00E248AE">
              <w:rPr>
                <w:lang w:val="en-CA"/>
              </w:rPr>
              <w:t>(</w:t>
            </w:r>
            <w:r w:rsidRPr="00E248AE">
              <w:rPr>
                <w:i/>
                <w:lang w:val="en-CA"/>
              </w:rPr>
              <w:t>Borden Ladner Gervais</w:t>
            </w:r>
            <w:r w:rsidRPr="00E248AE">
              <w:rPr>
                <w:lang w:val="en-CA"/>
              </w:rPr>
              <w:t>)</w:t>
            </w:r>
          </w:p>
          <w:p w14:paraId="03FE19E1" w14:textId="77777777" w:rsidR="00434D64" w:rsidRPr="00E248AE" w:rsidRDefault="004B72C9" w:rsidP="00C551F8">
            <w:pPr>
              <w:pStyle w:val="zSoquijdatCabinetProcureurDef"/>
              <w:rPr>
                <w:lang w:val="en-CA"/>
              </w:rPr>
            </w:pPr>
            <w:r w:rsidRPr="00E248AE">
              <w:rPr>
                <w:lang w:val="en-CA"/>
              </w:rPr>
              <w:t>Absent</w:t>
            </w:r>
          </w:p>
          <w:p w14:paraId="46338D8D" w14:textId="77777777" w:rsidR="00887EEB" w:rsidRPr="00E248AE" w:rsidRDefault="00887EEB" w:rsidP="00CE3563">
            <w:pPr>
              <w:pStyle w:val="zSoquijdatCabinetProcureurDef"/>
              <w:jc w:val="left"/>
              <w:rPr>
                <w:lang w:val="en-CA"/>
              </w:rPr>
            </w:pPr>
          </w:p>
        </w:tc>
      </w:tr>
    </w:tbl>
    <w:p w14:paraId="62EB7398" w14:textId="77777777" w:rsidR="00887EEB" w:rsidRPr="00E248AE" w:rsidRDefault="00887EEB" w:rsidP="00887EEB">
      <w:pPr>
        <w:spacing w:line="240" w:lineRule="auto"/>
        <w:jc w:val="both"/>
        <w:rPr>
          <w:rFonts w:cs="Arial"/>
          <w:szCs w:val="24"/>
          <w:lang w:val="en-CA"/>
        </w:rPr>
      </w:pPr>
    </w:p>
    <w:tbl>
      <w:tblPr>
        <w:tblStyle w:val="Grilledutableau1"/>
        <w:tblW w:w="0" w:type="auto"/>
        <w:tblBorders>
          <w:top w:val="none" w:sz="0" w:space="0" w:color="auto"/>
          <w:bottom w:val="none" w:sz="0" w:space="0" w:color="auto"/>
        </w:tblBorders>
        <w:tblLook w:val="04A0" w:firstRow="1" w:lastRow="0" w:firstColumn="1" w:lastColumn="0" w:noHBand="0" w:noVBand="1"/>
      </w:tblPr>
      <w:tblGrid>
        <w:gridCol w:w="9270"/>
      </w:tblGrid>
      <w:tr w:rsidR="00A8574C" w:rsidRPr="006F140A" w14:paraId="0F2BDC49" w14:textId="77777777" w:rsidTr="002159AA">
        <w:tc>
          <w:tcPr>
            <w:tcW w:w="9450" w:type="dxa"/>
          </w:tcPr>
          <w:p w14:paraId="7DBE78C3" w14:textId="0A3A47FD" w:rsidR="00887EEB" w:rsidRPr="00E248AE" w:rsidRDefault="005C0FC7" w:rsidP="00653B6E">
            <w:pPr>
              <w:spacing w:line="240" w:lineRule="auto"/>
              <w:ind w:left="-108"/>
              <w:jc w:val="both"/>
              <w:rPr>
                <w:lang w:val="en-CA"/>
              </w:rPr>
            </w:pPr>
            <w:r w:rsidRPr="00E248AE">
              <w:rPr>
                <w:lang w:val="en-CA"/>
              </w:rPr>
              <w:t>On a</w:t>
            </w:r>
            <w:r w:rsidR="002E4EB3" w:rsidRPr="00E248AE">
              <w:rPr>
                <w:lang w:val="en-CA"/>
              </w:rPr>
              <w:t>ppeal from</w:t>
            </w:r>
            <w:r w:rsidR="00AB7802" w:rsidRPr="00E248AE">
              <w:rPr>
                <w:lang w:val="en-CA"/>
              </w:rPr>
              <w:t xml:space="preserve"> a judgment rendered </w:t>
            </w:r>
            <w:r w:rsidRPr="00E248AE">
              <w:rPr>
                <w:lang w:val="en-CA"/>
              </w:rPr>
              <w:t xml:space="preserve">on March 26, 2021, </w:t>
            </w:r>
            <w:r w:rsidR="00AB7802" w:rsidRPr="00E248AE">
              <w:rPr>
                <w:lang w:val="en-CA"/>
              </w:rPr>
              <w:t>by the H</w:t>
            </w:r>
            <w:r w:rsidR="00A1634B" w:rsidRPr="00E248AE">
              <w:rPr>
                <w:lang w:val="en-CA"/>
              </w:rPr>
              <w:t>ono</w:t>
            </w:r>
            <w:r w:rsidR="00AB7802" w:rsidRPr="00E248AE">
              <w:rPr>
                <w:lang w:val="en-CA"/>
              </w:rPr>
              <w:t>u</w:t>
            </w:r>
            <w:r w:rsidR="00A1634B" w:rsidRPr="00E248AE">
              <w:rPr>
                <w:lang w:val="en-CA"/>
              </w:rPr>
              <w:t xml:space="preserve">rable </w:t>
            </w:r>
            <w:r w:rsidR="00B11DC9" w:rsidRPr="00E248AE">
              <w:rPr>
                <w:lang w:val="en-CA"/>
              </w:rPr>
              <w:t>Florence Lucas</w:t>
            </w:r>
            <w:r w:rsidR="00A1634B" w:rsidRPr="00E248AE">
              <w:rPr>
                <w:lang w:val="en-CA"/>
              </w:rPr>
              <w:t xml:space="preserve"> </w:t>
            </w:r>
            <w:r w:rsidR="00AB7802" w:rsidRPr="00E248AE">
              <w:rPr>
                <w:lang w:val="en-CA"/>
              </w:rPr>
              <w:t xml:space="preserve">of the Superior Court, </w:t>
            </w:r>
            <w:r w:rsidRPr="00E248AE">
              <w:rPr>
                <w:lang w:val="en-CA"/>
              </w:rPr>
              <w:t>D</w:t>
            </w:r>
            <w:r w:rsidR="00AB7802" w:rsidRPr="00E248AE">
              <w:rPr>
                <w:lang w:val="en-CA"/>
              </w:rPr>
              <w:t>istrict of</w:t>
            </w:r>
            <w:r w:rsidR="00A1634B" w:rsidRPr="00E248AE">
              <w:rPr>
                <w:lang w:val="en-CA"/>
              </w:rPr>
              <w:t xml:space="preserve"> </w:t>
            </w:r>
            <w:bookmarkStart w:id="12" w:name="District"/>
            <w:r w:rsidR="00AB7802" w:rsidRPr="00E248AE">
              <w:rPr>
                <w:lang w:val="en-CA"/>
              </w:rPr>
              <w:t>Montre</w:t>
            </w:r>
            <w:r w:rsidR="00F513B9" w:rsidRPr="00E248AE">
              <w:rPr>
                <w:lang w:val="en-CA"/>
              </w:rPr>
              <w:t>al</w:t>
            </w:r>
            <w:bookmarkEnd w:id="12"/>
            <w:r w:rsidR="00A1634B" w:rsidRPr="00E248AE">
              <w:rPr>
                <w:lang w:val="en-CA"/>
              </w:rPr>
              <w:t>.</w:t>
            </w:r>
          </w:p>
        </w:tc>
      </w:tr>
    </w:tbl>
    <w:p w14:paraId="20AE9159" w14:textId="77777777" w:rsidR="00434D64" w:rsidRPr="00E248AE" w:rsidRDefault="00434D64" w:rsidP="00887EEB">
      <w:pPr>
        <w:spacing w:line="240" w:lineRule="auto"/>
        <w:jc w:val="both"/>
        <w:rPr>
          <w:rFonts w:cs="Arial"/>
          <w:szCs w:val="24"/>
          <w:lang w:val="en-CA"/>
        </w:rPr>
      </w:pPr>
    </w:p>
    <w:p w14:paraId="640AB8FB" w14:textId="77777777" w:rsidR="00434D64" w:rsidRPr="00E248AE" w:rsidRDefault="00A1634B">
      <w:pPr>
        <w:spacing w:line="240" w:lineRule="auto"/>
        <w:rPr>
          <w:rFonts w:cs="Arial"/>
          <w:szCs w:val="24"/>
          <w:lang w:val="en-CA"/>
        </w:rPr>
      </w:pPr>
      <w:r w:rsidRPr="00E248AE">
        <w:rPr>
          <w:rFonts w:cs="Arial"/>
          <w:szCs w:val="24"/>
          <w:lang w:val="en-CA"/>
        </w:rPr>
        <w:br w:type="page"/>
      </w:r>
    </w:p>
    <w:p w14:paraId="0A675120" w14:textId="77777777" w:rsidR="00887EEB" w:rsidRPr="00E248AE" w:rsidRDefault="00887EEB" w:rsidP="00887EEB">
      <w:pPr>
        <w:spacing w:line="240" w:lineRule="auto"/>
        <w:jc w:val="both"/>
        <w:rPr>
          <w:rFonts w:cs="Arial"/>
          <w:szCs w:val="24"/>
          <w:lang w:val="en-CA"/>
        </w:rPr>
      </w:pPr>
    </w:p>
    <w:tbl>
      <w:tblPr>
        <w:tblStyle w:val="Grilledutableau1"/>
        <w:tblW w:w="9088" w:type="dxa"/>
        <w:tblBorders>
          <w:top w:val="none" w:sz="0" w:space="0" w:color="auto"/>
          <w:bottom w:val="none" w:sz="0" w:space="0" w:color="auto"/>
        </w:tblBorders>
        <w:tblLook w:val="04A0" w:firstRow="1" w:lastRow="0" w:firstColumn="1" w:lastColumn="0" w:noHBand="0" w:noVBand="1"/>
      </w:tblPr>
      <w:tblGrid>
        <w:gridCol w:w="2518"/>
        <w:gridCol w:w="6570"/>
      </w:tblGrid>
      <w:tr w:rsidR="00A8574C" w:rsidRPr="006F140A" w14:paraId="06393C66" w14:textId="77777777" w:rsidTr="00AB7802">
        <w:tc>
          <w:tcPr>
            <w:tcW w:w="2518" w:type="dxa"/>
            <w:shd w:val="clear" w:color="auto" w:fill="auto"/>
          </w:tcPr>
          <w:p w14:paraId="389FE73B" w14:textId="77777777" w:rsidR="00887EEB" w:rsidRPr="00E248AE" w:rsidRDefault="00AB7802" w:rsidP="00FB691A">
            <w:pPr>
              <w:spacing w:line="240" w:lineRule="auto"/>
              <w:ind w:left="-108" w:right="317"/>
              <w:jc w:val="both"/>
              <w:rPr>
                <w:rFonts w:cs="Arial"/>
                <w:kern w:val="28"/>
                <w:szCs w:val="24"/>
                <w:lang w:val="en-CA"/>
              </w:rPr>
            </w:pPr>
            <w:r w:rsidRPr="00E248AE">
              <w:rPr>
                <w:rFonts w:cs="Arial"/>
                <w:kern w:val="28"/>
                <w:szCs w:val="24"/>
                <w:lang w:val="en-CA"/>
              </w:rPr>
              <w:t>NATURE OF THE A</w:t>
            </w:r>
            <w:r w:rsidR="00A1634B" w:rsidRPr="00E248AE">
              <w:rPr>
                <w:rFonts w:cs="Arial"/>
                <w:kern w:val="28"/>
                <w:szCs w:val="24"/>
                <w:lang w:val="en-CA"/>
              </w:rPr>
              <w:t>PPE</w:t>
            </w:r>
            <w:r w:rsidRPr="00E248AE">
              <w:rPr>
                <w:rFonts w:cs="Arial"/>
                <w:kern w:val="28"/>
                <w:szCs w:val="24"/>
                <w:lang w:val="en-CA"/>
              </w:rPr>
              <w:t>AL</w:t>
            </w:r>
            <w:r w:rsidR="00A1634B" w:rsidRPr="00E248AE">
              <w:rPr>
                <w:rFonts w:cs="Arial"/>
                <w:kern w:val="28"/>
                <w:szCs w:val="24"/>
                <w:lang w:val="en-CA"/>
              </w:rPr>
              <w:t>:</w:t>
            </w:r>
          </w:p>
        </w:tc>
        <w:tc>
          <w:tcPr>
            <w:tcW w:w="6570" w:type="dxa"/>
            <w:vAlign w:val="center"/>
          </w:tcPr>
          <w:p w14:paraId="69769B85" w14:textId="4AD58432" w:rsidR="00887EEB" w:rsidRPr="00E248AE" w:rsidRDefault="00FB691A" w:rsidP="00FB691A">
            <w:pPr>
              <w:spacing w:line="240" w:lineRule="auto"/>
              <w:ind w:left="317"/>
              <w:jc w:val="both"/>
              <w:rPr>
                <w:rFonts w:cs="Arial"/>
                <w:kern w:val="28"/>
                <w:szCs w:val="24"/>
                <w:lang w:val="en-CA"/>
              </w:rPr>
            </w:pPr>
            <w:bookmarkStart w:id="13" w:name="Nature"/>
            <w:r w:rsidRPr="00E248AE">
              <w:rPr>
                <w:rFonts w:cs="Arial"/>
                <w:b/>
                <w:kern w:val="28"/>
                <w:szCs w:val="24"/>
                <w:lang w:val="en-CA"/>
              </w:rPr>
              <w:t>Class a</w:t>
            </w:r>
            <w:r w:rsidR="00F513B9" w:rsidRPr="00E248AE">
              <w:rPr>
                <w:rFonts w:cs="Arial"/>
                <w:b/>
                <w:kern w:val="28"/>
                <w:szCs w:val="24"/>
                <w:lang w:val="en-CA"/>
              </w:rPr>
              <w:t>ction</w:t>
            </w:r>
            <w:bookmarkEnd w:id="13"/>
            <w:r w:rsidRPr="00E248AE">
              <w:rPr>
                <w:rFonts w:cs="Arial"/>
                <w:b/>
                <w:kern w:val="28"/>
                <w:szCs w:val="24"/>
                <w:lang w:val="en-CA"/>
              </w:rPr>
              <w:t xml:space="preserve"> – Liability – Investment Industry Regulatory Organization of Canada </w:t>
            </w:r>
            <w:r w:rsidR="00A1634B" w:rsidRPr="00E248AE">
              <w:rPr>
                <w:rFonts w:cs="Arial"/>
                <w:b/>
                <w:kern w:val="28"/>
                <w:szCs w:val="24"/>
                <w:lang w:val="en-CA"/>
              </w:rPr>
              <w:t xml:space="preserve">– </w:t>
            </w:r>
            <w:r w:rsidRPr="00E248AE">
              <w:rPr>
                <w:rFonts w:cs="Arial"/>
                <w:b/>
                <w:kern w:val="28"/>
                <w:szCs w:val="24"/>
                <w:lang w:val="en-CA"/>
              </w:rPr>
              <w:t xml:space="preserve">Loss of personal information </w:t>
            </w:r>
            <w:r w:rsidR="00A1634B" w:rsidRPr="00E248AE">
              <w:rPr>
                <w:rFonts w:cs="Arial"/>
                <w:b/>
                <w:kern w:val="28"/>
                <w:szCs w:val="24"/>
                <w:lang w:val="en-CA"/>
              </w:rPr>
              <w:t xml:space="preserve">– </w:t>
            </w:r>
            <w:r w:rsidR="003B1746" w:rsidRPr="00E248AE">
              <w:rPr>
                <w:rFonts w:cs="Arial"/>
                <w:b/>
                <w:kern w:val="28"/>
                <w:szCs w:val="24"/>
                <w:lang w:val="en-CA"/>
              </w:rPr>
              <w:t>A</w:t>
            </w:r>
            <w:r w:rsidRPr="00E248AE">
              <w:rPr>
                <w:rFonts w:cs="Arial"/>
                <w:b/>
                <w:kern w:val="28"/>
                <w:szCs w:val="24"/>
                <w:lang w:val="en-CA"/>
              </w:rPr>
              <w:t xml:space="preserve">bsence of compensable injury </w:t>
            </w:r>
            <w:r w:rsidR="00A1634B" w:rsidRPr="00E248AE">
              <w:rPr>
                <w:rFonts w:cs="Arial"/>
                <w:b/>
                <w:kern w:val="28"/>
                <w:szCs w:val="24"/>
                <w:lang w:val="en-CA"/>
              </w:rPr>
              <w:t xml:space="preserve">– </w:t>
            </w:r>
            <w:r w:rsidR="009C045E" w:rsidRPr="00E248AE">
              <w:rPr>
                <w:rFonts w:cs="Arial"/>
                <w:b/>
                <w:kern w:val="28"/>
                <w:szCs w:val="24"/>
                <w:lang w:val="en-CA"/>
              </w:rPr>
              <w:t>Ordinary annoyance</w:t>
            </w:r>
            <w:r w:rsidR="004E682C" w:rsidRPr="00E248AE">
              <w:rPr>
                <w:rFonts w:cs="Arial"/>
                <w:b/>
                <w:kern w:val="28"/>
                <w:szCs w:val="24"/>
                <w:lang w:val="en-CA"/>
              </w:rPr>
              <w:t>s</w:t>
            </w:r>
            <w:r w:rsidR="00A1634B" w:rsidRPr="00E248AE">
              <w:rPr>
                <w:rFonts w:cs="Arial"/>
                <w:b/>
                <w:kern w:val="28"/>
                <w:szCs w:val="24"/>
                <w:lang w:val="en-CA"/>
              </w:rPr>
              <w:t>.</w:t>
            </w:r>
          </w:p>
        </w:tc>
      </w:tr>
    </w:tbl>
    <w:p w14:paraId="5CCECAED" w14:textId="77777777" w:rsidR="00887EEB" w:rsidRPr="00E248AE" w:rsidRDefault="00887EEB" w:rsidP="00887EEB">
      <w:pPr>
        <w:spacing w:line="240" w:lineRule="auto"/>
        <w:jc w:val="both"/>
        <w:rPr>
          <w:rFonts w:cs="Arial"/>
          <w:szCs w:val="24"/>
          <w:lang w:val="en-CA"/>
        </w:rPr>
      </w:pPr>
    </w:p>
    <w:tbl>
      <w:tblPr>
        <w:tblW w:w="936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4930"/>
        <w:gridCol w:w="4430"/>
      </w:tblGrid>
      <w:tr w:rsidR="00A8574C" w:rsidRPr="00E248AE" w14:paraId="44836CBF" w14:textId="77777777" w:rsidTr="00FB3369">
        <w:trPr>
          <w:cantSplit/>
          <w:trHeight w:val="397"/>
        </w:trPr>
        <w:tc>
          <w:tcPr>
            <w:tcW w:w="4930" w:type="dxa"/>
            <w:tcBorders>
              <w:top w:val="single" w:sz="4" w:space="0" w:color="auto"/>
              <w:bottom w:val="single" w:sz="4" w:space="0" w:color="auto"/>
              <w:right w:val="single" w:sz="4" w:space="0" w:color="auto"/>
            </w:tcBorders>
            <w:vAlign w:val="center"/>
          </w:tcPr>
          <w:p w14:paraId="044BD6F2" w14:textId="7C3D60AE" w:rsidR="00887EEB" w:rsidRPr="00E248AE" w:rsidRDefault="00FB691A" w:rsidP="00887EEB">
            <w:pPr>
              <w:spacing w:before="120" w:after="120" w:line="240" w:lineRule="auto"/>
              <w:rPr>
                <w:rFonts w:cs="Arial"/>
                <w:szCs w:val="24"/>
                <w:lang w:val="en-CA"/>
              </w:rPr>
            </w:pPr>
            <w:r w:rsidRPr="00E248AE">
              <w:rPr>
                <w:rFonts w:cs="Arial"/>
                <w:szCs w:val="24"/>
                <w:lang w:val="en-CA"/>
              </w:rPr>
              <w:t>Clerk</w:t>
            </w:r>
            <w:r w:rsidR="009C045E" w:rsidRPr="00E248AE">
              <w:rPr>
                <w:rFonts w:cs="Arial"/>
                <w:szCs w:val="24"/>
                <w:lang w:val="en-CA"/>
              </w:rPr>
              <w:t xml:space="preserve"> at the hearing</w:t>
            </w:r>
            <w:r w:rsidR="00A1634B" w:rsidRPr="00E248AE">
              <w:rPr>
                <w:rFonts w:cs="Arial"/>
                <w:szCs w:val="24"/>
                <w:lang w:val="en-CA"/>
              </w:rPr>
              <w:t xml:space="preserve">: </w:t>
            </w:r>
            <w:bookmarkStart w:id="14" w:name="Nom_greffier"/>
            <w:r w:rsidR="00A1634B" w:rsidRPr="00E248AE">
              <w:rPr>
                <w:rFonts w:cs="Arial"/>
                <w:szCs w:val="24"/>
                <w:lang w:val="en-CA"/>
              </w:rPr>
              <w:t>Lesly Ramos</w:t>
            </w:r>
            <w:bookmarkEnd w:id="14"/>
          </w:p>
        </w:tc>
        <w:tc>
          <w:tcPr>
            <w:tcW w:w="4430" w:type="dxa"/>
            <w:tcBorders>
              <w:left w:val="single" w:sz="4" w:space="0" w:color="auto"/>
            </w:tcBorders>
            <w:vAlign w:val="center"/>
          </w:tcPr>
          <w:p w14:paraId="6C81A427" w14:textId="59B2F057" w:rsidR="00887EEB" w:rsidRPr="00E248AE" w:rsidRDefault="009C045E" w:rsidP="00887EEB">
            <w:pPr>
              <w:spacing w:line="240" w:lineRule="auto"/>
              <w:jc w:val="both"/>
              <w:rPr>
                <w:rFonts w:eastAsiaTheme="minorHAnsi" w:cs="Arial"/>
                <w:szCs w:val="24"/>
                <w:lang w:val="en-CA" w:eastAsia="en-US"/>
              </w:rPr>
            </w:pPr>
            <w:r w:rsidRPr="00E248AE">
              <w:rPr>
                <w:rFonts w:cs="Arial"/>
                <w:szCs w:val="24"/>
                <w:lang w:val="en-CA"/>
              </w:rPr>
              <w:t>Courtr</w:t>
            </w:r>
            <w:r w:rsidR="00FB691A" w:rsidRPr="00E248AE">
              <w:rPr>
                <w:rFonts w:cs="Arial"/>
                <w:szCs w:val="24"/>
                <w:lang w:val="en-CA"/>
              </w:rPr>
              <w:t>oom</w:t>
            </w:r>
            <w:r w:rsidR="00A1634B" w:rsidRPr="00E248AE">
              <w:rPr>
                <w:rFonts w:cs="Arial"/>
                <w:szCs w:val="24"/>
                <w:lang w:val="en-CA"/>
              </w:rPr>
              <w:t xml:space="preserve">: </w:t>
            </w:r>
            <w:bookmarkStart w:id="15" w:name="Salle"/>
            <w:r w:rsidR="00F513B9" w:rsidRPr="00E248AE">
              <w:rPr>
                <w:rFonts w:cs="Arial"/>
                <w:szCs w:val="24"/>
                <w:lang w:val="en-CA"/>
              </w:rPr>
              <w:t>Antonio-Lamer</w:t>
            </w:r>
            <w:bookmarkEnd w:id="15"/>
            <w:r w:rsidR="00A738A7" w:rsidRPr="00E248AE">
              <w:rPr>
                <w:rFonts w:cs="Arial"/>
                <w:szCs w:val="24"/>
                <w:lang w:val="en-CA"/>
              </w:rPr>
              <w:fldChar w:fldCharType="begin"/>
            </w:r>
            <w:r w:rsidR="00A1634B" w:rsidRPr="00E248AE">
              <w:rPr>
                <w:rFonts w:cs="Arial"/>
                <w:szCs w:val="24"/>
                <w:lang w:val="en-CA"/>
              </w:rPr>
              <w:instrText xml:space="preserve">  </w:instrText>
            </w:r>
            <w:r w:rsidR="00A738A7" w:rsidRPr="00E248AE">
              <w:rPr>
                <w:rFonts w:cs="Arial"/>
                <w:szCs w:val="24"/>
                <w:lang w:val="en-CA"/>
              </w:rPr>
              <w:fldChar w:fldCharType="end"/>
            </w:r>
          </w:p>
        </w:tc>
      </w:tr>
    </w:tbl>
    <w:p w14:paraId="00EFA98B" w14:textId="77777777" w:rsidR="00E44A1C" w:rsidRPr="00E248AE" w:rsidRDefault="00E44A1C">
      <w:pPr>
        <w:spacing w:line="240" w:lineRule="auto"/>
        <w:rPr>
          <w:rFonts w:cs="Arial"/>
          <w:szCs w:val="24"/>
          <w:lang w:val="en-CA"/>
        </w:rPr>
      </w:pPr>
    </w:p>
    <w:p w14:paraId="0547D7EC" w14:textId="77777777" w:rsidR="00434D64" w:rsidRPr="00E248AE" w:rsidRDefault="00434D64">
      <w:pPr>
        <w:spacing w:line="240" w:lineRule="auto"/>
        <w:rPr>
          <w:rFonts w:cs="Arial"/>
          <w:szCs w:val="24"/>
          <w:lang w:val="en-CA"/>
        </w:rPr>
      </w:pPr>
    </w:p>
    <w:tbl>
      <w:tblPr>
        <w:tblStyle w:val="Grilledutableau1"/>
        <w:tblW w:w="9360" w:type="dxa"/>
        <w:tblBorders>
          <w:insideH w:val="single" w:sz="4" w:space="0" w:color="auto"/>
          <w:insideV w:val="single" w:sz="4" w:space="0" w:color="auto"/>
        </w:tblBorders>
        <w:tblLook w:val="04A0" w:firstRow="1" w:lastRow="0" w:firstColumn="1" w:lastColumn="0" w:noHBand="0" w:noVBand="1"/>
      </w:tblPr>
      <w:tblGrid>
        <w:gridCol w:w="9360"/>
      </w:tblGrid>
      <w:tr w:rsidR="00A8574C" w:rsidRPr="00E248AE" w14:paraId="34BE4199" w14:textId="77777777" w:rsidTr="00FB3369">
        <w:tc>
          <w:tcPr>
            <w:tcW w:w="9360" w:type="dxa"/>
            <w:vAlign w:val="center"/>
          </w:tcPr>
          <w:p w14:paraId="30332279" w14:textId="77777777" w:rsidR="00887EEB" w:rsidRPr="00E248AE" w:rsidRDefault="00FB691A" w:rsidP="00887EEB">
            <w:pPr>
              <w:spacing w:before="240" w:after="240" w:line="240" w:lineRule="auto"/>
              <w:jc w:val="center"/>
              <w:rPr>
                <w:lang w:val="en-CA"/>
              </w:rPr>
            </w:pPr>
            <w:r w:rsidRPr="00E248AE">
              <w:rPr>
                <w:lang w:val="en-CA"/>
              </w:rPr>
              <w:t>HEARING</w:t>
            </w:r>
          </w:p>
        </w:tc>
      </w:tr>
    </w:tbl>
    <w:p w14:paraId="01E769A2" w14:textId="77777777" w:rsidR="00887EEB" w:rsidRPr="00E248AE" w:rsidRDefault="00887EEB" w:rsidP="00887EEB">
      <w:pPr>
        <w:spacing w:line="240" w:lineRule="auto"/>
        <w:jc w:val="both"/>
        <w:rPr>
          <w:rFonts w:cs="Arial"/>
          <w:szCs w:val="24"/>
          <w:lang w:val="en-CA"/>
        </w:rPr>
      </w:pPr>
    </w:p>
    <w:tbl>
      <w:tblPr>
        <w:tblW w:w="9360"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8100"/>
      </w:tblGrid>
      <w:tr w:rsidR="00A8574C" w:rsidRPr="006F140A" w14:paraId="21EF636C" w14:textId="77777777" w:rsidTr="00FB3369">
        <w:trPr>
          <w:trHeight w:val="260"/>
        </w:trPr>
        <w:tc>
          <w:tcPr>
            <w:tcW w:w="1260" w:type="dxa"/>
            <w:tcBorders>
              <w:top w:val="nil"/>
              <w:bottom w:val="single" w:sz="4" w:space="0" w:color="auto"/>
              <w:right w:val="nil"/>
            </w:tcBorders>
          </w:tcPr>
          <w:p w14:paraId="25CC1BEC" w14:textId="77777777" w:rsidR="00887EEB" w:rsidRPr="00E248AE" w:rsidRDefault="00FB691A" w:rsidP="00887EEB">
            <w:pPr>
              <w:spacing w:before="120" w:after="120" w:line="240" w:lineRule="auto"/>
              <w:jc w:val="both"/>
              <w:rPr>
                <w:rFonts w:cs="Arial"/>
                <w:szCs w:val="24"/>
                <w:lang w:val="en-CA"/>
              </w:rPr>
            </w:pPr>
            <w:r w:rsidRPr="00E248AE">
              <w:rPr>
                <w:rFonts w:cs="Arial"/>
                <w:szCs w:val="24"/>
                <w:lang w:val="en-CA"/>
              </w:rPr>
              <w:t>9:</w:t>
            </w:r>
            <w:r w:rsidR="00A1634B" w:rsidRPr="00E248AE">
              <w:rPr>
                <w:rFonts w:cs="Arial"/>
                <w:szCs w:val="24"/>
                <w:lang w:val="en-CA"/>
              </w:rPr>
              <w:t>3</w:t>
            </w:r>
            <w:r w:rsidR="00434D64" w:rsidRPr="00E248AE">
              <w:rPr>
                <w:rFonts w:cs="Arial"/>
                <w:szCs w:val="24"/>
                <w:lang w:val="en-CA"/>
              </w:rPr>
              <w:t>4</w:t>
            </w:r>
            <w:r w:rsidRPr="00E248AE">
              <w:rPr>
                <w:rFonts w:cs="Arial"/>
                <w:szCs w:val="24"/>
                <w:lang w:val="en-CA"/>
              </w:rPr>
              <w:t xml:space="preserve"> a.m.</w:t>
            </w:r>
          </w:p>
        </w:tc>
        <w:tc>
          <w:tcPr>
            <w:tcW w:w="8100" w:type="dxa"/>
            <w:tcBorders>
              <w:top w:val="nil"/>
              <w:left w:val="nil"/>
              <w:bottom w:val="single" w:sz="4" w:space="0" w:color="auto"/>
            </w:tcBorders>
          </w:tcPr>
          <w:p w14:paraId="2257E114" w14:textId="40BB20A2" w:rsidR="00887EEB" w:rsidRPr="00E248AE" w:rsidRDefault="00E45CB1" w:rsidP="00887EEB">
            <w:pPr>
              <w:spacing w:before="120" w:after="120" w:line="240" w:lineRule="auto"/>
              <w:jc w:val="both"/>
              <w:rPr>
                <w:rFonts w:cs="Arial"/>
                <w:szCs w:val="24"/>
                <w:lang w:val="en-CA"/>
              </w:rPr>
            </w:pPr>
            <w:r w:rsidRPr="00E248AE">
              <w:rPr>
                <w:rFonts w:cs="Arial"/>
                <w:szCs w:val="24"/>
                <w:lang w:val="en-CA"/>
              </w:rPr>
              <w:t>Commencement</w:t>
            </w:r>
            <w:r w:rsidR="00FB691A" w:rsidRPr="00E248AE">
              <w:rPr>
                <w:rFonts w:cs="Arial"/>
                <w:szCs w:val="24"/>
                <w:lang w:val="en-CA"/>
              </w:rPr>
              <w:t xml:space="preserve"> of the hearing</w:t>
            </w:r>
            <w:r w:rsidR="00A1634B" w:rsidRPr="00E248AE">
              <w:rPr>
                <w:rFonts w:cs="Arial"/>
                <w:szCs w:val="24"/>
                <w:lang w:val="en-CA"/>
              </w:rPr>
              <w:t>.</w:t>
            </w:r>
          </w:p>
          <w:p w14:paraId="20626ECF" w14:textId="5288C823" w:rsidR="002D5C9C" w:rsidRPr="00E248AE" w:rsidRDefault="00E45CB1" w:rsidP="00887EEB">
            <w:pPr>
              <w:spacing w:before="120" w:after="120" w:line="240" w:lineRule="auto"/>
              <w:jc w:val="both"/>
              <w:rPr>
                <w:rFonts w:cs="Arial"/>
                <w:iCs/>
                <w:szCs w:val="24"/>
                <w:lang w:val="en-CA" w:eastAsia="fr-CA"/>
              </w:rPr>
            </w:pPr>
            <w:r w:rsidRPr="00E248AE">
              <w:rPr>
                <w:rFonts w:cs="Arial"/>
                <w:b/>
                <w:bCs/>
                <w:iCs/>
                <w:szCs w:val="24"/>
                <w:lang w:val="en-CA" w:eastAsia="fr-CA"/>
              </w:rPr>
              <w:t>Resumption</w:t>
            </w:r>
            <w:r w:rsidR="00A1634B" w:rsidRPr="00E248AE">
              <w:rPr>
                <w:rFonts w:cs="Arial"/>
                <w:iCs/>
                <w:szCs w:val="24"/>
                <w:lang w:val="en-CA" w:eastAsia="fr-CA"/>
              </w:rPr>
              <w:t xml:space="preserve"> </w:t>
            </w:r>
            <w:r w:rsidR="00FB691A" w:rsidRPr="00E248AE">
              <w:rPr>
                <w:rFonts w:cs="Arial"/>
                <w:iCs/>
                <w:szCs w:val="24"/>
                <w:lang w:val="en-CA" w:eastAsia="fr-CA"/>
              </w:rPr>
              <w:t xml:space="preserve">of the hearing of May 10, </w:t>
            </w:r>
            <w:r w:rsidR="007658A6" w:rsidRPr="00E248AE">
              <w:rPr>
                <w:rFonts w:cs="Arial"/>
                <w:iCs/>
                <w:szCs w:val="24"/>
                <w:lang w:val="en-CA" w:eastAsia="fr-CA"/>
              </w:rPr>
              <w:t>2022</w:t>
            </w:r>
            <w:r w:rsidR="00A1634B" w:rsidRPr="00E248AE">
              <w:rPr>
                <w:rFonts w:cs="Arial"/>
                <w:iCs/>
                <w:szCs w:val="24"/>
                <w:lang w:val="en-CA" w:eastAsia="fr-CA"/>
              </w:rPr>
              <w:t>.</w:t>
            </w:r>
            <w:r w:rsidR="00FB691A" w:rsidRPr="00E248AE">
              <w:rPr>
                <w:rFonts w:cs="Arial"/>
                <w:iCs/>
                <w:szCs w:val="24"/>
                <w:lang w:val="en-CA" w:eastAsia="fr-CA"/>
              </w:rPr>
              <w:t xml:space="preserve"> The</w:t>
            </w:r>
            <w:r w:rsidR="00A1634B" w:rsidRPr="00E248AE">
              <w:rPr>
                <w:rFonts w:cs="Arial"/>
                <w:iCs/>
                <w:szCs w:val="24"/>
                <w:lang w:val="en-CA" w:eastAsia="fr-CA"/>
              </w:rPr>
              <w:t xml:space="preserve"> parties </w:t>
            </w:r>
            <w:r w:rsidR="00FB691A" w:rsidRPr="00E248AE">
              <w:rPr>
                <w:rFonts w:cs="Arial"/>
                <w:iCs/>
                <w:szCs w:val="24"/>
                <w:lang w:val="en-CA" w:eastAsia="fr-CA"/>
              </w:rPr>
              <w:t xml:space="preserve">were </w:t>
            </w:r>
            <w:r w:rsidRPr="00E248AE">
              <w:rPr>
                <w:rFonts w:cs="Arial"/>
                <w:iCs/>
                <w:szCs w:val="24"/>
                <w:lang w:val="en-CA" w:eastAsia="fr-CA"/>
              </w:rPr>
              <w:t>excused from appearing in Court</w:t>
            </w:r>
            <w:r w:rsidR="00FB691A" w:rsidRPr="00E248AE">
              <w:rPr>
                <w:rFonts w:cs="Arial"/>
                <w:iCs/>
                <w:szCs w:val="24"/>
                <w:lang w:val="en-CA" w:eastAsia="fr-CA"/>
              </w:rPr>
              <w:t>.</w:t>
            </w:r>
          </w:p>
          <w:p w14:paraId="7B41AF4F" w14:textId="6472D083" w:rsidR="00CE3563" w:rsidRPr="00E248AE" w:rsidRDefault="00E45CB1" w:rsidP="00FB691A">
            <w:pPr>
              <w:spacing w:before="120" w:after="120" w:line="240" w:lineRule="auto"/>
              <w:jc w:val="both"/>
              <w:rPr>
                <w:rFonts w:cs="Arial"/>
                <w:szCs w:val="24"/>
                <w:lang w:val="en-CA"/>
              </w:rPr>
            </w:pPr>
            <w:r w:rsidRPr="00E248AE">
              <w:rPr>
                <w:rFonts w:cs="Arial"/>
                <w:b/>
                <w:szCs w:val="24"/>
                <w:lang w:val="en-CA"/>
              </w:rPr>
              <w:t>BY</w:t>
            </w:r>
            <w:r w:rsidR="00FB691A" w:rsidRPr="00E248AE">
              <w:rPr>
                <w:rFonts w:cs="Arial"/>
                <w:b/>
                <w:szCs w:val="24"/>
                <w:lang w:val="en-CA"/>
              </w:rPr>
              <w:t xml:space="preserve"> THE COURT</w:t>
            </w:r>
            <w:r w:rsidRPr="00E248AE">
              <w:rPr>
                <w:rFonts w:cs="Arial"/>
                <w:b/>
                <w:szCs w:val="24"/>
                <w:lang w:val="en-CA"/>
              </w:rPr>
              <w:t>:</w:t>
            </w:r>
            <w:r w:rsidRPr="00E248AE">
              <w:rPr>
                <w:rFonts w:cs="Arial"/>
                <w:bCs/>
                <w:szCs w:val="24"/>
                <w:lang w:val="en-CA"/>
              </w:rPr>
              <w:t xml:space="preserve"> Judgment </w:t>
            </w:r>
            <w:r w:rsidR="00FB691A" w:rsidRPr="00E248AE">
              <w:rPr>
                <w:rFonts w:cs="Arial"/>
                <w:szCs w:val="24"/>
                <w:lang w:val="en-CA"/>
              </w:rPr>
              <w:t>– see</w:t>
            </w:r>
            <w:r w:rsidR="00A1634B" w:rsidRPr="00E248AE">
              <w:rPr>
                <w:rFonts w:cs="Arial"/>
                <w:szCs w:val="24"/>
                <w:lang w:val="en-CA"/>
              </w:rPr>
              <w:t xml:space="preserve"> page 3.</w:t>
            </w:r>
          </w:p>
        </w:tc>
      </w:tr>
      <w:tr w:rsidR="00A8574C" w:rsidRPr="00E248AE" w14:paraId="701C4A8E" w14:textId="77777777" w:rsidTr="00FB3369">
        <w:trPr>
          <w:trHeight w:val="260"/>
        </w:trPr>
        <w:tc>
          <w:tcPr>
            <w:tcW w:w="1260" w:type="dxa"/>
            <w:tcBorders>
              <w:top w:val="nil"/>
              <w:bottom w:val="single" w:sz="4" w:space="0" w:color="auto"/>
              <w:right w:val="nil"/>
            </w:tcBorders>
          </w:tcPr>
          <w:p w14:paraId="77C5EFE3" w14:textId="77777777" w:rsidR="00434D64" w:rsidRPr="00E248AE" w:rsidRDefault="00FB691A" w:rsidP="00887EEB">
            <w:pPr>
              <w:spacing w:before="120" w:after="120" w:line="240" w:lineRule="auto"/>
              <w:jc w:val="both"/>
              <w:rPr>
                <w:rFonts w:cs="Arial"/>
                <w:szCs w:val="24"/>
                <w:lang w:val="en-CA"/>
              </w:rPr>
            </w:pPr>
            <w:r w:rsidRPr="00E248AE">
              <w:rPr>
                <w:rFonts w:cs="Arial"/>
                <w:szCs w:val="24"/>
                <w:lang w:val="en-CA"/>
              </w:rPr>
              <w:t>9:</w:t>
            </w:r>
            <w:r w:rsidR="00A1634B" w:rsidRPr="00E248AE">
              <w:rPr>
                <w:rFonts w:cs="Arial"/>
                <w:szCs w:val="24"/>
                <w:lang w:val="en-CA"/>
              </w:rPr>
              <w:t>35</w:t>
            </w:r>
            <w:r w:rsidRPr="00E248AE">
              <w:rPr>
                <w:rFonts w:cs="Arial"/>
                <w:szCs w:val="24"/>
                <w:lang w:val="en-CA"/>
              </w:rPr>
              <w:t xml:space="preserve"> a.m.</w:t>
            </w:r>
          </w:p>
        </w:tc>
        <w:tc>
          <w:tcPr>
            <w:tcW w:w="8100" w:type="dxa"/>
            <w:tcBorders>
              <w:top w:val="nil"/>
              <w:left w:val="nil"/>
              <w:bottom w:val="single" w:sz="4" w:space="0" w:color="auto"/>
            </w:tcBorders>
          </w:tcPr>
          <w:p w14:paraId="7F90C681" w14:textId="77777777" w:rsidR="00434D64" w:rsidRPr="00E248AE" w:rsidRDefault="00FB691A" w:rsidP="00FB691A">
            <w:pPr>
              <w:spacing w:before="120" w:after="120" w:line="240" w:lineRule="auto"/>
              <w:jc w:val="both"/>
              <w:rPr>
                <w:rFonts w:cs="Arial"/>
                <w:szCs w:val="24"/>
                <w:lang w:val="en-CA"/>
              </w:rPr>
            </w:pPr>
            <w:r w:rsidRPr="00E248AE">
              <w:rPr>
                <w:rFonts w:cs="Arial"/>
                <w:szCs w:val="24"/>
                <w:lang w:val="en-CA"/>
              </w:rPr>
              <w:t>End of the hearing.</w:t>
            </w:r>
          </w:p>
        </w:tc>
      </w:tr>
      <w:tr w:rsidR="00A8574C" w:rsidRPr="00E248AE" w14:paraId="663B70F8" w14:textId="77777777" w:rsidTr="00FB3369">
        <w:trPr>
          <w:trHeight w:val="251"/>
        </w:trPr>
        <w:tc>
          <w:tcPr>
            <w:tcW w:w="1260" w:type="dxa"/>
            <w:tcBorders>
              <w:top w:val="single" w:sz="4" w:space="0" w:color="auto"/>
              <w:bottom w:val="nil"/>
              <w:right w:val="nil"/>
            </w:tcBorders>
          </w:tcPr>
          <w:p w14:paraId="086527FE" w14:textId="77777777" w:rsidR="00887EEB" w:rsidRPr="00E248AE" w:rsidRDefault="00887EEB" w:rsidP="00887EEB">
            <w:pPr>
              <w:spacing w:before="120" w:after="120" w:line="240" w:lineRule="auto"/>
              <w:jc w:val="both"/>
              <w:rPr>
                <w:rFonts w:cs="Arial"/>
                <w:szCs w:val="24"/>
                <w:lang w:val="en-CA"/>
              </w:rPr>
            </w:pPr>
          </w:p>
        </w:tc>
        <w:tc>
          <w:tcPr>
            <w:tcW w:w="8100" w:type="dxa"/>
            <w:tcBorders>
              <w:top w:val="single" w:sz="4" w:space="0" w:color="auto"/>
              <w:left w:val="nil"/>
            </w:tcBorders>
          </w:tcPr>
          <w:p w14:paraId="2BBBFF3C" w14:textId="77777777" w:rsidR="00887EEB" w:rsidRPr="00E248AE" w:rsidRDefault="00887EEB" w:rsidP="00887EEB">
            <w:pPr>
              <w:spacing w:before="120" w:after="120" w:line="240" w:lineRule="auto"/>
              <w:jc w:val="both"/>
              <w:rPr>
                <w:rFonts w:cs="Arial"/>
                <w:szCs w:val="24"/>
                <w:lang w:val="en-CA"/>
              </w:rPr>
            </w:pPr>
          </w:p>
        </w:tc>
      </w:tr>
    </w:tbl>
    <w:p w14:paraId="1169C193" w14:textId="77777777" w:rsidR="00887EEB" w:rsidRPr="00E248AE" w:rsidRDefault="00887EEB" w:rsidP="00887EEB">
      <w:pPr>
        <w:spacing w:line="240" w:lineRule="auto"/>
        <w:rPr>
          <w:rFonts w:cs="Arial"/>
          <w:szCs w:val="24"/>
          <w:lang w:val="en-CA"/>
        </w:rPr>
      </w:pPr>
    </w:p>
    <w:tbl>
      <w:tblPr>
        <w:tblStyle w:val="Grilledutableau1"/>
        <w:tblW w:w="0" w:type="auto"/>
        <w:tblBorders>
          <w:top w:val="none" w:sz="0" w:space="0" w:color="auto"/>
          <w:bottom w:val="none" w:sz="0" w:space="0" w:color="auto"/>
        </w:tblBorders>
        <w:tblLook w:val="04A0" w:firstRow="1" w:lastRow="0" w:firstColumn="1" w:lastColumn="0" w:noHBand="0" w:noVBand="1"/>
      </w:tblPr>
      <w:tblGrid>
        <w:gridCol w:w="4770"/>
      </w:tblGrid>
      <w:tr w:rsidR="00A8574C" w:rsidRPr="00E248AE" w14:paraId="5C0A8EA0" w14:textId="77777777" w:rsidTr="002159AA">
        <w:tc>
          <w:tcPr>
            <w:tcW w:w="4770" w:type="dxa"/>
            <w:tcBorders>
              <w:bottom w:val="single" w:sz="4" w:space="0" w:color="auto"/>
            </w:tcBorders>
          </w:tcPr>
          <w:p w14:paraId="2133D1F6" w14:textId="77777777" w:rsidR="00887EEB" w:rsidRPr="00E248AE" w:rsidRDefault="00887EEB" w:rsidP="00887EEB">
            <w:pPr>
              <w:spacing w:line="240" w:lineRule="auto"/>
              <w:jc w:val="both"/>
              <w:rPr>
                <w:rFonts w:cs="Arial"/>
                <w:szCs w:val="24"/>
                <w:lang w:val="en-CA"/>
              </w:rPr>
            </w:pPr>
          </w:p>
        </w:tc>
      </w:tr>
      <w:tr w:rsidR="00A8574C" w:rsidRPr="006F140A" w14:paraId="72BE7AF9" w14:textId="77777777" w:rsidTr="002159AA">
        <w:tc>
          <w:tcPr>
            <w:tcW w:w="4770" w:type="dxa"/>
            <w:tcBorders>
              <w:top w:val="single" w:sz="4" w:space="0" w:color="auto"/>
            </w:tcBorders>
          </w:tcPr>
          <w:p w14:paraId="1C0E7C2D" w14:textId="1C9EAD14" w:rsidR="00887EEB" w:rsidRPr="00E248AE" w:rsidRDefault="00A1634B" w:rsidP="00887EEB">
            <w:pPr>
              <w:spacing w:line="240" w:lineRule="auto"/>
              <w:jc w:val="both"/>
              <w:rPr>
                <w:rFonts w:cs="Arial"/>
                <w:szCs w:val="24"/>
                <w:lang w:val="en-CA"/>
              </w:rPr>
            </w:pPr>
            <w:r w:rsidRPr="00E248AE">
              <w:rPr>
                <w:rFonts w:cs="Arial"/>
                <w:szCs w:val="24"/>
                <w:lang w:val="en-CA"/>
              </w:rPr>
              <w:t xml:space="preserve">Lesly Ramos, </w:t>
            </w:r>
            <w:r w:rsidR="00FB691A" w:rsidRPr="00E248AE">
              <w:rPr>
                <w:rFonts w:cs="Arial"/>
                <w:szCs w:val="24"/>
                <w:lang w:val="en-CA"/>
              </w:rPr>
              <w:t>Clerk</w:t>
            </w:r>
            <w:r w:rsidR="00E45CB1" w:rsidRPr="00E248AE">
              <w:rPr>
                <w:rFonts w:cs="Arial"/>
                <w:szCs w:val="24"/>
                <w:lang w:val="en-CA"/>
              </w:rPr>
              <w:t xml:space="preserve"> at the hearing</w:t>
            </w:r>
          </w:p>
        </w:tc>
      </w:tr>
    </w:tbl>
    <w:p w14:paraId="10809E3E" w14:textId="77777777" w:rsidR="002C7179" w:rsidRPr="00E248AE" w:rsidRDefault="002C7179" w:rsidP="002C7179">
      <w:pPr>
        <w:spacing w:after="160" w:line="259" w:lineRule="auto"/>
        <w:rPr>
          <w:rFonts w:cs="Arial"/>
          <w:szCs w:val="24"/>
          <w:lang w:val="en-CA"/>
        </w:rPr>
      </w:pPr>
    </w:p>
    <w:p w14:paraId="314366B3" w14:textId="77777777" w:rsidR="002C7179" w:rsidRPr="00E248AE" w:rsidRDefault="00A1634B">
      <w:pPr>
        <w:spacing w:line="240" w:lineRule="auto"/>
        <w:rPr>
          <w:rFonts w:cs="Arial"/>
          <w:szCs w:val="24"/>
          <w:lang w:val="en-CA"/>
        </w:rPr>
      </w:pPr>
      <w:r w:rsidRPr="00E248AE">
        <w:rPr>
          <w:rFonts w:cs="Arial"/>
          <w:szCs w:val="24"/>
          <w:lang w:val="en-CA"/>
        </w:rPr>
        <w:br w:type="page"/>
      </w:r>
    </w:p>
    <w:tbl>
      <w:tblPr>
        <w:tblStyle w:val="Grilledutableau1"/>
        <w:tblW w:w="9360" w:type="dxa"/>
        <w:tblBorders>
          <w:top w:val="single" w:sz="8" w:space="0" w:color="auto"/>
          <w:bottom w:val="single" w:sz="8" w:space="0" w:color="auto"/>
        </w:tblBorders>
        <w:tblLook w:val="04A0" w:firstRow="1" w:lastRow="0" w:firstColumn="1" w:lastColumn="0" w:noHBand="0" w:noVBand="1"/>
      </w:tblPr>
      <w:tblGrid>
        <w:gridCol w:w="9360"/>
      </w:tblGrid>
      <w:tr w:rsidR="00A8574C" w:rsidRPr="00E248AE" w14:paraId="6278F4F0" w14:textId="77777777" w:rsidTr="00FB3369">
        <w:tc>
          <w:tcPr>
            <w:tcW w:w="9360" w:type="dxa"/>
            <w:vAlign w:val="center"/>
          </w:tcPr>
          <w:p w14:paraId="01C7A105" w14:textId="0E62A991" w:rsidR="00887EEB" w:rsidRPr="00E248AE" w:rsidRDefault="00E45CB1" w:rsidP="00887EEB">
            <w:pPr>
              <w:spacing w:before="240" w:after="240" w:line="240" w:lineRule="exact"/>
              <w:jc w:val="center"/>
              <w:rPr>
                <w:lang w:val="en-CA"/>
              </w:rPr>
            </w:pPr>
            <w:r w:rsidRPr="00E248AE">
              <w:rPr>
                <w:lang w:val="en-CA"/>
              </w:rPr>
              <w:lastRenderedPageBreak/>
              <w:t>JUDGMENT</w:t>
            </w:r>
          </w:p>
        </w:tc>
      </w:tr>
    </w:tbl>
    <w:p w14:paraId="555976E7" w14:textId="77777777" w:rsidR="00887EEB" w:rsidRPr="00E248AE" w:rsidRDefault="00887EEB" w:rsidP="00887EEB">
      <w:pPr>
        <w:spacing w:line="240" w:lineRule="auto"/>
        <w:jc w:val="both"/>
        <w:rPr>
          <w:lang w:val="en-CA"/>
        </w:rPr>
      </w:pPr>
    </w:p>
    <w:p w14:paraId="643352FC" w14:textId="77777777" w:rsidR="00887EEB" w:rsidRPr="00E248AE" w:rsidRDefault="00887EEB" w:rsidP="00394C57">
      <w:pPr>
        <w:spacing w:line="240" w:lineRule="auto"/>
        <w:jc w:val="both"/>
        <w:rPr>
          <w:lang w:val="en-CA"/>
        </w:rPr>
      </w:pPr>
      <w:bookmarkStart w:id="16" w:name="ORDONNANCE_DE"/>
      <w:bookmarkEnd w:id="16"/>
    </w:p>
    <w:p w14:paraId="200369F0" w14:textId="439D4A8F" w:rsidR="00394C57" w:rsidRPr="00E248AE" w:rsidRDefault="00E67767" w:rsidP="00394C57">
      <w:pPr>
        <w:pStyle w:val="Paragraphe"/>
        <w:rPr>
          <w:lang w:val="en-CA"/>
        </w:rPr>
      </w:pPr>
      <w:r w:rsidRPr="00E248AE">
        <w:rPr>
          <w:lang w:val="en-CA"/>
        </w:rPr>
        <w:t>The appellant appeal</w:t>
      </w:r>
      <w:r w:rsidR="002165C0" w:rsidRPr="00E248AE">
        <w:rPr>
          <w:lang w:val="en-CA"/>
        </w:rPr>
        <w:t>s</w:t>
      </w:r>
      <w:r w:rsidR="0084424D" w:rsidRPr="00E248AE">
        <w:rPr>
          <w:lang w:val="en-CA"/>
        </w:rPr>
        <w:t xml:space="preserve"> from a judgment rendered </w:t>
      </w:r>
      <w:r w:rsidR="004E6550" w:rsidRPr="00E248AE">
        <w:rPr>
          <w:lang w:val="en-CA"/>
        </w:rPr>
        <w:t xml:space="preserve">on March 26, 2021, </w:t>
      </w:r>
      <w:r w:rsidR="0084424D" w:rsidRPr="00E248AE">
        <w:rPr>
          <w:lang w:val="en-CA"/>
        </w:rPr>
        <w:t xml:space="preserve">by the Superior Court, </w:t>
      </w:r>
      <w:r w:rsidR="004E6550" w:rsidRPr="00E248AE">
        <w:rPr>
          <w:lang w:val="en-CA"/>
        </w:rPr>
        <w:t>D</w:t>
      </w:r>
      <w:r w:rsidR="0084424D" w:rsidRPr="00E248AE">
        <w:rPr>
          <w:lang w:val="en-CA"/>
        </w:rPr>
        <w:t>istrict of Montreal (the H</w:t>
      </w:r>
      <w:r w:rsidR="00A1634B" w:rsidRPr="00E248AE">
        <w:rPr>
          <w:lang w:val="en-CA"/>
        </w:rPr>
        <w:t>ono</w:t>
      </w:r>
      <w:r w:rsidR="0084424D" w:rsidRPr="00E248AE">
        <w:rPr>
          <w:lang w:val="en-CA"/>
        </w:rPr>
        <w:t>u</w:t>
      </w:r>
      <w:r w:rsidR="00A1634B" w:rsidRPr="00E248AE">
        <w:rPr>
          <w:lang w:val="en-CA"/>
        </w:rPr>
        <w:t>rable Florence Lucas)</w:t>
      </w:r>
      <w:r w:rsidR="004E6550" w:rsidRPr="00E248AE">
        <w:rPr>
          <w:lang w:val="en-CA"/>
        </w:rPr>
        <w:t>,</w:t>
      </w:r>
      <w:r w:rsidR="00EF5571" w:rsidRPr="00E248AE">
        <w:rPr>
          <w:lang w:val="en-CA"/>
        </w:rPr>
        <w:t xml:space="preserve"> </w:t>
      </w:r>
      <w:r w:rsidR="0084424D" w:rsidRPr="00E248AE">
        <w:rPr>
          <w:lang w:val="en-CA"/>
        </w:rPr>
        <w:t>dis</w:t>
      </w:r>
      <w:r w:rsidRPr="00E248AE">
        <w:rPr>
          <w:lang w:val="en-CA"/>
        </w:rPr>
        <w:t xml:space="preserve">missing the class action </w:t>
      </w:r>
      <w:r w:rsidR="002165C0" w:rsidRPr="00E248AE">
        <w:rPr>
          <w:lang w:val="en-CA"/>
        </w:rPr>
        <w:t>instituted</w:t>
      </w:r>
      <w:r w:rsidR="0084424D" w:rsidRPr="00E248AE">
        <w:rPr>
          <w:lang w:val="en-CA"/>
        </w:rPr>
        <w:t xml:space="preserve"> against the respondent.</w:t>
      </w:r>
    </w:p>
    <w:p w14:paraId="3E03CE3D" w14:textId="77777777" w:rsidR="00394C57" w:rsidRPr="00E248AE" w:rsidRDefault="00A1634B" w:rsidP="00394C57">
      <w:pPr>
        <w:pStyle w:val="Paragraphe"/>
        <w:numPr>
          <w:ilvl w:val="0"/>
          <w:numId w:val="0"/>
        </w:numPr>
        <w:jc w:val="center"/>
        <w:rPr>
          <w:lang w:val="en-CA"/>
        </w:rPr>
      </w:pPr>
      <w:r w:rsidRPr="00E248AE">
        <w:rPr>
          <w:lang w:val="en-CA"/>
        </w:rPr>
        <w:t>* * *</w:t>
      </w:r>
    </w:p>
    <w:p w14:paraId="330BE0E3" w14:textId="5C0BBA5F" w:rsidR="00394C57" w:rsidRPr="00E248AE" w:rsidRDefault="0084424D" w:rsidP="00400980">
      <w:pPr>
        <w:pStyle w:val="Paragraphe"/>
        <w:rPr>
          <w:lang w:val="en-CA"/>
        </w:rPr>
      </w:pPr>
      <w:r w:rsidRPr="00E248AE">
        <w:rPr>
          <w:lang w:val="en-CA"/>
        </w:rPr>
        <w:t xml:space="preserve">The respondent, </w:t>
      </w:r>
      <w:r w:rsidR="002165C0" w:rsidRPr="00E248AE">
        <w:rPr>
          <w:lang w:val="en-CA"/>
        </w:rPr>
        <w:t xml:space="preserve">the </w:t>
      </w:r>
      <w:r w:rsidRPr="00E248AE">
        <w:rPr>
          <w:lang w:val="en-CA"/>
        </w:rPr>
        <w:t>Investment Industry Regulatory Organization of Canada</w:t>
      </w:r>
      <w:r w:rsidR="00A1634B" w:rsidRPr="00E248AE">
        <w:rPr>
          <w:lang w:val="en-CA"/>
        </w:rPr>
        <w:t>,</w:t>
      </w:r>
      <w:r w:rsidRPr="00E248AE">
        <w:rPr>
          <w:lang w:val="en-CA"/>
        </w:rPr>
        <w:t xml:space="preserve"> is </w:t>
      </w:r>
      <w:r w:rsidR="00826F49" w:rsidRPr="00E248AE">
        <w:rPr>
          <w:lang w:val="en-CA"/>
        </w:rPr>
        <w:t>an organization</w:t>
      </w:r>
      <w:r w:rsidR="00A1634B" w:rsidRPr="00E248AE">
        <w:rPr>
          <w:lang w:val="en-CA"/>
        </w:rPr>
        <w:t xml:space="preserve"> </w:t>
      </w:r>
      <w:r w:rsidRPr="00E248AE">
        <w:rPr>
          <w:lang w:val="en-CA"/>
        </w:rPr>
        <w:t xml:space="preserve">that enforces the rules governing the </w:t>
      </w:r>
      <w:r w:rsidR="0027156C" w:rsidRPr="00E248AE">
        <w:rPr>
          <w:lang w:val="en-CA"/>
        </w:rPr>
        <w:t>proficiency</w:t>
      </w:r>
      <w:r w:rsidRPr="00E248AE">
        <w:rPr>
          <w:lang w:val="en-CA"/>
        </w:rPr>
        <w:t>, activities</w:t>
      </w:r>
      <w:r w:rsidR="002165C0" w:rsidRPr="00E248AE">
        <w:rPr>
          <w:lang w:val="en-CA"/>
        </w:rPr>
        <w:t>,</w:t>
      </w:r>
      <w:r w:rsidRPr="00E248AE">
        <w:rPr>
          <w:lang w:val="en-CA"/>
        </w:rPr>
        <w:t xml:space="preserve"> and financial conduct of investment dealers across </w:t>
      </w:r>
      <w:r w:rsidR="00A1634B" w:rsidRPr="00E248AE">
        <w:rPr>
          <w:lang w:val="en-CA"/>
        </w:rPr>
        <w:t xml:space="preserve">Canada </w:t>
      </w:r>
      <w:r w:rsidR="00EF5571" w:rsidRPr="00E248AE">
        <w:rPr>
          <w:lang w:val="en-CA"/>
        </w:rPr>
        <w:t xml:space="preserve">and the </w:t>
      </w:r>
      <w:r w:rsidR="00DE0854" w:rsidRPr="00E248AE">
        <w:rPr>
          <w:lang w:val="en-CA"/>
        </w:rPr>
        <w:t>registered representatives</w:t>
      </w:r>
      <w:r w:rsidR="00EF5571" w:rsidRPr="00E248AE">
        <w:rPr>
          <w:lang w:val="en-CA"/>
        </w:rPr>
        <w:t xml:space="preserve"> who</w:t>
      </w:r>
      <w:r w:rsidRPr="00E248AE">
        <w:rPr>
          <w:lang w:val="en-CA"/>
        </w:rPr>
        <w:t xml:space="preserve"> work for them. The respondent’s duties</w:t>
      </w:r>
      <w:r w:rsidR="00452209" w:rsidRPr="00E248AE">
        <w:rPr>
          <w:lang w:val="en-CA"/>
        </w:rPr>
        <w:t xml:space="preserve"> include </w:t>
      </w:r>
      <w:r w:rsidR="00EF5571" w:rsidRPr="00E248AE">
        <w:rPr>
          <w:lang w:val="en-CA"/>
        </w:rPr>
        <w:t xml:space="preserve">inspections to ascertain the compliance of </w:t>
      </w:r>
      <w:r w:rsidRPr="00E248AE">
        <w:rPr>
          <w:lang w:val="en-CA"/>
        </w:rPr>
        <w:t xml:space="preserve">dealers’ </w:t>
      </w:r>
      <w:r w:rsidR="00452209" w:rsidRPr="00E248AE">
        <w:rPr>
          <w:lang w:val="en-CA"/>
        </w:rPr>
        <w:t>client account</w:t>
      </w:r>
      <w:r w:rsidR="00EF5571" w:rsidRPr="00E248AE">
        <w:rPr>
          <w:lang w:val="en-CA"/>
        </w:rPr>
        <w:t>s</w:t>
      </w:r>
      <w:r w:rsidRPr="00E248AE">
        <w:rPr>
          <w:lang w:val="en-CA"/>
        </w:rPr>
        <w:t>.</w:t>
      </w:r>
    </w:p>
    <w:p w14:paraId="69BF3F6D" w14:textId="4B763335" w:rsidR="00394C57" w:rsidRPr="00E248AE" w:rsidRDefault="00452209" w:rsidP="00400980">
      <w:pPr>
        <w:pStyle w:val="Paragraphe"/>
        <w:rPr>
          <w:lang w:val="en-CA"/>
        </w:rPr>
      </w:pPr>
      <w:r w:rsidRPr="00E248AE">
        <w:rPr>
          <w:lang w:val="en-CA"/>
        </w:rPr>
        <w:t>On February 22, 2013</w:t>
      </w:r>
      <w:r w:rsidR="00514134" w:rsidRPr="00E248AE">
        <w:rPr>
          <w:lang w:val="en-CA"/>
        </w:rPr>
        <w:t>,</w:t>
      </w:r>
      <w:r w:rsidRPr="00E248AE">
        <w:rPr>
          <w:lang w:val="en-CA"/>
        </w:rPr>
        <w:t xml:space="preserve"> one of the respondent’s inspectors left his laptop computer (the Computer) on a train. The Computer was never found.</w:t>
      </w:r>
    </w:p>
    <w:p w14:paraId="68F12611" w14:textId="20243634" w:rsidR="00394C57" w:rsidRPr="00E248AE" w:rsidRDefault="00452209" w:rsidP="00400980">
      <w:pPr>
        <w:pStyle w:val="Paragraphe"/>
        <w:rPr>
          <w:lang w:val="en-CA"/>
        </w:rPr>
      </w:pPr>
      <w:r w:rsidRPr="00E248AE">
        <w:rPr>
          <w:lang w:val="en-CA"/>
        </w:rPr>
        <w:t>The information in the Computer was password protected. However, despite the respondent’s internal policies aimed at greater protection, it was not encrypted.</w:t>
      </w:r>
      <w:r w:rsidR="00A1634B" w:rsidRPr="00E248AE">
        <w:rPr>
          <w:lang w:val="en-CA"/>
        </w:rPr>
        <w:t xml:space="preserve"> </w:t>
      </w:r>
      <w:r w:rsidRPr="00E248AE">
        <w:rPr>
          <w:lang w:val="en-CA"/>
        </w:rPr>
        <w:t xml:space="preserve">The </w:t>
      </w:r>
      <w:r w:rsidR="00E248AE" w:rsidRPr="00E248AE">
        <w:rPr>
          <w:lang w:val="en-CA"/>
        </w:rPr>
        <w:t>respondent</w:t>
      </w:r>
      <w:r w:rsidRPr="00E248AE">
        <w:rPr>
          <w:lang w:val="en-CA"/>
        </w:rPr>
        <w:t xml:space="preserve"> hired an independent </w:t>
      </w:r>
      <w:r w:rsidR="00A1634B" w:rsidRPr="00E248AE">
        <w:rPr>
          <w:lang w:val="en-CA"/>
        </w:rPr>
        <w:t xml:space="preserve">expert </w:t>
      </w:r>
      <w:r w:rsidRPr="00E248AE">
        <w:rPr>
          <w:lang w:val="en-CA"/>
        </w:rPr>
        <w:t xml:space="preserve">to (i) determine precisely </w:t>
      </w:r>
      <w:r w:rsidR="00D45977" w:rsidRPr="00E248AE">
        <w:rPr>
          <w:lang w:val="en-CA"/>
        </w:rPr>
        <w:t>what</w:t>
      </w:r>
      <w:r w:rsidRPr="00E248AE">
        <w:rPr>
          <w:lang w:val="en-CA"/>
        </w:rPr>
        <w:t xml:space="preserve"> information the Computer</w:t>
      </w:r>
      <w:r w:rsidR="00A1634B" w:rsidRPr="00E248AE">
        <w:rPr>
          <w:lang w:val="en-CA"/>
        </w:rPr>
        <w:t xml:space="preserve"> </w:t>
      </w:r>
      <w:r w:rsidRPr="00E248AE">
        <w:rPr>
          <w:lang w:val="en-CA"/>
        </w:rPr>
        <w:t xml:space="preserve">contained and </w:t>
      </w:r>
      <w:r w:rsidR="00A1634B" w:rsidRPr="00E248AE">
        <w:rPr>
          <w:lang w:val="en-CA"/>
        </w:rPr>
        <w:t xml:space="preserve">(ii) </w:t>
      </w:r>
      <w:r w:rsidRPr="00E248AE">
        <w:rPr>
          <w:lang w:val="en-CA"/>
        </w:rPr>
        <w:t>help it manage the risk related to the los</w:t>
      </w:r>
      <w:r w:rsidR="00D45977" w:rsidRPr="00E248AE">
        <w:rPr>
          <w:lang w:val="en-CA"/>
        </w:rPr>
        <w:t>s</w:t>
      </w:r>
      <w:r w:rsidRPr="00E248AE">
        <w:rPr>
          <w:lang w:val="en-CA"/>
        </w:rPr>
        <w:t xml:space="preserve"> of personal information. The expert determined that the Computer contained personal information on more than 50,000 investo</w:t>
      </w:r>
      <w:r w:rsidR="00A1634B" w:rsidRPr="00E248AE">
        <w:rPr>
          <w:lang w:val="en-CA"/>
        </w:rPr>
        <w:t xml:space="preserve">rs. </w:t>
      </w:r>
    </w:p>
    <w:p w14:paraId="064E427B" w14:textId="7E57E03D" w:rsidR="00394C57" w:rsidRPr="00E248AE" w:rsidRDefault="00A3466C" w:rsidP="00400980">
      <w:pPr>
        <w:pStyle w:val="Paragraphe"/>
        <w:rPr>
          <w:lang w:val="en-CA"/>
        </w:rPr>
      </w:pPr>
      <w:r w:rsidRPr="00E248AE">
        <w:rPr>
          <w:lang w:val="en-CA"/>
        </w:rPr>
        <w:t>The responden</w:t>
      </w:r>
      <w:r w:rsidR="00EF5571" w:rsidRPr="00E248AE">
        <w:rPr>
          <w:lang w:val="en-CA"/>
        </w:rPr>
        <w:t xml:space="preserve">t met with the dealers </w:t>
      </w:r>
      <w:r w:rsidRPr="00E248AE">
        <w:rPr>
          <w:lang w:val="en-CA"/>
        </w:rPr>
        <w:t xml:space="preserve">concerned </w:t>
      </w:r>
      <w:r w:rsidR="00075737" w:rsidRPr="00E248AE">
        <w:rPr>
          <w:lang w:val="en-CA"/>
        </w:rPr>
        <w:t>in early</w:t>
      </w:r>
      <w:r w:rsidRPr="00E248AE">
        <w:rPr>
          <w:lang w:val="en-CA"/>
        </w:rPr>
        <w:t xml:space="preserve"> April 2013 to inform them about the </w:t>
      </w:r>
      <w:r w:rsidR="00A1634B" w:rsidRPr="00E248AE">
        <w:rPr>
          <w:lang w:val="en-CA"/>
        </w:rPr>
        <w:t xml:space="preserve">situation </w:t>
      </w:r>
      <w:r w:rsidRPr="00E248AE">
        <w:rPr>
          <w:lang w:val="en-CA"/>
        </w:rPr>
        <w:t>and give details of the measures it had taken and would be taking to protect their clients’ information. At the same time</w:t>
      </w:r>
      <w:r w:rsidR="000357CA" w:rsidRPr="00E248AE">
        <w:rPr>
          <w:lang w:val="en-CA"/>
        </w:rPr>
        <w:t>,</w:t>
      </w:r>
      <w:r w:rsidRPr="00E248AE">
        <w:rPr>
          <w:lang w:val="en-CA"/>
        </w:rPr>
        <w:t xml:space="preserve"> it signed agreements with two credit information agencies to set up measures to protect the investors concerned. Among other things, the respondent planned to introduce an alert</w:t>
      </w:r>
      <w:r w:rsidR="00EF5571" w:rsidRPr="00E248AE">
        <w:rPr>
          <w:lang w:val="en-CA"/>
        </w:rPr>
        <w:t xml:space="preserve"> service</w:t>
      </w:r>
      <w:r w:rsidRPr="00E248AE">
        <w:rPr>
          <w:lang w:val="en-CA"/>
        </w:rPr>
        <w:t xml:space="preserve"> </w:t>
      </w:r>
      <w:r w:rsidR="00EF5571" w:rsidRPr="00E248AE">
        <w:rPr>
          <w:lang w:val="en-CA"/>
        </w:rPr>
        <w:t>that would inform</w:t>
      </w:r>
      <w:r w:rsidRPr="00E248AE">
        <w:rPr>
          <w:lang w:val="en-CA"/>
        </w:rPr>
        <w:t xml:space="preserve"> credit </w:t>
      </w:r>
      <w:r w:rsidR="000357CA" w:rsidRPr="00E248AE">
        <w:rPr>
          <w:lang w:val="en-CA"/>
        </w:rPr>
        <w:t>providers</w:t>
      </w:r>
      <w:r w:rsidRPr="00E248AE">
        <w:rPr>
          <w:lang w:val="en-CA"/>
        </w:rPr>
        <w:t xml:space="preserve"> of the greater risk of fraud in relation to the investors whose information had been lost so that they could take extra precautions to make sure they were dealing with the real account holders. The </w:t>
      </w:r>
      <w:r w:rsidR="00E248AE" w:rsidRPr="00E248AE">
        <w:rPr>
          <w:lang w:val="en-CA"/>
        </w:rPr>
        <w:t>respondent</w:t>
      </w:r>
      <w:r w:rsidRPr="00E248AE">
        <w:rPr>
          <w:lang w:val="en-CA"/>
        </w:rPr>
        <w:t xml:space="preserve"> also retained the services of a call centre to respond to any questions the investors and dealers might have</w:t>
      </w:r>
      <w:r w:rsidR="000357CA" w:rsidRPr="00E248AE">
        <w:rPr>
          <w:lang w:val="en-CA"/>
        </w:rPr>
        <w:t xml:space="preserve"> about the situation</w:t>
      </w:r>
      <w:r w:rsidRPr="00E248AE">
        <w:rPr>
          <w:lang w:val="en-CA"/>
        </w:rPr>
        <w:t>.</w:t>
      </w:r>
    </w:p>
    <w:p w14:paraId="0359162B" w14:textId="59272CDF" w:rsidR="00394C57" w:rsidRPr="00E248AE" w:rsidRDefault="00E80DC7" w:rsidP="00400980">
      <w:pPr>
        <w:pStyle w:val="Paragraphe"/>
        <w:rPr>
          <w:lang w:val="en-CA"/>
        </w:rPr>
      </w:pPr>
      <w:r w:rsidRPr="00E248AE">
        <w:rPr>
          <w:lang w:val="en-CA"/>
        </w:rPr>
        <w:t xml:space="preserve">The respondent sent a first letter to the investors </w:t>
      </w:r>
      <w:r w:rsidR="00067A12" w:rsidRPr="00E248AE">
        <w:rPr>
          <w:lang w:val="en-CA"/>
        </w:rPr>
        <w:t>in late</w:t>
      </w:r>
      <w:r w:rsidRPr="00E248AE">
        <w:rPr>
          <w:lang w:val="en-CA"/>
        </w:rPr>
        <w:t xml:space="preserve"> April </w:t>
      </w:r>
      <w:r w:rsidR="00A1634B" w:rsidRPr="00E248AE">
        <w:rPr>
          <w:lang w:val="en-CA"/>
        </w:rPr>
        <w:t xml:space="preserve">2013, </w:t>
      </w:r>
      <w:r w:rsidRPr="00E248AE">
        <w:rPr>
          <w:lang w:val="en-CA"/>
        </w:rPr>
        <w:t>informing them of the loss of the Computer, providing information about the call centre</w:t>
      </w:r>
      <w:r w:rsidR="00067A12" w:rsidRPr="00E248AE">
        <w:rPr>
          <w:lang w:val="en-CA"/>
        </w:rPr>
        <w:t>,</w:t>
      </w:r>
      <w:r w:rsidRPr="00E248AE">
        <w:rPr>
          <w:lang w:val="en-CA"/>
        </w:rPr>
        <w:t xml:space="preserve"> and offering a free credit alert service for six years. The re</w:t>
      </w:r>
      <w:r w:rsidR="00075737" w:rsidRPr="00E248AE">
        <w:rPr>
          <w:lang w:val="en-CA"/>
        </w:rPr>
        <w:t>s</w:t>
      </w:r>
      <w:r w:rsidRPr="00E248AE">
        <w:rPr>
          <w:lang w:val="en-CA"/>
        </w:rPr>
        <w:t>pondent sent a second letter on April 30, 2013, informing the investors that no identity theft or fraud had been detected since the loss of the Computer and offering them some further protection</w:t>
      </w:r>
      <w:r w:rsidR="00A1634B" w:rsidRPr="00E248AE">
        <w:rPr>
          <w:lang w:val="en-CA"/>
        </w:rPr>
        <w:t>.</w:t>
      </w:r>
    </w:p>
    <w:p w14:paraId="1A2BD6D1" w14:textId="05290946" w:rsidR="00394C57" w:rsidRPr="00E248AE" w:rsidRDefault="00067A12" w:rsidP="00400980">
      <w:pPr>
        <w:pStyle w:val="Paragraphe"/>
        <w:rPr>
          <w:lang w:val="en-CA"/>
        </w:rPr>
      </w:pPr>
      <w:r w:rsidRPr="00E248AE">
        <w:rPr>
          <w:lang w:val="en-CA"/>
        </w:rPr>
        <w:t xml:space="preserve">On April 30, 2013, </w:t>
      </w:r>
      <w:r w:rsidR="00A1634B" w:rsidRPr="00E248AE">
        <w:rPr>
          <w:lang w:val="en-CA"/>
        </w:rPr>
        <w:t xml:space="preserve">Paul Sofio </w:t>
      </w:r>
      <w:r w:rsidR="002A1C15" w:rsidRPr="00E248AE">
        <w:rPr>
          <w:lang w:val="en-CA"/>
        </w:rPr>
        <w:t>brought</w:t>
      </w:r>
      <w:r w:rsidR="00E80DC7" w:rsidRPr="00E248AE">
        <w:rPr>
          <w:lang w:val="en-CA"/>
        </w:rPr>
        <w:t xml:space="preserve"> proceedings </w:t>
      </w:r>
      <w:r w:rsidR="002A1C15" w:rsidRPr="00E248AE">
        <w:rPr>
          <w:lang w:val="en-CA"/>
        </w:rPr>
        <w:t>before</w:t>
      </w:r>
      <w:r w:rsidR="00E80DC7" w:rsidRPr="00E248AE">
        <w:rPr>
          <w:lang w:val="en-CA"/>
        </w:rPr>
        <w:t xml:space="preserve"> the Superior Court for authorization to </w:t>
      </w:r>
      <w:r w:rsidR="002A1C15" w:rsidRPr="00E248AE">
        <w:rPr>
          <w:lang w:val="en-CA"/>
        </w:rPr>
        <w:t>institute</w:t>
      </w:r>
      <w:r w:rsidR="00E80DC7" w:rsidRPr="00E248AE">
        <w:rPr>
          <w:lang w:val="en-CA"/>
        </w:rPr>
        <w:t xml:space="preserve"> a class action against the respondent on behalf of </w:t>
      </w:r>
      <w:r w:rsidR="002A1C15" w:rsidRPr="00E248AE">
        <w:rPr>
          <w:lang w:val="en-CA"/>
        </w:rPr>
        <w:t>all persons</w:t>
      </w:r>
      <w:r w:rsidR="00E80DC7" w:rsidRPr="00E248AE">
        <w:rPr>
          <w:lang w:val="en-CA"/>
        </w:rPr>
        <w:t xml:space="preserve"> whose per</w:t>
      </w:r>
      <w:r w:rsidR="00EF5571" w:rsidRPr="00E248AE">
        <w:rPr>
          <w:lang w:val="en-CA"/>
        </w:rPr>
        <w:t>sonal information had been lost</w:t>
      </w:r>
      <w:r w:rsidR="002A1C15" w:rsidRPr="00E248AE">
        <w:rPr>
          <w:lang w:val="en-CA"/>
        </w:rPr>
        <w:t xml:space="preserve"> and to</w:t>
      </w:r>
      <w:r w:rsidR="00EF5571" w:rsidRPr="00E248AE">
        <w:rPr>
          <w:lang w:val="en-CA"/>
        </w:rPr>
        <w:t xml:space="preserve"> claim</w:t>
      </w:r>
      <w:r w:rsidR="00E80DC7" w:rsidRPr="00E248AE">
        <w:rPr>
          <w:lang w:val="en-CA"/>
        </w:rPr>
        <w:t xml:space="preserve"> compensatory damages of $1,000 for each member</w:t>
      </w:r>
      <w:r w:rsidR="00EF5571" w:rsidRPr="00E248AE">
        <w:rPr>
          <w:lang w:val="en-CA"/>
        </w:rPr>
        <w:t xml:space="preserve"> of the class</w:t>
      </w:r>
      <w:r w:rsidR="00E80DC7" w:rsidRPr="00E248AE">
        <w:rPr>
          <w:lang w:val="en-CA"/>
        </w:rPr>
        <w:t xml:space="preserve">. </w:t>
      </w:r>
      <w:r w:rsidR="002A1C15" w:rsidRPr="00E248AE">
        <w:rPr>
          <w:lang w:val="en-CA"/>
        </w:rPr>
        <w:t>On August 20, 2014, t</w:t>
      </w:r>
      <w:r w:rsidR="00E80DC7" w:rsidRPr="00E248AE">
        <w:rPr>
          <w:lang w:val="en-CA"/>
        </w:rPr>
        <w:t xml:space="preserve">he Superior Court </w:t>
      </w:r>
      <w:r w:rsidR="000D0177" w:rsidRPr="00E248AE">
        <w:rPr>
          <w:lang w:val="en-CA"/>
        </w:rPr>
        <w:t>dismissed</w:t>
      </w:r>
      <w:r w:rsidR="00E80DC7" w:rsidRPr="00E248AE">
        <w:rPr>
          <w:lang w:val="en-CA"/>
        </w:rPr>
        <w:t xml:space="preserve"> </w:t>
      </w:r>
      <w:r w:rsidR="00E80DC7" w:rsidRPr="00E248AE">
        <w:rPr>
          <w:lang w:val="en-CA"/>
        </w:rPr>
        <w:lastRenderedPageBreak/>
        <w:t>Mr. Sofio’s application on the grounds that he had not succeeded in demonstrating the e</w:t>
      </w:r>
      <w:r w:rsidR="00EF5571" w:rsidRPr="00E248AE">
        <w:rPr>
          <w:lang w:val="en-CA"/>
        </w:rPr>
        <w:t>xistence of a compensable injur</w:t>
      </w:r>
      <w:r w:rsidR="00E80DC7" w:rsidRPr="00E248AE">
        <w:rPr>
          <w:lang w:val="en-CA"/>
        </w:rPr>
        <w:t>y. Mr. Sofio appealed that judgment</w:t>
      </w:r>
      <w:r w:rsidR="000D0177" w:rsidRPr="00E248AE">
        <w:rPr>
          <w:lang w:val="en-CA"/>
        </w:rPr>
        <w:t>,</w:t>
      </w:r>
      <w:r w:rsidR="00E80DC7" w:rsidRPr="00E248AE">
        <w:rPr>
          <w:lang w:val="en-CA"/>
        </w:rPr>
        <w:t xml:space="preserve"> but his appeal was dismissed.</w:t>
      </w:r>
      <w:r w:rsidR="00A1634B" w:rsidRPr="00E248AE">
        <w:rPr>
          <w:rStyle w:val="Appelnotedebasdep"/>
          <w:lang w:val="en-CA"/>
        </w:rPr>
        <w:footnoteReference w:id="2"/>
      </w:r>
    </w:p>
    <w:p w14:paraId="1EDCC02F" w14:textId="1DFFA149" w:rsidR="00394C57" w:rsidRPr="00E248AE" w:rsidRDefault="009F6AD9" w:rsidP="00400980">
      <w:pPr>
        <w:pStyle w:val="Paragraphe"/>
        <w:rPr>
          <w:lang w:val="en-CA"/>
        </w:rPr>
      </w:pPr>
      <w:r w:rsidRPr="00E248AE">
        <w:rPr>
          <w:lang w:val="en-CA"/>
        </w:rPr>
        <w:t>On November 16, 2015, t</w:t>
      </w:r>
      <w:r w:rsidR="00A2371E" w:rsidRPr="00E248AE">
        <w:rPr>
          <w:lang w:val="en-CA"/>
        </w:rPr>
        <w:t xml:space="preserve">he appellant </w:t>
      </w:r>
      <w:r w:rsidRPr="00E248AE">
        <w:rPr>
          <w:lang w:val="en-CA"/>
        </w:rPr>
        <w:t>brought</w:t>
      </w:r>
      <w:r w:rsidR="00A2371E" w:rsidRPr="00E248AE">
        <w:rPr>
          <w:lang w:val="en-CA"/>
        </w:rPr>
        <w:t xml:space="preserve"> his own application for authorization to </w:t>
      </w:r>
      <w:r w:rsidRPr="00E248AE">
        <w:rPr>
          <w:lang w:val="en-CA"/>
        </w:rPr>
        <w:t>institute</w:t>
      </w:r>
      <w:r w:rsidR="00A2371E" w:rsidRPr="00E248AE">
        <w:rPr>
          <w:lang w:val="en-CA"/>
        </w:rPr>
        <w:t xml:space="preserve"> a class action against the respondent</w:t>
      </w:r>
      <w:r w:rsidR="00A1634B" w:rsidRPr="00E248AE">
        <w:rPr>
          <w:lang w:val="en-CA"/>
        </w:rPr>
        <w:t xml:space="preserve">. </w:t>
      </w:r>
      <w:r w:rsidR="00EF5571" w:rsidRPr="00E248AE">
        <w:rPr>
          <w:lang w:val="en-CA"/>
        </w:rPr>
        <w:t xml:space="preserve">Even though </w:t>
      </w:r>
      <w:r w:rsidR="00C474E2" w:rsidRPr="00E248AE">
        <w:rPr>
          <w:lang w:val="en-CA"/>
        </w:rPr>
        <w:t xml:space="preserve">his proceedings were essentially based on the same facts as </w:t>
      </w:r>
      <w:r w:rsidR="00A1634B" w:rsidRPr="00E248AE">
        <w:rPr>
          <w:lang w:val="en-CA"/>
        </w:rPr>
        <w:t>M</w:t>
      </w:r>
      <w:r w:rsidR="00C474E2" w:rsidRPr="00E248AE">
        <w:rPr>
          <w:lang w:val="en-CA"/>
        </w:rPr>
        <w:t>r</w:t>
      </w:r>
      <w:r w:rsidR="00A1634B" w:rsidRPr="00E248AE">
        <w:rPr>
          <w:lang w:val="en-CA"/>
        </w:rPr>
        <w:t>. Sofio</w:t>
      </w:r>
      <w:r w:rsidR="00C474E2" w:rsidRPr="00E248AE">
        <w:rPr>
          <w:lang w:val="en-CA"/>
        </w:rPr>
        <w:t>’s action</w:t>
      </w:r>
      <w:r w:rsidR="00A1634B" w:rsidRPr="00E248AE">
        <w:rPr>
          <w:lang w:val="en-CA"/>
        </w:rPr>
        <w:t xml:space="preserve">, </w:t>
      </w:r>
      <w:r w:rsidR="00C474E2" w:rsidRPr="00E248AE">
        <w:rPr>
          <w:lang w:val="en-CA"/>
        </w:rPr>
        <w:t xml:space="preserve">his application was different in many aspects, including, among other things, a claim for damages for the unlawful use of personal information. The appellant also gave more details about the </w:t>
      </w:r>
      <w:r w:rsidRPr="00E248AE">
        <w:rPr>
          <w:lang w:val="en-CA"/>
        </w:rPr>
        <w:t>inconvenience</w:t>
      </w:r>
      <w:r w:rsidR="00C474E2" w:rsidRPr="00E248AE">
        <w:rPr>
          <w:lang w:val="en-CA"/>
        </w:rPr>
        <w:t xml:space="preserve"> he </w:t>
      </w:r>
      <w:r w:rsidRPr="00E248AE">
        <w:rPr>
          <w:lang w:val="en-CA"/>
        </w:rPr>
        <w:t>claims</w:t>
      </w:r>
      <w:r w:rsidR="00C474E2" w:rsidRPr="00E248AE">
        <w:rPr>
          <w:lang w:val="en-CA"/>
        </w:rPr>
        <w:t xml:space="preserve"> to </w:t>
      </w:r>
      <w:r w:rsidRPr="00E248AE">
        <w:rPr>
          <w:lang w:val="en-CA"/>
        </w:rPr>
        <w:t xml:space="preserve">have </w:t>
      </w:r>
      <w:r w:rsidR="00C474E2" w:rsidRPr="00E248AE">
        <w:rPr>
          <w:lang w:val="en-CA"/>
        </w:rPr>
        <w:t>suffer</w:t>
      </w:r>
      <w:r w:rsidRPr="00E248AE">
        <w:rPr>
          <w:lang w:val="en-CA"/>
        </w:rPr>
        <w:t>ed</w:t>
      </w:r>
      <w:r w:rsidR="00C474E2" w:rsidRPr="00E248AE">
        <w:rPr>
          <w:lang w:val="en-CA"/>
        </w:rPr>
        <w:t xml:space="preserve"> as a result of the loss of his personal information</w:t>
      </w:r>
      <w:r w:rsidR="00A1634B" w:rsidRPr="00E248AE">
        <w:rPr>
          <w:lang w:val="en-CA"/>
        </w:rPr>
        <w:t xml:space="preserve">. </w:t>
      </w:r>
    </w:p>
    <w:p w14:paraId="15C57DA7" w14:textId="424B2E31" w:rsidR="00394C57" w:rsidRPr="00E248AE" w:rsidRDefault="00F25DA6" w:rsidP="00400980">
      <w:pPr>
        <w:pStyle w:val="Paragraphe"/>
        <w:rPr>
          <w:lang w:val="en-CA"/>
        </w:rPr>
      </w:pPr>
      <w:r w:rsidRPr="00E248AE">
        <w:rPr>
          <w:lang w:val="en-CA"/>
        </w:rPr>
        <w:t>On October 26, 2017, t</w:t>
      </w:r>
      <w:r w:rsidR="00C474E2" w:rsidRPr="00E248AE">
        <w:rPr>
          <w:lang w:val="en-CA"/>
        </w:rPr>
        <w:t xml:space="preserve">he Superior Court authorized the appellant to </w:t>
      </w:r>
      <w:r w:rsidRPr="00E248AE">
        <w:rPr>
          <w:lang w:val="en-CA"/>
        </w:rPr>
        <w:t>institute</w:t>
      </w:r>
      <w:r w:rsidR="00C474E2" w:rsidRPr="00E248AE">
        <w:rPr>
          <w:lang w:val="en-CA"/>
        </w:rPr>
        <w:t xml:space="preserve"> the class action against the respondent. The trial </w:t>
      </w:r>
      <w:r w:rsidRPr="00E248AE">
        <w:rPr>
          <w:lang w:val="en-CA"/>
        </w:rPr>
        <w:t>took place</w:t>
      </w:r>
      <w:r w:rsidR="00C474E2" w:rsidRPr="00E248AE">
        <w:rPr>
          <w:lang w:val="en-CA"/>
        </w:rPr>
        <w:t xml:space="preserve"> over eight days in December </w:t>
      </w:r>
      <w:r w:rsidR="00A1634B" w:rsidRPr="00E248AE">
        <w:rPr>
          <w:lang w:val="en-CA"/>
        </w:rPr>
        <w:t>2020. A</w:t>
      </w:r>
      <w:r w:rsidR="00C474E2" w:rsidRPr="00E248AE">
        <w:rPr>
          <w:lang w:val="en-CA"/>
        </w:rPr>
        <w:t xml:space="preserve">fter </w:t>
      </w:r>
      <w:r w:rsidR="00E41872" w:rsidRPr="00E248AE">
        <w:rPr>
          <w:lang w:val="en-CA"/>
        </w:rPr>
        <w:t>his evidence</w:t>
      </w:r>
      <w:r w:rsidR="00476374" w:rsidRPr="00E248AE">
        <w:rPr>
          <w:lang w:val="en-CA"/>
        </w:rPr>
        <w:t xml:space="preserve"> was closed</w:t>
      </w:r>
      <w:r w:rsidR="00E41872" w:rsidRPr="00E248AE">
        <w:rPr>
          <w:lang w:val="en-CA"/>
        </w:rPr>
        <w:t>,</w:t>
      </w:r>
      <w:r w:rsidR="00476374" w:rsidRPr="00E248AE">
        <w:rPr>
          <w:lang w:val="en-CA"/>
        </w:rPr>
        <w:t xml:space="preserve"> </w:t>
      </w:r>
      <w:r w:rsidR="00C474E2" w:rsidRPr="00E248AE">
        <w:rPr>
          <w:lang w:val="en-CA"/>
        </w:rPr>
        <w:t xml:space="preserve">the applicant sought </w:t>
      </w:r>
      <w:r w:rsidR="00E248AE" w:rsidRPr="00E248AE">
        <w:rPr>
          <w:lang w:val="en-CA"/>
        </w:rPr>
        <w:t>permission</w:t>
      </w:r>
      <w:r w:rsidR="00C474E2" w:rsidRPr="00E248AE">
        <w:rPr>
          <w:lang w:val="en-CA"/>
        </w:rPr>
        <w:t xml:space="preserve"> to amend his </w:t>
      </w:r>
      <w:r w:rsidR="007C4CFA" w:rsidRPr="00E248AE">
        <w:rPr>
          <w:lang w:val="en-CA"/>
        </w:rPr>
        <w:t>pleading</w:t>
      </w:r>
      <w:r w:rsidR="00C474E2" w:rsidRPr="00E248AE">
        <w:rPr>
          <w:lang w:val="en-CA"/>
        </w:rPr>
        <w:t xml:space="preserve"> to add a claim for all the expenses incurred by the members of the </w:t>
      </w:r>
      <w:r w:rsidR="00E41872" w:rsidRPr="00E248AE">
        <w:rPr>
          <w:lang w:val="en-CA"/>
        </w:rPr>
        <w:t>class</w:t>
      </w:r>
      <w:r w:rsidR="00C474E2" w:rsidRPr="00E248AE">
        <w:rPr>
          <w:lang w:val="en-CA"/>
        </w:rPr>
        <w:t xml:space="preserve">. The respondent </w:t>
      </w:r>
      <w:r w:rsidR="00E41872" w:rsidRPr="00E248AE">
        <w:rPr>
          <w:lang w:val="en-CA"/>
        </w:rPr>
        <w:t>contested</w:t>
      </w:r>
      <w:r w:rsidR="00C474E2" w:rsidRPr="00E248AE">
        <w:rPr>
          <w:lang w:val="en-CA"/>
        </w:rPr>
        <w:t xml:space="preserve"> the application to amend, which was taken under advisement.</w:t>
      </w:r>
    </w:p>
    <w:p w14:paraId="54723A72" w14:textId="77777777" w:rsidR="00394C57" w:rsidRPr="00E248AE" w:rsidRDefault="00A1634B" w:rsidP="00400980">
      <w:pPr>
        <w:pStyle w:val="Paragraphe"/>
        <w:numPr>
          <w:ilvl w:val="0"/>
          <w:numId w:val="0"/>
        </w:numPr>
        <w:jc w:val="center"/>
        <w:rPr>
          <w:lang w:val="en-CA"/>
        </w:rPr>
      </w:pPr>
      <w:r w:rsidRPr="00E248AE">
        <w:rPr>
          <w:lang w:val="en-CA"/>
        </w:rPr>
        <w:t>* * *</w:t>
      </w:r>
    </w:p>
    <w:p w14:paraId="3D390BE5" w14:textId="10B8C308" w:rsidR="00394C57" w:rsidRPr="00E248AE" w:rsidRDefault="00C656B7" w:rsidP="00400980">
      <w:pPr>
        <w:pStyle w:val="Paragraphe"/>
        <w:rPr>
          <w:lang w:val="en-CA"/>
        </w:rPr>
      </w:pPr>
      <w:r w:rsidRPr="00E248AE">
        <w:rPr>
          <w:lang w:val="en-CA"/>
        </w:rPr>
        <w:t xml:space="preserve">The judge started her analysis by dealing with the application to amend. She </w:t>
      </w:r>
      <w:r w:rsidR="007C4CFA" w:rsidRPr="00E248AE">
        <w:rPr>
          <w:lang w:val="en-CA"/>
        </w:rPr>
        <w:t>found</w:t>
      </w:r>
      <w:r w:rsidR="00476374" w:rsidRPr="00E248AE">
        <w:rPr>
          <w:lang w:val="en-CA"/>
        </w:rPr>
        <w:t xml:space="preserve"> that, since the application had</w:t>
      </w:r>
      <w:r w:rsidRPr="00E248AE">
        <w:rPr>
          <w:lang w:val="en-CA"/>
        </w:rPr>
        <w:t xml:space="preserve"> </w:t>
      </w:r>
      <w:r w:rsidR="00476374" w:rsidRPr="00E248AE">
        <w:rPr>
          <w:lang w:val="en-CA"/>
        </w:rPr>
        <w:t xml:space="preserve">been </w:t>
      </w:r>
      <w:r w:rsidRPr="00E248AE">
        <w:rPr>
          <w:lang w:val="en-CA"/>
        </w:rPr>
        <w:t xml:space="preserve">submitted </w:t>
      </w:r>
      <w:r w:rsidR="007C4CFA" w:rsidRPr="00E248AE">
        <w:rPr>
          <w:lang w:val="en-CA"/>
        </w:rPr>
        <w:t xml:space="preserve">only </w:t>
      </w:r>
      <w:r w:rsidRPr="00E248AE">
        <w:rPr>
          <w:lang w:val="en-CA"/>
        </w:rPr>
        <w:t xml:space="preserve">at the end of the trial, the respondent </w:t>
      </w:r>
      <w:r w:rsidR="007C4CFA" w:rsidRPr="00E248AE">
        <w:rPr>
          <w:lang w:val="en-CA"/>
        </w:rPr>
        <w:t xml:space="preserve">would be deprived of the </w:t>
      </w:r>
      <w:r w:rsidR="00290FB6" w:rsidRPr="00E248AE">
        <w:rPr>
          <w:lang w:val="en-CA"/>
        </w:rPr>
        <w:t>opportunity</w:t>
      </w:r>
      <w:r w:rsidRPr="00E248AE">
        <w:rPr>
          <w:lang w:val="en-CA"/>
        </w:rPr>
        <w:t xml:space="preserve"> to defend itself. She therefore dismissed the application to amend, finding that it would be </w:t>
      </w:r>
      <w:r w:rsidR="00290FB6" w:rsidRPr="00E248AE">
        <w:rPr>
          <w:lang w:val="en-CA"/>
        </w:rPr>
        <w:t xml:space="preserve">contrary to </w:t>
      </w:r>
      <w:r w:rsidRPr="00E248AE">
        <w:rPr>
          <w:lang w:val="en-CA"/>
        </w:rPr>
        <w:t>the interest</w:t>
      </w:r>
      <w:r w:rsidR="00290FB6" w:rsidRPr="00E248AE">
        <w:rPr>
          <w:lang w:val="en-CA"/>
        </w:rPr>
        <w:t>s</w:t>
      </w:r>
      <w:r w:rsidRPr="00E248AE">
        <w:rPr>
          <w:lang w:val="en-CA"/>
        </w:rPr>
        <w:t xml:space="preserve"> of </w:t>
      </w:r>
      <w:r w:rsidR="00A1634B" w:rsidRPr="00E248AE">
        <w:rPr>
          <w:lang w:val="en-CA"/>
        </w:rPr>
        <w:t>justice</w:t>
      </w:r>
      <w:r w:rsidRPr="00E248AE">
        <w:rPr>
          <w:lang w:val="en-CA"/>
        </w:rPr>
        <w:t xml:space="preserve"> to grant it, especially since it contravened the judicial contract.</w:t>
      </w:r>
    </w:p>
    <w:p w14:paraId="7A2C86A9" w14:textId="4DAA6EFD" w:rsidR="00394C57" w:rsidRPr="00E248AE" w:rsidRDefault="00C656B7" w:rsidP="00A36D50">
      <w:pPr>
        <w:pStyle w:val="Paragraphe"/>
        <w:rPr>
          <w:lang w:val="en-CA"/>
        </w:rPr>
      </w:pPr>
      <w:r w:rsidRPr="00E248AE">
        <w:rPr>
          <w:lang w:val="en-CA"/>
        </w:rPr>
        <w:t>Since the respondent acknowledged its fault in losi</w:t>
      </w:r>
      <w:r w:rsidR="00476374" w:rsidRPr="00E248AE">
        <w:rPr>
          <w:lang w:val="en-CA"/>
        </w:rPr>
        <w:t>ng the Computer and in not providing</w:t>
      </w:r>
      <w:r w:rsidRPr="00E248AE">
        <w:rPr>
          <w:lang w:val="en-CA"/>
        </w:rPr>
        <w:t xml:space="preserve"> adequate protection for the personal information of the investors </w:t>
      </w:r>
      <w:r w:rsidR="001464FD" w:rsidRPr="00E248AE">
        <w:rPr>
          <w:lang w:val="en-CA"/>
        </w:rPr>
        <w:t>it contained</w:t>
      </w:r>
      <w:r w:rsidRPr="00E248AE">
        <w:rPr>
          <w:lang w:val="en-CA"/>
        </w:rPr>
        <w:t xml:space="preserve">, the judge moved directly to </w:t>
      </w:r>
      <w:r w:rsidR="001464FD" w:rsidRPr="00E248AE">
        <w:rPr>
          <w:lang w:val="en-CA"/>
        </w:rPr>
        <w:t xml:space="preserve">the </w:t>
      </w:r>
      <w:r w:rsidRPr="00E248AE">
        <w:rPr>
          <w:lang w:val="en-CA"/>
        </w:rPr>
        <w:t>analy</w:t>
      </w:r>
      <w:r w:rsidR="001464FD" w:rsidRPr="00E248AE">
        <w:rPr>
          <w:lang w:val="en-CA"/>
        </w:rPr>
        <w:t>sis</w:t>
      </w:r>
      <w:r w:rsidRPr="00E248AE">
        <w:rPr>
          <w:lang w:val="en-CA"/>
        </w:rPr>
        <w:t xml:space="preserve"> </w:t>
      </w:r>
      <w:r w:rsidR="001464FD" w:rsidRPr="00E248AE">
        <w:rPr>
          <w:lang w:val="en-CA"/>
        </w:rPr>
        <w:t xml:space="preserve">of </w:t>
      </w:r>
      <w:r w:rsidRPr="00E248AE">
        <w:rPr>
          <w:lang w:val="en-CA"/>
        </w:rPr>
        <w:t>the damage and</w:t>
      </w:r>
      <w:r w:rsidR="000D48DA" w:rsidRPr="00E248AE">
        <w:rPr>
          <w:lang w:val="en-CA"/>
        </w:rPr>
        <w:t xml:space="preserve"> of</w:t>
      </w:r>
      <w:r w:rsidRPr="00E248AE">
        <w:rPr>
          <w:lang w:val="en-CA"/>
        </w:rPr>
        <w:t xml:space="preserve"> </w:t>
      </w:r>
      <w:r w:rsidR="001464FD" w:rsidRPr="00E248AE">
        <w:rPr>
          <w:lang w:val="en-CA"/>
        </w:rPr>
        <w:t>causation</w:t>
      </w:r>
      <w:r w:rsidRPr="00E248AE">
        <w:rPr>
          <w:lang w:val="en-CA"/>
        </w:rPr>
        <w:t>.</w:t>
      </w:r>
      <w:r w:rsidR="001A2598" w:rsidRPr="00E248AE">
        <w:rPr>
          <w:lang w:val="en-CA"/>
        </w:rPr>
        <w:t xml:space="preserve"> She </w:t>
      </w:r>
      <w:r w:rsidR="001464FD" w:rsidRPr="00E248AE">
        <w:rPr>
          <w:lang w:val="en-CA"/>
        </w:rPr>
        <w:t>considered</w:t>
      </w:r>
      <w:r w:rsidR="001A2598" w:rsidRPr="00E248AE">
        <w:rPr>
          <w:lang w:val="en-CA"/>
        </w:rPr>
        <w:t xml:space="preserve"> each component of the moral damages claimed and concluded that the appellant had not succeeded in </w:t>
      </w:r>
      <w:r w:rsidR="001464FD" w:rsidRPr="00E248AE">
        <w:rPr>
          <w:lang w:val="en-CA"/>
        </w:rPr>
        <w:t>establishing a</w:t>
      </w:r>
      <w:r w:rsidR="001A2598" w:rsidRPr="00E248AE">
        <w:rPr>
          <w:lang w:val="en-CA"/>
        </w:rPr>
        <w:t xml:space="preserve"> compensable injury. With respect to the allegations </w:t>
      </w:r>
      <w:r w:rsidR="001464FD" w:rsidRPr="00E248AE">
        <w:rPr>
          <w:lang w:val="en-CA"/>
        </w:rPr>
        <w:t>of</w:t>
      </w:r>
      <w:r w:rsidR="001A2598" w:rsidRPr="00E248AE">
        <w:rPr>
          <w:lang w:val="en-CA"/>
        </w:rPr>
        <w:t xml:space="preserve"> unlawful use of personal information, </w:t>
      </w:r>
      <w:r w:rsidR="001464FD" w:rsidRPr="00E248AE">
        <w:rPr>
          <w:lang w:val="en-CA"/>
        </w:rPr>
        <w:t>the judge</w:t>
      </w:r>
      <w:r w:rsidR="001A2598" w:rsidRPr="00E248AE">
        <w:rPr>
          <w:lang w:val="en-CA"/>
        </w:rPr>
        <w:t xml:space="preserve"> found that the appellant had not succeeded in establishing a </w:t>
      </w:r>
      <w:r w:rsidR="001464FD" w:rsidRPr="00E248AE">
        <w:rPr>
          <w:lang w:val="en-CA"/>
        </w:rPr>
        <w:t>connection</w:t>
      </w:r>
      <w:r w:rsidR="001A2598" w:rsidRPr="00E248AE">
        <w:rPr>
          <w:lang w:val="en-CA"/>
        </w:rPr>
        <w:t xml:space="preserve"> between the incidents he and other investors experienced and the loss of the Computer</w:t>
      </w:r>
      <w:r w:rsidR="00BA2E92" w:rsidRPr="00E248AE">
        <w:rPr>
          <w:lang w:val="en-CA"/>
        </w:rPr>
        <w:t>.</w:t>
      </w:r>
      <w:r w:rsidR="001A2598" w:rsidRPr="00E248AE">
        <w:rPr>
          <w:lang w:val="en-CA"/>
        </w:rPr>
        <w:t xml:space="preserve"> </w:t>
      </w:r>
      <w:r w:rsidR="00BA2E92" w:rsidRPr="00E248AE">
        <w:rPr>
          <w:lang w:val="en-CA"/>
        </w:rPr>
        <w:t xml:space="preserve">In this regard, </w:t>
      </w:r>
      <w:r w:rsidR="001A2598" w:rsidRPr="00E248AE">
        <w:rPr>
          <w:lang w:val="en-CA"/>
        </w:rPr>
        <w:t>she relied mainly on the unc</w:t>
      </w:r>
      <w:r w:rsidR="00476374" w:rsidRPr="00E248AE">
        <w:rPr>
          <w:lang w:val="en-CA"/>
        </w:rPr>
        <w:t>on</w:t>
      </w:r>
      <w:r w:rsidR="001A2598" w:rsidRPr="00E248AE">
        <w:rPr>
          <w:lang w:val="en-CA"/>
        </w:rPr>
        <w:t xml:space="preserve">tradicted evidence of an expert witness. As for punitive damages, the judge </w:t>
      </w:r>
      <w:r w:rsidR="00BA2E92" w:rsidRPr="00E248AE">
        <w:rPr>
          <w:lang w:val="en-CA"/>
        </w:rPr>
        <w:t>rejected the assertion</w:t>
      </w:r>
      <w:r w:rsidR="001A2598" w:rsidRPr="00E248AE">
        <w:rPr>
          <w:lang w:val="en-CA"/>
        </w:rPr>
        <w:t xml:space="preserve"> that the respondent had acted with </w:t>
      </w:r>
      <w:r w:rsidR="00113A72" w:rsidRPr="00E248AE">
        <w:rPr>
          <w:lang w:val="en-CA"/>
        </w:rPr>
        <w:t xml:space="preserve">recklessness </w:t>
      </w:r>
      <w:r w:rsidR="001A2598" w:rsidRPr="00E248AE">
        <w:rPr>
          <w:lang w:val="en-CA"/>
        </w:rPr>
        <w:t>or indiffe</w:t>
      </w:r>
      <w:r w:rsidR="00A1634B" w:rsidRPr="00E248AE">
        <w:rPr>
          <w:lang w:val="en-CA"/>
        </w:rPr>
        <w:t xml:space="preserve">rence. </w:t>
      </w:r>
      <w:r w:rsidR="001A2598" w:rsidRPr="00E248AE">
        <w:rPr>
          <w:lang w:val="en-CA"/>
        </w:rPr>
        <w:t xml:space="preserve">On the contrary, </w:t>
      </w:r>
      <w:r w:rsidR="00840DF1" w:rsidRPr="00E248AE">
        <w:rPr>
          <w:lang w:val="en-CA"/>
        </w:rPr>
        <w:t xml:space="preserve">relying on </w:t>
      </w:r>
      <w:r w:rsidR="000D48DA" w:rsidRPr="00E248AE">
        <w:rPr>
          <w:lang w:val="en-CA"/>
        </w:rPr>
        <w:t xml:space="preserve">an </w:t>
      </w:r>
      <w:r w:rsidR="00840DF1" w:rsidRPr="00E248AE">
        <w:rPr>
          <w:lang w:val="en-CA"/>
        </w:rPr>
        <w:t xml:space="preserve">uncontradicted expert </w:t>
      </w:r>
      <w:r w:rsidR="000D48DA" w:rsidRPr="00E248AE">
        <w:rPr>
          <w:lang w:val="en-CA"/>
        </w:rPr>
        <w:t>opinion</w:t>
      </w:r>
      <w:r w:rsidR="00840DF1" w:rsidRPr="00E248AE">
        <w:rPr>
          <w:lang w:val="en-CA"/>
        </w:rPr>
        <w:t xml:space="preserve">, </w:t>
      </w:r>
      <w:r w:rsidR="001A2598" w:rsidRPr="00E248AE">
        <w:rPr>
          <w:lang w:val="en-CA"/>
        </w:rPr>
        <w:t>she f</w:t>
      </w:r>
      <w:r w:rsidR="00476374" w:rsidRPr="00E248AE">
        <w:rPr>
          <w:lang w:val="en-CA"/>
        </w:rPr>
        <w:t xml:space="preserve">ound that the respondent had complied with </w:t>
      </w:r>
      <w:r w:rsidR="00BA2E92" w:rsidRPr="00E248AE">
        <w:rPr>
          <w:lang w:val="en-CA"/>
        </w:rPr>
        <w:t>best</w:t>
      </w:r>
      <w:r w:rsidR="00476374" w:rsidRPr="00E248AE">
        <w:rPr>
          <w:lang w:val="en-CA"/>
        </w:rPr>
        <w:t xml:space="preserve"> </w:t>
      </w:r>
      <w:r w:rsidR="00113A72" w:rsidRPr="00E248AE">
        <w:rPr>
          <w:lang w:val="en-CA"/>
        </w:rPr>
        <w:t>practic</w:t>
      </w:r>
      <w:r w:rsidR="001A2598" w:rsidRPr="00E248AE">
        <w:rPr>
          <w:lang w:val="en-CA"/>
        </w:rPr>
        <w:t xml:space="preserve">es in </w:t>
      </w:r>
      <w:r w:rsidR="00FE3D38" w:rsidRPr="00E248AE">
        <w:rPr>
          <w:lang w:val="en-CA"/>
        </w:rPr>
        <w:t>the</w:t>
      </w:r>
      <w:r w:rsidR="00BA2E92" w:rsidRPr="00E248AE">
        <w:rPr>
          <w:lang w:val="en-CA"/>
        </w:rPr>
        <w:t xml:space="preserve"> </w:t>
      </w:r>
      <w:r w:rsidR="00840DF1" w:rsidRPr="00E248AE">
        <w:rPr>
          <w:lang w:val="en-CA"/>
        </w:rPr>
        <w:t>circumstances</w:t>
      </w:r>
      <w:r w:rsidR="001A2598" w:rsidRPr="00E248AE">
        <w:rPr>
          <w:lang w:val="en-CA"/>
        </w:rPr>
        <w:t xml:space="preserve">. </w:t>
      </w:r>
    </w:p>
    <w:p w14:paraId="1936F22A" w14:textId="77777777" w:rsidR="00394C57" w:rsidRPr="00E248AE" w:rsidRDefault="00A1634B" w:rsidP="00400980">
      <w:pPr>
        <w:pStyle w:val="Paragraphe"/>
        <w:numPr>
          <w:ilvl w:val="0"/>
          <w:numId w:val="0"/>
        </w:numPr>
        <w:jc w:val="center"/>
        <w:rPr>
          <w:lang w:val="en-CA"/>
        </w:rPr>
      </w:pPr>
      <w:r w:rsidRPr="00E248AE">
        <w:rPr>
          <w:lang w:val="en-CA"/>
        </w:rPr>
        <w:t>* * *</w:t>
      </w:r>
    </w:p>
    <w:p w14:paraId="6BF4F6F8" w14:textId="571C3AC5" w:rsidR="00394C57" w:rsidRPr="00E248AE" w:rsidRDefault="00A36D50" w:rsidP="00400980">
      <w:pPr>
        <w:pStyle w:val="Paragraphe"/>
        <w:rPr>
          <w:lang w:val="en-CA"/>
        </w:rPr>
      </w:pPr>
      <w:r w:rsidRPr="00E248AE">
        <w:rPr>
          <w:lang w:val="en-CA"/>
        </w:rPr>
        <w:t>On</w:t>
      </w:r>
      <w:r w:rsidR="001A2598" w:rsidRPr="00E248AE">
        <w:rPr>
          <w:lang w:val="en-CA"/>
        </w:rPr>
        <w:t xml:space="preserve"> appeal</w:t>
      </w:r>
      <w:r w:rsidRPr="00E248AE">
        <w:rPr>
          <w:lang w:val="en-CA"/>
        </w:rPr>
        <w:t>,</w:t>
      </w:r>
      <w:r w:rsidR="001A2598" w:rsidRPr="00E248AE">
        <w:rPr>
          <w:lang w:val="en-CA"/>
        </w:rPr>
        <w:t xml:space="preserve"> the appellant argue</w:t>
      </w:r>
      <w:r w:rsidR="000D48DA" w:rsidRPr="00E248AE">
        <w:rPr>
          <w:lang w:val="en-CA"/>
        </w:rPr>
        <w:t>s</w:t>
      </w:r>
      <w:r w:rsidR="001A2598" w:rsidRPr="00E248AE">
        <w:rPr>
          <w:lang w:val="en-CA"/>
        </w:rPr>
        <w:t xml:space="preserve"> that the judge </w:t>
      </w:r>
      <w:r w:rsidR="00E248AE" w:rsidRPr="00E248AE">
        <w:rPr>
          <w:lang w:val="en-CA"/>
        </w:rPr>
        <w:t>committed</w:t>
      </w:r>
      <w:r w:rsidR="001A2598" w:rsidRPr="00E248AE">
        <w:rPr>
          <w:lang w:val="en-CA"/>
        </w:rPr>
        <w:t xml:space="preserve"> reviewable errors in practically all aspects of </w:t>
      </w:r>
      <w:r w:rsidR="00A630D1" w:rsidRPr="00E248AE">
        <w:rPr>
          <w:lang w:val="en-CA"/>
        </w:rPr>
        <w:t>the</w:t>
      </w:r>
      <w:r w:rsidR="001A2598" w:rsidRPr="00E248AE">
        <w:rPr>
          <w:lang w:val="en-CA"/>
        </w:rPr>
        <w:t xml:space="preserve"> judgment.</w:t>
      </w:r>
    </w:p>
    <w:p w14:paraId="2FB36D66" w14:textId="4953A963" w:rsidR="00394C57" w:rsidRPr="00E248AE" w:rsidRDefault="00A843C4" w:rsidP="00400980">
      <w:pPr>
        <w:pStyle w:val="Paragraphe"/>
        <w:rPr>
          <w:lang w:val="en-CA"/>
        </w:rPr>
      </w:pPr>
      <w:r w:rsidRPr="00E248AE">
        <w:rPr>
          <w:lang w:val="en-CA"/>
        </w:rPr>
        <w:lastRenderedPageBreak/>
        <w:t>Regarding</w:t>
      </w:r>
      <w:r w:rsidR="00D42B21" w:rsidRPr="00E248AE">
        <w:rPr>
          <w:lang w:val="en-CA"/>
        </w:rPr>
        <w:t xml:space="preserve"> damages, th</w:t>
      </w:r>
      <w:r w:rsidR="00476374" w:rsidRPr="00E248AE">
        <w:rPr>
          <w:lang w:val="en-CA"/>
        </w:rPr>
        <w:t xml:space="preserve">e appellant </w:t>
      </w:r>
      <w:r w:rsidR="004E682C" w:rsidRPr="00E248AE">
        <w:rPr>
          <w:lang w:val="en-CA"/>
        </w:rPr>
        <w:t>submits</w:t>
      </w:r>
      <w:r w:rsidR="00D42B21" w:rsidRPr="00E248AE">
        <w:rPr>
          <w:lang w:val="en-CA"/>
        </w:rPr>
        <w:t xml:space="preserve"> that the judge erred </w:t>
      </w:r>
      <w:r w:rsidR="001A6EA4" w:rsidRPr="00E248AE">
        <w:rPr>
          <w:lang w:val="en-CA"/>
        </w:rPr>
        <w:t>in</w:t>
      </w:r>
      <w:r w:rsidR="00476374" w:rsidRPr="00E248AE">
        <w:rPr>
          <w:lang w:val="en-CA"/>
        </w:rPr>
        <w:t xml:space="preserve"> conclud</w:t>
      </w:r>
      <w:r w:rsidR="001A6EA4" w:rsidRPr="00E248AE">
        <w:rPr>
          <w:lang w:val="en-CA"/>
        </w:rPr>
        <w:t xml:space="preserve">ing </w:t>
      </w:r>
      <w:r w:rsidR="00476374" w:rsidRPr="00E248AE">
        <w:rPr>
          <w:lang w:val="en-CA"/>
        </w:rPr>
        <w:t>that the moral dama</w:t>
      </w:r>
      <w:r w:rsidR="00D42B21" w:rsidRPr="00E248AE">
        <w:rPr>
          <w:lang w:val="en-CA"/>
        </w:rPr>
        <w:t xml:space="preserve">ges were merely </w:t>
      </w:r>
      <w:r w:rsidR="004E682C" w:rsidRPr="00E248AE">
        <w:rPr>
          <w:lang w:val="en-CA"/>
        </w:rPr>
        <w:t>normal</w:t>
      </w:r>
      <w:r w:rsidR="00D42B21" w:rsidRPr="00E248AE">
        <w:rPr>
          <w:lang w:val="en-CA"/>
        </w:rPr>
        <w:t xml:space="preserve"> inconvenience</w:t>
      </w:r>
      <w:r w:rsidR="00476374" w:rsidRPr="00E248AE">
        <w:rPr>
          <w:lang w:val="en-CA"/>
        </w:rPr>
        <w:t xml:space="preserve">s </w:t>
      </w:r>
      <w:r w:rsidR="004E682C" w:rsidRPr="00E248AE">
        <w:rPr>
          <w:lang w:val="en-CA"/>
        </w:rPr>
        <w:t xml:space="preserve">that </w:t>
      </w:r>
      <w:r w:rsidR="00476374" w:rsidRPr="00E248AE">
        <w:rPr>
          <w:lang w:val="en-CA"/>
        </w:rPr>
        <w:t xml:space="preserve">every citizen </w:t>
      </w:r>
      <w:r w:rsidR="004E682C" w:rsidRPr="00E248AE">
        <w:rPr>
          <w:lang w:val="en-CA"/>
        </w:rPr>
        <w:t>must</w:t>
      </w:r>
      <w:r w:rsidR="00476374" w:rsidRPr="00E248AE">
        <w:rPr>
          <w:lang w:val="en-CA"/>
        </w:rPr>
        <w:t xml:space="preserve"> accept. </w:t>
      </w:r>
      <w:r w:rsidR="002D3F8E" w:rsidRPr="00E248AE">
        <w:rPr>
          <w:lang w:val="en-CA"/>
        </w:rPr>
        <w:t>I</w:t>
      </w:r>
      <w:r w:rsidR="00D42B21" w:rsidRPr="00E248AE">
        <w:rPr>
          <w:lang w:val="en-CA"/>
        </w:rPr>
        <w:t xml:space="preserve">n his </w:t>
      </w:r>
      <w:r w:rsidR="000E2820" w:rsidRPr="00E248AE">
        <w:rPr>
          <w:lang w:val="en-CA"/>
        </w:rPr>
        <w:t>view</w:t>
      </w:r>
      <w:r w:rsidR="002D3F8E" w:rsidRPr="00E248AE">
        <w:rPr>
          <w:lang w:val="en-CA"/>
        </w:rPr>
        <w:t>,</w:t>
      </w:r>
      <w:r w:rsidR="00D42B21" w:rsidRPr="00E248AE">
        <w:rPr>
          <w:lang w:val="en-CA"/>
        </w:rPr>
        <w:t xml:space="preserve"> the judge failed to give adequate weight to the testimony of the investors</w:t>
      </w:r>
      <w:r w:rsidR="00476374" w:rsidRPr="00E248AE">
        <w:rPr>
          <w:lang w:val="en-CA"/>
        </w:rPr>
        <w:t>,</w:t>
      </w:r>
      <w:r w:rsidR="00D42B21" w:rsidRPr="00E248AE">
        <w:rPr>
          <w:lang w:val="en-CA"/>
        </w:rPr>
        <w:t xml:space="preserve"> which clearly </w:t>
      </w:r>
      <w:r w:rsidR="00476374" w:rsidRPr="00E248AE">
        <w:rPr>
          <w:lang w:val="en-CA"/>
        </w:rPr>
        <w:t xml:space="preserve">described </w:t>
      </w:r>
      <w:r w:rsidR="00D42B21" w:rsidRPr="00E248AE">
        <w:rPr>
          <w:lang w:val="en-CA"/>
        </w:rPr>
        <w:t xml:space="preserve">the anxiety they suffered due to the </w:t>
      </w:r>
      <w:r w:rsidR="00A1634B" w:rsidRPr="00E248AE">
        <w:rPr>
          <w:lang w:val="en-CA"/>
        </w:rPr>
        <w:t xml:space="preserve">situation, </w:t>
      </w:r>
      <w:r w:rsidR="00D42B21" w:rsidRPr="00E248AE">
        <w:rPr>
          <w:lang w:val="en-CA"/>
        </w:rPr>
        <w:t>their difficulty in getting answers from the respondent and the credit agencies, and the excessive amount of time it took fo</w:t>
      </w:r>
      <w:r w:rsidR="00476374" w:rsidRPr="00E248AE">
        <w:rPr>
          <w:lang w:val="en-CA"/>
        </w:rPr>
        <w:t xml:space="preserve">r them to </w:t>
      </w:r>
      <w:r w:rsidR="00B32F57" w:rsidRPr="00E248AE">
        <w:rPr>
          <w:lang w:val="en-CA"/>
        </w:rPr>
        <w:t>obtain</w:t>
      </w:r>
      <w:r w:rsidR="00476374" w:rsidRPr="00E248AE">
        <w:rPr>
          <w:lang w:val="en-CA"/>
        </w:rPr>
        <w:t xml:space="preserve"> credit. He argu</w:t>
      </w:r>
      <w:r w:rsidR="00D42B21" w:rsidRPr="00E248AE">
        <w:rPr>
          <w:lang w:val="en-CA"/>
        </w:rPr>
        <w:t>e</w:t>
      </w:r>
      <w:r w:rsidR="002D3F8E" w:rsidRPr="00E248AE">
        <w:rPr>
          <w:lang w:val="en-CA"/>
        </w:rPr>
        <w:t>s</w:t>
      </w:r>
      <w:r w:rsidR="00D42B21" w:rsidRPr="00E248AE">
        <w:rPr>
          <w:lang w:val="en-CA"/>
        </w:rPr>
        <w:t xml:space="preserve"> that the judge did not consider the evidence </w:t>
      </w:r>
      <w:r w:rsidR="002D3F8E" w:rsidRPr="00E248AE">
        <w:rPr>
          <w:lang w:val="en-CA"/>
        </w:rPr>
        <w:t>establishing</w:t>
      </w:r>
      <w:r w:rsidR="00D42B21" w:rsidRPr="00E248AE">
        <w:rPr>
          <w:lang w:val="en-CA"/>
        </w:rPr>
        <w:t xml:space="preserve"> that the protective measures offered </w:t>
      </w:r>
      <w:r w:rsidR="002D3F8E" w:rsidRPr="00E248AE">
        <w:rPr>
          <w:lang w:val="en-CA"/>
        </w:rPr>
        <w:t xml:space="preserve">through the credit agencies </w:t>
      </w:r>
      <w:r w:rsidR="00D42B21" w:rsidRPr="00E248AE">
        <w:rPr>
          <w:lang w:val="en-CA"/>
        </w:rPr>
        <w:t xml:space="preserve">made it longer for many members to </w:t>
      </w:r>
      <w:r w:rsidR="00B32F57" w:rsidRPr="00E248AE">
        <w:rPr>
          <w:lang w:val="en-CA"/>
        </w:rPr>
        <w:t>obtain</w:t>
      </w:r>
      <w:r w:rsidR="00D42B21" w:rsidRPr="00E248AE">
        <w:rPr>
          <w:lang w:val="en-CA"/>
        </w:rPr>
        <w:t xml:space="preserve"> credit. He also state</w:t>
      </w:r>
      <w:r w:rsidR="002D3F8E" w:rsidRPr="00E248AE">
        <w:rPr>
          <w:lang w:val="en-CA"/>
        </w:rPr>
        <w:t>s</w:t>
      </w:r>
      <w:r w:rsidR="00D42B21" w:rsidRPr="00E248AE">
        <w:rPr>
          <w:lang w:val="en-CA"/>
        </w:rPr>
        <w:t xml:space="preserve"> that the judge did not consider the fact that the respondent’s expert received only partial information, </w:t>
      </w:r>
      <w:r w:rsidR="002D3F8E" w:rsidRPr="00E248AE">
        <w:rPr>
          <w:lang w:val="en-CA"/>
        </w:rPr>
        <w:t>such that</w:t>
      </w:r>
      <w:r w:rsidR="00D42B21" w:rsidRPr="00E248AE">
        <w:rPr>
          <w:lang w:val="en-CA"/>
        </w:rPr>
        <w:t xml:space="preserve"> her finding that there was no </w:t>
      </w:r>
      <w:r w:rsidR="002D3F8E" w:rsidRPr="00E248AE">
        <w:rPr>
          <w:lang w:val="en-CA"/>
        </w:rPr>
        <w:t>connection</w:t>
      </w:r>
      <w:r w:rsidR="00D42B21" w:rsidRPr="00E248AE">
        <w:rPr>
          <w:lang w:val="en-CA"/>
        </w:rPr>
        <w:t xml:space="preserve"> between the </w:t>
      </w:r>
      <w:r w:rsidR="00E248AE" w:rsidRPr="00E248AE">
        <w:rPr>
          <w:lang w:val="en-CA"/>
        </w:rPr>
        <w:t>evidence</w:t>
      </w:r>
      <w:r w:rsidR="00D42B21" w:rsidRPr="00E248AE">
        <w:rPr>
          <w:lang w:val="en-CA"/>
        </w:rPr>
        <w:t xml:space="preserve"> of fraud and identity theft and the loss of the Computer </w:t>
      </w:r>
      <w:r w:rsidR="002D3F8E" w:rsidRPr="00E248AE">
        <w:rPr>
          <w:lang w:val="en-CA"/>
        </w:rPr>
        <w:t xml:space="preserve">was </w:t>
      </w:r>
      <w:r w:rsidR="00D42B21" w:rsidRPr="00E248AE">
        <w:rPr>
          <w:lang w:val="en-CA"/>
        </w:rPr>
        <w:t>clearly erroneous.</w:t>
      </w:r>
    </w:p>
    <w:p w14:paraId="1178ABB6" w14:textId="0168578B" w:rsidR="00394C57" w:rsidRPr="00E248AE" w:rsidRDefault="00A4472C" w:rsidP="00400980">
      <w:pPr>
        <w:pStyle w:val="Paragraphe"/>
        <w:rPr>
          <w:lang w:val="en-CA"/>
        </w:rPr>
      </w:pPr>
      <w:r w:rsidRPr="00E248AE">
        <w:rPr>
          <w:lang w:val="en-CA"/>
        </w:rPr>
        <w:t>With respect</w:t>
      </w:r>
      <w:r w:rsidR="00850489" w:rsidRPr="00E248AE">
        <w:rPr>
          <w:lang w:val="en-CA"/>
        </w:rPr>
        <w:t xml:space="preserve"> to punitive damages, the appellant argue</w:t>
      </w:r>
      <w:r w:rsidRPr="00E248AE">
        <w:rPr>
          <w:lang w:val="en-CA"/>
        </w:rPr>
        <w:t>s</w:t>
      </w:r>
      <w:r w:rsidR="00850489" w:rsidRPr="00E248AE">
        <w:rPr>
          <w:lang w:val="en-CA"/>
        </w:rPr>
        <w:t xml:space="preserve"> that the judge erred in </w:t>
      </w:r>
      <w:r w:rsidR="00A42A3E" w:rsidRPr="00E248AE">
        <w:rPr>
          <w:lang w:val="en-CA"/>
        </w:rPr>
        <w:t>failing to</w:t>
      </w:r>
      <w:r w:rsidR="00850489" w:rsidRPr="00E248AE">
        <w:rPr>
          <w:lang w:val="en-CA"/>
        </w:rPr>
        <w:t xml:space="preserve"> acknowledg</w:t>
      </w:r>
      <w:r w:rsidR="00A42A3E" w:rsidRPr="00E248AE">
        <w:rPr>
          <w:lang w:val="en-CA"/>
        </w:rPr>
        <w:t>e</w:t>
      </w:r>
      <w:r w:rsidR="00850489" w:rsidRPr="00E248AE">
        <w:rPr>
          <w:lang w:val="en-CA"/>
        </w:rPr>
        <w:t xml:space="preserve"> that the respondent’s actions amounted to unlawful and </w:t>
      </w:r>
      <w:r w:rsidR="007C2335" w:rsidRPr="00E248AE">
        <w:rPr>
          <w:lang w:val="en-CA"/>
        </w:rPr>
        <w:t>intentional interference with</w:t>
      </w:r>
      <w:r w:rsidR="00850489" w:rsidRPr="00E248AE">
        <w:rPr>
          <w:lang w:val="en-CA"/>
        </w:rPr>
        <w:t xml:space="preserve"> his rights. In particular, he emphasize</w:t>
      </w:r>
      <w:r w:rsidR="009251B3" w:rsidRPr="00E248AE">
        <w:rPr>
          <w:lang w:val="en-CA"/>
        </w:rPr>
        <w:t>s</w:t>
      </w:r>
      <w:r w:rsidR="00850489" w:rsidRPr="00E248AE">
        <w:rPr>
          <w:lang w:val="en-CA"/>
        </w:rPr>
        <w:t xml:space="preserve"> the fact that the respondent did not encrypt the information contained in the Computer and that it delayed reacting to the incident and notifying the investors.</w:t>
      </w:r>
      <w:r w:rsidR="00A1634B" w:rsidRPr="00E248AE">
        <w:rPr>
          <w:lang w:val="en-CA"/>
        </w:rPr>
        <w:t xml:space="preserve"> </w:t>
      </w:r>
      <w:r w:rsidR="00850489" w:rsidRPr="00E248AE">
        <w:rPr>
          <w:lang w:val="en-CA"/>
        </w:rPr>
        <w:t xml:space="preserve">The appellant </w:t>
      </w:r>
      <w:r w:rsidR="001D4F03" w:rsidRPr="00E248AE">
        <w:rPr>
          <w:lang w:val="en-CA"/>
        </w:rPr>
        <w:t>submits</w:t>
      </w:r>
      <w:r w:rsidR="00476374" w:rsidRPr="00E248AE">
        <w:rPr>
          <w:lang w:val="en-CA"/>
        </w:rPr>
        <w:t xml:space="preserve"> </w:t>
      </w:r>
      <w:r w:rsidR="00850489" w:rsidRPr="00E248AE">
        <w:rPr>
          <w:lang w:val="en-CA"/>
        </w:rPr>
        <w:t xml:space="preserve">that the judge erred </w:t>
      </w:r>
      <w:r w:rsidR="004E7F8B" w:rsidRPr="00E248AE">
        <w:rPr>
          <w:lang w:val="en-CA"/>
        </w:rPr>
        <w:t>by relying</w:t>
      </w:r>
      <w:r w:rsidR="00850489" w:rsidRPr="00E248AE">
        <w:rPr>
          <w:lang w:val="en-CA"/>
        </w:rPr>
        <w:t xml:space="preserve"> on the expert’s evidence </w:t>
      </w:r>
      <w:r w:rsidR="001D4F03" w:rsidRPr="00E248AE">
        <w:rPr>
          <w:lang w:val="en-CA"/>
        </w:rPr>
        <w:t>of</w:t>
      </w:r>
      <w:r w:rsidR="00850489" w:rsidRPr="00E248AE">
        <w:rPr>
          <w:lang w:val="en-CA"/>
        </w:rPr>
        <w:t xml:space="preserve"> the amount of time it took to inform the investors and set up the appropriate measures; according to him</w:t>
      </w:r>
      <w:r w:rsidR="001D4F03" w:rsidRPr="00E248AE">
        <w:rPr>
          <w:lang w:val="en-CA"/>
        </w:rPr>
        <w:t>,</w:t>
      </w:r>
      <w:r w:rsidR="00850489" w:rsidRPr="00E248AE">
        <w:rPr>
          <w:lang w:val="en-CA"/>
        </w:rPr>
        <w:t xml:space="preserve"> the expert</w:t>
      </w:r>
      <w:r w:rsidR="000012F7" w:rsidRPr="00E248AE">
        <w:rPr>
          <w:lang w:val="en-CA"/>
        </w:rPr>
        <w:t xml:space="preserve"> </w:t>
      </w:r>
      <w:r w:rsidR="00476374" w:rsidRPr="00E248AE">
        <w:rPr>
          <w:lang w:val="en-CA"/>
        </w:rPr>
        <w:t xml:space="preserve">had </w:t>
      </w:r>
      <w:r w:rsidR="000012F7" w:rsidRPr="00E248AE">
        <w:rPr>
          <w:lang w:val="en-CA"/>
        </w:rPr>
        <w:t>made no mention of that time frame.</w:t>
      </w:r>
      <w:r w:rsidR="00A1634B" w:rsidRPr="00E248AE">
        <w:rPr>
          <w:lang w:val="en-CA"/>
        </w:rPr>
        <w:t xml:space="preserve"> </w:t>
      </w:r>
    </w:p>
    <w:p w14:paraId="5D602DCC" w14:textId="14EDB80F" w:rsidR="00394C57" w:rsidRPr="00E248AE" w:rsidRDefault="000012F7" w:rsidP="00400980">
      <w:pPr>
        <w:pStyle w:val="Paragraphe"/>
        <w:rPr>
          <w:lang w:val="en-CA"/>
        </w:rPr>
      </w:pPr>
      <w:r w:rsidRPr="00E248AE">
        <w:rPr>
          <w:lang w:val="en-CA"/>
        </w:rPr>
        <w:t xml:space="preserve">The </w:t>
      </w:r>
      <w:r w:rsidR="00A1634B" w:rsidRPr="00E248AE">
        <w:rPr>
          <w:lang w:val="en-CA"/>
        </w:rPr>
        <w:t>appe</w:t>
      </w:r>
      <w:r w:rsidRPr="00E248AE">
        <w:rPr>
          <w:lang w:val="en-CA"/>
        </w:rPr>
        <w:t>l</w:t>
      </w:r>
      <w:r w:rsidR="00A1634B" w:rsidRPr="00E248AE">
        <w:rPr>
          <w:lang w:val="en-CA"/>
        </w:rPr>
        <w:t xml:space="preserve">lant </w:t>
      </w:r>
      <w:r w:rsidR="00476374" w:rsidRPr="00E248AE">
        <w:rPr>
          <w:lang w:val="en-CA"/>
        </w:rPr>
        <w:t>argue</w:t>
      </w:r>
      <w:r w:rsidR="004E7F8B" w:rsidRPr="00E248AE">
        <w:rPr>
          <w:lang w:val="en-CA"/>
        </w:rPr>
        <w:t>s</w:t>
      </w:r>
      <w:r w:rsidR="00476374" w:rsidRPr="00E248AE">
        <w:rPr>
          <w:lang w:val="en-CA"/>
        </w:rPr>
        <w:t xml:space="preserve"> </w:t>
      </w:r>
      <w:r w:rsidRPr="00E248AE">
        <w:rPr>
          <w:lang w:val="en-CA"/>
        </w:rPr>
        <w:t xml:space="preserve">that the judge also erred </w:t>
      </w:r>
      <w:r w:rsidR="004E7F8B" w:rsidRPr="00E248AE">
        <w:rPr>
          <w:lang w:val="en-CA"/>
        </w:rPr>
        <w:t>by refusing</w:t>
      </w:r>
      <w:r w:rsidRPr="00E248AE">
        <w:rPr>
          <w:lang w:val="en-CA"/>
        </w:rPr>
        <w:t xml:space="preserve"> to grant the amendment he requested at the end of the </w:t>
      </w:r>
      <w:r w:rsidR="004E7F8B" w:rsidRPr="00E248AE">
        <w:rPr>
          <w:lang w:val="en-CA"/>
        </w:rPr>
        <w:t>trial</w:t>
      </w:r>
      <w:r w:rsidRPr="00E248AE">
        <w:rPr>
          <w:lang w:val="en-CA"/>
        </w:rPr>
        <w:t xml:space="preserve">. </w:t>
      </w:r>
      <w:r w:rsidR="00476374" w:rsidRPr="00E248AE">
        <w:rPr>
          <w:lang w:val="en-CA"/>
        </w:rPr>
        <w:t xml:space="preserve">In his </w:t>
      </w:r>
      <w:r w:rsidR="000E2820" w:rsidRPr="00E248AE">
        <w:rPr>
          <w:lang w:val="en-CA"/>
        </w:rPr>
        <w:t>view</w:t>
      </w:r>
      <w:r w:rsidR="00476374" w:rsidRPr="00E248AE">
        <w:rPr>
          <w:lang w:val="en-CA"/>
        </w:rPr>
        <w:t>, it was clear to</w:t>
      </w:r>
      <w:r w:rsidRPr="00E248AE">
        <w:rPr>
          <w:lang w:val="en-CA"/>
        </w:rPr>
        <w:t xml:space="preserve"> the respondent that such a req</w:t>
      </w:r>
      <w:r w:rsidR="00476374" w:rsidRPr="00E248AE">
        <w:rPr>
          <w:lang w:val="en-CA"/>
        </w:rPr>
        <w:t>uest would be submitted and</w:t>
      </w:r>
      <w:r w:rsidRPr="00E248AE">
        <w:rPr>
          <w:lang w:val="en-CA"/>
        </w:rPr>
        <w:t xml:space="preserve">, in any </w:t>
      </w:r>
      <w:r w:rsidR="000E2820" w:rsidRPr="00E248AE">
        <w:rPr>
          <w:lang w:val="en-CA"/>
        </w:rPr>
        <w:t>event</w:t>
      </w:r>
      <w:r w:rsidRPr="00E248AE">
        <w:rPr>
          <w:lang w:val="en-CA"/>
        </w:rPr>
        <w:t xml:space="preserve">, his application for compensatory damages included </w:t>
      </w:r>
      <w:r w:rsidR="001A6EA4" w:rsidRPr="00E248AE">
        <w:rPr>
          <w:lang w:val="en-CA"/>
        </w:rPr>
        <w:t>a</w:t>
      </w:r>
      <w:r w:rsidRPr="00E248AE">
        <w:rPr>
          <w:lang w:val="en-CA"/>
        </w:rPr>
        <w:t xml:space="preserve"> request for </w:t>
      </w:r>
      <w:r w:rsidR="001A6EA4" w:rsidRPr="00E248AE">
        <w:rPr>
          <w:lang w:val="en-CA"/>
        </w:rPr>
        <w:t xml:space="preserve">the </w:t>
      </w:r>
      <w:r w:rsidRPr="00E248AE">
        <w:rPr>
          <w:lang w:val="en-CA"/>
        </w:rPr>
        <w:t xml:space="preserve">reimbursement of expenses. He </w:t>
      </w:r>
      <w:r w:rsidR="000E2820" w:rsidRPr="00E248AE">
        <w:rPr>
          <w:lang w:val="en-CA"/>
        </w:rPr>
        <w:t>submits</w:t>
      </w:r>
      <w:r w:rsidRPr="00E248AE">
        <w:rPr>
          <w:lang w:val="en-CA"/>
        </w:rPr>
        <w:t xml:space="preserve"> that the judge </w:t>
      </w:r>
      <w:r w:rsidR="000E2820" w:rsidRPr="00E248AE">
        <w:rPr>
          <w:lang w:val="en-CA"/>
        </w:rPr>
        <w:t>incorrectly</w:t>
      </w:r>
      <w:r w:rsidRPr="00E248AE">
        <w:rPr>
          <w:lang w:val="en-CA"/>
        </w:rPr>
        <w:t xml:space="preserve"> applied the principle of proportionality, which </w:t>
      </w:r>
      <w:r w:rsidR="00EF4716" w:rsidRPr="00E248AE">
        <w:rPr>
          <w:lang w:val="en-CA"/>
        </w:rPr>
        <w:t>sho</w:t>
      </w:r>
      <w:r w:rsidRPr="00E248AE">
        <w:rPr>
          <w:lang w:val="en-CA"/>
        </w:rPr>
        <w:t>uld have favoured the amendment.</w:t>
      </w:r>
    </w:p>
    <w:p w14:paraId="4DC9CC4A" w14:textId="0135C01E" w:rsidR="00394C57" w:rsidRPr="00E248AE" w:rsidRDefault="000012F7" w:rsidP="00400980">
      <w:pPr>
        <w:pStyle w:val="Paragraphe"/>
        <w:rPr>
          <w:lang w:val="en-CA"/>
        </w:rPr>
      </w:pPr>
      <w:r w:rsidRPr="00E248AE">
        <w:rPr>
          <w:lang w:val="en-CA"/>
        </w:rPr>
        <w:t>Last, the appellant argue</w:t>
      </w:r>
      <w:r w:rsidR="000E2820" w:rsidRPr="00E248AE">
        <w:rPr>
          <w:lang w:val="en-CA"/>
        </w:rPr>
        <w:t>s</w:t>
      </w:r>
      <w:r w:rsidRPr="00E248AE">
        <w:rPr>
          <w:lang w:val="en-CA"/>
        </w:rPr>
        <w:t xml:space="preserve"> that the judge erred </w:t>
      </w:r>
      <w:r w:rsidR="000E2820" w:rsidRPr="00E248AE">
        <w:rPr>
          <w:lang w:val="en-CA"/>
        </w:rPr>
        <w:t>by</w:t>
      </w:r>
      <w:r w:rsidRPr="00E248AE">
        <w:rPr>
          <w:lang w:val="en-CA"/>
        </w:rPr>
        <w:t xml:space="preserve"> </w:t>
      </w:r>
      <w:r w:rsidR="000E2820" w:rsidRPr="00E248AE">
        <w:rPr>
          <w:lang w:val="en-CA"/>
        </w:rPr>
        <w:t>awarding</w:t>
      </w:r>
      <w:r w:rsidRPr="00E248AE">
        <w:rPr>
          <w:lang w:val="en-CA"/>
        </w:rPr>
        <w:t xml:space="preserve"> costs in favour of the respondent, in particular because she did not take </w:t>
      </w:r>
      <w:r w:rsidR="000E2820" w:rsidRPr="00E248AE">
        <w:rPr>
          <w:lang w:val="en-CA"/>
        </w:rPr>
        <w:t xml:space="preserve">into account </w:t>
      </w:r>
      <w:r w:rsidRPr="00E248AE">
        <w:rPr>
          <w:lang w:val="en-CA"/>
        </w:rPr>
        <w:t xml:space="preserve">the parties’ unequal resources </w:t>
      </w:r>
      <w:r w:rsidR="000E2820" w:rsidRPr="00E248AE">
        <w:rPr>
          <w:lang w:val="en-CA"/>
        </w:rPr>
        <w:t xml:space="preserve">and </w:t>
      </w:r>
      <w:r w:rsidRPr="00E248AE">
        <w:rPr>
          <w:lang w:val="en-CA"/>
        </w:rPr>
        <w:t>the respondent</w:t>
      </w:r>
      <w:r w:rsidR="000E2820" w:rsidRPr="00E248AE">
        <w:rPr>
          <w:lang w:val="en-CA"/>
        </w:rPr>
        <w:t xml:space="preserve">’s failure to comply with the time limits </w:t>
      </w:r>
      <w:r w:rsidR="005F634E" w:rsidRPr="00E248AE">
        <w:rPr>
          <w:lang w:val="en-CA"/>
        </w:rPr>
        <w:t xml:space="preserve">set </w:t>
      </w:r>
      <w:r w:rsidR="000E2820" w:rsidRPr="00E248AE">
        <w:rPr>
          <w:lang w:val="en-CA"/>
        </w:rPr>
        <w:t>to ready the case for trial</w:t>
      </w:r>
      <w:r w:rsidR="00A1634B" w:rsidRPr="00E248AE">
        <w:rPr>
          <w:lang w:val="en-CA"/>
        </w:rPr>
        <w:t>.</w:t>
      </w:r>
    </w:p>
    <w:p w14:paraId="39BE503F" w14:textId="3811CD11" w:rsidR="00394C57" w:rsidRPr="00E248AE" w:rsidRDefault="00FA1E36" w:rsidP="00D14318">
      <w:pPr>
        <w:pStyle w:val="Paragraphe"/>
        <w:rPr>
          <w:lang w:val="en-CA"/>
        </w:rPr>
      </w:pPr>
      <w:r w:rsidRPr="00E248AE">
        <w:rPr>
          <w:lang w:val="en-CA"/>
        </w:rPr>
        <w:t>In</w:t>
      </w:r>
      <w:r w:rsidR="000012F7" w:rsidRPr="00E248AE">
        <w:rPr>
          <w:lang w:val="en-CA"/>
        </w:rPr>
        <w:t xml:space="preserve"> the weeks </w:t>
      </w:r>
      <w:r w:rsidRPr="00E248AE">
        <w:rPr>
          <w:lang w:val="en-CA"/>
        </w:rPr>
        <w:t>preceding</w:t>
      </w:r>
      <w:r w:rsidR="000012F7" w:rsidRPr="00E248AE">
        <w:rPr>
          <w:lang w:val="en-CA"/>
        </w:rPr>
        <w:t xml:space="preserve"> the appeal hearing</w:t>
      </w:r>
      <w:r w:rsidRPr="00E248AE">
        <w:rPr>
          <w:lang w:val="en-CA"/>
        </w:rPr>
        <w:t>,</w:t>
      </w:r>
      <w:r w:rsidR="000012F7" w:rsidRPr="00E248AE">
        <w:rPr>
          <w:lang w:val="en-CA"/>
        </w:rPr>
        <w:t xml:space="preserve"> the appellant </w:t>
      </w:r>
      <w:r w:rsidRPr="00E248AE">
        <w:rPr>
          <w:lang w:val="en-CA"/>
        </w:rPr>
        <w:t>filed</w:t>
      </w:r>
      <w:r w:rsidR="000012F7" w:rsidRPr="00E248AE">
        <w:rPr>
          <w:lang w:val="en-CA"/>
        </w:rPr>
        <w:t xml:space="preserve"> an amended </w:t>
      </w:r>
      <w:r w:rsidRPr="00E248AE">
        <w:rPr>
          <w:lang w:val="en-CA"/>
        </w:rPr>
        <w:t>notice</w:t>
      </w:r>
      <w:r w:rsidR="000012F7" w:rsidRPr="00E248AE">
        <w:rPr>
          <w:lang w:val="en-CA"/>
        </w:rPr>
        <w:t xml:space="preserve"> of appeal </w:t>
      </w:r>
      <w:r w:rsidR="00EF4716" w:rsidRPr="00E248AE">
        <w:rPr>
          <w:lang w:val="en-CA"/>
        </w:rPr>
        <w:t>to</w:t>
      </w:r>
      <w:r w:rsidR="000012F7" w:rsidRPr="00E248AE">
        <w:rPr>
          <w:lang w:val="en-CA"/>
        </w:rPr>
        <w:t xml:space="preserve"> </w:t>
      </w:r>
      <w:r w:rsidRPr="00E248AE">
        <w:rPr>
          <w:lang w:val="en-CA"/>
        </w:rPr>
        <w:t>add</w:t>
      </w:r>
      <w:r w:rsidR="000012F7" w:rsidRPr="00E248AE">
        <w:rPr>
          <w:lang w:val="en-CA"/>
        </w:rPr>
        <w:t xml:space="preserve"> a claim for damages based on an hourly rate. The respondent </w:t>
      </w:r>
      <w:r w:rsidRPr="00E248AE">
        <w:rPr>
          <w:lang w:val="en-CA"/>
        </w:rPr>
        <w:t>contested</w:t>
      </w:r>
      <w:r w:rsidR="000012F7" w:rsidRPr="00E248AE">
        <w:rPr>
          <w:lang w:val="en-CA"/>
        </w:rPr>
        <w:t xml:space="preserve"> that amendment, pointing out that it was </w:t>
      </w:r>
      <w:r w:rsidRPr="00E248AE">
        <w:rPr>
          <w:lang w:val="en-CA"/>
        </w:rPr>
        <w:t>late</w:t>
      </w:r>
      <w:r w:rsidR="000012F7" w:rsidRPr="00E248AE">
        <w:rPr>
          <w:lang w:val="en-CA"/>
        </w:rPr>
        <w:t xml:space="preserve">, that no such application had been </w:t>
      </w:r>
      <w:r w:rsidR="00573CDA" w:rsidRPr="00E248AE">
        <w:rPr>
          <w:lang w:val="en-CA"/>
        </w:rPr>
        <w:t>made at trial,</w:t>
      </w:r>
      <w:r w:rsidR="00A1634B" w:rsidRPr="00E248AE">
        <w:rPr>
          <w:lang w:val="en-CA"/>
        </w:rPr>
        <w:t xml:space="preserve"> </w:t>
      </w:r>
      <w:r w:rsidR="000012F7" w:rsidRPr="00E248AE">
        <w:rPr>
          <w:lang w:val="en-CA"/>
        </w:rPr>
        <w:t xml:space="preserve">and that it would </w:t>
      </w:r>
      <w:r w:rsidR="00E21520" w:rsidRPr="00E248AE">
        <w:rPr>
          <w:lang w:val="en-CA"/>
        </w:rPr>
        <w:t xml:space="preserve">be </w:t>
      </w:r>
      <w:r w:rsidR="00573CDA" w:rsidRPr="00E248AE">
        <w:rPr>
          <w:lang w:val="en-CA"/>
        </w:rPr>
        <w:t>contrary to</w:t>
      </w:r>
      <w:r w:rsidR="00E21520" w:rsidRPr="00E248AE">
        <w:rPr>
          <w:lang w:val="en-CA"/>
        </w:rPr>
        <w:t xml:space="preserve"> </w:t>
      </w:r>
      <w:r w:rsidR="000012F7" w:rsidRPr="00E248AE">
        <w:rPr>
          <w:lang w:val="en-CA"/>
        </w:rPr>
        <w:t>the interest</w:t>
      </w:r>
      <w:r w:rsidR="00573CDA" w:rsidRPr="00E248AE">
        <w:rPr>
          <w:lang w:val="en-CA"/>
        </w:rPr>
        <w:t>s</w:t>
      </w:r>
      <w:r w:rsidR="000012F7" w:rsidRPr="00E248AE">
        <w:rPr>
          <w:lang w:val="en-CA"/>
        </w:rPr>
        <w:t xml:space="preserve"> of justice to grant it.</w:t>
      </w:r>
    </w:p>
    <w:p w14:paraId="55195AE0" w14:textId="77777777" w:rsidR="00394C57" w:rsidRPr="00E248AE" w:rsidRDefault="00A1634B" w:rsidP="00400980">
      <w:pPr>
        <w:pStyle w:val="Paragraphe"/>
        <w:numPr>
          <w:ilvl w:val="0"/>
          <w:numId w:val="0"/>
        </w:numPr>
        <w:jc w:val="center"/>
        <w:rPr>
          <w:lang w:val="en-CA"/>
        </w:rPr>
      </w:pPr>
      <w:r w:rsidRPr="00E248AE">
        <w:rPr>
          <w:lang w:val="en-CA"/>
        </w:rPr>
        <w:t>* * *</w:t>
      </w:r>
    </w:p>
    <w:p w14:paraId="48C022FC" w14:textId="77777777" w:rsidR="00394C57" w:rsidRPr="00E248AE" w:rsidRDefault="00045922" w:rsidP="00400980">
      <w:pPr>
        <w:pStyle w:val="Paragraphe"/>
        <w:rPr>
          <w:lang w:val="en-CA"/>
        </w:rPr>
      </w:pPr>
      <w:r w:rsidRPr="00E248AE">
        <w:rPr>
          <w:lang w:val="en-CA"/>
        </w:rPr>
        <w:t>The appeal must fai</w:t>
      </w:r>
      <w:r w:rsidR="00E21520" w:rsidRPr="00E248AE">
        <w:rPr>
          <w:lang w:val="en-CA"/>
        </w:rPr>
        <w:t>l.</w:t>
      </w:r>
    </w:p>
    <w:p w14:paraId="0E0AEEB3" w14:textId="29961D33" w:rsidR="00394C57" w:rsidRPr="00E248AE" w:rsidRDefault="00045922" w:rsidP="00400980">
      <w:pPr>
        <w:pStyle w:val="Paragraphe"/>
        <w:rPr>
          <w:lang w:val="en-CA"/>
        </w:rPr>
      </w:pPr>
      <w:r w:rsidRPr="00E248AE">
        <w:rPr>
          <w:lang w:val="en-CA"/>
        </w:rPr>
        <w:t>The appellant question</w:t>
      </w:r>
      <w:r w:rsidR="000B344E" w:rsidRPr="00E248AE">
        <w:rPr>
          <w:lang w:val="en-CA"/>
        </w:rPr>
        <w:t>s</w:t>
      </w:r>
      <w:r w:rsidRPr="00E248AE">
        <w:rPr>
          <w:lang w:val="en-CA"/>
        </w:rPr>
        <w:t xml:space="preserve"> practically all of the judge’s findings of fact but has not managed to identify</w:t>
      </w:r>
      <w:r w:rsidR="00D41EBF" w:rsidRPr="00E248AE">
        <w:rPr>
          <w:lang w:val="en-CA"/>
        </w:rPr>
        <w:t xml:space="preserve"> –</w:t>
      </w:r>
      <w:r w:rsidR="006F0854" w:rsidRPr="00E248AE">
        <w:rPr>
          <w:lang w:val="en-CA"/>
        </w:rPr>
        <w:t xml:space="preserve"> much less establish</w:t>
      </w:r>
      <w:r w:rsidR="00D41EBF" w:rsidRPr="00E248AE">
        <w:rPr>
          <w:lang w:val="en-CA"/>
        </w:rPr>
        <w:t xml:space="preserve"> –</w:t>
      </w:r>
      <w:r w:rsidR="006F0854" w:rsidRPr="00E248AE">
        <w:rPr>
          <w:lang w:val="en-CA"/>
        </w:rPr>
        <w:t xml:space="preserve"> </w:t>
      </w:r>
      <w:r w:rsidR="000B344E" w:rsidRPr="00E248AE">
        <w:rPr>
          <w:lang w:val="en-CA"/>
        </w:rPr>
        <w:t xml:space="preserve">any </w:t>
      </w:r>
      <w:r w:rsidR="006F0854" w:rsidRPr="00E248AE">
        <w:rPr>
          <w:lang w:val="en-CA"/>
        </w:rPr>
        <w:t>palpab</w:t>
      </w:r>
      <w:r w:rsidR="00D41EBF" w:rsidRPr="00E248AE">
        <w:rPr>
          <w:lang w:val="en-CA"/>
        </w:rPr>
        <w:t>l</w:t>
      </w:r>
      <w:r w:rsidR="006F0854" w:rsidRPr="00E248AE">
        <w:rPr>
          <w:lang w:val="en-CA"/>
        </w:rPr>
        <w:t xml:space="preserve">e and overriding errors in </w:t>
      </w:r>
      <w:r w:rsidR="000B344E" w:rsidRPr="00E248AE">
        <w:rPr>
          <w:lang w:val="en-CA"/>
        </w:rPr>
        <w:t>the</w:t>
      </w:r>
      <w:r w:rsidR="006F0854" w:rsidRPr="00E248AE">
        <w:rPr>
          <w:lang w:val="en-CA"/>
        </w:rPr>
        <w:t xml:space="preserve"> judgment</w:t>
      </w:r>
      <w:r w:rsidR="000B344E" w:rsidRPr="00E248AE">
        <w:rPr>
          <w:lang w:val="en-CA"/>
        </w:rPr>
        <w:t xml:space="preserve"> under appeal</w:t>
      </w:r>
      <w:r w:rsidR="006F0854" w:rsidRPr="00E248AE">
        <w:rPr>
          <w:lang w:val="en-CA"/>
        </w:rPr>
        <w:t>, although the burden was on him to do so. Instead, he ask</w:t>
      </w:r>
      <w:r w:rsidR="000B344E" w:rsidRPr="00E248AE">
        <w:rPr>
          <w:lang w:val="en-CA"/>
        </w:rPr>
        <w:t>s</w:t>
      </w:r>
      <w:r w:rsidR="006F0854" w:rsidRPr="00E248AE">
        <w:rPr>
          <w:lang w:val="en-CA"/>
        </w:rPr>
        <w:t xml:space="preserve"> the </w:t>
      </w:r>
      <w:r w:rsidR="006F0854" w:rsidRPr="00E248AE">
        <w:rPr>
          <w:lang w:val="en-CA"/>
        </w:rPr>
        <w:lastRenderedPageBreak/>
        <w:t>Court to re</w:t>
      </w:r>
      <w:r w:rsidR="00E248AE">
        <w:rPr>
          <w:lang w:val="en-CA"/>
        </w:rPr>
        <w:t>-</w:t>
      </w:r>
      <w:r w:rsidR="006F0854" w:rsidRPr="00E248AE">
        <w:rPr>
          <w:lang w:val="en-CA"/>
        </w:rPr>
        <w:t xml:space="preserve">examine the evidence and come to a different </w:t>
      </w:r>
      <w:r w:rsidR="00A1634B" w:rsidRPr="00E248AE">
        <w:rPr>
          <w:lang w:val="en-CA"/>
        </w:rPr>
        <w:t>conclusion</w:t>
      </w:r>
      <w:r w:rsidR="006F0854" w:rsidRPr="00E248AE">
        <w:rPr>
          <w:lang w:val="en-CA"/>
        </w:rPr>
        <w:t xml:space="preserve"> from that of the judge. That, however, is not the role of an </w:t>
      </w:r>
      <w:r w:rsidR="000B344E" w:rsidRPr="00E248AE">
        <w:rPr>
          <w:lang w:val="en-CA"/>
        </w:rPr>
        <w:t>appellate</w:t>
      </w:r>
      <w:r w:rsidR="006F0854" w:rsidRPr="00E248AE">
        <w:rPr>
          <w:lang w:val="en-CA"/>
        </w:rPr>
        <w:t xml:space="preserve"> court.</w:t>
      </w:r>
      <w:r w:rsidR="00A1634B" w:rsidRPr="00E248AE">
        <w:rPr>
          <w:rStyle w:val="Appelnotedebasdep"/>
          <w:lang w:val="en-CA"/>
        </w:rPr>
        <w:footnoteReference w:id="3"/>
      </w:r>
    </w:p>
    <w:p w14:paraId="5473F1A3" w14:textId="2EC4A28A" w:rsidR="00394C57" w:rsidRPr="00E248AE" w:rsidRDefault="005D4473" w:rsidP="00400980">
      <w:pPr>
        <w:pStyle w:val="Paragraphe"/>
        <w:rPr>
          <w:lang w:val="en-CA"/>
        </w:rPr>
      </w:pPr>
      <w:r w:rsidRPr="00E248AE">
        <w:rPr>
          <w:lang w:val="en-CA"/>
        </w:rPr>
        <w:t>On the issue of compensatory damages</w:t>
      </w:r>
      <w:r w:rsidR="003925E9" w:rsidRPr="00E248AE">
        <w:rPr>
          <w:lang w:val="en-CA"/>
        </w:rPr>
        <w:t>,</w:t>
      </w:r>
      <w:r w:rsidRPr="00E248AE">
        <w:rPr>
          <w:lang w:val="en-CA"/>
        </w:rPr>
        <w:t xml:space="preserve"> the judge divided the </w:t>
      </w:r>
      <w:r w:rsidR="003925E9" w:rsidRPr="00E248AE">
        <w:rPr>
          <w:lang w:val="en-CA"/>
        </w:rPr>
        <w:t xml:space="preserve">amounts </w:t>
      </w:r>
      <w:r w:rsidRPr="00E248AE">
        <w:rPr>
          <w:lang w:val="en-CA"/>
        </w:rPr>
        <w:t>claimed into four categories: (i) the anxiety</w:t>
      </w:r>
      <w:r w:rsidR="00A1634B" w:rsidRPr="00E248AE">
        <w:rPr>
          <w:lang w:val="en-CA"/>
        </w:rPr>
        <w:t xml:space="preserve">, </w:t>
      </w:r>
      <w:r w:rsidRPr="00E248AE">
        <w:rPr>
          <w:lang w:val="en-CA"/>
        </w:rPr>
        <w:t>anger</w:t>
      </w:r>
      <w:r w:rsidR="003925E9" w:rsidRPr="00E248AE">
        <w:rPr>
          <w:lang w:val="en-CA"/>
        </w:rPr>
        <w:t>,</w:t>
      </w:r>
      <w:r w:rsidRPr="00E248AE">
        <w:rPr>
          <w:lang w:val="en-CA"/>
        </w:rPr>
        <w:t xml:space="preserve"> and </w:t>
      </w:r>
      <w:r w:rsidR="00A1634B" w:rsidRPr="00E248AE">
        <w:rPr>
          <w:lang w:val="en-CA"/>
        </w:rPr>
        <w:t xml:space="preserve">stress </w:t>
      </w:r>
      <w:r w:rsidRPr="00E248AE">
        <w:rPr>
          <w:lang w:val="en-CA"/>
        </w:rPr>
        <w:t xml:space="preserve">related to the loss of the personal information; (ii) the investors’ </w:t>
      </w:r>
      <w:r w:rsidR="00A1634B" w:rsidRPr="00E248AE">
        <w:rPr>
          <w:lang w:val="en-CA"/>
        </w:rPr>
        <w:t xml:space="preserve">obligation </w:t>
      </w:r>
      <w:r w:rsidRPr="00E248AE">
        <w:rPr>
          <w:lang w:val="en-CA"/>
        </w:rPr>
        <w:t>to monitor their accounts; (iii) the inconvenience and loss of time involved in dealing with the credit agencies that the respondent made available; (iv) the shame and delay</w:t>
      </w:r>
      <w:r w:rsidR="00D9513F" w:rsidRPr="00E248AE">
        <w:rPr>
          <w:lang w:val="en-CA"/>
        </w:rPr>
        <w:t>s experienced</w:t>
      </w:r>
      <w:r w:rsidRPr="00E248AE">
        <w:rPr>
          <w:lang w:val="en-CA"/>
        </w:rPr>
        <w:t xml:space="preserve"> while trying to </w:t>
      </w:r>
      <w:r w:rsidR="00B32F57" w:rsidRPr="00E248AE">
        <w:rPr>
          <w:lang w:val="en-CA"/>
        </w:rPr>
        <w:t>obtain</w:t>
      </w:r>
      <w:r w:rsidRPr="00E248AE">
        <w:rPr>
          <w:lang w:val="en-CA"/>
        </w:rPr>
        <w:t xml:space="preserve"> credit. </w:t>
      </w:r>
      <w:r w:rsidR="00D9513F" w:rsidRPr="00E248AE">
        <w:rPr>
          <w:lang w:val="en-CA"/>
        </w:rPr>
        <w:t>In</w:t>
      </w:r>
      <w:r w:rsidRPr="00E248AE">
        <w:rPr>
          <w:lang w:val="en-CA"/>
        </w:rPr>
        <w:t xml:space="preserve"> regard to the first category, she </w:t>
      </w:r>
      <w:r w:rsidR="00D9513F" w:rsidRPr="00E248AE">
        <w:rPr>
          <w:lang w:val="en-CA"/>
        </w:rPr>
        <w:t>applied</w:t>
      </w:r>
      <w:r w:rsidRPr="00E248AE">
        <w:rPr>
          <w:lang w:val="en-CA"/>
        </w:rPr>
        <w:t xml:space="preserve"> the Supreme Court</w:t>
      </w:r>
      <w:r w:rsidR="00D9513F" w:rsidRPr="00E248AE">
        <w:rPr>
          <w:lang w:val="en-CA"/>
        </w:rPr>
        <w:t>’s</w:t>
      </w:r>
      <w:r w:rsidRPr="00E248AE">
        <w:rPr>
          <w:lang w:val="en-CA"/>
        </w:rPr>
        <w:t xml:space="preserve"> decision in </w:t>
      </w:r>
      <w:r w:rsidR="00A1634B" w:rsidRPr="00E248AE">
        <w:rPr>
          <w:i/>
          <w:lang w:val="en-CA"/>
        </w:rPr>
        <w:t>Mustapha</w:t>
      </w:r>
      <w:r w:rsidR="00A1634B" w:rsidRPr="00E248AE">
        <w:rPr>
          <w:rStyle w:val="Appelnotedebasdep"/>
          <w:lang w:val="en-CA"/>
        </w:rPr>
        <w:footnoteReference w:id="4"/>
      </w:r>
      <w:r w:rsidR="00A1634B" w:rsidRPr="00E248AE">
        <w:rPr>
          <w:lang w:val="en-CA"/>
        </w:rPr>
        <w:t xml:space="preserve"> </w:t>
      </w:r>
      <w:r w:rsidRPr="00E248AE">
        <w:rPr>
          <w:lang w:val="en-CA"/>
        </w:rPr>
        <w:t xml:space="preserve">and concluded that the evidence did not </w:t>
      </w:r>
      <w:r w:rsidR="004D45C3" w:rsidRPr="00E248AE">
        <w:rPr>
          <w:lang w:val="en-CA"/>
        </w:rPr>
        <w:t>meet the threshold</w:t>
      </w:r>
      <w:r w:rsidRPr="00E248AE">
        <w:rPr>
          <w:lang w:val="en-CA"/>
        </w:rPr>
        <w:t xml:space="preserve"> of compensable injury. </w:t>
      </w:r>
      <w:r w:rsidR="004D45C3" w:rsidRPr="00E248AE">
        <w:rPr>
          <w:lang w:val="en-CA"/>
        </w:rPr>
        <w:t>As for</w:t>
      </w:r>
      <w:r w:rsidRPr="00E248AE">
        <w:rPr>
          <w:lang w:val="en-CA"/>
        </w:rPr>
        <w:t xml:space="preserve"> the second category</w:t>
      </w:r>
      <w:r w:rsidR="00CC4C70" w:rsidRPr="00E248AE">
        <w:rPr>
          <w:lang w:val="en-CA"/>
        </w:rPr>
        <w:t>,</w:t>
      </w:r>
      <w:r w:rsidRPr="00E248AE">
        <w:rPr>
          <w:lang w:val="en-CA"/>
        </w:rPr>
        <w:t xml:space="preserve"> she </w:t>
      </w:r>
      <w:r w:rsidR="00CC4C70" w:rsidRPr="00E248AE">
        <w:rPr>
          <w:lang w:val="en-CA"/>
        </w:rPr>
        <w:t>applied</w:t>
      </w:r>
      <w:r w:rsidRPr="00E248AE">
        <w:rPr>
          <w:lang w:val="en-CA"/>
        </w:rPr>
        <w:t xml:space="preserve"> this Court’s decision in </w:t>
      </w:r>
      <w:r w:rsidR="00A1634B" w:rsidRPr="00E248AE">
        <w:rPr>
          <w:i/>
          <w:lang w:val="en-CA"/>
        </w:rPr>
        <w:t>Sofio</w:t>
      </w:r>
      <w:r w:rsidR="00A1634B" w:rsidRPr="00E248AE">
        <w:rPr>
          <w:rStyle w:val="Appelnotedebasdep"/>
          <w:lang w:val="en-CA"/>
        </w:rPr>
        <w:footnoteReference w:id="5"/>
      </w:r>
      <w:r w:rsidR="00A1634B" w:rsidRPr="00E248AE">
        <w:rPr>
          <w:lang w:val="en-CA"/>
        </w:rPr>
        <w:t xml:space="preserve"> </w:t>
      </w:r>
      <w:r w:rsidRPr="00E248AE">
        <w:rPr>
          <w:lang w:val="en-CA"/>
        </w:rPr>
        <w:t xml:space="preserve">and concluded that the evidence did not show that the investors’ </w:t>
      </w:r>
      <w:r w:rsidR="00D41EBF" w:rsidRPr="00E248AE">
        <w:rPr>
          <w:lang w:val="en-CA"/>
        </w:rPr>
        <w:t>obligation to monitor</w:t>
      </w:r>
      <w:r w:rsidRPr="00E248AE">
        <w:rPr>
          <w:lang w:val="en-CA"/>
        </w:rPr>
        <w:t xml:space="preserve"> their own accounts exceeded normal expectations. With </w:t>
      </w:r>
      <w:r w:rsidR="00CC4C70" w:rsidRPr="00E248AE">
        <w:rPr>
          <w:lang w:val="en-CA"/>
        </w:rPr>
        <w:t>respect</w:t>
      </w:r>
      <w:r w:rsidRPr="00E248AE">
        <w:rPr>
          <w:lang w:val="en-CA"/>
        </w:rPr>
        <w:t xml:space="preserve"> to the third category, she acknowledged that </w:t>
      </w:r>
      <w:r w:rsidR="00CC4C70" w:rsidRPr="00E248AE">
        <w:rPr>
          <w:lang w:val="en-CA"/>
        </w:rPr>
        <w:t>it could be a compensable injury,</w:t>
      </w:r>
      <w:r w:rsidR="00D41EBF" w:rsidRPr="00E248AE">
        <w:rPr>
          <w:lang w:val="en-CA"/>
        </w:rPr>
        <w:t xml:space="preserve"> but found </w:t>
      </w:r>
      <w:r w:rsidRPr="00E248AE">
        <w:rPr>
          <w:lang w:val="en-CA"/>
        </w:rPr>
        <w:t xml:space="preserve">that in </w:t>
      </w:r>
      <w:r w:rsidR="00CC4C70" w:rsidRPr="00E248AE">
        <w:rPr>
          <w:lang w:val="en-CA"/>
        </w:rPr>
        <w:t>this</w:t>
      </w:r>
      <w:r w:rsidRPr="00E248AE">
        <w:rPr>
          <w:lang w:val="en-CA"/>
        </w:rPr>
        <w:t xml:space="preserve"> case</w:t>
      </w:r>
      <w:r w:rsidR="00CC4C70" w:rsidRPr="00E248AE">
        <w:rPr>
          <w:lang w:val="en-CA"/>
        </w:rPr>
        <w:t>,</w:t>
      </w:r>
      <w:r w:rsidRPr="00E248AE">
        <w:rPr>
          <w:lang w:val="en-CA"/>
        </w:rPr>
        <w:t xml:space="preserve"> the respondent had provided free credit agency services and that</w:t>
      </w:r>
      <w:r w:rsidR="002028E3" w:rsidRPr="00E248AE">
        <w:rPr>
          <w:lang w:val="en-CA"/>
        </w:rPr>
        <w:t xml:space="preserve"> the time it took to obtain such protection was not compensable. Last, </w:t>
      </w:r>
      <w:r w:rsidR="003B5086" w:rsidRPr="00E248AE">
        <w:rPr>
          <w:lang w:val="en-CA"/>
        </w:rPr>
        <w:t>regarding</w:t>
      </w:r>
      <w:r w:rsidR="002028E3" w:rsidRPr="00E248AE">
        <w:rPr>
          <w:lang w:val="en-CA"/>
        </w:rPr>
        <w:t xml:space="preserve"> the difficulty of </w:t>
      </w:r>
      <w:r w:rsidR="003B5086" w:rsidRPr="00E248AE">
        <w:rPr>
          <w:lang w:val="en-CA"/>
        </w:rPr>
        <w:t>obtaining</w:t>
      </w:r>
      <w:r w:rsidR="002028E3" w:rsidRPr="00E248AE">
        <w:rPr>
          <w:lang w:val="en-CA"/>
        </w:rPr>
        <w:t xml:space="preserve"> credit, the judge again decided that there was no </w:t>
      </w:r>
      <w:r w:rsidR="003B5086" w:rsidRPr="00E248AE">
        <w:rPr>
          <w:lang w:val="en-CA"/>
        </w:rPr>
        <w:t>evidence</w:t>
      </w:r>
      <w:r w:rsidR="002028E3" w:rsidRPr="00E248AE">
        <w:rPr>
          <w:lang w:val="en-CA"/>
        </w:rPr>
        <w:t xml:space="preserve"> of compensable injury. She also noted that</w:t>
      </w:r>
      <w:r w:rsidR="00D41EBF" w:rsidRPr="00E248AE">
        <w:rPr>
          <w:lang w:val="en-CA"/>
        </w:rPr>
        <w:t>,</w:t>
      </w:r>
      <w:r w:rsidR="002028E3" w:rsidRPr="00E248AE">
        <w:rPr>
          <w:lang w:val="en-CA"/>
        </w:rPr>
        <w:t xml:space="preserve"> since the difficulties </w:t>
      </w:r>
      <w:r w:rsidR="00D41EBF" w:rsidRPr="00E248AE">
        <w:rPr>
          <w:lang w:val="en-CA"/>
        </w:rPr>
        <w:t xml:space="preserve">stemmed </w:t>
      </w:r>
      <w:r w:rsidR="003B5086" w:rsidRPr="00E248AE">
        <w:rPr>
          <w:lang w:val="en-CA"/>
        </w:rPr>
        <w:t xml:space="preserve">only </w:t>
      </w:r>
      <w:r w:rsidR="00D41EBF" w:rsidRPr="00E248AE">
        <w:rPr>
          <w:lang w:val="en-CA"/>
        </w:rPr>
        <w:t xml:space="preserve">from </w:t>
      </w:r>
      <w:r w:rsidR="002028E3" w:rsidRPr="00E248AE">
        <w:rPr>
          <w:lang w:val="en-CA"/>
        </w:rPr>
        <w:t xml:space="preserve">the free fraud alert service provided by the respondent, the investors could have refused </w:t>
      </w:r>
      <w:r w:rsidR="003B5086" w:rsidRPr="00E248AE">
        <w:rPr>
          <w:lang w:val="en-CA"/>
        </w:rPr>
        <w:t>that</w:t>
      </w:r>
      <w:r w:rsidR="002028E3" w:rsidRPr="00E248AE">
        <w:rPr>
          <w:lang w:val="en-CA"/>
        </w:rPr>
        <w:t xml:space="preserve"> service.</w:t>
      </w:r>
    </w:p>
    <w:p w14:paraId="7F09E549" w14:textId="1B977724" w:rsidR="00394C57" w:rsidRPr="00E248AE" w:rsidRDefault="002028E3" w:rsidP="002028E3">
      <w:pPr>
        <w:pStyle w:val="Paragraphe"/>
        <w:rPr>
          <w:lang w:val="en-CA"/>
        </w:rPr>
      </w:pPr>
      <w:r w:rsidRPr="00E248AE">
        <w:rPr>
          <w:lang w:val="en-CA"/>
        </w:rPr>
        <w:t xml:space="preserve">The appellant </w:t>
      </w:r>
      <w:r w:rsidR="00B32F57" w:rsidRPr="00E248AE">
        <w:rPr>
          <w:lang w:val="en-CA"/>
        </w:rPr>
        <w:t>does</w:t>
      </w:r>
      <w:r w:rsidRPr="00E248AE">
        <w:rPr>
          <w:lang w:val="en-CA"/>
        </w:rPr>
        <w:t xml:space="preserve"> not agree with the judge’s findings of fact, but he has not succeeded in demonstrating </w:t>
      </w:r>
      <w:r w:rsidR="00B3738F" w:rsidRPr="00E248AE">
        <w:rPr>
          <w:lang w:val="en-CA"/>
        </w:rPr>
        <w:t xml:space="preserve">that she made </w:t>
      </w:r>
      <w:r w:rsidRPr="00E248AE">
        <w:rPr>
          <w:lang w:val="en-CA"/>
        </w:rPr>
        <w:t xml:space="preserve">any palpable </w:t>
      </w:r>
      <w:r w:rsidR="00D41EBF" w:rsidRPr="00E248AE">
        <w:rPr>
          <w:lang w:val="en-CA"/>
        </w:rPr>
        <w:t>or o</w:t>
      </w:r>
      <w:r w:rsidRPr="00E248AE">
        <w:rPr>
          <w:lang w:val="en-CA"/>
        </w:rPr>
        <w:t xml:space="preserve">verriding error </w:t>
      </w:r>
      <w:r w:rsidR="00B32F57" w:rsidRPr="00E248AE">
        <w:rPr>
          <w:lang w:val="en-CA"/>
        </w:rPr>
        <w:t>in their regard</w:t>
      </w:r>
      <w:r w:rsidRPr="00E248AE">
        <w:rPr>
          <w:lang w:val="en-CA"/>
        </w:rPr>
        <w:t xml:space="preserve">. </w:t>
      </w:r>
    </w:p>
    <w:p w14:paraId="65CF84B7" w14:textId="3F4BF236" w:rsidR="00394C57" w:rsidRPr="00E248AE" w:rsidRDefault="00B3738F" w:rsidP="00D14318">
      <w:pPr>
        <w:pStyle w:val="Paragraphe"/>
        <w:rPr>
          <w:lang w:val="en-CA"/>
        </w:rPr>
      </w:pPr>
      <w:r w:rsidRPr="00E248AE">
        <w:rPr>
          <w:lang w:val="en-CA"/>
        </w:rPr>
        <w:t xml:space="preserve">The damages claimed for unlawful use of personal information are dealt with </w:t>
      </w:r>
      <w:r w:rsidR="00524E8C" w:rsidRPr="00E248AE">
        <w:rPr>
          <w:lang w:val="en-CA"/>
        </w:rPr>
        <w:t>separately. The judge did</w:t>
      </w:r>
      <w:r w:rsidRPr="00E248AE">
        <w:rPr>
          <w:lang w:val="en-CA"/>
        </w:rPr>
        <w:t xml:space="preserve"> not imply that those damages are not compensable. There is no doubt that the members who were victims of fraud and identity theft did suffer damages, especially in terms of the time it took them to deal with financial </w:t>
      </w:r>
      <w:r w:rsidR="00A1634B" w:rsidRPr="00E248AE">
        <w:rPr>
          <w:lang w:val="en-CA"/>
        </w:rPr>
        <w:t>institutions</w:t>
      </w:r>
      <w:r w:rsidRPr="00E248AE">
        <w:rPr>
          <w:lang w:val="en-CA"/>
        </w:rPr>
        <w:t>, credit agencies</w:t>
      </w:r>
      <w:r w:rsidR="003066F8" w:rsidRPr="00E248AE">
        <w:rPr>
          <w:lang w:val="en-CA"/>
        </w:rPr>
        <w:t>,</w:t>
      </w:r>
      <w:r w:rsidRPr="00E248AE">
        <w:rPr>
          <w:lang w:val="en-CA"/>
        </w:rPr>
        <w:t xml:space="preserve"> and service providers, not to mention the anxiety, </w:t>
      </w:r>
      <w:r w:rsidR="00A1634B" w:rsidRPr="00E248AE">
        <w:rPr>
          <w:lang w:val="en-CA"/>
        </w:rPr>
        <w:t>stress</w:t>
      </w:r>
      <w:r w:rsidR="003066F8" w:rsidRPr="00E248AE">
        <w:rPr>
          <w:lang w:val="en-CA"/>
        </w:rPr>
        <w:t>,</w:t>
      </w:r>
      <w:r w:rsidR="00A1634B" w:rsidRPr="00E248AE">
        <w:rPr>
          <w:lang w:val="en-CA"/>
        </w:rPr>
        <w:t xml:space="preserve"> </w:t>
      </w:r>
      <w:r w:rsidRPr="00E248AE">
        <w:rPr>
          <w:lang w:val="en-CA"/>
        </w:rPr>
        <w:t xml:space="preserve">and instability that </w:t>
      </w:r>
      <w:r w:rsidR="003066F8" w:rsidRPr="00E248AE">
        <w:rPr>
          <w:lang w:val="en-CA"/>
        </w:rPr>
        <w:t>such a</w:t>
      </w:r>
      <w:r w:rsidRPr="00E248AE">
        <w:rPr>
          <w:lang w:val="en-CA"/>
        </w:rPr>
        <w:t xml:space="preserve"> </w:t>
      </w:r>
      <w:r w:rsidR="00A1634B" w:rsidRPr="00E248AE">
        <w:rPr>
          <w:lang w:val="en-CA"/>
        </w:rPr>
        <w:t xml:space="preserve">situation </w:t>
      </w:r>
      <w:r w:rsidRPr="00E248AE">
        <w:rPr>
          <w:lang w:val="en-CA"/>
        </w:rPr>
        <w:t>can create.</w:t>
      </w:r>
      <w:r w:rsidR="00A1634B" w:rsidRPr="00E248AE">
        <w:rPr>
          <w:lang w:val="en-CA"/>
        </w:rPr>
        <w:t xml:space="preserve"> </w:t>
      </w:r>
      <w:r w:rsidRPr="00E248AE">
        <w:rPr>
          <w:lang w:val="en-CA"/>
        </w:rPr>
        <w:t xml:space="preserve">However, it was up to the appellant to demonstrate on a balance of probabilities that the unlawful use and the attempted unlawful use of the information resulted from the loss or theft of the Computer. In the judge’s </w:t>
      </w:r>
      <w:r w:rsidR="00A10FD4" w:rsidRPr="00E248AE">
        <w:rPr>
          <w:lang w:val="en-CA"/>
        </w:rPr>
        <w:t>view,</w:t>
      </w:r>
      <w:r w:rsidRPr="00E248AE">
        <w:rPr>
          <w:lang w:val="en-CA"/>
        </w:rPr>
        <w:t xml:space="preserve"> the appellant did not meet that burden</w:t>
      </w:r>
      <w:r w:rsidR="00A10FD4" w:rsidRPr="00E248AE">
        <w:rPr>
          <w:lang w:val="en-CA"/>
        </w:rPr>
        <w:t>,</w:t>
      </w:r>
      <w:r w:rsidRPr="00E248AE">
        <w:rPr>
          <w:lang w:val="en-CA"/>
        </w:rPr>
        <w:t xml:space="preserve"> and the Court sees no reviewable error in that </w:t>
      </w:r>
      <w:r w:rsidR="00A1634B" w:rsidRPr="00E248AE">
        <w:rPr>
          <w:lang w:val="en-CA"/>
        </w:rPr>
        <w:t xml:space="preserve">conclusion. </w:t>
      </w:r>
      <w:r w:rsidR="00A10FD4" w:rsidRPr="00E248AE">
        <w:rPr>
          <w:lang w:val="en-CA"/>
        </w:rPr>
        <w:t xml:space="preserve">Moreover, </w:t>
      </w:r>
      <w:r w:rsidRPr="00E248AE">
        <w:rPr>
          <w:lang w:val="en-CA"/>
        </w:rPr>
        <w:t xml:space="preserve">the Court </w:t>
      </w:r>
      <w:r w:rsidR="00A10FD4" w:rsidRPr="00E248AE">
        <w:rPr>
          <w:lang w:val="en-CA"/>
        </w:rPr>
        <w:t>find</w:t>
      </w:r>
      <w:r w:rsidR="00EF4716" w:rsidRPr="00E248AE">
        <w:rPr>
          <w:lang w:val="en-CA"/>
        </w:rPr>
        <w:t>s</w:t>
      </w:r>
      <w:r w:rsidR="00A10FD4" w:rsidRPr="00E248AE">
        <w:rPr>
          <w:lang w:val="en-CA"/>
        </w:rPr>
        <w:t xml:space="preserve"> no</w:t>
      </w:r>
      <w:r w:rsidRPr="00E248AE">
        <w:rPr>
          <w:lang w:val="en-CA"/>
        </w:rPr>
        <w:t xml:space="preserve"> error in the judge’s decision to rely on the reports of the respondent’s expert witness that found no </w:t>
      </w:r>
      <w:r w:rsidR="00B276F8" w:rsidRPr="00E248AE">
        <w:rPr>
          <w:lang w:val="en-CA"/>
        </w:rPr>
        <w:t>connection</w:t>
      </w:r>
      <w:r w:rsidRPr="00E248AE">
        <w:rPr>
          <w:lang w:val="en-CA"/>
        </w:rPr>
        <w:t xml:space="preserve"> between the loss of the Computer and the incidents of unlawful use of personal information, based on </w:t>
      </w:r>
      <w:r w:rsidR="00B276F8" w:rsidRPr="00E248AE">
        <w:rPr>
          <w:lang w:val="en-CA"/>
        </w:rPr>
        <w:t>various</w:t>
      </w:r>
      <w:r w:rsidRPr="00E248AE">
        <w:rPr>
          <w:lang w:val="en-CA"/>
        </w:rPr>
        <w:t xml:space="preserve"> considerations and</w:t>
      </w:r>
      <w:r w:rsidR="00A1634B" w:rsidRPr="00E248AE">
        <w:rPr>
          <w:lang w:val="en-CA"/>
        </w:rPr>
        <w:t xml:space="preserve"> analyses</w:t>
      </w:r>
      <w:r w:rsidR="00CF5436" w:rsidRPr="00E248AE">
        <w:rPr>
          <w:lang w:val="en-CA"/>
        </w:rPr>
        <w:t xml:space="preserve">. </w:t>
      </w:r>
      <w:r w:rsidRPr="00E248AE">
        <w:rPr>
          <w:lang w:val="en-CA"/>
        </w:rPr>
        <w:t xml:space="preserve">It should be noted that, according to the expert, if the loss of the Computer had </w:t>
      </w:r>
      <w:r w:rsidR="00B276F8" w:rsidRPr="00E248AE">
        <w:rPr>
          <w:lang w:val="en-CA"/>
        </w:rPr>
        <w:t>caused</w:t>
      </w:r>
      <w:r w:rsidR="00754168" w:rsidRPr="00E248AE">
        <w:rPr>
          <w:lang w:val="en-CA"/>
        </w:rPr>
        <w:t xml:space="preserve"> the various attempts to unlawfully use the investors’ personal information, he would have expected a much greater volume of applications for credit at the credit bureau</w:t>
      </w:r>
      <w:r w:rsidR="00B276F8" w:rsidRPr="00E248AE">
        <w:rPr>
          <w:lang w:val="en-CA"/>
        </w:rPr>
        <w:t>s</w:t>
      </w:r>
      <w:r w:rsidR="00754168" w:rsidRPr="00E248AE">
        <w:rPr>
          <w:lang w:val="en-CA"/>
        </w:rPr>
        <w:t xml:space="preserve">, a much higher volume of frauds presumed to have been suffered by the investors, online </w:t>
      </w:r>
      <w:r w:rsidR="00545545" w:rsidRPr="00E248AE">
        <w:rPr>
          <w:lang w:val="en-CA"/>
        </w:rPr>
        <w:t xml:space="preserve">discussions </w:t>
      </w:r>
      <w:r w:rsidR="00754168" w:rsidRPr="00E248AE">
        <w:rPr>
          <w:lang w:val="en-CA"/>
        </w:rPr>
        <w:t xml:space="preserve">about the </w:t>
      </w:r>
      <w:r w:rsidR="00545545" w:rsidRPr="00E248AE">
        <w:rPr>
          <w:lang w:val="en-CA"/>
        </w:rPr>
        <w:t>incident</w:t>
      </w:r>
      <w:r w:rsidR="00B276F8" w:rsidRPr="00E248AE">
        <w:rPr>
          <w:lang w:val="en-CA"/>
        </w:rPr>
        <w:t>,</w:t>
      </w:r>
      <w:r w:rsidR="00545545" w:rsidRPr="00E248AE">
        <w:rPr>
          <w:lang w:val="en-CA"/>
        </w:rPr>
        <w:t xml:space="preserve"> </w:t>
      </w:r>
      <w:r w:rsidR="00754168" w:rsidRPr="00E248AE">
        <w:rPr>
          <w:lang w:val="en-CA"/>
        </w:rPr>
        <w:t xml:space="preserve">and greater consistency between the various incidents of </w:t>
      </w:r>
      <w:r w:rsidR="00524E8C" w:rsidRPr="00E248AE">
        <w:rPr>
          <w:lang w:val="en-CA"/>
        </w:rPr>
        <w:t>fraud</w:t>
      </w:r>
      <w:r w:rsidR="00545545" w:rsidRPr="00E248AE">
        <w:rPr>
          <w:lang w:val="en-CA"/>
        </w:rPr>
        <w:t xml:space="preserve"> </w:t>
      </w:r>
      <w:r w:rsidR="00754168" w:rsidRPr="00E248AE">
        <w:rPr>
          <w:lang w:val="en-CA"/>
        </w:rPr>
        <w:t xml:space="preserve">and identity theft. The appellant submitted no </w:t>
      </w:r>
      <w:r w:rsidR="00754168" w:rsidRPr="00E248AE">
        <w:rPr>
          <w:lang w:val="en-CA"/>
        </w:rPr>
        <w:lastRenderedPageBreak/>
        <w:t xml:space="preserve">evidence to contradict either </w:t>
      </w:r>
      <w:r w:rsidR="00B276F8" w:rsidRPr="00E248AE">
        <w:rPr>
          <w:lang w:val="en-CA"/>
        </w:rPr>
        <w:t xml:space="preserve">of </w:t>
      </w:r>
      <w:r w:rsidR="00754168" w:rsidRPr="00E248AE">
        <w:rPr>
          <w:lang w:val="en-CA"/>
        </w:rPr>
        <w:t xml:space="preserve">those </w:t>
      </w:r>
      <w:r w:rsidR="00B276F8" w:rsidRPr="00E248AE">
        <w:rPr>
          <w:lang w:val="en-CA"/>
        </w:rPr>
        <w:t>assertions</w:t>
      </w:r>
      <w:r w:rsidR="00754168" w:rsidRPr="00E248AE">
        <w:rPr>
          <w:lang w:val="en-CA"/>
        </w:rPr>
        <w:t xml:space="preserve"> or the conclusion to which they lead. He </w:t>
      </w:r>
      <w:r w:rsidR="00315A4E" w:rsidRPr="00E248AE">
        <w:rPr>
          <w:lang w:val="en-CA"/>
        </w:rPr>
        <w:t>insisted</w:t>
      </w:r>
      <w:r w:rsidR="00754168" w:rsidRPr="00E248AE">
        <w:rPr>
          <w:lang w:val="en-CA"/>
        </w:rPr>
        <w:t xml:space="preserve"> that the information on which the expert relied was incomplete or inaccurate but was not able to demonstrate how that led to an overriding error. </w:t>
      </w:r>
    </w:p>
    <w:p w14:paraId="65235E82" w14:textId="62A125B9" w:rsidR="00394C57" w:rsidRPr="00E248AE" w:rsidRDefault="00CB43B4" w:rsidP="00400980">
      <w:pPr>
        <w:pStyle w:val="Paragraphe"/>
        <w:rPr>
          <w:lang w:val="en-CA"/>
        </w:rPr>
      </w:pPr>
      <w:r w:rsidRPr="00E248AE">
        <w:rPr>
          <w:lang w:val="en-CA"/>
        </w:rPr>
        <w:t>T</w:t>
      </w:r>
      <w:r w:rsidR="00E8706F" w:rsidRPr="00E248AE">
        <w:rPr>
          <w:lang w:val="en-CA"/>
        </w:rPr>
        <w:t xml:space="preserve">he same </w:t>
      </w:r>
      <w:r w:rsidR="00A1634B" w:rsidRPr="00E248AE">
        <w:rPr>
          <w:lang w:val="en-CA"/>
        </w:rPr>
        <w:t xml:space="preserve">conclusion </w:t>
      </w:r>
      <w:r w:rsidRPr="00E248AE">
        <w:rPr>
          <w:lang w:val="en-CA"/>
        </w:rPr>
        <w:t xml:space="preserve">applies </w:t>
      </w:r>
      <w:r w:rsidR="00E8706F" w:rsidRPr="00E248AE">
        <w:rPr>
          <w:lang w:val="en-CA"/>
        </w:rPr>
        <w:t xml:space="preserve">to punitive damages. The Court is of the </w:t>
      </w:r>
      <w:r w:rsidR="00067CC1" w:rsidRPr="00E248AE">
        <w:rPr>
          <w:lang w:val="en-CA"/>
        </w:rPr>
        <w:t>view</w:t>
      </w:r>
      <w:r w:rsidR="00E8706F" w:rsidRPr="00E248AE">
        <w:rPr>
          <w:lang w:val="en-CA"/>
        </w:rPr>
        <w:t xml:space="preserve"> that </w:t>
      </w:r>
      <w:r w:rsidR="00524E8C" w:rsidRPr="00E248AE">
        <w:rPr>
          <w:lang w:val="en-CA"/>
        </w:rPr>
        <w:t xml:space="preserve">the judge </w:t>
      </w:r>
      <w:r w:rsidRPr="00E248AE">
        <w:rPr>
          <w:lang w:val="en-CA"/>
        </w:rPr>
        <w:t>did not err in</w:t>
      </w:r>
      <w:r w:rsidR="00E8706F" w:rsidRPr="00E248AE">
        <w:rPr>
          <w:lang w:val="en-CA"/>
        </w:rPr>
        <w:t xml:space="preserve"> conclud</w:t>
      </w:r>
      <w:r w:rsidRPr="00E248AE">
        <w:rPr>
          <w:lang w:val="en-CA"/>
        </w:rPr>
        <w:t>ing</w:t>
      </w:r>
      <w:r w:rsidR="00E8706F" w:rsidRPr="00E248AE">
        <w:rPr>
          <w:lang w:val="en-CA"/>
        </w:rPr>
        <w:t xml:space="preserve"> that </w:t>
      </w:r>
      <w:r w:rsidR="00524E8C" w:rsidRPr="00E248AE">
        <w:rPr>
          <w:lang w:val="en-CA"/>
        </w:rPr>
        <w:t xml:space="preserve">the </w:t>
      </w:r>
      <w:r w:rsidR="00E8706F" w:rsidRPr="00E248AE">
        <w:rPr>
          <w:lang w:val="en-CA"/>
        </w:rPr>
        <w:t xml:space="preserve">criteria for </w:t>
      </w:r>
      <w:r w:rsidRPr="00E248AE">
        <w:rPr>
          <w:lang w:val="en-CA"/>
        </w:rPr>
        <w:t xml:space="preserve">awarding </w:t>
      </w:r>
      <w:r w:rsidR="00067CC1" w:rsidRPr="00E248AE">
        <w:rPr>
          <w:lang w:val="en-CA"/>
        </w:rPr>
        <w:t>punitive damages</w:t>
      </w:r>
      <w:r w:rsidR="00FE3D38" w:rsidRPr="00E248AE">
        <w:rPr>
          <w:lang w:val="en-CA"/>
        </w:rPr>
        <w:t xml:space="preserve"> were</w:t>
      </w:r>
      <w:r w:rsidR="00E8706F" w:rsidRPr="00E248AE">
        <w:rPr>
          <w:lang w:val="en-CA"/>
        </w:rPr>
        <w:t xml:space="preserve"> not met.</w:t>
      </w:r>
      <w:r w:rsidR="00A1634B" w:rsidRPr="00E248AE">
        <w:rPr>
          <w:lang w:val="en-CA"/>
        </w:rPr>
        <w:t xml:space="preserve"> </w:t>
      </w:r>
      <w:r w:rsidR="00E8706F" w:rsidRPr="00E248AE">
        <w:rPr>
          <w:lang w:val="en-CA"/>
        </w:rPr>
        <w:t xml:space="preserve">There </w:t>
      </w:r>
      <w:r w:rsidR="00FE3D38" w:rsidRPr="00E248AE">
        <w:rPr>
          <w:lang w:val="en-CA"/>
        </w:rPr>
        <w:t>is</w:t>
      </w:r>
      <w:r w:rsidR="00E8706F" w:rsidRPr="00E248AE">
        <w:rPr>
          <w:lang w:val="en-CA"/>
        </w:rPr>
        <w:t xml:space="preserve"> no reviewable error in her conclusion that the respondent had no intention </w:t>
      </w:r>
      <w:r w:rsidR="00FE3D38" w:rsidRPr="00E248AE">
        <w:rPr>
          <w:lang w:val="en-CA"/>
        </w:rPr>
        <w:t>to</w:t>
      </w:r>
      <w:r w:rsidR="00E8706F" w:rsidRPr="00E248AE">
        <w:rPr>
          <w:lang w:val="en-CA"/>
        </w:rPr>
        <w:t xml:space="preserve"> harm the members or that it was </w:t>
      </w:r>
      <w:r w:rsidR="006F140A">
        <w:rPr>
          <w:lang w:val="en-CA"/>
        </w:rPr>
        <w:t>un</w:t>
      </w:r>
      <w:r w:rsidR="00E8706F" w:rsidRPr="00E248AE">
        <w:rPr>
          <w:lang w:val="en-CA"/>
        </w:rPr>
        <w:t>aware of the immediate and natural consequences of its wrongful conduct.</w:t>
      </w:r>
      <w:r w:rsidR="00A1634B" w:rsidRPr="00E248AE">
        <w:rPr>
          <w:lang w:val="en-CA"/>
        </w:rPr>
        <w:t xml:space="preserve"> </w:t>
      </w:r>
      <w:r w:rsidR="00933CFB" w:rsidRPr="00E248AE">
        <w:rPr>
          <w:lang w:val="en-CA"/>
        </w:rPr>
        <w:t xml:space="preserve">It is important to note that the judge </w:t>
      </w:r>
      <w:r w:rsidR="00FE3D38" w:rsidRPr="00E248AE">
        <w:rPr>
          <w:lang w:val="en-CA"/>
        </w:rPr>
        <w:t>found</w:t>
      </w:r>
      <w:r w:rsidR="00933CFB" w:rsidRPr="00E248AE">
        <w:rPr>
          <w:lang w:val="en-CA"/>
        </w:rPr>
        <w:t xml:space="preserve"> that </w:t>
      </w:r>
      <w:r w:rsidR="00FF065C" w:rsidRPr="00E248AE">
        <w:rPr>
          <w:lang w:val="en-CA"/>
        </w:rPr>
        <w:t xml:space="preserve">not only was </w:t>
      </w:r>
      <w:r w:rsidR="00933CFB" w:rsidRPr="00E248AE">
        <w:rPr>
          <w:lang w:val="en-CA"/>
        </w:rPr>
        <w:t xml:space="preserve">the appellant </w:t>
      </w:r>
      <w:r w:rsidR="00E248AE" w:rsidRPr="00E248AE">
        <w:rPr>
          <w:lang w:val="en-CA"/>
        </w:rPr>
        <w:t>unsuccessful</w:t>
      </w:r>
      <w:r w:rsidR="00933CFB" w:rsidRPr="00E248AE">
        <w:rPr>
          <w:lang w:val="en-CA"/>
        </w:rPr>
        <w:t xml:space="preserve"> in demonstrating reckless or indifferent conduct, but that the uncontradi</w:t>
      </w:r>
      <w:r w:rsidR="00524E8C" w:rsidRPr="00E248AE">
        <w:rPr>
          <w:lang w:val="en-CA"/>
        </w:rPr>
        <w:t>cted expert evidence established</w:t>
      </w:r>
      <w:r w:rsidR="00933CFB" w:rsidRPr="00E248AE">
        <w:rPr>
          <w:lang w:val="en-CA"/>
        </w:rPr>
        <w:t xml:space="preserve"> that the respondent did in fact follow best practices in </w:t>
      </w:r>
      <w:r w:rsidR="00FE3D38" w:rsidRPr="00E248AE">
        <w:rPr>
          <w:lang w:val="en-CA"/>
        </w:rPr>
        <w:t>the circumstances</w:t>
      </w:r>
      <w:r w:rsidR="00933CFB" w:rsidRPr="00E248AE">
        <w:rPr>
          <w:lang w:val="en-CA"/>
        </w:rPr>
        <w:t>. Contrary to what the appellant suggest</w:t>
      </w:r>
      <w:r w:rsidR="00FE3D38" w:rsidRPr="00E248AE">
        <w:rPr>
          <w:lang w:val="en-CA"/>
        </w:rPr>
        <w:t>s</w:t>
      </w:r>
      <w:r w:rsidR="00933CFB" w:rsidRPr="00E248AE">
        <w:rPr>
          <w:lang w:val="en-CA"/>
        </w:rPr>
        <w:t xml:space="preserve">, there is no reason to consider that the expert failed to take </w:t>
      </w:r>
      <w:r w:rsidR="00FE3D38" w:rsidRPr="00E248AE">
        <w:rPr>
          <w:lang w:val="en-CA"/>
        </w:rPr>
        <w:t xml:space="preserve">into account </w:t>
      </w:r>
      <w:r w:rsidR="00933CFB" w:rsidRPr="00E248AE">
        <w:rPr>
          <w:lang w:val="en-CA"/>
        </w:rPr>
        <w:t xml:space="preserve">the </w:t>
      </w:r>
      <w:r w:rsidR="0085778B" w:rsidRPr="00E248AE">
        <w:rPr>
          <w:lang w:val="en-CA"/>
        </w:rPr>
        <w:t>delays incurred in</w:t>
      </w:r>
      <w:r w:rsidR="00933CFB" w:rsidRPr="00E248AE">
        <w:rPr>
          <w:lang w:val="en-CA"/>
        </w:rPr>
        <w:t xml:space="preserve"> responding to the incident or notifying the investors when arriving at that conclusion</w:t>
      </w:r>
      <w:r w:rsidR="00484A69" w:rsidRPr="00E248AE">
        <w:rPr>
          <w:lang w:val="en-CA"/>
        </w:rPr>
        <w:t>.</w:t>
      </w:r>
    </w:p>
    <w:p w14:paraId="18ED8F00" w14:textId="6C915273" w:rsidR="00394C57" w:rsidRPr="00E248AE" w:rsidRDefault="00524E8C" w:rsidP="00400980">
      <w:pPr>
        <w:pStyle w:val="Paragraphe"/>
        <w:rPr>
          <w:lang w:val="en-CA"/>
        </w:rPr>
      </w:pPr>
      <w:r w:rsidRPr="00E248AE">
        <w:rPr>
          <w:lang w:val="en-CA"/>
        </w:rPr>
        <w:t>On the awarding of costs,</w:t>
      </w:r>
      <w:r w:rsidR="00E67767" w:rsidRPr="00E248AE">
        <w:rPr>
          <w:lang w:val="en-CA"/>
        </w:rPr>
        <w:t xml:space="preserve"> the appellant has not successfully demonstrated that the judge erred in principle or used her discretionary power unreasonably. On the contrary, there was nothing unreasonable in her decision to </w:t>
      </w:r>
      <w:r w:rsidR="00676778" w:rsidRPr="00E248AE">
        <w:rPr>
          <w:lang w:val="en-CA"/>
        </w:rPr>
        <w:t>reject</w:t>
      </w:r>
      <w:r w:rsidR="00E67767" w:rsidRPr="00E248AE">
        <w:rPr>
          <w:lang w:val="en-CA"/>
        </w:rPr>
        <w:t xml:space="preserve"> the argument that the parties’ unequal resources justified deviating from the general rule </w:t>
      </w:r>
      <w:r w:rsidR="00676778" w:rsidRPr="00E248AE">
        <w:rPr>
          <w:lang w:val="en-CA"/>
        </w:rPr>
        <w:t>according to which legal costs are borne by the unsuccessful party</w:t>
      </w:r>
      <w:r w:rsidR="00E67767" w:rsidRPr="00E248AE">
        <w:rPr>
          <w:lang w:val="en-CA"/>
        </w:rPr>
        <w:t xml:space="preserve">, especially since the appellant </w:t>
      </w:r>
      <w:r w:rsidR="00676778" w:rsidRPr="00E248AE">
        <w:rPr>
          <w:lang w:val="en-CA"/>
        </w:rPr>
        <w:t>did not provide</w:t>
      </w:r>
      <w:r w:rsidR="00E67767" w:rsidRPr="00E248AE">
        <w:rPr>
          <w:lang w:val="en-CA"/>
        </w:rPr>
        <w:t xml:space="preserve"> her </w:t>
      </w:r>
      <w:r w:rsidR="00676778" w:rsidRPr="00E248AE">
        <w:rPr>
          <w:lang w:val="en-CA"/>
        </w:rPr>
        <w:t>with any</w:t>
      </w:r>
      <w:r w:rsidR="00E67767" w:rsidRPr="00E248AE">
        <w:rPr>
          <w:lang w:val="en-CA"/>
        </w:rPr>
        <w:t xml:space="preserve"> evidence or </w:t>
      </w:r>
      <w:r w:rsidR="00676778" w:rsidRPr="00E248AE">
        <w:rPr>
          <w:lang w:val="en-CA"/>
        </w:rPr>
        <w:t xml:space="preserve">concrete </w:t>
      </w:r>
      <w:r w:rsidR="00E67767" w:rsidRPr="00E248AE">
        <w:rPr>
          <w:lang w:val="en-CA"/>
        </w:rPr>
        <w:t xml:space="preserve">arguments in support of his </w:t>
      </w:r>
      <w:r w:rsidR="00A1634B" w:rsidRPr="00E248AE">
        <w:rPr>
          <w:lang w:val="en-CA"/>
        </w:rPr>
        <w:t>position.</w:t>
      </w:r>
    </w:p>
    <w:p w14:paraId="6C7C46AC" w14:textId="4AA5FBD4" w:rsidR="00822F54" w:rsidRPr="00E248AE" w:rsidRDefault="004A63DD" w:rsidP="00FF065C">
      <w:pPr>
        <w:pStyle w:val="Paragraphe"/>
        <w:rPr>
          <w:lang w:val="en-CA"/>
        </w:rPr>
      </w:pPr>
      <w:r w:rsidRPr="00E248AE">
        <w:rPr>
          <w:lang w:val="en-CA"/>
        </w:rPr>
        <w:t xml:space="preserve">As for the application to amend at </w:t>
      </w:r>
      <w:r w:rsidR="00E653B3" w:rsidRPr="00E248AE">
        <w:rPr>
          <w:lang w:val="en-CA"/>
        </w:rPr>
        <w:t>trial</w:t>
      </w:r>
      <w:r w:rsidR="00A1634B" w:rsidRPr="00E248AE">
        <w:rPr>
          <w:lang w:val="en-CA"/>
        </w:rPr>
        <w:t xml:space="preserve">, </w:t>
      </w:r>
      <w:r w:rsidRPr="00E248AE">
        <w:rPr>
          <w:lang w:val="en-CA"/>
        </w:rPr>
        <w:t xml:space="preserve">a high degree of deference </w:t>
      </w:r>
      <w:r w:rsidR="00E653B3" w:rsidRPr="00E248AE">
        <w:rPr>
          <w:lang w:val="en-CA"/>
        </w:rPr>
        <w:t>is owed</w:t>
      </w:r>
      <w:r w:rsidRPr="00E248AE">
        <w:rPr>
          <w:lang w:val="en-CA"/>
        </w:rPr>
        <w:t xml:space="preserve"> to the judge’s discretion, and the appellant has not successfully demonstrated a reviewable error in her decision to refuse the amendment. Taking into account </w:t>
      </w:r>
      <w:r w:rsidR="00FF065C" w:rsidRPr="00E248AE">
        <w:rPr>
          <w:lang w:val="en-CA"/>
        </w:rPr>
        <w:t xml:space="preserve">the fact </w:t>
      </w:r>
      <w:r w:rsidRPr="00E248AE">
        <w:rPr>
          <w:lang w:val="en-CA"/>
        </w:rPr>
        <w:t xml:space="preserve">that the request was </w:t>
      </w:r>
      <w:r w:rsidR="00FF065C" w:rsidRPr="00E248AE">
        <w:rPr>
          <w:lang w:val="en-CA"/>
        </w:rPr>
        <w:t>made</w:t>
      </w:r>
      <w:r w:rsidRPr="00E248AE">
        <w:rPr>
          <w:lang w:val="en-CA"/>
        </w:rPr>
        <w:t xml:space="preserve"> only at the end of the trial, it is obvious that granting the application would disrupt the balance between the </w:t>
      </w:r>
      <w:r w:rsidR="00484A69" w:rsidRPr="00E248AE">
        <w:rPr>
          <w:lang w:val="en-CA"/>
        </w:rPr>
        <w:t>parties.</w:t>
      </w:r>
    </w:p>
    <w:p w14:paraId="76B02E9E" w14:textId="63C7385A" w:rsidR="00394C57" w:rsidRPr="00E248AE" w:rsidRDefault="00CE01B4" w:rsidP="00400980">
      <w:pPr>
        <w:pStyle w:val="Paragraphe"/>
        <w:rPr>
          <w:lang w:val="en-CA"/>
        </w:rPr>
      </w:pPr>
      <w:r w:rsidRPr="00E248AE">
        <w:rPr>
          <w:lang w:val="en-CA"/>
        </w:rPr>
        <w:t xml:space="preserve">Last, with respect to the application to amend the </w:t>
      </w:r>
      <w:r w:rsidR="003156DB" w:rsidRPr="00E248AE">
        <w:rPr>
          <w:lang w:val="en-CA"/>
        </w:rPr>
        <w:t>notice</w:t>
      </w:r>
      <w:r w:rsidRPr="00E248AE">
        <w:rPr>
          <w:lang w:val="en-CA"/>
        </w:rPr>
        <w:t xml:space="preserve"> of appeal, the appellant </w:t>
      </w:r>
      <w:r w:rsidR="003156DB" w:rsidRPr="00E248AE">
        <w:rPr>
          <w:lang w:val="en-CA"/>
        </w:rPr>
        <w:t>argues</w:t>
      </w:r>
      <w:r w:rsidRPr="00E248AE">
        <w:rPr>
          <w:lang w:val="en-CA"/>
        </w:rPr>
        <w:t xml:space="preserve"> that this case is</w:t>
      </w:r>
      <w:r w:rsidR="003156DB" w:rsidRPr="00E248AE">
        <w:rPr>
          <w:lang w:val="en-CA"/>
        </w:rPr>
        <w:t xml:space="preserve"> unique</w:t>
      </w:r>
      <w:r w:rsidR="00FF065C" w:rsidRPr="00E248AE">
        <w:rPr>
          <w:lang w:val="en-CA"/>
        </w:rPr>
        <w:t>,</w:t>
      </w:r>
      <w:r w:rsidRPr="00E248AE">
        <w:rPr>
          <w:lang w:val="en-CA"/>
        </w:rPr>
        <w:t xml:space="preserve"> and to some extent unprecedented, and that the Court </w:t>
      </w:r>
      <w:r w:rsidR="003156DB" w:rsidRPr="00E248AE">
        <w:rPr>
          <w:lang w:val="en-CA"/>
        </w:rPr>
        <w:t xml:space="preserve">should therefore </w:t>
      </w:r>
      <w:r w:rsidRPr="00E248AE">
        <w:rPr>
          <w:lang w:val="en-CA"/>
        </w:rPr>
        <w:t>show flexibility by authorizing an amendment in</w:t>
      </w:r>
      <w:r w:rsidR="00FB0124" w:rsidRPr="00E248AE">
        <w:rPr>
          <w:lang w:val="en-CA"/>
        </w:rPr>
        <w:t xml:space="preserve">corporating a compensation method that appeared </w:t>
      </w:r>
      <w:r w:rsidR="00A038D7" w:rsidRPr="00E248AE">
        <w:rPr>
          <w:lang w:val="en-CA"/>
        </w:rPr>
        <w:t xml:space="preserve">only </w:t>
      </w:r>
      <w:r w:rsidR="00FB0124" w:rsidRPr="00E248AE">
        <w:rPr>
          <w:lang w:val="en-CA"/>
        </w:rPr>
        <w:t xml:space="preserve">recently in </w:t>
      </w:r>
      <w:r w:rsidR="00A038D7" w:rsidRPr="00E248AE">
        <w:rPr>
          <w:lang w:val="en-CA"/>
        </w:rPr>
        <w:t xml:space="preserve">the </w:t>
      </w:r>
      <w:r w:rsidR="009648A4" w:rsidRPr="00E248AE">
        <w:rPr>
          <w:lang w:val="en-CA"/>
        </w:rPr>
        <w:t>settlement</w:t>
      </w:r>
      <w:r w:rsidR="00FB0124" w:rsidRPr="00E248AE">
        <w:rPr>
          <w:lang w:val="en-CA"/>
        </w:rPr>
        <w:t xml:space="preserve"> of </w:t>
      </w:r>
      <w:r w:rsidR="00A038D7" w:rsidRPr="00E248AE">
        <w:rPr>
          <w:lang w:val="en-CA"/>
        </w:rPr>
        <w:t>a similar case</w:t>
      </w:r>
      <w:r w:rsidR="00FB0124" w:rsidRPr="00E248AE">
        <w:rPr>
          <w:lang w:val="en-CA"/>
        </w:rPr>
        <w:t>. The Court does not agree. Contrary to the appellant’s position, to authorize this amendment would deprive the respondent of its right to dispute the factual basis of the application and would not serve the interest</w:t>
      </w:r>
      <w:r w:rsidR="004802D2" w:rsidRPr="00E248AE">
        <w:rPr>
          <w:lang w:val="en-CA"/>
        </w:rPr>
        <w:t>s</w:t>
      </w:r>
      <w:r w:rsidR="00FB0124" w:rsidRPr="00E248AE">
        <w:rPr>
          <w:lang w:val="en-CA"/>
        </w:rPr>
        <w:t xml:space="preserve"> of </w:t>
      </w:r>
      <w:r w:rsidR="00822F54" w:rsidRPr="00E248AE">
        <w:rPr>
          <w:lang w:val="en-CA"/>
        </w:rPr>
        <w:t>justice.</w:t>
      </w:r>
    </w:p>
    <w:p w14:paraId="5FF95729" w14:textId="4E581B16" w:rsidR="00394C57" w:rsidRPr="00E248AE" w:rsidRDefault="00015F61" w:rsidP="00400980">
      <w:pPr>
        <w:pStyle w:val="Paragraphe"/>
        <w:numPr>
          <w:ilvl w:val="0"/>
          <w:numId w:val="0"/>
        </w:numPr>
        <w:rPr>
          <w:b/>
          <w:lang w:val="en-CA"/>
        </w:rPr>
      </w:pPr>
      <w:r w:rsidRPr="00E248AE">
        <w:rPr>
          <w:b/>
          <w:lang w:val="en-CA"/>
        </w:rPr>
        <w:t>FOR THESE REASONS</w:t>
      </w:r>
      <w:r w:rsidR="004802D2" w:rsidRPr="00E248AE">
        <w:rPr>
          <w:b/>
          <w:lang w:val="en-CA"/>
        </w:rPr>
        <w:t>,</w:t>
      </w:r>
      <w:r w:rsidRPr="00E248AE">
        <w:rPr>
          <w:b/>
          <w:lang w:val="en-CA"/>
        </w:rPr>
        <w:t xml:space="preserve"> THE COURT</w:t>
      </w:r>
      <w:r w:rsidR="00A1634B" w:rsidRPr="00E248AE">
        <w:rPr>
          <w:b/>
          <w:lang w:val="en-CA"/>
        </w:rPr>
        <w:t>:</w:t>
      </w:r>
    </w:p>
    <w:p w14:paraId="7B91B228" w14:textId="740674D8" w:rsidR="00394C57" w:rsidRPr="00E248AE" w:rsidRDefault="00015F61" w:rsidP="00400980">
      <w:pPr>
        <w:pStyle w:val="Paragraphe"/>
        <w:rPr>
          <w:lang w:val="en-CA"/>
        </w:rPr>
      </w:pPr>
      <w:r w:rsidRPr="00E248AE">
        <w:rPr>
          <w:b/>
          <w:lang w:val="en-CA"/>
        </w:rPr>
        <w:t>DISMISS</w:t>
      </w:r>
      <w:r w:rsidR="00A1634B" w:rsidRPr="00E248AE">
        <w:rPr>
          <w:b/>
          <w:lang w:val="en-CA"/>
        </w:rPr>
        <w:t>E</w:t>
      </w:r>
      <w:r w:rsidRPr="00E248AE">
        <w:rPr>
          <w:b/>
          <w:lang w:val="en-CA"/>
        </w:rPr>
        <w:t>S</w:t>
      </w:r>
      <w:r w:rsidRPr="00E248AE">
        <w:rPr>
          <w:lang w:val="en-CA"/>
        </w:rPr>
        <w:t xml:space="preserve"> the application to amend the </w:t>
      </w:r>
      <w:r w:rsidR="004802D2" w:rsidRPr="00E248AE">
        <w:rPr>
          <w:lang w:val="en-CA"/>
        </w:rPr>
        <w:t>notice</w:t>
      </w:r>
      <w:r w:rsidR="00113A72" w:rsidRPr="00E248AE">
        <w:rPr>
          <w:lang w:val="en-CA"/>
        </w:rPr>
        <w:t xml:space="preserve"> of appeal, with </w:t>
      </w:r>
      <w:r w:rsidR="004802D2" w:rsidRPr="00E248AE">
        <w:rPr>
          <w:lang w:val="en-CA"/>
        </w:rPr>
        <w:t xml:space="preserve">legal </w:t>
      </w:r>
      <w:r w:rsidRPr="00E248AE">
        <w:rPr>
          <w:lang w:val="en-CA"/>
        </w:rPr>
        <w:t xml:space="preserve">costs; </w:t>
      </w:r>
    </w:p>
    <w:p w14:paraId="1F6CA8D0" w14:textId="371F4A9C" w:rsidR="00394C57" w:rsidRPr="00E248AE" w:rsidRDefault="00015F61" w:rsidP="00400980">
      <w:pPr>
        <w:pStyle w:val="Paragraphe"/>
        <w:rPr>
          <w:lang w:val="en-CA"/>
        </w:rPr>
      </w:pPr>
      <w:r w:rsidRPr="00E248AE">
        <w:rPr>
          <w:b/>
          <w:lang w:val="en-CA"/>
        </w:rPr>
        <w:t>DISMISS</w:t>
      </w:r>
      <w:r w:rsidR="00A1634B" w:rsidRPr="00E248AE">
        <w:rPr>
          <w:b/>
          <w:lang w:val="en-CA"/>
        </w:rPr>
        <w:t>E</w:t>
      </w:r>
      <w:r w:rsidRPr="00E248AE">
        <w:rPr>
          <w:b/>
          <w:lang w:val="en-CA"/>
        </w:rPr>
        <w:t>S</w:t>
      </w:r>
      <w:r w:rsidR="00113A72" w:rsidRPr="00E248AE">
        <w:rPr>
          <w:lang w:val="en-CA"/>
        </w:rPr>
        <w:t xml:space="preserve"> the appeal, with </w:t>
      </w:r>
      <w:r w:rsidR="004802D2" w:rsidRPr="00E248AE">
        <w:rPr>
          <w:lang w:val="en-CA"/>
        </w:rPr>
        <w:t xml:space="preserve">legal </w:t>
      </w:r>
      <w:r w:rsidRPr="00E248AE">
        <w:rPr>
          <w:lang w:val="en-CA"/>
        </w:rPr>
        <w:t>costs.</w:t>
      </w:r>
    </w:p>
    <w:p w14:paraId="2694E5D7" w14:textId="77777777" w:rsidR="00E51293" w:rsidRPr="00E248AE" w:rsidRDefault="00E51293" w:rsidP="00400980">
      <w:pPr>
        <w:pStyle w:val="Paragraphe"/>
        <w:numPr>
          <w:ilvl w:val="0"/>
          <w:numId w:val="0"/>
        </w:numPr>
        <w:rPr>
          <w:lang w:val="en-CA"/>
        </w:rPr>
      </w:pPr>
    </w:p>
    <w:p w14:paraId="39423E60" w14:textId="77777777" w:rsidR="00484A69" w:rsidRPr="00E248AE" w:rsidRDefault="00484A69" w:rsidP="00394C57">
      <w:pPr>
        <w:pStyle w:val="Paragraphe"/>
        <w:numPr>
          <w:ilvl w:val="0"/>
          <w:numId w:val="0"/>
        </w:numPr>
        <w:rPr>
          <w:lang w:val="en-CA"/>
        </w:rPr>
      </w:pPr>
    </w:p>
    <w:tbl>
      <w:tblPr>
        <w:tblW w:w="9360" w:type="dxa"/>
        <w:tblLayout w:type="fixed"/>
        <w:tblCellMar>
          <w:left w:w="70" w:type="dxa"/>
          <w:right w:w="70" w:type="dxa"/>
        </w:tblCellMar>
        <w:tblLook w:val="0000" w:firstRow="0" w:lastRow="0" w:firstColumn="0" w:lastColumn="0" w:noHBand="0" w:noVBand="0"/>
      </w:tblPr>
      <w:tblGrid>
        <w:gridCol w:w="4500"/>
        <w:gridCol w:w="4860"/>
      </w:tblGrid>
      <w:tr w:rsidR="00A8574C" w:rsidRPr="00E248AE" w14:paraId="750C7DF4" w14:textId="77777777" w:rsidTr="00FB3369">
        <w:tc>
          <w:tcPr>
            <w:tcW w:w="4500" w:type="dxa"/>
          </w:tcPr>
          <w:p w14:paraId="3D5FB77A" w14:textId="77777777" w:rsidR="00887EEB" w:rsidRPr="00E248AE" w:rsidRDefault="00887EEB" w:rsidP="00887EEB">
            <w:pPr>
              <w:keepNext/>
              <w:spacing w:line="240" w:lineRule="auto"/>
              <w:jc w:val="both"/>
              <w:rPr>
                <w:rFonts w:cs="Arial"/>
                <w:szCs w:val="24"/>
                <w:lang w:val="en-CA"/>
              </w:rPr>
            </w:pPr>
          </w:p>
        </w:tc>
        <w:tc>
          <w:tcPr>
            <w:tcW w:w="4860" w:type="dxa"/>
            <w:tcBorders>
              <w:top w:val="single" w:sz="4" w:space="0" w:color="auto"/>
            </w:tcBorders>
          </w:tcPr>
          <w:p w14:paraId="1C0E8B8E" w14:textId="77777777" w:rsidR="00887EEB" w:rsidRPr="00E248AE" w:rsidRDefault="00A2371E" w:rsidP="00887EEB">
            <w:pPr>
              <w:keepNext/>
              <w:spacing w:line="240" w:lineRule="auto"/>
              <w:rPr>
                <w:rFonts w:cs="Arial"/>
                <w:caps/>
                <w:szCs w:val="24"/>
                <w:lang w:val="en-CA"/>
              </w:rPr>
            </w:pPr>
            <w:r w:rsidRPr="00E248AE">
              <w:rPr>
                <w:lang w:val="en-CA"/>
              </w:rPr>
              <w:t>GENEVIÈVE MARCOTTE, J.</w:t>
            </w:r>
            <w:r w:rsidR="00AD2EC2" w:rsidRPr="00E248AE">
              <w:rPr>
                <w:lang w:val="en-CA"/>
              </w:rPr>
              <w:t>A.</w:t>
            </w:r>
          </w:p>
        </w:tc>
      </w:tr>
    </w:tbl>
    <w:p w14:paraId="7B4902C2" w14:textId="77777777" w:rsidR="00887EEB" w:rsidRPr="00E248AE" w:rsidRDefault="00887EEB" w:rsidP="00887EEB">
      <w:pPr>
        <w:keepNext/>
        <w:spacing w:line="240" w:lineRule="auto"/>
        <w:jc w:val="both"/>
        <w:rPr>
          <w:rFonts w:cs="Arial"/>
          <w:szCs w:val="24"/>
          <w:lang w:val="en-CA"/>
        </w:rPr>
      </w:pPr>
    </w:p>
    <w:p w14:paraId="3AFBB5E7" w14:textId="77777777" w:rsidR="00484A69" w:rsidRPr="00E248AE" w:rsidRDefault="00484A69" w:rsidP="00887EEB">
      <w:pPr>
        <w:keepNext/>
        <w:spacing w:line="240" w:lineRule="auto"/>
        <w:jc w:val="both"/>
        <w:rPr>
          <w:rFonts w:cs="Arial"/>
          <w:szCs w:val="24"/>
          <w:lang w:val="en-CA"/>
        </w:rPr>
      </w:pPr>
    </w:p>
    <w:p w14:paraId="657E2845" w14:textId="77777777" w:rsidR="00887EEB" w:rsidRPr="00E248AE" w:rsidRDefault="00887EEB" w:rsidP="00887EEB">
      <w:pPr>
        <w:keepNext/>
        <w:spacing w:line="240" w:lineRule="auto"/>
        <w:jc w:val="both"/>
        <w:rPr>
          <w:rFonts w:cs="Arial"/>
          <w:szCs w:val="24"/>
          <w:lang w:val="en-CA"/>
        </w:rPr>
      </w:pPr>
    </w:p>
    <w:tbl>
      <w:tblPr>
        <w:tblW w:w="9360" w:type="dxa"/>
        <w:tblLayout w:type="fixed"/>
        <w:tblCellMar>
          <w:left w:w="70" w:type="dxa"/>
          <w:right w:w="70" w:type="dxa"/>
        </w:tblCellMar>
        <w:tblLook w:val="0000" w:firstRow="0" w:lastRow="0" w:firstColumn="0" w:lastColumn="0" w:noHBand="0" w:noVBand="0"/>
      </w:tblPr>
      <w:tblGrid>
        <w:gridCol w:w="4500"/>
        <w:gridCol w:w="4860"/>
      </w:tblGrid>
      <w:tr w:rsidR="00A8574C" w:rsidRPr="00E248AE" w14:paraId="784CFAC7" w14:textId="77777777" w:rsidTr="00FB3369">
        <w:tc>
          <w:tcPr>
            <w:tcW w:w="4500" w:type="dxa"/>
          </w:tcPr>
          <w:p w14:paraId="33DBD89A" w14:textId="77777777" w:rsidR="00887EEB" w:rsidRPr="00E248AE" w:rsidRDefault="00887EEB" w:rsidP="00887EEB">
            <w:pPr>
              <w:keepNext/>
              <w:spacing w:line="240" w:lineRule="auto"/>
              <w:jc w:val="both"/>
              <w:rPr>
                <w:rFonts w:cs="Arial"/>
                <w:szCs w:val="24"/>
                <w:lang w:val="en-CA"/>
              </w:rPr>
            </w:pPr>
          </w:p>
        </w:tc>
        <w:tc>
          <w:tcPr>
            <w:tcW w:w="4860" w:type="dxa"/>
            <w:tcBorders>
              <w:top w:val="single" w:sz="4" w:space="0" w:color="auto"/>
            </w:tcBorders>
          </w:tcPr>
          <w:p w14:paraId="14115740" w14:textId="77777777" w:rsidR="00887EEB" w:rsidRPr="00E248AE" w:rsidRDefault="00A2371E" w:rsidP="00887EEB">
            <w:pPr>
              <w:keepNext/>
              <w:spacing w:line="240" w:lineRule="auto"/>
              <w:rPr>
                <w:rFonts w:cs="Arial"/>
                <w:caps/>
                <w:szCs w:val="24"/>
                <w:lang w:val="en-CA"/>
              </w:rPr>
            </w:pPr>
            <w:r w:rsidRPr="00E248AE">
              <w:rPr>
                <w:lang w:val="en-CA"/>
              </w:rPr>
              <w:t>MARK SCHRAGER, J.</w:t>
            </w:r>
            <w:r w:rsidR="00AD2EC2" w:rsidRPr="00E248AE">
              <w:rPr>
                <w:lang w:val="en-CA"/>
              </w:rPr>
              <w:t>A.</w:t>
            </w:r>
          </w:p>
        </w:tc>
      </w:tr>
    </w:tbl>
    <w:p w14:paraId="3C3D9DE7" w14:textId="77777777" w:rsidR="00887EEB" w:rsidRPr="00E248AE" w:rsidRDefault="00887EEB" w:rsidP="00887EEB">
      <w:pPr>
        <w:keepNext/>
        <w:spacing w:line="240" w:lineRule="auto"/>
        <w:jc w:val="both"/>
        <w:rPr>
          <w:rFonts w:cs="Arial"/>
          <w:szCs w:val="24"/>
          <w:lang w:val="en-CA"/>
        </w:rPr>
      </w:pPr>
    </w:p>
    <w:p w14:paraId="22DF7944" w14:textId="77777777" w:rsidR="00484A69" w:rsidRPr="00E248AE" w:rsidRDefault="00484A69" w:rsidP="00887EEB">
      <w:pPr>
        <w:keepNext/>
        <w:spacing w:line="240" w:lineRule="auto"/>
        <w:jc w:val="both"/>
        <w:rPr>
          <w:rFonts w:cs="Arial"/>
          <w:szCs w:val="24"/>
          <w:lang w:val="en-CA"/>
        </w:rPr>
      </w:pPr>
    </w:p>
    <w:p w14:paraId="723BF114" w14:textId="77777777" w:rsidR="00887EEB" w:rsidRPr="00E248AE" w:rsidRDefault="00887EEB" w:rsidP="00887EEB">
      <w:pPr>
        <w:keepNext/>
        <w:spacing w:line="240" w:lineRule="auto"/>
        <w:jc w:val="both"/>
        <w:rPr>
          <w:rFonts w:cs="Arial"/>
          <w:szCs w:val="24"/>
          <w:lang w:val="en-CA"/>
        </w:rPr>
      </w:pPr>
    </w:p>
    <w:tbl>
      <w:tblPr>
        <w:tblW w:w="9360" w:type="dxa"/>
        <w:tblLayout w:type="fixed"/>
        <w:tblCellMar>
          <w:left w:w="70" w:type="dxa"/>
          <w:right w:w="70" w:type="dxa"/>
        </w:tblCellMar>
        <w:tblLook w:val="0000" w:firstRow="0" w:lastRow="0" w:firstColumn="0" w:lastColumn="0" w:noHBand="0" w:noVBand="0"/>
      </w:tblPr>
      <w:tblGrid>
        <w:gridCol w:w="4500"/>
        <w:gridCol w:w="4860"/>
      </w:tblGrid>
      <w:tr w:rsidR="00A8574C" w:rsidRPr="00E248AE" w14:paraId="18093A0E" w14:textId="77777777" w:rsidTr="00FB3369">
        <w:tc>
          <w:tcPr>
            <w:tcW w:w="4500" w:type="dxa"/>
          </w:tcPr>
          <w:p w14:paraId="009C8222" w14:textId="77777777" w:rsidR="00887EEB" w:rsidRPr="00E248AE" w:rsidRDefault="00887EEB" w:rsidP="00887EEB">
            <w:pPr>
              <w:keepNext/>
              <w:spacing w:line="240" w:lineRule="auto"/>
              <w:jc w:val="both"/>
              <w:rPr>
                <w:rFonts w:cs="Arial"/>
                <w:szCs w:val="24"/>
                <w:lang w:val="en-CA"/>
              </w:rPr>
            </w:pPr>
          </w:p>
        </w:tc>
        <w:tc>
          <w:tcPr>
            <w:tcW w:w="4860" w:type="dxa"/>
            <w:tcBorders>
              <w:top w:val="single" w:sz="4" w:space="0" w:color="auto"/>
            </w:tcBorders>
          </w:tcPr>
          <w:p w14:paraId="0F38FB31" w14:textId="77777777" w:rsidR="00887EEB" w:rsidRPr="00E248AE" w:rsidRDefault="00A2371E" w:rsidP="00887EEB">
            <w:pPr>
              <w:keepNext/>
              <w:spacing w:line="240" w:lineRule="auto"/>
              <w:rPr>
                <w:rFonts w:cs="Arial"/>
                <w:caps/>
                <w:szCs w:val="24"/>
                <w:lang w:val="en-CA"/>
              </w:rPr>
            </w:pPr>
            <w:r w:rsidRPr="00E248AE">
              <w:rPr>
                <w:lang w:val="en-CA"/>
              </w:rPr>
              <w:t>PETER KALICHMAN, J.</w:t>
            </w:r>
            <w:r w:rsidR="00AD2EC2" w:rsidRPr="00E248AE">
              <w:rPr>
                <w:lang w:val="en-CA"/>
              </w:rPr>
              <w:t>A.</w:t>
            </w:r>
          </w:p>
        </w:tc>
      </w:tr>
    </w:tbl>
    <w:p w14:paraId="3504F35B" w14:textId="77777777" w:rsidR="005B4976" w:rsidRPr="00E248AE" w:rsidRDefault="005B4976" w:rsidP="00484A69">
      <w:pPr>
        <w:spacing w:line="240" w:lineRule="auto"/>
        <w:jc w:val="both"/>
        <w:rPr>
          <w:lang w:val="en-CA"/>
        </w:rPr>
      </w:pPr>
    </w:p>
    <w:p w14:paraId="19F8B819" w14:textId="77777777" w:rsidR="002D6E0E" w:rsidRPr="00E248AE" w:rsidRDefault="002D6E0E" w:rsidP="002D6E0E">
      <w:pPr>
        <w:rPr>
          <w:lang w:val="en-CA"/>
        </w:rPr>
      </w:pPr>
    </w:p>
    <w:p w14:paraId="75BB6498" w14:textId="77777777" w:rsidR="002D6E0E" w:rsidRPr="00E248AE" w:rsidRDefault="002D6E0E" w:rsidP="002D6E0E">
      <w:pPr>
        <w:rPr>
          <w:lang w:val="en-CA"/>
        </w:rPr>
      </w:pPr>
    </w:p>
    <w:p w14:paraId="310F04AE" w14:textId="77777777" w:rsidR="002D6E0E" w:rsidRPr="00E248AE" w:rsidRDefault="002D6E0E" w:rsidP="002D6E0E">
      <w:pPr>
        <w:rPr>
          <w:lang w:val="en-CA"/>
        </w:rPr>
      </w:pPr>
    </w:p>
    <w:p w14:paraId="28336732" w14:textId="77777777" w:rsidR="002D6E0E" w:rsidRPr="00E248AE" w:rsidRDefault="002D6E0E" w:rsidP="002D6E0E">
      <w:pPr>
        <w:rPr>
          <w:lang w:val="en-CA"/>
        </w:rPr>
      </w:pPr>
    </w:p>
    <w:p w14:paraId="570AB6CA" w14:textId="77777777" w:rsidR="002D6E0E" w:rsidRPr="00E248AE" w:rsidRDefault="002D6E0E" w:rsidP="002D6E0E">
      <w:pPr>
        <w:rPr>
          <w:lang w:val="en-CA"/>
        </w:rPr>
      </w:pPr>
    </w:p>
    <w:p w14:paraId="5113441D" w14:textId="77777777" w:rsidR="002D6E0E" w:rsidRPr="00E248AE" w:rsidRDefault="002D6E0E" w:rsidP="002D6E0E">
      <w:pPr>
        <w:rPr>
          <w:lang w:val="en-CA"/>
        </w:rPr>
      </w:pPr>
    </w:p>
    <w:p w14:paraId="6B28F97B" w14:textId="77777777" w:rsidR="002D6E0E" w:rsidRPr="00E248AE" w:rsidRDefault="002D6E0E" w:rsidP="002D6E0E">
      <w:pPr>
        <w:rPr>
          <w:lang w:val="en-CA"/>
        </w:rPr>
      </w:pPr>
    </w:p>
    <w:p w14:paraId="1DF7C192" w14:textId="77777777" w:rsidR="002D6E0E" w:rsidRPr="00E248AE" w:rsidRDefault="002D6E0E" w:rsidP="002D6E0E">
      <w:pPr>
        <w:tabs>
          <w:tab w:val="left" w:pos="2700"/>
        </w:tabs>
        <w:rPr>
          <w:lang w:val="en-CA"/>
        </w:rPr>
      </w:pPr>
      <w:r w:rsidRPr="00E248AE">
        <w:rPr>
          <w:lang w:val="en-CA"/>
        </w:rPr>
        <w:tab/>
      </w:r>
    </w:p>
    <w:sectPr w:rsidR="002D6E0E" w:rsidRPr="00E248AE" w:rsidSect="00013BB9">
      <w:headerReference w:type="default" r:id="rId12"/>
      <w:footnotePr>
        <w:numRestart w:val="eachSect"/>
      </w:footnotePr>
      <w:pgSz w:w="12242" w:h="15842" w:code="1"/>
      <w:pgMar w:top="720" w:right="1352" w:bottom="567" w:left="1620" w:header="1440" w:footer="792" w:gutter="0"/>
      <w:pgNumType w:start="1"/>
      <w:cols w:space="720"/>
      <w:formProt w:val="0"/>
      <w:titlePg/>
      <w:docGrid w:linePitch="326"/>
    </w:sectPr>
  </w:body>
</w:document>
</file>

<file path=word/customizations.xml><?xml version="1.0" encoding="utf-8"?>
<wne:tcg xmlns:r="http://schemas.openxmlformats.org/officeDocument/2006/relationships" xmlns:wne="http://schemas.microsoft.com/office/word/2006/wordml">
  <wne:keymaps>
    <wne:keymap wne:kcmPrimary="0441">
      <wne:macro wne:macroName="NORMAL.NEWMACROS.ABC"/>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91148" w14:textId="77777777" w:rsidR="00534695" w:rsidRDefault="00534695">
      <w:pPr>
        <w:spacing w:line="240" w:lineRule="auto"/>
      </w:pPr>
      <w:r>
        <w:separator/>
      </w:r>
    </w:p>
  </w:endnote>
  <w:endnote w:type="continuationSeparator" w:id="0">
    <w:p w14:paraId="46CDD356" w14:textId="77777777" w:rsidR="00534695" w:rsidRDefault="005346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F32C7" w14:textId="77777777" w:rsidR="00534695" w:rsidRDefault="00534695">
      <w:r>
        <w:separator/>
      </w:r>
    </w:p>
  </w:footnote>
  <w:footnote w:type="continuationSeparator" w:id="0">
    <w:p w14:paraId="596644A9" w14:textId="77777777" w:rsidR="00534695" w:rsidRDefault="00534695">
      <w:r>
        <w:continuationSeparator/>
      </w:r>
    </w:p>
    <w:p w14:paraId="4364FD7B" w14:textId="77777777" w:rsidR="00534695" w:rsidRDefault="00534695"/>
    <w:p w14:paraId="145D3BB7" w14:textId="77777777" w:rsidR="00534695" w:rsidRDefault="00534695"/>
  </w:footnote>
  <w:footnote w:type="continuationNotice" w:id="1">
    <w:p w14:paraId="46F29E37" w14:textId="77777777" w:rsidR="00534695" w:rsidRDefault="00534695">
      <w:pPr>
        <w:spacing w:line="240" w:lineRule="auto"/>
      </w:pPr>
    </w:p>
  </w:footnote>
  <w:footnote w:id="2">
    <w:p w14:paraId="4B37F347" w14:textId="77777777" w:rsidR="00394C57" w:rsidRDefault="00A1634B" w:rsidP="00394C57">
      <w:pPr>
        <w:pStyle w:val="Notedebasdepage"/>
      </w:pPr>
      <w:r>
        <w:rPr>
          <w:rStyle w:val="Appelnotedebasdep"/>
        </w:rPr>
        <w:footnoteRef/>
      </w:r>
      <w:r>
        <w:rPr>
          <w:rFonts w:cs="Arial"/>
          <w:i/>
          <w:iCs/>
          <w:color w:val="212529"/>
        </w:rPr>
        <w:tab/>
        <w:t>Sofio c. Organisme canadien de réglementation du commerce des valeurs mobilières (OCRCVM)</w:t>
      </w:r>
      <w:r w:rsidR="00822F54">
        <w:rPr>
          <w:rFonts w:cs="Arial"/>
          <w:color w:val="212529"/>
        </w:rPr>
        <w:t>, 2015 QCCA 1820.</w:t>
      </w:r>
    </w:p>
    <w:p w14:paraId="3C7CDAA9" w14:textId="77777777" w:rsidR="00394C57" w:rsidRDefault="00394C57" w:rsidP="00394C57">
      <w:pPr>
        <w:pStyle w:val="Notedebasdepage"/>
      </w:pPr>
    </w:p>
  </w:footnote>
  <w:footnote w:id="3">
    <w:p w14:paraId="1CDD6681" w14:textId="098D67E9" w:rsidR="00394C57" w:rsidRDefault="00A1634B" w:rsidP="00394C57">
      <w:pPr>
        <w:pStyle w:val="Notedebasdepage"/>
        <w:rPr>
          <w:lang w:val="en-CA"/>
        </w:rPr>
      </w:pPr>
      <w:r>
        <w:rPr>
          <w:rStyle w:val="Appelnotedebasdep"/>
        </w:rPr>
        <w:footnoteRef/>
      </w:r>
      <w:r w:rsidRPr="009F524B">
        <w:rPr>
          <w:lang w:val="en-CA"/>
        </w:rPr>
        <w:t xml:space="preserve"> </w:t>
      </w:r>
      <w:r w:rsidRPr="009F524B">
        <w:rPr>
          <w:lang w:val="en-CA"/>
        </w:rPr>
        <w:tab/>
      </w:r>
      <w:r w:rsidRPr="009F524B">
        <w:rPr>
          <w:rStyle w:val="normaltextrun"/>
          <w:rFonts w:cs="Arial"/>
          <w:i/>
          <w:iCs/>
          <w:color w:val="000000"/>
          <w:lang w:val="en-CA"/>
        </w:rPr>
        <w:t>Housen</w:t>
      </w:r>
      <w:r w:rsidR="00484A69" w:rsidRPr="009F524B">
        <w:rPr>
          <w:rStyle w:val="apple-converted-space"/>
          <w:rFonts w:cs="Arial"/>
          <w:i/>
          <w:iCs/>
          <w:color w:val="000000"/>
          <w:lang w:val="en-CA"/>
        </w:rPr>
        <w:t xml:space="preserve"> </w:t>
      </w:r>
      <w:r w:rsidR="00FB0124" w:rsidRPr="009F524B">
        <w:rPr>
          <w:rStyle w:val="normaltextrun"/>
          <w:rFonts w:cs="Arial"/>
          <w:i/>
          <w:iCs/>
          <w:color w:val="000000"/>
          <w:lang w:val="en-CA"/>
        </w:rPr>
        <w:t>v</w:t>
      </w:r>
      <w:r w:rsidRPr="009F524B">
        <w:rPr>
          <w:rStyle w:val="normaltextrun"/>
          <w:rFonts w:cs="Arial"/>
          <w:i/>
          <w:iCs/>
          <w:color w:val="000000"/>
          <w:lang w:val="en-CA"/>
        </w:rPr>
        <w:t>.</w:t>
      </w:r>
      <w:r w:rsidR="00484A69" w:rsidRPr="009F524B">
        <w:rPr>
          <w:rStyle w:val="apple-converted-space"/>
          <w:rFonts w:cs="Arial"/>
          <w:i/>
          <w:iCs/>
          <w:color w:val="000000"/>
          <w:lang w:val="en-CA"/>
        </w:rPr>
        <w:t xml:space="preserve"> </w:t>
      </w:r>
      <w:r w:rsidRPr="009F524B">
        <w:rPr>
          <w:rStyle w:val="normaltextrun"/>
          <w:rFonts w:cs="Arial"/>
          <w:i/>
          <w:iCs/>
          <w:color w:val="000000"/>
          <w:lang w:val="en-CA"/>
        </w:rPr>
        <w:t>Nikolaisen</w:t>
      </w:r>
      <w:r w:rsidR="00FB0124" w:rsidRPr="009F524B">
        <w:rPr>
          <w:rStyle w:val="normaltextrun"/>
          <w:rFonts w:cs="Arial"/>
          <w:color w:val="000000"/>
          <w:lang w:val="en-CA"/>
        </w:rPr>
        <w:t xml:space="preserve">, 2002 SCC 33 </w:t>
      </w:r>
      <w:r w:rsidR="003925E9" w:rsidRPr="009F524B">
        <w:rPr>
          <w:rStyle w:val="normaltextrun"/>
          <w:rFonts w:cs="Arial"/>
          <w:color w:val="000000"/>
          <w:lang w:val="en-CA"/>
        </w:rPr>
        <w:t xml:space="preserve">at </w:t>
      </w:r>
      <w:r w:rsidR="00FB0124" w:rsidRPr="009F524B">
        <w:rPr>
          <w:rStyle w:val="normaltextrun"/>
          <w:rFonts w:cs="Arial"/>
          <w:color w:val="000000"/>
          <w:lang w:val="en-CA"/>
        </w:rPr>
        <w:t>para</w:t>
      </w:r>
      <w:r w:rsidRPr="009F524B">
        <w:rPr>
          <w:rStyle w:val="normaltextrun"/>
          <w:rFonts w:cs="Arial"/>
          <w:color w:val="000000"/>
          <w:lang w:val="en-CA"/>
        </w:rPr>
        <w:t xml:space="preserve">. </w:t>
      </w:r>
      <w:r>
        <w:rPr>
          <w:rStyle w:val="normaltextrun"/>
          <w:rFonts w:cs="Arial"/>
          <w:color w:val="000000"/>
        </w:rPr>
        <w:t>8;</w:t>
      </w:r>
      <w:r w:rsidR="00484A69">
        <w:rPr>
          <w:rStyle w:val="apple-converted-space"/>
          <w:rFonts w:cs="Arial"/>
          <w:color w:val="000000"/>
        </w:rPr>
        <w:t xml:space="preserve"> </w:t>
      </w:r>
      <w:r>
        <w:rPr>
          <w:rStyle w:val="normaltextrun"/>
          <w:rFonts w:cs="Arial"/>
          <w:i/>
          <w:iCs/>
          <w:color w:val="000000"/>
        </w:rPr>
        <w:t>Édifices St-Georges</w:t>
      </w:r>
      <w:r w:rsidR="00484A69">
        <w:rPr>
          <w:rStyle w:val="normaltextrun"/>
          <w:rFonts w:cs="Arial"/>
          <w:i/>
          <w:iCs/>
          <w:color w:val="000000"/>
        </w:rPr>
        <w:t xml:space="preserve"> </w:t>
      </w:r>
      <w:r w:rsidR="00484A69">
        <w:rPr>
          <w:rStyle w:val="apple-converted-space"/>
          <w:rFonts w:cs="Arial"/>
          <w:i/>
          <w:iCs/>
          <w:color w:val="000000"/>
        </w:rPr>
        <w:t>i</w:t>
      </w:r>
      <w:r>
        <w:rPr>
          <w:rStyle w:val="normaltextrun"/>
          <w:rFonts w:cs="Arial"/>
          <w:i/>
          <w:iCs/>
          <w:color w:val="000000"/>
        </w:rPr>
        <w:t>nc.</w:t>
      </w:r>
      <w:r w:rsidR="00484A69">
        <w:rPr>
          <w:rStyle w:val="normaltextrun"/>
          <w:rFonts w:cs="Arial"/>
          <w:i/>
          <w:iCs/>
          <w:color w:val="000000"/>
        </w:rPr>
        <w:t xml:space="preserve"> </w:t>
      </w:r>
      <w:r>
        <w:rPr>
          <w:rStyle w:val="normaltextrun"/>
          <w:rFonts w:cs="Arial"/>
          <w:i/>
          <w:iCs/>
          <w:color w:val="000000"/>
        </w:rPr>
        <w:t>c. Ville de Québec</w:t>
      </w:r>
      <w:r w:rsidR="00FB0124">
        <w:rPr>
          <w:rStyle w:val="normaltextrun"/>
          <w:rFonts w:cs="Arial"/>
          <w:color w:val="000000"/>
        </w:rPr>
        <w:t xml:space="preserve">, 2021 QCCA 198 </w:t>
      </w:r>
      <w:r w:rsidR="003925E9">
        <w:rPr>
          <w:rStyle w:val="normaltextrun"/>
          <w:rFonts w:cs="Arial"/>
          <w:color w:val="000000"/>
        </w:rPr>
        <w:t xml:space="preserve">at </w:t>
      </w:r>
      <w:r w:rsidR="00FB0124">
        <w:rPr>
          <w:rStyle w:val="normaltextrun"/>
          <w:rFonts w:cs="Arial"/>
          <w:color w:val="000000"/>
        </w:rPr>
        <w:t>para</w:t>
      </w:r>
      <w:r>
        <w:rPr>
          <w:rStyle w:val="normaltextrun"/>
          <w:rFonts w:cs="Arial"/>
          <w:color w:val="000000"/>
        </w:rPr>
        <w:t>.</w:t>
      </w:r>
      <w:r w:rsidR="00484A69">
        <w:rPr>
          <w:rStyle w:val="apple-converted-space"/>
          <w:rFonts w:cs="Arial"/>
          <w:color w:val="000000"/>
        </w:rPr>
        <w:t xml:space="preserve"> </w:t>
      </w:r>
      <w:r>
        <w:rPr>
          <w:rStyle w:val="normaltextrun"/>
          <w:rFonts w:cs="Arial"/>
          <w:color w:val="000000"/>
          <w:lang w:val="en-US"/>
        </w:rPr>
        <w:t>6;</w:t>
      </w:r>
      <w:r w:rsidR="00484A69">
        <w:rPr>
          <w:rStyle w:val="apple-converted-space"/>
          <w:rFonts w:cs="Arial"/>
          <w:color w:val="000000"/>
          <w:lang w:val="en-US"/>
        </w:rPr>
        <w:t xml:space="preserve"> </w:t>
      </w:r>
      <w:r>
        <w:rPr>
          <w:rStyle w:val="normaltextrun"/>
          <w:rFonts w:cs="Arial"/>
          <w:i/>
          <w:iCs/>
          <w:color w:val="000000"/>
          <w:lang w:val="en-US"/>
        </w:rPr>
        <w:t>Gercotech</w:t>
      </w:r>
      <w:r w:rsidR="00484A69">
        <w:rPr>
          <w:rStyle w:val="apple-converted-space"/>
          <w:rFonts w:cs="Arial"/>
          <w:i/>
          <w:iCs/>
          <w:color w:val="000000"/>
          <w:lang w:val="en-US"/>
        </w:rPr>
        <w:t xml:space="preserve"> </w:t>
      </w:r>
      <w:r>
        <w:rPr>
          <w:rStyle w:val="normaltextrun"/>
          <w:rFonts w:cs="Arial"/>
          <w:i/>
          <w:iCs/>
          <w:color w:val="000000"/>
          <w:lang w:val="en-US"/>
        </w:rPr>
        <w:t>inc.</w:t>
      </w:r>
      <w:r w:rsidR="00484A69">
        <w:rPr>
          <w:rStyle w:val="apple-converted-space"/>
          <w:rFonts w:cs="Arial"/>
          <w:i/>
          <w:iCs/>
          <w:color w:val="000000"/>
          <w:lang w:val="en-US"/>
        </w:rPr>
        <w:t xml:space="preserve"> </w:t>
      </w:r>
      <w:r>
        <w:rPr>
          <w:rStyle w:val="normaltextrun"/>
          <w:rFonts w:cs="Arial"/>
          <w:i/>
          <w:iCs/>
          <w:color w:val="000000"/>
          <w:lang w:val="en-US"/>
        </w:rPr>
        <w:t>c. Kruger inc.</w:t>
      </w:r>
      <w:r w:rsidR="00484A69">
        <w:rPr>
          <w:rStyle w:val="apple-converted-space"/>
          <w:rFonts w:cs="Arial"/>
          <w:i/>
          <w:iCs/>
          <w:color w:val="000000"/>
          <w:lang w:val="en-US"/>
        </w:rPr>
        <w:t xml:space="preserve"> </w:t>
      </w:r>
      <w:r>
        <w:rPr>
          <w:rStyle w:val="normaltextrun"/>
          <w:rFonts w:cs="Arial"/>
          <w:i/>
          <w:iCs/>
          <w:color w:val="000000"/>
          <w:lang w:val="en-CA"/>
        </w:rPr>
        <w:t>Master Trust (CIBC Mellon Trust</w:t>
      </w:r>
      <w:r>
        <w:rPr>
          <w:rStyle w:val="apple-converted-space"/>
          <w:rFonts w:cs="Arial"/>
          <w:i/>
          <w:iCs/>
          <w:color w:val="000000"/>
          <w:lang w:val="en-CA"/>
        </w:rPr>
        <w:t> </w:t>
      </w:r>
      <w:r>
        <w:rPr>
          <w:rStyle w:val="normaltextrun"/>
          <w:rFonts w:cs="Arial"/>
          <w:i/>
          <w:iCs/>
          <w:color w:val="000000"/>
          <w:lang w:val="en-CA"/>
        </w:rPr>
        <w:t>Company)</w:t>
      </w:r>
      <w:r>
        <w:rPr>
          <w:rStyle w:val="apple-converted-space"/>
          <w:rFonts w:cs="Arial"/>
          <w:color w:val="000000"/>
          <w:lang w:val="en-CA"/>
        </w:rPr>
        <w:t>.</w:t>
      </w:r>
    </w:p>
  </w:footnote>
  <w:footnote w:id="4">
    <w:p w14:paraId="74B225EC" w14:textId="47B965F8" w:rsidR="00394C57" w:rsidRPr="009F524B" w:rsidRDefault="00A1634B" w:rsidP="00394C57">
      <w:pPr>
        <w:pStyle w:val="Notedebasdepage"/>
        <w:rPr>
          <w:lang w:val="en-CA"/>
        </w:rPr>
      </w:pPr>
      <w:r>
        <w:rPr>
          <w:rStyle w:val="Appelnotedebasdep"/>
        </w:rPr>
        <w:footnoteRef/>
      </w:r>
      <w:r w:rsidRPr="009F524B">
        <w:rPr>
          <w:lang w:val="en-CA"/>
        </w:rPr>
        <w:t xml:space="preserve"> </w:t>
      </w:r>
      <w:r w:rsidRPr="009F524B">
        <w:rPr>
          <w:lang w:val="en-CA"/>
        </w:rPr>
        <w:tab/>
      </w:r>
      <w:r w:rsidR="002E4EB3" w:rsidRPr="009F524B">
        <w:rPr>
          <w:i/>
          <w:lang w:val="en-CA"/>
        </w:rPr>
        <w:t>Mustapha v</w:t>
      </w:r>
      <w:r w:rsidRPr="009F524B">
        <w:rPr>
          <w:i/>
          <w:lang w:val="en-CA"/>
        </w:rPr>
        <w:t xml:space="preserve">. Culligan </w:t>
      </w:r>
      <w:r w:rsidR="003925E9" w:rsidRPr="009F524B">
        <w:rPr>
          <w:i/>
          <w:lang w:val="en-CA"/>
        </w:rPr>
        <w:t>of</w:t>
      </w:r>
      <w:r w:rsidRPr="009F524B">
        <w:rPr>
          <w:i/>
          <w:lang w:val="en-CA"/>
        </w:rPr>
        <w:t xml:space="preserve"> Canada </w:t>
      </w:r>
      <w:r w:rsidR="003925E9" w:rsidRPr="009F524B">
        <w:rPr>
          <w:i/>
          <w:lang w:val="en-CA"/>
        </w:rPr>
        <w:t>Lt</w:t>
      </w:r>
      <w:r w:rsidR="003925E9">
        <w:rPr>
          <w:i/>
          <w:lang w:val="en-CA"/>
        </w:rPr>
        <w:t>d</w:t>
      </w:r>
      <w:r w:rsidRPr="009F524B">
        <w:rPr>
          <w:i/>
          <w:lang w:val="en-CA"/>
        </w:rPr>
        <w:t>.,</w:t>
      </w:r>
      <w:r w:rsidR="00484A69" w:rsidRPr="009F524B">
        <w:rPr>
          <w:i/>
          <w:lang w:val="en-CA"/>
        </w:rPr>
        <w:t xml:space="preserve"> </w:t>
      </w:r>
      <w:r w:rsidR="002E4EB3" w:rsidRPr="009F524B">
        <w:rPr>
          <w:lang w:val="en-CA"/>
        </w:rPr>
        <w:t>[2008] 2 SCR 114</w:t>
      </w:r>
      <w:r w:rsidR="003925E9">
        <w:rPr>
          <w:lang w:val="en-CA"/>
        </w:rPr>
        <w:t xml:space="preserve"> at</w:t>
      </w:r>
      <w:r w:rsidR="002E4EB3" w:rsidRPr="009F524B">
        <w:rPr>
          <w:lang w:val="en-CA"/>
        </w:rPr>
        <w:t xml:space="preserve"> para</w:t>
      </w:r>
      <w:r w:rsidR="00484A69" w:rsidRPr="009F524B">
        <w:rPr>
          <w:lang w:val="en-CA"/>
        </w:rPr>
        <w:t>.9.</w:t>
      </w:r>
    </w:p>
  </w:footnote>
  <w:footnote w:id="5">
    <w:p w14:paraId="7165BE60" w14:textId="77777777" w:rsidR="00394C57" w:rsidRDefault="00A1634B" w:rsidP="00394C57">
      <w:pPr>
        <w:pStyle w:val="Notedebasdepage"/>
      </w:pPr>
      <w:r>
        <w:rPr>
          <w:rStyle w:val="Appelnotedebasdep"/>
        </w:rPr>
        <w:footnoteRef/>
      </w:r>
      <w:r>
        <w:t xml:space="preserve"> </w:t>
      </w:r>
      <w:r>
        <w:tab/>
      </w:r>
      <w:r>
        <w:rPr>
          <w:rFonts w:cs="Arial"/>
          <w:i/>
          <w:iCs/>
          <w:color w:val="212529"/>
        </w:rPr>
        <w:t>Sofio c. Organisme canadien de réglementation du commerce des valeurs mobilières (OCRCVM)</w:t>
      </w:r>
      <w:r w:rsidR="00822F54">
        <w:rPr>
          <w:rFonts w:cs="Arial"/>
          <w:color w:val="212529"/>
        </w:rPr>
        <w:t>, 2015 QCCA 1820.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Look w:val="04A0" w:firstRow="1" w:lastRow="0" w:firstColumn="1" w:lastColumn="0" w:noHBand="0" w:noVBand="1"/>
    </w:tblPr>
    <w:tblGrid>
      <w:gridCol w:w="7383"/>
      <w:gridCol w:w="2157"/>
    </w:tblGrid>
    <w:tr w:rsidR="00A8574C" w14:paraId="56F9A8F7" w14:textId="77777777" w:rsidTr="00241A86">
      <w:tc>
        <w:tcPr>
          <w:tcW w:w="7383" w:type="dxa"/>
        </w:tcPr>
        <w:p w14:paraId="77E11944" w14:textId="77777777" w:rsidR="004D106E" w:rsidRDefault="00A1634B" w:rsidP="00637D6F">
          <w:pPr>
            <w:tabs>
              <w:tab w:val="left" w:pos="442"/>
              <w:tab w:val="center" w:pos="4709"/>
              <w:tab w:val="right" w:pos="9360"/>
            </w:tabs>
            <w:ind w:right="524"/>
          </w:pPr>
          <w:bookmarkStart w:id="17" w:name="EntDossier"/>
          <w:r>
            <w:t>500-09-029478-211</w:t>
          </w:r>
          <w:bookmarkEnd w:id="17"/>
        </w:p>
      </w:tc>
      <w:tc>
        <w:tcPr>
          <w:tcW w:w="2157" w:type="dxa"/>
        </w:tcPr>
        <w:p w14:paraId="11933234" w14:textId="77777777" w:rsidR="004D106E" w:rsidRDefault="00AB7802" w:rsidP="00CD58FC">
          <w:pPr>
            <w:tabs>
              <w:tab w:val="left" w:pos="442"/>
              <w:tab w:val="center" w:pos="4709"/>
              <w:tab w:val="right" w:pos="9360"/>
            </w:tabs>
            <w:ind w:right="159"/>
            <w:jc w:val="right"/>
          </w:pPr>
          <w:r>
            <w:tab/>
            <w:t>PAGE</w:t>
          </w:r>
          <w:r w:rsidR="00A1634B">
            <w:t xml:space="preserve">: </w:t>
          </w:r>
          <w:r w:rsidR="00A738A7">
            <w:fldChar w:fldCharType="begin"/>
          </w:r>
          <w:r w:rsidR="00A1634B">
            <w:instrText xml:space="preserve"> PAGE </w:instrText>
          </w:r>
          <w:r w:rsidR="00A738A7">
            <w:fldChar w:fldCharType="separate"/>
          </w:r>
          <w:r w:rsidR="00D72B7E">
            <w:rPr>
              <w:noProof/>
            </w:rPr>
            <w:t>8</w:t>
          </w:r>
          <w:r w:rsidR="00A738A7">
            <w:fldChar w:fldCharType="end"/>
          </w:r>
        </w:p>
      </w:tc>
    </w:tr>
  </w:tbl>
  <w:p w14:paraId="42D3EEC9" w14:textId="77777777" w:rsidR="004D106E" w:rsidRDefault="004D106E" w:rsidP="00CD58FC">
    <w:pPr>
      <w:tabs>
        <w:tab w:val="left" w:pos="442"/>
        <w:tab w:val="center" w:pos="4709"/>
        <w:tab w:val="right" w:pos="9360"/>
      </w:tabs>
      <w:ind w:right="524"/>
    </w:pPr>
  </w:p>
  <w:p w14:paraId="577C73CD" w14:textId="77777777" w:rsidR="004D106E" w:rsidRDefault="004D10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0E1E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F12EA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2647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1C3B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EAB8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1219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8070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6436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DCE6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34AE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BB52DE"/>
    <w:multiLevelType w:val="multilevel"/>
    <w:tmpl w:val="5C103B16"/>
    <w:lvl w:ilvl="0">
      <w:start w:val="1"/>
      <w:numFmt w:val="decimal"/>
      <w:pStyle w:val="Paragraphe"/>
      <w:lvlText w:val="[%1]"/>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ous-paragraphe"/>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4A9D1B84"/>
    <w:multiLevelType w:val="multilevel"/>
    <w:tmpl w:val="2766DEE4"/>
    <w:lvl w:ilvl="0">
      <w:start w:val="1"/>
      <w:numFmt w:val="bullet"/>
      <w:lvlText w:val=""/>
      <w:lvlJc w:val="left"/>
      <w:pPr>
        <w:tabs>
          <w:tab w:val="num" w:pos="792"/>
        </w:tabs>
        <w:ind w:left="792" w:hanging="72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609C0DCC"/>
    <w:multiLevelType w:val="multilevel"/>
    <w:tmpl w:val="F11C8164"/>
    <w:lvl w:ilvl="0">
      <w:start w:val="1"/>
      <w:numFmt w:val="decimal"/>
      <w:lvlText w:val="[%1]"/>
      <w:lvlJc w:val="left"/>
      <w:pPr>
        <w:tabs>
          <w:tab w:val="num" w:pos="360"/>
        </w:tabs>
        <w:ind w:left="0" w:firstLine="0"/>
      </w:pPr>
      <w:rPr>
        <w:rFonts w:ascii="Arial" w:hAnsi="Arial" w:hint="default"/>
        <w:b w:val="0"/>
        <w:i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16cid:durableId="82379081">
    <w:abstractNumId w:val="12"/>
  </w:num>
  <w:num w:numId="2" w16cid:durableId="535895643">
    <w:abstractNumId w:val="12"/>
  </w:num>
  <w:num w:numId="3" w16cid:durableId="222254862">
    <w:abstractNumId w:val="12"/>
  </w:num>
  <w:num w:numId="4" w16cid:durableId="571965136">
    <w:abstractNumId w:val="8"/>
  </w:num>
  <w:num w:numId="5" w16cid:durableId="1707750714">
    <w:abstractNumId w:val="3"/>
  </w:num>
  <w:num w:numId="6" w16cid:durableId="876356037">
    <w:abstractNumId w:val="2"/>
  </w:num>
  <w:num w:numId="7" w16cid:durableId="1265185289">
    <w:abstractNumId w:val="1"/>
  </w:num>
  <w:num w:numId="8" w16cid:durableId="63381132">
    <w:abstractNumId w:val="0"/>
  </w:num>
  <w:num w:numId="9" w16cid:durableId="145561422">
    <w:abstractNumId w:val="9"/>
  </w:num>
  <w:num w:numId="10" w16cid:durableId="1583953640">
    <w:abstractNumId w:val="7"/>
  </w:num>
  <w:num w:numId="11" w16cid:durableId="1636787958">
    <w:abstractNumId w:val="6"/>
  </w:num>
  <w:num w:numId="12" w16cid:durableId="98456429">
    <w:abstractNumId w:val="5"/>
  </w:num>
  <w:num w:numId="13" w16cid:durableId="1063525084">
    <w:abstractNumId w:val="4"/>
  </w:num>
  <w:num w:numId="14" w16cid:durableId="1902255451">
    <w:abstractNumId w:val="12"/>
  </w:num>
  <w:num w:numId="15" w16cid:durableId="267547612">
    <w:abstractNumId w:val="12"/>
  </w:num>
  <w:num w:numId="16" w16cid:durableId="1431121010">
    <w:abstractNumId w:val="12"/>
  </w:num>
  <w:num w:numId="17" w16cid:durableId="1263955429">
    <w:abstractNumId w:val="11"/>
  </w:num>
  <w:num w:numId="18" w16cid:durableId="325086808">
    <w:abstractNumId w:val="10"/>
  </w:num>
  <w:num w:numId="19" w16cid:durableId="12090256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isplayHorizontalDrawingGridEvery w:val="0"/>
  <w:displayVerticalDrawingGridEvery w:val="0"/>
  <w:doNotUseMarginsForDrawingGridOrigin/>
  <w:doNotShadeFormData/>
  <w:noPunctuationKerning/>
  <w:characterSpacingControl w:val="doNotCompress"/>
  <w:footnotePr>
    <w:numRestart w:val="eachSect"/>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7E3"/>
    <w:rsid w:val="000012F7"/>
    <w:rsid w:val="00005741"/>
    <w:rsid w:val="00006259"/>
    <w:rsid w:val="00010862"/>
    <w:rsid w:val="0001321E"/>
    <w:rsid w:val="00013BB9"/>
    <w:rsid w:val="00015F61"/>
    <w:rsid w:val="000250C2"/>
    <w:rsid w:val="00033ACA"/>
    <w:rsid w:val="000357CA"/>
    <w:rsid w:val="00045922"/>
    <w:rsid w:val="000614D8"/>
    <w:rsid w:val="00067A12"/>
    <w:rsid w:val="00067CC1"/>
    <w:rsid w:val="00075207"/>
    <w:rsid w:val="00075737"/>
    <w:rsid w:val="00080AC5"/>
    <w:rsid w:val="00080D1F"/>
    <w:rsid w:val="0008187C"/>
    <w:rsid w:val="00082F0A"/>
    <w:rsid w:val="00084297"/>
    <w:rsid w:val="000949A6"/>
    <w:rsid w:val="00094DC3"/>
    <w:rsid w:val="000B344E"/>
    <w:rsid w:val="000B3F39"/>
    <w:rsid w:val="000B60BA"/>
    <w:rsid w:val="000C54D9"/>
    <w:rsid w:val="000D0177"/>
    <w:rsid w:val="000D48DA"/>
    <w:rsid w:val="000D5528"/>
    <w:rsid w:val="000E2820"/>
    <w:rsid w:val="000E3231"/>
    <w:rsid w:val="000E3FBD"/>
    <w:rsid w:val="000F74B3"/>
    <w:rsid w:val="001009B2"/>
    <w:rsid w:val="00103275"/>
    <w:rsid w:val="00104397"/>
    <w:rsid w:val="001051CC"/>
    <w:rsid w:val="00106BD1"/>
    <w:rsid w:val="00107060"/>
    <w:rsid w:val="00113A72"/>
    <w:rsid w:val="00135014"/>
    <w:rsid w:val="001368A6"/>
    <w:rsid w:val="00137252"/>
    <w:rsid w:val="001433C6"/>
    <w:rsid w:val="001464FD"/>
    <w:rsid w:val="00146ED1"/>
    <w:rsid w:val="00151498"/>
    <w:rsid w:val="00156F49"/>
    <w:rsid w:val="001600EA"/>
    <w:rsid w:val="00160465"/>
    <w:rsid w:val="00170A73"/>
    <w:rsid w:val="00175437"/>
    <w:rsid w:val="00186B64"/>
    <w:rsid w:val="00187994"/>
    <w:rsid w:val="001933CB"/>
    <w:rsid w:val="001A2598"/>
    <w:rsid w:val="001A4667"/>
    <w:rsid w:val="001A6EA4"/>
    <w:rsid w:val="001A7C22"/>
    <w:rsid w:val="001B1B44"/>
    <w:rsid w:val="001D4F03"/>
    <w:rsid w:val="001E13E3"/>
    <w:rsid w:val="001F727A"/>
    <w:rsid w:val="002028E3"/>
    <w:rsid w:val="0021091C"/>
    <w:rsid w:val="00215559"/>
    <w:rsid w:val="002159AA"/>
    <w:rsid w:val="002165C0"/>
    <w:rsid w:val="00221170"/>
    <w:rsid w:val="0022417B"/>
    <w:rsid w:val="0023213C"/>
    <w:rsid w:val="00236668"/>
    <w:rsid w:val="00240B45"/>
    <w:rsid w:val="00241A86"/>
    <w:rsid w:val="002451A8"/>
    <w:rsid w:val="00263A55"/>
    <w:rsid w:val="00266D03"/>
    <w:rsid w:val="0027156C"/>
    <w:rsid w:val="002745AE"/>
    <w:rsid w:val="0027638D"/>
    <w:rsid w:val="00277940"/>
    <w:rsid w:val="00287D01"/>
    <w:rsid w:val="00290FB6"/>
    <w:rsid w:val="00293750"/>
    <w:rsid w:val="002A0B7A"/>
    <w:rsid w:val="002A1C15"/>
    <w:rsid w:val="002A295B"/>
    <w:rsid w:val="002B2058"/>
    <w:rsid w:val="002C1B95"/>
    <w:rsid w:val="002C4107"/>
    <w:rsid w:val="002C7179"/>
    <w:rsid w:val="002D3F8E"/>
    <w:rsid w:val="002D5C9C"/>
    <w:rsid w:val="002D6E0E"/>
    <w:rsid w:val="002E4EB3"/>
    <w:rsid w:val="002E540C"/>
    <w:rsid w:val="002E7403"/>
    <w:rsid w:val="003041AF"/>
    <w:rsid w:val="003066F8"/>
    <w:rsid w:val="00315497"/>
    <w:rsid w:val="003156DB"/>
    <w:rsid w:val="00315A4E"/>
    <w:rsid w:val="00317A57"/>
    <w:rsid w:val="00320C2D"/>
    <w:rsid w:val="00322A0D"/>
    <w:rsid w:val="00327E6D"/>
    <w:rsid w:val="0033020E"/>
    <w:rsid w:val="00335475"/>
    <w:rsid w:val="003702EF"/>
    <w:rsid w:val="0037521E"/>
    <w:rsid w:val="003822C1"/>
    <w:rsid w:val="003847F3"/>
    <w:rsid w:val="0039120A"/>
    <w:rsid w:val="003925E9"/>
    <w:rsid w:val="00392D3D"/>
    <w:rsid w:val="00392DCA"/>
    <w:rsid w:val="00394C57"/>
    <w:rsid w:val="003B1746"/>
    <w:rsid w:val="003B5086"/>
    <w:rsid w:val="003B65F2"/>
    <w:rsid w:val="003E5AF3"/>
    <w:rsid w:val="003F40FD"/>
    <w:rsid w:val="00400980"/>
    <w:rsid w:val="00424BE3"/>
    <w:rsid w:val="004331C4"/>
    <w:rsid w:val="00434D64"/>
    <w:rsid w:val="00447A05"/>
    <w:rsid w:val="004505FD"/>
    <w:rsid w:val="00452209"/>
    <w:rsid w:val="004546D6"/>
    <w:rsid w:val="004630AB"/>
    <w:rsid w:val="0046488A"/>
    <w:rsid w:val="00476374"/>
    <w:rsid w:val="004802D2"/>
    <w:rsid w:val="00484A69"/>
    <w:rsid w:val="00493995"/>
    <w:rsid w:val="0049788A"/>
    <w:rsid w:val="004A14CC"/>
    <w:rsid w:val="004A63DD"/>
    <w:rsid w:val="004A7589"/>
    <w:rsid w:val="004B394B"/>
    <w:rsid w:val="004B72C9"/>
    <w:rsid w:val="004D106E"/>
    <w:rsid w:val="004D10FD"/>
    <w:rsid w:val="004D37E3"/>
    <w:rsid w:val="004D3CB0"/>
    <w:rsid w:val="004D45C3"/>
    <w:rsid w:val="004D74FD"/>
    <w:rsid w:val="004E6550"/>
    <w:rsid w:val="004E682C"/>
    <w:rsid w:val="004E7F8B"/>
    <w:rsid w:val="004F12BE"/>
    <w:rsid w:val="004F15FC"/>
    <w:rsid w:val="004F69BB"/>
    <w:rsid w:val="00501E09"/>
    <w:rsid w:val="005033E4"/>
    <w:rsid w:val="00514134"/>
    <w:rsid w:val="005244DB"/>
    <w:rsid w:val="00524E8C"/>
    <w:rsid w:val="00534695"/>
    <w:rsid w:val="00540690"/>
    <w:rsid w:val="0054437A"/>
    <w:rsid w:val="00545545"/>
    <w:rsid w:val="005463B9"/>
    <w:rsid w:val="005504D5"/>
    <w:rsid w:val="00551C99"/>
    <w:rsid w:val="00560E7D"/>
    <w:rsid w:val="005654A8"/>
    <w:rsid w:val="00566BF6"/>
    <w:rsid w:val="00571913"/>
    <w:rsid w:val="00572CBE"/>
    <w:rsid w:val="00573CDA"/>
    <w:rsid w:val="005B4976"/>
    <w:rsid w:val="005B5BFA"/>
    <w:rsid w:val="005C0FC7"/>
    <w:rsid w:val="005D1522"/>
    <w:rsid w:val="005D29E7"/>
    <w:rsid w:val="005D4473"/>
    <w:rsid w:val="005E3B84"/>
    <w:rsid w:val="005E73B0"/>
    <w:rsid w:val="005F0450"/>
    <w:rsid w:val="005F6233"/>
    <w:rsid w:val="005F634E"/>
    <w:rsid w:val="006162F3"/>
    <w:rsid w:val="00632789"/>
    <w:rsid w:val="00635CC6"/>
    <w:rsid w:val="00637D6F"/>
    <w:rsid w:val="00653B6E"/>
    <w:rsid w:val="0065602B"/>
    <w:rsid w:val="00671E17"/>
    <w:rsid w:val="00676778"/>
    <w:rsid w:val="00692E06"/>
    <w:rsid w:val="006A0600"/>
    <w:rsid w:val="006C6451"/>
    <w:rsid w:val="006D1CB1"/>
    <w:rsid w:val="006E12E8"/>
    <w:rsid w:val="006E67B3"/>
    <w:rsid w:val="006F0854"/>
    <w:rsid w:val="006F140A"/>
    <w:rsid w:val="00702C6D"/>
    <w:rsid w:val="00706367"/>
    <w:rsid w:val="00711DD5"/>
    <w:rsid w:val="007149F6"/>
    <w:rsid w:val="0073154F"/>
    <w:rsid w:val="007377D2"/>
    <w:rsid w:val="00740A17"/>
    <w:rsid w:val="00747420"/>
    <w:rsid w:val="007519EA"/>
    <w:rsid w:val="00752373"/>
    <w:rsid w:val="00754168"/>
    <w:rsid w:val="007547CE"/>
    <w:rsid w:val="00757467"/>
    <w:rsid w:val="007658A6"/>
    <w:rsid w:val="0077096E"/>
    <w:rsid w:val="00770C57"/>
    <w:rsid w:val="007818B0"/>
    <w:rsid w:val="00787D2B"/>
    <w:rsid w:val="00794E52"/>
    <w:rsid w:val="007953F3"/>
    <w:rsid w:val="007B663C"/>
    <w:rsid w:val="007B692F"/>
    <w:rsid w:val="007C2335"/>
    <w:rsid w:val="007C4CFA"/>
    <w:rsid w:val="007C678F"/>
    <w:rsid w:val="007D13F3"/>
    <w:rsid w:val="007D632A"/>
    <w:rsid w:val="007E1AAD"/>
    <w:rsid w:val="007E57DF"/>
    <w:rsid w:val="007F2157"/>
    <w:rsid w:val="007F7BAF"/>
    <w:rsid w:val="00803B9C"/>
    <w:rsid w:val="0081572A"/>
    <w:rsid w:val="00822F54"/>
    <w:rsid w:val="00826F49"/>
    <w:rsid w:val="00827B04"/>
    <w:rsid w:val="00831C53"/>
    <w:rsid w:val="00836D3E"/>
    <w:rsid w:val="00840DF1"/>
    <w:rsid w:val="008430CA"/>
    <w:rsid w:val="0084424D"/>
    <w:rsid w:val="00846C08"/>
    <w:rsid w:val="00850063"/>
    <w:rsid w:val="00850489"/>
    <w:rsid w:val="00854C3E"/>
    <w:rsid w:val="0085778B"/>
    <w:rsid w:val="008757BD"/>
    <w:rsid w:val="00882210"/>
    <w:rsid w:val="00884E84"/>
    <w:rsid w:val="00887EEB"/>
    <w:rsid w:val="00893C15"/>
    <w:rsid w:val="008A1AD8"/>
    <w:rsid w:val="008D2FB6"/>
    <w:rsid w:val="008E0ED5"/>
    <w:rsid w:val="008E36F0"/>
    <w:rsid w:val="008E5C40"/>
    <w:rsid w:val="008F2ACD"/>
    <w:rsid w:val="008F364A"/>
    <w:rsid w:val="00907492"/>
    <w:rsid w:val="009251B3"/>
    <w:rsid w:val="00933CFB"/>
    <w:rsid w:val="0093677F"/>
    <w:rsid w:val="00950F4A"/>
    <w:rsid w:val="00950FA6"/>
    <w:rsid w:val="0095228A"/>
    <w:rsid w:val="00953B63"/>
    <w:rsid w:val="009542F2"/>
    <w:rsid w:val="00954DC2"/>
    <w:rsid w:val="009563B5"/>
    <w:rsid w:val="009648A4"/>
    <w:rsid w:val="00966D64"/>
    <w:rsid w:val="00996C51"/>
    <w:rsid w:val="0099733B"/>
    <w:rsid w:val="009A2428"/>
    <w:rsid w:val="009B77AF"/>
    <w:rsid w:val="009C045E"/>
    <w:rsid w:val="009C39A1"/>
    <w:rsid w:val="009C3ACF"/>
    <w:rsid w:val="009D1618"/>
    <w:rsid w:val="009D2AC5"/>
    <w:rsid w:val="009E2B19"/>
    <w:rsid w:val="009F0E98"/>
    <w:rsid w:val="009F3C37"/>
    <w:rsid w:val="009F524B"/>
    <w:rsid w:val="009F6AD9"/>
    <w:rsid w:val="00A00FEB"/>
    <w:rsid w:val="00A038D7"/>
    <w:rsid w:val="00A10FD4"/>
    <w:rsid w:val="00A12875"/>
    <w:rsid w:val="00A1634B"/>
    <w:rsid w:val="00A20CFD"/>
    <w:rsid w:val="00A2371E"/>
    <w:rsid w:val="00A26979"/>
    <w:rsid w:val="00A3466C"/>
    <w:rsid w:val="00A34B32"/>
    <w:rsid w:val="00A35230"/>
    <w:rsid w:val="00A36D50"/>
    <w:rsid w:val="00A42A3E"/>
    <w:rsid w:val="00A4472C"/>
    <w:rsid w:val="00A449F2"/>
    <w:rsid w:val="00A62FEE"/>
    <w:rsid w:val="00A630D1"/>
    <w:rsid w:val="00A65E08"/>
    <w:rsid w:val="00A738A7"/>
    <w:rsid w:val="00A75814"/>
    <w:rsid w:val="00A8271F"/>
    <w:rsid w:val="00A843C4"/>
    <w:rsid w:val="00A8574C"/>
    <w:rsid w:val="00AA0AE4"/>
    <w:rsid w:val="00AA6B06"/>
    <w:rsid w:val="00AB7802"/>
    <w:rsid w:val="00AC2198"/>
    <w:rsid w:val="00AC5BB3"/>
    <w:rsid w:val="00AD2EC2"/>
    <w:rsid w:val="00AE1C2E"/>
    <w:rsid w:val="00AE35C8"/>
    <w:rsid w:val="00AF38CF"/>
    <w:rsid w:val="00AF5327"/>
    <w:rsid w:val="00B11DC9"/>
    <w:rsid w:val="00B15536"/>
    <w:rsid w:val="00B276F8"/>
    <w:rsid w:val="00B323E7"/>
    <w:rsid w:val="00B32F57"/>
    <w:rsid w:val="00B367AC"/>
    <w:rsid w:val="00B3738F"/>
    <w:rsid w:val="00B451C3"/>
    <w:rsid w:val="00B5586C"/>
    <w:rsid w:val="00B71E57"/>
    <w:rsid w:val="00B757D0"/>
    <w:rsid w:val="00B82A13"/>
    <w:rsid w:val="00BA2E92"/>
    <w:rsid w:val="00BB0501"/>
    <w:rsid w:val="00BB483F"/>
    <w:rsid w:val="00BC14B8"/>
    <w:rsid w:val="00BD1289"/>
    <w:rsid w:val="00BD31B6"/>
    <w:rsid w:val="00BD52FE"/>
    <w:rsid w:val="00BE1C8F"/>
    <w:rsid w:val="00BE2FA2"/>
    <w:rsid w:val="00BE791F"/>
    <w:rsid w:val="00BF09C1"/>
    <w:rsid w:val="00BF1A06"/>
    <w:rsid w:val="00C02B72"/>
    <w:rsid w:val="00C1429C"/>
    <w:rsid w:val="00C230D7"/>
    <w:rsid w:val="00C30F2F"/>
    <w:rsid w:val="00C3129D"/>
    <w:rsid w:val="00C40A6B"/>
    <w:rsid w:val="00C47029"/>
    <w:rsid w:val="00C47211"/>
    <w:rsid w:val="00C474E2"/>
    <w:rsid w:val="00C477EB"/>
    <w:rsid w:val="00C54B1C"/>
    <w:rsid w:val="00C551F8"/>
    <w:rsid w:val="00C617FC"/>
    <w:rsid w:val="00C6217E"/>
    <w:rsid w:val="00C656B7"/>
    <w:rsid w:val="00C92E57"/>
    <w:rsid w:val="00C96021"/>
    <w:rsid w:val="00CA4967"/>
    <w:rsid w:val="00CA5121"/>
    <w:rsid w:val="00CB43B4"/>
    <w:rsid w:val="00CC4C70"/>
    <w:rsid w:val="00CC7EE5"/>
    <w:rsid w:val="00CD340D"/>
    <w:rsid w:val="00CD58FC"/>
    <w:rsid w:val="00CE01B4"/>
    <w:rsid w:val="00CE3563"/>
    <w:rsid w:val="00CF5436"/>
    <w:rsid w:val="00D0709B"/>
    <w:rsid w:val="00D14318"/>
    <w:rsid w:val="00D16D0E"/>
    <w:rsid w:val="00D23796"/>
    <w:rsid w:val="00D26AB1"/>
    <w:rsid w:val="00D41EBF"/>
    <w:rsid w:val="00D42B21"/>
    <w:rsid w:val="00D45977"/>
    <w:rsid w:val="00D57AC7"/>
    <w:rsid w:val="00D63F55"/>
    <w:rsid w:val="00D67052"/>
    <w:rsid w:val="00D72B7E"/>
    <w:rsid w:val="00D819D1"/>
    <w:rsid w:val="00D919D3"/>
    <w:rsid w:val="00D92171"/>
    <w:rsid w:val="00D9513F"/>
    <w:rsid w:val="00DA3F72"/>
    <w:rsid w:val="00DB2A53"/>
    <w:rsid w:val="00DB348F"/>
    <w:rsid w:val="00DB5E57"/>
    <w:rsid w:val="00DC223B"/>
    <w:rsid w:val="00DC384E"/>
    <w:rsid w:val="00DD0833"/>
    <w:rsid w:val="00DD3A24"/>
    <w:rsid w:val="00DE0854"/>
    <w:rsid w:val="00DE2C71"/>
    <w:rsid w:val="00DE3438"/>
    <w:rsid w:val="00DE4320"/>
    <w:rsid w:val="00DF12C7"/>
    <w:rsid w:val="00DF3EE2"/>
    <w:rsid w:val="00DF7D37"/>
    <w:rsid w:val="00E01CAD"/>
    <w:rsid w:val="00E06061"/>
    <w:rsid w:val="00E10A5B"/>
    <w:rsid w:val="00E170B5"/>
    <w:rsid w:val="00E21494"/>
    <w:rsid w:val="00E21520"/>
    <w:rsid w:val="00E22228"/>
    <w:rsid w:val="00E248AE"/>
    <w:rsid w:val="00E24FD4"/>
    <w:rsid w:val="00E25C04"/>
    <w:rsid w:val="00E311DC"/>
    <w:rsid w:val="00E41872"/>
    <w:rsid w:val="00E44A1C"/>
    <w:rsid w:val="00E45CB1"/>
    <w:rsid w:val="00E46927"/>
    <w:rsid w:val="00E50F09"/>
    <w:rsid w:val="00E51293"/>
    <w:rsid w:val="00E55CDF"/>
    <w:rsid w:val="00E653B3"/>
    <w:rsid w:val="00E67767"/>
    <w:rsid w:val="00E80DC7"/>
    <w:rsid w:val="00E85342"/>
    <w:rsid w:val="00E8706F"/>
    <w:rsid w:val="00EB395F"/>
    <w:rsid w:val="00EC2D0A"/>
    <w:rsid w:val="00EC57E1"/>
    <w:rsid w:val="00EF4716"/>
    <w:rsid w:val="00EF5571"/>
    <w:rsid w:val="00F050F0"/>
    <w:rsid w:val="00F12661"/>
    <w:rsid w:val="00F1760F"/>
    <w:rsid w:val="00F21AC8"/>
    <w:rsid w:val="00F257C5"/>
    <w:rsid w:val="00F25DA6"/>
    <w:rsid w:val="00F3537E"/>
    <w:rsid w:val="00F44D2D"/>
    <w:rsid w:val="00F47DB9"/>
    <w:rsid w:val="00F513B9"/>
    <w:rsid w:val="00F55CD4"/>
    <w:rsid w:val="00F7072E"/>
    <w:rsid w:val="00F72BD0"/>
    <w:rsid w:val="00F853BE"/>
    <w:rsid w:val="00F903C2"/>
    <w:rsid w:val="00F933A4"/>
    <w:rsid w:val="00F943C5"/>
    <w:rsid w:val="00F95FC5"/>
    <w:rsid w:val="00FA1E36"/>
    <w:rsid w:val="00FA7F32"/>
    <w:rsid w:val="00FB0124"/>
    <w:rsid w:val="00FB0AFC"/>
    <w:rsid w:val="00FB3369"/>
    <w:rsid w:val="00FB3A36"/>
    <w:rsid w:val="00FB48E1"/>
    <w:rsid w:val="00FB691A"/>
    <w:rsid w:val="00FC1957"/>
    <w:rsid w:val="00FD6BC2"/>
    <w:rsid w:val="00FE3D38"/>
    <w:rsid w:val="00FE7348"/>
    <w:rsid w:val="00FF065C"/>
    <w:rsid w:val="00FF1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43D20"/>
  <w15:docId w15:val="{DCDD3F2B-A543-4A30-8C79-F9474C7CA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C37"/>
    <w:pPr>
      <w:spacing w:line="280" w:lineRule="exact"/>
    </w:pPr>
    <w:rPr>
      <w:rFonts w:ascii="Arial" w:hAnsi="Arial"/>
      <w:sz w:val="24"/>
      <w:lang w:eastAsia="fr-FR"/>
    </w:rPr>
  </w:style>
  <w:style w:type="paragraph" w:styleId="Titre1">
    <w:name w:val="heading 1"/>
    <w:basedOn w:val="Normal"/>
    <w:next w:val="Normal"/>
    <w:qFormat/>
    <w:rsid w:val="009F3C37"/>
    <w:pPr>
      <w:keepNext/>
      <w:spacing w:before="240" w:after="60" w:line="500" w:lineRule="exact"/>
      <w:outlineLvl w:val="0"/>
    </w:pPr>
    <w:rPr>
      <w:b/>
      <w:kern w:val="28"/>
      <w:sz w:val="28"/>
    </w:rPr>
  </w:style>
  <w:style w:type="paragraph" w:styleId="Titre2">
    <w:name w:val="heading 2"/>
    <w:basedOn w:val="Normal"/>
    <w:next w:val="Normal"/>
    <w:qFormat/>
    <w:rsid w:val="009F3C37"/>
    <w:pPr>
      <w:keepNext/>
      <w:spacing w:before="240" w:after="60"/>
      <w:outlineLvl w:val="1"/>
    </w:pPr>
    <w:rPr>
      <w:b/>
      <w:i/>
    </w:rPr>
  </w:style>
  <w:style w:type="paragraph" w:styleId="Titre3">
    <w:name w:val="heading 3"/>
    <w:basedOn w:val="Normal"/>
    <w:next w:val="Normal"/>
    <w:qFormat/>
    <w:rsid w:val="009F3C37"/>
    <w:pPr>
      <w:keepNext/>
      <w:spacing w:before="240" w:after="60"/>
      <w:outlineLvl w:val="2"/>
    </w:pPr>
  </w:style>
  <w:style w:type="paragraph" w:styleId="Titre4">
    <w:name w:val="heading 4"/>
    <w:basedOn w:val="Normal"/>
    <w:next w:val="Normal"/>
    <w:qFormat/>
    <w:rsid w:val="009F3C37"/>
    <w:pPr>
      <w:keepNext/>
      <w:spacing w:before="240" w:after="60"/>
      <w:outlineLvl w:val="3"/>
    </w:pPr>
    <w:rPr>
      <w:b/>
    </w:rPr>
  </w:style>
  <w:style w:type="paragraph" w:styleId="Titre5">
    <w:name w:val="heading 5"/>
    <w:basedOn w:val="Normal"/>
    <w:next w:val="Normal"/>
    <w:qFormat/>
    <w:rsid w:val="009F3C37"/>
    <w:pPr>
      <w:spacing w:before="240" w:after="60"/>
      <w:outlineLvl w:val="4"/>
    </w:pPr>
    <w:rPr>
      <w:sz w:val="22"/>
    </w:rPr>
  </w:style>
  <w:style w:type="paragraph" w:styleId="Titre6">
    <w:name w:val="heading 6"/>
    <w:basedOn w:val="Normal"/>
    <w:next w:val="Normal"/>
    <w:qFormat/>
    <w:rsid w:val="009F3C37"/>
    <w:pPr>
      <w:spacing w:before="240" w:after="60"/>
      <w:outlineLvl w:val="5"/>
    </w:pPr>
    <w:rPr>
      <w:i/>
      <w:sz w:val="22"/>
    </w:rPr>
  </w:style>
  <w:style w:type="paragraph" w:styleId="Titre7">
    <w:name w:val="heading 7"/>
    <w:basedOn w:val="Normal"/>
    <w:next w:val="Normal"/>
    <w:qFormat/>
    <w:rsid w:val="009F3C37"/>
    <w:pPr>
      <w:spacing w:before="240" w:after="60"/>
      <w:outlineLvl w:val="6"/>
    </w:pPr>
    <w:rPr>
      <w:sz w:val="20"/>
    </w:rPr>
  </w:style>
  <w:style w:type="paragraph" w:styleId="Titre8">
    <w:name w:val="heading 8"/>
    <w:basedOn w:val="Normal"/>
    <w:next w:val="Normal"/>
    <w:qFormat/>
    <w:rsid w:val="009F3C37"/>
    <w:pPr>
      <w:spacing w:before="240" w:after="60"/>
      <w:outlineLvl w:val="7"/>
    </w:pPr>
    <w:rPr>
      <w:i/>
      <w:sz w:val="20"/>
    </w:rPr>
  </w:style>
  <w:style w:type="paragraph" w:styleId="Titre9">
    <w:name w:val="heading 9"/>
    <w:basedOn w:val="Normal"/>
    <w:next w:val="Normal"/>
    <w:qFormat/>
    <w:rsid w:val="009F3C37"/>
    <w:p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link w:val="ParagrapheCar"/>
    <w:qFormat/>
    <w:rsid w:val="00E06061"/>
    <w:pPr>
      <w:numPr>
        <w:numId w:val="18"/>
      </w:numPr>
      <w:spacing w:before="120" w:after="120" w:line="240" w:lineRule="auto"/>
      <w:jc w:val="both"/>
    </w:pPr>
  </w:style>
  <w:style w:type="paragraph" w:customStyle="1" w:styleId="Citationenretrait">
    <w:name w:val="Citation en retrait"/>
    <w:basedOn w:val="Normal"/>
    <w:link w:val="CitationenretraitCar"/>
    <w:qFormat/>
    <w:rsid w:val="009F3C37"/>
    <w:pPr>
      <w:spacing w:before="120" w:after="120"/>
      <w:ind w:left="720" w:right="720"/>
      <w:jc w:val="both"/>
    </w:pPr>
    <w:rPr>
      <w:kern w:val="24"/>
      <w:sz w:val="22"/>
    </w:rPr>
  </w:style>
  <w:style w:type="character" w:customStyle="1" w:styleId="Citationintgre">
    <w:name w:val="Citation intégrée"/>
    <w:rsid w:val="009F3C37"/>
    <w:rPr>
      <w:rFonts w:ascii="Arial" w:hAnsi="Arial"/>
      <w:i/>
      <w:noProof w:val="0"/>
      <w:sz w:val="22"/>
      <w:lang w:val="fr-CA"/>
    </w:rPr>
  </w:style>
  <w:style w:type="paragraph" w:styleId="Corpsdetexte">
    <w:name w:val="Body Text"/>
    <w:basedOn w:val="Normal"/>
    <w:semiHidden/>
    <w:rsid w:val="009F3C37"/>
    <w:pPr>
      <w:spacing w:after="120"/>
    </w:pPr>
  </w:style>
  <w:style w:type="paragraph" w:styleId="Notedebasdepage">
    <w:name w:val="footnote text"/>
    <w:basedOn w:val="Normal"/>
    <w:link w:val="NotedebasdepageCar"/>
    <w:qFormat/>
    <w:rsid w:val="009F3C37"/>
    <w:pPr>
      <w:spacing w:line="240" w:lineRule="auto"/>
      <w:ind w:left="360" w:hanging="360"/>
      <w:jc w:val="both"/>
    </w:pPr>
    <w:rPr>
      <w:sz w:val="20"/>
    </w:rPr>
  </w:style>
  <w:style w:type="paragraph" w:styleId="Notedefin">
    <w:name w:val="endnote text"/>
    <w:basedOn w:val="Normal"/>
    <w:semiHidden/>
    <w:rsid w:val="009F3C37"/>
    <w:pPr>
      <w:ind w:left="-360"/>
      <w:jc w:val="both"/>
    </w:pPr>
    <w:rPr>
      <w:sz w:val="20"/>
    </w:rPr>
  </w:style>
  <w:style w:type="paragraph" w:customStyle="1" w:styleId="zSoquijlblCour">
    <w:name w:val="zSoquij_lblCour"/>
    <w:basedOn w:val="Normal"/>
    <w:rsid w:val="009F3C37"/>
    <w:pPr>
      <w:spacing w:line="500" w:lineRule="exact"/>
      <w:jc w:val="center"/>
    </w:pPr>
    <w:rPr>
      <w:b/>
      <w:sz w:val="36"/>
    </w:rPr>
  </w:style>
  <w:style w:type="paragraph" w:customStyle="1" w:styleId="zSoquijlblPays">
    <w:name w:val="zSoquij_lblPays"/>
    <w:basedOn w:val="Normal"/>
    <w:rsid w:val="00447A05"/>
    <w:pPr>
      <w:ind w:left="-108"/>
    </w:pPr>
    <w:rPr>
      <w:rFonts w:eastAsiaTheme="minorHAnsi" w:cs="Arial"/>
      <w:szCs w:val="24"/>
    </w:rPr>
  </w:style>
  <w:style w:type="paragraph" w:customStyle="1" w:styleId="zSoquijlblProvince">
    <w:name w:val="zSoquij_lblProvince"/>
    <w:basedOn w:val="Normal"/>
    <w:rsid w:val="00447A05"/>
    <w:pPr>
      <w:ind w:left="-108"/>
    </w:pPr>
    <w:rPr>
      <w:rFonts w:eastAsiaTheme="minorHAnsi" w:cs="Arial"/>
      <w:szCs w:val="24"/>
    </w:rPr>
  </w:style>
  <w:style w:type="paragraph" w:customStyle="1" w:styleId="zSoquijlblGreffe">
    <w:name w:val="zSoquij_lblGreffe"/>
    <w:basedOn w:val="Normal"/>
    <w:rsid w:val="00F933A4"/>
    <w:pPr>
      <w:ind w:left="-108"/>
    </w:pPr>
    <w:rPr>
      <w:rFonts w:eastAsiaTheme="minorHAnsi" w:cs="Arial"/>
      <w:szCs w:val="24"/>
    </w:rPr>
  </w:style>
  <w:style w:type="paragraph" w:customStyle="1" w:styleId="zSoquijdatGreffe">
    <w:name w:val="zSoquij_datGreffe"/>
    <w:basedOn w:val="Normal"/>
    <w:rsid w:val="00F95FC5"/>
    <w:pPr>
      <w:ind w:left="-108"/>
    </w:pPr>
    <w:rPr>
      <w:rFonts w:eastAsiaTheme="minorHAnsi" w:cs="Arial"/>
      <w:szCs w:val="24"/>
    </w:rPr>
  </w:style>
  <w:style w:type="paragraph" w:customStyle="1" w:styleId="zSoquijdatDivision">
    <w:name w:val="zSoquij_datDivision"/>
    <w:basedOn w:val="Normal"/>
    <w:rsid w:val="009F3C37"/>
    <w:pPr>
      <w:jc w:val="center"/>
    </w:pPr>
    <w:rPr>
      <w:sz w:val="22"/>
    </w:rPr>
  </w:style>
  <w:style w:type="paragraph" w:customStyle="1" w:styleId="zSoquijlblNoDossier">
    <w:name w:val="zSoquij_lblNoDossier"/>
    <w:basedOn w:val="Normal"/>
    <w:rsid w:val="00392DCA"/>
    <w:rPr>
      <w:rFonts w:eastAsiaTheme="minorHAnsi" w:cs="Arial"/>
      <w:szCs w:val="24"/>
    </w:rPr>
  </w:style>
  <w:style w:type="paragraph" w:customStyle="1" w:styleId="zSoquijdatNoDossier">
    <w:name w:val="zSoquij_datNoDossier"/>
    <w:basedOn w:val="Normal"/>
    <w:rsid w:val="00160465"/>
    <w:pPr>
      <w:ind w:left="-108"/>
    </w:pPr>
    <w:rPr>
      <w:rFonts w:eastAsiaTheme="minorHAnsi" w:cs="Arial"/>
      <w:szCs w:val="24"/>
    </w:rPr>
  </w:style>
  <w:style w:type="paragraph" w:customStyle="1" w:styleId="zSoquijdatNoDossierAnt">
    <w:name w:val="zSoquij_datNoDossierAnt"/>
    <w:basedOn w:val="Normal"/>
    <w:rsid w:val="00160465"/>
    <w:pPr>
      <w:ind w:left="-108"/>
    </w:pPr>
    <w:rPr>
      <w:rFonts w:eastAsiaTheme="minorHAnsi" w:cs="Arial"/>
      <w:szCs w:val="24"/>
    </w:rPr>
  </w:style>
  <w:style w:type="paragraph" w:customStyle="1" w:styleId="zSoquijdatDateJugement">
    <w:name w:val="zSoquij_datDateJugement"/>
    <w:basedOn w:val="Normal"/>
    <w:rsid w:val="00160465"/>
    <w:pPr>
      <w:ind w:left="-108"/>
    </w:pPr>
    <w:rPr>
      <w:rFonts w:eastAsiaTheme="minorHAnsi" w:cs="Arial"/>
      <w:szCs w:val="24"/>
    </w:rPr>
  </w:style>
  <w:style w:type="paragraph" w:customStyle="1" w:styleId="zSoquijlblDateJugement">
    <w:name w:val="zSoquij_lblDateJugement"/>
    <w:basedOn w:val="Normal"/>
    <w:rsid w:val="009F3C37"/>
  </w:style>
  <w:style w:type="paragraph" w:customStyle="1" w:styleId="zSoquijlblJuge">
    <w:name w:val="zSoquij_lblJuge"/>
    <w:basedOn w:val="Normal"/>
    <w:rsid w:val="00DC384E"/>
    <w:pPr>
      <w:ind w:left="-108"/>
    </w:pPr>
    <w:rPr>
      <w:rFonts w:eastAsiaTheme="minorHAnsi" w:cs="Arial"/>
      <w:szCs w:val="24"/>
    </w:rPr>
  </w:style>
  <w:style w:type="paragraph" w:customStyle="1" w:styleId="zSoquijdatQteJuge">
    <w:name w:val="zSoquij_datQteJuge"/>
    <w:basedOn w:val="Normal"/>
    <w:rsid w:val="00FB0AFC"/>
    <w:rPr>
      <w:rFonts w:eastAsiaTheme="minorHAnsi" w:cs="Arial"/>
      <w:szCs w:val="24"/>
    </w:rPr>
  </w:style>
  <w:style w:type="paragraph" w:customStyle="1" w:styleId="zSoquijdatJuge1">
    <w:name w:val="zSoquij_datJuge_1"/>
    <w:basedOn w:val="Normal"/>
    <w:qFormat/>
    <w:rsid w:val="00FB0AFC"/>
    <w:pPr>
      <w:ind w:left="-103"/>
    </w:pPr>
    <w:rPr>
      <w:rFonts w:eastAsiaTheme="minorHAnsi" w:cs="Arial"/>
      <w:szCs w:val="24"/>
    </w:rPr>
  </w:style>
  <w:style w:type="paragraph" w:customStyle="1" w:styleId="zSoquijdatNomPartieDem">
    <w:name w:val="zSoquij_datNomPartieDem"/>
    <w:basedOn w:val="Normal"/>
    <w:rsid w:val="00F12661"/>
    <w:pPr>
      <w:jc w:val="center"/>
    </w:pPr>
    <w:rPr>
      <w:b/>
      <w:bCs/>
    </w:rPr>
  </w:style>
  <w:style w:type="paragraph" w:customStyle="1" w:styleId="zSoquijdatQtePartieDem">
    <w:name w:val="zSoquij_datQtePartieDem"/>
    <w:basedOn w:val="Normal"/>
    <w:rsid w:val="00FA7F32"/>
    <w:pPr>
      <w:spacing w:before="120" w:after="120" w:line="240" w:lineRule="auto"/>
      <w:jc w:val="center"/>
    </w:pPr>
    <w:rPr>
      <w:rFonts w:cs="Arial"/>
      <w:kern w:val="28"/>
      <w:szCs w:val="24"/>
    </w:rPr>
  </w:style>
  <w:style w:type="paragraph" w:customStyle="1" w:styleId="zSoquijlblLienParties">
    <w:name w:val="zSoquij_lblLienParties"/>
    <w:basedOn w:val="Normal"/>
    <w:rsid w:val="009F3C37"/>
  </w:style>
  <w:style w:type="paragraph" w:customStyle="1" w:styleId="zSoquijdatNomPartieDef">
    <w:name w:val="zSoquij_datNomPartieDef"/>
    <w:basedOn w:val="Normal"/>
    <w:rsid w:val="007519EA"/>
    <w:pPr>
      <w:jc w:val="center"/>
    </w:pPr>
    <w:rPr>
      <w:b/>
      <w:bCs/>
    </w:rPr>
  </w:style>
  <w:style w:type="paragraph" w:customStyle="1" w:styleId="zSoquijdatQtePartieDef">
    <w:name w:val="zSoquij_datQtePartieDef"/>
    <w:basedOn w:val="Normal"/>
    <w:rsid w:val="00FA7F32"/>
    <w:pPr>
      <w:spacing w:before="120" w:after="120" w:line="240" w:lineRule="auto"/>
      <w:jc w:val="center"/>
    </w:pPr>
    <w:rPr>
      <w:rFonts w:cs="Arial"/>
      <w:kern w:val="28"/>
      <w:szCs w:val="24"/>
    </w:rPr>
  </w:style>
  <w:style w:type="paragraph" w:customStyle="1" w:styleId="zSoquijlblTypeDocument">
    <w:name w:val="zSoquij_lblTypeDocument"/>
    <w:basedOn w:val="Normal"/>
    <w:rsid w:val="009F3C37"/>
    <w:pPr>
      <w:jc w:val="center"/>
    </w:pPr>
  </w:style>
  <w:style w:type="paragraph" w:customStyle="1" w:styleId="zSoquijlblProcureurDem">
    <w:name w:val="zSoquij_lblProcureurDem"/>
    <w:basedOn w:val="Normal"/>
    <w:rsid w:val="00C551F8"/>
    <w:pPr>
      <w:spacing w:before="40" w:after="40" w:line="240" w:lineRule="auto"/>
      <w:jc w:val="center"/>
    </w:pPr>
    <w:rPr>
      <w:rFonts w:cs="Arial"/>
      <w:kern w:val="28"/>
      <w:szCs w:val="24"/>
    </w:rPr>
  </w:style>
  <w:style w:type="paragraph" w:customStyle="1" w:styleId="zSoquijlblProcureurDef">
    <w:name w:val="zSoquij_lblProcureurDef"/>
    <w:basedOn w:val="Normal"/>
    <w:rsid w:val="00C551F8"/>
    <w:pPr>
      <w:spacing w:before="40" w:after="40" w:line="240" w:lineRule="auto"/>
      <w:jc w:val="center"/>
    </w:pPr>
    <w:rPr>
      <w:rFonts w:cs="Arial"/>
      <w:kern w:val="28"/>
      <w:szCs w:val="24"/>
    </w:rPr>
  </w:style>
  <w:style w:type="paragraph" w:customStyle="1" w:styleId="zSoquijlblDateAudience">
    <w:name w:val="zSoquij_lblDateAudience"/>
    <w:basedOn w:val="Normal"/>
    <w:rsid w:val="009F3C37"/>
  </w:style>
  <w:style w:type="paragraph" w:customStyle="1" w:styleId="zSoquijdatDateAudience">
    <w:name w:val="zSoquij_datDateAudience"/>
    <w:basedOn w:val="Normal"/>
    <w:rsid w:val="009F3C37"/>
  </w:style>
  <w:style w:type="paragraph" w:customStyle="1" w:styleId="zSoquijlblNomChambre">
    <w:name w:val="zSoquij_lblNomChambre"/>
    <w:basedOn w:val="Normal"/>
    <w:rsid w:val="009F3C37"/>
  </w:style>
  <w:style w:type="paragraph" w:customStyle="1" w:styleId="zSoquijlblOpinionJuge">
    <w:name w:val="zSoquij_lblOpinionJuge"/>
    <w:basedOn w:val="Normal"/>
    <w:rsid w:val="009F3C37"/>
    <w:pPr>
      <w:jc w:val="center"/>
    </w:pPr>
  </w:style>
  <w:style w:type="character" w:customStyle="1" w:styleId="zSoquijlblEntNoDossier">
    <w:name w:val="zSoquij_lblEntNoDossier"/>
    <w:basedOn w:val="Policepardfaut"/>
    <w:rsid w:val="009F3C37"/>
    <w:rPr>
      <w:noProof w:val="0"/>
      <w:lang w:val="fr-CA"/>
    </w:rPr>
  </w:style>
  <w:style w:type="paragraph" w:customStyle="1" w:styleId="zSoquijlblTitrePartie">
    <w:name w:val="zSoquij_lblTitrePartie"/>
    <w:basedOn w:val="Normal"/>
    <w:rsid w:val="009F3C37"/>
  </w:style>
  <w:style w:type="paragraph" w:customStyle="1" w:styleId="zSoquijdatIdJuge">
    <w:name w:val="zSoquij_datIdJuge"/>
    <w:basedOn w:val="Normal"/>
    <w:rsid w:val="009F3C37"/>
    <w:pPr>
      <w:jc w:val="right"/>
    </w:pPr>
  </w:style>
  <w:style w:type="paragraph" w:customStyle="1" w:styleId="Sous-paragraphe">
    <w:name w:val="Sous-paragraphe"/>
    <w:basedOn w:val="Normal"/>
    <w:qFormat/>
    <w:rsid w:val="009F3C37"/>
    <w:pPr>
      <w:widowControl w:val="0"/>
      <w:numPr>
        <w:ilvl w:val="1"/>
        <w:numId w:val="18"/>
      </w:numPr>
      <w:spacing w:after="120"/>
      <w:jc w:val="both"/>
    </w:pPr>
    <w:rPr>
      <w:kern w:val="28"/>
    </w:rPr>
  </w:style>
  <w:style w:type="paragraph" w:customStyle="1" w:styleId="zSoquijdatNomProcureurDem">
    <w:name w:val="zSoquij_datNomProcureurDem"/>
    <w:basedOn w:val="zSoquijlblProcureurDem"/>
    <w:rsid w:val="00F12661"/>
    <w:pPr>
      <w:keepNext/>
    </w:pPr>
  </w:style>
  <w:style w:type="paragraph" w:customStyle="1" w:styleId="zSoquijdatNomProcureurDef">
    <w:name w:val="zSoquij_datNomProcureurDef"/>
    <w:basedOn w:val="zSoquijlblProcureurDef"/>
    <w:rsid w:val="002E7403"/>
    <w:pPr>
      <w:keepNext/>
    </w:pPr>
  </w:style>
  <w:style w:type="paragraph" w:customStyle="1" w:styleId="zSoquijdatCabinetProcureurDem">
    <w:name w:val="zSoquij_datCabinetProcureurDem"/>
    <w:basedOn w:val="Normal"/>
    <w:rsid w:val="00F12661"/>
    <w:pPr>
      <w:keepNext/>
      <w:jc w:val="center"/>
    </w:pPr>
    <w:rPr>
      <w:lang w:val="es-ES"/>
    </w:rPr>
  </w:style>
  <w:style w:type="paragraph" w:customStyle="1" w:styleId="zSoquijdatCabinetProcureurDef">
    <w:name w:val="zSoquij_datCabinetProcureurDef"/>
    <w:basedOn w:val="zSoquijlblProcureurDef"/>
    <w:rsid w:val="002E7403"/>
    <w:pPr>
      <w:keepNext/>
    </w:pPr>
    <w:rPr>
      <w:lang w:val="es-ES"/>
    </w:rPr>
  </w:style>
  <w:style w:type="paragraph" w:styleId="En-tte">
    <w:name w:val="header"/>
    <w:basedOn w:val="Normal"/>
    <w:semiHidden/>
    <w:rsid w:val="009F3C37"/>
    <w:pPr>
      <w:tabs>
        <w:tab w:val="center" w:pos="4320"/>
        <w:tab w:val="right" w:pos="8640"/>
      </w:tabs>
    </w:pPr>
  </w:style>
  <w:style w:type="paragraph" w:styleId="Pieddepage">
    <w:name w:val="footer"/>
    <w:basedOn w:val="Normal"/>
    <w:semiHidden/>
    <w:rsid w:val="009F3C37"/>
    <w:pPr>
      <w:tabs>
        <w:tab w:val="center" w:pos="4320"/>
        <w:tab w:val="right" w:pos="8640"/>
      </w:tabs>
    </w:pPr>
  </w:style>
  <w:style w:type="paragraph" w:customStyle="1" w:styleId="Tableaudroiteanglais">
    <w:name w:val="Tableau droite anglais"/>
    <w:basedOn w:val="Tableaugauchefranais"/>
    <w:link w:val="TableaudroiteanglaisCar"/>
    <w:rsid w:val="009F3C37"/>
    <w:pPr>
      <w:ind w:left="144" w:right="720"/>
      <w:jc w:val="both"/>
    </w:pPr>
    <w:rPr>
      <w:lang w:val="en-CA"/>
    </w:rPr>
  </w:style>
  <w:style w:type="paragraph" w:customStyle="1" w:styleId="Tableaugauchefranais">
    <w:name w:val="Tableau gauche français"/>
    <w:basedOn w:val="Normal"/>
    <w:link w:val="TableaugauchefranaisCar"/>
    <w:rsid w:val="009F3C37"/>
    <w:pPr>
      <w:ind w:left="720" w:right="144"/>
    </w:pPr>
    <w:rPr>
      <w:sz w:val="22"/>
    </w:rPr>
  </w:style>
  <w:style w:type="character" w:styleId="Appelnotedebasdep">
    <w:name w:val="footnote reference"/>
    <w:qFormat/>
    <w:rsid w:val="009F3C37"/>
    <w:rPr>
      <w:noProof w:val="0"/>
      <w:vertAlign w:val="superscript"/>
      <w:lang w:val="fr-CA"/>
    </w:rPr>
  </w:style>
  <w:style w:type="paragraph" w:styleId="Corpsdetexte3">
    <w:name w:val="Body Text 3"/>
    <w:basedOn w:val="Normal"/>
    <w:semiHidden/>
    <w:rsid w:val="009F3C37"/>
    <w:pPr>
      <w:spacing w:after="120"/>
    </w:pPr>
    <w:rPr>
      <w:sz w:val="16"/>
    </w:rPr>
  </w:style>
  <w:style w:type="paragraph" w:customStyle="1" w:styleId="zSoquijdatRepertorie">
    <w:name w:val="zSoquij_datRepertorie"/>
    <w:basedOn w:val="zSoquijlblCour"/>
    <w:rsid w:val="009F3C37"/>
    <w:pPr>
      <w:spacing w:line="240" w:lineRule="auto"/>
      <w:jc w:val="left"/>
    </w:pPr>
    <w:rPr>
      <w:sz w:val="22"/>
    </w:rPr>
  </w:style>
  <w:style w:type="paragraph" w:customStyle="1" w:styleId="zSoquijdatRefNeutre">
    <w:name w:val="zSoquij_datRefNeutre"/>
    <w:basedOn w:val="zSoquijlblCour"/>
    <w:rsid w:val="009F3C37"/>
    <w:pPr>
      <w:spacing w:line="240" w:lineRule="auto"/>
      <w:jc w:val="left"/>
    </w:pPr>
    <w:rPr>
      <w:sz w:val="22"/>
    </w:rPr>
  </w:style>
  <w:style w:type="character" w:customStyle="1" w:styleId="NotedebasdepageCar">
    <w:name w:val="Note de bas de page Car"/>
    <w:basedOn w:val="Policepardfaut"/>
    <w:link w:val="Notedebasdepage"/>
    <w:rsid w:val="00FB3A36"/>
    <w:rPr>
      <w:rFonts w:ascii="Arial" w:hAnsi="Arial"/>
      <w:lang w:eastAsia="fr-FR"/>
    </w:rPr>
  </w:style>
  <w:style w:type="character" w:customStyle="1" w:styleId="ParagrapheCar">
    <w:name w:val="Paragraphe Car"/>
    <w:link w:val="Paragraphe"/>
    <w:qFormat/>
    <w:rsid w:val="00E06061"/>
    <w:rPr>
      <w:rFonts w:ascii="Arial" w:hAnsi="Arial"/>
      <w:sz w:val="24"/>
      <w:lang w:eastAsia="fr-FR"/>
    </w:rPr>
  </w:style>
  <w:style w:type="paragraph" w:styleId="Textedebulles">
    <w:name w:val="Balloon Text"/>
    <w:basedOn w:val="Normal"/>
    <w:link w:val="TextedebullesCar"/>
    <w:uiPriority w:val="99"/>
    <w:semiHidden/>
    <w:unhideWhenUsed/>
    <w:rsid w:val="00082F0A"/>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2F0A"/>
    <w:rPr>
      <w:rFonts w:ascii="Segoe UI" w:hAnsi="Segoe UI" w:cs="Segoe UI"/>
      <w:sz w:val="18"/>
      <w:szCs w:val="18"/>
      <w:lang w:eastAsia="fr-FR"/>
    </w:rPr>
  </w:style>
  <w:style w:type="character" w:styleId="Hyperlien">
    <w:name w:val="Hyperlink"/>
    <w:uiPriority w:val="99"/>
    <w:rsid w:val="00711DD5"/>
    <w:rPr>
      <w:noProof w:val="0"/>
      <w:color w:val="0000FF"/>
      <w:u w:val="single"/>
      <w:lang w:val="fr-CA"/>
    </w:rPr>
  </w:style>
  <w:style w:type="character" w:customStyle="1" w:styleId="TableaugauchefranaisCar">
    <w:name w:val="Tableau gauche français Car"/>
    <w:link w:val="Tableaugauchefranais"/>
    <w:rsid w:val="00711DD5"/>
    <w:rPr>
      <w:rFonts w:ascii="Arial" w:hAnsi="Arial"/>
      <w:sz w:val="22"/>
      <w:lang w:eastAsia="fr-FR"/>
    </w:rPr>
  </w:style>
  <w:style w:type="character" w:customStyle="1" w:styleId="TableaudroiteanglaisCar">
    <w:name w:val="Tableau droite anglais Car"/>
    <w:link w:val="Tableaudroiteanglais"/>
    <w:rsid w:val="00711DD5"/>
    <w:rPr>
      <w:rFonts w:ascii="Arial" w:hAnsi="Arial"/>
      <w:sz w:val="22"/>
      <w:lang w:val="en-CA" w:eastAsia="fr-FR"/>
    </w:rPr>
  </w:style>
  <w:style w:type="character" w:customStyle="1" w:styleId="CitationenretraitCar">
    <w:name w:val="Citation en retrait Car"/>
    <w:link w:val="Citationenretrait"/>
    <w:rsid w:val="00711DD5"/>
    <w:rPr>
      <w:rFonts w:ascii="Arial" w:hAnsi="Arial"/>
      <w:kern w:val="24"/>
      <w:sz w:val="22"/>
      <w:lang w:eastAsia="fr-FR"/>
    </w:rPr>
  </w:style>
  <w:style w:type="character" w:styleId="Marquedecommentaire">
    <w:name w:val="annotation reference"/>
    <w:basedOn w:val="Policepardfaut"/>
    <w:uiPriority w:val="99"/>
    <w:semiHidden/>
    <w:unhideWhenUsed/>
    <w:rsid w:val="00711DD5"/>
    <w:rPr>
      <w:sz w:val="16"/>
      <w:szCs w:val="16"/>
    </w:rPr>
  </w:style>
  <w:style w:type="paragraph" w:styleId="Commentaire">
    <w:name w:val="annotation text"/>
    <w:basedOn w:val="Normal"/>
    <w:link w:val="CommentaireCar"/>
    <w:uiPriority w:val="99"/>
    <w:semiHidden/>
    <w:unhideWhenUsed/>
    <w:rsid w:val="00711DD5"/>
    <w:pPr>
      <w:spacing w:line="240" w:lineRule="auto"/>
    </w:pPr>
    <w:rPr>
      <w:sz w:val="20"/>
    </w:rPr>
  </w:style>
  <w:style w:type="character" w:customStyle="1" w:styleId="CommentaireCar">
    <w:name w:val="Commentaire Car"/>
    <w:basedOn w:val="Policepardfaut"/>
    <w:link w:val="Commentaire"/>
    <w:uiPriority w:val="99"/>
    <w:semiHidden/>
    <w:rsid w:val="00711DD5"/>
    <w:rPr>
      <w:rFonts w:ascii="Arial" w:hAnsi="Arial"/>
      <w:lang w:eastAsia="fr-FR"/>
    </w:rPr>
  </w:style>
  <w:style w:type="paragraph" w:styleId="Objetducommentaire">
    <w:name w:val="annotation subject"/>
    <w:basedOn w:val="Commentaire"/>
    <w:next w:val="Commentaire"/>
    <w:link w:val="ObjetducommentaireCar"/>
    <w:uiPriority w:val="99"/>
    <w:semiHidden/>
    <w:unhideWhenUsed/>
    <w:rsid w:val="00711DD5"/>
    <w:rPr>
      <w:b/>
      <w:bCs/>
    </w:rPr>
  </w:style>
  <w:style w:type="character" w:customStyle="1" w:styleId="ObjetducommentaireCar">
    <w:name w:val="Objet du commentaire Car"/>
    <w:basedOn w:val="CommentaireCar"/>
    <w:link w:val="Objetducommentaire"/>
    <w:uiPriority w:val="99"/>
    <w:semiHidden/>
    <w:rsid w:val="00711DD5"/>
    <w:rPr>
      <w:rFonts w:ascii="Arial" w:hAnsi="Arial"/>
      <w:b/>
      <w:bCs/>
      <w:lang w:eastAsia="fr-FR"/>
    </w:rPr>
  </w:style>
  <w:style w:type="table" w:styleId="Grilledutableau">
    <w:name w:val="Table Grid"/>
    <w:basedOn w:val="TableauNormal"/>
    <w:uiPriority w:val="39"/>
    <w:rsid w:val="002C1B95"/>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1009B2"/>
    <w:rPr>
      <w:color w:val="808080"/>
    </w:rPr>
  </w:style>
  <w:style w:type="table" w:customStyle="1" w:styleId="Grilledutableau1">
    <w:name w:val="Grille du tableau1"/>
    <w:basedOn w:val="TableauNormal"/>
    <w:next w:val="Grilledutableau"/>
    <w:uiPriority w:val="39"/>
    <w:rsid w:val="00887EEB"/>
    <w:rPr>
      <w:rFonts w:ascii="Arial" w:hAnsi="Arial"/>
      <w:sz w:val="24"/>
    </w:rPr>
    <w:tblPr>
      <w:tblBorders>
        <w:top w:val="single" w:sz="4" w:space="0" w:color="auto"/>
        <w:bottom w:val="single" w:sz="4" w:space="0" w:color="auto"/>
      </w:tblBorders>
    </w:tblPr>
  </w:style>
  <w:style w:type="paragraph" w:customStyle="1" w:styleId="zSoquijdatNomPartieMec">
    <w:name w:val="zSoquij_datNomPartieMec"/>
    <w:basedOn w:val="Normal"/>
    <w:qFormat/>
    <w:rsid w:val="002E7403"/>
    <w:pPr>
      <w:spacing w:line="240" w:lineRule="auto"/>
      <w:jc w:val="center"/>
    </w:pPr>
    <w:rPr>
      <w:b/>
      <w:bCs/>
    </w:rPr>
  </w:style>
  <w:style w:type="paragraph" w:customStyle="1" w:styleId="zSoquijdatNomProcureurMec">
    <w:name w:val="zSoquij_datNomProcureurMec"/>
    <w:basedOn w:val="Normal"/>
    <w:qFormat/>
    <w:rsid w:val="00F3537E"/>
    <w:pPr>
      <w:spacing w:line="240" w:lineRule="auto"/>
      <w:jc w:val="center"/>
    </w:pPr>
  </w:style>
  <w:style w:type="paragraph" w:customStyle="1" w:styleId="zSoquijdatCabinetProcureurMec">
    <w:name w:val="zSoquij_datCabinetProcureurMec"/>
    <w:basedOn w:val="Normal"/>
    <w:qFormat/>
    <w:rsid w:val="00F3537E"/>
    <w:pPr>
      <w:spacing w:line="240" w:lineRule="auto"/>
      <w:jc w:val="center"/>
    </w:pPr>
    <w:rPr>
      <w:lang w:val="es-ES"/>
    </w:rPr>
  </w:style>
  <w:style w:type="paragraph" w:customStyle="1" w:styleId="zSoquijdatJuge2">
    <w:name w:val="zSoquij_datJuge_2"/>
    <w:basedOn w:val="zSoquijdatJuge1"/>
    <w:qFormat/>
    <w:rsid w:val="00836D3E"/>
  </w:style>
  <w:style w:type="paragraph" w:customStyle="1" w:styleId="zSoquijdatJuge3">
    <w:name w:val="zSoquij_datJuge_3"/>
    <w:basedOn w:val="zSoquijdatJuge1"/>
    <w:qFormat/>
    <w:rsid w:val="00836D3E"/>
  </w:style>
  <w:style w:type="paragraph" w:customStyle="1" w:styleId="zSoquijdatQtePartieMec">
    <w:name w:val="zSoquij_datQtePartieMec"/>
    <w:basedOn w:val="zSoquijdatQtePartieDem"/>
    <w:qFormat/>
    <w:rsid w:val="00C551F8"/>
  </w:style>
  <w:style w:type="paragraph" w:customStyle="1" w:styleId="zSoquijlblProcureurMec">
    <w:name w:val="zSoquij_lblProcureurMec"/>
    <w:basedOn w:val="zSoquijlblProcureurDef"/>
    <w:qFormat/>
    <w:rsid w:val="00C551F8"/>
  </w:style>
  <w:style w:type="character" w:customStyle="1" w:styleId="apple-converted-space">
    <w:name w:val="apple-converted-space"/>
    <w:basedOn w:val="Policepardfaut"/>
    <w:rsid w:val="00394C57"/>
  </w:style>
  <w:style w:type="character" w:customStyle="1" w:styleId="normaltextrun">
    <w:name w:val="normaltextrun"/>
    <w:basedOn w:val="Policepardfaut"/>
    <w:rsid w:val="00394C57"/>
  </w:style>
  <w:style w:type="paragraph" w:styleId="Rvision">
    <w:name w:val="Revision"/>
    <w:hidden/>
    <w:uiPriority w:val="99"/>
    <w:semiHidden/>
    <w:rsid w:val="00966D64"/>
    <w:rPr>
      <w:rFonts w:ascii="Arial" w:hAnsi="Arial"/>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876E5C38BEB7D47B481EFAA9500C527" ma:contentTypeVersion="3" ma:contentTypeDescription="Crée un document." ma:contentTypeScope="" ma:versionID="cfe173ba16a03b619cb81f0fc45f2e75">
  <xsd:schema xmlns:xsd="http://www.w3.org/2001/XMLSchema" xmlns:xs="http://www.w3.org/2001/XMLSchema" xmlns:p="http://schemas.microsoft.com/office/2006/metadata/properties" xmlns:ns1="http://schemas.microsoft.com/sharepoint/v3" xmlns:ns2="ddd9db8a-241d-4149-a0d3-7618663a9260" targetNamespace="http://schemas.microsoft.com/office/2006/metadata/properties" ma:root="true" ma:fieldsID="2db7a610f5d53e3816f1ccaec44c3812" ns1:_="" ns2:_="">
    <xsd:import namespace="http://schemas.microsoft.com/sharepoint/v3"/>
    <xsd:import namespace="ddd9db8a-241d-4149-a0d3-7618663a9260"/>
    <xsd:element name="properties">
      <xsd:complexType>
        <xsd:sequence>
          <xsd:element name="documentManagement">
            <xsd:complexType>
              <xsd:all>
                <xsd:element ref="ns1:PublishingStartDate" minOccurs="0"/>
                <xsd:element ref="ns1:PublishingExpirationDate" minOccurs="0"/>
                <xsd:element ref="ns2:Auteur_x0020_du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 ma:internalName="PublishingStartDate">
      <xsd:simpleType>
        <xsd:restriction base="dms:Unknown"/>
      </xsd:simpleType>
    </xsd:element>
    <xsd:element name="PublishingExpirationDate" ma:index="9" nillable="true" ma:displayName="Date de fin de planification"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d9db8a-241d-4149-a0d3-7618663a9260" elementFormDefault="qualified">
    <xsd:import namespace="http://schemas.microsoft.com/office/2006/documentManagement/types"/>
    <xsd:import namespace="http://schemas.microsoft.com/office/infopath/2007/PartnerControls"/>
    <xsd:element name="Auteur_x0020_du_x0020_document" ma:index="10" nillable="true" ma:displayName="Auteur du document" ma:description="Auteur principal" ma:internalName="Auteur_x0020_du_x0020_docu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uteur_x0020_du_x0020_document xmlns="ddd9db8a-241d-4149-a0d3-7618663a9260"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FD20F7-EBAC-48BA-B64E-D447C085AC49}">
  <ds:schemaRefs>
    <ds:schemaRef ds:uri="http://schemas.openxmlformats.org/officeDocument/2006/bibliography"/>
  </ds:schemaRefs>
</ds:datastoreItem>
</file>

<file path=customXml/itemProps2.xml><?xml version="1.0" encoding="utf-8"?>
<ds:datastoreItem xmlns:ds="http://schemas.openxmlformats.org/officeDocument/2006/customXml" ds:itemID="{B2E77EDD-E97B-4675-83A4-85D97A49A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d9db8a-241d-4149-a0d3-7618663a9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D256C5-2120-47CD-9705-4C0C5831D503}">
  <ds:schemaRefs>
    <ds:schemaRef ds:uri="http://schemas.microsoft.com/sharepoint/v3/contenttype/forms"/>
  </ds:schemaRefs>
</ds:datastoreItem>
</file>

<file path=customXml/itemProps4.xml><?xml version="1.0" encoding="utf-8"?>
<ds:datastoreItem xmlns:ds="http://schemas.openxmlformats.org/officeDocument/2006/customXml" ds:itemID="{3519E368-B3E8-45DA-B27D-C302E8E1726C}">
  <ds:schemaRefs>
    <ds:schemaRef ds:uri="http://schemas.microsoft.com/office/2006/metadata/properties"/>
    <ds:schemaRef ds:uri="http://schemas.microsoft.com/office/infopath/2007/PartnerControls"/>
    <ds:schemaRef ds:uri="ddd9db8a-241d-4149-a0d3-7618663a926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2420</Words>
  <Characters>13310</Characters>
  <Application>Microsoft Office Word</Application>
  <DocSecurity>0</DocSecurity>
  <Lines>110</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15699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Tourangeau, Guylaine</dc:creator>
  <cp:lastModifiedBy>Gauthier, François</cp:lastModifiedBy>
  <cp:revision>3</cp:revision>
  <dcterms:created xsi:type="dcterms:W3CDTF">2023-05-18T20:40:00Z</dcterms:created>
  <dcterms:modified xsi:type="dcterms:W3CDTF">2023-05-19T12:01:00Z</dcterms:modified>
</cp:coreProperties>
</file>