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BCB58" w14:textId="25085D9F" w:rsidR="008902D5" w:rsidRPr="008902D5" w:rsidRDefault="008902D5">
      <w:pPr>
        <w:rPr>
          <w:b/>
        </w:rPr>
      </w:pPr>
      <w:r w:rsidRPr="008902D5">
        <w:rPr>
          <w:b/>
          <w:lang w:val="en-CA"/>
        </w:rPr>
        <w:t>Unofficial English Translation of the Judgment of the Court</w:t>
      </w: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C05C70" w:rsidRPr="0097054B" w14:paraId="4A169DA0" w14:textId="77777777" w:rsidTr="008D18FC">
        <w:trPr>
          <w:trHeight w:val="248"/>
        </w:trPr>
        <w:tc>
          <w:tcPr>
            <w:tcW w:w="7372" w:type="dxa"/>
            <w:gridSpan w:val="5"/>
          </w:tcPr>
          <w:p w14:paraId="76FFE815" w14:textId="202390F8" w:rsidR="00C05C70" w:rsidRPr="00E42CC9" w:rsidRDefault="00C05C70" w:rsidP="00C05C70">
            <w:pPr>
              <w:pStyle w:val="zSoquijdatRepertorie"/>
              <w:rPr>
                <w:lang w:val="en-CA"/>
              </w:rPr>
            </w:pPr>
            <w:r>
              <w:rPr>
                <w:rFonts w:cs="Arial"/>
              </w:rPr>
              <w:t xml:space="preserve">Avis d'intention de </w:t>
            </w:r>
            <w:proofErr w:type="spellStart"/>
            <w:r>
              <w:rPr>
                <w:rFonts w:cs="Arial"/>
              </w:rPr>
              <w:t>Azoxco</w:t>
            </w:r>
            <w:proofErr w:type="spellEnd"/>
            <w:r>
              <w:rPr>
                <w:rFonts w:cs="Arial"/>
              </w:rPr>
              <w:t xml:space="preserve"> Cryogénique </w:t>
            </w:r>
            <w:proofErr w:type="spellStart"/>
            <w:r>
              <w:rPr>
                <w:rFonts w:cs="Arial"/>
              </w:rPr>
              <w:t>inc.</w:t>
            </w:r>
            <w:proofErr w:type="spellEnd"/>
          </w:p>
        </w:tc>
        <w:tc>
          <w:tcPr>
            <w:tcW w:w="1988" w:type="dxa"/>
          </w:tcPr>
          <w:p w14:paraId="5277697C" w14:textId="0F7D2E79" w:rsidR="00C05C70" w:rsidRPr="00E42CC9" w:rsidRDefault="00C05C70" w:rsidP="00C05C70">
            <w:pPr>
              <w:pStyle w:val="zSoquijdatRefNeutre"/>
              <w:jc w:val="right"/>
              <w:rPr>
                <w:lang w:val="en-CA"/>
              </w:rPr>
            </w:pPr>
            <w:r w:rsidRPr="007F5AC2">
              <w:rPr>
                <w:rFonts w:cs="Arial"/>
              </w:rPr>
              <w:t>2022 QCCA 1387</w:t>
            </w:r>
          </w:p>
        </w:tc>
      </w:tr>
      <w:tr w:rsidR="000C6D16" w:rsidRPr="00E42CC9" w14:paraId="71DC06E3" w14:textId="77777777" w:rsidTr="008D18FC">
        <w:trPr>
          <w:trHeight w:val="247"/>
        </w:trPr>
        <w:tc>
          <w:tcPr>
            <w:tcW w:w="9360" w:type="dxa"/>
            <w:gridSpan w:val="6"/>
          </w:tcPr>
          <w:p w14:paraId="60A9EC53" w14:textId="77777777" w:rsidR="008F364A" w:rsidRPr="00E42CC9" w:rsidRDefault="00316383">
            <w:pPr>
              <w:pStyle w:val="zSoquijlblCour"/>
              <w:rPr>
                <w:lang w:val="en-CA"/>
              </w:rPr>
            </w:pPr>
            <w:r w:rsidRPr="00E42CC9">
              <w:rPr>
                <w:bCs/>
                <w:lang w:val="en-CA"/>
              </w:rPr>
              <w:t>COURT OF APPEAL</w:t>
            </w:r>
          </w:p>
        </w:tc>
      </w:tr>
      <w:tr w:rsidR="000C6D16" w:rsidRPr="00E42CC9" w14:paraId="45D0BE24" w14:textId="77777777" w:rsidTr="008D18FC">
        <w:trPr>
          <w:trHeight w:val="540"/>
        </w:trPr>
        <w:tc>
          <w:tcPr>
            <w:tcW w:w="9360" w:type="dxa"/>
            <w:gridSpan w:val="6"/>
          </w:tcPr>
          <w:p w14:paraId="21013165" w14:textId="77777777" w:rsidR="008F364A" w:rsidRPr="00E42CC9" w:rsidRDefault="008F364A">
            <w:pPr>
              <w:pStyle w:val="zSoquijdatDivision"/>
              <w:rPr>
                <w:lang w:val="en-CA"/>
              </w:rPr>
            </w:pPr>
          </w:p>
        </w:tc>
      </w:tr>
      <w:tr w:rsidR="000C6D16" w:rsidRPr="00E42CC9" w14:paraId="56355146" w14:textId="77777777" w:rsidTr="008D18FC">
        <w:tc>
          <w:tcPr>
            <w:tcW w:w="9360" w:type="dxa"/>
            <w:gridSpan w:val="6"/>
          </w:tcPr>
          <w:p w14:paraId="741B4BBC" w14:textId="77777777" w:rsidR="008F364A" w:rsidRPr="00E42CC9" w:rsidRDefault="00316383">
            <w:pPr>
              <w:pStyle w:val="zSoquijlblPays"/>
              <w:rPr>
                <w:lang w:val="en-CA"/>
              </w:rPr>
            </w:pPr>
            <w:r w:rsidRPr="00E42CC9">
              <w:rPr>
                <w:lang w:val="en-CA"/>
              </w:rPr>
              <w:t>CANADA</w:t>
            </w:r>
          </w:p>
        </w:tc>
      </w:tr>
      <w:tr w:rsidR="000C6D16" w:rsidRPr="00E42CC9" w14:paraId="66618E83" w14:textId="77777777" w:rsidTr="008D18FC">
        <w:tc>
          <w:tcPr>
            <w:tcW w:w="9360" w:type="dxa"/>
            <w:gridSpan w:val="6"/>
          </w:tcPr>
          <w:p w14:paraId="567BCC83" w14:textId="77777777" w:rsidR="008F364A" w:rsidRPr="00E42CC9" w:rsidRDefault="00316383">
            <w:pPr>
              <w:pStyle w:val="zSoquijlblProvince"/>
              <w:rPr>
                <w:lang w:val="en-CA"/>
              </w:rPr>
            </w:pPr>
            <w:r w:rsidRPr="00E42CC9">
              <w:rPr>
                <w:lang w:val="en-CA"/>
              </w:rPr>
              <w:t>PROVINCE OF QUEBEC</w:t>
            </w:r>
          </w:p>
        </w:tc>
      </w:tr>
      <w:tr w:rsidR="000C6D16" w:rsidRPr="00E42CC9" w14:paraId="59EA1497" w14:textId="77777777" w:rsidTr="008A0286">
        <w:tc>
          <w:tcPr>
            <w:tcW w:w="1701" w:type="dxa"/>
            <w:gridSpan w:val="3"/>
          </w:tcPr>
          <w:p w14:paraId="47A51806" w14:textId="77777777" w:rsidR="008F364A" w:rsidRPr="00E42CC9" w:rsidRDefault="00316383">
            <w:pPr>
              <w:pStyle w:val="zSoquijlblGreffe"/>
              <w:rPr>
                <w:lang w:val="en-CA"/>
              </w:rPr>
            </w:pPr>
            <w:r w:rsidRPr="00E42CC9">
              <w:rPr>
                <w:lang w:val="en-CA"/>
              </w:rPr>
              <w:t>REGISTRY OF</w:t>
            </w:r>
          </w:p>
          <w:p w14:paraId="23976F41" w14:textId="77777777" w:rsidR="008F364A" w:rsidRPr="00E42CC9" w:rsidRDefault="008F364A">
            <w:pPr>
              <w:pStyle w:val="zSoquijlblGreffe"/>
              <w:rPr>
                <w:lang w:val="en-CA"/>
              </w:rPr>
            </w:pPr>
          </w:p>
        </w:tc>
        <w:tc>
          <w:tcPr>
            <w:tcW w:w="7659" w:type="dxa"/>
            <w:gridSpan w:val="3"/>
          </w:tcPr>
          <w:p w14:paraId="0393D8A0" w14:textId="77777777" w:rsidR="008F364A" w:rsidRPr="00E42CC9" w:rsidRDefault="00316383">
            <w:pPr>
              <w:pStyle w:val="zSoquijdatGreffe"/>
              <w:rPr>
                <w:lang w:val="en-CA"/>
              </w:rPr>
            </w:pPr>
            <w:bookmarkStart w:id="0" w:name="NomGreffe"/>
            <w:r w:rsidRPr="00E42CC9">
              <w:rPr>
                <w:lang w:val="en-CA"/>
              </w:rPr>
              <w:t>MONTREAL</w:t>
            </w:r>
            <w:bookmarkEnd w:id="0"/>
          </w:p>
        </w:tc>
      </w:tr>
      <w:tr w:rsidR="000C6D16" w:rsidRPr="00E42CC9" w14:paraId="4E632994" w14:textId="77777777" w:rsidTr="008D18FC">
        <w:tc>
          <w:tcPr>
            <w:tcW w:w="1030" w:type="dxa"/>
          </w:tcPr>
          <w:p w14:paraId="0424D3FA" w14:textId="77777777" w:rsidR="008F364A" w:rsidRPr="00E42CC9" w:rsidRDefault="00316383">
            <w:pPr>
              <w:pStyle w:val="zSoquijlblNoDossier"/>
              <w:rPr>
                <w:lang w:val="en-CA"/>
              </w:rPr>
            </w:pPr>
            <w:r w:rsidRPr="00E42CC9">
              <w:rPr>
                <w:lang w:val="en-CA"/>
              </w:rPr>
              <w:t>No.:</w:t>
            </w:r>
          </w:p>
        </w:tc>
        <w:tc>
          <w:tcPr>
            <w:tcW w:w="8330" w:type="dxa"/>
            <w:gridSpan w:val="5"/>
          </w:tcPr>
          <w:p w14:paraId="13E4DF9C" w14:textId="77777777" w:rsidR="008F364A" w:rsidRPr="00E42CC9" w:rsidRDefault="00316383">
            <w:pPr>
              <w:pStyle w:val="zSoquijdatNoDossier"/>
              <w:rPr>
                <w:lang w:val="en-CA"/>
              </w:rPr>
            </w:pPr>
            <w:bookmarkStart w:id="1" w:name="NoDossier"/>
            <w:r w:rsidRPr="00E42CC9">
              <w:rPr>
                <w:lang w:val="en-CA"/>
              </w:rPr>
              <w:t>500-09-029728-219</w:t>
            </w:r>
            <w:bookmarkEnd w:id="1"/>
          </w:p>
        </w:tc>
      </w:tr>
      <w:tr w:rsidR="000C6D16" w:rsidRPr="00E42CC9" w14:paraId="04BC88D1" w14:textId="77777777" w:rsidTr="008D18FC">
        <w:tc>
          <w:tcPr>
            <w:tcW w:w="9360" w:type="dxa"/>
            <w:gridSpan w:val="6"/>
          </w:tcPr>
          <w:p w14:paraId="4D3EFEA9" w14:textId="77777777" w:rsidR="005414FE" w:rsidRPr="00E42CC9" w:rsidRDefault="00316383" w:rsidP="005414FE">
            <w:pPr>
              <w:pStyle w:val="zSoquijdatNoDossierAnt"/>
              <w:rPr>
                <w:lang w:val="en-CA"/>
              </w:rPr>
            </w:pPr>
            <w:r w:rsidRPr="00E42CC9">
              <w:rPr>
                <w:lang w:val="en-CA"/>
              </w:rPr>
              <w:t>(700-11-020320-216)</w:t>
            </w:r>
          </w:p>
        </w:tc>
      </w:tr>
      <w:tr w:rsidR="000C6D16" w:rsidRPr="00E42CC9" w14:paraId="63D9737E" w14:textId="77777777" w:rsidTr="008D18FC">
        <w:tc>
          <w:tcPr>
            <w:tcW w:w="9360" w:type="dxa"/>
            <w:gridSpan w:val="6"/>
          </w:tcPr>
          <w:p w14:paraId="4FD97139" w14:textId="77777777" w:rsidR="008F364A" w:rsidRPr="00E42CC9" w:rsidRDefault="008F364A">
            <w:pPr>
              <w:rPr>
                <w:lang w:val="en-CA"/>
              </w:rPr>
            </w:pPr>
          </w:p>
        </w:tc>
      </w:tr>
      <w:tr w:rsidR="000C6D16" w:rsidRPr="00E42CC9" w14:paraId="2645F89C" w14:textId="77777777" w:rsidTr="008D18FC">
        <w:tc>
          <w:tcPr>
            <w:tcW w:w="1030" w:type="dxa"/>
          </w:tcPr>
          <w:p w14:paraId="2830962C" w14:textId="77777777" w:rsidR="008F364A" w:rsidRPr="00E42CC9" w:rsidRDefault="00316383">
            <w:pPr>
              <w:pStyle w:val="zSoquijlblDateJugement"/>
              <w:rPr>
                <w:lang w:val="en-CA"/>
              </w:rPr>
            </w:pPr>
            <w:r w:rsidRPr="00E42CC9">
              <w:rPr>
                <w:lang w:val="en-CA"/>
              </w:rPr>
              <w:t>DATE:</w:t>
            </w:r>
          </w:p>
        </w:tc>
        <w:tc>
          <w:tcPr>
            <w:tcW w:w="8330" w:type="dxa"/>
            <w:gridSpan w:val="5"/>
          </w:tcPr>
          <w:p w14:paraId="6AFDD0F3" w14:textId="4D06754F" w:rsidR="008F364A" w:rsidRPr="00E42CC9" w:rsidRDefault="00316383">
            <w:pPr>
              <w:pStyle w:val="zSoquijdatDateJugement"/>
              <w:rPr>
                <w:lang w:val="en-CA"/>
              </w:rPr>
            </w:pPr>
            <w:r w:rsidRPr="00E42CC9">
              <w:rPr>
                <w:lang w:val="en-CA"/>
              </w:rPr>
              <w:t>October 11, 2022</w:t>
            </w:r>
          </w:p>
        </w:tc>
      </w:tr>
      <w:tr w:rsidR="000C6D16" w:rsidRPr="00E42CC9" w14:paraId="109D6EED" w14:textId="77777777" w:rsidTr="008D18FC">
        <w:tc>
          <w:tcPr>
            <w:tcW w:w="9360" w:type="dxa"/>
            <w:gridSpan w:val="6"/>
            <w:tcBorders>
              <w:bottom w:val="single" w:sz="8" w:space="0" w:color="auto"/>
            </w:tcBorders>
          </w:tcPr>
          <w:p w14:paraId="655F35BD" w14:textId="77777777" w:rsidR="008F364A" w:rsidRPr="00E42CC9" w:rsidRDefault="008F364A">
            <w:pPr>
              <w:rPr>
                <w:lang w:val="en-CA"/>
              </w:rPr>
            </w:pPr>
          </w:p>
        </w:tc>
      </w:tr>
      <w:tr w:rsidR="000C6D16" w:rsidRPr="00E42CC9" w14:paraId="7D00E24B" w14:textId="77777777" w:rsidTr="008D18FC">
        <w:tc>
          <w:tcPr>
            <w:tcW w:w="9360" w:type="dxa"/>
            <w:gridSpan w:val="6"/>
            <w:tcBorders>
              <w:top w:val="single" w:sz="8" w:space="0" w:color="auto"/>
            </w:tcBorders>
          </w:tcPr>
          <w:p w14:paraId="02B536B8" w14:textId="77777777" w:rsidR="008F364A" w:rsidRPr="00E42CC9" w:rsidRDefault="008F364A">
            <w:pPr>
              <w:rPr>
                <w:lang w:val="en-CA"/>
              </w:rPr>
            </w:pPr>
          </w:p>
        </w:tc>
      </w:tr>
      <w:tr w:rsidR="000C6D16" w:rsidRPr="00E42CC9" w14:paraId="08B7F685" w14:textId="77777777" w:rsidTr="008D18FC">
        <w:tc>
          <w:tcPr>
            <w:tcW w:w="1620" w:type="dxa"/>
            <w:gridSpan w:val="2"/>
          </w:tcPr>
          <w:p w14:paraId="25F652F5" w14:textId="77777777" w:rsidR="008F364A" w:rsidRPr="00E42CC9" w:rsidRDefault="00316383" w:rsidP="00423DF1">
            <w:pPr>
              <w:pStyle w:val="zSoquijlblJuge"/>
              <w:ind w:right="-142"/>
              <w:rPr>
                <w:lang w:val="en-CA"/>
              </w:rPr>
            </w:pPr>
            <w:bookmarkStart w:id="2" w:name="FORMATION"/>
            <w:r w:rsidRPr="00E42CC9">
              <w:rPr>
                <w:bCs/>
                <w:lang w:val="en-CA"/>
              </w:rPr>
              <w:t>CORAM:</w:t>
            </w:r>
            <w:bookmarkEnd w:id="2"/>
          </w:p>
        </w:tc>
        <w:tc>
          <w:tcPr>
            <w:tcW w:w="2350" w:type="dxa"/>
            <w:gridSpan w:val="2"/>
          </w:tcPr>
          <w:p w14:paraId="75D94735" w14:textId="77777777" w:rsidR="008F364A" w:rsidRPr="00E42CC9" w:rsidRDefault="00316383">
            <w:pPr>
              <w:pStyle w:val="zSoquijdatQteJuge"/>
              <w:rPr>
                <w:lang w:val="en-CA"/>
              </w:rPr>
            </w:pPr>
            <w:bookmarkStart w:id="3" w:name="Honorables"/>
            <w:r w:rsidRPr="00E42CC9">
              <w:rPr>
                <w:bCs/>
                <w:lang w:val="en-CA"/>
              </w:rPr>
              <w:t>THE HONOURABLE</w:t>
            </w:r>
            <w:bookmarkEnd w:id="3"/>
          </w:p>
        </w:tc>
        <w:tc>
          <w:tcPr>
            <w:tcW w:w="5390" w:type="dxa"/>
            <w:gridSpan w:val="2"/>
          </w:tcPr>
          <w:p w14:paraId="2B8DC407" w14:textId="77777777" w:rsidR="008F364A" w:rsidRPr="00E42CC9" w:rsidRDefault="00316383">
            <w:pPr>
              <w:pStyle w:val="zSoquijdatJuge"/>
              <w:rPr>
                <w:lang w:val="en-CA"/>
              </w:rPr>
            </w:pPr>
            <w:bookmarkStart w:id="4" w:name="NomJuge1"/>
            <w:r w:rsidRPr="00E42CC9">
              <w:rPr>
                <w:bCs/>
                <w:lang w:val="en-CA"/>
              </w:rPr>
              <w:t>MARTIN VAUCLAIR, J.A.</w:t>
            </w:r>
            <w:bookmarkEnd w:id="4"/>
          </w:p>
          <w:p w14:paraId="78A5F91C" w14:textId="77777777" w:rsidR="008F364A" w:rsidRPr="00E42CC9" w:rsidRDefault="00316383">
            <w:pPr>
              <w:pStyle w:val="zSoquijdatJuge"/>
              <w:rPr>
                <w:lang w:val="en-CA"/>
              </w:rPr>
            </w:pPr>
            <w:bookmarkStart w:id="5" w:name="NomJuge2"/>
            <w:r w:rsidRPr="00E42CC9">
              <w:rPr>
                <w:bCs/>
                <w:lang w:val="en-CA"/>
              </w:rPr>
              <w:t>GENEVIÈVE MARCOTTE, J.A.</w:t>
            </w:r>
            <w:bookmarkEnd w:id="5"/>
          </w:p>
          <w:p w14:paraId="1252ACB2" w14:textId="77777777" w:rsidR="005A78BF" w:rsidRPr="00E42CC9" w:rsidRDefault="00316383" w:rsidP="005414FE">
            <w:pPr>
              <w:pStyle w:val="zSoquijdatJuge"/>
              <w:rPr>
                <w:lang w:val="en-CA"/>
              </w:rPr>
            </w:pPr>
            <w:bookmarkStart w:id="6" w:name="_Hlt520513784"/>
            <w:bookmarkStart w:id="7" w:name="NomJuge3"/>
            <w:bookmarkEnd w:id="6"/>
            <w:r w:rsidRPr="00E42CC9">
              <w:rPr>
                <w:bCs/>
                <w:lang w:val="en-CA"/>
              </w:rPr>
              <w:t>BENOÎT MOORE, J.A.</w:t>
            </w:r>
            <w:bookmarkEnd w:id="7"/>
          </w:p>
        </w:tc>
      </w:tr>
      <w:tr w:rsidR="000C6D16" w:rsidRPr="00E42CC9" w14:paraId="7F6492A6" w14:textId="77777777" w:rsidTr="008D18FC">
        <w:tc>
          <w:tcPr>
            <w:tcW w:w="9360" w:type="dxa"/>
            <w:gridSpan w:val="6"/>
            <w:tcBorders>
              <w:bottom w:val="single" w:sz="8" w:space="0" w:color="auto"/>
            </w:tcBorders>
          </w:tcPr>
          <w:p w14:paraId="1478F53B" w14:textId="77777777" w:rsidR="008F364A" w:rsidRPr="00E42CC9" w:rsidRDefault="008F364A">
            <w:pPr>
              <w:rPr>
                <w:lang w:val="en-CA"/>
              </w:rPr>
            </w:pPr>
          </w:p>
        </w:tc>
      </w:tr>
      <w:tr w:rsidR="000C6D16" w:rsidRPr="0097054B" w14:paraId="4BA9A5F9" w14:textId="77777777" w:rsidTr="008D18FC">
        <w:tc>
          <w:tcPr>
            <w:tcW w:w="9360" w:type="dxa"/>
            <w:gridSpan w:val="6"/>
          </w:tcPr>
          <w:p w14:paraId="72454549" w14:textId="77777777" w:rsidR="00CB687C" w:rsidRPr="00E42CC9" w:rsidRDefault="00CB687C" w:rsidP="00CB687C">
            <w:pPr>
              <w:tabs>
                <w:tab w:val="left" w:pos="0"/>
              </w:tabs>
              <w:spacing w:line="240" w:lineRule="auto"/>
              <w:jc w:val="both"/>
              <w:rPr>
                <w:rFonts w:cs="Arial"/>
                <w:b/>
                <w:i/>
                <w:caps/>
                <w:szCs w:val="24"/>
                <w:lang w:val="en-CA"/>
              </w:rPr>
            </w:pPr>
            <w:bookmarkStart w:id="8" w:name="Faillite"/>
          </w:p>
          <w:p w14:paraId="7AC202A8" w14:textId="33876AE8" w:rsidR="008F364A" w:rsidRPr="00E42CC9" w:rsidRDefault="00316383" w:rsidP="00CB687C">
            <w:pPr>
              <w:tabs>
                <w:tab w:val="left" w:pos="0"/>
              </w:tabs>
              <w:spacing w:line="240" w:lineRule="auto"/>
              <w:jc w:val="both"/>
              <w:rPr>
                <w:rFonts w:cs="Arial"/>
                <w:szCs w:val="24"/>
                <w:lang w:val="en-CA"/>
              </w:rPr>
            </w:pPr>
            <w:r w:rsidRPr="00E42CC9">
              <w:rPr>
                <w:rFonts w:cs="Arial"/>
                <w:b/>
                <w:bCs/>
                <w:i/>
                <w:iCs/>
                <w:caps/>
                <w:szCs w:val="24"/>
                <w:lang w:val="en-CA"/>
              </w:rPr>
              <w:t>IN THE MATTER OF the Notice of Intention to Make a Proposal of AZOXCO CRYOGÉNIQUE inc.</w:t>
            </w:r>
            <w:r w:rsidR="008A0286">
              <w:rPr>
                <w:rFonts w:cs="Arial"/>
                <w:b/>
                <w:bCs/>
                <w:i/>
                <w:iCs/>
                <w:caps/>
                <w:szCs w:val="24"/>
                <w:lang w:val="en-CA"/>
              </w:rPr>
              <w:t>:</w:t>
            </w:r>
            <w:bookmarkEnd w:id="8"/>
          </w:p>
          <w:p w14:paraId="505AEFAD" w14:textId="6D94A670" w:rsidR="00CB687C" w:rsidRPr="00E42CC9" w:rsidRDefault="00CB687C">
            <w:pPr>
              <w:pStyle w:val="zSoquijlblTitrePartie"/>
              <w:rPr>
                <w:lang w:val="en-CA"/>
              </w:rPr>
            </w:pPr>
          </w:p>
        </w:tc>
      </w:tr>
      <w:tr w:rsidR="000C6D16" w:rsidRPr="0097054B" w14:paraId="33E0FE22" w14:textId="77777777" w:rsidTr="008D18FC">
        <w:tc>
          <w:tcPr>
            <w:tcW w:w="9360" w:type="dxa"/>
            <w:gridSpan w:val="6"/>
          </w:tcPr>
          <w:p w14:paraId="1C5224A1" w14:textId="30E31743" w:rsidR="00CB687C" w:rsidRPr="00E42CC9" w:rsidRDefault="00316383" w:rsidP="00CB687C">
            <w:pPr>
              <w:pStyle w:val="zSoquijdatNomPartieDem"/>
              <w:tabs>
                <w:tab w:val="center" w:pos="2412"/>
              </w:tabs>
              <w:rPr>
                <w:caps/>
                <w:lang w:val="en-CA"/>
              </w:rPr>
            </w:pPr>
            <w:bookmarkStart w:id="9" w:name="App"/>
            <w:r w:rsidRPr="00E42CC9">
              <w:rPr>
                <w:caps/>
                <w:lang w:val="en-CA"/>
              </w:rPr>
              <w:t xml:space="preserve">alain masse, </w:t>
            </w:r>
            <w:r w:rsidRPr="00E42CC9">
              <w:rPr>
                <w:lang w:val="en-CA"/>
              </w:rPr>
              <w:t>in his capacity as trustee of</w:t>
            </w:r>
            <w:r w:rsidR="008A0286">
              <w:rPr>
                <w:lang w:val="en-CA"/>
              </w:rPr>
              <w:t xml:space="preserve"> </w:t>
            </w:r>
            <w:r w:rsidRPr="00E42CC9">
              <w:rPr>
                <w:caps/>
                <w:lang w:val="en-CA"/>
              </w:rPr>
              <w:t>fiducie familiale alain masse</w:t>
            </w:r>
            <w:bookmarkEnd w:id="9"/>
          </w:p>
          <w:p w14:paraId="46513166" w14:textId="09D28CEA" w:rsidR="008F364A" w:rsidRPr="00E42CC9" w:rsidRDefault="00316383" w:rsidP="00CB687C">
            <w:pPr>
              <w:pStyle w:val="zSoquijdatNomPartieDem"/>
              <w:tabs>
                <w:tab w:val="center" w:pos="2412"/>
              </w:tabs>
              <w:rPr>
                <w:caps/>
                <w:lang w:val="en-CA"/>
              </w:rPr>
            </w:pPr>
            <w:r w:rsidRPr="00E42CC9">
              <w:rPr>
                <w:caps/>
                <w:lang w:val="en-CA"/>
              </w:rPr>
              <w:t xml:space="preserve">valérie lacombe, </w:t>
            </w:r>
            <w:r w:rsidRPr="00E42CC9">
              <w:rPr>
                <w:lang w:val="en-CA"/>
              </w:rPr>
              <w:t>in her capacity as trustee of</w:t>
            </w:r>
            <w:r w:rsidR="008A0286">
              <w:rPr>
                <w:lang w:val="en-CA"/>
              </w:rPr>
              <w:t xml:space="preserve"> </w:t>
            </w:r>
            <w:r w:rsidRPr="00E42CC9">
              <w:rPr>
                <w:caps/>
                <w:lang w:val="en-CA"/>
              </w:rPr>
              <w:t>FIDUCIE FAMILIALE ALAIN MASSE</w:t>
            </w:r>
          </w:p>
        </w:tc>
      </w:tr>
      <w:tr w:rsidR="000C6D16" w:rsidRPr="00E42CC9" w14:paraId="6FAA8FE6" w14:textId="77777777" w:rsidTr="008D18FC">
        <w:tc>
          <w:tcPr>
            <w:tcW w:w="9360" w:type="dxa"/>
            <w:gridSpan w:val="6"/>
          </w:tcPr>
          <w:p w14:paraId="59821D4A" w14:textId="7F83FC9E" w:rsidR="008F364A" w:rsidRPr="00E42CC9" w:rsidRDefault="00316383">
            <w:pPr>
              <w:pStyle w:val="zSoquijdatQtePartieDem"/>
              <w:rPr>
                <w:lang w:val="en-CA"/>
              </w:rPr>
            </w:pPr>
            <w:r w:rsidRPr="00E42CC9">
              <w:rPr>
                <w:lang w:val="en-CA"/>
              </w:rPr>
              <w:t>APPELLANTS – Creditors</w:t>
            </w:r>
          </w:p>
        </w:tc>
      </w:tr>
      <w:tr w:rsidR="000C6D16" w:rsidRPr="00E42CC9" w14:paraId="4DFD23EA" w14:textId="77777777" w:rsidTr="008D18FC">
        <w:tc>
          <w:tcPr>
            <w:tcW w:w="9360" w:type="dxa"/>
            <w:gridSpan w:val="6"/>
          </w:tcPr>
          <w:p w14:paraId="7D5F5998" w14:textId="77777777" w:rsidR="008F364A" w:rsidRPr="00E42CC9" w:rsidRDefault="00316383">
            <w:pPr>
              <w:pStyle w:val="zSoquijlblLienParties"/>
              <w:rPr>
                <w:lang w:val="en-CA"/>
              </w:rPr>
            </w:pPr>
            <w:r w:rsidRPr="00E42CC9">
              <w:rPr>
                <w:lang w:val="en-CA"/>
              </w:rPr>
              <w:t>v.</w:t>
            </w:r>
          </w:p>
        </w:tc>
      </w:tr>
      <w:tr w:rsidR="000C6D16" w:rsidRPr="00E42CC9" w14:paraId="53A3D69B" w14:textId="77777777" w:rsidTr="008D18FC">
        <w:tc>
          <w:tcPr>
            <w:tcW w:w="9360" w:type="dxa"/>
            <w:gridSpan w:val="6"/>
          </w:tcPr>
          <w:p w14:paraId="0357A00D" w14:textId="77777777" w:rsidR="008F364A" w:rsidRPr="00E42CC9" w:rsidRDefault="008F364A">
            <w:pPr>
              <w:rPr>
                <w:lang w:val="en-CA"/>
              </w:rPr>
            </w:pPr>
          </w:p>
        </w:tc>
      </w:tr>
      <w:tr w:rsidR="000C6D16" w:rsidRPr="00E42CC9" w14:paraId="200867F9" w14:textId="77777777" w:rsidTr="008D18FC">
        <w:tc>
          <w:tcPr>
            <w:tcW w:w="9360" w:type="dxa"/>
            <w:gridSpan w:val="6"/>
          </w:tcPr>
          <w:p w14:paraId="4F6CE7E0" w14:textId="7DB2D3A3" w:rsidR="008F364A" w:rsidRPr="00E42CC9" w:rsidRDefault="00316383">
            <w:pPr>
              <w:pStyle w:val="zSoquijdatNomPartieDef"/>
              <w:rPr>
                <w:lang w:val="en-CA"/>
              </w:rPr>
            </w:pPr>
            <w:bookmarkStart w:id="10" w:name="Intimé"/>
            <w:r w:rsidRPr="00E42CC9">
              <w:rPr>
                <w:caps/>
                <w:lang w:val="en-CA"/>
              </w:rPr>
              <w:t>azoXco cryogénique</w:t>
            </w:r>
            <w:bookmarkEnd w:id="10"/>
            <w:r w:rsidRPr="00E42CC9">
              <w:rPr>
                <w:caps/>
                <w:lang w:val="en-CA"/>
              </w:rPr>
              <w:t xml:space="preserve"> inc.</w:t>
            </w:r>
          </w:p>
        </w:tc>
      </w:tr>
      <w:tr w:rsidR="000C6D16" w:rsidRPr="00E42CC9" w14:paraId="213FE126" w14:textId="77777777" w:rsidTr="008D18FC">
        <w:tc>
          <w:tcPr>
            <w:tcW w:w="9360" w:type="dxa"/>
            <w:gridSpan w:val="6"/>
          </w:tcPr>
          <w:p w14:paraId="7D898F00" w14:textId="0DAC6EBA" w:rsidR="008F364A" w:rsidRPr="00E42CC9" w:rsidRDefault="00316383">
            <w:pPr>
              <w:pStyle w:val="zSoquijdatQtePartieDef"/>
              <w:rPr>
                <w:lang w:val="en-CA"/>
              </w:rPr>
            </w:pPr>
            <w:r w:rsidRPr="00E42CC9">
              <w:rPr>
                <w:lang w:val="en-CA"/>
              </w:rPr>
              <w:t>RESPONDENT – Debtor</w:t>
            </w:r>
          </w:p>
        </w:tc>
      </w:tr>
      <w:tr w:rsidR="000C6D16" w:rsidRPr="00E42CC9" w14:paraId="4F1FF4CB" w14:textId="77777777" w:rsidTr="008D18FC">
        <w:tc>
          <w:tcPr>
            <w:tcW w:w="9360" w:type="dxa"/>
            <w:gridSpan w:val="6"/>
          </w:tcPr>
          <w:p w14:paraId="2AAD22E2" w14:textId="77777777" w:rsidR="008F364A" w:rsidRPr="00E42CC9" w:rsidRDefault="008F364A">
            <w:pPr>
              <w:rPr>
                <w:lang w:val="en-CA"/>
              </w:rPr>
            </w:pPr>
          </w:p>
        </w:tc>
      </w:tr>
      <w:tr w:rsidR="000C6D16" w:rsidRPr="00E42CC9" w14:paraId="2A11A8A1" w14:textId="77777777" w:rsidTr="008D18FC">
        <w:tc>
          <w:tcPr>
            <w:tcW w:w="9360" w:type="dxa"/>
            <w:gridSpan w:val="6"/>
            <w:tcBorders>
              <w:top w:val="single" w:sz="8" w:space="0" w:color="auto"/>
            </w:tcBorders>
          </w:tcPr>
          <w:p w14:paraId="17FEEE88" w14:textId="77777777" w:rsidR="008F364A" w:rsidRPr="00E42CC9" w:rsidRDefault="008F364A">
            <w:pPr>
              <w:rPr>
                <w:lang w:val="en-CA"/>
              </w:rPr>
            </w:pPr>
            <w:bookmarkStart w:id="11" w:name="Arret"/>
          </w:p>
        </w:tc>
      </w:tr>
      <w:tr w:rsidR="000C6D16" w:rsidRPr="00E42CC9" w14:paraId="5CF3A8E9" w14:textId="77777777" w:rsidTr="008D18FC">
        <w:tc>
          <w:tcPr>
            <w:tcW w:w="9360" w:type="dxa"/>
            <w:gridSpan w:val="6"/>
          </w:tcPr>
          <w:p w14:paraId="027EFE6F" w14:textId="05FBDCC3" w:rsidR="008F364A" w:rsidRPr="00E42CC9" w:rsidRDefault="00316383">
            <w:pPr>
              <w:pStyle w:val="zSoquijlblTypeDocument"/>
              <w:rPr>
                <w:lang w:val="en-CA"/>
              </w:rPr>
            </w:pPr>
            <w:bookmarkStart w:id="12" w:name="TitreDocument"/>
            <w:r w:rsidRPr="00E42CC9">
              <w:rPr>
                <w:lang w:val="en-CA"/>
              </w:rPr>
              <w:t>JUDGMENT</w:t>
            </w:r>
            <w:bookmarkEnd w:id="12"/>
          </w:p>
        </w:tc>
      </w:tr>
      <w:tr w:rsidR="000C6D16" w:rsidRPr="00E42CC9" w14:paraId="4C35B3B3" w14:textId="77777777" w:rsidTr="008D18FC">
        <w:tc>
          <w:tcPr>
            <w:tcW w:w="9360" w:type="dxa"/>
            <w:gridSpan w:val="6"/>
            <w:tcBorders>
              <w:bottom w:val="single" w:sz="8" w:space="0" w:color="auto"/>
            </w:tcBorders>
          </w:tcPr>
          <w:p w14:paraId="0AA3E285" w14:textId="77777777" w:rsidR="008F364A" w:rsidRPr="00E42CC9" w:rsidRDefault="008F364A">
            <w:pPr>
              <w:rPr>
                <w:lang w:val="en-CA"/>
              </w:rPr>
            </w:pPr>
          </w:p>
        </w:tc>
      </w:tr>
      <w:tr w:rsidR="000C6D16" w:rsidRPr="00E42CC9" w14:paraId="656A3211" w14:textId="77777777" w:rsidTr="008D18FC">
        <w:tc>
          <w:tcPr>
            <w:tcW w:w="9360" w:type="dxa"/>
            <w:gridSpan w:val="6"/>
            <w:tcBorders>
              <w:top w:val="single" w:sz="8" w:space="0" w:color="auto"/>
            </w:tcBorders>
          </w:tcPr>
          <w:p w14:paraId="433BBA63" w14:textId="77777777" w:rsidR="008F364A" w:rsidRPr="00E42CC9" w:rsidRDefault="008F364A">
            <w:pPr>
              <w:rPr>
                <w:lang w:val="en-CA"/>
              </w:rPr>
            </w:pPr>
          </w:p>
        </w:tc>
      </w:tr>
    </w:tbl>
    <w:p w14:paraId="5235CECD" w14:textId="7D15B62C" w:rsidR="00E16838" w:rsidRPr="00E42CC9" w:rsidRDefault="00316383" w:rsidP="005800BD">
      <w:pPr>
        <w:pStyle w:val="Paragraphe"/>
        <w:numPr>
          <w:ilvl w:val="0"/>
          <w:numId w:val="1"/>
        </w:numPr>
        <w:tabs>
          <w:tab w:val="clear" w:pos="360"/>
        </w:tabs>
        <w:spacing w:line="240" w:lineRule="auto"/>
        <w:rPr>
          <w:lang w:val="en-CA"/>
        </w:rPr>
      </w:pPr>
      <w:proofErr w:type="gramStart"/>
      <w:r w:rsidRPr="00E42CC9">
        <w:rPr>
          <w:lang w:val="en-CA"/>
        </w:rPr>
        <w:t>The appellants appeal against a judgment rendered by the Superior Court on October 1, 2021 (the Honourable Madam Justice Danielle Turcotte),</w:t>
      </w:r>
      <w:r w:rsidRPr="00E42CC9">
        <w:rPr>
          <w:rStyle w:val="Appelnotedebasdep"/>
          <w:lang w:val="en-CA"/>
        </w:rPr>
        <w:footnoteReference w:id="1"/>
      </w:r>
      <w:r w:rsidRPr="00E42CC9">
        <w:rPr>
          <w:lang w:val="en-CA"/>
        </w:rPr>
        <w:t xml:space="preserve"> which annulled the decision of the respondent</w:t>
      </w:r>
      <w:r w:rsidR="008A0286">
        <w:rPr>
          <w:lang w:val="en-CA"/>
        </w:rPr>
        <w:t>’</w:t>
      </w:r>
      <w:r w:rsidRPr="00E42CC9">
        <w:rPr>
          <w:lang w:val="en-CA"/>
        </w:rPr>
        <w:t xml:space="preserve">s trustee to allow their proof of claim as unsecured creditors, characterized said claim as an equity claim under s. 2 of the </w:t>
      </w:r>
      <w:r w:rsidRPr="00E42CC9">
        <w:rPr>
          <w:i/>
          <w:iCs/>
          <w:lang w:val="en-CA"/>
        </w:rPr>
        <w:t>Bankruptcy and Insolvency Act</w:t>
      </w:r>
      <w:r w:rsidRPr="00E42CC9">
        <w:rPr>
          <w:rStyle w:val="Appelnotedebasdep"/>
          <w:lang w:val="en-CA"/>
        </w:rPr>
        <w:footnoteReference w:id="2"/>
      </w:r>
      <w:r w:rsidRPr="00E42CC9">
        <w:rPr>
          <w:lang w:val="en-CA"/>
        </w:rPr>
        <w:t xml:space="preserve"> (</w:t>
      </w:r>
      <w:r w:rsidR="008A0286">
        <w:rPr>
          <w:lang w:val="en-CA"/>
        </w:rPr>
        <w:t>“</w:t>
      </w:r>
      <w:r w:rsidRPr="00E42CC9">
        <w:rPr>
          <w:i/>
          <w:iCs/>
          <w:lang w:val="en-CA"/>
        </w:rPr>
        <w:t>BIA</w:t>
      </w:r>
      <w:r w:rsidR="008A0286">
        <w:rPr>
          <w:lang w:val="en-CA"/>
        </w:rPr>
        <w:t>”</w:t>
      </w:r>
      <w:r w:rsidRPr="00E42CC9">
        <w:rPr>
          <w:lang w:val="en-CA"/>
        </w:rPr>
        <w:t>) and declared that the appellants are not entitled to vote on the respondent</w:t>
      </w:r>
      <w:r w:rsidR="008A0286">
        <w:rPr>
          <w:lang w:val="en-CA"/>
        </w:rPr>
        <w:t>’</w:t>
      </w:r>
      <w:r w:rsidRPr="00E42CC9">
        <w:rPr>
          <w:lang w:val="en-CA"/>
        </w:rPr>
        <w:t>s proposal.</w:t>
      </w:r>
      <w:proofErr w:type="gramEnd"/>
    </w:p>
    <w:p w14:paraId="754B6B88" w14:textId="703C6557" w:rsidR="00E16838" w:rsidRPr="00E42CC9" w:rsidRDefault="00316383" w:rsidP="005800BD">
      <w:pPr>
        <w:pStyle w:val="Paragraphe"/>
        <w:numPr>
          <w:ilvl w:val="0"/>
          <w:numId w:val="1"/>
        </w:numPr>
        <w:tabs>
          <w:tab w:val="clear" w:pos="360"/>
        </w:tabs>
        <w:spacing w:line="240" w:lineRule="auto"/>
        <w:rPr>
          <w:lang w:val="en-CA"/>
        </w:rPr>
      </w:pPr>
      <w:r w:rsidRPr="00E42CC9">
        <w:rPr>
          <w:lang w:val="en-CA"/>
        </w:rPr>
        <w:lastRenderedPageBreak/>
        <w:t>The facts are as follows. On June 28, 2019, the appellants, who were shareholders of Azoxco Cryogénique Inc. (</w:t>
      </w:r>
      <w:r w:rsidR="008A0286">
        <w:rPr>
          <w:lang w:val="en-CA"/>
        </w:rPr>
        <w:t>“</w:t>
      </w:r>
      <w:r w:rsidRPr="00E42CC9">
        <w:rPr>
          <w:lang w:val="en-CA"/>
        </w:rPr>
        <w:t>Pre-amalgamation Azoxco</w:t>
      </w:r>
      <w:r w:rsidR="008A0286">
        <w:rPr>
          <w:lang w:val="en-CA"/>
        </w:rPr>
        <w:t>”</w:t>
      </w:r>
      <w:r w:rsidRPr="00E42CC9">
        <w:rPr>
          <w:lang w:val="en-CA"/>
        </w:rPr>
        <w:t>) at the time, sold all of their shares to 9397-5530 Québec Inc. (</w:t>
      </w:r>
      <w:r w:rsidR="008A0286">
        <w:rPr>
          <w:lang w:val="en-CA"/>
        </w:rPr>
        <w:t>“</w:t>
      </w:r>
      <w:r w:rsidRPr="00E42CC9">
        <w:rPr>
          <w:lang w:val="en-CA"/>
        </w:rPr>
        <w:t>Québec Inc.</w:t>
      </w:r>
      <w:r w:rsidR="008A0286">
        <w:rPr>
          <w:lang w:val="en-CA"/>
        </w:rPr>
        <w:t>”</w:t>
      </w:r>
      <w:r w:rsidRPr="00E42CC9">
        <w:rPr>
          <w:lang w:val="en-CA"/>
        </w:rPr>
        <w:t xml:space="preserve">). An amount of $2,535,000 was paid, with a balance payable </w:t>
      </w:r>
      <w:proofErr w:type="gramStart"/>
      <w:r w:rsidRPr="00E42CC9">
        <w:rPr>
          <w:lang w:val="en-CA"/>
        </w:rPr>
        <w:t>at a later date</w:t>
      </w:r>
      <w:proofErr w:type="gramEnd"/>
      <w:r w:rsidRPr="00E42CC9">
        <w:rPr>
          <w:lang w:val="en-CA"/>
        </w:rPr>
        <w:t>.</w:t>
      </w:r>
    </w:p>
    <w:p w14:paraId="6969312C" w14:textId="5603A048" w:rsidR="00E16838" w:rsidRPr="00E42CC9" w:rsidRDefault="00316383" w:rsidP="005800BD">
      <w:pPr>
        <w:pStyle w:val="Paragraphe"/>
        <w:numPr>
          <w:ilvl w:val="0"/>
          <w:numId w:val="1"/>
        </w:numPr>
        <w:tabs>
          <w:tab w:val="clear" w:pos="360"/>
        </w:tabs>
        <w:spacing w:line="240" w:lineRule="auto"/>
        <w:rPr>
          <w:lang w:val="en-CA"/>
        </w:rPr>
      </w:pPr>
      <w:r w:rsidRPr="00E42CC9">
        <w:rPr>
          <w:lang w:val="en-CA"/>
        </w:rPr>
        <w:t>That same day, and as provided for in section 0.01.06 of the contract for the sale of shares, Québec Inc. and Pre-amalgamation Azoxco carried out a short-form amalgamation through which the first entity absorbed the second. The amalgamated corporation adopted the name Azoxco Cryogénique. The amalgamated corporation is the respondent, which therefore became the debtor for the balance of the share sale price.</w:t>
      </w:r>
    </w:p>
    <w:p w14:paraId="03904D10" w14:textId="402C641A" w:rsidR="00E16838" w:rsidRPr="00E42CC9" w:rsidRDefault="00316383" w:rsidP="005800BD">
      <w:pPr>
        <w:pStyle w:val="Paragraphe"/>
        <w:numPr>
          <w:ilvl w:val="0"/>
          <w:numId w:val="1"/>
        </w:numPr>
        <w:tabs>
          <w:tab w:val="clear" w:pos="360"/>
        </w:tabs>
        <w:spacing w:line="240" w:lineRule="auto"/>
        <w:rPr>
          <w:lang w:val="en-CA"/>
        </w:rPr>
      </w:pPr>
      <w:r w:rsidRPr="00E42CC9">
        <w:rPr>
          <w:lang w:val="en-CA"/>
        </w:rPr>
        <w:t xml:space="preserve">On August 25, 2020, the appellants, who </w:t>
      </w:r>
      <w:proofErr w:type="gramStart"/>
      <w:r w:rsidRPr="00E42CC9">
        <w:rPr>
          <w:lang w:val="en-CA"/>
        </w:rPr>
        <w:t>had still not been paid</w:t>
      </w:r>
      <w:proofErr w:type="gramEnd"/>
      <w:r w:rsidRPr="00E42CC9">
        <w:rPr>
          <w:lang w:val="en-CA"/>
        </w:rPr>
        <w:t xml:space="preserve">, claimed from the respondent an amount of $1,952,817, representing the balance of the selling price. The respondent presented a defence and filed a </w:t>
      </w:r>
      <w:proofErr w:type="gramStart"/>
      <w:r w:rsidRPr="00E42CC9">
        <w:rPr>
          <w:lang w:val="en-CA"/>
        </w:rPr>
        <w:t>cross-application</w:t>
      </w:r>
      <w:proofErr w:type="gramEnd"/>
      <w:r w:rsidRPr="00E42CC9">
        <w:rPr>
          <w:lang w:val="en-CA"/>
        </w:rPr>
        <w:t>, alleging fraud and misrepresentation by the appellants.</w:t>
      </w:r>
    </w:p>
    <w:p w14:paraId="51E91DC0" w14:textId="4FC0A80C" w:rsidR="00E16838" w:rsidRPr="00E42CC9" w:rsidRDefault="00316383" w:rsidP="005800BD">
      <w:pPr>
        <w:pStyle w:val="Paragraphe"/>
        <w:numPr>
          <w:ilvl w:val="0"/>
          <w:numId w:val="1"/>
        </w:numPr>
        <w:tabs>
          <w:tab w:val="clear" w:pos="360"/>
        </w:tabs>
        <w:spacing w:line="240" w:lineRule="auto"/>
        <w:rPr>
          <w:lang w:val="en-CA"/>
        </w:rPr>
      </w:pPr>
      <w:r w:rsidRPr="00E42CC9">
        <w:rPr>
          <w:lang w:val="en-CA"/>
        </w:rPr>
        <w:t>In February 2021, the respondent filed a notice of intention to make a proposal to its creditors, which led to a stay of the appellants</w:t>
      </w:r>
      <w:r w:rsidR="008A0286">
        <w:rPr>
          <w:lang w:val="en-CA"/>
        </w:rPr>
        <w:t>’</w:t>
      </w:r>
      <w:r w:rsidRPr="00E42CC9">
        <w:rPr>
          <w:lang w:val="en-CA"/>
        </w:rPr>
        <w:t xml:space="preserve"> proceedings. The stay </w:t>
      </w:r>
      <w:proofErr w:type="gramStart"/>
      <w:r w:rsidRPr="00E42CC9">
        <w:rPr>
          <w:lang w:val="en-CA"/>
        </w:rPr>
        <w:t>was subsequently lifted</w:t>
      </w:r>
      <w:proofErr w:type="gramEnd"/>
      <w:r w:rsidRPr="00E42CC9">
        <w:rPr>
          <w:lang w:val="en-CA"/>
        </w:rPr>
        <w:t>.</w:t>
      </w:r>
    </w:p>
    <w:p w14:paraId="77273EC4" w14:textId="5A840D42" w:rsidR="00E16838" w:rsidRPr="00E42CC9" w:rsidRDefault="00316383" w:rsidP="005800BD">
      <w:pPr>
        <w:pStyle w:val="Paragraphe"/>
        <w:numPr>
          <w:ilvl w:val="0"/>
          <w:numId w:val="1"/>
        </w:numPr>
        <w:tabs>
          <w:tab w:val="clear" w:pos="360"/>
        </w:tabs>
        <w:spacing w:line="240" w:lineRule="auto"/>
        <w:rPr>
          <w:lang w:val="en-CA"/>
        </w:rPr>
      </w:pPr>
      <w:r w:rsidRPr="00E42CC9">
        <w:rPr>
          <w:lang w:val="en-CA"/>
        </w:rPr>
        <w:t>On February 2, 2021, the appellants filed a proof of claim as unsecured creditors.</w:t>
      </w:r>
    </w:p>
    <w:p w14:paraId="379FD43F" w14:textId="4EFD64B3" w:rsidR="00E16838" w:rsidRPr="00E42CC9" w:rsidRDefault="00316383" w:rsidP="005800BD">
      <w:pPr>
        <w:pStyle w:val="Paragraphe"/>
        <w:numPr>
          <w:ilvl w:val="0"/>
          <w:numId w:val="1"/>
        </w:numPr>
        <w:tabs>
          <w:tab w:val="clear" w:pos="360"/>
        </w:tabs>
        <w:spacing w:line="240" w:lineRule="auto"/>
        <w:rPr>
          <w:lang w:val="en-CA"/>
        </w:rPr>
      </w:pPr>
      <w:r w:rsidRPr="00E42CC9">
        <w:rPr>
          <w:lang w:val="en-CA"/>
        </w:rPr>
        <w:t xml:space="preserve">On July 8, 2021, the meeting of creditors was adjourned </w:t>
      </w:r>
      <w:proofErr w:type="gramStart"/>
      <w:r w:rsidRPr="00E42CC9">
        <w:rPr>
          <w:lang w:val="en-CA"/>
        </w:rPr>
        <w:t>for the purpose of</w:t>
      </w:r>
      <w:proofErr w:type="gramEnd"/>
      <w:r w:rsidRPr="00E42CC9">
        <w:rPr>
          <w:lang w:val="en-CA"/>
        </w:rPr>
        <w:t xml:space="preserve"> obtaining a legal opinion on the admissibility of the appellants</w:t>
      </w:r>
      <w:r w:rsidR="008A0286">
        <w:rPr>
          <w:lang w:val="en-CA"/>
        </w:rPr>
        <w:t>’</w:t>
      </w:r>
      <w:r w:rsidRPr="00E42CC9">
        <w:rPr>
          <w:lang w:val="en-CA"/>
        </w:rPr>
        <w:t xml:space="preserve"> claim.</w:t>
      </w:r>
    </w:p>
    <w:p w14:paraId="099E5639" w14:textId="0E82A65C" w:rsidR="00E16838" w:rsidRPr="00E42CC9" w:rsidRDefault="00316383" w:rsidP="005800BD">
      <w:pPr>
        <w:pStyle w:val="Paragraphe"/>
        <w:numPr>
          <w:ilvl w:val="0"/>
          <w:numId w:val="1"/>
        </w:numPr>
        <w:tabs>
          <w:tab w:val="clear" w:pos="360"/>
        </w:tabs>
        <w:spacing w:line="240" w:lineRule="auto"/>
        <w:rPr>
          <w:lang w:val="en-CA"/>
        </w:rPr>
      </w:pPr>
      <w:r w:rsidRPr="00E42CC9">
        <w:rPr>
          <w:lang w:val="en-CA"/>
        </w:rPr>
        <w:t>On August 6, 2021, the trustee announced that it was accepting the appellants</w:t>
      </w:r>
      <w:r w:rsidR="008A0286">
        <w:rPr>
          <w:lang w:val="en-CA"/>
        </w:rPr>
        <w:t>’</w:t>
      </w:r>
      <w:r w:rsidRPr="00E42CC9">
        <w:rPr>
          <w:lang w:val="en-CA"/>
        </w:rPr>
        <w:t xml:space="preserve"> claim.</w:t>
      </w:r>
    </w:p>
    <w:p w14:paraId="1A5E7A50" w14:textId="137C0C0D" w:rsidR="00E16838" w:rsidRPr="00E42CC9" w:rsidRDefault="00316383" w:rsidP="005800BD">
      <w:pPr>
        <w:pStyle w:val="Paragraphe"/>
        <w:numPr>
          <w:ilvl w:val="0"/>
          <w:numId w:val="1"/>
        </w:numPr>
        <w:tabs>
          <w:tab w:val="clear" w:pos="360"/>
        </w:tabs>
        <w:spacing w:line="240" w:lineRule="auto"/>
        <w:rPr>
          <w:lang w:val="en-CA"/>
        </w:rPr>
      </w:pPr>
      <w:r w:rsidRPr="00E42CC9">
        <w:rPr>
          <w:lang w:val="en-CA"/>
        </w:rPr>
        <w:t>The effect of this decision would be to cause the respondent</w:t>
      </w:r>
      <w:r w:rsidR="008A0286">
        <w:rPr>
          <w:lang w:val="en-CA"/>
        </w:rPr>
        <w:t>’</w:t>
      </w:r>
      <w:r w:rsidRPr="00E42CC9">
        <w:rPr>
          <w:lang w:val="en-CA"/>
        </w:rPr>
        <w:t>s bankruptcy because the appellants held the deciding vote and, unlike the other creditors, intended to vote against the proposal. The respondent therefore challenged the trustee</w:t>
      </w:r>
      <w:r w:rsidR="008A0286">
        <w:rPr>
          <w:lang w:val="en-CA"/>
        </w:rPr>
        <w:t>’</w:t>
      </w:r>
      <w:r w:rsidRPr="00E42CC9">
        <w:rPr>
          <w:lang w:val="en-CA"/>
        </w:rPr>
        <w:t xml:space="preserve">s decision under s. 37 </w:t>
      </w:r>
      <w:r w:rsidRPr="00E42CC9">
        <w:rPr>
          <w:i/>
          <w:iCs/>
          <w:lang w:val="en-CA"/>
        </w:rPr>
        <w:t>BIA</w:t>
      </w:r>
      <w:r w:rsidRPr="00E42CC9">
        <w:rPr>
          <w:lang w:val="en-CA"/>
        </w:rPr>
        <w:t xml:space="preserve">. This </w:t>
      </w:r>
      <w:proofErr w:type="gramStart"/>
      <w:r w:rsidRPr="00E42CC9">
        <w:rPr>
          <w:lang w:val="en-CA"/>
        </w:rPr>
        <w:t xml:space="preserve">is the issue </w:t>
      </w:r>
      <w:r w:rsidR="00357A10">
        <w:rPr>
          <w:lang w:val="en-CA"/>
        </w:rPr>
        <w:t>that</w:t>
      </w:r>
      <w:proofErr w:type="gramEnd"/>
      <w:r w:rsidR="00357A10">
        <w:rPr>
          <w:lang w:val="en-CA"/>
        </w:rPr>
        <w:t xml:space="preserve"> was </w:t>
      </w:r>
      <w:r w:rsidRPr="00E42CC9">
        <w:rPr>
          <w:lang w:val="en-CA"/>
        </w:rPr>
        <w:t>adjudicated in the judgment under appeal.</w:t>
      </w:r>
    </w:p>
    <w:p w14:paraId="35870BFB" w14:textId="40DEC216" w:rsidR="00E16838" w:rsidRPr="00E42CC9" w:rsidRDefault="00316383" w:rsidP="005800BD">
      <w:pPr>
        <w:pStyle w:val="Paragraphe"/>
        <w:numPr>
          <w:ilvl w:val="0"/>
          <w:numId w:val="1"/>
        </w:numPr>
        <w:tabs>
          <w:tab w:val="clear" w:pos="360"/>
        </w:tabs>
        <w:spacing w:line="240" w:lineRule="auto"/>
        <w:rPr>
          <w:lang w:val="en-CA"/>
        </w:rPr>
      </w:pPr>
      <w:r w:rsidRPr="00E42CC9">
        <w:rPr>
          <w:lang w:val="en-CA"/>
        </w:rPr>
        <w:t xml:space="preserve">Based on s. 286 of the </w:t>
      </w:r>
      <w:r w:rsidRPr="00E42CC9">
        <w:rPr>
          <w:i/>
          <w:iCs/>
          <w:lang w:val="en-CA"/>
        </w:rPr>
        <w:t>Business Corporations Act</w:t>
      </w:r>
      <w:r w:rsidRPr="00E42CC9">
        <w:rPr>
          <w:rStyle w:val="Appelnotedebasdep"/>
          <w:lang w:val="en-CA"/>
        </w:rPr>
        <w:footnoteReference w:id="3"/>
      </w:r>
      <w:r w:rsidRPr="00E42CC9">
        <w:rPr>
          <w:i/>
          <w:iCs/>
          <w:lang w:val="en-CA"/>
        </w:rPr>
        <w:t xml:space="preserve"> </w:t>
      </w:r>
      <w:r w:rsidRPr="00E42CC9">
        <w:rPr>
          <w:lang w:val="en-CA"/>
        </w:rPr>
        <w:t>(</w:t>
      </w:r>
      <w:r w:rsidR="008A0286">
        <w:rPr>
          <w:lang w:val="en-CA"/>
        </w:rPr>
        <w:t>“</w:t>
      </w:r>
      <w:r w:rsidRPr="00E42CC9">
        <w:rPr>
          <w:i/>
          <w:iCs/>
          <w:lang w:val="en-CA"/>
        </w:rPr>
        <w:t>BCA</w:t>
      </w:r>
      <w:r w:rsidR="008A0286">
        <w:rPr>
          <w:lang w:val="en-CA"/>
        </w:rPr>
        <w:t>”</w:t>
      </w:r>
      <w:r w:rsidRPr="00E42CC9">
        <w:rPr>
          <w:lang w:val="en-CA"/>
        </w:rPr>
        <w:t xml:space="preserve">), the judge concluded that the amalgamation had not changed the nature of the claim, as the rights and obligations of the amalgamating corporations </w:t>
      </w:r>
      <w:r w:rsidR="00B402E3">
        <w:rPr>
          <w:lang w:val="en-CA"/>
        </w:rPr>
        <w:t xml:space="preserve">had </w:t>
      </w:r>
      <w:r w:rsidRPr="00E42CC9">
        <w:rPr>
          <w:lang w:val="en-CA"/>
        </w:rPr>
        <w:t>bec</w:t>
      </w:r>
      <w:r w:rsidR="00B402E3">
        <w:rPr>
          <w:lang w:val="en-CA"/>
        </w:rPr>
        <w:t>o</w:t>
      </w:r>
      <w:r w:rsidRPr="00E42CC9">
        <w:rPr>
          <w:lang w:val="en-CA"/>
        </w:rPr>
        <w:t>me those of the amalgamated corporation. The judge also noted that, in their pleadings, the appellants themselves had alleged that the claim was in respect of the balance of the selling price of the Pre</w:t>
      </w:r>
      <w:r w:rsidR="00DA6969">
        <w:rPr>
          <w:lang w:val="en-CA"/>
        </w:rPr>
        <w:noBreakHyphen/>
      </w:r>
      <w:r w:rsidRPr="00E42CC9">
        <w:rPr>
          <w:lang w:val="en-CA"/>
        </w:rPr>
        <w:t>amalgamation Azoxco shares.</w:t>
      </w:r>
    </w:p>
    <w:p w14:paraId="18E36983" w14:textId="0F5F0627" w:rsidR="00E16838" w:rsidRPr="00E42CC9" w:rsidRDefault="00316383" w:rsidP="005800BD">
      <w:pPr>
        <w:pStyle w:val="Paragraphe"/>
        <w:numPr>
          <w:ilvl w:val="0"/>
          <w:numId w:val="1"/>
        </w:numPr>
        <w:tabs>
          <w:tab w:val="clear" w:pos="360"/>
        </w:tabs>
        <w:spacing w:line="240" w:lineRule="auto"/>
        <w:rPr>
          <w:lang w:val="en-CA"/>
        </w:rPr>
      </w:pPr>
      <w:r w:rsidRPr="00E42CC9">
        <w:rPr>
          <w:lang w:val="en-CA"/>
        </w:rPr>
        <w:t xml:space="preserve">Applying the principles developed by the Ontario Court of Appeal in </w:t>
      </w:r>
      <w:r w:rsidRPr="00E42CC9">
        <w:rPr>
          <w:i/>
          <w:iCs/>
          <w:lang w:val="en-CA"/>
        </w:rPr>
        <w:t>Sino-Forest</w:t>
      </w:r>
      <w:r w:rsidRPr="00E42CC9">
        <w:rPr>
          <w:lang w:val="en-CA"/>
        </w:rPr>
        <w:t>,</w:t>
      </w:r>
      <w:bookmarkStart w:id="13" w:name="_Ref113968977"/>
      <w:r w:rsidRPr="00E42CC9">
        <w:rPr>
          <w:rStyle w:val="Appelnotedebasdep"/>
          <w:lang w:val="en-CA"/>
        </w:rPr>
        <w:footnoteReference w:id="4"/>
      </w:r>
      <w:bookmarkEnd w:id="13"/>
      <w:r w:rsidRPr="00E42CC9">
        <w:rPr>
          <w:lang w:val="en-CA"/>
        </w:rPr>
        <w:t xml:space="preserve"> pursuant to which the notion of equity claim </w:t>
      </w:r>
      <w:proofErr w:type="gramStart"/>
      <w:r w:rsidRPr="00E42CC9">
        <w:rPr>
          <w:lang w:val="en-CA"/>
        </w:rPr>
        <w:t>must be given</w:t>
      </w:r>
      <w:proofErr w:type="gramEnd"/>
      <w:r w:rsidRPr="00E42CC9">
        <w:rPr>
          <w:lang w:val="en-CA"/>
        </w:rPr>
        <w:t xml:space="preserve"> an expansive interpretation </w:t>
      </w:r>
      <w:r w:rsidRPr="00E42CC9">
        <w:rPr>
          <w:lang w:val="en-CA"/>
        </w:rPr>
        <w:lastRenderedPageBreak/>
        <w:t>and the analysis must focus on the nature of the claim rather than the identity of the claimant, the judge found that the appellants</w:t>
      </w:r>
      <w:r w:rsidR="008A0286">
        <w:rPr>
          <w:lang w:val="en-CA"/>
        </w:rPr>
        <w:t>’</w:t>
      </w:r>
      <w:r w:rsidRPr="00E42CC9">
        <w:rPr>
          <w:lang w:val="en-CA"/>
        </w:rPr>
        <w:t xml:space="preserve"> claim was in respect of equity. Although the judge did not state it explicitly, she linked the claim to </w:t>
      </w:r>
      <w:r w:rsidR="008A0286">
        <w:rPr>
          <w:lang w:val="en-CA"/>
        </w:rPr>
        <w:t>“</w:t>
      </w:r>
      <w:r w:rsidRPr="00E42CC9">
        <w:rPr>
          <w:lang w:val="en-CA"/>
        </w:rPr>
        <w:t>a monetary loss resulting from the ownership, purchase or sale of an equity interest or from the rescission, or, in Quebec, the annulment, of a purchase or sale of an equity interest</w:t>
      </w:r>
      <w:r w:rsidR="008A0286">
        <w:rPr>
          <w:lang w:val="en-CA"/>
        </w:rPr>
        <w:t>”</w:t>
      </w:r>
      <w:r w:rsidRPr="00E42CC9">
        <w:rPr>
          <w:lang w:val="en-CA"/>
        </w:rPr>
        <w:t xml:space="preserve"> set out in paragraph (d) of the definition.</w:t>
      </w:r>
    </w:p>
    <w:p w14:paraId="67538B72" w14:textId="77777777" w:rsidR="00E16838" w:rsidRPr="00E42CC9" w:rsidRDefault="00316383" w:rsidP="005800BD">
      <w:pPr>
        <w:pStyle w:val="Paragraphe"/>
        <w:spacing w:line="240" w:lineRule="auto"/>
        <w:jc w:val="center"/>
        <w:rPr>
          <w:lang w:val="en-CA"/>
        </w:rPr>
      </w:pPr>
      <w:r w:rsidRPr="00E42CC9">
        <w:rPr>
          <w:lang w:val="en-CA"/>
        </w:rPr>
        <w:t>* * *</w:t>
      </w:r>
    </w:p>
    <w:p w14:paraId="0B1991D9" w14:textId="43AE4943" w:rsidR="00E16838" w:rsidRPr="00E42CC9" w:rsidRDefault="00316383" w:rsidP="005800BD">
      <w:pPr>
        <w:pStyle w:val="Paragraphe"/>
        <w:numPr>
          <w:ilvl w:val="0"/>
          <w:numId w:val="1"/>
        </w:numPr>
        <w:tabs>
          <w:tab w:val="clear" w:pos="360"/>
        </w:tabs>
        <w:spacing w:line="240" w:lineRule="auto"/>
        <w:rPr>
          <w:lang w:val="en-CA"/>
        </w:rPr>
      </w:pPr>
      <w:r w:rsidRPr="00E42CC9">
        <w:rPr>
          <w:lang w:val="en-CA"/>
        </w:rPr>
        <w:t xml:space="preserve">It </w:t>
      </w:r>
      <w:r w:rsidR="004C119D">
        <w:rPr>
          <w:lang w:val="en-CA"/>
        </w:rPr>
        <w:t xml:space="preserve">will be </w:t>
      </w:r>
      <w:r w:rsidR="00701F3D">
        <w:rPr>
          <w:lang w:val="en-CA"/>
        </w:rPr>
        <w:t xml:space="preserve">helpful </w:t>
      </w:r>
      <w:r w:rsidRPr="00E42CC9">
        <w:rPr>
          <w:lang w:val="en-CA"/>
        </w:rPr>
        <w:t xml:space="preserve">to </w:t>
      </w:r>
      <w:r w:rsidR="004C119D">
        <w:rPr>
          <w:lang w:val="en-CA"/>
        </w:rPr>
        <w:t xml:space="preserve">reproduce </w:t>
      </w:r>
      <w:r w:rsidRPr="00E42CC9">
        <w:rPr>
          <w:lang w:val="en-CA"/>
        </w:rPr>
        <w:t xml:space="preserve">certain provisions of the </w:t>
      </w:r>
      <w:r w:rsidRPr="00E42CC9">
        <w:rPr>
          <w:i/>
          <w:iCs/>
          <w:lang w:val="en-CA"/>
        </w:rPr>
        <w:t>BIA</w:t>
      </w:r>
      <w:r w:rsidRPr="00E42CC9">
        <w:rPr>
          <w:lang w:val="en-CA"/>
        </w:rPr>
        <w:t>:</w:t>
      </w:r>
    </w:p>
    <w:tbl>
      <w:tblPr>
        <w:tblW w:w="12960" w:type="dxa"/>
        <w:tblLayout w:type="fixed"/>
        <w:tblCellMar>
          <w:left w:w="70" w:type="dxa"/>
          <w:right w:w="70" w:type="dxa"/>
        </w:tblCellMar>
        <w:tblLook w:val="0000" w:firstRow="0" w:lastRow="0" w:firstColumn="0" w:lastColumn="0" w:noHBand="0" w:noVBand="0"/>
      </w:tblPr>
      <w:tblGrid>
        <w:gridCol w:w="4320"/>
        <w:gridCol w:w="4320"/>
        <w:gridCol w:w="4320"/>
      </w:tblGrid>
      <w:tr w:rsidR="000631E1" w:rsidRPr="00E42CC9" w14:paraId="3C6A6495" w14:textId="77777777" w:rsidTr="000631E1">
        <w:tc>
          <w:tcPr>
            <w:tcW w:w="4320" w:type="dxa"/>
          </w:tcPr>
          <w:p w14:paraId="70274A9F" w14:textId="712C7460" w:rsidR="000631E1" w:rsidRPr="00E46862" w:rsidRDefault="000631E1" w:rsidP="000631E1">
            <w:pPr>
              <w:pStyle w:val="definition"/>
              <w:shd w:val="clear" w:color="auto" w:fill="FFFFFF"/>
              <w:spacing w:before="0" w:beforeAutospacing="0" w:after="0" w:afterAutospacing="0"/>
              <w:rPr>
                <w:rStyle w:val="DfinitionHTML"/>
                <w:rFonts w:ascii="Arial" w:hAnsi="Arial" w:cs="Arial"/>
                <w:i w:val="0"/>
                <w:iCs w:val="0"/>
                <w:sz w:val="22"/>
                <w:szCs w:val="22"/>
                <w:lang w:val="en-CA"/>
              </w:rPr>
            </w:pPr>
            <w:r w:rsidRPr="00E46862">
              <w:rPr>
                <w:rStyle w:val="DfinitionHTML"/>
                <w:rFonts w:ascii="Arial" w:hAnsi="Arial" w:cs="Arial"/>
                <w:b/>
                <w:bCs/>
                <w:i w:val="0"/>
                <w:iCs w:val="0"/>
                <w:sz w:val="22"/>
                <w:szCs w:val="22"/>
                <w:lang w:val="en-CA"/>
              </w:rPr>
              <w:t xml:space="preserve">2. </w:t>
            </w:r>
            <w:r w:rsidR="00E46862" w:rsidRPr="00E46862">
              <w:rPr>
                <w:rStyle w:val="DfinitionHTML"/>
                <w:rFonts w:ascii="Arial" w:hAnsi="Arial" w:cs="Arial"/>
                <w:bCs/>
                <w:i w:val="0"/>
                <w:iCs w:val="0"/>
                <w:sz w:val="22"/>
                <w:szCs w:val="22"/>
                <w:lang w:val="en-CA"/>
              </w:rPr>
              <w:t>[</w:t>
            </w:r>
            <w:r w:rsidRPr="00E46862">
              <w:rPr>
                <w:rStyle w:val="DfinitionHTML"/>
                <w:rFonts w:ascii="Arial" w:hAnsi="Arial" w:cs="Arial"/>
                <w:bCs/>
                <w:i w:val="0"/>
                <w:iCs w:val="0"/>
                <w:sz w:val="22"/>
                <w:szCs w:val="22"/>
                <w:lang w:val="en-CA"/>
              </w:rPr>
              <w:t>…</w:t>
            </w:r>
            <w:r w:rsidR="00E46862" w:rsidRPr="00E46862">
              <w:rPr>
                <w:rStyle w:val="DfinitionHTML"/>
                <w:rFonts w:ascii="Arial" w:hAnsi="Arial" w:cs="Arial"/>
                <w:bCs/>
                <w:i w:val="0"/>
                <w:iCs w:val="0"/>
                <w:sz w:val="22"/>
                <w:szCs w:val="22"/>
                <w:lang w:val="en-CA"/>
              </w:rPr>
              <w:t>]</w:t>
            </w:r>
          </w:p>
          <w:p w14:paraId="2E669FC9" w14:textId="77777777" w:rsidR="000631E1" w:rsidRPr="00E42CC9" w:rsidRDefault="000631E1" w:rsidP="000631E1">
            <w:pPr>
              <w:pStyle w:val="definition"/>
              <w:shd w:val="clear" w:color="auto" w:fill="FFFFFF"/>
              <w:spacing w:before="0" w:beforeAutospacing="0" w:after="0" w:afterAutospacing="0"/>
              <w:rPr>
                <w:rStyle w:val="DfinitionHTML"/>
                <w:rFonts w:ascii="Arial" w:hAnsi="Arial" w:cs="Arial"/>
                <w:b/>
                <w:bCs/>
                <w:i w:val="0"/>
                <w:iCs w:val="0"/>
                <w:sz w:val="22"/>
                <w:szCs w:val="22"/>
                <w:lang w:val="en-CA"/>
              </w:rPr>
            </w:pPr>
          </w:p>
          <w:p w14:paraId="320CBCC2" w14:textId="77777777" w:rsidR="000631E1" w:rsidRPr="00E42CC9" w:rsidRDefault="000631E1" w:rsidP="004C5AC9">
            <w:pPr>
              <w:pStyle w:val="definition"/>
              <w:shd w:val="clear" w:color="auto" w:fill="FFFFFF"/>
              <w:spacing w:before="0" w:beforeAutospacing="0" w:after="0" w:afterAutospacing="0"/>
              <w:jc w:val="both"/>
              <w:rPr>
                <w:rFonts w:ascii="Arial" w:hAnsi="Arial" w:cs="Arial"/>
                <w:sz w:val="22"/>
                <w:szCs w:val="22"/>
                <w:lang w:val="en-CA"/>
              </w:rPr>
            </w:pPr>
            <w:r w:rsidRPr="00E42CC9">
              <w:rPr>
                <w:rStyle w:val="DfinitionHTML"/>
                <w:rFonts w:ascii="Arial" w:hAnsi="Arial" w:cs="Arial"/>
                <w:b/>
                <w:bCs/>
                <w:sz w:val="22"/>
                <w:szCs w:val="22"/>
                <w:lang w:val="en-CA"/>
              </w:rPr>
              <w:t>equity interest</w:t>
            </w:r>
            <w:r w:rsidRPr="00E42CC9">
              <w:rPr>
                <w:rFonts w:ascii="Arial" w:hAnsi="Arial" w:cs="Arial"/>
                <w:sz w:val="22"/>
                <w:szCs w:val="22"/>
                <w:lang w:val="en-CA"/>
              </w:rPr>
              <w:t> </w:t>
            </w:r>
            <w:r w:rsidRPr="00E42CC9">
              <w:rPr>
                <w:rFonts w:ascii="Arial" w:hAnsi="Arial" w:cs="Arial"/>
                <w:sz w:val="22"/>
                <w:szCs w:val="22"/>
                <w:lang w:val="en-CA"/>
              </w:rPr>
              <w:t>means</w:t>
            </w:r>
          </w:p>
          <w:p w14:paraId="2DB2370B" w14:textId="77777777" w:rsidR="000631E1" w:rsidRPr="00E42CC9" w:rsidRDefault="000631E1" w:rsidP="004C5AC9">
            <w:pPr>
              <w:pStyle w:val="paragraph"/>
              <w:numPr>
                <w:ilvl w:val="0"/>
                <w:numId w:val="21"/>
              </w:numPr>
              <w:shd w:val="clear" w:color="auto" w:fill="FFFFFF"/>
              <w:spacing w:before="0" w:beforeAutospacing="0" w:after="0" w:afterAutospacing="0"/>
              <w:ind w:left="1080"/>
              <w:jc w:val="both"/>
              <w:rPr>
                <w:rFonts w:ascii="Arial" w:hAnsi="Arial" w:cs="Arial"/>
                <w:sz w:val="22"/>
                <w:szCs w:val="22"/>
                <w:lang w:val="en-CA"/>
              </w:rPr>
            </w:pPr>
            <w:r w:rsidRPr="00E42CC9">
              <w:rPr>
                <w:rStyle w:val="lawlabel"/>
                <w:rFonts w:ascii="Arial" w:hAnsi="Arial" w:cs="Arial"/>
                <w:b/>
                <w:bCs/>
                <w:sz w:val="22"/>
                <w:szCs w:val="22"/>
                <w:lang w:val="en-CA"/>
              </w:rPr>
              <w:t>(a)</w:t>
            </w:r>
            <w:r w:rsidRPr="00E42CC9">
              <w:rPr>
                <w:rFonts w:ascii="Arial" w:hAnsi="Arial" w:cs="Arial"/>
                <w:sz w:val="22"/>
                <w:szCs w:val="22"/>
                <w:lang w:val="en-CA"/>
              </w:rPr>
              <w:t> in the case of a corporation other than an income trust, a share in the corporation — or a warrant or option or another right to acquire a share in the corporation — other than one that is derived from a convertible debt, and</w:t>
            </w:r>
          </w:p>
          <w:p w14:paraId="28F66F4C" w14:textId="77777777" w:rsidR="000631E1" w:rsidRPr="00E42CC9" w:rsidRDefault="000631E1" w:rsidP="004C5AC9">
            <w:pPr>
              <w:pStyle w:val="paragraph"/>
              <w:numPr>
                <w:ilvl w:val="0"/>
                <w:numId w:val="21"/>
              </w:numPr>
              <w:shd w:val="clear" w:color="auto" w:fill="FFFFFF"/>
              <w:spacing w:before="0" w:beforeAutospacing="0" w:after="0" w:afterAutospacing="0"/>
              <w:ind w:left="1080"/>
              <w:jc w:val="both"/>
              <w:rPr>
                <w:rFonts w:ascii="Arial" w:hAnsi="Arial" w:cs="Arial"/>
                <w:sz w:val="22"/>
                <w:szCs w:val="22"/>
                <w:lang w:val="en-CA"/>
              </w:rPr>
            </w:pPr>
            <w:r w:rsidRPr="00E42CC9">
              <w:rPr>
                <w:rStyle w:val="lawlabel"/>
                <w:rFonts w:ascii="Arial" w:hAnsi="Arial" w:cs="Arial"/>
                <w:b/>
                <w:bCs/>
                <w:sz w:val="22"/>
                <w:szCs w:val="22"/>
                <w:lang w:val="en-CA"/>
              </w:rPr>
              <w:t>(b)</w:t>
            </w:r>
            <w:r w:rsidRPr="00E42CC9">
              <w:rPr>
                <w:rFonts w:ascii="Arial" w:hAnsi="Arial" w:cs="Arial"/>
                <w:sz w:val="22"/>
                <w:szCs w:val="22"/>
                <w:lang w:val="en-CA"/>
              </w:rPr>
              <w:t> in the case of an income trust, a unit in the income trust — or a warrant or option or another right to acquire a unit in the income trust — other than one that is derived from a convertible debt;</w:t>
            </w:r>
            <w:r w:rsidRPr="00E42CC9">
              <w:rPr>
                <w:rFonts w:ascii="Arial" w:hAnsi="Arial" w:cs="Arial"/>
                <w:sz w:val="22"/>
                <w:szCs w:val="22"/>
                <w:lang w:val="en-CA"/>
              </w:rPr>
              <w:t> </w:t>
            </w:r>
            <w:r w:rsidRPr="00E42CC9">
              <w:rPr>
                <w:rFonts w:ascii="Arial" w:hAnsi="Arial" w:cs="Arial"/>
                <w:sz w:val="22"/>
                <w:szCs w:val="22"/>
                <w:lang w:val="en-CA"/>
              </w:rPr>
              <w:t>(</w:t>
            </w:r>
            <w:r w:rsidRPr="00E42CC9">
              <w:rPr>
                <w:rStyle w:val="definedtermlink"/>
                <w:rFonts w:ascii="Arial" w:hAnsi="Arial" w:cs="Arial"/>
                <w:i/>
                <w:iCs/>
                <w:sz w:val="22"/>
                <w:szCs w:val="22"/>
                <w:lang w:val="en-CA"/>
              </w:rPr>
              <w:t>intérêt relatif à des capitaux propres</w:t>
            </w:r>
            <w:r w:rsidRPr="00E42CC9">
              <w:rPr>
                <w:rFonts w:ascii="Arial" w:hAnsi="Arial" w:cs="Arial"/>
                <w:sz w:val="22"/>
                <w:szCs w:val="22"/>
                <w:lang w:val="en-CA"/>
              </w:rPr>
              <w:t>)</w:t>
            </w:r>
          </w:p>
          <w:p w14:paraId="11188955" w14:textId="77777777" w:rsidR="000631E1" w:rsidRPr="00E42CC9" w:rsidRDefault="000631E1" w:rsidP="004C5AC9">
            <w:pPr>
              <w:pStyle w:val="definition"/>
              <w:shd w:val="clear" w:color="auto" w:fill="FFFFFF"/>
              <w:spacing w:before="0" w:beforeAutospacing="0" w:after="0" w:afterAutospacing="0"/>
              <w:jc w:val="both"/>
              <w:rPr>
                <w:rStyle w:val="DfinitionHTML"/>
                <w:rFonts w:ascii="Arial" w:hAnsi="Arial" w:cs="Arial"/>
                <w:sz w:val="22"/>
                <w:szCs w:val="22"/>
                <w:lang w:val="en-CA"/>
              </w:rPr>
            </w:pPr>
          </w:p>
          <w:p w14:paraId="755949BB" w14:textId="3125F29E" w:rsidR="000631E1" w:rsidRPr="00E46862" w:rsidRDefault="00E46862" w:rsidP="004C5AC9">
            <w:pPr>
              <w:pStyle w:val="definition"/>
              <w:shd w:val="clear" w:color="auto" w:fill="FFFFFF"/>
              <w:spacing w:before="0" w:beforeAutospacing="0" w:after="0" w:afterAutospacing="0"/>
              <w:jc w:val="both"/>
              <w:rPr>
                <w:rStyle w:val="DfinitionHTML"/>
                <w:rFonts w:ascii="Arial" w:hAnsi="Arial" w:cs="Arial"/>
                <w:i w:val="0"/>
                <w:iCs w:val="0"/>
                <w:sz w:val="22"/>
                <w:szCs w:val="22"/>
                <w:lang w:val="en-CA"/>
              </w:rPr>
            </w:pPr>
            <w:r w:rsidRPr="00E46862">
              <w:rPr>
                <w:rStyle w:val="DfinitionHTML"/>
                <w:rFonts w:ascii="Arial" w:hAnsi="Arial" w:cs="Arial"/>
                <w:i w:val="0"/>
                <w:iCs w:val="0"/>
                <w:sz w:val="22"/>
                <w:szCs w:val="22"/>
                <w:lang w:val="en-CA"/>
              </w:rPr>
              <w:t>[</w:t>
            </w:r>
            <w:r w:rsidR="000631E1" w:rsidRPr="00E46862">
              <w:rPr>
                <w:rStyle w:val="DfinitionHTML"/>
                <w:rFonts w:ascii="Arial" w:hAnsi="Arial" w:cs="Arial"/>
                <w:i w:val="0"/>
                <w:iCs w:val="0"/>
                <w:sz w:val="22"/>
                <w:szCs w:val="22"/>
                <w:lang w:val="en-CA"/>
              </w:rPr>
              <w:t>…</w:t>
            </w:r>
            <w:r w:rsidRPr="00E46862">
              <w:rPr>
                <w:rStyle w:val="DfinitionHTML"/>
                <w:rFonts w:ascii="Arial" w:hAnsi="Arial" w:cs="Arial"/>
                <w:i w:val="0"/>
                <w:iCs w:val="0"/>
                <w:sz w:val="22"/>
                <w:szCs w:val="22"/>
                <w:lang w:val="en-CA"/>
              </w:rPr>
              <w:t>]</w:t>
            </w:r>
          </w:p>
          <w:p w14:paraId="3D2FA79D" w14:textId="77777777" w:rsidR="00002320" w:rsidRDefault="00002320" w:rsidP="004C5AC9">
            <w:pPr>
              <w:pStyle w:val="definition"/>
              <w:shd w:val="clear" w:color="auto" w:fill="FFFFFF"/>
              <w:spacing w:before="0" w:beforeAutospacing="0" w:after="0" w:afterAutospacing="0"/>
              <w:jc w:val="both"/>
              <w:rPr>
                <w:rStyle w:val="DfinitionHTML"/>
                <w:rFonts w:ascii="Arial" w:hAnsi="Arial" w:cs="Arial"/>
                <w:b/>
                <w:bCs/>
                <w:sz w:val="22"/>
                <w:szCs w:val="22"/>
                <w:lang w:val="en-CA"/>
              </w:rPr>
            </w:pPr>
          </w:p>
          <w:p w14:paraId="7D6E928D" w14:textId="4142DD46" w:rsidR="000631E1" w:rsidRPr="00E42CC9" w:rsidRDefault="000631E1" w:rsidP="004C5AC9">
            <w:pPr>
              <w:pStyle w:val="definition"/>
              <w:shd w:val="clear" w:color="auto" w:fill="FFFFFF"/>
              <w:spacing w:before="0" w:beforeAutospacing="0" w:after="0" w:afterAutospacing="0"/>
              <w:jc w:val="both"/>
              <w:rPr>
                <w:rFonts w:ascii="Arial" w:hAnsi="Arial" w:cs="Arial"/>
                <w:sz w:val="22"/>
                <w:szCs w:val="22"/>
                <w:lang w:val="en-CA"/>
              </w:rPr>
            </w:pPr>
            <w:r w:rsidRPr="00E42CC9">
              <w:rPr>
                <w:rStyle w:val="DfinitionHTML"/>
                <w:rFonts w:ascii="Arial" w:hAnsi="Arial" w:cs="Arial"/>
                <w:b/>
                <w:bCs/>
                <w:sz w:val="22"/>
                <w:szCs w:val="22"/>
                <w:lang w:val="en-CA"/>
              </w:rPr>
              <w:t>equity claim</w:t>
            </w:r>
            <w:r w:rsidRPr="00E42CC9">
              <w:rPr>
                <w:rFonts w:ascii="Arial" w:hAnsi="Arial" w:cs="Arial"/>
                <w:sz w:val="22"/>
                <w:szCs w:val="22"/>
                <w:lang w:val="en-CA"/>
              </w:rPr>
              <w:t> </w:t>
            </w:r>
            <w:r w:rsidRPr="00E42CC9">
              <w:rPr>
                <w:rFonts w:ascii="Arial" w:hAnsi="Arial" w:cs="Arial"/>
                <w:sz w:val="22"/>
                <w:szCs w:val="22"/>
                <w:lang w:val="en-CA"/>
              </w:rPr>
              <w:t>means a claim that is in respect of an equity interest, including a claim for, among others,</w:t>
            </w:r>
          </w:p>
          <w:p w14:paraId="15F922BC" w14:textId="77777777" w:rsidR="000631E1" w:rsidRPr="00E42CC9" w:rsidRDefault="000631E1" w:rsidP="004C5AC9">
            <w:pPr>
              <w:pStyle w:val="definition"/>
              <w:shd w:val="clear" w:color="auto" w:fill="FFFFFF"/>
              <w:spacing w:before="0" w:beforeAutospacing="0" w:after="0" w:afterAutospacing="0"/>
              <w:jc w:val="both"/>
              <w:rPr>
                <w:rFonts w:ascii="Arial" w:hAnsi="Arial" w:cs="Arial"/>
                <w:sz w:val="22"/>
                <w:szCs w:val="22"/>
                <w:lang w:val="en-CA"/>
              </w:rPr>
            </w:pPr>
          </w:p>
          <w:p w14:paraId="11B65559" w14:textId="77777777" w:rsidR="000631E1" w:rsidRPr="00E42CC9" w:rsidRDefault="000631E1" w:rsidP="00002320">
            <w:pPr>
              <w:pStyle w:val="paragraph"/>
              <w:numPr>
                <w:ilvl w:val="0"/>
                <w:numId w:val="22"/>
              </w:numPr>
              <w:shd w:val="clear" w:color="auto" w:fill="FFFFFF"/>
              <w:spacing w:before="240" w:beforeAutospacing="0" w:after="0" w:afterAutospacing="0"/>
              <w:ind w:left="1080"/>
              <w:jc w:val="both"/>
              <w:rPr>
                <w:rFonts w:ascii="Arial" w:hAnsi="Arial" w:cs="Arial"/>
                <w:sz w:val="22"/>
                <w:szCs w:val="22"/>
                <w:lang w:val="en-CA"/>
              </w:rPr>
            </w:pPr>
            <w:r w:rsidRPr="00E42CC9">
              <w:rPr>
                <w:rStyle w:val="lawlabel"/>
                <w:rFonts w:ascii="Arial" w:hAnsi="Arial" w:cs="Arial"/>
                <w:b/>
                <w:bCs/>
                <w:sz w:val="22"/>
                <w:szCs w:val="22"/>
                <w:lang w:val="en-CA"/>
              </w:rPr>
              <w:t>(a)</w:t>
            </w:r>
            <w:r w:rsidRPr="00E42CC9">
              <w:rPr>
                <w:rFonts w:ascii="Arial" w:hAnsi="Arial" w:cs="Arial"/>
                <w:sz w:val="22"/>
                <w:szCs w:val="22"/>
                <w:lang w:val="en-CA"/>
              </w:rPr>
              <w:t> a dividend or similar payment,</w:t>
            </w:r>
          </w:p>
          <w:p w14:paraId="1AF50303" w14:textId="77777777" w:rsidR="000631E1" w:rsidRPr="00E42CC9" w:rsidRDefault="000631E1" w:rsidP="004C5AC9">
            <w:pPr>
              <w:pStyle w:val="paragraph"/>
              <w:numPr>
                <w:ilvl w:val="0"/>
                <w:numId w:val="22"/>
              </w:numPr>
              <w:shd w:val="clear" w:color="auto" w:fill="FFFFFF"/>
              <w:spacing w:before="0" w:beforeAutospacing="0" w:after="0" w:afterAutospacing="0"/>
              <w:ind w:left="1080"/>
              <w:jc w:val="both"/>
              <w:rPr>
                <w:rFonts w:ascii="Arial" w:hAnsi="Arial" w:cs="Arial"/>
                <w:sz w:val="22"/>
                <w:szCs w:val="22"/>
                <w:lang w:val="en-CA"/>
              </w:rPr>
            </w:pPr>
            <w:r w:rsidRPr="00E42CC9">
              <w:rPr>
                <w:rStyle w:val="lawlabel"/>
                <w:rFonts w:ascii="Arial" w:hAnsi="Arial" w:cs="Arial"/>
                <w:b/>
                <w:bCs/>
                <w:sz w:val="22"/>
                <w:szCs w:val="22"/>
                <w:lang w:val="en-CA"/>
              </w:rPr>
              <w:t>(b)</w:t>
            </w:r>
            <w:r w:rsidRPr="00E42CC9">
              <w:rPr>
                <w:rFonts w:ascii="Arial" w:hAnsi="Arial" w:cs="Arial"/>
                <w:sz w:val="22"/>
                <w:szCs w:val="22"/>
                <w:lang w:val="en-CA"/>
              </w:rPr>
              <w:t> a return of capital,</w:t>
            </w:r>
          </w:p>
          <w:p w14:paraId="44814F19" w14:textId="77777777" w:rsidR="000631E1" w:rsidRPr="00E42CC9" w:rsidRDefault="000631E1" w:rsidP="00002320">
            <w:pPr>
              <w:pStyle w:val="paragraph"/>
              <w:numPr>
                <w:ilvl w:val="0"/>
                <w:numId w:val="22"/>
              </w:numPr>
              <w:shd w:val="clear" w:color="auto" w:fill="FFFFFF"/>
              <w:spacing w:before="240" w:beforeAutospacing="0" w:after="0" w:afterAutospacing="0"/>
              <w:ind w:left="1080"/>
              <w:jc w:val="both"/>
              <w:rPr>
                <w:rFonts w:ascii="Arial" w:hAnsi="Arial" w:cs="Arial"/>
                <w:sz w:val="22"/>
                <w:szCs w:val="22"/>
                <w:lang w:val="en-CA"/>
              </w:rPr>
            </w:pPr>
            <w:r w:rsidRPr="00E42CC9">
              <w:rPr>
                <w:rStyle w:val="lawlabel"/>
                <w:rFonts w:ascii="Arial" w:hAnsi="Arial" w:cs="Arial"/>
                <w:b/>
                <w:bCs/>
                <w:sz w:val="22"/>
                <w:szCs w:val="22"/>
                <w:lang w:val="en-CA"/>
              </w:rPr>
              <w:t>(c)</w:t>
            </w:r>
            <w:r w:rsidRPr="00E42CC9">
              <w:rPr>
                <w:rFonts w:ascii="Arial" w:hAnsi="Arial" w:cs="Arial"/>
                <w:sz w:val="22"/>
                <w:szCs w:val="22"/>
                <w:lang w:val="en-CA"/>
              </w:rPr>
              <w:t> a redemption or retraction obligation,</w:t>
            </w:r>
          </w:p>
          <w:p w14:paraId="2F41C56C" w14:textId="77777777" w:rsidR="000631E1" w:rsidRPr="00E42CC9" w:rsidRDefault="000631E1" w:rsidP="00002320">
            <w:pPr>
              <w:pStyle w:val="paragraph"/>
              <w:numPr>
                <w:ilvl w:val="0"/>
                <w:numId w:val="22"/>
              </w:numPr>
              <w:shd w:val="clear" w:color="auto" w:fill="FFFFFF"/>
              <w:spacing w:before="480" w:beforeAutospacing="0" w:after="0" w:afterAutospacing="0"/>
              <w:ind w:left="1080"/>
              <w:jc w:val="both"/>
              <w:rPr>
                <w:rFonts w:ascii="Arial" w:hAnsi="Arial" w:cs="Arial"/>
                <w:sz w:val="22"/>
                <w:szCs w:val="22"/>
                <w:lang w:val="en-CA"/>
              </w:rPr>
            </w:pPr>
            <w:r w:rsidRPr="00E42CC9">
              <w:rPr>
                <w:rStyle w:val="lawlabel"/>
                <w:rFonts w:ascii="Arial" w:hAnsi="Arial" w:cs="Arial"/>
                <w:b/>
                <w:bCs/>
                <w:sz w:val="22"/>
                <w:szCs w:val="22"/>
                <w:lang w:val="en-CA"/>
              </w:rPr>
              <w:t>(d)</w:t>
            </w:r>
            <w:r w:rsidRPr="00E42CC9">
              <w:rPr>
                <w:rFonts w:ascii="Arial" w:hAnsi="Arial" w:cs="Arial"/>
                <w:sz w:val="22"/>
                <w:szCs w:val="22"/>
                <w:lang w:val="en-CA"/>
              </w:rPr>
              <w:t xml:space="preserve"> a monetary loss resulting from the ownership, purchase or </w:t>
            </w:r>
            <w:r w:rsidRPr="00E42CC9">
              <w:rPr>
                <w:rFonts w:ascii="Arial" w:hAnsi="Arial" w:cs="Arial"/>
                <w:sz w:val="22"/>
                <w:szCs w:val="22"/>
                <w:lang w:val="en-CA"/>
              </w:rPr>
              <w:lastRenderedPageBreak/>
              <w:t>sale of an equity interest or from the rescission, or, in Quebec, the annulment, of a purchase or sale of an equity interest, or</w:t>
            </w:r>
          </w:p>
          <w:p w14:paraId="093F985B" w14:textId="77777777" w:rsidR="000631E1" w:rsidRPr="00E42CC9" w:rsidRDefault="000631E1" w:rsidP="004C5AC9">
            <w:pPr>
              <w:pStyle w:val="paragraph"/>
              <w:numPr>
                <w:ilvl w:val="0"/>
                <w:numId w:val="22"/>
              </w:numPr>
              <w:shd w:val="clear" w:color="auto" w:fill="FFFFFF"/>
              <w:spacing w:before="0" w:beforeAutospacing="0" w:after="0" w:afterAutospacing="0"/>
              <w:ind w:left="1080"/>
              <w:jc w:val="both"/>
              <w:rPr>
                <w:rFonts w:ascii="Arial" w:hAnsi="Arial" w:cs="Arial"/>
                <w:sz w:val="22"/>
                <w:szCs w:val="22"/>
                <w:lang w:val="en-CA"/>
              </w:rPr>
            </w:pPr>
            <w:r w:rsidRPr="00E42CC9">
              <w:rPr>
                <w:rStyle w:val="lawlabel"/>
                <w:rFonts w:ascii="Arial" w:hAnsi="Arial" w:cs="Arial"/>
                <w:b/>
                <w:bCs/>
                <w:sz w:val="22"/>
                <w:szCs w:val="22"/>
                <w:lang w:val="en-CA"/>
              </w:rPr>
              <w:t>(e)</w:t>
            </w:r>
            <w:r w:rsidRPr="00E42CC9">
              <w:rPr>
                <w:rFonts w:ascii="Arial" w:hAnsi="Arial" w:cs="Arial"/>
                <w:sz w:val="22"/>
                <w:szCs w:val="22"/>
                <w:lang w:val="en-CA"/>
              </w:rPr>
              <w:t> contribution or indemnity in respect of a claim referred to in any of paragraphs (a) to (d);</w:t>
            </w:r>
            <w:r w:rsidRPr="00E42CC9">
              <w:rPr>
                <w:rFonts w:ascii="Arial" w:hAnsi="Arial" w:cs="Arial"/>
                <w:sz w:val="22"/>
                <w:szCs w:val="22"/>
                <w:lang w:val="en-CA"/>
              </w:rPr>
              <w:t> </w:t>
            </w:r>
            <w:r w:rsidRPr="00E42CC9">
              <w:rPr>
                <w:rFonts w:ascii="Arial" w:hAnsi="Arial" w:cs="Arial"/>
                <w:sz w:val="22"/>
                <w:szCs w:val="22"/>
                <w:lang w:val="en-CA"/>
              </w:rPr>
              <w:t>(</w:t>
            </w:r>
            <w:r w:rsidRPr="00E42CC9">
              <w:rPr>
                <w:rStyle w:val="definedtermlink"/>
                <w:rFonts w:ascii="Arial" w:hAnsi="Arial" w:cs="Arial"/>
                <w:i/>
                <w:iCs/>
                <w:sz w:val="22"/>
                <w:szCs w:val="22"/>
                <w:lang w:val="en-CA"/>
              </w:rPr>
              <w:t>réclamation relative à des capitaux propres</w:t>
            </w:r>
            <w:r w:rsidRPr="00E42CC9">
              <w:rPr>
                <w:rFonts w:ascii="Arial" w:hAnsi="Arial" w:cs="Arial"/>
                <w:sz w:val="22"/>
                <w:szCs w:val="22"/>
                <w:lang w:val="en-CA"/>
              </w:rPr>
              <w:t>)</w:t>
            </w:r>
          </w:p>
          <w:p w14:paraId="67C47F8C" w14:textId="77777777" w:rsidR="000631E1" w:rsidRPr="00E42CC9" w:rsidRDefault="000631E1" w:rsidP="004C5AC9">
            <w:pPr>
              <w:pStyle w:val="Paragraphe"/>
              <w:spacing w:before="0" w:after="0" w:line="240" w:lineRule="auto"/>
              <w:rPr>
                <w:sz w:val="22"/>
                <w:lang w:val="en-CA"/>
              </w:rPr>
            </w:pPr>
          </w:p>
          <w:p w14:paraId="785E094E" w14:textId="559C9A82" w:rsidR="000631E1" w:rsidRPr="00E42CC9" w:rsidRDefault="00E46862" w:rsidP="000631E1">
            <w:pPr>
              <w:pStyle w:val="Paragraphe"/>
              <w:spacing w:before="0" w:after="0" w:line="240" w:lineRule="auto"/>
              <w:rPr>
                <w:sz w:val="22"/>
                <w:lang w:val="en-CA"/>
              </w:rPr>
            </w:pPr>
            <w:r>
              <w:rPr>
                <w:sz w:val="22"/>
                <w:lang w:val="en-CA"/>
              </w:rPr>
              <w:t>[</w:t>
            </w:r>
            <w:r w:rsidR="000631E1" w:rsidRPr="00E42CC9">
              <w:rPr>
                <w:sz w:val="22"/>
                <w:lang w:val="en-CA"/>
              </w:rPr>
              <w:t>…</w:t>
            </w:r>
            <w:r>
              <w:rPr>
                <w:sz w:val="22"/>
                <w:lang w:val="en-CA"/>
              </w:rPr>
              <w:t>]</w:t>
            </w:r>
          </w:p>
          <w:p w14:paraId="4943B6AA" w14:textId="4A97E14F" w:rsidR="000631E1" w:rsidRPr="00E42CC9" w:rsidRDefault="000631E1" w:rsidP="004C5AC9">
            <w:pPr>
              <w:pStyle w:val="Paragraphe"/>
              <w:spacing w:before="240" w:after="0" w:line="240" w:lineRule="auto"/>
              <w:rPr>
                <w:rStyle w:val="DfinitionHTML"/>
                <w:rFonts w:cs="Arial"/>
                <w:b/>
                <w:bCs/>
                <w:sz w:val="22"/>
                <w:szCs w:val="22"/>
                <w:lang w:val="en-CA"/>
              </w:rPr>
            </w:pPr>
            <w:r w:rsidRPr="00E42CC9">
              <w:rPr>
                <w:rStyle w:val="sectionlabel"/>
                <w:b/>
                <w:bCs/>
                <w:sz w:val="22"/>
                <w:shd w:val="clear" w:color="auto" w:fill="FFFFFF"/>
                <w:lang w:val="en-CA"/>
              </w:rPr>
              <w:t>54.1</w:t>
            </w:r>
            <w:r w:rsidRPr="00E42CC9">
              <w:rPr>
                <w:sz w:val="22"/>
                <w:shd w:val="clear" w:color="auto" w:fill="FFFFFF"/>
                <w:lang w:val="en-CA"/>
              </w:rPr>
              <w:t> Despite paragraphs 54(2)(a) and (b), creditors having equity claims are to be in the same class of creditors in relation to those claims unless the court orders otherwise and may not, as members of that class, vote at any meeting unless the court orders otherwise.</w:t>
            </w:r>
          </w:p>
        </w:tc>
        <w:tc>
          <w:tcPr>
            <w:tcW w:w="4320" w:type="dxa"/>
            <w:shd w:val="clear" w:color="auto" w:fill="auto"/>
          </w:tcPr>
          <w:p w14:paraId="6EFCE7DA" w14:textId="23A5A423" w:rsidR="000631E1" w:rsidRPr="009E5ECE" w:rsidRDefault="000631E1" w:rsidP="000631E1">
            <w:pPr>
              <w:pStyle w:val="definition"/>
              <w:shd w:val="clear" w:color="auto" w:fill="FFFFFF"/>
              <w:spacing w:before="0" w:beforeAutospacing="0" w:after="0" w:afterAutospacing="0"/>
              <w:rPr>
                <w:rStyle w:val="DfinitionHTML"/>
                <w:rFonts w:ascii="Arial" w:hAnsi="Arial" w:cs="Arial"/>
                <w:i w:val="0"/>
                <w:iCs w:val="0"/>
                <w:sz w:val="22"/>
                <w:szCs w:val="22"/>
              </w:rPr>
            </w:pPr>
            <w:r w:rsidRPr="009E5ECE">
              <w:rPr>
                <w:rStyle w:val="DfinitionHTML"/>
                <w:rFonts w:ascii="Arial" w:hAnsi="Arial" w:cs="Arial"/>
                <w:b/>
                <w:bCs/>
                <w:i w:val="0"/>
                <w:iCs w:val="0"/>
                <w:sz w:val="22"/>
                <w:szCs w:val="22"/>
              </w:rPr>
              <w:lastRenderedPageBreak/>
              <w:t xml:space="preserve">2. </w:t>
            </w:r>
            <w:r w:rsidRPr="009E5ECE">
              <w:rPr>
                <w:rStyle w:val="DfinitionHTML"/>
                <w:rFonts w:ascii="Arial" w:hAnsi="Arial" w:cs="Arial"/>
                <w:bCs/>
                <w:i w:val="0"/>
                <w:iCs w:val="0"/>
                <w:sz w:val="22"/>
                <w:szCs w:val="22"/>
              </w:rPr>
              <w:t>[…]</w:t>
            </w:r>
          </w:p>
          <w:p w14:paraId="01D8307F" w14:textId="77777777" w:rsidR="000631E1" w:rsidRPr="009E5ECE" w:rsidRDefault="000631E1" w:rsidP="000631E1">
            <w:pPr>
              <w:pStyle w:val="definition"/>
              <w:shd w:val="clear" w:color="auto" w:fill="FFFFFF"/>
              <w:spacing w:before="0" w:beforeAutospacing="0" w:after="0" w:afterAutospacing="0"/>
              <w:rPr>
                <w:rStyle w:val="DfinitionHTML"/>
                <w:rFonts w:ascii="Arial" w:hAnsi="Arial" w:cs="Arial"/>
                <w:b/>
                <w:bCs/>
                <w:i w:val="0"/>
                <w:iCs w:val="0"/>
                <w:sz w:val="22"/>
                <w:szCs w:val="22"/>
              </w:rPr>
            </w:pPr>
          </w:p>
          <w:p w14:paraId="775794F9" w14:textId="77777777" w:rsidR="000631E1" w:rsidRPr="009E5ECE" w:rsidRDefault="000631E1" w:rsidP="004C5AC9">
            <w:pPr>
              <w:pStyle w:val="definition"/>
              <w:shd w:val="clear" w:color="auto" w:fill="FFFFFF"/>
              <w:spacing w:before="0" w:beforeAutospacing="0" w:after="0" w:afterAutospacing="0"/>
              <w:jc w:val="both"/>
              <w:rPr>
                <w:rFonts w:ascii="Arial" w:hAnsi="Arial" w:cs="Arial"/>
                <w:sz w:val="22"/>
                <w:szCs w:val="22"/>
              </w:rPr>
            </w:pPr>
            <w:proofErr w:type="gramStart"/>
            <w:r w:rsidRPr="009E5ECE">
              <w:rPr>
                <w:rStyle w:val="DfinitionHTML"/>
                <w:rFonts w:ascii="Arial" w:hAnsi="Arial" w:cs="Arial"/>
                <w:b/>
                <w:bCs/>
                <w:sz w:val="22"/>
                <w:szCs w:val="22"/>
              </w:rPr>
              <w:t>intérêt</w:t>
            </w:r>
            <w:proofErr w:type="gramEnd"/>
            <w:r w:rsidRPr="009E5ECE">
              <w:rPr>
                <w:rStyle w:val="DfinitionHTML"/>
                <w:rFonts w:ascii="Arial" w:hAnsi="Arial" w:cs="Arial"/>
                <w:b/>
                <w:bCs/>
                <w:sz w:val="22"/>
                <w:szCs w:val="22"/>
              </w:rPr>
              <w:t xml:space="preserve"> relatif à des capitaux propres</w:t>
            </w:r>
          </w:p>
          <w:p w14:paraId="75FAFB2E" w14:textId="455B09AC" w:rsidR="000631E1" w:rsidRPr="009E5ECE" w:rsidRDefault="000631E1" w:rsidP="004C5AC9">
            <w:pPr>
              <w:pStyle w:val="paragraph"/>
              <w:numPr>
                <w:ilvl w:val="0"/>
                <w:numId w:val="19"/>
              </w:numPr>
              <w:shd w:val="clear" w:color="auto" w:fill="FFFFFF"/>
              <w:spacing w:before="0" w:beforeAutospacing="0" w:after="0" w:afterAutospacing="0"/>
              <w:ind w:left="1080"/>
              <w:jc w:val="both"/>
              <w:rPr>
                <w:rFonts w:ascii="Arial" w:hAnsi="Arial" w:cs="Arial"/>
                <w:sz w:val="22"/>
                <w:szCs w:val="22"/>
              </w:rPr>
            </w:pPr>
            <w:r w:rsidRPr="009E5ECE">
              <w:rPr>
                <w:rStyle w:val="lawlabel"/>
                <w:rFonts w:ascii="Arial" w:hAnsi="Arial" w:cs="Arial"/>
                <w:b/>
                <w:bCs/>
                <w:sz w:val="22"/>
                <w:szCs w:val="22"/>
              </w:rPr>
              <w:t>a)</w:t>
            </w:r>
            <w:r w:rsidRPr="009E5ECE">
              <w:rPr>
                <w:rFonts w:ascii="Arial" w:hAnsi="Arial" w:cs="Arial"/>
                <w:sz w:val="22"/>
                <w:szCs w:val="22"/>
              </w:rPr>
              <w:t> S</w:t>
            </w:r>
            <w:r w:rsidR="008A0286" w:rsidRPr="009E5ECE">
              <w:rPr>
                <w:rFonts w:ascii="Arial" w:hAnsi="Arial" w:cs="Arial"/>
                <w:sz w:val="22"/>
                <w:szCs w:val="22"/>
              </w:rPr>
              <w:t>’</w:t>
            </w:r>
            <w:r w:rsidRPr="009E5ECE">
              <w:rPr>
                <w:rFonts w:ascii="Arial" w:hAnsi="Arial" w:cs="Arial"/>
                <w:sz w:val="22"/>
                <w:szCs w:val="22"/>
              </w:rPr>
              <w:t>agissant d</w:t>
            </w:r>
            <w:r w:rsidR="008A0286" w:rsidRPr="009E5ECE">
              <w:rPr>
                <w:rFonts w:ascii="Arial" w:hAnsi="Arial" w:cs="Arial"/>
                <w:sz w:val="22"/>
                <w:szCs w:val="22"/>
              </w:rPr>
              <w:t>’</w:t>
            </w:r>
            <w:r w:rsidRPr="009E5ECE">
              <w:rPr>
                <w:rFonts w:ascii="Arial" w:hAnsi="Arial" w:cs="Arial"/>
                <w:sz w:val="22"/>
                <w:szCs w:val="22"/>
              </w:rPr>
              <w:t>une personne morale autre qu</w:t>
            </w:r>
            <w:r w:rsidR="008A0286" w:rsidRPr="009E5ECE">
              <w:rPr>
                <w:rFonts w:ascii="Arial" w:hAnsi="Arial" w:cs="Arial"/>
                <w:sz w:val="22"/>
                <w:szCs w:val="22"/>
              </w:rPr>
              <w:t>’</w:t>
            </w:r>
            <w:r w:rsidRPr="009E5ECE">
              <w:rPr>
                <w:rFonts w:ascii="Arial" w:hAnsi="Arial" w:cs="Arial"/>
                <w:sz w:val="22"/>
                <w:szCs w:val="22"/>
              </w:rPr>
              <w:t>une fiducie de revenu, action de celle-ci ou bon de souscription, option ou autre droit permettant d</w:t>
            </w:r>
            <w:r w:rsidR="008A0286" w:rsidRPr="009E5ECE">
              <w:rPr>
                <w:rFonts w:ascii="Arial" w:hAnsi="Arial" w:cs="Arial"/>
                <w:sz w:val="22"/>
                <w:szCs w:val="22"/>
              </w:rPr>
              <w:t>’</w:t>
            </w:r>
            <w:r w:rsidRPr="009E5ECE">
              <w:rPr>
                <w:rFonts w:ascii="Arial" w:hAnsi="Arial" w:cs="Arial"/>
                <w:sz w:val="22"/>
                <w:szCs w:val="22"/>
              </w:rPr>
              <w:t>acquérir une telle action et ne provenant pas de la conversion d</w:t>
            </w:r>
            <w:r w:rsidR="008A0286" w:rsidRPr="009E5ECE">
              <w:rPr>
                <w:rFonts w:ascii="Arial" w:hAnsi="Arial" w:cs="Arial"/>
                <w:sz w:val="22"/>
                <w:szCs w:val="22"/>
              </w:rPr>
              <w:t>’</w:t>
            </w:r>
            <w:r w:rsidRPr="009E5ECE">
              <w:rPr>
                <w:rFonts w:ascii="Arial" w:hAnsi="Arial" w:cs="Arial"/>
                <w:sz w:val="22"/>
                <w:szCs w:val="22"/>
              </w:rPr>
              <w:t>une dette convertible;</w:t>
            </w:r>
          </w:p>
          <w:p w14:paraId="3883151D" w14:textId="2F17BB73" w:rsidR="000631E1" w:rsidRPr="009E5ECE" w:rsidRDefault="000631E1" w:rsidP="004C5AC9">
            <w:pPr>
              <w:pStyle w:val="paragraph"/>
              <w:numPr>
                <w:ilvl w:val="0"/>
                <w:numId w:val="19"/>
              </w:numPr>
              <w:shd w:val="clear" w:color="auto" w:fill="FFFFFF"/>
              <w:spacing w:before="0" w:beforeAutospacing="0" w:after="0" w:afterAutospacing="0"/>
              <w:ind w:left="1080"/>
              <w:jc w:val="both"/>
              <w:rPr>
                <w:rFonts w:ascii="Arial" w:hAnsi="Arial" w:cs="Arial"/>
                <w:sz w:val="22"/>
                <w:szCs w:val="22"/>
              </w:rPr>
            </w:pPr>
            <w:r w:rsidRPr="009E5ECE">
              <w:rPr>
                <w:rStyle w:val="lawlabel"/>
                <w:rFonts w:ascii="Arial" w:hAnsi="Arial" w:cs="Arial"/>
                <w:b/>
                <w:bCs/>
                <w:sz w:val="22"/>
                <w:szCs w:val="22"/>
              </w:rPr>
              <w:t>b)</w:t>
            </w:r>
            <w:r w:rsidRPr="009E5ECE">
              <w:rPr>
                <w:rFonts w:ascii="Arial" w:hAnsi="Arial" w:cs="Arial"/>
                <w:sz w:val="22"/>
                <w:szCs w:val="22"/>
              </w:rPr>
              <w:t> s</w:t>
            </w:r>
            <w:r w:rsidR="008A0286" w:rsidRPr="009E5ECE">
              <w:rPr>
                <w:rFonts w:ascii="Arial" w:hAnsi="Arial" w:cs="Arial"/>
                <w:sz w:val="22"/>
                <w:szCs w:val="22"/>
              </w:rPr>
              <w:t>’</w:t>
            </w:r>
            <w:r w:rsidRPr="009E5ECE">
              <w:rPr>
                <w:rFonts w:ascii="Arial" w:hAnsi="Arial" w:cs="Arial"/>
                <w:sz w:val="22"/>
                <w:szCs w:val="22"/>
              </w:rPr>
              <w:t>agissant d</w:t>
            </w:r>
            <w:r w:rsidR="008A0286" w:rsidRPr="009E5ECE">
              <w:rPr>
                <w:rFonts w:ascii="Arial" w:hAnsi="Arial" w:cs="Arial"/>
                <w:sz w:val="22"/>
                <w:szCs w:val="22"/>
              </w:rPr>
              <w:t>’</w:t>
            </w:r>
            <w:r w:rsidRPr="009E5ECE">
              <w:rPr>
                <w:rFonts w:ascii="Arial" w:hAnsi="Arial" w:cs="Arial"/>
                <w:sz w:val="22"/>
                <w:szCs w:val="22"/>
              </w:rPr>
              <w:t>une fiducie de revenu, part de celle-ci ou bon de souscription, option ou autre droit permettant d</w:t>
            </w:r>
            <w:r w:rsidR="008A0286" w:rsidRPr="009E5ECE">
              <w:rPr>
                <w:rFonts w:ascii="Arial" w:hAnsi="Arial" w:cs="Arial"/>
                <w:sz w:val="22"/>
                <w:szCs w:val="22"/>
              </w:rPr>
              <w:t>’</w:t>
            </w:r>
            <w:r w:rsidRPr="009E5ECE">
              <w:rPr>
                <w:rFonts w:ascii="Arial" w:hAnsi="Arial" w:cs="Arial"/>
                <w:sz w:val="22"/>
                <w:szCs w:val="22"/>
              </w:rPr>
              <w:t>acquérir une telle part et ne provenant pas de la conversion d</w:t>
            </w:r>
            <w:r w:rsidR="008A0286" w:rsidRPr="009E5ECE">
              <w:rPr>
                <w:rFonts w:ascii="Arial" w:hAnsi="Arial" w:cs="Arial"/>
                <w:sz w:val="22"/>
                <w:szCs w:val="22"/>
              </w:rPr>
              <w:t>’</w:t>
            </w:r>
            <w:r w:rsidRPr="009E5ECE">
              <w:rPr>
                <w:rFonts w:ascii="Arial" w:hAnsi="Arial" w:cs="Arial"/>
                <w:sz w:val="22"/>
                <w:szCs w:val="22"/>
              </w:rPr>
              <w:t>une dette convertible.</w:t>
            </w:r>
            <w:r w:rsidRPr="009E5ECE">
              <w:rPr>
                <w:rFonts w:ascii="Arial" w:hAnsi="Arial" w:cs="Arial"/>
                <w:sz w:val="22"/>
                <w:szCs w:val="22"/>
              </w:rPr>
              <w:t> </w:t>
            </w:r>
            <w:r w:rsidRPr="009E5ECE">
              <w:rPr>
                <w:rFonts w:ascii="Arial" w:hAnsi="Arial" w:cs="Arial"/>
                <w:sz w:val="22"/>
                <w:szCs w:val="22"/>
              </w:rPr>
              <w:t>(</w:t>
            </w:r>
            <w:r w:rsidRPr="009E5ECE">
              <w:rPr>
                <w:rStyle w:val="definedtermlink"/>
                <w:rFonts w:ascii="Arial" w:hAnsi="Arial" w:cs="Arial"/>
                <w:i/>
                <w:iCs/>
                <w:sz w:val="22"/>
                <w:szCs w:val="22"/>
              </w:rPr>
              <w:t>equity interest</w:t>
            </w:r>
            <w:r w:rsidRPr="009E5ECE">
              <w:rPr>
                <w:rFonts w:ascii="Arial" w:hAnsi="Arial" w:cs="Arial"/>
                <w:sz w:val="22"/>
                <w:szCs w:val="22"/>
              </w:rPr>
              <w:t>)</w:t>
            </w:r>
          </w:p>
          <w:p w14:paraId="06A6F9BA" w14:textId="77777777" w:rsidR="000631E1" w:rsidRPr="009E5ECE" w:rsidRDefault="000631E1" w:rsidP="004C5AC9">
            <w:pPr>
              <w:pStyle w:val="paragraph"/>
              <w:shd w:val="clear" w:color="auto" w:fill="FFFFFF"/>
              <w:spacing w:before="0" w:beforeAutospacing="0" w:after="0" w:afterAutospacing="0"/>
              <w:jc w:val="both"/>
              <w:rPr>
                <w:rStyle w:val="lawlabel"/>
                <w:rFonts w:ascii="Arial" w:hAnsi="Arial" w:cs="Arial"/>
                <w:sz w:val="22"/>
                <w:szCs w:val="22"/>
              </w:rPr>
            </w:pPr>
          </w:p>
          <w:p w14:paraId="01CC1336" w14:textId="77777777" w:rsidR="000631E1" w:rsidRPr="009E5ECE" w:rsidRDefault="000631E1" w:rsidP="004C5AC9">
            <w:pPr>
              <w:pStyle w:val="paragraph"/>
              <w:shd w:val="clear" w:color="auto" w:fill="FFFFFF"/>
              <w:spacing w:before="0" w:beforeAutospacing="0" w:after="0" w:afterAutospacing="0"/>
              <w:jc w:val="both"/>
              <w:rPr>
                <w:rStyle w:val="lawlabel"/>
                <w:rFonts w:ascii="Arial" w:hAnsi="Arial" w:cs="Arial"/>
                <w:sz w:val="22"/>
                <w:szCs w:val="22"/>
              </w:rPr>
            </w:pPr>
          </w:p>
          <w:p w14:paraId="17CDC7B0" w14:textId="0B70CF44" w:rsidR="000631E1" w:rsidRPr="009E5ECE" w:rsidRDefault="000631E1" w:rsidP="004C5AC9">
            <w:pPr>
              <w:pStyle w:val="paragraph"/>
              <w:shd w:val="clear" w:color="auto" w:fill="FFFFFF"/>
              <w:spacing w:before="0" w:beforeAutospacing="0" w:after="0" w:afterAutospacing="0"/>
              <w:jc w:val="both"/>
              <w:rPr>
                <w:rFonts w:ascii="Arial" w:hAnsi="Arial" w:cs="Arial"/>
                <w:sz w:val="22"/>
                <w:szCs w:val="22"/>
              </w:rPr>
            </w:pPr>
            <w:r w:rsidRPr="009E5ECE">
              <w:rPr>
                <w:rStyle w:val="lawlabel"/>
                <w:rFonts w:ascii="Arial" w:hAnsi="Arial" w:cs="Arial"/>
                <w:sz w:val="22"/>
                <w:szCs w:val="22"/>
              </w:rPr>
              <w:t>[…]</w:t>
            </w:r>
          </w:p>
          <w:p w14:paraId="2CFBDD56" w14:textId="77777777" w:rsidR="00002320" w:rsidRPr="009E5ECE" w:rsidRDefault="00002320" w:rsidP="004C5AC9">
            <w:pPr>
              <w:pStyle w:val="definition"/>
              <w:shd w:val="clear" w:color="auto" w:fill="FFFFFF"/>
              <w:spacing w:before="0" w:beforeAutospacing="0" w:after="0" w:afterAutospacing="0"/>
              <w:jc w:val="both"/>
              <w:rPr>
                <w:rStyle w:val="DfinitionHTML"/>
                <w:rFonts w:ascii="Arial" w:hAnsi="Arial" w:cs="Arial"/>
                <w:b/>
                <w:bCs/>
                <w:sz w:val="22"/>
                <w:szCs w:val="22"/>
              </w:rPr>
            </w:pPr>
          </w:p>
          <w:p w14:paraId="4C726FB9" w14:textId="683DFC10" w:rsidR="000631E1" w:rsidRPr="009E5ECE" w:rsidRDefault="000631E1" w:rsidP="004C5AC9">
            <w:pPr>
              <w:pStyle w:val="definition"/>
              <w:shd w:val="clear" w:color="auto" w:fill="FFFFFF"/>
              <w:spacing w:before="0" w:beforeAutospacing="0" w:after="0" w:afterAutospacing="0"/>
              <w:jc w:val="both"/>
              <w:rPr>
                <w:rFonts w:ascii="Arial" w:hAnsi="Arial" w:cs="Arial"/>
                <w:sz w:val="22"/>
                <w:szCs w:val="22"/>
              </w:rPr>
            </w:pPr>
            <w:r w:rsidRPr="009E5ECE">
              <w:rPr>
                <w:rStyle w:val="DfinitionHTML"/>
                <w:rFonts w:ascii="Arial" w:hAnsi="Arial" w:cs="Arial"/>
                <w:b/>
                <w:bCs/>
                <w:sz w:val="22"/>
                <w:szCs w:val="22"/>
              </w:rPr>
              <w:t>réclamation relative à des capitaux propres</w:t>
            </w:r>
            <w:r w:rsidRPr="009E5ECE">
              <w:rPr>
                <w:rFonts w:ascii="Arial" w:hAnsi="Arial" w:cs="Arial"/>
                <w:sz w:val="22"/>
                <w:szCs w:val="22"/>
              </w:rPr>
              <w:t> </w:t>
            </w:r>
            <w:r w:rsidRPr="009E5ECE">
              <w:rPr>
                <w:rFonts w:ascii="Arial" w:hAnsi="Arial" w:cs="Arial"/>
                <w:sz w:val="22"/>
                <w:szCs w:val="22"/>
              </w:rPr>
              <w:t>Réclamation portant sur un intérêt relatif à des capitaux propres et visant notamment :</w:t>
            </w:r>
          </w:p>
          <w:p w14:paraId="5D34DC4E" w14:textId="77777777" w:rsidR="000631E1" w:rsidRPr="009E5ECE" w:rsidRDefault="000631E1" w:rsidP="00002320">
            <w:pPr>
              <w:pStyle w:val="paragraph"/>
              <w:numPr>
                <w:ilvl w:val="0"/>
                <w:numId w:val="20"/>
              </w:numPr>
              <w:shd w:val="clear" w:color="auto" w:fill="FFFFFF"/>
              <w:spacing w:before="240" w:beforeAutospacing="0" w:after="0" w:afterAutospacing="0"/>
              <w:ind w:left="1080"/>
              <w:jc w:val="both"/>
              <w:rPr>
                <w:rFonts w:ascii="Arial" w:hAnsi="Arial" w:cs="Arial"/>
                <w:sz w:val="22"/>
                <w:szCs w:val="22"/>
              </w:rPr>
            </w:pPr>
            <w:r w:rsidRPr="009E5ECE">
              <w:rPr>
                <w:rStyle w:val="lawlabel"/>
                <w:rFonts w:ascii="Arial" w:hAnsi="Arial" w:cs="Arial"/>
                <w:b/>
                <w:bCs/>
                <w:sz w:val="22"/>
                <w:szCs w:val="22"/>
              </w:rPr>
              <w:t>a)</w:t>
            </w:r>
            <w:r w:rsidRPr="009E5ECE">
              <w:rPr>
                <w:rFonts w:ascii="Arial" w:hAnsi="Arial" w:cs="Arial"/>
                <w:sz w:val="22"/>
                <w:szCs w:val="22"/>
              </w:rPr>
              <w:t> un dividende ou un paiement similaire;</w:t>
            </w:r>
          </w:p>
          <w:p w14:paraId="4FF47CD8" w14:textId="77777777" w:rsidR="000631E1" w:rsidRPr="009E5ECE" w:rsidRDefault="000631E1" w:rsidP="004C5AC9">
            <w:pPr>
              <w:pStyle w:val="paragraph"/>
              <w:numPr>
                <w:ilvl w:val="0"/>
                <w:numId w:val="20"/>
              </w:numPr>
              <w:shd w:val="clear" w:color="auto" w:fill="FFFFFF"/>
              <w:spacing w:before="0" w:beforeAutospacing="0" w:after="0" w:afterAutospacing="0"/>
              <w:ind w:left="1080"/>
              <w:jc w:val="both"/>
              <w:rPr>
                <w:rFonts w:ascii="Arial" w:hAnsi="Arial" w:cs="Arial"/>
                <w:sz w:val="22"/>
                <w:szCs w:val="22"/>
              </w:rPr>
            </w:pPr>
            <w:r w:rsidRPr="009E5ECE">
              <w:rPr>
                <w:rStyle w:val="lawlabel"/>
                <w:rFonts w:ascii="Arial" w:hAnsi="Arial" w:cs="Arial"/>
                <w:b/>
                <w:bCs/>
                <w:sz w:val="22"/>
                <w:szCs w:val="22"/>
              </w:rPr>
              <w:t>b)</w:t>
            </w:r>
            <w:r w:rsidRPr="009E5ECE">
              <w:rPr>
                <w:rFonts w:ascii="Arial" w:hAnsi="Arial" w:cs="Arial"/>
                <w:sz w:val="22"/>
                <w:szCs w:val="22"/>
              </w:rPr>
              <w:t> un remboursement de capital;</w:t>
            </w:r>
          </w:p>
          <w:p w14:paraId="71664282" w14:textId="2686A168" w:rsidR="000631E1" w:rsidRPr="009E5ECE" w:rsidRDefault="000631E1" w:rsidP="00002320">
            <w:pPr>
              <w:pStyle w:val="paragraph"/>
              <w:numPr>
                <w:ilvl w:val="0"/>
                <w:numId w:val="20"/>
              </w:numPr>
              <w:shd w:val="clear" w:color="auto" w:fill="FFFFFF"/>
              <w:spacing w:before="240" w:beforeAutospacing="0" w:after="0" w:afterAutospacing="0"/>
              <w:ind w:left="1080"/>
              <w:jc w:val="both"/>
              <w:rPr>
                <w:rFonts w:ascii="Arial" w:hAnsi="Arial" w:cs="Arial"/>
                <w:sz w:val="22"/>
                <w:szCs w:val="22"/>
              </w:rPr>
            </w:pPr>
            <w:r w:rsidRPr="009E5ECE">
              <w:rPr>
                <w:rStyle w:val="lawlabel"/>
                <w:rFonts w:ascii="Arial" w:hAnsi="Arial" w:cs="Arial"/>
                <w:b/>
                <w:bCs/>
                <w:sz w:val="22"/>
                <w:szCs w:val="22"/>
              </w:rPr>
              <w:t>c)</w:t>
            </w:r>
            <w:r w:rsidRPr="009E5ECE">
              <w:rPr>
                <w:rFonts w:ascii="Arial" w:hAnsi="Arial" w:cs="Arial"/>
                <w:sz w:val="22"/>
                <w:szCs w:val="22"/>
              </w:rPr>
              <w:t> tout droit de rachat d</w:t>
            </w:r>
            <w:r w:rsidR="008A0286" w:rsidRPr="009E5ECE">
              <w:rPr>
                <w:rFonts w:ascii="Arial" w:hAnsi="Arial" w:cs="Arial"/>
                <w:sz w:val="22"/>
                <w:szCs w:val="22"/>
              </w:rPr>
              <w:t>’</w:t>
            </w:r>
            <w:r w:rsidRPr="009E5ECE">
              <w:rPr>
                <w:rFonts w:ascii="Arial" w:hAnsi="Arial" w:cs="Arial"/>
                <w:sz w:val="22"/>
                <w:szCs w:val="22"/>
              </w:rPr>
              <w:t>actions au gré de l</w:t>
            </w:r>
            <w:r w:rsidR="008A0286" w:rsidRPr="009E5ECE">
              <w:rPr>
                <w:rFonts w:ascii="Arial" w:hAnsi="Arial" w:cs="Arial"/>
                <w:sz w:val="22"/>
                <w:szCs w:val="22"/>
              </w:rPr>
              <w:t>’</w:t>
            </w:r>
            <w:r w:rsidRPr="009E5ECE">
              <w:rPr>
                <w:rFonts w:ascii="Arial" w:hAnsi="Arial" w:cs="Arial"/>
                <w:sz w:val="22"/>
                <w:szCs w:val="22"/>
              </w:rPr>
              <w:t>actionnaire ou de remboursement anticipé d</w:t>
            </w:r>
            <w:r w:rsidR="008A0286" w:rsidRPr="009E5ECE">
              <w:rPr>
                <w:rFonts w:ascii="Arial" w:hAnsi="Arial" w:cs="Arial"/>
                <w:sz w:val="22"/>
                <w:szCs w:val="22"/>
              </w:rPr>
              <w:t>’</w:t>
            </w:r>
            <w:r w:rsidRPr="009E5ECE">
              <w:rPr>
                <w:rFonts w:ascii="Arial" w:hAnsi="Arial" w:cs="Arial"/>
                <w:sz w:val="22"/>
                <w:szCs w:val="22"/>
              </w:rPr>
              <w:t>actions au gré de l</w:t>
            </w:r>
            <w:r w:rsidR="008A0286" w:rsidRPr="009E5ECE">
              <w:rPr>
                <w:rFonts w:ascii="Arial" w:hAnsi="Arial" w:cs="Arial"/>
                <w:sz w:val="22"/>
                <w:szCs w:val="22"/>
              </w:rPr>
              <w:t>’</w:t>
            </w:r>
            <w:r w:rsidRPr="009E5ECE">
              <w:rPr>
                <w:rFonts w:ascii="Arial" w:hAnsi="Arial" w:cs="Arial"/>
                <w:sz w:val="22"/>
                <w:szCs w:val="22"/>
              </w:rPr>
              <w:t>émetteur;</w:t>
            </w:r>
          </w:p>
          <w:p w14:paraId="7B125F79" w14:textId="106D91C7" w:rsidR="000631E1" w:rsidRPr="009E5ECE" w:rsidRDefault="000631E1" w:rsidP="004C5AC9">
            <w:pPr>
              <w:pStyle w:val="paragraph"/>
              <w:numPr>
                <w:ilvl w:val="0"/>
                <w:numId w:val="20"/>
              </w:numPr>
              <w:shd w:val="clear" w:color="auto" w:fill="FFFFFF"/>
              <w:spacing w:before="0" w:beforeAutospacing="0" w:after="0" w:afterAutospacing="0"/>
              <w:ind w:left="1080"/>
              <w:jc w:val="both"/>
              <w:rPr>
                <w:rFonts w:ascii="Arial" w:hAnsi="Arial" w:cs="Arial"/>
                <w:sz w:val="22"/>
                <w:szCs w:val="22"/>
              </w:rPr>
            </w:pPr>
            <w:r w:rsidRPr="009E5ECE">
              <w:rPr>
                <w:rStyle w:val="lawlabel"/>
                <w:rFonts w:ascii="Arial" w:hAnsi="Arial" w:cs="Arial"/>
                <w:b/>
                <w:bCs/>
                <w:sz w:val="22"/>
                <w:szCs w:val="22"/>
              </w:rPr>
              <w:lastRenderedPageBreak/>
              <w:t>d)</w:t>
            </w:r>
            <w:r w:rsidRPr="009E5ECE">
              <w:rPr>
                <w:rFonts w:ascii="Arial" w:hAnsi="Arial" w:cs="Arial"/>
                <w:sz w:val="22"/>
                <w:szCs w:val="22"/>
              </w:rPr>
              <w:t> des pertes pécuniaires associées à la propriété, à l</w:t>
            </w:r>
            <w:r w:rsidR="008A0286" w:rsidRPr="009E5ECE">
              <w:rPr>
                <w:rFonts w:ascii="Arial" w:hAnsi="Arial" w:cs="Arial"/>
                <w:sz w:val="22"/>
                <w:szCs w:val="22"/>
              </w:rPr>
              <w:t>’</w:t>
            </w:r>
            <w:r w:rsidRPr="009E5ECE">
              <w:rPr>
                <w:rFonts w:ascii="Arial" w:hAnsi="Arial" w:cs="Arial"/>
                <w:sz w:val="22"/>
                <w:szCs w:val="22"/>
              </w:rPr>
              <w:t>achat ou à la vente d</w:t>
            </w:r>
            <w:r w:rsidR="008A0286" w:rsidRPr="009E5ECE">
              <w:rPr>
                <w:rFonts w:ascii="Arial" w:hAnsi="Arial" w:cs="Arial"/>
                <w:sz w:val="22"/>
                <w:szCs w:val="22"/>
              </w:rPr>
              <w:t>’</w:t>
            </w:r>
            <w:r w:rsidRPr="009E5ECE">
              <w:rPr>
                <w:rFonts w:ascii="Arial" w:hAnsi="Arial" w:cs="Arial"/>
                <w:sz w:val="22"/>
                <w:szCs w:val="22"/>
              </w:rPr>
              <w:t>un intérêt relatif à des capitaux propres ou à l</w:t>
            </w:r>
            <w:r w:rsidR="008A0286" w:rsidRPr="009E5ECE">
              <w:rPr>
                <w:rFonts w:ascii="Arial" w:hAnsi="Arial" w:cs="Arial"/>
                <w:sz w:val="22"/>
                <w:szCs w:val="22"/>
              </w:rPr>
              <w:t>’</w:t>
            </w:r>
            <w:r w:rsidRPr="009E5ECE">
              <w:rPr>
                <w:rFonts w:ascii="Arial" w:hAnsi="Arial" w:cs="Arial"/>
                <w:sz w:val="22"/>
                <w:szCs w:val="22"/>
              </w:rPr>
              <w:t>annulation de cet achat ou de cette vente;</w:t>
            </w:r>
          </w:p>
          <w:p w14:paraId="0AE594AE" w14:textId="414C2E4D" w:rsidR="000631E1" w:rsidRPr="009E5ECE" w:rsidRDefault="000631E1" w:rsidP="004C5AC9">
            <w:pPr>
              <w:pStyle w:val="paragraph"/>
              <w:numPr>
                <w:ilvl w:val="0"/>
                <w:numId w:val="20"/>
              </w:numPr>
              <w:shd w:val="clear" w:color="auto" w:fill="FFFFFF"/>
              <w:spacing w:before="0" w:beforeAutospacing="0" w:after="0" w:afterAutospacing="0"/>
              <w:ind w:left="1080"/>
              <w:jc w:val="both"/>
              <w:rPr>
                <w:rFonts w:ascii="Arial" w:hAnsi="Arial" w:cs="Arial"/>
                <w:sz w:val="22"/>
                <w:szCs w:val="22"/>
              </w:rPr>
            </w:pPr>
            <w:r w:rsidRPr="009E5ECE">
              <w:rPr>
                <w:rStyle w:val="lawlabel"/>
                <w:rFonts w:ascii="Arial" w:hAnsi="Arial" w:cs="Arial"/>
                <w:b/>
                <w:bCs/>
                <w:sz w:val="22"/>
                <w:szCs w:val="22"/>
              </w:rPr>
              <w:t>e)</w:t>
            </w:r>
            <w:r w:rsidRPr="009E5ECE">
              <w:rPr>
                <w:rFonts w:ascii="Arial" w:hAnsi="Arial" w:cs="Arial"/>
                <w:sz w:val="22"/>
                <w:szCs w:val="22"/>
              </w:rPr>
              <w:t> une contribution ou une indemnité relative à toute réclamation visée à l</w:t>
            </w:r>
            <w:r w:rsidR="008A0286" w:rsidRPr="009E5ECE">
              <w:rPr>
                <w:rFonts w:ascii="Arial" w:hAnsi="Arial" w:cs="Arial"/>
                <w:sz w:val="22"/>
                <w:szCs w:val="22"/>
              </w:rPr>
              <w:t>’</w:t>
            </w:r>
            <w:r w:rsidRPr="009E5ECE">
              <w:rPr>
                <w:rFonts w:ascii="Arial" w:hAnsi="Arial" w:cs="Arial"/>
                <w:sz w:val="22"/>
                <w:szCs w:val="22"/>
              </w:rPr>
              <w:t>un des alinéas a) à d).</w:t>
            </w:r>
            <w:r w:rsidRPr="009E5ECE">
              <w:rPr>
                <w:rFonts w:ascii="Arial" w:hAnsi="Arial" w:cs="Arial"/>
                <w:sz w:val="22"/>
                <w:szCs w:val="22"/>
              </w:rPr>
              <w:t> </w:t>
            </w:r>
            <w:r w:rsidRPr="009E5ECE">
              <w:rPr>
                <w:rFonts w:ascii="Arial" w:hAnsi="Arial" w:cs="Arial"/>
                <w:sz w:val="22"/>
                <w:szCs w:val="22"/>
              </w:rPr>
              <w:t>(</w:t>
            </w:r>
            <w:r w:rsidRPr="009E5ECE">
              <w:rPr>
                <w:rStyle w:val="definedtermlink"/>
                <w:rFonts w:ascii="Arial" w:hAnsi="Arial" w:cs="Arial"/>
                <w:i/>
                <w:iCs/>
                <w:sz w:val="22"/>
                <w:szCs w:val="22"/>
              </w:rPr>
              <w:t>equity claim</w:t>
            </w:r>
            <w:r w:rsidRPr="009E5ECE">
              <w:rPr>
                <w:rFonts w:ascii="Arial" w:hAnsi="Arial" w:cs="Arial"/>
                <w:sz w:val="22"/>
                <w:szCs w:val="22"/>
              </w:rPr>
              <w:t>)</w:t>
            </w:r>
          </w:p>
          <w:p w14:paraId="0618C380" w14:textId="77777777" w:rsidR="000631E1" w:rsidRPr="009E5ECE" w:rsidRDefault="000631E1" w:rsidP="000631E1">
            <w:pPr>
              <w:pStyle w:val="section"/>
              <w:shd w:val="clear" w:color="auto" w:fill="FFFFFF"/>
              <w:spacing w:before="0" w:beforeAutospacing="0" w:after="0" w:afterAutospacing="0"/>
              <w:rPr>
                <w:rStyle w:val="sectionlabel"/>
                <w:rFonts w:ascii="Arial" w:eastAsiaTheme="majorEastAsia" w:hAnsi="Arial" w:cs="Arial"/>
                <w:sz w:val="22"/>
                <w:szCs w:val="22"/>
              </w:rPr>
            </w:pPr>
          </w:p>
          <w:p w14:paraId="3EFCC759" w14:textId="77777777" w:rsidR="000631E1" w:rsidRPr="009E5ECE" w:rsidRDefault="000631E1" w:rsidP="000631E1">
            <w:pPr>
              <w:pStyle w:val="section"/>
              <w:shd w:val="clear" w:color="auto" w:fill="FFFFFF"/>
              <w:spacing w:before="0" w:beforeAutospacing="0" w:after="0" w:afterAutospacing="0"/>
              <w:rPr>
                <w:rStyle w:val="sectionlabel"/>
                <w:rFonts w:ascii="Arial" w:eastAsiaTheme="majorEastAsia" w:hAnsi="Arial" w:cs="Arial"/>
                <w:sz w:val="22"/>
                <w:szCs w:val="22"/>
              </w:rPr>
            </w:pPr>
          </w:p>
          <w:p w14:paraId="24858418" w14:textId="7F10B500" w:rsidR="000631E1" w:rsidRPr="009E5ECE" w:rsidRDefault="000631E1" w:rsidP="000631E1">
            <w:pPr>
              <w:pStyle w:val="section"/>
              <w:shd w:val="clear" w:color="auto" w:fill="FFFFFF"/>
              <w:spacing w:before="0" w:beforeAutospacing="0" w:after="0" w:afterAutospacing="0"/>
              <w:rPr>
                <w:rStyle w:val="sectionlabel"/>
                <w:rFonts w:ascii="Arial" w:eastAsiaTheme="majorEastAsia" w:hAnsi="Arial" w:cs="Arial"/>
                <w:sz w:val="22"/>
                <w:szCs w:val="22"/>
              </w:rPr>
            </w:pPr>
            <w:r w:rsidRPr="009E5ECE">
              <w:rPr>
                <w:rStyle w:val="sectionlabel"/>
                <w:rFonts w:ascii="Arial" w:eastAsiaTheme="majorEastAsia" w:hAnsi="Arial" w:cs="Arial"/>
                <w:sz w:val="22"/>
                <w:szCs w:val="22"/>
              </w:rPr>
              <w:t>[…]</w:t>
            </w:r>
          </w:p>
          <w:p w14:paraId="31295EFE" w14:textId="65917CF7" w:rsidR="000631E1" w:rsidRPr="009E5ECE" w:rsidRDefault="000631E1" w:rsidP="000631E1">
            <w:pPr>
              <w:pStyle w:val="Paragraphe"/>
              <w:spacing w:before="240" w:after="0" w:line="240" w:lineRule="auto"/>
              <w:rPr>
                <w:rFonts w:cs="Arial"/>
                <w:sz w:val="22"/>
                <w:szCs w:val="22"/>
              </w:rPr>
            </w:pPr>
            <w:r w:rsidRPr="009E5ECE">
              <w:rPr>
                <w:rStyle w:val="sectionlabel"/>
                <w:rFonts w:eastAsiaTheme="majorEastAsia" w:cs="Arial"/>
                <w:b/>
                <w:bCs/>
                <w:sz w:val="22"/>
                <w:szCs w:val="22"/>
              </w:rPr>
              <w:t>54.1</w:t>
            </w:r>
            <w:r w:rsidRPr="009E5ECE">
              <w:rPr>
                <w:rFonts w:cs="Arial"/>
                <w:sz w:val="22"/>
                <w:szCs w:val="22"/>
              </w:rPr>
              <w:t xml:space="preserve"> Malgré les alinéas 54(2)a) et b), les créanciers qui ont des réclamations relatives à </w:t>
            </w:r>
            <w:r w:rsidRPr="009E5ECE">
              <w:rPr>
                <w:sz w:val="22"/>
                <w:shd w:val="clear" w:color="auto" w:fill="FFFFFF"/>
              </w:rPr>
              <w:t>des</w:t>
            </w:r>
            <w:r w:rsidRPr="009E5ECE">
              <w:rPr>
                <w:rFonts w:cs="Arial"/>
                <w:sz w:val="22"/>
                <w:szCs w:val="22"/>
              </w:rPr>
              <w:t xml:space="preserve"> capitaux propres font partie d</w:t>
            </w:r>
            <w:r w:rsidR="008A0286" w:rsidRPr="009E5ECE">
              <w:rPr>
                <w:rFonts w:cs="Arial"/>
                <w:sz w:val="22"/>
                <w:szCs w:val="22"/>
              </w:rPr>
              <w:t>’</w:t>
            </w:r>
            <w:r w:rsidRPr="009E5ECE">
              <w:rPr>
                <w:rFonts w:cs="Arial"/>
                <w:sz w:val="22"/>
                <w:szCs w:val="22"/>
              </w:rPr>
              <w:t>une même catégorie de créanciers relativement à ces réclamations, sauf ordonnance contraire du tribunal, et ne peuvent à ce titre voter à aucune assemblée, sauf ordonnance contraire du tribunal.</w:t>
            </w:r>
          </w:p>
        </w:tc>
        <w:tc>
          <w:tcPr>
            <w:tcW w:w="4320" w:type="dxa"/>
            <w:shd w:val="clear" w:color="auto" w:fill="auto"/>
          </w:tcPr>
          <w:p w14:paraId="4CBAFC35" w14:textId="2D5BBE5F" w:rsidR="000631E1" w:rsidRPr="00C5131E" w:rsidRDefault="000631E1" w:rsidP="000631E1">
            <w:pPr>
              <w:pStyle w:val="Paragraphe"/>
              <w:spacing w:before="0" w:after="0" w:line="240" w:lineRule="auto"/>
              <w:rPr>
                <w:sz w:val="22"/>
              </w:rPr>
            </w:pPr>
          </w:p>
        </w:tc>
      </w:tr>
    </w:tbl>
    <w:p w14:paraId="58A16E1C" w14:textId="72A32CA0" w:rsidR="00E16838" w:rsidRPr="00E42CC9" w:rsidRDefault="00316383" w:rsidP="004C5AC9">
      <w:pPr>
        <w:pStyle w:val="Paragraphe"/>
        <w:numPr>
          <w:ilvl w:val="0"/>
          <w:numId w:val="1"/>
        </w:numPr>
        <w:tabs>
          <w:tab w:val="clear" w:pos="360"/>
        </w:tabs>
        <w:spacing w:before="240" w:line="240" w:lineRule="auto"/>
        <w:rPr>
          <w:lang w:val="en-CA"/>
        </w:rPr>
      </w:pPr>
      <w:r w:rsidRPr="00E42CC9">
        <w:rPr>
          <w:lang w:val="en-CA"/>
        </w:rPr>
        <w:t xml:space="preserve">It </w:t>
      </w:r>
      <w:r w:rsidR="00EB6B74">
        <w:rPr>
          <w:lang w:val="en-CA"/>
        </w:rPr>
        <w:t xml:space="preserve">will </w:t>
      </w:r>
      <w:r w:rsidRPr="00E42CC9">
        <w:rPr>
          <w:lang w:val="en-CA"/>
        </w:rPr>
        <w:t xml:space="preserve">also </w:t>
      </w:r>
      <w:r w:rsidR="00EB6B74">
        <w:rPr>
          <w:lang w:val="en-CA"/>
        </w:rPr>
        <w:t xml:space="preserve">be helpful to reproduce </w:t>
      </w:r>
      <w:r w:rsidRPr="00E42CC9">
        <w:rPr>
          <w:lang w:val="en-CA"/>
        </w:rPr>
        <w:t xml:space="preserve">s. 286 </w:t>
      </w:r>
      <w:r w:rsidRPr="00E42CC9">
        <w:rPr>
          <w:i/>
          <w:iCs/>
          <w:lang w:val="en-CA"/>
        </w:rPr>
        <w:t>BCA</w:t>
      </w:r>
      <w:r w:rsidRPr="00E42CC9">
        <w:rPr>
          <w:lang w:val="en-CA"/>
        </w:rPr>
        <w:t>:</w:t>
      </w:r>
    </w:p>
    <w:tbl>
      <w:tblPr>
        <w:tblW w:w="0" w:type="auto"/>
        <w:tblLayout w:type="fixed"/>
        <w:tblCellMar>
          <w:left w:w="70" w:type="dxa"/>
          <w:right w:w="70" w:type="dxa"/>
        </w:tblCellMar>
        <w:tblLook w:val="0000" w:firstRow="0" w:lastRow="0" w:firstColumn="0" w:lastColumn="0" w:noHBand="0" w:noVBand="0"/>
      </w:tblPr>
      <w:tblGrid>
        <w:gridCol w:w="4320"/>
        <w:gridCol w:w="4320"/>
      </w:tblGrid>
      <w:tr w:rsidR="000C6D16" w:rsidRPr="00E42CC9" w14:paraId="63082564" w14:textId="77777777" w:rsidTr="00020C54">
        <w:tc>
          <w:tcPr>
            <w:tcW w:w="4320" w:type="dxa"/>
            <w:shd w:val="clear" w:color="auto" w:fill="auto"/>
          </w:tcPr>
          <w:p w14:paraId="440A1B09" w14:textId="1698F6A2" w:rsidR="00E16838" w:rsidRPr="00E42CC9" w:rsidRDefault="00E82594" w:rsidP="00002320">
            <w:pPr>
              <w:shd w:val="clear" w:color="auto" w:fill="FFFFFF"/>
              <w:spacing w:before="120"/>
              <w:jc w:val="both"/>
              <w:rPr>
                <w:rFonts w:cs="Arial"/>
                <w:sz w:val="22"/>
                <w:szCs w:val="22"/>
                <w:lang w:val="en-CA" w:eastAsia="fr-CA"/>
              </w:rPr>
            </w:pPr>
            <w:hyperlink r:id="rId8" w:history="1">
              <w:r w:rsidR="00316383" w:rsidRPr="00E42CC9">
                <w:rPr>
                  <w:rFonts w:cs="Arial"/>
                  <w:b/>
                  <w:bCs/>
                  <w:sz w:val="22"/>
                  <w:szCs w:val="22"/>
                  <w:lang w:val="en-CA" w:eastAsia="fr-CA"/>
                </w:rPr>
                <w:t>286.</w:t>
              </w:r>
            </w:hyperlink>
            <w:r w:rsidR="00316383" w:rsidRPr="00E42CC9">
              <w:rPr>
                <w:rFonts w:cs="Arial"/>
                <w:sz w:val="22"/>
                <w:szCs w:val="22"/>
                <w:lang w:val="en-CA" w:eastAsia="fr-CA"/>
              </w:rPr>
              <w:t> A certificate of amalgamation, issued by the enterprise registrar in accordance with Chapter XVIII, attests the amalgamation of the corporations as of the date and, if applicable, the time shown on the certificate.</w:t>
            </w:r>
          </w:p>
          <w:p w14:paraId="52BC1391" w14:textId="77777777" w:rsidR="00E16838" w:rsidRPr="00E42CC9" w:rsidRDefault="00316383" w:rsidP="00002320">
            <w:pPr>
              <w:shd w:val="clear" w:color="auto" w:fill="FFFFFF"/>
              <w:spacing w:before="120"/>
              <w:jc w:val="both"/>
              <w:rPr>
                <w:rFonts w:cs="Arial"/>
                <w:sz w:val="22"/>
                <w:szCs w:val="22"/>
                <w:lang w:val="en-CA" w:eastAsia="fr-CA"/>
              </w:rPr>
            </w:pPr>
            <w:r w:rsidRPr="00E42CC9">
              <w:rPr>
                <w:rFonts w:cs="Arial"/>
                <w:sz w:val="22"/>
                <w:szCs w:val="22"/>
                <w:lang w:val="en-CA" w:eastAsia="fr-CA"/>
              </w:rPr>
              <w:t>As of that time, the amalgamating corporations are continued as one corporation and, as of that time, their patrimonies are joined together to form the patrimony of the amalgamated corporation. The rights and obligations of the amalgamating corporations become rights and obligations of the amalgamated corporation and the latter becomes a party to any judicial or administrative proceeding to which the amalgamating corporations were parties.</w:t>
            </w:r>
          </w:p>
        </w:tc>
        <w:tc>
          <w:tcPr>
            <w:tcW w:w="4320" w:type="dxa"/>
            <w:shd w:val="clear" w:color="auto" w:fill="auto"/>
          </w:tcPr>
          <w:p w14:paraId="14477FB7" w14:textId="053A56D5" w:rsidR="00E16838" w:rsidRPr="006761C1" w:rsidRDefault="00E82594" w:rsidP="00002320">
            <w:pPr>
              <w:shd w:val="clear" w:color="auto" w:fill="FFFFFF"/>
              <w:spacing w:before="120"/>
              <w:jc w:val="both"/>
              <w:rPr>
                <w:rFonts w:cs="Arial"/>
                <w:sz w:val="22"/>
                <w:szCs w:val="22"/>
                <w:lang w:eastAsia="fr-CA"/>
              </w:rPr>
            </w:pPr>
            <w:hyperlink r:id="rId9" w:history="1">
              <w:r w:rsidR="00316383" w:rsidRPr="006761C1">
                <w:rPr>
                  <w:rFonts w:cs="Arial"/>
                  <w:b/>
                  <w:bCs/>
                  <w:sz w:val="22"/>
                  <w:szCs w:val="22"/>
                  <w:lang w:eastAsia="fr-CA"/>
                </w:rPr>
                <w:t>286.</w:t>
              </w:r>
            </w:hyperlink>
            <w:r w:rsidR="00316383" w:rsidRPr="006761C1">
              <w:rPr>
                <w:rFonts w:cs="Arial"/>
                <w:sz w:val="22"/>
                <w:szCs w:val="22"/>
                <w:lang w:eastAsia="fr-CA"/>
              </w:rPr>
              <w:t> Le certificat de fusion, délivré par le registraire des entreprises conformément aux dispositions du chapitre XVIII, atteste de la fusion des sociétés à la date et, le cas échéant, à l</w:t>
            </w:r>
            <w:r w:rsidR="008A0286" w:rsidRPr="006761C1">
              <w:rPr>
                <w:rFonts w:cs="Arial"/>
                <w:sz w:val="22"/>
                <w:szCs w:val="22"/>
                <w:lang w:eastAsia="fr-CA"/>
              </w:rPr>
              <w:t>’</w:t>
            </w:r>
            <w:r w:rsidR="00316383" w:rsidRPr="006761C1">
              <w:rPr>
                <w:rFonts w:cs="Arial"/>
                <w:sz w:val="22"/>
                <w:szCs w:val="22"/>
                <w:lang w:eastAsia="fr-CA"/>
              </w:rPr>
              <w:t>heure figurant sur ce certificat.</w:t>
            </w:r>
          </w:p>
          <w:p w14:paraId="15FB4163" w14:textId="51644AB8" w:rsidR="00E16838" w:rsidRPr="006761C1" w:rsidRDefault="00316383" w:rsidP="00002320">
            <w:pPr>
              <w:shd w:val="clear" w:color="auto" w:fill="FFFFFF"/>
              <w:spacing w:before="360"/>
              <w:jc w:val="both"/>
              <w:rPr>
                <w:rFonts w:cs="Arial"/>
                <w:sz w:val="22"/>
                <w:szCs w:val="22"/>
                <w:lang w:eastAsia="fr-CA"/>
              </w:rPr>
            </w:pPr>
            <w:r w:rsidRPr="006761C1">
              <w:rPr>
                <w:rFonts w:cs="Arial"/>
                <w:sz w:val="22"/>
                <w:szCs w:val="22"/>
                <w:lang w:eastAsia="fr-CA"/>
              </w:rPr>
              <w:t>À compter de ce moment, les sociétés fusionnantes continuent leur existence dans la société issue de la fusion et leurs patrimoines n</w:t>
            </w:r>
            <w:r w:rsidR="008A0286" w:rsidRPr="006761C1">
              <w:rPr>
                <w:rFonts w:cs="Arial"/>
                <w:sz w:val="22"/>
                <w:szCs w:val="22"/>
                <w:lang w:eastAsia="fr-CA"/>
              </w:rPr>
              <w:t>’</w:t>
            </w:r>
            <w:r w:rsidRPr="006761C1">
              <w:rPr>
                <w:rFonts w:cs="Arial"/>
                <w:sz w:val="22"/>
                <w:szCs w:val="22"/>
                <w:lang w:eastAsia="fr-CA"/>
              </w:rPr>
              <w:t>en forment alors qu</w:t>
            </w:r>
            <w:r w:rsidR="008A0286" w:rsidRPr="006761C1">
              <w:rPr>
                <w:rFonts w:cs="Arial"/>
                <w:sz w:val="22"/>
                <w:szCs w:val="22"/>
                <w:lang w:eastAsia="fr-CA"/>
              </w:rPr>
              <w:t>’</w:t>
            </w:r>
            <w:r w:rsidRPr="006761C1">
              <w:rPr>
                <w:rFonts w:cs="Arial"/>
                <w:sz w:val="22"/>
                <w:szCs w:val="22"/>
                <w:lang w:eastAsia="fr-CA"/>
              </w:rPr>
              <w:t>un seul qui est celui de la société issue de la fusion. Les droits et les obligations des sociétés fusionnantes deviennent ceux de la société issue de la fusion et celle-ci devient partie à toute procédure judiciaire ou administrative à laquelle étaient parties les sociétés fusionnantes.</w:t>
            </w:r>
          </w:p>
        </w:tc>
      </w:tr>
    </w:tbl>
    <w:p w14:paraId="4A8F5088" w14:textId="4C182144" w:rsidR="00E16838" w:rsidRPr="00E42CC9" w:rsidRDefault="00316383" w:rsidP="001176EA">
      <w:pPr>
        <w:pStyle w:val="Paragraphe"/>
        <w:numPr>
          <w:ilvl w:val="0"/>
          <w:numId w:val="1"/>
        </w:numPr>
        <w:tabs>
          <w:tab w:val="clear" w:pos="360"/>
        </w:tabs>
        <w:spacing w:before="240" w:line="240" w:lineRule="auto"/>
        <w:rPr>
          <w:lang w:val="en-CA"/>
        </w:rPr>
      </w:pPr>
      <w:r w:rsidRPr="00E42CC9">
        <w:rPr>
          <w:lang w:val="en-CA"/>
        </w:rPr>
        <w:lastRenderedPageBreak/>
        <w:t xml:space="preserve">It is necessary </w:t>
      </w:r>
      <w:proofErr w:type="gramStart"/>
      <w:r w:rsidRPr="00E42CC9">
        <w:rPr>
          <w:lang w:val="en-CA"/>
        </w:rPr>
        <w:t xml:space="preserve">to </w:t>
      </w:r>
      <w:r w:rsidR="003D6BA0">
        <w:rPr>
          <w:lang w:val="en-CA"/>
        </w:rPr>
        <w:t xml:space="preserve">clearly </w:t>
      </w:r>
      <w:r w:rsidR="002A6981">
        <w:rPr>
          <w:lang w:val="en-CA"/>
        </w:rPr>
        <w:t>identify</w:t>
      </w:r>
      <w:proofErr w:type="gramEnd"/>
      <w:r w:rsidR="002A6981">
        <w:rPr>
          <w:lang w:val="en-CA"/>
        </w:rPr>
        <w:t xml:space="preserve"> </w:t>
      </w:r>
      <w:r w:rsidRPr="00E42CC9">
        <w:rPr>
          <w:lang w:val="en-CA"/>
        </w:rPr>
        <w:t>what is at issue in this appeal.</w:t>
      </w:r>
    </w:p>
    <w:p w14:paraId="77115E20" w14:textId="4A1923FC" w:rsidR="00E16838" w:rsidRPr="00E42CC9" w:rsidRDefault="00316383" w:rsidP="005800BD">
      <w:pPr>
        <w:pStyle w:val="Paragraphe"/>
        <w:numPr>
          <w:ilvl w:val="0"/>
          <w:numId w:val="1"/>
        </w:numPr>
        <w:tabs>
          <w:tab w:val="clear" w:pos="360"/>
        </w:tabs>
        <w:spacing w:line="240" w:lineRule="auto"/>
        <w:rPr>
          <w:lang w:val="en-CA"/>
        </w:rPr>
      </w:pPr>
      <w:r w:rsidRPr="00E42CC9">
        <w:rPr>
          <w:lang w:val="en-CA"/>
        </w:rPr>
        <w:t>A corporation</w:t>
      </w:r>
      <w:r w:rsidR="008A0286">
        <w:rPr>
          <w:lang w:val="en-CA"/>
        </w:rPr>
        <w:t>’</w:t>
      </w:r>
      <w:r w:rsidRPr="00E42CC9">
        <w:rPr>
          <w:lang w:val="en-CA"/>
        </w:rPr>
        <w:t>s equity constitutes the shareholders</w:t>
      </w:r>
      <w:r w:rsidR="008A0286">
        <w:rPr>
          <w:lang w:val="en-CA"/>
        </w:rPr>
        <w:t>’</w:t>
      </w:r>
      <w:r w:rsidRPr="00E42CC9">
        <w:rPr>
          <w:lang w:val="en-CA"/>
        </w:rPr>
        <w:t xml:space="preserve"> assets. It consists, in particular, of the issued and paid-up share capital or the retained earnings.</w:t>
      </w:r>
      <w:r w:rsidRPr="00E42CC9">
        <w:rPr>
          <w:rStyle w:val="Appelnotedebasdep"/>
          <w:lang w:val="en-CA"/>
        </w:rPr>
        <w:footnoteReference w:id="5"/>
      </w:r>
    </w:p>
    <w:p w14:paraId="7054E0F7" w14:textId="6F7E58D3" w:rsidR="00E16838" w:rsidRPr="00E42CC9" w:rsidRDefault="00316383" w:rsidP="005800BD">
      <w:pPr>
        <w:pStyle w:val="Paragraphe"/>
        <w:numPr>
          <w:ilvl w:val="0"/>
          <w:numId w:val="1"/>
        </w:numPr>
        <w:tabs>
          <w:tab w:val="clear" w:pos="360"/>
        </w:tabs>
        <w:spacing w:line="240" w:lineRule="auto"/>
        <w:rPr>
          <w:lang w:val="en-CA"/>
        </w:rPr>
      </w:pPr>
      <w:proofErr w:type="gramStart"/>
      <w:r w:rsidRPr="00E42CC9">
        <w:rPr>
          <w:lang w:val="en-CA"/>
        </w:rPr>
        <w:t xml:space="preserve">The rule set out in s. 54.1 </w:t>
      </w:r>
      <w:r w:rsidRPr="00E42CC9">
        <w:rPr>
          <w:i/>
          <w:iCs/>
          <w:lang w:val="en-CA"/>
        </w:rPr>
        <w:t>BIA</w:t>
      </w:r>
      <w:r w:rsidRPr="00E42CC9">
        <w:rPr>
          <w:lang w:val="en-CA"/>
        </w:rPr>
        <w:t>, which prohibits holders of equity claims from voting on a proposal, is intended, on the one hand, to prevent such holders from controlling the outcome of the vote and, on the other hand, to prioritize the protection of creditors who, unlike shareholders and other equity holders, have not participated in a speculative adventure.</w:t>
      </w:r>
      <w:r w:rsidRPr="00E42CC9">
        <w:rPr>
          <w:rStyle w:val="Appelnotedebasdep"/>
          <w:lang w:val="en-CA"/>
        </w:rPr>
        <w:footnoteReference w:id="6"/>
      </w:r>
      <w:proofErr w:type="gramEnd"/>
      <w:r w:rsidRPr="00E42CC9">
        <w:rPr>
          <w:lang w:val="en-CA"/>
        </w:rPr>
        <w:t xml:space="preserve"> Insolvency is a risk associated with the investment made by shareholders and, indeed, that risk justifies their potential profits. Author Frank Bennet has the following to say on this point:</w:t>
      </w:r>
      <w:r w:rsidRPr="00E42CC9">
        <w:rPr>
          <w:rStyle w:val="Appelnotedebasdep"/>
          <w:lang w:val="en-CA"/>
        </w:rPr>
        <w:footnoteReference w:id="7"/>
      </w:r>
    </w:p>
    <w:p w14:paraId="6A6156AA" w14:textId="51B22F6D" w:rsidR="00025B55" w:rsidRPr="00E42CC9" w:rsidRDefault="00316383" w:rsidP="005800BD">
      <w:pPr>
        <w:pStyle w:val="Citationenretrait"/>
        <w:spacing w:line="240" w:lineRule="auto"/>
        <w:rPr>
          <w:b/>
          <w:bCs/>
          <w:lang w:val="en-CA" w:eastAsia="fr-CA"/>
        </w:rPr>
      </w:pPr>
      <w:r w:rsidRPr="00E42CC9">
        <w:rPr>
          <w:b/>
          <w:bCs/>
          <w:lang w:val="en-CA" w:eastAsia="fr-CA"/>
        </w:rPr>
        <w:t>EQUITY CLAIMS</w:t>
      </w:r>
    </w:p>
    <w:p w14:paraId="538B3ECD" w14:textId="2D991142" w:rsidR="00025B55" w:rsidRPr="00E42CC9" w:rsidRDefault="00316383" w:rsidP="005800BD">
      <w:pPr>
        <w:pStyle w:val="Citationenretrait"/>
        <w:spacing w:line="240" w:lineRule="auto"/>
        <w:rPr>
          <w:lang w:val="en-CA" w:eastAsia="fr-CA"/>
        </w:rPr>
      </w:pPr>
      <w:r w:rsidRPr="00E42CC9">
        <w:rPr>
          <w:lang w:val="en-CA" w:eastAsia="fr-CA"/>
        </w:rPr>
        <w:t xml:space="preserve">Claims against a company that result from ownership, purchase or sale of an equity interest in the </w:t>
      </w:r>
      <w:proofErr w:type="gramStart"/>
      <w:r w:rsidRPr="00E42CC9">
        <w:rPr>
          <w:lang w:val="en-CA" w:eastAsia="fr-CA"/>
        </w:rPr>
        <w:t>debtor company</w:t>
      </w:r>
      <w:proofErr w:type="gramEnd"/>
      <w:r w:rsidRPr="00E42CC9">
        <w:rPr>
          <w:lang w:val="en-CA" w:eastAsia="fr-CA"/>
        </w:rPr>
        <w:t xml:space="preserve"> and related indemnity claims are considered equity claims. Such claims as shareholders</w:t>
      </w:r>
      <w:r w:rsidR="008A0286">
        <w:rPr>
          <w:lang w:val="en-CA" w:eastAsia="fr-CA"/>
        </w:rPr>
        <w:t>’</w:t>
      </w:r>
      <w:r w:rsidRPr="00E42CC9">
        <w:rPr>
          <w:lang w:val="en-CA" w:eastAsia="fr-CA"/>
        </w:rPr>
        <w:t xml:space="preserve"> claims can result in significant upside while creditors who supply goods and services do not share in the same upside.</w:t>
      </w:r>
      <w:r w:rsidRPr="00E42CC9">
        <w:rPr>
          <w:sz w:val="13"/>
          <w:szCs w:val="13"/>
          <w:lang w:val="en-CA" w:eastAsia="fr-CA"/>
        </w:rPr>
        <w:t xml:space="preserve"> </w:t>
      </w:r>
      <w:r w:rsidRPr="00E42CC9">
        <w:rPr>
          <w:lang w:val="en-CA" w:eastAsia="fr-CA"/>
        </w:rPr>
        <w:t xml:space="preserve">Consequently, there can be no distribution to holders of equity claims unless non-equity claimants </w:t>
      </w:r>
      <w:proofErr w:type="gramStart"/>
      <w:r w:rsidRPr="00E42CC9">
        <w:rPr>
          <w:lang w:val="en-CA" w:eastAsia="fr-CA"/>
        </w:rPr>
        <w:t>are paid</w:t>
      </w:r>
      <w:proofErr w:type="gramEnd"/>
      <w:r w:rsidRPr="00E42CC9">
        <w:rPr>
          <w:lang w:val="en-CA" w:eastAsia="fr-CA"/>
        </w:rPr>
        <w:t xml:space="preserve"> i</w:t>
      </w:r>
      <w:r w:rsidR="00537DC0">
        <w:rPr>
          <w:lang w:val="en-CA" w:eastAsia="fr-CA"/>
        </w:rPr>
        <w:t>n full</w:t>
      </w:r>
      <w:r w:rsidR="008C4154">
        <w:rPr>
          <w:lang w:val="en-CA" w:eastAsia="fr-CA"/>
        </w:rPr>
        <w:t xml:space="preserve">. </w:t>
      </w:r>
      <w:r w:rsidRPr="00E42CC9">
        <w:rPr>
          <w:lang w:val="en-CA" w:eastAsia="fr-CA"/>
        </w:rPr>
        <w:t>Shareholders cannot expect to receive a dividend until all the creditors are satisfied. Shareholders do not have any financial interest in the debtor company until that happens.</w:t>
      </w:r>
    </w:p>
    <w:p w14:paraId="77828C43" w14:textId="2662C483" w:rsidR="00025B55" w:rsidRPr="00E42CC9" w:rsidRDefault="00316383" w:rsidP="005800BD">
      <w:pPr>
        <w:pStyle w:val="Citationenretrait"/>
        <w:spacing w:line="240" w:lineRule="auto"/>
        <w:jc w:val="right"/>
        <w:rPr>
          <w:lang w:val="en-CA"/>
        </w:rPr>
      </w:pPr>
      <w:r w:rsidRPr="00E42CC9">
        <w:rPr>
          <w:lang w:val="en-CA"/>
        </w:rPr>
        <w:t>[Reference omitted]</w:t>
      </w:r>
    </w:p>
    <w:p w14:paraId="034760F1" w14:textId="768C82C3" w:rsidR="00E16838" w:rsidRPr="00E42CC9" w:rsidRDefault="00316383" w:rsidP="005800BD">
      <w:pPr>
        <w:pStyle w:val="Paragraphe"/>
        <w:numPr>
          <w:ilvl w:val="0"/>
          <w:numId w:val="1"/>
        </w:numPr>
        <w:tabs>
          <w:tab w:val="clear" w:pos="360"/>
        </w:tabs>
        <w:spacing w:line="240" w:lineRule="auto"/>
        <w:rPr>
          <w:lang w:val="en-CA"/>
        </w:rPr>
      </w:pPr>
      <w:r w:rsidRPr="00E42CC9">
        <w:rPr>
          <w:lang w:val="en-CA"/>
        </w:rPr>
        <w:t xml:space="preserve">The definition of </w:t>
      </w:r>
      <w:r w:rsidR="008A0286">
        <w:rPr>
          <w:lang w:val="en-CA"/>
        </w:rPr>
        <w:t>“</w:t>
      </w:r>
      <w:r w:rsidRPr="00E42CC9">
        <w:rPr>
          <w:lang w:val="en-CA"/>
        </w:rPr>
        <w:t>equity claim</w:t>
      </w:r>
      <w:r w:rsidR="008A0286">
        <w:rPr>
          <w:lang w:val="en-CA"/>
        </w:rPr>
        <w:t>”</w:t>
      </w:r>
      <w:r w:rsidRPr="00E42CC9">
        <w:rPr>
          <w:lang w:val="en-CA"/>
        </w:rPr>
        <w:t xml:space="preserve"> in s. 2 </w:t>
      </w:r>
      <w:r w:rsidRPr="00E42CC9">
        <w:rPr>
          <w:i/>
          <w:iCs/>
          <w:lang w:val="en-CA"/>
        </w:rPr>
        <w:t>BIA</w:t>
      </w:r>
      <w:r w:rsidRPr="00E42CC9">
        <w:rPr>
          <w:lang w:val="en-CA"/>
        </w:rPr>
        <w:t xml:space="preserve"> includes, </w:t>
      </w:r>
      <w:r w:rsidRPr="00E42CC9">
        <w:rPr>
          <w:i/>
          <w:iCs/>
          <w:lang w:val="en-CA"/>
        </w:rPr>
        <w:t>among others</w:t>
      </w:r>
      <w:r w:rsidRPr="00E42CC9">
        <w:rPr>
          <w:lang w:val="en-CA"/>
        </w:rPr>
        <w:t xml:space="preserve">, a dividend, a redemption obligation, or a monetary loss resulting from the ownership, purchase or </w:t>
      </w:r>
      <w:r w:rsidRPr="00E42CC9">
        <w:rPr>
          <w:u w:val="single"/>
          <w:lang w:val="en-CA"/>
        </w:rPr>
        <w:t>sale</w:t>
      </w:r>
      <w:r w:rsidRPr="00E42CC9">
        <w:rPr>
          <w:lang w:val="en-CA"/>
        </w:rPr>
        <w:t xml:space="preserve"> of an equity interest. The issue in the matter at hand, therefore, is whether the appellants</w:t>
      </w:r>
      <w:r w:rsidR="008A0286">
        <w:rPr>
          <w:lang w:val="en-CA"/>
        </w:rPr>
        <w:t>’</w:t>
      </w:r>
      <w:r w:rsidRPr="00E42CC9">
        <w:rPr>
          <w:lang w:val="en-CA"/>
        </w:rPr>
        <w:t xml:space="preserve"> claim falls within this list, which, through the use of the words </w:t>
      </w:r>
      <w:r w:rsidR="008A0286">
        <w:rPr>
          <w:lang w:val="en-CA"/>
        </w:rPr>
        <w:t>“</w:t>
      </w:r>
      <w:r w:rsidRPr="00E42CC9">
        <w:rPr>
          <w:lang w:val="en-CA"/>
        </w:rPr>
        <w:t>among others</w:t>
      </w:r>
      <w:r w:rsidR="008A0286">
        <w:rPr>
          <w:lang w:val="en-CA"/>
        </w:rPr>
        <w:t>”</w:t>
      </w:r>
      <w:r w:rsidRPr="00E42CC9">
        <w:rPr>
          <w:lang w:val="en-CA"/>
        </w:rPr>
        <w:t xml:space="preserve">, indicates that </w:t>
      </w:r>
      <w:r w:rsidR="001D5789">
        <w:rPr>
          <w:lang w:val="en-CA"/>
        </w:rPr>
        <w:t>the list</w:t>
      </w:r>
      <w:r w:rsidRPr="00E42CC9">
        <w:rPr>
          <w:lang w:val="en-CA"/>
        </w:rPr>
        <w:t xml:space="preserve"> is not exhaustive.</w:t>
      </w:r>
    </w:p>
    <w:p w14:paraId="02C7C854" w14:textId="15DD4EC5" w:rsidR="000442A4" w:rsidRPr="00E42CC9" w:rsidRDefault="00316383" w:rsidP="005800BD">
      <w:pPr>
        <w:pStyle w:val="Paragraphe"/>
        <w:numPr>
          <w:ilvl w:val="0"/>
          <w:numId w:val="1"/>
        </w:numPr>
        <w:tabs>
          <w:tab w:val="clear" w:pos="360"/>
        </w:tabs>
        <w:spacing w:line="240" w:lineRule="auto"/>
        <w:rPr>
          <w:lang w:val="en-CA"/>
        </w:rPr>
      </w:pPr>
      <w:r w:rsidRPr="00E42CC9">
        <w:rPr>
          <w:lang w:val="en-CA"/>
        </w:rPr>
        <w:t xml:space="preserve">The uniqueness of this case </w:t>
      </w:r>
      <w:proofErr w:type="gramStart"/>
      <w:r w:rsidRPr="00E42CC9">
        <w:rPr>
          <w:lang w:val="en-CA"/>
        </w:rPr>
        <w:t>can be summarized</w:t>
      </w:r>
      <w:proofErr w:type="gramEnd"/>
      <w:r w:rsidRPr="00E42CC9">
        <w:rPr>
          <w:lang w:val="en-CA"/>
        </w:rPr>
        <w:t xml:space="preserve"> as follows. Upon the sale of the shares, the appellants</w:t>
      </w:r>
      <w:r w:rsidR="008A0286">
        <w:rPr>
          <w:lang w:val="en-CA"/>
        </w:rPr>
        <w:t>’</w:t>
      </w:r>
      <w:r w:rsidRPr="00E42CC9">
        <w:rPr>
          <w:lang w:val="en-CA"/>
        </w:rPr>
        <w:t xml:space="preserve"> claim against Québec Inc. was in respect of shares – thus equity – of Pre-amalgamation Azoxco, which was a third party to the contract. This means that, as between the parties to the contract, and pursuant to the </w:t>
      </w:r>
      <w:r w:rsidRPr="00E42CC9">
        <w:rPr>
          <w:i/>
          <w:iCs/>
          <w:lang w:val="en-CA"/>
        </w:rPr>
        <w:t>BIA</w:t>
      </w:r>
      <w:r w:rsidRPr="00E42CC9">
        <w:rPr>
          <w:lang w:val="en-CA"/>
        </w:rPr>
        <w:t xml:space="preserve">, the appellants had an unsecured claim against Québec Inc. It also means that at this point, if Pre-amalgamation Azoxco had become bankrupt, the appellants would not have had a claim or held equity </w:t>
      </w:r>
      <w:r w:rsidRPr="00E42CC9">
        <w:rPr>
          <w:lang w:val="en-CA"/>
        </w:rPr>
        <w:lastRenderedPageBreak/>
        <w:t>with respect to it. The shares of Pre-amalgamation Azoxco held by Québec Inc. were an asset of Québec Inc.</w:t>
      </w:r>
    </w:p>
    <w:p w14:paraId="645E9EBE" w14:textId="66E48D17" w:rsidR="00E16838" w:rsidRPr="00E42CC9" w:rsidRDefault="00316383" w:rsidP="005800BD">
      <w:pPr>
        <w:pStyle w:val="Paragraphe"/>
        <w:numPr>
          <w:ilvl w:val="0"/>
          <w:numId w:val="1"/>
        </w:numPr>
        <w:tabs>
          <w:tab w:val="clear" w:pos="360"/>
        </w:tabs>
        <w:spacing w:line="240" w:lineRule="auto"/>
        <w:rPr>
          <w:lang w:val="en-CA"/>
        </w:rPr>
      </w:pPr>
      <w:r w:rsidRPr="00E42CC9">
        <w:rPr>
          <w:lang w:val="en-CA"/>
        </w:rPr>
        <w:t xml:space="preserve">However, </w:t>
      </w:r>
      <w:proofErr w:type="gramStart"/>
      <w:r w:rsidRPr="00E42CC9">
        <w:rPr>
          <w:lang w:val="en-CA"/>
        </w:rPr>
        <w:t>as a result</w:t>
      </w:r>
      <w:proofErr w:type="gramEnd"/>
      <w:r w:rsidRPr="00E42CC9">
        <w:rPr>
          <w:lang w:val="en-CA"/>
        </w:rPr>
        <w:t xml:space="preserve"> of the amalgamation, the respondent, as the continuation of Québec Inc.</w:t>
      </w:r>
      <w:r w:rsidR="008A0286">
        <w:rPr>
          <w:lang w:val="en-CA"/>
        </w:rPr>
        <w:t>’</w:t>
      </w:r>
      <w:r w:rsidRPr="00E42CC9">
        <w:rPr>
          <w:lang w:val="en-CA"/>
        </w:rPr>
        <w:t xml:space="preserve">s juridical personality, assumed the debt owed by Québec Inc., and the shares of Pre-amalgamation Azoxco held by Québec Inc. were cancelled. Consequently, the issue is whether the claim, insofar as it is in respect of equity of one of the entities that resulted in the creation of the respondent, is a claim in respect of equity, within the meaning of s. 2 </w:t>
      </w:r>
      <w:r w:rsidRPr="00E42CC9">
        <w:rPr>
          <w:i/>
          <w:iCs/>
          <w:lang w:val="en-CA"/>
        </w:rPr>
        <w:t>BIA</w:t>
      </w:r>
      <w:r w:rsidRPr="00E42CC9">
        <w:rPr>
          <w:lang w:val="en-CA"/>
        </w:rPr>
        <w:t xml:space="preserve">, of the respondent. If it is, then, pursuant to s. 54.1 </w:t>
      </w:r>
      <w:r w:rsidRPr="00E42CC9">
        <w:rPr>
          <w:i/>
          <w:iCs/>
          <w:lang w:val="en-CA"/>
        </w:rPr>
        <w:t>BIA</w:t>
      </w:r>
      <w:r w:rsidRPr="00E42CC9">
        <w:rPr>
          <w:lang w:val="en-CA"/>
        </w:rPr>
        <w:t>, the appellants cannot vote on the proposal. If it is not, they can indeed vote.</w:t>
      </w:r>
    </w:p>
    <w:p w14:paraId="62CA42D9" w14:textId="52E845F9" w:rsidR="00DC7860" w:rsidRPr="00E42CC9" w:rsidRDefault="00316383" w:rsidP="005800BD">
      <w:pPr>
        <w:pStyle w:val="Paragraphe"/>
        <w:numPr>
          <w:ilvl w:val="0"/>
          <w:numId w:val="1"/>
        </w:numPr>
        <w:tabs>
          <w:tab w:val="clear" w:pos="360"/>
        </w:tabs>
        <w:spacing w:line="240" w:lineRule="auto"/>
        <w:rPr>
          <w:lang w:val="en-CA"/>
        </w:rPr>
      </w:pPr>
      <w:r w:rsidRPr="00E42CC9">
        <w:rPr>
          <w:lang w:val="en-CA"/>
        </w:rPr>
        <w:t xml:space="preserve">The appellants submit that the judge erred when, taking into account the amalgamation, she changed the nature of their claim against Québec Inc. – which was merely an unsecured claim – into an equity claim. In their view, the amalgamation could not have had that effect, because under s. 286 </w:t>
      </w:r>
      <w:r w:rsidRPr="00E42CC9">
        <w:rPr>
          <w:i/>
          <w:iCs/>
          <w:lang w:val="en-CA"/>
        </w:rPr>
        <w:t>BCA</w:t>
      </w:r>
      <w:r w:rsidRPr="00E42CC9">
        <w:rPr>
          <w:lang w:val="en-CA"/>
        </w:rPr>
        <w:t>, the amalgamation merely transferred Québec Inc.</w:t>
      </w:r>
      <w:r w:rsidR="008A0286">
        <w:rPr>
          <w:lang w:val="en-CA"/>
        </w:rPr>
        <w:t>’</w:t>
      </w:r>
      <w:r w:rsidRPr="00E42CC9">
        <w:rPr>
          <w:lang w:val="en-CA"/>
        </w:rPr>
        <w:t>s debt to the respondent, but did not modify that debt. It was an unsecured claim – which is not contested – and remained so.</w:t>
      </w:r>
    </w:p>
    <w:p w14:paraId="3820A728" w14:textId="57B5195F" w:rsidR="007D64D3" w:rsidRPr="00E42CC9" w:rsidRDefault="00316383" w:rsidP="005800BD">
      <w:pPr>
        <w:pStyle w:val="Paragraphe"/>
        <w:numPr>
          <w:ilvl w:val="0"/>
          <w:numId w:val="1"/>
        </w:numPr>
        <w:tabs>
          <w:tab w:val="clear" w:pos="360"/>
        </w:tabs>
        <w:spacing w:line="240" w:lineRule="auto"/>
        <w:rPr>
          <w:lang w:val="en-CA"/>
        </w:rPr>
      </w:pPr>
      <w:r w:rsidRPr="00E42CC9">
        <w:rPr>
          <w:lang w:val="en-CA"/>
        </w:rPr>
        <w:t xml:space="preserve">The appellants further argue that in order for their claim to </w:t>
      </w:r>
      <w:proofErr w:type="gramStart"/>
      <w:r w:rsidRPr="00E42CC9">
        <w:rPr>
          <w:lang w:val="en-CA"/>
        </w:rPr>
        <w:t>be characterized</w:t>
      </w:r>
      <w:proofErr w:type="gramEnd"/>
      <w:r w:rsidRPr="00E42CC9">
        <w:rPr>
          <w:lang w:val="en-CA"/>
        </w:rPr>
        <w:t xml:space="preserve"> as an equity claim, it was necessary that, at the time of the notice of intention, </w:t>
      </w:r>
      <w:r w:rsidR="006D2378">
        <w:rPr>
          <w:lang w:val="en-CA"/>
        </w:rPr>
        <w:t xml:space="preserve">they </w:t>
      </w:r>
      <w:r w:rsidRPr="0097054B">
        <w:rPr>
          <w:lang w:val="en-CA"/>
        </w:rPr>
        <w:t>hold</w:t>
      </w:r>
      <w:r w:rsidRPr="00E42CC9">
        <w:rPr>
          <w:lang w:val="en-CA"/>
        </w:rPr>
        <w:t xml:space="preserve"> a share in the respondent, or a warrant, an option or other analogous right. That said, not only was that not the case, but s. 282 </w:t>
      </w:r>
      <w:r w:rsidRPr="00E42CC9">
        <w:rPr>
          <w:i/>
          <w:iCs/>
          <w:lang w:val="en-CA"/>
        </w:rPr>
        <w:t>BCA</w:t>
      </w:r>
      <w:r w:rsidRPr="00E42CC9">
        <w:rPr>
          <w:lang w:val="en-CA"/>
        </w:rPr>
        <w:t xml:space="preserve"> provides that the shares of Pre-amalgamation Azoxco, which the appellants sold, no longer existed and </w:t>
      </w:r>
      <w:proofErr w:type="gramStart"/>
      <w:r w:rsidRPr="00E42CC9">
        <w:rPr>
          <w:lang w:val="en-CA"/>
        </w:rPr>
        <w:t>were not replaced</w:t>
      </w:r>
      <w:proofErr w:type="gramEnd"/>
      <w:r w:rsidRPr="00E42CC9">
        <w:rPr>
          <w:lang w:val="en-CA"/>
        </w:rPr>
        <w:t xml:space="preserve"> by shares in the respondent. Therefore, the appellants were never shareholders of the respondent.</w:t>
      </w:r>
    </w:p>
    <w:p w14:paraId="61CF2F8F" w14:textId="5E5F2A0B" w:rsidR="00E16838" w:rsidRPr="00E42CC9" w:rsidRDefault="00316383" w:rsidP="005800BD">
      <w:pPr>
        <w:pStyle w:val="Paragraphe"/>
        <w:numPr>
          <w:ilvl w:val="0"/>
          <w:numId w:val="1"/>
        </w:numPr>
        <w:tabs>
          <w:tab w:val="clear" w:pos="360"/>
        </w:tabs>
        <w:spacing w:line="240" w:lineRule="auto"/>
        <w:rPr>
          <w:lang w:val="en-CA"/>
        </w:rPr>
      </w:pPr>
      <w:proofErr w:type="gramStart"/>
      <w:r w:rsidRPr="00E42CC9">
        <w:rPr>
          <w:lang w:val="en-CA"/>
        </w:rPr>
        <w:t>As for the respondent,</w:t>
      </w:r>
      <w:proofErr w:type="gramEnd"/>
      <w:r w:rsidRPr="00E42CC9">
        <w:rPr>
          <w:lang w:val="en-CA"/>
        </w:rPr>
        <w:t xml:space="preserve"> </w:t>
      </w:r>
      <w:proofErr w:type="gramStart"/>
      <w:r w:rsidRPr="00E42CC9">
        <w:rPr>
          <w:lang w:val="en-CA"/>
        </w:rPr>
        <w:t>it</w:t>
      </w:r>
      <w:proofErr w:type="gramEnd"/>
      <w:r w:rsidRPr="00E42CC9">
        <w:rPr>
          <w:lang w:val="en-CA"/>
        </w:rPr>
        <w:t xml:space="preserve"> argues that our Court owes great deference to the trial judge, both because she was seized of a question of mixed law and fact and because s.</w:t>
      </w:r>
      <w:r w:rsidR="00486659">
        <w:rPr>
          <w:lang w:val="en-CA"/>
        </w:rPr>
        <w:t> </w:t>
      </w:r>
      <w:r w:rsidRPr="00E42CC9">
        <w:rPr>
          <w:lang w:val="en-CA"/>
        </w:rPr>
        <w:t xml:space="preserve">37 </w:t>
      </w:r>
      <w:r w:rsidRPr="00E42CC9">
        <w:rPr>
          <w:i/>
          <w:iCs/>
          <w:lang w:val="en-CA"/>
        </w:rPr>
        <w:t>BIA</w:t>
      </w:r>
      <w:r w:rsidRPr="00E42CC9">
        <w:rPr>
          <w:lang w:val="en-CA"/>
        </w:rPr>
        <w:t xml:space="preserve"> confers broad discretion on her.</w:t>
      </w:r>
      <w:r w:rsidR="008A0286">
        <w:rPr>
          <w:lang w:val="en-CA"/>
        </w:rPr>
        <w:t xml:space="preserve"> </w:t>
      </w:r>
      <w:r w:rsidRPr="00E42CC9">
        <w:rPr>
          <w:lang w:val="en-CA"/>
        </w:rPr>
        <w:t xml:space="preserve">It further argues that the judge was correct in applying the analytical framework set out in </w:t>
      </w:r>
      <w:r w:rsidRPr="00E42CC9">
        <w:rPr>
          <w:i/>
          <w:iCs/>
          <w:lang w:val="en-CA"/>
        </w:rPr>
        <w:t>Sino-Forest</w:t>
      </w:r>
      <w:r w:rsidRPr="00E42CC9">
        <w:rPr>
          <w:lang w:val="en-CA"/>
        </w:rPr>
        <w:t>, in which the Ontario Court of Appeal established that the important factor is the nature of the claim, not the status of the claimant – that is, whether or not it is a shareholder.</w:t>
      </w:r>
      <w:r w:rsidRPr="00E42CC9">
        <w:rPr>
          <w:rStyle w:val="Appelnotedebasdep"/>
          <w:lang w:val="en-CA"/>
        </w:rPr>
        <w:footnoteReference w:id="8"/>
      </w:r>
      <w:r w:rsidRPr="00E42CC9">
        <w:rPr>
          <w:lang w:val="en-CA"/>
        </w:rPr>
        <w:t xml:space="preserve"> In </w:t>
      </w:r>
      <w:r w:rsidR="00486659">
        <w:rPr>
          <w:lang w:val="en-CA"/>
        </w:rPr>
        <w:t xml:space="preserve">the respondent’s </w:t>
      </w:r>
      <w:r w:rsidRPr="00E42CC9">
        <w:rPr>
          <w:lang w:val="en-CA"/>
        </w:rPr>
        <w:t>view, applying the appellants</w:t>
      </w:r>
      <w:r w:rsidR="008A0286">
        <w:rPr>
          <w:lang w:val="en-CA"/>
        </w:rPr>
        <w:t>’</w:t>
      </w:r>
      <w:r w:rsidRPr="00E42CC9">
        <w:rPr>
          <w:lang w:val="en-CA"/>
        </w:rPr>
        <w:t xml:space="preserve"> interpretation would depart from that principle by requiring that, </w:t>
      </w:r>
      <w:proofErr w:type="gramStart"/>
      <w:r w:rsidRPr="00E42CC9">
        <w:rPr>
          <w:lang w:val="en-CA"/>
        </w:rPr>
        <w:t>at the moment</w:t>
      </w:r>
      <w:proofErr w:type="gramEnd"/>
      <w:r w:rsidRPr="00E42CC9">
        <w:rPr>
          <w:lang w:val="en-CA"/>
        </w:rPr>
        <w:t xml:space="preserve"> the notice of intention is filed, the claimant hold a share or other type of equity interest. It would also indirectly achieve what s. 54.1 of the </w:t>
      </w:r>
      <w:r w:rsidRPr="00E42CC9">
        <w:rPr>
          <w:i/>
          <w:iCs/>
          <w:lang w:val="en-CA"/>
        </w:rPr>
        <w:t>BIA</w:t>
      </w:r>
      <w:r w:rsidRPr="00E42CC9">
        <w:rPr>
          <w:lang w:val="en-CA"/>
        </w:rPr>
        <w:t xml:space="preserve"> seeks to proscribe, by allowing the appellants to vote on the proposal.</w:t>
      </w:r>
    </w:p>
    <w:p w14:paraId="64605CCF" w14:textId="7F77DBEE" w:rsidR="00E16838" w:rsidRPr="00E42CC9" w:rsidRDefault="00316383" w:rsidP="005800BD">
      <w:pPr>
        <w:pStyle w:val="Paragraphe"/>
        <w:numPr>
          <w:ilvl w:val="0"/>
          <w:numId w:val="1"/>
        </w:numPr>
        <w:tabs>
          <w:tab w:val="clear" w:pos="360"/>
        </w:tabs>
        <w:spacing w:line="240" w:lineRule="auto"/>
        <w:rPr>
          <w:lang w:val="en-CA"/>
        </w:rPr>
      </w:pPr>
      <w:r w:rsidRPr="00E42CC9">
        <w:rPr>
          <w:lang w:val="en-CA"/>
        </w:rPr>
        <w:t>Before this Court, the parties both contend, as the trial judge did, that the amalgamation did not change the nature of the appellants</w:t>
      </w:r>
      <w:r w:rsidR="008A0286">
        <w:rPr>
          <w:lang w:val="en-CA"/>
        </w:rPr>
        <w:t>’</w:t>
      </w:r>
      <w:r w:rsidRPr="00E42CC9">
        <w:rPr>
          <w:lang w:val="en-CA"/>
        </w:rPr>
        <w:t xml:space="preserve"> claim, but they draw contrary conclusions. The respondent, however, had argued the opposite in its motion appealing the trustee</w:t>
      </w:r>
      <w:r w:rsidR="008A0286">
        <w:rPr>
          <w:lang w:val="en-CA"/>
        </w:rPr>
        <w:t>’</w:t>
      </w:r>
      <w:r w:rsidRPr="00E42CC9">
        <w:rPr>
          <w:lang w:val="en-CA"/>
        </w:rPr>
        <w:t xml:space="preserve">s decision. Upon reflection, </w:t>
      </w:r>
      <w:r w:rsidR="00A454F8">
        <w:rPr>
          <w:lang w:val="en-CA"/>
        </w:rPr>
        <w:t xml:space="preserve">and as explained below, </w:t>
      </w:r>
      <w:r w:rsidRPr="00E42CC9">
        <w:rPr>
          <w:lang w:val="en-CA"/>
        </w:rPr>
        <w:t>whether or not the amalgamation changed the nature of the claim ultimately depends on the angle from which one analyzes the case.</w:t>
      </w:r>
    </w:p>
    <w:p w14:paraId="5FD56590" w14:textId="5400839B" w:rsidR="00E16838" w:rsidRPr="00E42CC9" w:rsidRDefault="00316383" w:rsidP="005800BD">
      <w:pPr>
        <w:pStyle w:val="Paragraphe"/>
        <w:numPr>
          <w:ilvl w:val="0"/>
          <w:numId w:val="1"/>
        </w:numPr>
        <w:tabs>
          <w:tab w:val="clear" w:pos="360"/>
        </w:tabs>
        <w:spacing w:line="240" w:lineRule="auto"/>
        <w:rPr>
          <w:lang w:val="en-CA"/>
        </w:rPr>
      </w:pPr>
      <w:r w:rsidRPr="00E42CC9">
        <w:rPr>
          <w:lang w:val="en-CA"/>
        </w:rPr>
        <w:lastRenderedPageBreak/>
        <w:t>As stated above, at the time of the sale of the shares, the nature of the appellants</w:t>
      </w:r>
      <w:r w:rsidR="008A0286">
        <w:rPr>
          <w:lang w:val="en-CA"/>
        </w:rPr>
        <w:t>’</w:t>
      </w:r>
      <w:r w:rsidRPr="00E42CC9">
        <w:rPr>
          <w:lang w:val="en-CA"/>
        </w:rPr>
        <w:t xml:space="preserve"> claim against their debtor, Québec Inc., was not in respect of the latter</w:t>
      </w:r>
      <w:r w:rsidR="008A0286">
        <w:rPr>
          <w:lang w:val="en-CA"/>
        </w:rPr>
        <w:t>’</w:t>
      </w:r>
      <w:r w:rsidRPr="00E42CC9">
        <w:rPr>
          <w:lang w:val="en-CA"/>
        </w:rPr>
        <w:t>s equity, but rather the equity of a third party, namely Pre-amalgamation Azoxco. This means that if Québec Inc. had become bankrupt, the appellants could have filed a claim as unsecured creditors. This perspective supports the appellants</w:t>
      </w:r>
      <w:r w:rsidR="008A0286">
        <w:rPr>
          <w:lang w:val="en-CA"/>
        </w:rPr>
        <w:t>’</w:t>
      </w:r>
      <w:r w:rsidRPr="00E42CC9">
        <w:rPr>
          <w:lang w:val="en-CA"/>
        </w:rPr>
        <w:t xml:space="preserve"> argument to the effect that by characterizing their claim as an </w:t>
      </w:r>
      <w:r w:rsidR="008A0286">
        <w:rPr>
          <w:lang w:val="en-CA"/>
        </w:rPr>
        <w:t>“</w:t>
      </w:r>
      <w:r w:rsidRPr="00E42CC9">
        <w:rPr>
          <w:lang w:val="en-CA"/>
        </w:rPr>
        <w:t>equity claim</w:t>
      </w:r>
      <w:r w:rsidR="008A0286">
        <w:rPr>
          <w:lang w:val="en-CA"/>
        </w:rPr>
        <w:t>”</w:t>
      </w:r>
      <w:r w:rsidRPr="00E42CC9">
        <w:rPr>
          <w:lang w:val="en-CA"/>
        </w:rPr>
        <w:t xml:space="preserve"> after the amalgamation, the judge altered the nature of the initial claim and, in so doing, the appellants</w:t>
      </w:r>
      <w:r w:rsidR="008A0286">
        <w:rPr>
          <w:lang w:val="en-CA"/>
        </w:rPr>
        <w:t>’</w:t>
      </w:r>
      <w:r w:rsidRPr="00E42CC9">
        <w:rPr>
          <w:lang w:val="en-CA"/>
        </w:rPr>
        <w:t xml:space="preserve"> insolvency risk.</w:t>
      </w:r>
    </w:p>
    <w:p w14:paraId="18A62287" w14:textId="0EEEA1BC" w:rsidR="00E16838" w:rsidRPr="00E42CC9" w:rsidRDefault="00316383" w:rsidP="005800BD">
      <w:pPr>
        <w:pStyle w:val="Paragraphe"/>
        <w:numPr>
          <w:ilvl w:val="0"/>
          <w:numId w:val="1"/>
        </w:numPr>
        <w:spacing w:line="240" w:lineRule="auto"/>
        <w:rPr>
          <w:lang w:val="en-CA"/>
        </w:rPr>
      </w:pPr>
      <w:r w:rsidRPr="00E42CC9">
        <w:rPr>
          <w:lang w:val="en-CA"/>
        </w:rPr>
        <w:t xml:space="preserve">Conversely, the nature of the debt </w:t>
      </w:r>
      <w:proofErr w:type="gramStart"/>
      <w:r w:rsidRPr="00E42CC9">
        <w:rPr>
          <w:lang w:val="en-CA"/>
        </w:rPr>
        <w:t>can also be viewed</w:t>
      </w:r>
      <w:proofErr w:type="gramEnd"/>
      <w:r w:rsidRPr="00E42CC9">
        <w:rPr>
          <w:lang w:val="en-CA"/>
        </w:rPr>
        <w:t xml:space="preserve"> from the perspective of what was sold. In the present case, the appellants sold all the shares of Pre-amalgamation Azoxco, and </w:t>
      </w:r>
      <w:proofErr w:type="gramStart"/>
      <w:r w:rsidRPr="00E42CC9">
        <w:rPr>
          <w:lang w:val="en-CA"/>
        </w:rPr>
        <w:t>a balance of sale was owed to them by Québec Inc</w:t>
      </w:r>
      <w:proofErr w:type="gramEnd"/>
      <w:r w:rsidRPr="00E42CC9">
        <w:rPr>
          <w:lang w:val="en-CA"/>
        </w:rPr>
        <w:t>. Their claim pertained to shares of Pre-amalgamation Azoxco and, consequently, it pertained to an equity interest in that corporation. Following the sale, Pre-amalgamation Azoxco and Québec Inc. carried out a short-form amalgamation and became the respondent. In reality, this type of amalgamation is but a reorganization of the amalgamating corporations</w:t>
      </w:r>
      <w:r w:rsidR="008A0286">
        <w:rPr>
          <w:lang w:val="en-CA"/>
        </w:rPr>
        <w:t>’</w:t>
      </w:r>
      <w:r w:rsidRPr="00E42CC9">
        <w:rPr>
          <w:lang w:val="en-CA"/>
        </w:rPr>
        <w:t xml:space="preserve"> share capital.</w:t>
      </w:r>
      <w:r w:rsidRPr="00E42CC9">
        <w:rPr>
          <w:rStyle w:val="Appelnotedebasdep"/>
          <w:lang w:val="en-CA"/>
        </w:rPr>
        <w:footnoteReference w:id="9"/>
      </w:r>
      <w:r w:rsidRPr="00E42CC9">
        <w:rPr>
          <w:lang w:val="en-CA"/>
        </w:rPr>
        <w:t xml:space="preserve"> As Professor Paul Martel points out, the amalgamated corporation is not a different entity from the amalgamating corporations, but rather their continuation, such that the amalgamated corporation holds all the property, rights and obligations of the original entities, without third-party rights </w:t>
      </w:r>
      <w:proofErr w:type="gramStart"/>
      <w:r w:rsidRPr="00E42CC9">
        <w:rPr>
          <w:lang w:val="en-CA"/>
        </w:rPr>
        <w:t>having been affected</w:t>
      </w:r>
      <w:proofErr w:type="gramEnd"/>
      <w:r w:rsidRPr="00E42CC9">
        <w:rPr>
          <w:lang w:val="en-CA"/>
        </w:rPr>
        <w:t xml:space="preserve"> by the amalgamation.</w:t>
      </w:r>
      <w:r w:rsidRPr="00E42CC9">
        <w:rPr>
          <w:rStyle w:val="Appelnotedebasdep"/>
          <w:lang w:val="en-CA"/>
        </w:rPr>
        <w:footnoteReference w:id="10"/>
      </w:r>
      <w:r w:rsidRPr="00E42CC9">
        <w:rPr>
          <w:lang w:val="en-CA"/>
        </w:rPr>
        <w:t xml:space="preserve"> This is the essence of what is set out in the second paragraph of s. 286 </w:t>
      </w:r>
      <w:r w:rsidRPr="00E42CC9">
        <w:rPr>
          <w:i/>
          <w:iCs/>
          <w:lang w:val="en-CA"/>
        </w:rPr>
        <w:t>BCA</w:t>
      </w:r>
      <w:r w:rsidRPr="00E42CC9">
        <w:rPr>
          <w:lang w:val="en-CA"/>
        </w:rPr>
        <w:t>. The respondent, therefore, found itself with all the assets and liabilities of Pre-amalgamation Azoxco and Québec Inc. As for Pre-amalgamation Azoxco</w:t>
      </w:r>
      <w:r w:rsidR="008A0286">
        <w:rPr>
          <w:lang w:val="en-CA"/>
        </w:rPr>
        <w:t>’</w:t>
      </w:r>
      <w:r w:rsidRPr="00E42CC9">
        <w:rPr>
          <w:lang w:val="en-CA"/>
        </w:rPr>
        <w:t xml:space="preserve">s equity, it </w:t>
      </w:r>
      <w:proofErr w:type="gramStart"/>
      <w:r w:rsidRPr="00E42CC9">
        <w:rPr>
          <w:lang w:val="en-CA"/>
        </w:rPr>
        <w:t>was cancelled and, given the facts, converted into a debt owed by the respondent</w:t>
      </w:r>
      <w:proofErr w:type="gramEnd"/>
      <w:r w:rsidRPr="00E42CC9">
        <w:rPr>
          <w:lang w:val="en-CA"/>
        </w:rPr>
        <w:t>. The respondent was therefore now obliged to pay a debt related to equity of one of the amalgamating entities whose juridical personality it continued.</w:t>
      </w:r>
    </w:p>
    <w:p w14:paraId="4E55DA21" w14:textId="17E85C9C" w:rsidR="00DC7860" w:rsidRPr="00E42CC9" w:rsidRDefault="004E56C4" w:rsidP="005800BD">
      <w:pPr>
        <w:pStyle w:val="Paragraphe"/>
        <w:numPr>
          <w:ilvl w:val="0"/>
          <w:numId w:val="1"/>
        </w:numPr>
        <w:spacing w:line="240" w:lineRule="auto"/>
        <w:rPr>
          <w:lang w:val="en-CA"/>
        </w:rPr>
      </w:pPr>
      <w:r>
        <w:rPr>
          <w:lang w:val="en-CA"/>
        </w:rPr>
        <w:t>How should the matter be resolved?</w:t>
      </w:r>
    </w:p>
    <w:p w14:paraId="36EBC807" w14:textId="0207C46E" w:rsidR="00DC7860" w:rsidRPr="00E42CC9" w:rsidRDefault="00316383" w:rsidP="005800BD">
      <w:pPr>
        <w:pStyle w:val="Paragraphe"/>
        <w:numPr>
          <w:ilvl w:val="0"/>
          <w:numId w:val="1"/>
        </w:numPr>
        <w:spacing w:line="240" w:lineRule="auto"/>
        <w:rPr>
          <w:lang w:val="en-CA" w:eastAsia="fr-CA"/>
        </w:rPr>
      </w:pPr>
      <w:r w:rsidRPr="00E42CC9">
        <w:rPr>
          <w:lang w:val="en-CA" w:eastAsia="fr-CA"/>
        </w:rPr>
        <w:t xml:space="preserve">In the </w:t>
      </w:r>
      <w:r w:rsidR="002B4742">
        <w:rPr>
          <w:lang w:val="en-CA" w:eastAsia="fr-CA"/>
        </w:rPr>
        <w:t>case at bar</w:t>
      </w:r>
      <w:r w:rsidRPr="00E42CC9">
        <w:rPr>
          <w:lang w:val="en-CA" w:eastAsia="fr-CA"/>
        </w:rPr>
        <w:t xml:space="preserve">, the Court </w:t>
      </w:r>
      <w:r w:rsidR="00D61020">
        <w:rPr>
          <w:lang w:val="en-CA" w:eastAsia="fr-CA"/>
        </w:rPr>
        <w:t xml:space="preserve">does indeed </w:t>
      </w:r>
      <w:r w:rsidRPr="00E42CC9">
        <w:rPr>
          <w:lang w:val="en-CA" w:eastAsia="fr-CA"/>
        </w:rPr>
        <w:t xml:space="preserve">owe great deference </w:t>
      </w:r>
      <w:r w:rsidR="0027093D">
        <w:rPr>
          <w:lang w:val="en-CA" w:eastAsia="fr-CA"/>
        </w:rPr>
        <w:t xml:space="preserve">to the </w:t>
      </w:r>
      <w:r w:rsidRPr="00E42CC9">
        <w:rPr>
          <w:lang w:val="en-CA" w:eastAsia="fr-CA"/>
        </w:rPr>
        <w:t>trial judge</w:t>
      </w:r>
      <w:r w:rsidR="0027093D">
        <w:rPr>
          <w:lang w:val="en-CA" w:eastAsia="fr-CA"/>
        </w:rPr>
        <w:t xml:space="preserve">’s findings, because she </w:t>
      </w:r>
      <w:r w:rsidRPr="00E42CC9">
        <w:rPr>
          <w:lang w:val="en-CA" w:eastAsia="fr-CA"/>
        </w:rPr>
        <w:t xml:space="preserve">exercised a power under s. 37 </w:t>
      </w:r>
      <w:r w:rsidRPr="00E42CC9">
        <w:rPr>
          <w:i/>
          <w:iCs/>
          <w:lang w:val="en-CA" w:eastAsia="fr-CA"/>
        </w:rPr>
        <w:t>BIA</w:t>
      </w:r>
      <w:r w:rsidRPr="00E42CC9">
        <w:rPr>
          <w:lang w:val="en-CA" w:eastAsia="fr-CA"/>
        </w:rPr>
        <w:t>, which gave her wide discretion.</w:t>
      </w:r>
      <w:r w:rsidRPr="00E42CC9">
        <w:rPr>
          <w:rStyle w:val="Appelnotedebasdep"/>
          <w:lang w:val="en-CA"/>
        </w:rPr>
        <w:footnoteReference w:id="11"/>
      </w:r>
    </w:p>
    <w:p w14:paraId="38874705" w14:textId="656B29DE" w:rsidR="00E16838" w:rsidRPr="00E42CC9" w:rsidRDefault="00316383" w:rsidP="005800BD">
      <w:pPr>
        <w:pStyle w:val="Paragraphe"/>
        <w:numPr>
          <w:ilvl w:val="0"/>
          <w:numId w:val="1"/>
        </w:numPr>
        <w:spacing w:line="240" w:lineRule="auto"/>
        <w:rPr>
          <w:lang w:val="en-CA"/>
        </w:rPr>
      </w:pPr>
      <w:r w:rsidRPr="00E42CC9">
        <w:rPr>
          <w:lang w:val="en-CA"/>
        </w:rPr>
        <w:t>In addition to this first reason for deference, there is the nature of the issue the trial judge had before her. Contrary to the appellants</w:t>
      </w:r>
      <w:r w:rsidR="008A0286">
        <w:rPr>
          <w:lang w:val="en-CA"/>
        </w:rPr>
        <w:t>’</w:t>
      </w:r>
      <w:r w:rsidRPr="00E42CC9">
        <w:rPr>
          <w:lang w:val="en-CA"/>
        </w:rPr>
        <w:t xml:space="preserve"> contention, this was not a pure question of law, but rather a mixed question. Indeed, the judge</w:t>
      </w:r>
      <w:r w:rsidR="008A0286">
        <w:rPr>
          <w:lang w:val="en-CA"/>
        </w:rPr>
        <w:t>’</w:t>
      </w:r>
      <w:r w:rsidRPr="00E42CC9">
        <w:rPr>
          <w:lang w:val="en-CA"/>
        </w:rPr>
        <w:t xml:space="preserve">s characterization of the nature of </w:t>
      </w:r>
      <w:r w:rsidRPr="00E42CC9">
        <w:rPr>
          <w:lang w:val="en-CA"/>
        </w:rPr>
        <w:lastRenderedPageBreak/>
        <w:t>the claim was not a purely technical exercise</w:t>
      </w:r>
      <w:r w:rsidR="0027093D">
        <w:rPr>
          <w:lang w:val="en-CA"/>
        </w:rPr>
        <w:t xml:space="preserve">; it </w:t>
      </w:r>
      <w:r w:rsidRPr="00E42CC9">
        <w:rPr>
          <w:lang w:val="en-CA"/>
        </w:rPr>
        <w:t>required her to consider the circumstances of the matter at hand in order to seek out the true nature of the transaction.</w:t>
      </w:r>
      <w:r w:rsidRPr="00E42CC9">
        <w:rPr>
          <w:rStyle w:val="Appelnotedebasdep"/>
          <w:lang w:val="en-CA"/>
        </w:rPr>
        <w:footnoteReference w:id="12"/>
      </w:r>
      <w:r w:rsidRPr="00E42CC9">
        <w:rPr>
          <w:lang w:val="en-CA"/>
        </w:rPr>
        <w:t xml:space="preserve"> In the present case, the sale of the shares </w:t>
      </w:r>
      <w:proofErr w:type="gramStart"/>
      <w:r w:rsidRPr="00E42CC9">
        <w:rPr>
          <w:lang w:val="en-CA"/>
        </w:rPr>
        <w:t>was inextricably linked</w:t>
      </w:r>
      <w:proofErr w:type="gramEnd"/>
      <w:r w:rsidRPr="00E42CC9">
        <w:rPr>
          <w:lang w:val="en-CA"/>
        </w:rPr>
        <w:t xml:space="preserve"> to the amalgamation. Not only was the amalgamation provided for in the contract, </w:t>
      </w:r>
      <w:proofErr w:type="gramStart"/>
      <w:r w:rsidRPr="00E42CC9">
        <w:rPr>
          <w:lang w:val="en-CA"/>
        </w:rPr>
        <w:t>but</w:t>
      </w:r>
      <w:proofErr w:type="gramEnd"/>
      <w:r w:rsidRPr="00E42CC9">
        <w:rPr>
          <w:lang w:val="en-CA"/>
        </w:rPr>
        <w:t xml:space="preserve"> it occurred in </w:t>
      </w:r>
      <w:r w:rsidR="00610F52">
        <w:rPr>
          <w:lang w:val="en-CA"/>
        </w:rPr>
        <w:t>its wake</w:t>
      </w:r>
      <w:r w:rsidRPr="00E42CC9">
        <w:rPr>
          <w:lang w:val="en-CA"/>
        </w:rPr>
        <w:t xml:space="preserve">. This concomitance and the integration of the steps that took place provide a genuine indication of the nature of the transaction and the interests at stake. This approach is </w:t>
      </w:r>
      <w:proofErr w:type="gramStart"/>
      <w:r w:rsidRPr="00E42CC9">
        <w:rPr>
          <w:lang w:val="en-CA"/>
        </w:rPr>
        <w:t>all the more</w:t>
      </w:r>
      <w:proofErr w:type="gramEnd"/>
      <w:r w:rsidRPr="00E42CC9">
        <w:rPr>
          <w:lang w:val="en-CA"/>
        </w:rPr>
        <w:t xml:space="preserve"> necessary as it has been noted that distinguishing equity from unsecured claims </w:t>
      </w:r>
      <w:r w:rsidR="00CB7CD2">
        <w:rPr>
          <w:lang w:val="en-CA"/>
        </w:rPr>
        <w:t xml:space="preserve">may be </w:t>
      </w:r>
      <w:r w:rsidRPr="00E42CC9">
        <w:rPr>
          <w:lang w:val="en-CA"/>
        </w:rPr>
        <w:t xml:space="preserve">difficult </w:t>
      </w:r>
      <w:r w:rsidR="00CB7CD2">
        <w:rPr>
          <w:lang w:val="en-CA"/>
        </w:rPr>
        <w:t xml:space="preserve">at times </w:t>
      </w:r>
      <w:r w:rsidRPr="00E42CC9">
        <w:rPr>
          <w:lang w:val="en-CA"/>
        </w:rPr>
        <w:t>because corporations are finding new mechanisms that can narrow the gap between these two categories.</w:t>
      </w:r>
      <w:r w:rsidRPr="00E42CC9">
        <w:rPr>
          <w:rStyle w:val="Appelnotedebasdep"/>
          <w:lang w:val="en-CA"/>
        </w:rPr>
        <w:footnoteReference w:id="13"/>
      </w:r>
    </w:p>
    <w:p w14:paraId="4AB048AC" w14:textId="246CF672" w:rsidR="00E90F20" w:rsidRPr="00E42CC9" w:rsidRDefault="00705B0F" w:rsidP="005800BD">
      <w:pPr>
        <w:pStyle w:val="Paragraphe"/>
        <w:numPr>
          <w:ilvl w:val="0"/>
          <w:numId w:val="1"/>
        </w:numPr>
        <w:tabs>
          <w:tab w:val="clear" w:pos="360"/>
        </w:tabs>
        <w:spacing w:line="240" w:lineRule="auto"/>
        <w:rPr>
          <w:lang w:val="en-CA"/>
        </w:rPr>
      </w:pPr>
      <w:r w:rsidRPr="00705B0F">
        <w:rPr>
          <w:lang w:val="en-CA"/>
        </w:rPr>
        <w:t>Let us look at the issue differently and assume that the shares the appellants held in Pre-amalgamation Azoxco had been repurchased by Pre-amalgamation Azoxco itself (rather than through Québec Inc.)</w:t>
      </w:r>
      <w:r w:rsidRPr="00E42CC9">
        <w:rPr>
          <w:lang w:val="en-CA"/>
        </w:rPr>
        <w:t>. Logically, and in accordance with a broad interpretation of the definition of equity claim,</w:t>
      </w:r>
      <w:r w:rsidRPr="00E42CC9">
        <w:rPr>
          <w:rStyle w:val="Appelnotedebasdep"/>
          <w:lang w:val="en-CA"/>
        </w:rPr>
        <w:footnoteReference w:id="14"/>
      </w:r>
      <w:r w:rsidRPr="00E42CC9">
        <w:rPr>
          <w:lang w:val="en-CA"/>
        </w:rPr>
        <w:t xml:space="preserve"> such a transaction </w:t>
      </w:r>
      <w:proofErr w:type="gramStart"/>
      <w:r w:rsidRPr="00E42CC9">
        <w:rPr>
          <w:lang w:val="en-CA"/>
        </w:rPr>
        <w:t>should have been characterized</w:t>
      </w:r>
      <w:proofErr w:type="gramEnd"/>
      <w:r w:rsidRPr="00E42CC9">
        <w:rPr>
          <w:lang w:val="en-CA"/>
        </w:rPr>
        <w:t xml:space="preserve"> as </w:t>
      </w:r>
      <w:r w:rsidR="00A26653">
        <w:rPr>
          <w:lang w:val="en-CA"/>
        </w:rPr>
        <w:t xml:space="preserve">a transaction </w:t>
      </w:r>
      <w:r w:rsidRPr="00E42CC9">
        <w:rPr>
          <w:lang w:val="en-CA"/>
        </w:rPr>
        <w:t xml:space="preserve">under paragraph (d) of the definition, since the unpaid balance indeed constituted a loss resulting from </w:t>
      </w:r>
      <w:r w:rsidR="008A0286">
        <w:rPr>
          <w:lang w:val="en-CA"/>
        </w:rPr>
        <w:t>“</w:t>
      </w:r>
      <w:r w:rsidRPr="00E42CC9">
        <w:rPr>
          <w:lang w:val="en-CA"/>
        </w:rPr>
        <w:t>the ownership, purchase or sale of an equity interest […]</w:t>
      </w:r>
      <w:r w:rsidR="008A0286">
        <w:rPr>
          <w:lang w:val="en-CA"/>
        </w:rPr>
        <w:t>”</w:t>
      </w:r>
      <w:r w:rsidRPr="00E42CC9">
        <w:rPr>
          <w:lang w:val="en-CA"/>
        </w:rPr>
        <w:t>. Accepting the appellants</w:t>
      </w:r>
      <w:r w:rsidR="008A0286">
        <w:rPr>
          <w:lang w:val="en-CA"/>
        </w:rPr>
        <w:t>’</w:t>
      </w:r>
      <w:r w:rsidRPr="00E42CC9">
        <w:rPr>
          <w:lang w:val="en-CA"/>
        </w:rPr>
        <w:t xml:space="preserve"> position would circumvent the application of s. 54.1 </w:t>
      </w:r>
      <w:r w:rsidRPr="00E42CC9">
        <w:rPr>
          <w:i/>
          <w:iCs/>
          <w:lang w:val="en-CA"/>
        </w:rPr>
        <w:t>BIA</w:t>
      </w:r>
      <w:r w:rsidRPr="00E42CC9">
        <w:rPr>
          <w:lang w:val="en-CA"/>
        </w:rPr>
        <w:t xml:space="preserve"> by allowing them to vote on the proposal, which would be directly contrary to the </w:t>
      </w:r>
      <w:r w:rsidR="002222C4">
        <w:rPr>
          <w:lang w:val="en-CA"/>
        </w:rPr>
        <w:t>l</w:t>
      </w:r>
      <w:r w:rsidRPr="00E42CC9">
        <w:rPr>
          <w:lang w:val="en-CA"/>
        </w:rPr>
        <w:t>egislature</w:t>
      </w:r>
      <w:r w:rsidR="008A0286">
        <w:rPr>
          <w:lang w:val="en-CA"/>
        </w:rPr>
        <w:t>’</w:t>
      </w:r>
      <w:r w:rsidRPr="00E42CC9">
        <w:rPr>
          <w:lang w:val="en-CA"/>
        </w:rPr>
        <w:t>s intent to subordinate the interests of holders of equity interests to those of creditors.</w:t>
      </w:r>
    </w:p>
    <w:p w14:paraId="5F1DAE6B" w14:textId="5C62AABD" w:rsidR="0065465A" w:rsidRPr="00E42CC9" w:rsidRDefault="00316383" w:rsidP="005800BD">
      <w:pPr>
        <w:pStyle w:val="Paragraphe"/>
        <w:numPr>
          <w:ilvl w:val="0"/>
          <w:numId w:val="1"/>
        </w:numPr>
        <w:spacing w:line="240" w:lineRule="auto"/>
        <w:rPr>
          <w:lang w:val="en-CA"/>
        </w:rPr>
      </w:pPr>
      <w:r w:rsidRPr="00E42CC9">
        <w:rPr>
          <w:lang w:val="en-CA"/>
        </w:rPr>
        <w:t xml:space="preserve">Lastly, the Court </w:t>
      </w:r>
      <w:r w:rsidR="00F4510D" w:rsidRPr="00E42CC9">
        <w:rPr>
          <w:lang w:val="en-CA"/>
        </w:rPr>
        <w:t>cannot</w:t>
      </w:r>
      <w:r w:rsidRPr="00E42CC9">
        <w:rPr>
          <w:lang w:val="en-CA"/>
        </w:rPr>
        <w:t xml:space="preserve"> accept the appellants</w:t>
      </w:r>
      <w:r w:rsidR="008A0286">
        <w:rPr>
          <w:lang w:val="en-CA"/>
        </w:rPr>
        <w:t>’</w:t>
      </w:r>
      <w:r w:rsidRPr="00E42CC9">
        <w:rPr>
          <w:lang w:val="en-CA"/>
        </w:rPr>
        <w:t xml:space="preserve"> argument that the definition of </w:t>
      </w:r>
      <w:r w:rsidR="008A0286">
        <w:rPr>
          <w:lang w:val="en-CA"/>
        </w:rPr>
        <w:t>“</w:t>
      </w:r>
      <w:r w:rsidRPr="00E42CC9">
        <w:rPr>
          <w:lang w:val="en-CA"/>
        </w:rPr>
        <w:t>equity claim</w:t>
      </w:r>
      <w:r w:rsidR="008A0286">
        <w:rPr>
          <w:lang w:val="en-CA"/>
        </w:rPr>
        <w:t>”</w:t>
      </w:r>
      <w:r w:rsidRPr="00E42CC9">
        <w:rPr>
          <w:lang w:val="en-CA"/>
        </w:rPr>
        <w:t xml:space="preserve"> presupposes that, at the time of the notice of intention, they had to </w:t>
      </w:r>
      <w:r w:rsidR="004343E7" w:rsidRPr="0097054B">
        <w:rPr>
          <w:lang w:val="en-CA"/>
        </w:rPr>
        <w:t>hold</w:t>
      </w:r>
      <w:r w:rsidR="004343E7">
        <w:rPr>
          <w:lang w:val="en-CA"/>
        </w:rPr>
        <w:t xml:space="preserve"> </w:t>
      </w:r>
      <w:r w:rsidRPr="00E42CC9">
        <w:rPr>
          <w:lang w:val="en-CA"/>
        </w:rPr>
        <w:t xml:space="preserve">a share in the respondent, or a warrant, an option or other such right. Not only would adding such a condition run counter to the broad and liberal interpretation of this definition and depart from the </w:t>
      </w:r>
      <w:r w:rsidR="002222C4">
        <w:rPr>
          <w:lang w:val="en-CA"/>
        </w:rPr>
        <w:t>l</w:t>
      </w:r>
      <w:r w:rsidRPr="00E42CC9">
        <w:rPr>
          <w:lang w:val="en-CA"/>
        </w:rPr>
        <w:t>egislature</w:t>
      </w:r>
      <w:r w:rsidR="008A0286">
        <w:rPr>
          <w:lang w:val="en-CA"/>
        </w:rPr>
        <w:t>’</w:t>
      </w:r>
      <w:r w:rsidRPr="00E42CC9">
        <w:rPr>
          <w:lang w:val="en-CA"/>
        </w:rPr>
        <w:t xml:space="preserve">s intent to subordinate the protection of holders of an equity interest to that of creditors – as already discussed above – but the very wording of the definition does not suggest it. Indeed, paragraph (d) of the definition refers to a monetary loss resulting from, among other things, the </w:t>
      </w:r>
      <w:r w:rsidRPr="00E42CC9">
        <w:rPr>
          <w:i/>
          <w:iCs/>
          <w:lang w:val="en-CA"/>
        </w:rPr>
        <w:t>sale</w:t>
      </w:r>
      <w:r w:rsidRPr="00E42CC9">
        <w:rPr>
          <w:lang w:val="en-CA"/>
        </w:rPr>
        <w:t xml:space="preserve"> of an equity interest. Consequently, once such equity </w:t>
      </w:r>
      <w:proofErr w:type="gramStart"/>
      <w:r w:rsidRPr="00E42CC9">
        <w:rPr>
          <w:lang w:val="en-CA"/>
        </w:rPr>
        <w:t>has been sold</w:t>
      </w:r>
      <w:proofErr w:type="gramEnd"/>
      <w:r w:rsidRPr="00E42CC9">
        <w:rPr>
          <w:lang w:val="en-CA"/>
        </w:rPr>
        <w:t xml:space="preserve">, the seller is, by definition, no longer its owner. Nonetheless, its claim </w:t>
      </w:r>
      <w:proofErr w:type="gramStart"/>
      <w:r w:rsidRPr="00E42CC9">
        <w:rPr>
          <w:lang w:val="en-CA"/>
        </w:rPr>
        <w:t>can still be characterized</w:t>
      </w:r>
      <w:proofErr w:type="gramEnd"/>
      <w:r w:rsidRPr="00E42CC9">
        <w:rPr>
          <w:lang w:val="en-CA"/>
        </w:rPr>
        <w:t xml:space="preserve"> as an equity claim under paragraph (d) of the definition. There is no reason to conclude otherwise because the matter at hand involves a balance of sale.</w:t>
      </w:r>
    </w:p>
    <w:p w14:paraId="6C89D2CD" w14:textId="010A497D" w:rsidR="0065465A" w:rsidRPr="00E42CC9" w:rsidRDefault="00316383" w:rsidP="005800BD">
      <w:pPr>
        <w:pStyle w:val="Paragraphe"/>
        <w:numPr>
          <w:ilvl w:val="0"/>
          <w:numId w:val="1"/>
        </w:numPr>
        <w:spacing w:line="240" w:lineRule="auto"/>
        <w:rPr>
          <w:lang w:val="en-CA"/>
        </w:rPr>
      </w:pPr>
      <w:r w:rsidRPr="00E42CC9">
        <w:rPr>
          <w:lang w:val="en-CA"/>
        </w:rPr>
        <w:t xml:space="preserve">This was also the conclusion of the Ontario Court of Appeal in </w:t>
      </w:r>
      <w:r w:rsidRPr="00E42CC9">
        <w:rPr>
          <w:i/>
          <w:iCs/>
          <w:lang w:val="en-CA"/>
        </w:rPr>
        <w:t>Sino-Forest</w:t>
      </w:r>
      <w:r w:rsidRPr="00E42CC9">
        <w:rPr>
          <w:lang w:val="en-CA"/>
        </w:rPr>
        <w:t xml:space="preserve">. In that </w:t>
      </w:r>
      <w:r w:rsidR="005269A8">
        <w:rPr>
          <w:lang w:val="en-CA"/>
        </w:rPr>
        <w:t>case</w:t>
      </w:r>
      <w:r w:rsidRPr="00E42CC9">
        <w:rPr>
          <w:lang w:val="en-CA"/>
        </w:rPr>
        <w:t>, the shareholders had sued the accountants</w:t>
      </w:r>
      <w:r w:rsidR="005269A8">
        <w:rPr>
          <w:lang w:val="en-CA"/>
        </w:rPr>
        <w:t>,</w:t>
      </w:r>
      <w:r w:rsidRPr="00E42CC9">
        <w:rPr>
          <w:lang w:val="en-CA"/>
        </w:rPr>
        <w:t xml:space="preserve"> who had failed to detect inaccuracies in the financial information provided by the corporation. The Ontario Court of Appeal, upholding the decision of Morawetz, J., concluded that this claim was included in the definition of </w:t>
      </w:r>
      <w:r w:rsidR="008A0286">
        <w:rPr>
          <w:lang w:val="en-CA"/>
        </w:rPr>
        <w:t>“</w:t>
      </w:r>
      <w:r w:rsidRPr="00E42CC9">
        <w:rPr>
          <w:lang w:val="en-CA"/>
        </w:rPr>
        <w:t>equity claim</w:t>
      </w:r>
      <w:r w:rsidR="008A0286">
        <w:rPr>
          <w:lang w:val="en-CA"/>
        </w:rPr>
        <w:t>”</w:t>
      </w:r>
      <w:r w:rsidRPr="00E42CC9">
        <w:rPr>
          <w:lang w:val="en-CA"/>
        </w:rPr>
        <w:t xml:space="preserve"> even if the claimant did not hold, and had never held, such </w:t>
      </w:r>
      <w:r w:rsidRPr="00E42CC9">
        <w:rPr>
          <w:lang w:val="en-CA"/>
        </w:rPr>
        <w:lastRenderedPageBreak/>
        <w:t>equity. That case, admittedly, is not identical to the one before us, because, ultimately, the beneficiaries of the claim were equity holders. Nevertheless, in both cases, an analysis of the nature of the claim rather than the nature of the claimant indicates that the claim is in respect of an equity interest.</w:t>
      </w:r>
    </w:p>
    <w:p w14:paraId="652C629C" w14:textId="47F98FC5" w:rsidR="00A5352E" w:rsidRPr="00E42CC9" w:rsidRDefault="005269A8" w:rsidP="005800BD">
      <w:pPr>
        <w:pStyle w:val="Paragraphe"/>
        <w:numPr>
          <w:ilvl w:val="0"/>
          <w:numId w:val="1"/>
        </w:numPr>
        <w:spacing w:line="240" w:lineRule="auto"/>
        <w:rPr>
          <w:lang w:val="en-CA"/>
        </w:rPr>
      </w:pPr>
      <w:r>
        <w:rPr>
          <w:lang w:val="en-CA"/>
        </w:rPr>
        <w:t xml:space="preserve">Absent </w:t>
      </w:r>
      <w:r w:rsidRPr="00E42CC9">
        <w:rPr>
          <w:lang w:val="en-CA"/>
        </w:rPr>
        <w:t xml:space="preserve">a palpable and overriding error committed by the trial judge in characterizing the genuine nature of the claim, the appeal </w:t>
      </w:r>
      <w:proofErr w:type="gramStart"/>
      <w:r w:rsidRPr="00E42CC9">
        <w:rPr>
          <w:lang w:val="en-CA"/>
        </w:rPr>
        <w:t>must be dismissed</w:t>
      </w:r>
      <w:proofErr w:type="gramEnd"/>
      <w:r w:rsidRPr="00E42CC9">
        <w:rPr>
          <w:lang w:val="en-CA"/>
        </w:rPr>
        <w:t>.</w:t>
      </w:r>
    </w:p>
    <w:p w14:paraId="7B8332E6" w14:textId="77777777" w:rsidR="00E16838" w:rsidRPr="00E42CC9" w:rsidRDefault="00316383" w:rsidP="005800BD">
      <w:pPr>
        <w:pStyle w:val="Paragraphe"/>
        <w:spacing w:line="240" w:lineRule="auto"/>
        <w:rPr>
          <w:b/>
          <w:bCs/>
          <w:lang w:val="en-CA"/>
        </w:rPr>
      </w:pPr>
      <w:r w:rsidRPr="00E42CC9">
        <w:rPr>
          <w:b/>
          <w:bCs/>
          <w:lang w:val="en-CA"/>
        </w:rPr>
        <w:t>FOR THESE REASONS, THE COURT:</w:t>
      </w:r>
    </w:p>
    <w:p w14:paraId="73448A00" w14:textId="77777777" w:rsidR="00E16838" w:rsidRPr="00E42CC9" w:rsidRDefault="00316383" w:rsidP="005800BD">
      <w:pPr>
        <w:pStyle w:val="Paragraphe"/>
        <w:numPr>
          <w:ilvl w:val="0"/>
          <w:numId w:val="1"/>
        </w:numPr>
        <w:spacing w:line="240" w:lineRule="auto"/>
        <w:rPr>
          <w:lang w:val="en-CA"/>
        </w:rPr>
      </w:pPr>
      <w:r w:rsidRPr="00E42CC9">
        <w:rPr>
          <w:b/>
          <w:bCs/>
          <w:lang w:val="en-CA"/>
        </w:rPr>
        <w:t>DISMISSES</w:t>
      </w:r>
      <w:r w:rsidRPr="00E42CC9">
        <w:rPr>
          <w:lang w:val="en-CA"/>
        </w:rPr>
        <w:t xml:space="preserve"> the appeal, with legal costs.</w:t>
      </w:r>
    </w:p>
    <w:tbl>
      <w:tblPr>
        <w:tblW w:w="0" w:type="auto"/>
        <w:tblLayout w:type="fixed"/>
        <w:tblCellMar>
          <w:left w:w="0" w:type="dxa"/>
          <w:right w:w="0" w:type="dxa"/>
        </w:tblCellMar>
        <w:tblLook w:val="0000" w:firstRow="0" w:lastRow="0" w:firstColumn="0" w:lastColumn="0" w:noHBand="0" w:noVBand="0"/>
      </w:tblPr>
      <w:tblGrid>
        <w:gridCol w:w="1997"/>
        <w:gridCol w:w="2685"/>
        <w:gridCol w:w="4680"/>
      </w:tblGrid>
      <w:tr w:rsidR="000C6D16" w:rsidRPr="0097054B" w14:paraId="04D9AA0C" w14:textId="77777777" w:rsidTr="005C06CB">
        <w:trPr>
          <w:trHeight w:val="576"/>
        </w:trPr>
        <w:tc>
          <w:tcPr>
            <w:tcW w:w="9362" w:type="dxa"/>
            <w:gridSpan w:val="3"/>
          </w:tcPr>
          <w:p w14:paraId="11C67094" w14:textId="77777777" w:rsidR="008F364A" w:rsidRPr="00E42CC9" w:rsidRDefault="008F364A">
            <w:pPr>
              <w:keepNext/>
              <w:rPr>
                <w:lang w:val="en-CA"/>
              </w:rPr>
            </w:pPr>
          </w:p>
        </w:tc>
      </w:tr>
      <w:tr w:rsidR="000C6D16" w:rsidRPr="0097054B" w14:paraId="49AB34ED" w14:textId="77777777" w:rsidTr="000426BA">
        <w:trPr>
          <w:trHeight w:val="283"/>
        </w:trPr>
        <w:tc>
          <w:tcPr>
            <w:tcW w:w="4682" w:type="dxa"/>
            <w:gridSpan w:val="2"/>
          </w:tcPr>
          <w:p w14:paraId="2D5D3E64" w14:textId="77777777" w:rsidR="008F364A" w:rsidRPr="00E42CC9" w:rsidRDefault="008F364A">
            <w:pPr>
              <w:keepNext/>
              <w:rPr>
                <w:lang w:val="en-CA"/>
              </w:rPr>
            </w:pPr>
          </w:p>
        </w:tc>
        <w:tc>
          <w:tcPr>
            <w:tcW w:w="4680" w:type="dxa"/>
            <w:tcBorders>
              <w:bottom w:val="single" w:sz="4" w:space="0" w:color="auto"/>
            </w:tcBorders>
          </w:tcPr>
          <w:p w14:paraId="6D2F465C" w14:textId="77777777" w:rsidR="008F364A" w:rsidRPr="00E42CC9" w:rsidRDefault="008F364A">
            <w:pPr>
              <w:keepNext/>
              <w:rPr>
                <w:lang w:val="en-CA"/>
              </w:rPr>
            </w:pPr>
          </w:p>
        </w:tc>
      </w:tr>
      <w:tr w:rsidR="000C6D16" w:rsidRPr="00E42CC9" w14:paraId="5A657451" w14:textId="77777777" w:rsidTr="000426BA">
        <w:trPr>
          <w:trHeight w:val="283"/>
        </w:trPr>
        <w:tc>
          <w:tcPr>
            <w:tcW w:w="4682" w:type="dxa"/>
            <w:gridSpan w:val="2"/>
          </w:tcPr>
          <w:p w14:paraId="481A4B87" w14:textId="77777777" w:rsidR="008F364A" w:rsidRPr="00E42CC9" w:rsidRDefault="008F364A">
            <w:pPr>
              <w:keepNext/>
              <w:rPr>
                <w:lang w:val="en-CA"/>
              </w:rPr>
            </w:pPr>
          </w:p>
        </w:tc>
        <w:tc>
          <w:tcPr>
            <w:tcW w:w="4680" w:type="dxa"/>
            <w:tcBorders>
              <w:top w:val="single" w:sz="4" w:space="0" w:color="auto"/>
            </w:tcBorders>
          </w:tcPr>
          <w:p w14:paraId="33D0554F" w14:textId="1073CFCF" w:rsidR="008F364A" w:rsidRPr="00E42CC9" w:rsidRDefault="005B0632">
            <w:pPr>
              <w:rPr>
                <w:lang w:val="en-CA"/>
              </w:rPr>
            </w:pPr>
            <w:r w:rsidRPr="005B0632">
              <w:rPr>
                <w:lang w:val="en-CA"/>
              </w:rPr>
              <w:t>MARTIN VAUCLAIR, J.A.</w:t>
            </w:r>
          </w:p>
        </w:tc>
      </w:tr>
      <w:tr w:rsidR="000C6D16" w:rsidRPr="00E42CC9" w14:paraId="5A58B437" w14:textId="77777777" w:rsidTr="000426BA">
        <w:trPr>
          <w:trHeight w:val="283"/>
        </w:trPr>
        <w:tc>
          <w:tcPr>
            <w:tcW w:w="4682" w:type="dxa"/>
            <w:gridSpan w:val="2"/>
          </w:tcPr>
          <w:p w14:paraId="012C1F3F" w14:textId="77777777" w:rsidR="008F364A" w:rsidRPr="00E42CC9" w:rsidRDefault="008F364A">
            <w:pPr>
              <w:keepNext/>
              <w:rPr>
                <w:lang w:val="en-CA"/>
              </w:rPr>
            </w:pPr>
            <w:bookmarkStart w:id="14" w:name="Signature2"/>
          </w:p>
        </w:tc>
        <w:tc>
          <w:tcPr>
            <w:tcW w:w="4680" w:type="dxa"/>
          </w:tcPr>
          <w:p w14:paraId="14B762DF" w14:textId="77777777" w:rsidR="008F364A" w:rsidRPr="00E42CC9" w:rsidRDefault="008F364A">
            <w:pPr>
              <w:keepNext/>
              <w:rPr>
                <w:lang w:val="en-CA"/>
              </w:rPr>
            </w:pPr>
          </w:p>
        </w:tc>
      </w:tr>
      <w:tr w:rsidR="000C6D16" w:rsidRPr="00E42CC9" w14:paraId="384D90A3" w14:textId="77777777" w:rsidTr="000426BA">
        <w:trPr>
          <w:trHeight w:val="283"/>
        </w:trPr>
        <w:tc>
          <w:tcPr>
            <w:tcW w:w="4682" w:type="dxa"/>
            <w:gridSpan w:val="2"/>
          </w:tcPr>
          <w:p w14:paraId="180697F5" w14:textId="77777777" w:rsidR="008F364A" w:rsidRPr="00E42CC9" w:rsidRDefault="008F364A">
            <w:pPr>
              <w:keepNext/>
              <w:rPr>
                <w:lang w:val="en-CA"/>
              </w:rPr>
            </w:pPr>
          </w:p>
        </w:tc>
        <w:tc>
          <w:tcPr>
            <w:tcW w:w="4680" w:type="dxa"/>
            <w:tcBorders>
              <w:bottom w:val="single" w:sz="4" w:space="0" w:color="auto"/>
            </w:tcBorders>
          </w:tcPr>
          <w:p w14:paraId="50005870" w14:textId="77777777" w:rsidR="008F364A" w:rsidRPr="00E42CC9" w:rsidRDefault="008F364A">
            <w:pPr>
              <w:keepNext/>
              <w:rPr>
                <w:lang w:val="en-CA"/>
              </w:rPr>
            </w:pPr>
          </w:p>
        </w:tc>
      </w:tr>
      <w:tr w:rsidR="000C6D16" w:rsidRPr="00E42CC9" w14:paraId="0E565D7A" w14:textId="77777777" w:rsidTr="000426BA">
        <w:trPr>
          <w:trHeight w:val="283"/>
        </w:trPr>
        <w:tc>
          <w:tcPr>
            <w:tcW w:w="4682" w:type="dxa"/>
            <w:gridSpan w:val="2"/>
          </w:tcPr>
          <w:p w14:paraId="12B28FCA" w14:textId="77777777" w:rsidR="008F364A" w:rsidRPr="00E42CC9" w:rsidRDefault="008F364A">
            <w:pPr>
              <w:keepNext/>
              <w:rPr>
                <w:lang w:val="en-CA"/>
              </w:rPr>
            </w:pPr>
          </w:p>
        </w:tc>
        <w:tc>
          <w:tcPr>
            <w:tcW w:w="4680" w:type="dxa"/>
            <w:tcBorders>
              <w:top w:val="single" w:sz="4" w:space="0" w:color="auto"/>
            </w:tcBorders>
          </w:tcPr>
          <w:p w14:paraId="6742F24D" w14:textId="1B04268B" w:rsidR="008F364A" w:rsidRPr="00E42CC9" w:rsidRDefault="005B0632">
            <w:pPr>
              <w:keepNext/>
              <w:rPr>
                <w:lang w:val="en-CA"/>
              </w:rPr>
            </w:pPr>
            <w:r w:rsidRPr="005B0632">
              <w:rPr>
                <w:lang w:val="en-CA"/>
              </w:rPr>
              <w:t>GENEVIÈVE MARCOTTE, J.A.</w:t>
            </w:r>
          </w:p>
        </w:tc>
      </w:tr>
      <w:tr w:rsidR="000C6D16" w:rsidRPr="00E42CC9" w14:paraId="1E64BB0B" w14:textId="77777777" w:rsidTr="000426BA">
        <w:trPr>
          <w:trHeight w:val="283"/>
        </w:trPr>
        <w:tc>
          <w:tcPr>
            <w:tcW w:w="4682" w:type="dxa"/>
            <w:gridSpan w:val="2"/>
          </w:tcPr>
          <w:p w14:paraId="224CBB35" w14:textId="77777777" w:rsidR="008F364A" w:rsidRPr="00E42CC9" w:rsidRDefault="008F364A">
            <w:pPr>
              <w:keepNext/>
              <w:rPr>
                <w:lang w:val="en-CA"/>
              </w:rPr>
            </w:pPr>
            <w:bookmarkStart w:id="15" w:name="Signature3"/>
            <w:bookmarkEnd w:id="14"/>
          </w:p>
        </w:tc>
        <w:tc>
          <w:tcPr>
            <w:tcW w:w="4680" w:type="dxa"/>
          </w:tcPr>
          <w:p w14:paraId="74B6A855" w14:textId="77777777" w:rsidR="008F364A" w:rsidRPr="00E42CC9" w:rsidRDefault="008F364A">
            <w:pPr>
              <w:keepNext/>
              <w:rPr>
                <w:lang w:val="en-CA"/>
              </w:rPr>
            </w:pPr>
          </w:p>
        </w:tc>
      </w:tr>
      <w:tr w:rsidR="000C6D16" w:rsidRPr="00E42CC9" w14:paraId="48C0EBBB" w14:textId="77777777" w:rsidTr="000426BA">
        <w:trPr>
          <w:trHeight w:val="283"/>
        </w:trPr>
        <w:tc>
          <w:tcPr>
            <w:tcW w:w="4682" w:type="dxa"/>
            <w:gridSpan w:val="2"/>
          </w:tcPr>
          <w:p w14:paraId="196859B5" w14:textId="77777777" w:rsidR="008F364A" w:rsidRPr="00E42CC9" w:rsidRDefault="008F364A">
            <w:pPr>
              <w:keepNext/>
              <w:rPr>
                <w:lang w:val="en-CA"/>
              </w:rPr>
            </w:pPr>
          </w:p>
        </w:tc>
        <w:tc>
          <w:tcPr>
            <w:tcW w:w="4680" w:type="dxa"/>
            <w:tcBorders>
              <w:bottom w:val="single" w:sz="4" w:space="0" w:color="auto"/>
            </w:tcBorders>
          </w:tcPr>
          <w:p w14:paraId="53463DE2" w14:textId="77777777" w:rsidR="008F364A" w:rsidRPr="00E42CC9" w:rsidRDefault="008F364A">
            <w:pPr>
              <w:keepNext/>
              <w:rPr>
                <w:lang w:val="en-CA"/>
              </w:rPr>
            </w:pPr>
          </w:p>
        </w:tc>
      </w:tr>
      <w:tr w:rsidR="000C6D16" w:rsidRPr="00E42CC9" w14:paraId="7F3E0581" w14:textId="77777777" w:rsidTr="000426BA">
        <w:trPr>
          <w:trHeight w:val="283"/>
        </w:trPr>
        <w:tc>
          <w:tcPr>
            <w:tcW w:w="4682" w:type="dxa"/>
            <w:gridSpan w:val="2"/>
          </w:tcPr>
          <w:p w14:paraId="2C203C9A" w14:textId="77777777" w:rsidR="008F364A" w:rsidRPr="00E42CC9" w:rsidRDefault="008F364A">
            <w:pPr>
              <w:keepNext/>
              <w:rPr>
                <w:lang w:val="en-CA"/>
              </w:rPr>
            </w:pPr>
          </w:p>
        </w:tc>
        <w:tc>
          <w:tcPr>
            <w:tcW w:w="4680" w:type="dxa"/>
            <w:tcBorders>
              <w:top w:val="single" w:sz="4" w:space="0" w:color="auto"/>
            </w:tcBorders>
          </w:tcPr>
          <w:p w14:paraId="6BC1A75A" w14:textId="225E9199" w:rsidR="008F364A" w:rsidRPr="00E42CC9" w:rsidRDefault="005B0632">
            <w:pPr>
              <w:keepNext/>
              <w:rPr>
                <w:lang w:val="en-CA"/>
              </w:rPr>
            </w:pPr>
            <w:r w:rsidRPr="005B0632">
              <w:rPr>
                <w:lang w:val="en-CA"/>
              </w:rPr>
              <w:t>BENOÎT MOORE, J.A.</w:t>
            </w:r>
          </w:p>
        </w:tc>
      </w:tr>
      <w:bookmarkEnd w:id="15"/>
      <w:tr w:rsidR="000C6D16" w:rsidRPr="00E42CC9" w14:paraId="2B70D2B9" w14:textId="77777777" w:rsidTr="005C06CB">
        <w:tc>
          <w:tcPr>
            <w:tcW w:w="9362" w:type="dxa"/>
            <w:gridSpan w:val="3"/>
          </w:tcPr>
          <w:p w14:paraId="09660F97" w14:textId="77777777" w:rsidR="005A78BF" w:rsidRPr="00E42CC9" w:rsidRDefault="005A78BF" w:rsidP="005A78BF">
            <w:pPr>
              <w:rPr>
                <w:lang w:val="en-CA"/>
              </w:rPr>
            </w:pPr>
          </w:p>
        </w:tc>
      </w:tr>
      <w:tr w:rsidR="000C6D16" w:rsidRPr="00E42CC9" w14:paraId="0FC4AEFF" w14:textId="77777777" w:rsidTr="005C06CB">
        <w:tc>
          <w:tcPr>
            <w:tcW w:w="9362" w:type="dxa"/>
            <w:gridSpan w:val="3"/>
          </w:tcPr>
          <w:p w14:paraId="5DB47B8D" w14:textId="77777777" w:rsidR="005A78BF" w:rsidRPr="00C5131E" w:rsidRDefault="00316383" w:rsidP="005A78BF">
            <w:pPr>
              <w:pStyle w:val="zSoquijdatNomProcureurDem"/>
            </w:pPr>
            <w:r w:rsidRPr="00C5131E">
              <w:t>Mtre Bernard Gravel</w:t>
            </w:r>
          </w:p>
          <w:p w14:paraId="2250C5E5" w14:textId="1ED02F08" w:rsidR="000C08D0" w:rsidRPr="00C5131E" w:rsidRDefault="00316383" w:rsidP="005A78BF">
            <w:pPr>
              <w:pStyle w:val="zSoquijdatNomProcureurDem"/>
            </w:pPr>
            <w:r w:rsidRPr="00C5131E">
              <w:t>Mtre Guillaume Hébert</w:t>
            </w:r>
          </w:p>
        </w:tc>
      </w:tr>
      <w:tr w:rsidR="000C6D16" w:rsidRPr="00E42CC9" w14:paraId="743A1E2D" w14:textId="77777777" w:rsidTr="005C06CB">
        <w:tc>
          <w:tcPr>
            <w:tcW w:w="9362" w:type="dxa"/>
            <w:gridSpan w:val="3"/>
          </w:tcPr>
          <w:p w14:paraId="077A2716" w14:textId="454690B2" w:rsidR="005A78BF" w:rsidRPr="00E42CC9" w:rsidRDefault="00316383" w:rsidP="005A78BF">
            <w:pPr>
              <w:pStyle w:val="zSoquijdatCabinetProcureurDem"/>
              <w:rPr>
                <w:lang w:val="en-CA"/>
              </w:rPr>
            </w:pPr>
            <w:r w:rsidRPr="00E42CC9">
              <w:rPr>
                <w:lang w:val="en-CA"/>
              </w:rPr>
              <w:t>SOCIÉTÉ D</w:t>
            </w:r>
            <w:r w:rsidR="008A0286">
              <w:rPr>
                <w:lang w:val="en-CA"/>
              </w:rPr>
              <w:t>’</w:t>
            </w:r>
            <w:r w:rsidRPr="00E42CC9">
              <w:rPr>
                <w:lang w:val="en-CA"/>
              </w:rPr>
              <w:t>AVOCATS DEXAR</w:t>
            </w:r>
          </w:p>
        </w:tc>
      </w:tr>
      <w:tr w:rsidR="000C6D16" w:rsidRPr="00E42CC9" w14:paraId="6B46A72C" w14:textId="77777777" w:rsidTr="005C06CB">
        <w:tc>
          <w:tcPr>
            <w:tcW w:w="9362" w:type="dxa"/>
            <w:gridSpan w:val="3"/>
          </w:tcPr>
          <w:p w14:paraId="74A4A479" w14:textId="5AE01FDD" w:rsidR="005A78BF" w:rsidRPr="00E42CC9" w:rsidRDefault="00316383" w:rsidP="005A78BF">
            <w:pPr>
              <w:pStyle w:val="zSoquijlblProcureurDem"/>
              <w:rPr>
                <w:lang w:val="en-CA"/>
              </w:rPr>
            </w:pPr>
            <w:r w:rsidRPr="00E42CC9">
              <w:rPr>
                <w:lang w:val="en-CA"/>
              </w:rPr>
              <w:t>For the appellants</w:t>
            </w:r>
          </w:p>
        </w:tc>
      </w:tr>
      <w:tr w:rsidR="000C6D16" w:rsidRPr="00E42CC9" w14:paraId="536CFDE1" w14:textId="77777777" w:rsidTr="005C06CB">
        <w:tc>
          <w:tcPr>
            <w:tcW w:w="9362" w:type="dxa"/>
            <w:gridSpan w:val="3"/>
          </w:tcPr>
          <w:p w14:paraId="10882E82" w14:textId="77777777" w:rsidR="005A78BF" w:rsidRPr="00E42CC9" w:rsidRDefault="005A78BF" w:rsidP="005A78BF">
            <w:pPr>
              <w:rPr>
                <w:lang w:val="en-CA"/>
              </w:rPr>
            </w:pPr>
          </w:p>
        </w:tc>
      </w:tr>
      <w:tr w:rsidR="000C6D16" w:rsidRPr="00E42CC9" w14:paraId="1DE3FD78" w14:textId="77777777" w:rsidTr="005C06CB">
        <w:tc>
          <w:tcPr>
            <w:tcW w:w="9362" w:type="dxa"/>
            <w:gridSpan w:val="3"/>
          </w:tcPr>
          <w:p w14:paraId="2CA42ABB" w14:textId="77777777" w:rsidR="005A78BF" w:rsidRPr="00C5131E" w:rsidRDefault="00316383" w:rsidP="005A78BF">
            <w:pPr>
              <w:pStyle w:val="zSoquijdatNomProcureurDef"/>
            </w:pPr>
            <w:r w:rsidRPr="00C5131E">
              <w:t>Mtre François D. Gagnon</w:t>
            </w:r>
          </w:p>
          <w:p w14:paraId="1754739D" w14:textId="034F4F41" w:rsidR="000C08D0" w:rsidRPr="00C5131E" w:rsidRDefault="00316383" w:rsidP="005A78BF">
            <w:pPr>
              <w:pStyle w:val="zSoquijdatNomProcureurDef"/>
            </w:pPr>
            <w:r w:rsidRPr="00C5131E">
              <w:t>Mtre Kevin Mailloux</w:t>
            </w:r>
          </w:p>
        </w:tc>
      </w:tr>
      <w:tr w:rsidR="000C6D16" w:rsidRPr="00E42CC9" w14:paraId="0FDA1DA3" w14:textId="77777777" w:rsidTr="005C06CB">
        <w:tc>
          <w:tcPr>
            <w:tcW w:w="9362" w:type="dxa"/>
            <w:gridSpan w:val="3"/>
          </w:tcPr>
          <w:p w14:paraId="4E7F973F" w14:textId="66ACB916" w:rsidR="005A78BF" w:rsidRPr="00E42CC9" w:rsidRDefault="00316383" w:rsidP="005A78BF">
            <w:pPr>
              <w:pStyle w:val="zSoquijdatCabinetProcureurDef"/>
              <w:rPr>
                <w:lang w:val="en-CA"/>
              </w:rPr>
            </w:pPr>
            <w:r w:rsidRPr="00E42CC9">
              <w:rPr>
                <w:lang w:val="en-CA"/>
              </w:rPr>
              <w:t>BORDEN LADNER GERVAIS</w:t>
            </w:r>
          </w:p>
        </w:tc>
      </w:tr>
      <w:tr w:rsidR="000C6D16" w:rsidRPr="00E42CC9" w14:paraId="1807D1B9" w14:textId="77777777" w:rsidTr="005C06CB">
        <w:tc>
          <w:tcPr>
            <w:tcW w:w="9362" w:type="dxa"/>
            <w:gridSpan w:val="3"/>
          </w:tcPr>
          <w:p w14:paraId="3DAFB036" w14:textId="4AB9AAEA" w:rsidR="005A78BF" w:rsidRPr="00E42CC9" w:rsidRDefault="00316383" w:rsidP="005A78BF">
            <w:pPr>
              <w:pStyle w:val="zSoquijlblProcureurDef"/>
              <w:rPr>
                <w:lang w:val="en-CA"/>
              </w:rPr>
            </w:pPr>
            <w:r w:rsidRPr="00E42CC9">
              <w:rPr>
                <w:lang w:val="en-CA"/>
              </w:rPr>
              <w:t>For the respondent</w:t>
            </w:r>
          </w:p>
        </w:tc>
      </w:tr>
      <w:tr w:rsidR="000C6D16" w:rsidRPr="00E42CC9" w14:paraId="0F0015B3" w14:textId="77777777" w:rsidTr="005C06CB">
        <w:tc>
          <w:tcPr>
            <w:tcW w:w="9362" w:type="dxa"/>
            <w:gridSpan w:val="3"/>
          </w:tcPr>
          <w:p w14:paraId="7F057255" w14:textId="77777777" w:rsidR="005A78BF" w:rsidRPr="00E42CC9" w:rsidRDefault="005A78BF" w:rsidP="005A78BF">
            <w:pPr>
              <w:rPr>
                <w:lang w:val="en-CA"/>
              </w:rPr>
            </w:pPr>
          </w:p>
        </w:tc>
      </w:tr>
      <w:tr w:rsidR="000C6D16" w:rsidRPr="00E42CC9" w14:paraId="632321DB" w14:textId="77777777" w:rsidTr="005C06CB">
        <w:tc>
          <w:tcPr>
            <w:tcW w:w="1997" w:type="dxa"/>
          </w:tcPr>
          <w:p w14:paraId="114D4062" w14:textId="77777777" w:rsidR="005A78BF" w:rsidRPr="00E42CC9" w:rsidRDefault="00316383" w:rsidP="005A78BF">
            <w:pPr>
              <w:pStyle w:val="zSoquijlblDateAudience"/>
              <w:rPr>
                <w:lang w:val="en-CA"/>
              </w:rPr>
            </w:pPr>
            <w:r w:rsidRPr="00E42CC9">
              <w:rPr>
                <w:lang w:val="en-CA"/>
              </w:rPr>
              <w:t>Date of hearing:</w:t>
            </w:r>
          </w:p>
        </w:tc>
        <w:tc>
          <w:tcPr>
            <w:tcW w:w="7365" w:type="dxa"/>
            <w:gridSpan w:val="2"/>
          </w:tcPr>
          <w:p w14:paraId="5BABA699" w14:textId="1A143C1A" w:rsidR="005A78BF" w:rsidRPr="00E42CC9" w:rsidRDefault="00316383" w:rsidP="005A78BF">
            <w:pPr>
              <w:pStyle w:val="zSoquijdatDateAudience"/>
              <w:rPr>
                <w:lang w:val="en-CA"/>
              </w:rPr>
            </w:pPr>
            <w:r w:rsidRPr="00E42CC9">
              <w:rPr>
                <w:lang w:val="en-CA"/>
              </w:rPr>
              <w:t>September 22, 2022</w:t>
            </w:r>
          </w:p>
        </w:tc>
      </w:tr>
    </w:tbl>
    <w:p w14:paraId="55D6CC70" w14:textId="77777777" w:rsidR="00740A17" w:rsidRPr="00E42CC9" w:rsidRDefault="00740A17" w:rsidP="005414FE">
      <w:pPr>
        <w:rPr>
          <w:lang w:val="en-CA"/>
        </w:rPr>
      </w:pPr>
      <w:bookmarkStart w:id="16" w:name="_GoBack"/>
      <w:bookmarkEnd w:id="11"/>
      <w:bookmarkEnd w:id="16"/>
    </w:p>
    <w:sectPr w:rsidR="00740A17" w:rsidRPr="00E42CC9" w:rsidSect="005414FE">
      <w:headerReference w:type="default" r:id="rId10"/>
      <w:pgSz w:w="12242" w:h="15842" w:code="1"/>
      <w:pgMar w:top="1440" w:right="1008" w:bottom="1440" w:left="1872" w:header="1440" w:footer="7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96431" w14:textId="77777777" w:rsidR="00E82594" w:rsidRDefault="00E82594">
      <w:pPr>
        <w:spacing w:line="240" w:lineRule="auto"/>
      </w:pPr>
      <w:r>
        <w:separator/>
      </w:r>
    </w:p>
  </w:endnote>
  <w:endnote w:type="continuationSeparator" w:id="0">
    <w:p w14:paraId="4B1237CD" w14:textId="77777777" w:rsidR="00E82594" w:rsidRDefault="00E82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71864" w14:textId="77777777" w:rsidR="00E82594" w:rsidRDefault="00E82594">
      <w:r>
        <w:separator/>
      </w:r>
    </w:p>
  </w:footnote>
  <w:footnote w:type="continuationSeparator" w:id="0">
    <w:p w14:paraId="1A2AE8DF" w14:textId="77777777" w:rsidR="00E82594" w:rsidRDefault="00E82594">
      <w:r>
        <w:continuationSeparator/>
      </w:r>
    </w:p>
  </w:footnote>
  <w:footnote w:id="1">
    <w:p w14:paraId="276F2A4C" w14:textId="4444B6F5" w:rsidR="00E16838" w:rsidRPr="00C5131E" w:rsidRDefault="00316383" w:rsidP="00E16838">
      <w:pPr>
        <w:pStyle w:val="Notedebasdepage"/>
      </w:pPr>
      <w:r w:rsidRPr="00EA5DCB">
        <w:rPr>
          <w:rStyle w:val="Appelnotedebasdep"/>
          <w:lang w:val="en-CA"/>
        </w:rPr>
        <w:footnoteRef/>
      </w:r>
      <w:r w:rsidRPr="00C5131E">
        <w:t xml:space="preserve"> </w:t>
      </w:r>
      <w:r w:rsidRPr="00C5131E">
        <w:tab/>
      </w:r>
      <w:r w:rsidRPr="00C5131E">
        <w:rPr>
          <w:i/>
          <w:iCs/>
        </w:rPr>
        <w:t>Avis d</w:t>
      </w:r>
      <w:r w:rsidR="008A0286" w:rsidRPr="00C5131E">
        <w:rPr>
          <w:i/>
          <w:iCs/>
        </w:rPr>
        <w:t>’</w:t>
      </w:r>
      <w:r w:rsidRPr="00C5131E">
        <w:rPr>
          <w:i/>
          <w:iCs/>
        </w:rPr>
        <w:t xml:space="preserve">intention de </w:t>
      </w:r>
      <w:proofErr w:type="spellStart"/>
      <w:r w:rsidRPr="00C5131E">
        <w:rPr>
          <w:i/>
          <w:iCs/>
        </w:rPr>
        <w:t>Azoxco</w:t>
      </w:r>
      <w:proofErr w:type="spellEnd"/>
      <w:r w:rsidRPr="00C5131E">
        <w:rPr>
          <w:i/>
          <w:iCs/>
        </w:rPr>
        <w:t xml:space="preserve"> Cryogénique </w:t>
      </w:r>
      <w:proofErr w:type="spellStart"/>
      <w:r w:rsidRPr="00C5131E">
        <w:rPr>
          <w:i/>
          <w:iCs/>
        </w:rPr>
        <w:t>inc.</w:t>
      </w:r>
      <w:proofErr w:type="spellEnd"/>
      <w:r w:rsidRPr="00C5131E">
        <w:t>, 2021 QCCS 4100 [</w:t>
      </w:r>
      <w:proofErr w:type="spellStart"/>
      <w:r w:rsidRPr="00C5131E">
        <w:t>judgment</w:t>
      </w:r>
      <w:proofErr w:type="spellEnd"/>
      <w:r w:rsidRPr="00C5131E">
        <w:t xml:space="preserve"> </w:t>
      </w:r>
      <w:proofErr w:type="spellStart"/>
      <w:r w:rsidRPr="00C5131E">
        <w:t>under</w:t>
      </w:r>
      <w:proofErr w:type="spellEnd"/>
      <w:r w:rsidRPr="00C5131E">
        <w:t xml:space="preserve"> </w:t>
      </w:r>
      <w:proofErr w:type="spellStart"/>
      <w:r w:rsidRPr="00C5131E">
        <w:t>appeal</w:t>
      </w:r>
      <w:proofErr w:type="spellEnd"/>
      <w:r w:rsidRPr="00C5131E">
        <w:t>].</w:t>
      </w:r>
    </w:p>
  </w:footnote>
  <w:footnote w:id="2">
    <w:p w14:paraId="6EB668AB" w14:textId="77777777" w:rsidR="00E16838" w:rsidRPr="00EA5DCB" w:rsidRDefault="00316383" w:rsidP="00E16838">
      <w:pPr>
        <w:pStyle w:val="Notedebasdepage"/>
        <w:rPr>
          <w:lang w:val="en-CA"/>
        </w:rPr>
      </w:pPr>
      <w:r w:rsidRPr="00EA5DCB">
        <w:rPr>
          <w:rStyle w:val="Appelnotedebasdep"/>
          <w:lang w:val="en-CA"/>
        </w:rPr>
        <w:footnoteRef/>
      </w:r>
      <w:r w:rsidRPr="00EA5DCB">
        <w:rPr>
          <w:lang w:val="en-CA"/>
        </w:rPr>
        <w:t xml:space="preserve"> </w:t>
      </w:r>
      <w:r w:rsidRPr="00EA5DCB">
        <w:rPr>
          <w:lang w:val="en-CA"/>
        </w:rPr>
        <w:tab/>
        <w:t>R.S.C. (1985), c. B-3</w:t>
      </w:r>
    </w:p>
  </w:footnote>
  <w:footnote w:id="3">
    <w:p w14:paraId="0DE613C1" w14:textId="77777777" w:rsidR="00F15EE6" w:rsidRPr="00EA5DCB" w:rsidRDefault="00316383" w:rsidP="00F15EE6">
      <w:pPr>
        <w:pStyle w:val="Notedebasdepage"/>
        <w:rPr>
          <w:lang w:val="en-CA"/>
        </w:rPr>
      </w:pPr>
      <w:r w:rsidRPr="00EA5DCB">
        <w:rPr>
          <w:rStyle w:val="Appelnotedebasdep"/>
          <w:lang w:val="en-CA"/>
        </w:rPr>
        <w:footnoteRef/>
      </w:r>
      <w:r w:rsidRPr="00EA5DCB">
        <w:rPr>
          <w:lang w:val="en-CA"/>
        </w:rPr>
        <w:t xml:space="preserve"> </w:t>
      </w:r>
      <w:r w:rsidRPr="00EA5DCB">
        <w:rPr>
          <w:lang w:val="en-CA"/>
        </w:rPr>
        <w:tab/>
        <w:t>CQLR, c. S-31.1.</w:t>
      </w:r>
    </w:p>
  </w:footnote>
  <w:footnote w:id="4">
    <w:p w14:paraId="66DA57C3" w14:textId="77777777" w:rsidR="00E16838" w:rsidRPr="00C5131E" w:rsidRDefault="00316383" w:rsidP="00E16838">
      <w:pPr>
        <w:pStyle w:val="Notedebasdepage"/>
      </w:pPr>
      <w:r w:rsidRPr="00EA5DCB">
        <w:rPr>
          <w:rStyle w:val="Appelnotedebasdep"/>
          <w:lang w:val="en-CA"/>
        </w:rPr>
        <w:footnoteRef/>
      </w:r>
      <w:r w:rsidRPr="00C5131E">
        <w:t xml:space="preserve"> </w:t>
      </w:r>
      <w:r w:rsidRPr="00C5131E">
        <w:tab/>
      </w:r>
      <w:r w:rsidRPr="00C5131E">
        <w:rPr>
          <w:i/>
          <w:iCs/>
        </w:rPr>
        <w:t>Sino-Forest Corporation (Re)</w:t>
      </w:r>
      <w:r w:rsidRPr="00C5131E">
        <w:t>, 2012 ONCA 816 [</w:t>
      </w:r>
      <w:r w:rsidRPr="00C5131E">
        <w:rPr>
          <w:i/>
          <w:iCs/>
        </w:rPr>
        <w:t>Sino-Forest</w:t>
      </w:r>
      <w:r w:rsidRPr="00C5131E">
        <w:t>].</w:t>
      </w:r>
    </w:p>
  </w:footnote>
  <w:footnote w:id="5">
    <w:p w14:paraId="5E06B431" w14:textId="77777777" w:rsidR="00E16838" w:rsidRPr="00C5131E" w:rsidRDefault="00316383" w:rsidP="00E16838">
      <w:pPr>
        <w:pStyle w:val="Notedebasdepage"/>
      </w:pPr>
      <w:r w:rsidRPr="00EA5DCB">
        <w:rPr>
          <w:rStyle w:val="Appelnotedebasdep"/>
          <w:lang w:val="en-CA"/>
        </w:rPr>
        <w:footnoteRef/>
      </w:r>
      <w:r w:rsidRPr="00C5131E">
        <w:t xml:space="preserve"> </w:t>
      </w:r>
      <w:r w:rsidRPr="00C5131E">
        <w:tab/>
        <w:t xml:space="preserve">See: Raymonde Crête and Stéphane Rousseau, </w:t>
      </w:r>
      <w:r w:rsidRPr="00C5131E">
        <w:rPr>
          <w:i/>
          <w:iCs/>
        </w:rPr>
        <w:t>Droit des sociétés par actions</w:t>
      </w:r>
      <w:r w:rsidRPr="00C5131E">
        <w:t xml:space="preserve">, 4th </w:t>
      </w:r>
      <w:proofErr w:type="spellStart"/>
      <w:r w:rsidRPr="00C5131E">
        <w:t>ed</w:t>
      </w:r>
      <w:proofErr w:type="spellEnd"/>
      <w:r w:rsidRPr="00C5131E">
        <w:t xml:space="preserve">., </w:t>
      </w:r>
      <w:proofErr w:type="spellStart"/>
      <w:r w:rsidRPr="00C5131E">
        <w:t>Montreal</w:t>
      </w:r>
      <w:proofErr w:type="spellEnd"/>
      <w:r w:rsidRPr="00C5131E">
        <w:t>, Les Éditions Thémis, 2018, nos. 495 and 496.</w:t>
      </w:r>
    </w:p>
  </w:footnote>
  <w:footnote w:id="6">
    <w:p w14:paraId="423B9351" w14:textId="3DC07A86" w:rsidR="00E16838" w:rsidRPr="00EA5DCB" w:rsidRDefault="00316383" w:rsidP="00E16838">
      <w:pPr>
        <w:pStyle w:val="Notedebasdepage"/>
        <w:rPr>
          <w:lang w:val="en-CA"/>
        </w:rPr>
      </w:pPr>
      <w:r w:rsidRPr="00EA5DCB">
        <w:rPr>
          <w:rStyle w:val="Appelnotedebasdep"/>
          <w:lang w:val="en-CA"/>
        </w:rPr>
        <w:footnoteRef/>
      </w:r>
      <w:r w:rsidRPr="00EA5DCB">
        <w:rPr>
          <w:lang w:val="en-CA"/>
        </w:rPr>
        <w:t xml:space="preserve"> </w:t>
      </w:r>
      <w:r w:rsidRPr="00EA5DCB">
        <w:rPr>
          <w:lang w:val="en-CA"/>
        </w:rPr>
        <w:tab/>
      </w:r>
      <w:r w:rsidRPr="00EA5DCB">
        <w:rPr>
          <w:i/>
          <w:iCs/>
          <w:lang w:val="en-CA"/>
        </w:rPr>
        <w:t>Royal Bank of Canada v. Central Capital Corp.</w:t>
      </w:r>
      <w:r w:rsidRPr="00EA5DCB">
        <w:rPr>
          <w:lang w:val="en-CA"/>
        </w:rPr>
        <w:t xml:space="preserve">, 38 C.B.R. (3d) </w:t>
      </w:r>
      <w:proofErr w:type="gramStart"/>
      <w:r w:rsidRPr="00EA5DCB">
        <w:rPr>
          <w:lang w:val="en-CA"/>
        </w:rPr>
        <w:t>1</w:t>
      </w:r>
      <w:proofErr w:type="gramEnd"/>
      <w:r w:rsidRPr="00EA5DCB">
        <w:rPr>
          <w:lang w:val="en-CA"/>
        </w:rPr>
        <w:t>, 1996 CanLII 1521 (ON CA), para. 149.</w:t>
      </w:r>
    </w:p>
  </w:footnote>
  <w:footnote w:id="7">
    <w:p w14:paraId="3DEA6D66" w14:textId="2BDD7AF9" w:rsidR="00025B55" w:rsidRPr="00EA5DCB" w:rsidRDefault="00316383">
      <w:pPr>
        <w:pStyle w:val="Notedebasdepage"/>
        <w:rPr>
          <w:lang w:val="en-CA"/>
        </w:rPr>
      </w:pPr>
      <w:r w:rsidRPr="00EA5DCB">
        <w:rPr>
          <w:rStyle w:val="Appelnotedebasdep"/>
          <w:lang w:val="en-CA"/>
        </w:rPr>
        <w:footnoteRef/>
      </w:r>
      <w:r w:rsidRPr="00EA5DCB">
        <w:rPr>
          <w:lang w:val="en-CA"/>
        </w:rPr>
        <w:t xml:space="preserve"> </w:t>
      </w:r>
      <w:r w:rsidRPr="00EA5DCB">
        <w:rPr>
          <w:lang w:val="en-CA"/>
        </w:rPr>
        <w:tab/>
        <w:t xml:space="preserve">Frank Bennett, </w:t>
      </w:r>
      <w:r w:rsidRPr="00EA5DCB">
        <w:rPr>
          <w:i/>
          <w:iCs/>
          <w:lang w:val="en-CA"/>
        </w:rPr>
        <w:t>Bennett on Bankruptcy</w:t>
      </w:r>
      <w:r w:rsidRPr="00EA5DCB">
        <w:rPr>
          <w:lang w:val="en-CA"/>
        </w:rPr>
        <w:t xml:space="preserve">, 24th ed., Toronto, LexisNexis, 2022, p. 1371. His comments pertain to the definition of </w:t>
      </w:r>
      <w:r w:rsidR="008A0286" w:rsidRPr="00EA5DCB">
        <w:rPr>
          <w:lang w:val="en-CA"/>
        </w:rPr>
        <w:t>“</w:t>
      </w:r>
      <w:r w:rsidRPr="00EA5DCB">
        <w:rPr>
          <w:lang w:val="en-CA"/>
        </w:rPr>
        <w:t>equity claim</w:t>
      </w:r>
      <w:r w:rsidR="008A0286" w:rsidRPr="00EA5DCB">
        <w:rPr>
          <w:lang w:val="en-CA"/>
        </w:rPr>
        <w:t>”</w:t>
      </w:r>
      <w:r w:rsidRPr="00EA5DCB">
        <w:rPr>
          <w:lang w:val="en-CA"/>
        </w:rPr>
        <w:t xml:space="preserve"> under s. </w:t>
      </w:r>
      <w:proofErr w:type="gramStart"/>
      <w:r w:rsidRPr="00EA5DCB">
        <w:rPr>
          <w:lang w:val="en-CA"/>
        </w:rPr>
        <w:t>2</w:t>
      </w:r>
      <w:proofErr w:type="gramEnd"/>
      <w:r w:rsidRPr="00EA5DCB">
        <w:rPr>
          <w:lang w:val="en-CA"/>
        </w:rPr>
        <w:t xml:space="preserve"> of the </w:t>
      </w:r>
      <w:r w:rsidRPr="00EA5DCB">
        <w:rPr>
          <w:i/>
          <w:iCs/>
          <w:lang w:val="en-CA"/>
        </w:rPr>
        <w:t>Companies</w:t>
      </w:r>
      <w:r w:rsidR="008A0286" w:rsidRPr="00EA5DCB">
        <w:rPr>
          <w:i/>
          <w:iCs/>
          <w:lang w:val="en-CA"/>
        </w:rPr>
        <w:t>’</w:t>
      </w:r>
      <w:r w:rsidRPr="00EA5DCB">
        <w:rPr>
          <w:i/>
          <w:iCs/>
          <w:lang w:val="en-CA"/>
        </w:rPr>
        <w:t xml:space="preserve"> Creditors Arrangement Act</w:t>
      </w:r>
      <w:r w:rsidRPr="00EA5DCB">
        <w:rPr>
          <w:lang w:val="en-CA"/>
        </w:rPr>
        <w:t xml:space="preserve">, R.S.C. (1985), c. C-36, which is identical to the definition in s. 2 </w:t>
      </w:r>
      <w:r w:rsidRPr="00EA5DCB">
        <w:rPr>
          <w:i/>
          <w:iCs/>
          <w:lang w:val="en-CA"/>
        </w:rPr>
        <w:t>BIA</w:t>
      </w:r>
      <w:r w:rsidRPr="00EA5DCB">
        <w:rPr>
          <w:lang w:val="en-CA"/>
        </w:rPr>
        <w:t>.</w:t>
      </w:r>
    </w:p>
  </w:footnote>
  <w:footnote w:id="8">
    <w:p w14:paraId="4E2D9185" w14:textId="7105A503" w:rsidR="00E16838" w:rsidRPr="00C5131E" w:rsidRDefault="00316383" w:rsidP="00E16838">
      <w:pPr>
        <w:pStyle w:val="Notedebasdepage"/>
      </w:pPr>
      <w:r w:rsidRPr="00EA5DCB">
        <w:rPr>
          <w:rStyle w:val="Appelnotedebasdep"/>
          <w:lang w:val="en-CA"/>
        </w:rPr>
        <w:footnoteRef/>
      </w:r>
      <w:r w:rsidRPr="00C5131E">
        <w:t xml:space="preserve"> </w:t>
      </w:r>
      <w:r w:rsidRPr="00C5131E">
        <w:tab/>
      </w:r>
      <w:r w:rsidRPr="00C5131E">
        <w:rPr>
          <w:i/>
          <w:iCs/>
        </w:rPr>
        <w:t xml:space="preserve">Sino-Forest, supra, </w:t>
      </w:r>
      <w:r w:rsidRPr="00C5131E">
        <w:t xml:space="preserve">note </w:t>
      </w:r>
      <w:r w:rsidRPr="00EA5DCB">
        <w:rPr>
          <w:lang w:val="en-CA"/>
        </w:rPr>
        <w:fldChar w:fldCharType="begin"/>
      </w:r>
      <w:r w:rsidRPr="00C5131E">
        <w:instrText xml:space="preserve"> NOTEREF _Ref113968977 \h </w:instrText>
      </w:r>
      <w:r w:rsidRPr="00EA5DCB">
        <w:rPr>
          <w:lang w:val="en-CA"/>
        </w:rPr>
      </w:r>
      <w:r w:rsidRPr="00EA5DCB">
        <w:rPr>
          <w:lang w:val="en-CA"/>
        </w:rPr>
        <w:fldChar w:fldCharType="separate"/>
      </w:r>
      <w:r>
        <w:t>4</w:t>
      </w:r>
      <w:r w:rsidRPr="00EA5DCB">
        <w:rPr>
          <w:lang w:val="en-CA"/>
        </w:rPr>
        <w:fldChar w:fldCharType="end"/>
      </w:r>
      <w:r w:rsidRPr="00C5131E">
        <w:t>, para. 46.</w:t>
      </w:r>
    </w:p>
  </w:footnote>
  <w:footnote w:id="9">
    <w:p w14:paraId="525B9CE8" w14:textId="77777777" w:rsidR="00E16838" w:rsidRPr="00C5131E" w:rsidRDefault="00316383" w:rsidP="00E16838">
      <w:pPr>
        <w:pStyle w:val="Notedebasdepage"/>
      </w:pPr>
      <w:r w:rsidRPr="00EA5DCB">
        <w:rPr>
          <w:rStyle w:val="Appelnotedebasdep"/>
          <w:lang w:val="en-CA"/>
        </w:rPr>
        <w:footnoteRef/>
      </w:r>
      <w:r w:rsidRPr="00C5131E">
        <w:t xml:space="preserve"> </w:t>
      </w:r>
      <w:r w:rsidRPr="00C5131E">
        <w:tab/>
        <w:t xml:space="preserve">André Morisset and Jean Turgeon, </w:t>
      </w:r>
      <w:r w:rsidRPr="00C5131E">
        <w:rPr>
          <w:i/>
          <w:iCs/>
        </w:rPr>
        <w:t>Droit des sociétés par actions</w:t>
      </w:r>
      <w:r w:rsidRPr="00C5131E">
        <w:t xml:space="preserve">, vol. 2, Toronto, </w:t>
      </w:r>
      <w:proofErr w:type="spellStart"/>
      <w:r w:rsidRPr="00C5131E">
        <w:t>LexisNexis</w:t>
      </w:r>
      <w:proofErr w:type="spellEnd"/>
      <w:r w:rsidRPr="00C5131E">
        <w:t>, 1991 (</w:t>
      </w:r>
      <w:proofErr w:type="spellStart"/>
      <w:r w:rsidRPr="00C5131E">
        <w:t>loose-leaf</w:t>
      </w:r>
      <w:proofErr w:type="spellEnd"/>
      <w:r w:rsidRPr="00C5131E">
        <w:t xml:space="preserve"> </w:t>
      </w:r>
      <w:proofErr w:type="spellStart"/>
      <w:r w:rsidRPr="00C5131E">
        <w:t>sheets</w:t>
      </w:r>
      <w:proofErr w:type="spellEnd"/>
      <w:r w:rsidRPr="00C5131E">
        <w:t>, update no. 248, June 2022), pp. 1620 and 1623.</w:t>
      </w:r>
    </w:p>
  </w:footnote>
  <w:footnote w:id="10">
    <w:p w14:paraId="1F9F4D7F" w14:textId="004E1A3C" w:rsidR="00E16838" w:rsidRPr="00EA5DCB" w:rsidRDefault="00316383" w:rsidP="00E16838">
      <w:pPr>
        <w:pStyle w:val="Notedebasdepage"/>
        <w:rPr>
          <w:lang w:val="en-CA"/>
        </w:rPr>
      </w:pPr>
      <w:r w:rsidRPr="00EA5DCB">
        <w:rPr>
          <w:rStyle w:val="Appelnotedebasdep"/>
          <w:lang w:val="en-CA"/>
        </w:rPr>
        <w:footnoteRef/>
      </w:r>
      <w:r w:rsidRPr="00C5131E">
        <w:t xml:space="preserve"> </w:t>
      </w:r>
      <w:r w:rsidRPr="00C5131E">
        <w:tab/>
        <w:t xml:space="preserve">Paul Martel, </w:t>
      </w:r>
      <w:r w:rsidRPr="00C5131E">
        <w:rPr>
          <w:i/>
          <w:iCs/>
        </w:rPr>
        <w:t>La société par actions au Québec : les aspects juridiques</w:t>
      </w:r>
      <w:r w:rsidRPr="00C5131E">
        <w:t xml:space="preserve">, </w:t>
      </w:r>
      <w:proofErr w:type="spellStart"/>
      <w:r w:rsidRPr="00C5131E">
        <w:t>Montreal</w:t>
      </w:r>
      <w:proofErr w:type="spellEnd"/>
      <w:r w:rsidRPr="00C5131E">
        <w:t xml:space="preserve">, Wilson &amp; Lafleur, 2021, nos. 33-129 and 33-130. </w:t>
      </w:r>
      <w:proofErr w:type="spellStart"/>
      <w:r w:rsidRPr="00C5131E">
        <w:t>See</w:t>
      </w:r>
      <w:proofErr w:type="spellEnd"/>
      <w:r w:rsidRPr="00C5131E">
        <w:t xml:space="preserve"> </w:t>
      </w:r>
      <w:proofErr w:type="spellStart"/>
      <w:r w:rsidRPr="00C5131E">
        <w:t>also</w:t>
      </w:r>
      <w:proofErr w:type="spellEnd"/>
      <w:r w:rsidRPr="00C5131E">
        <w:t xml:space="preserve">, </w:t>
      </w:r>
      <w:r w:rsidRPr="00C5131E">
        <w:rPr>
          <w:i/>
          <w:iCs/>
        </w:rPr>
        <w:t>Banque Royale du Canada c. Banque Canadienne Impériale de Commerce</w:t>
      </w:r>
      <w:r w:rsidRPr="00C5131E">
        <w:t xml:space="preserve">, J.E. 2000-1041, 2000 CanLII 8607 (C.A.), paras. </w:t>
      </w:r>
      <w:r w:rsidRPr="00EA5DCB">
        <w:rPr>
          <w:lang w:val="en-CA"/>
        </w:rPr>
        <w:t xml:space="preserve">27-28, citing </w:t>
      </w:r>
      <w:r w:rsidRPr="00EA5DCB">
        <w:rPr>
          <w:i/>
          <w:iCs/>
          <w:lang w:val="en-CA"/>
        </w:rPr>
        <w:t>R. v. Black &amp; Decker Manufacturing Co</w:t>
      </w:r>
      <w:r w:rsidRPr="00EA5DCB">
        <w:rPr>
          <w:lang w:val="en-CA"/>
        </w:rPr>
        <w:t xml:space="preserve">., [1975] </w:t>
      </w:r>
      <w:proofErr w:type="gramStart"/>
      <w:r w:rsidRPr="00EA5DCB">
        <w:rPr>
          <w:lang w:val="en-CA"/>
        </w:rPr>
        <w:t>1</w:t>
      </w:r>
      <w:proofErr w:type="gramEnd"/>
      <w:r w:rsidRPr="00EA5DCB">
        <w:rPr>
          <w:lang w:val="en-CA"/>
        </w:rPr>
        <w:t xml:space="preserve"> S.C.R. 411, p. 417 and </w:t>
      </w:r>
      <w:r w:rsidRPr="00EA5DCB">
        <w:rPr>
          <w:i/>
          <w:iCs/>
          <w:lang w:val="en-CA"/>
        </w:rPr>
        <w:t>Lebeuf c. Groupe SNC-Lavalin inc</w:t>
      </w:r>
      <w:r w:rsidRPr="00EA5DCB">
        <w:rPr>
          <w:lang w:val="en-CA"/>
        </w:rPr>
        <w:t>., [1999] RJQ 385, 1999 CanLII 13644 (C.A.), pp. 23-24.</w:t>
      </w:r>
    </w:p>
  </w:footnote>
  <w:footnote w:id="11">
    <w:p w14:paraId="1E0784A5" w14:textId="229C391B" w:rsidR="000442A4" w:rsidRPr="00EA5DCB" w:rsidRDefault="00316383">
      <w:pPr>
        <w:pStyle w:val="Notedebasdepage"/>
        <w:rPr>
          <w:lang w:val="en-CA"/>
        </w:rPr>
      </w:pPr>
      <w:r w:rsidRPr="00EA5DCB">
        <w:rPr>
          <w:rStyle w:val="Appelnotedebasdep"/>
          <w:lang w:val="en-CA"/>
        </w:rPr>
        <w:footnoteRef/>
      </w:r>
      <w:r w:rsidRPr="00EA5DCB">
        <w:rPr>
          <w:lang w:val="en-CA"/>
        </w:rPr>
        <w:t xml:space="preserve"> </w:t>
      </w:r>
      <w:r w:rsidRPr="00EA5DCB">
        <w:rPr>
          <w:lang w:val="en-CA"/>
        </w:rPr>
        <w:tab/>
      </w:r>
      <w:r w:rsidRPr="00EA5DCB">
        <w:rPr>
          <w:i/>
          <w:iCs/>
          <w:lang w:val="en-CA"/>
        </w:rPr>
        <w:t>Medcap Real Estate Holdings Inc. (Re)</w:t>
      </w:r>
      <w:r w:rsidRPr="00EA5DCB">
        <w:rPr>
          <w:lang w:val="en-CA"/>
        </w:rPr>
        <w:t xml:space="preserve">, 2022 ONCA 318, para. 25; Lloyd W. Houlden, Geoffry B. Morawetz and Janis P. Sarra, </w:t>
      </w:r>
      <w:r w:rsidRPr="00EA5DCB">
        <w:rPr>
          <w:i/>
          <w:iCs/>
          <w:lang w:val="en-CA"/>
        </w:rPr>
        <w:t>Bankruptcy and Insolvency Law of Canada</w:t>
      </w:r>
      <w:r w:rsidRPr="00EA5DCB">
        <w:rPr>
          <w:lang w:val="en-CA"/>
        </w:rPr>
        <w:t>, 4th ed., Toronto, Thomson Reuters, 2009 (loose-leaf, updated August 2022), no. 2:128, pp. 2-183 and 2-184.</w:t>
      </w:r>
    </w:p>
  </w:footnote>
  <w:footnote w:id="12">
    <w:p w14:paraId="06109ABC" w14:textId="51A89FC7" w:rsidR="00373DC9" w:rsidRPr="00EA5DCB" w:rsidRDefault="00316383">
      <w:pPr>
        <w:pStyle w:val="Notedebasdepage"/>
        <w:rPr>
          <w:lang w:val="en-CA"/>
        </w:rPr>
      </w:pPr>
      <w:r w:rsidRPr="00EA5DCB">
        <w:rPr>
          <w:rStyle w:val="Appelnotedebasdep"/>
          <w:lang w:val="en-CA"/>
        </w:rPr>
        <w:footnoteRef/>
      </w:r>
      <w:r w:rsidRPr="00EA5DCB">
        <w:rPr>
          <w:lang w:val="en-CA"/>
        </w:rPr>
        <w:t xml:space="preserve"> </w:t>
      </w:r>
      <w:r w:rsidRPr="00EA5DCB">
        <w:rPr>
          <w:lang w:val="en-CA"/>
        </w:rPr>
        <w:tab/>
      </w:r>
      <w:r w:rsidRPr="00EA5DCB">
        <w:rPr>
          <w:i/>
          <w:iCs/>
          <w:lang w:val="en-CA"/>
        </w:rPr>
        <w:t>Trakopolis SaaS Corp (2007996 Alberta Ltd) (Re)</w:t>
      </w:r>
      <w:r w:rsidRPr="00EA5DCB">
        <w:rPr>
          <w:lang w:val="en-CA"/>
        </w:rPr>
        <w:t>, 2020 ABQB 643, para. 65.</w:t>
      </w:r>
    </w:p>
  </w:footnote>
  <w:footnote w:id="13">
    <w:p w14:paraId="4D567674" w14:textId="04BE6D03" w:rsidR="007D64D3" w:rsidRPr="00EA5DCB" w:rsidRDefault="00316383" w:rsidP="00861A32">
      <w:pPr>
        <w:pStyle w:val="Notedebasdepage"/>
        <w:rPr>
          <w:lang w:val="en-CA"/>
        </w:rPr>
      </w:pPr>
      <w:r w:rsidRPr="00EA5DCB">
        <w:rPr>
          <w:rStyle w:val="Appelnotedebasdep"/>
          <w:lang w:val="en-CA"/>
        </w:rPr>
        <w:footnoteRef/>
      </w:r>
      <w:r w:rsidRPr="00EA5DCB">
        <w:rPr>
          <w:lang w:val="en-CA"/>
        </w:rPr>
        <w:t xml:space="preserve"> </w:t>
      </w:r>
      <w:r w:rsidRPr="00EA5DCB">
        <w:rPr>
          <w:lang w:val="en-CA"/>
        </w:rPr>
        <w:tab/>
        <w:t xml:space="preserve">INSOL International, </w:t>
      </w:r>
      <w:r w:rsidRPr="00EA5DCB">
        <w:rPr>
          <w:i/>
          <w:iCs/>
          <w:lang w:val="en-CA"/>
        </w:rPr>
        <w:t>Update on Shareholder and Equity – Related Claims in Insolvency Proceedings</w:t>
      </w:r>
      <w:r w:rsidRPr="00EA5DCB">
        <w:rPr>
          <w:lang w:val="en-CA"/>
        </w:rPr>
        <w:t>, October 2013, Technical Series Issue No. 28, p. 6.</w:t>
      </w:r>
    </w:p>
  </w:footnote>
  <w:footnote w:id="14">
    <w:p w14:paraId="67E0D44F" w14:textId="6E6F63E5" w:rsidR="00E90F20" w:rsidRPr="00B60642" w:rsidRDefault="00316383" w:rsidP="00E90F20">
      <w:pPr>
        <w:pStyle w:val="Notedebasdepage"/>
      </w:pPr>
      <w:r w:rsidRPr="00EA5DCB">
        <w:rPr>
          <w:rStyle w:val="Appelnotedebasdep"/>
          <w:lang w:val="en-CA"/>
        </w:rPr>
        <w:footnoteRef/>
      </w:r>
      <w:r w:rsidRPr="00C5131E">
        <w:t xml:space="preserve"> </w:t>
      </w:r>
      <w:r w:rsidRPr="00C5131E">
        <w:tab/>
      </w:r>
      <w:r w:rsidRPr="00C5131E">
        <w:rPr>
          <w:i/>
          <w:iCs/>
        </w:rPr>
        <w:t xml:space="preserve">Sino-Forest, supra, </w:t>
      </w:r>
      <w:r w:rsidRPr="00C5131E">
        <w:t xml:space="preserve">note </w:t>
      </w:r>
      <w:r w:rsidRPr="00EA5DCB">
        <w:rPr>
          <w:lang w:val="en-CA"/>
        </w:rPr>
        <w:fldChar w:fldCharType="begin"/>
      </w:r>
      <w:r w:rsidRPr="00C5131E">
        <w:instrText xml:space="preserve"> NOTEREF _Ref113968977 \h </w:instrText>
      </w:r>
      <w:r w:rsidRPr="00EA5DCB">
        <w:rPr>
          <w:lang w:val="en-CA"/>
        </w:rPr>
      </w:r>
      <w:r w:rsidRPr="00EA5DCB">
        <w:rPr>
          <w:lang w:val="en-CA"/>
        </w:rPr>
        <w:fldChar w:fldCharType="separate"/>
      </w:r>
      <w:r>
        <w:t>4</w:t>
      </w:r>
      <w:r w:rsidRPr="00EA5DCB">
        <w:rPr>
          <w:lang w:val="en-CA"/>
        </w:rPr>
        <w:fldChar w:fldCharType="end"/>
      </w:r>
      <w:r w:rsidRPr="00C5131E">
        <w:t xml:space="preserve">, paras. </w:t>
      </w:r>
      <w:r w:rsidRPr="00EA5DCB">
        <w:rPr>
          <w:lang w:val="en-CA"/>
        </w:rPr>
        <w:t>40-41</w:t>
      </w:r>
      <w:r w:rsidR="008111EB">
        <w:rPr>
          <w:lang w:val="en-CA"/>
        </w:rPr>
        <w:t>,</w:t>
      </w:r>
      <w:r w:rsidRPr="00EA5DCB">
        <w:rPr>
          <w:lang w:val="en-CA"/>
        </w:rPr>
        <w:t xml:space="preserve"> citing the Supreme Court on the use of the expression </w:t>
      </w:r>
      <w:r w:rsidR="008A0286" w:rsidRPr="00EA5DCB">
        <w:rPr>
          <w:lang w:val="en-CA"/>
        </w:rPr>
        <w:t>“</w:t>
      </w:r>
      <w:r w:rsidRPr="00EA5DCB">
        <w:rPr>
          <w:lang w:val="en-CA"/>
        </w:rPr>
        <w:t xml:space="preserve">in respect </w:t>
      </w:r>
      <w:r w:rsidRPr="00C5131E">
        <w:rPr>
          <w:lang w:val="en-CA"/>
        </w:rPr>
        <w:t>of</w:t>
      </w:r>
      <w:r w:rsidR="008A0286" w:rsidRPr="00C5131E">
        <w:rPr>
          <w:lang w:val="en-CA"/>
        </w:rPr>
        <w:t>”</w:t>
      </w:r>
      <w:r w:rsidRPr="00C5131E">
        <w:rPr>
          <w:lang w:val="en-CA"/>
        </w:rPr>
        <w:t>:</w:t>
      </w:r>
      <w:r w:rsidRPr="00EA5DCB">
        <w:rPr>
          <w:lang w:val="en-CA"/>
        </w:rPr>
        <w:t xml:space="preserve"> </w:t>
      </w:r>
      <w:r w:rsidRPr="00EA5DCB">
        <w:rPr>
          <w:i/>
          <w:iCs/>
          <w:lang w:val="en-CA"/>
        </w:rPr>
        <w:t>CanadianOxy Chemicals Ltd.</w:t>
      </w:r>
      <w:r w:rsidRPr="00EA5DCB">
        <w:rPr>
          <w:lang w:val="en-CA"/>
        </w:rPr>
        <w:t xml:space="preserve"> </w:t>
      </w:r>
      <w:r w:rsidRPr="00EA5DCB">
        <w:rPr>
          <w:i/>
          <w:iCs/>
          <w:lang w:val="en-CA"/>
        </w:rPr>
        <w:t>v.</w:t>
      </w:r>
      <w:r w:rsidRPr="00EA5DCB">
        <w:rPr>
          <w:lang w:val="en-CA"/>
        </w:rPr>
        <w:t xml:space="preserve"> </w:t>
      </w:r>
      <w:r w:rsidRPr="00EA5DCB">
        <w:rPr>
          <w:i/>
          <w:iCs/>
          <w:lang w:val="en-CA"/>
        </w:rPr>
        <w:t>Canada (Attorney General)</w:t>
      </w:r>
      <w:r w:rsidRPr="00EA5DCB">
        <w:rPr>
          <w:lang w:val="en-CA"/>
        </w:rPr>
        <w:t xml:space="preserve">, [1999] </w:t>
      </w:r>
      <w:proofErr w:type="gramStart"/>
      <w:r w:rsidRPr="00EA5DCB">
        <w:rPr>
          <w:lang w:val="en-CA"/>
        </w:rPr>
        <w:t>1</w:t>
      </w:r>
      <w:proofErr w:type="gramEnd"/>
      <w:r w:rsidRPr="00EA5DCB">
        <w:rPr>
          <w:lang w:val="en-CA"/>
        </w:rPr>
        <w:t xml:space="preserve"> S.C.R. 743, para. 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ADC4" w14:textId="6F0C8288" w:rsidR="007E33E4" w:rsidRDefault="00316383" w:rsidP="00DB2119">
    <w:pPr>
      <w:tabs>
        <w:tab w:val="center" w:pos="4709"/>
        <w:tab w:val="right" w:pos="9360"/>
      </w:tabs>
      <w:spacing w:line="360" w:lineRule="auto"/>
      <w:ind w:right="524"/>
    </w:pPr>
    <w:bookmarkStart w:id="17" w:name="EntDossier"/>
    <w:r>
      <w:rPr>
        <w:lang w:val="en-CA"/>
      </w:rPr>
      <w:t>500-09-029728-219</w:t>
    </w:r>
    <w:bookmarkEnd w:id="17"/>
    <w:r>
      <w:rPr>
        <w:lang w:val="en-CA"/>
      </w:rPr>
      <w:t xml:space="preserve"> </w:t>
    </w:r>
    <w:r>
      <w:rPr>
        <w:lang w:val="en-CA"/>
      </w:rPr>
      <w:tab/>
    </w:r>
    <w:r>
      <w:rPr>
        <w:lang w:val="en-CA"/>
      </w:rPr>
      <w:tab/>
      <w:t xml:space="preserve">PAGE: </w:t>
    </w:r>
    <w:r>
      <w:fldChar w:fldCharType="begin"/>
    </w:r>
    <w:r>
      <w:instrText xml:space="preserve"> PAGE </w:instrText>
    </w:r>
    <w:r>
      <w:fldChar w:fldCharType="separate"/>
    </w:r>
    <w:r w:rsidR="00965B34">
      <w:rPr>
        <w:noProof/>
      </w:rPr>
      <w:t>9</w:t>
    </w:r>
    <w:r>
      <w:fldChar w:fldCharType="end"/>
    </w:r>
  </w:p>
  <w:p w14:paraId="48301AF5" w14:textId="77777777" w:rsidR="007E33E4" w:rsidRDefault="007E33E4" w:rsidP="00DB2119">
    <w:pPr>
      <w:tabs>
        <w:tab w:val="center" w:pos="4709"/>
        <w:tab w:val="right" w:pos="9360"/>
      </w:tabs>
      <w:spacing w:line="360" w:lineRule="auto"/>
      <w:ind w:right="52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125C2"/>
    <w:multiLevelType w:val="multilevel"/>
    <w:tmpl w:val="9630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B52DE"/>
    <w:multiLevelType w:val="multilevel"/>
    <w:tmpl w:val="79E601F0"/>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7894759"/>
    <w:multiLevelType w:val="multilevel"/>
    <w:tmpl w:val="C9D6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81E171A"/>
    <w:multiLevelType w:val="multilevel"/>
    <w:tmpl w:val="D898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635086"/>
    <w:multiLevelType w:val="multilevel"/>
    <w:tmpl w:val="EF80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4"/>
  </w:num>
  <w:num w:numId="16">
    <w:abstractNumId w:val="14"/>
  </w:num>
  <w:num w:numId="17">
    <w:abstractNumId w:val="13"/>
  </w:num>
  <w:num w:numId="18">
    <w:abstractNumId w:val="11"/>
  </w:num>
  <w:num w:numId="19">
    <w:abstractNumId w:val="12"/>
  </w:num>
  <w:num w:numId="20">
    <w:abstractNumId w:val="15"/>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NBChoix" w:val="3"/>
    <w:docVar w:name="MotifJuge1" w:val="MOTIFS DU JUGE"/>
    <w:docVar w:name="MotifJuge2" w:val="MOTIFS DE LA JUGE"/>
    <w:docVar w:name="MotifJuge3" w:val="MOTIFS DU JUGE"/>
    <w:docVar w:name="NomFamJuge1" w:val="VAUCLAIR"/>
    <w:docVar w:name="NomFamJuge2" w:val="MARCOTTE"/>
    <w:docVar w:name="NomFamJuge3" w:val="MOORE"/>
    <w:docVar w:name="NomFamJuge4" w:val="MAILHOT"/>
    <w:docVar w:name="NomFamJuge5" w:val="BAUDOUIN"/>
    <w:docVar w:name="QteJuge1" w:val=", J.C.A."/>
    <w:docVar w:name="QteJuge2" w:val=", J.C.A."/>
    <w:docVar w:name="QteJuge3" w:val=", J.C.A."/>
    <w:docVar w:name="stPremiereFois" w:val="Non"/>
  </w:docVars>
  <w:rsids>
    <w:rsidRoot w:val="005414FE"/>
    <w:rsid w:val="00000485"/>
    <w:rsid w:val="00002320"/>
    <w:rsid w:val="000131E1"/>
    <w:rsid w:val="00025B55"/>
    <w:rsid w:val="0002625D"/>
    <w:rsid w:val="000426BA"/>
    <w:rsid w:val="0004394C"/>
    <w:rsid w:val="000442A4"/>
    <w:rsid w:val="00045B91"/>
    <w:rsid w:val="00053691"/>
    <w:rsid w:val="000631E1"/>
    <w:rsid w:val="000A1B11"/>
    <w:rsid w:val="000A7516"/>
    <w:rsid w:val="000A79D0"/>
    <w:rsid w:val="000B42AF"/>
    <w:rsid w:val="000C08D0"/>
    <w:rsid w:val="000C4B52"/>
    <w:rsid w:val="000C6D16"/>
    <w:rsid w:val="000E1CFF"/>
    <w:rsid w:val="000F1AB7"/>
    <w:rsid w:val="00110B53"/>
    <w:rsid w:val="00112321"/>
    <w:rsid w:val="001176EA"/>
    <w:rsid w:val="00117914"/>
    <w:rsid w:val="0013028C"/>
    <w:rsid w:val="0015610F"/>
    <w:rsid w:val="0015683B"/>
    <w:rsid w:val="00160B31"/>
    <w:rsid w:val="00167F8D"/>
    <w:rsid w:val="001702CE"/>
    <w:rsid w:val="00181F56"/>
    <w:rsid w:val="00190FA7"/>
    <w:rsid w:val="001972F2"/>
    <w:rsid w:val="001C03F4"/>
    <w:rsid w:val="001D5789"/>
    <w:rsid w:val="00205DC4"/>
    <w:rsid w:val="0021548E"/>
    <w:rsid w:val="002222C4"/>
    <w:rsid w:val="002273F5"/>
    <w:rsid w:val="002334DA"/>
    <w:rsid w:val="00242708"/>
    <w:rsid w:val="0025533C"/>
    <w:rsid w:val="0027093D"/>
    <w:rsid w:val="00282738"/>
    <w:rsid w:val="002A6981"/>
    <w:rsid w:val="002A6ABE"/>
    <w:rsid w:val="002B4742"/>
    <w:rsid w:val="002B4A07"/>
    <w:rsid w:val="002C4107"/>
    <w:rsid w:val="002E1F0E"/>
    <w:rsid w:val="002E229C"/>
    <w:rsid w:val="002E51F1"/>
    <w:rsid w:val="002F1350"/>
    <w:rsid w:val="002F6136"/>
    <w:rsid w:val="00316383"/>
    <w:rsid w:val="00322DE0"/>
    <w:rsid w:val="0032363D"/>
    <w:rsid w:val="0033190E"/>
    <w:rsid w:val="003476FF"/>
    <w:rsid w:val="00357A10"/>
    <w:rsid w:val="00361325"/>
    <w:rsid w:val="00373DC9"/>
    <w:rsid w:val="00374888"/>
    <w:rsid w:val="00374E40"/>
    <w:rsid w:val="003A78BB"/>
    <w:rsid w:val="003D487D"/>
    <w:rsid w:val="003D6BA0"/>
    <w:rsid w:val="003E3239"/>
    <w:rsid w:val="003E3E3C"/>
    <w:rsid w:val="00407FF5"/>
    <w:rsid w:val="00423DF1"/>
    <w:rsid w:val="00424860"/>
    <w:rsid w:val="00430C58"/>
    <w:rsid w:val="004331C4"/>
    <w:rsid w:val="004343E7"/>
    <w:rsid w:val="0043564D"/>
    <w:rsid w:val="00441C25"/>
    <w:rsid w:val="00446452"/>
    <w:rsid w:val="00453423"/>
    <w:rsid w:val="00472DC8"/>
    <w:rsid w:val="004802EC"/>
    <w:rsid w:val="004825D7"/>
    <w:rsid w:val="00486659"/>
    <w:rsid w:val="004A29F1"/>
    <w:rsid w:val="004A6641"/>
    <w:rsid w:val="004B1E94"/>
    <w:rsid w:val="004B33FF"/>
    <w:rsid w:val="004C119D"/>
    <w:rsid w:val="004C5AC9"/>
    <w:rsid w:val="004D2F69"/>
    <w:rsid w:val="004E4FBA"/>
    <w:rsid w:val="004E56C4"/>
    <w:rsid w:val="004F2468"/>
    <w:rsid w:val="005131F1"/>
    <w:rsid w:val="0051484F"/>
    <w:rsid w:val="00516B3E"/>
    <w:rsid w:val="0052376D"/>
    <w:rsid w:val="005262C9"/>
    <w:rsid w:val="005269A8"/>
    <w:rsid w:val="00531D70"/>
    <w:rsid w:val="00537DC0"/>
    <w:rsid w:val="005414FE"/>
    <w:rsid w:val="00566BF6"/>
    <w:rsid w:val="005800BD"/>
    <w:rsid w:val="00583434"/>
    <w:rsid w:val="0058349F"/>
    <w:rsid w:val="005A78BF"/>
    <w:rsid w:val="005B0632"/>
    <w:rsid w:val="005B0A59"/>
    <w:rsid w:val="005B6B4C"/>
    <w:rsid w:val="005C06CB"/>
    <w:rsid w:val="005C7516"/>
    <w:rsid w:val="005D1522"/>
    <w:rsid w:val="005F4783"/>
    <w:rsid w:val="005F5F5F"/>
    <w:rsid w:val="00610F52"/>
    <w:rsid w:val="0061320C"/>
    <w:rsid w:val="00624770"/>
    <w:rsid w:val="00635DC2"/>
    <w:rsid w:val="0064250B"/>
    <w:rsid w:val="006440C9"/>
    <w:rsid w:val="00650F27"/>
    <w:rsid w:val="0065465A"/>
    <w:rsid w:val="006761C1"/>
    <w:rsid w:val="00681ED0"/>
    <w:rsid w:val="006826AA"/>
    <w:rsid w:val="0068356A"/>
    <w:rsid w:val="006A0DB0"/>
    <w:rsid w:val="006A6629"/>
    <w:rsid w:val="006D2378"/>
    <w:rsid w:val="006E3AE7"/>
    <w:rsid w:val="00701F3D"/>
    <w:rsid w:val="00705B0F"/>
    <w:rsid w:val="007126F0"/>
    <w:rsid w:val="00740A17"/>
    <w:rsid w:val="007462D6"/>
    <w:rsid w:val="0074738B"/>
    <w:rsid w:val="0076062E"/>
    <w:rsid w:val="007953F3"/>
    <w:rsid w:val="007A7803"/>
    <w:rsid w:val="007B061E"/>
    <w:rsid w:val="007B48D5"/>
    <w:rsid w:val="007D087C"/>
    <w:rsid w:val="007D64D3"/>
    <w:rsid w:val="007E33E4"/>
    <w:rsid w:val="007E4CC9"/>
    <w:rsid w:val="00800D23"/>
    <w:rsid w:val="008013A0"/>
    <w:rsid w:val="008111EB"/>
    <w:rsid w:val="00816273"/>
    <w:rsid w:val="0082717B"/>
    <w:rsid w:val="00827B04"/>
    <w:rsid w:val="0083032E"/>
    <w:rsid w:val="00837041"/>
    <w:rsid w:val="00841907"/>
    <w:rsid w:val="0086036A"/>
    <w:rsid w:val="00861A32"/>
    <w:rsid w:val="008653A3"/>
    <w:rsid w:val="008657A2"/>
    <w:rsid w:val="00866645"/>
    <w:rsid w:val="0087311C"/>
    <w:rsid w:val="00882210"/>
    <w:rsid w:val="008902D5"/>
    <w:rsid w:val="008A0286"/>
    <w:rsid w:val="008A6185"/>
    <w:rsid w:val="008B6257"/>
    <w:rsid w:val="008C1FE9"/>
    <w:rsid w:val="008C4154"/>
    <w:rsid w:val="008C4900"/>
    <w:rsid w:val="008C7DCE"/>
    <w:rsid w:val="008D18FC"/>
    <w:rsid w:val="008D398B"/>
    <w:rsid w:val="008D7E49"/>
    <w:rsid w:val="008F364A"/>
    <w:rsid w:val="008F3D19"/>
    <w:rsid w:val="008F3F53"/>
    <w:rsid w:val="00913E03"/>
    <w:rsid w:val="00917E66"/>
    <w:rsid w:val="009229E9"/>
    <w:rsid w:val="00926953"/>
    <w:rsid w:val="009278DD"/>
    <w:rsid w:val="009278F3"/>
    <w:rsid w:val="00932703"/>
    <w:rsid w:val="00936469"/>
    <w:rsid w:val="009400B7"/>
    <w:rsid w:val="009405AE"/>
    <w:rsid w:val="0094597C"/>
    <w:rsid w:val="00953D52"/>
    <w:rsid w:val="00954DC2"/>
    <w:rsid w:val="00957B92"/>
    <w:rsid w:val="00965B34"/>
    <w:rsid w:val="0097054B"/>
    <w:rsid w:val="00970966"/>
    <w:rsid w:val="00974442"/>
    <w:rsid w:val="009765DF"/>
    <w:rsid w:val="009B446A"/>
    <w:rsid w:val="009E21C8"/>
    <w:rsid w:val="009E3811"/>
    <w:rsid w:val="009E5ECE"/>
    <w:rsid w:val="009F1C35"/>
    <w:rsid w:val="009F1F69"/>
    <w:rsid w:val="00A23BF4"/>
    <w:rsid w:val="00A2593B"/>
    <w:rsid w:val="00A26653"/>
    <w:rsid w:val="00A34E05"/>
    <w:rsid w:val="00A3640E"/>
    <w:rsid w:val="00A43D8B"/>
    <w:rsid w:val="00A454F1"/>
    <w:rsid w:val="00A454F8"/>
    <w:rsid w:val="00A5352E"/>
    <w:rsid w:val="00A543CC"/>
    <w:rsid w:val="00A85035"/>
    <w:rsid w:val="00A854DE"/>
    <w:rsid w:val="00A93CFF"/>
    <w:rsid w:val="00AB623A"/>
    <w:rsid w:val="00AB7DD2"/>
    <w:rsid w:val="00AC7358"/>
    <w:rsid w:val="00AF0C7C"/>
    <w:rsid w:val="00B01D86"/>
    <w:rsid w:val="00B04D41"/>
    <w:rsid w:val="00B07E4E"/>
    <w:rsid w:val="00B11FD1"/>
    <w:rsid w:val="00B137E9"/>
    <w:rsid w:val="00B273CF"/>
    <w:rsid w:val="00B302B6"/>
    <w:rsid w:val="00B30EA2"/>
    <w:rsid w:val="00B36ED3"/>
    <w:rsid w:val="00B402E3"/>
    <w:rsid w:val="00B403BA"/>
    <w:rsid w:val="00B513C9"/>
    <w:rsid w:val="00B56EF4"/>
    <w:rsid w:val="00B57F6D"/>
    <w:rsid w:val="00B60642"/>
    <w:rsid w:val="00B70485"/>
    <w:rsid w:val="00B82A13"/>
    <w:rsid w:val="00BA3436"/>
    <w:rsid w:val="00BA73FF"/>
    <w:rsid w:val="00C02AF8"/>
    <w:rsid w:val="00C05C70"/>
    <w:rsid w:val="00C17E01"/>
    <w:rsid w:val="00C25473"/>
    <w:rsid w:val="00C31AC4"/>
    <w:rsid w:val="00C409BE"/>
    <w:rsid w:val="00C423CA"/>
    <w:rsid w:val="00C5131E"/>
    <w:rsid w:val="00C536F6"/>
    <w:rsid w:val="00C652ED"/>
    <w:rsid w:val="00C7793C"/>
    <w:rsid w:val="00C8023F"/>
    <w:rsid w:val="00C84A80"/>
    <w:rsid w:val="00C853AD"/>
    <w:rsid w:val="00C939A8"/>
    <w:rsid w:val="00C97145"/>
    <w:rsid w:val="00CB687C"/>
    <w:rsid w:val="00CB7CD2"/>
    <w:rsid w:val="00CB7CD3"/>
    <w:rsid w:val="00CC2899"/>
    <w:rsid w:val="00D010FD"/>
    <w:rsid w:val="00D02812"/>
    <w:rsid w:val="00D155DB"/>
    <w:rsid w:val="00D20056"/>
    <w:rsid w:val="00D4166A"/>
    <w:rsid w:val="00D61020"/>
    <w:rsid w:val="00D87695"/>
    <w:rsid w:val="00DA6969"/>
    <w:rsid w:val="00DB2119"/>
    <w:rsid w:val="00DB4D1F"/>
    <w:rsid w:val="00DC05BC"/>
    <w:rsid w:val="00DC7860"/>
    <w:rsid w:val="00DD3A24"/>
    <w:rsid w:val="00DF3516"/>
    <w:rsid w:val="00E03C07"/>
    <w:rsid w:val="00E16838"/>
    <w:rsid w:val="00E17171"/>
    <w:rsid w:val="00E20E3C"/>
    <w:rsid w:val="00E30C13"/>
    <w:rsid w:val="00E36290"/>
    <w:rsid w:val="00E42CC9"/>
    <w:rsid w:val="00E46862"/>
    <w:rsid w:val="00E6755B"/>
    <w:rsid w:val="00E81E61"/>
    <w:rsid w:val="00E82594"/>
    <w:rsid w:val="00E83952"/>
    <w:rsid w:val="00E848B4"/>
    <w:rsid w:val="00E90F20"/>
    <w:rsid w:val="00E91417"/>
    <w:rsid w:val="00E94329"/>
    <w:rsid w:val="00EA5DCB"/>
    <w:rsid w:val="00EA7ECF"/>
    <w:rsid w:val="00EB1377"/>
    <w:rsid w:val="00EB6B74"/>
    <w:rsid w:val="00EC1E33"/>
    <w:rsid w:val="00EE1B95"/>
    <w:rsid w:val="00F03533"/>
    <w:rsid w:val="00F07022"/>
    <w:rsid w:val="00F1119E"/>
    <w:rsid w:val="00F15EE6"/>
    <w:rsid w:val="00F33E30"/>
    <w:rsid w:val="00F35A34"/>
    <w:rsid w:val="00F40882"/>
    <w:rsid w:val="00F43559"/>
    <w:rsid w:val="00F4510D"/>
    <w:rsid w:val="00F5789B"/>
    <w:rsid w:val="00F657D0"/>
    <w:rsid w:val="00F75AAB"/>
    <w:rsid w:val="00F75C76"/>
    <w:rsid w:val="00F96009"/>
    <w:rsid w:val="00FA0602"/>
    <w:rsid w:val="00FA466F"/>
    <w:rsid w:val="00FC720B"/>
    <w:rsid w:val="00FD787F"/>
    <w:rsid w:val="00FE3FE9"/>
    <w:rsid w:val="00FE6A10"/>
    <w:rsid w:val="00FE73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6D764"/>
  <w15:chartTrackingRefBased/>
  <w15:docId w15:val="{2E1E5BF6-A96C-44CF-B478-559394C6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qFormat/>
    <w:pPr>
      <w:keepNext/>
      <w:spacing w:before="240" w:after="60" w:line="500" w:lineRule="exact"/>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p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link w:val="NotedebasdepageCar"/>
    <w:qFormat/>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qFormat/>
    <w:pPr>
      <w:widowControl w:val="0"/>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aliases w:val="Char Char6 Char Char Char Char Char Char Char Char Char Char Char Char,Char6 Char Char Char Char Char Char Char Char Char Char Char Char Char,Footnote,Ref,de nota al pie,fr"/>
    <w:uiPriority w:val="99"/>
    <w:qFormat/>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NotedebasdepageCar">
    <w:name w:val="Note de bas de page Car"/>
    <w:basedOn w:val="Policepardfaut"/>
    <w:link w:val="Notedebasdepage"/>
    <w:rsid w:val="00E16838"/>
    <w:rPr>
      <w:rFonts w:ascii="Arial" w:hAnsi="Arial"/>
      <w:lang w:eastAsia="fr-FR"/>
    </w:rPr>
  </w:style>
  <w:style w:type="character" w:customStyle="1" w:styleId="ParagrapheCar">
    <w:name w:val="Paragraphe Car"/>
    <w:link w:val="Paragraphe"/>
    <w:qFormat/>
    <w:rsid w:val="00E16838"/>
    <w:rPr>
      <w:rFonts w:ascii="Arial" w:hAnsi="Arial"/>
      <w:kern w:val="28"/>
      <w:sz w:val="24"/>
      <w:lang w:eastAsia="fr-FR"/>
    </w:rPr>
  </w:style>
  <w:style w:type="paragraph" w:customStyle="1" w:styleId="definition">
    <w:name w:val="definition"/>
    <w:basedOn w:val="Normal"/>
    <w:rsid w:val="00E16838"/>
    <w:pPr>
      <w:spacing w:before="100" w:beforeAutospacing="1" w:after="100" w:afterAutospacing="1" w:line="240" w:lineRule="auto"/>
    </w:pPr>
    <w:rPr>
      <w:rFonts w:ascii="Times New Roman" w:hAnsi="Times New Roman"/>
      <w:szCs w:val="24"/>
      <w:lang w:eastAsia="fr-CA"/>
    </w:rPr>
  </w:style>
  <w:style w:type="character" w:styleId="DfinitionHTML">
    <w:name w:val="HTML Definition"/>
    <w:basedOn w:val="Policepardfaut"/>
    <w:uiPriority w:val="99"/>
    <w:semiHidden/>
    <w:unhideWhenUsed/>
    <w:rsid w:val="00E16838"/>
    <w:rPr>
      <w:i/>
      <w:iCs/>
    </w:rPr>
  </w:style>
  <w:style w:type="paragraph" w:customStyle="1" w:styleId="paragraph">
    <w:name w:val="paragraph"/>
    <w:basedOn w:val="Normal"/>
    <w:rsid w:val="00E16838"/>
    <w:pPr>
      <w:spacing w:before="100" w:beforeAutospacing="1" w:after="100" w:afterAutospacing="1" w:line="240" w:lineRule="auto"/>
    </w:pPr>
    <w:rPr>
      <w:rFonts w:ascii="Times New Roman" w:hAnsi="Times New Roman"/>
      <w:szCs w:val="24"/>
      <w:lang w:eastAsia="fr-CA"/>
    </w:rPr>
  </w:style>
  <w:style w:type="character" w:customStyle="1" w:styleId="lawlabel">
    <w:name w:val="lawlabel"/>
    <w:basedOn w:val="Policepardfaut"/>
    <w:rsid w:val="00E16838"/>
  </w:style>
  <w:style w:type="character" w:customStyle="1" w:styleId="definedtermlink">
    <w:name w:val="definedtermlink"/>
    <w:basedOn w:val="Policepardfaut"/>
    <w:rsid w:val="00E16838"/>
  </w:style>
  <w:style w:type="paragraph" w:customStyle="1" w:styleId="section">
    <w:name w:val="section"/>
    <w:basedOn w:val="Normal"/>
    <w:rsid w:val="00E16838"/>
    <w:pPr>
      <w:spacing w:before="100" w:beforeAutospacing="1" w:after="100" w:afterAutospacing="1" w:line="240" w:lineRule="auto"/>
    </w:pPr>
    <w:rPr>
      <w:rFonts w:ascii="Times New Roman" w:hAnsi="Times New Roman"/>
      <w:szCs w:val="24"/>
      <w:lang w:eastAsia="fr-CA"/>
    </w:rPr>
  </w:style>
  <w:style w:type="character" w:customStyle="1" w:styleId="sectionlabel">
    <w:name w:val="sectionlabel"/>
    <w:basedOn w:val="Policepardfaut"/>
    <w:rsid w:val="00E16838"/>
  </w:style>
  <w:style w:type="paragraph" w:customStyle="1" w:styleId="paragraphe0">
    <w:name w:val="paragraphe"/>
    <w:basedOn w:val="Normal"/>
    <w:rsid w:val="00DC7860"/>
    <w:pPr>
      <w:spacing w:before="120" w:after="120" w:line="500" w:lineRule="atLeast"/>
      <w:jc w:val="both"/>
    </w:pPr>
    <w:rPr>
      <w:rFonts w:cs="Arial"/>
      <w:szCs w:val="24"/>
      <w:lang w:eastAsia="fr-CA"/>
    </w:rPr>
  </w:style>
  <w:style w:type="paragraph" w:styleId="Paragraphedeliste">
    <w:name w:val="List Paragraph"/>
    <w:basedOn w:val="Normal"/>
    <w:uiPriority w:val="34"/>
    <w:qFormat/>
    <w:rsid w:val="00DC7860"/>
    <w:pPr>
      <w:ind w:left="720"/>
      <w:contextualSpacing/>
    </w:pPr>
  </w:style>
  <w:style w:type="character" w:styleId="Marquedecommentaire">
    <w:name w:val="annotation reference"/>
    <w:basedOn w:val="Policepardfaut"/>
    <w:uiPriority w:val="99"/>
    <w:semiHidden/>
    <w:unhideWhenUsed/>
    <w:rsid w:val="00E42CC9"/>
    <w:rPr>
      <w:sz w:val="16"/>
      <w:szCs w:val="16"/>
    </w:rPr>
  </w:style>
  <w:style w:type="paragraph" w:styleId="Commentaire">
    <w:name w:val="annotation text"/>
    <w:basedOn w:val="Normal"/>
    <w:link w:val="CommentaireCar"/>
    <w:uiPriority w:val="99"/>
    <w:unhideWhenUsed/>
    <w:rsid w:val="00E42CC9"/>
    <w:pPr>
      <w:spacing w:line="240" w:lineRule="auto"/>
    </w:pPr>
    <w:rPr>
      <w:sz w:val="20"/>
    </w:rPr>
  </w:style>
  <w:style w:type="character" w:customStyle="1" w:styleId="CommentaireCar">
    <w:name w:val="Commentaire Car"/>
    <w:basedOn w:val="Policepardfaut"/>
    <w:link w:val="Commentaire"/>
    <w:uiPriority w:val="99"/>
    <w:rsid w:val="00E42CC9"/>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E42CC9"/>
    <w:rPr>
      <w:b/>
      <w:bCs/>
    </w:rPr>
  </w:style>
  <w:style w:type="character" w:customStyle="1" w:styleId="ObjetducommentaireCar">
    <w:name w:val="Objet du commentaire Car"/>
    <w:basedOn w:val="CommentaireCar"/>
    <w:link w:val="Objetducommentaire"/>
    <w:uiPriority w:val="99"/>
    <w:semiHidden/>
    <w:rsid w:val="00E42CC9"/>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isplayOtherLang(%22se:286%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displayOtherLang(%22se:286%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barits_SOQUIJ\Gabarits_SOQUIJ%20CA\CAFra-VERSION%20aout.%202021.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2F367-DB1E-4699-AC86-8A51B13F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CAFra-VERSION aout. 2021.dotm</Template>
  <TotalTime>8</TotalTime>
  <Pages>1</Pages>
  <Words>3082</Words>
  <Characters>16954</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Gabarit de jugement pour la cour d'appel</vt:lpstr>
    </vt:vector>
  </TitlesOfParts>
  <Manager>Patrice Tardif</Manager>
  <Company>MJQ</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jugement pour la cour d'appel</dc:title>
  <dc:creator>Nathalie Hevey</dc:creator>
  <cp:lastModifiedBy>Gauthier, François</cp:lastModifiedBy>
  <cp:revision>6</cp:revision>
  <cp:lastPrinted>2023-05-05T19:28:00Z</cp:lastPrinted>
  <dcterms:created xsi:type="dcterms:W3CDTF">2023-05-12T14:14:00Z</dcterms:created>
  <dcterms:modified xsi:type="dcterms:W3CDTF">2023-05-12T14:38:00Z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Cour">
    <vt:lpwstr>CA</vt:lpwstr>
  </property>
  <property fmtid="{D5CDD505-2E9C-101B-9397-08002B2CF9AE}" pid="3" name="Soquij_DateModification">
    <vt:lpwstr>04-26-2001</vt:lpwstr>
  </property>
  <property fmtid="{D5CDD505-2E9C-101B-9397-08002B2CF9AE}" pid="4" name="Soquij_Langue">
    <vt:lpwstr>Fra</vt:lpwstr>
  </property>
  <property fmtid="{D5CDD505-2E9C-101B-9397-08002B2CF9AE}" pid="5" name="Soquij_Modele">
    <vt:lpwstr>Edj</vt:lpwstr>
  </property>
  <property fmtid="{D5CDD505-2E9C-101B-9397-08002B2CF9AE}" pid="6" name="Soquij_ModifiePar">
    <vt:lpwstr>renste</vt:lpwstr>
  </property>
  <property fmtid="{D5CDD505-2E9C-101B-9397-08002B2CF9AE}" pid="7" name="Soquij_Version">
    <vt:lpwstr>1.6</vt:lpwstr>
  </property>
</Properties>
</file>