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DE24" w14:textId="77777777" w:rsidR="00D86890" w:rsidRPr="0003572B" w:rsidRDefault="00D86890" w:rsidP="00D86890">
      <w:pPr>
        <w:rPr>
          <w:lang w:val="en-CA"/>
        </w:rPr>
      </w:pPr>
      <w:r w:rsidRPr="0003572B">
        <w:rPr>
          <w:lang w:val="en-CA"/>
        </w:rPr>
        <w:t>Unofficial English Translation of the Judgment of the Court</w:t>
      </w:r>
    </w:p>
    <w:p w14:paraId="7828C020" w14:textId="77777777" w:rsidR="00D86890" w:rsidRPr="000B4231" w:rsidRDefault="00D86890">
      <w:pPr>
        <w:rPr>
          <w:lang w:val="en-CA"/>
        </w:rPr>
      </w:pPr>
    </w:p>
    <w:tbl>
      <w:tblPr>
        <w:tblW w:w="9480" w:type="dxa"/>
        <w:tblLayout w:type="fixed"/>
        <w:tblCellMar>
          <w:left w:w="0" w:type="dxa"/>
          <w:right w:w="0" w:type="dxa"/>
        </w:tblCellMar>
        <w:tblLook w:val="0000" w:firstRow="0" w:lastRow="0" w:firstColumn="0" w:lastColumn="0" w:noHBand="0" w:noVBand="0"/>
      </w:tblPr>
      <w:tblGrid>
        <w:gridCol w:w="1030"/>
        <w:gridCol w:w="530"/>
        <w:gridCol w:w="180"/>
        <w:gridCol w:w="2350"/>
        <w:gridCol w:w="3402"/>
        <w:gridCol w:w="1988"/>
      </w:tblGrid>
      <w:tr w:rsidR="008F364A" w:rsidRPr="0003572B" w14:paraId="00275882" w14:textId="77777777" w:rsidTr="000B4231">
        <w:trPr>
          <w:trHeight w:val="150"/>
        </w:trPr>
        <w:tc>
          <w:tcPr>
            <w:tcW w:w="7492" w:type="dxa"/>
            <w:gridSpan w:val="5"/>
          </w:tcPr>
          <w:p w14:paraId="4E5F7C8B" w14:textId="77777777" w:rsidR="008F364A" w:rsidRPr="0003572B" w:rsidRDefault="00F678ED" w:rsidP="00D36101">
            <w:pPr>
              <w:pStyle w:val="zSoquijdatRepertorie"/>
              <w:rPr>
                <w:rFonts w:cs="Arial"/>
                <w:lang w:val="en-CA"/>
              </w:rPr>
            </w:pPr>
            <w:r w:rsidRPr="0003572B">
              <w:rPr>
                <w:rFonts w:cs="Arial"/>
                <w:lang w:val="en-CA"/>
              </w:rPr>
              <w:t>Commission des droits de la per</w:t>
            </w:r>
            <w:r w:rsidR="00D36101" w:rsidRPr="0003572B">
              <w:rPr>
                <w:rFonts w:cs="Arial"/>
                <w:lang w:val="en-CA"/>
              </w:rPr>
              <w:t>s</w:t>
            </w:r>
            <w:r w:rsidRPr="0003572B">
              <w:rPr>
                <w:rFonts w:cs="Arial"/>
                <w:lang w:val="en-CA"/>
              </w:rPr>
              <w:t xml:space="preserve">onne et des droits de la jeunesse (T.J.R.) c. Procureur </w:t>
            </w:r>
            <w:proofErr w:type="spellStart"/>
            <w:r w:rsidRPr="0003572B">
              <w:rPr>
                <w:rFonts w:cs="Arial"/>
                <w:lang w:val="en-CA"/>
              </w:rPr>
              <w:t>général</w:t>
            </w:r>
            <w:proofErr w:type="spellEnd"/>
            <w:r w:rsidRPr="0003572B">
              <w:rPr>
                <w:rFonts w:cs="Arial"/>
                <w:lang w:val="en-CA"/>
              </w:rPr>
              <w:t xml:space="preserve"> du Québec (Sûreté du Québec)</w:t>
            </w:r>
          </w:p>
        </w:tc>
        <w:tc>
          <w:tcPr>
            <w:tcW w:w="1988" w:type="dxa"/>
          </w:tcPr>
          <w:p w14:paraId="4039B025" w14:textId="77777777" w:rsidR="008F364A" w:rsidRPr="0003572B" w:rsidRDefault="0090335E" w:rsidP="0090335E">
            <w:pPr>
              <w:pStyle w:val="zSoquijdatRefNeutre"/>
              <w:jc w:val="right"/>
              <w:rPr>
                <w:rFonts w:cs="Arial"/>
                <w:lang w:val="en-CA"/>
              </w:rPr>
            </w:pPr>
            <w:r w:rsidRPr="0003572B">
              <w:rPr>
                <w:rFonts w:cs="Arial"/>
                <w:lang w:val="en-CA"/>
              </w:rPr>
              <w:t>2022 QCCA 1577</w:t>
            </w:r>
          </w:p>
        </w:tc>
      </w:tr>
      <w:tr w:rsidR="008F364A" w:rsidRPr="0003572B" w14:paraId="0D3873B5" w14:textId="77777777" w:rsidTr="00D86890">
        <w:trPr>
          <w:trHeight w:val="247"/>
        </w:trPr>
        <w:tc>
          <w:tcPr>
            <w:tcW w:w="9480" w:type="dxa"/>
            <w:gridSpan w:val="6"/>
          </w:tcPr>
          <w:p w14:paraId="007B1745" w14:textId="77777777" w:rsidR="008F364A" w:rsidRPr="0003572B" w:rsidRDefault="00740A17" w:rsidP="00703929">
            <w:pPr>
              <w:pStyle w:val="zSoquijlblCour"/>
              <w:spacing w:line="240" w:lineRule="auto"/>
              <w:rPr>
                <w:lang w:val="en-CA"/>
              </w:rPr>
            </w:pPr>
            <w:r w:rsidRPr="0003572B">
              <w:rPr>
                <w:lang w:val="en-CA"/>
              </w:rPr>
              <w:t>COUR</w:t>
            </w:r>
            <w:r w:rsidR="008805C5" w:rsidRPr="0003572B">
              <w:rPr>
                <w:lang w:val="en-CA"/>
              </w:rPr>
              <w:t xml:space="preserve">T OF </w:t>
            </w:r>
            <w:r w:rsidRPr="0003572B">
              <w:rPr>
                <w:lang w:val="en-CA"/>
              </w:rPr>
              <w:t>APPE</w:t>
            </w:r>
            <w:r w:rsidR="008805C5" w:rsidRPr="0003572B">
              <w:rPr>
                <w:lang w:val="en-CA"/>
              </w:rPr>
              <w:t>A</w:t>
            </w:r>
            <w:r w:rsidRPr="0003572B">
              <w:rPr>
                <w:lang w:val="en-CA"/>
              </w:rPr>
              <w:t>L</w:t>
            </w:r>
          </w:p>
        </w:tc>
      </w:tr>
      <w:tr w:rsidR="008F364A" w:rsidRPr="0003572B" w14:paraId="3FEC7C09" w14:textId="77777777" w:rsidTr="00D86890">
        <w:trPr>
          <w:trHeight w:val="540"/>
        </w:trPr>
        <w:tc>
          <w:tcPr>
            <w:tcW w:w="9480" w:type="dxa"/>
            <w:gridSpan w:val="6"/>
          </w:tcPr>
          <w:p w14:paraId="49BBAD19" w14:textId="77777777" w:rsidR="008F364A" w:rsidRPr="0003572B" w:rsidRDefault="008F364A" w:rsidP="00703929">
            <w:pPr>
              <w:pStyle w:val="zSoquijdatDivision"/>
              <w:spacing w:line="240" w:lineRule="auto"/>
              <w:rPr>
                <w:lang w:val="en-CA"/>
              </w:rPr>
            </w:pPr>
          </w:p>
        </w:tc>
      </w:tr>
      <w:tr w:rsidR="008F364A" w:rsidRPr="0003572B" w14:paraId="58CB1269" w14:textId="77777777" w:rsidTr="00D86890">
        <w:tc>
          <w:tcPr>
            <w:tcW w:w="9480" w:type="dxa"/>
            <w:gridSpan w:val="6"/>
          </w:tcPr>
          <w:p w14:paraId="6E5F4AF2" w14:textId="77777777" w:rsidR="008F364A" w:rsidRPr="0003572B" w:rsidRDefault="00740A17" w:rsidP="00703929">
            <w:pPr>
              <w:pStyle w:val="zSoquijlblPays"/>
              <w:spacing w:line="240" w:lineRule="auto"/>
              <w:rPr>
                <w:lang w:val="en-CA"/>
              </w:rPr>
            </w:pPr>
            <w:r w:rsidRPr="0003572B">
              <w:rPr>
                <w:lang w:val="en-CA"/>
              </w:rPr>
              <w:t>CANADA</w:t>
            </w:r>
          </w:p>
        </w:tc>
      </w:tr>
      <w:tr w:rsidR="008F364A" w:rsidRPr="0003572B" w14:paraId="4484D72F" w14:textId="77777777" w:rsidTr="00D86890">
        <w:tc>
          <w:tcPr>
            <w:tcW w:w="9480" w:type="dxa"/>
            <w:gridSpan w:val="6"/>
          </w:tcPr>
          <w:p w14:paraId="018E2096" w14:textId="77777777" w:rsidR="008F364A" w:rsidRPr="0003572B" w:rsidRDefault="00D86890" w:rsidP="00703929">
            <w:pPr>
              <w:pStyle w:val="zSoquijlblProvince"/>
              <w:spacing w:line="240" w:lineRule="auto"/>
              <w:rPr>
                <w:lang w:val="en-CA"/>
              </w:rPr>
            </w:pPr>
            <w:r w:rsidRPr="0003572B">
              <w:rPr>
                <w:lang w:val="en-CA"/>
              </w:rPr>
              <w:t>PROVINCE OF QUE</w:t>
            </w:r>
            <w:r w:rsidR="00740A17" w:rsidRPr="0003572B">
              <w:rPr>
                <w:lang w:val="en-CA"/>
              </w:rPr>
              <w:t>BEC</w:t>
            </w:r>
          </w:p>
        </w:tc>
      </w:tr>
      <w:tr w:rsidR="008F364A" w:rsidRPr="0003572B" w14:paraId="11FC01D4" w14:textId="77777777" w:rsidTr="00D86890">
        <w:tc>
          <w:tcPr>
            <w:tcW w:w="1560" w:type="dxa"/>
            <w:gridSpan w:val="2"/>
          </w:tcPr>
          <w:p w14:paraId="374004DC" w14:textId="77777777" w:rsidR="008F364A" w:rsidRPr="0003572B" w:rsidRDefault="00D86890" w:rsidP="00D86890">
            <w:pPr>
              <w:pStyle w:val="zSoquijlblGreffe"/>
              <w:spacing w:line="240" w:lineRule="auto"/>
              <w:ind w:right="-141"/>
              <w:rPr>
                <w:lang w:val="en-CA"/>
              </w:rPr>
            </w:pPr>
            <w:r w:rsidRPr="0003572B">
              <w:rPr>
                <w:lang w:val="en-CA"/>
              </w:rPr>
              <w:t>REGISTRY OF</w:t>
            </w:r>
          </w:p>
          <w:p w14:paraId="2E07489C" w14:textId="77777777" w:rsidR="008F364A" w:rsidRPr="0003572B" w:rsidRDefault="008F364A" w:rsidP="00703929">
            <w:pPr>
              <w:pStyle w:val="zSoquijlblGreffe"/>
              <w:spacing w:line="240" w:lineRule="auto"/>
              <w:rPr>
                <w:lang w:val="en-CA"/>
              </w:rPr>
            </w:pPr>
          </w:p>
        </w:tc>
        <w:tc>
          <w:tcPr>
            <w:tcW w:w="7920" w:type="dxa"/>
            <w:gridSpan w:val="4"/>
          </w:tcPr>
          <w:p w14:paraId="68795698" w14:textId="77777777" w:rsidR="008F364A" w:rsidRPr="0003572B" w:rsidRDefault="00D86890" w:rsidP="00703929">
            <w:pPr>
              <w:pStyle w:val="zSoquijdatGreffe"/>
              <w:spacing w:line="240" w:lineRule="auto"/>
              <w:rPr>
                <w:lang w:val="en-CA"/>
              </w:rPr>
            </w:pPr>
            <w:bookmarkStart w:id="0" w:name="NomGreffe"/>
            <w:r w:rsidRPr="0003572B">
              <w:rPr>
                <w:lang w:val="en-CA"/>
              </w:rPr>
              <w:t xml:space="preserve">  MONTRE</w:t>
            </w:r>
            <w:r w:rsidR="00207F47" w:rsidRPr="0003572B">
              <w:rPr>
                <w:lang w:val="en-CA"/>
              </w:rPr>
              <w:t>AL</w:t>
            </w:r>
            <w:bookmarkEnd w:id="0"/>
          </w:p>
        </w:tc>
      </w:tr>
      <w:tr w:rsidR="008F364A" w:rsidRPr="0003572B" w14:paraId="7E0AACF9" w14:textId="77777777" w:rsidTr="00D86890">
        <w:tc>
          <w:tcPr>
            <w:tcW w:w="1030" w:type="dxa"/>
          </w:tcPr>
          <w:p w14:paraId="0BDED81E" w14:textId="77777777" w:rsidR="008F364A" w:rsidRPr="0003572B" w:rsidRDefault="00D86890" w:rsidP="00703929">
            <w:pPr>
              <w:pStyle w:val="zSoquijlblNoDossier"/>
              <w:spacing w:line="240" w:lineRule="auto"/>
              <w:rPr>
                <w:lang w:val="en-CA"/>
              </w:rPr>
            </w:pPr>
            <w:r w:rsidRPr="0003572B">
              <w:rPr>
                <w:lang w:val="en-CA"/>
              </w:rPr>
              <w:t>No.</w:t>
            </w:r>
            <w:r w:rsidR="00740A17" w:rsidRPr="0003572B">
              <w:rPr>
                <w:lang w:val="en-CA"/>
              </w:rPr>
              <w:t>:</w:t>
            </w:r>
          </w:p>
        </w:tc>
        <w:tc>
          <w:tcPr>
            <w:tcW w:w="8450" w:type="dxa"/>
            <w:gridSpan w:val="5"/>
          </w:tcPr>
          <w:p w14:paraId="7F15AFEA" w14:textId="77777777" w:rsidR="008F364A" w:rsidRPr="0003572B" w:rsidRDefault="00207F47" w:rsidP="00703929">
            <w:pPr>
              <w:pStyle w:val="zSoquijdatNoDossier"/>
              <w:spacing w:line="240" w:lineRule="auto"/>
              <w:rPr>
                <w:lang w:val="en-CA"/>
              </w:rPr>
            </w:pPr>
            <w:bookmarkStart w:id="1" w:name="NoDossier"/>
            <w:r w:rsidRPr="0003572B">
              <w:rPr>
                <w:lang w:val="en-CA"/>
              </w:rPr>
              <w:t>500-09-029282-217</w:t>
            </w:r>
            <w:bookmarkEnd w:id="1"/>
          </w:p>
        </w:tc>
      </w:tr>
      <w:tr w:rsidR="00207F47" w:rsidRPr="0003572B" w14:paraId="1FE3BE8F" w14:textId="77777777" w:rsidTr="00D86890">
        <w:tc>
          <w:tcPr>
            <w:tcW w:w="9480" w:type="dxa"/>
            <w:gridSpan w:val="6"/>
          </w:tcPr>
          <w:p w14:paraId="7A9ACE28" w14:textId="77777777" w:rsidR="00207F47" w:rsidRPr="0003572B" w:rsidRDefault="00207F47" w:rsidP="00703929">
            <w:pPr>
              <w:pStyle w:val="zSoquijdatNoDossierAnt"/>
              <w:spacing w:line="240" w:lineRule="auto"/>
              <w:rPr>
                <w:lang w:val="en-CA"/>
              </w:rPr>
            </w:pPr>
            <w:r w:rsidRPr="0003572B">
              <w:rPr>
                <w:lang w:val="en-CA"/>
              </w:rPr>
              <w:t>(500-53-000483-188)</w:t>
            </w:r>
          </w:p>
        </w:tc>
      </w:tr>
      <w:tr w:rsidR="008F364A" w:rsidRPr="0003572B" w14:paraId="76A1D0B7" w14:textId="77777777" w:rsidTr="00D86890">
        <w:tc>
          <w:tcPr>
            <w:tcW w:w="9480" w:type="dxa"/>
            <w:gridSpan w:val="6"/>
          </w:tcPr>
          <w:p w14:paraId="7F122852" w14:textId="77777777" w:rsidR="008F364A" w:rsidRPr="0003572B" w:rsidRDefault="008F364A" w:rsidP="00703929">
            <w:pPr>
              <w:spacing w:line="240" w:lineRule="auto"/>
              <w:rPr>
                <w:lang w:val="en-CA"/>
              </w:rPr>
            </w:pPr>
          </w:p>
        </w:tc>
      </w:tr>
      <w:tr w:rsidR="008F364A" w:rsidRPr="0003572B" w14:paraId="343D25C4" w14:textId="77777777" w:rsidTr="00D86890">
        <w:tc>
          <w:tcPr>
            <w:tcW w:w="1030" w:type="dxa"/>
          </w:tcPr>
          <w:p w14:paraId="38D0F14B" w14:textId="77777777" w:rsidR="008F364A" w:rsidRPr="0003572B" w:rsidRDefault="00D86890" w:rsidP="00703929">
            <w:pPr>
              <w:pStyle w:val="zSoquijlblDateJugement"/>
              <w:spacing w:line="240" w:lineRule="auto"/>
              <w:rPr>
                <w:lang w:val="en-CA"/>
              </w:rPr>
            </w:pPr>
            <w:r w:rsidRPr="0003572B">
              <w:rPr>
                <w:lang w:val="en-CA"/>
              </w:rPr>
              <w:t>DATE</w:t>
            </w:r>
            <w:r w:rsidR="00740A17" w:rsidRPr="0003572B">
              <w:rPr>
                <w:lang w:val="en-CA"/>
              </w:rPr>
              <w:t>:</w:t>
            </w:r>
          </w:p>
        </w:tc>
        <w:tc>
          <w:tcPr>
            <w:tcW w:w="8450" w:type="dxa"/>
            <w:gridSpan w:val="5"/>
          </w:tcPr>
          <w:p w14:paraId="42C5AAFB" w14:textId="77777777" w:rsidR="008F364A" w:rsidRPr="0003572B" w:rsidRDefault="00D86890" w:rsidP="00703929">
            <w:pPr>
              <w:pStyle w:val="zSoquijdatDateJugement"/>
              <w:spacing w:line="240" w:lineRule="auto"/>
              <w:rPr>
                <w:lang w:val="en-CA"/>
              </w:rPr>
            </w:pPr>
            <w:r w:rsidRPr="0003572B">
              <w:rPr>
                <w:lang w:val="en-CA"/>
              </w:rPr>
              <w:t xml:space="preserve">November 22, </w:t>
            </w:r>
            <w:r w:rsidR="00B630A1" w:rsidRPr="0003572B">
              <w:rPr>
                <w:lang w:val="en-CA"/>
              </w:rPr>
              <w:t>2022</w:t>
            </w:r>
          </w:p>
        </w:tc>
      </w:tr>
      <w:tr w:rsidR="008F364A" w:rsidRPr="0003572B" w14:paraId="01C972B0" w14:textId="77777777" w:rsidTr="00D86890">
        <w:tc>
          <w:tcPr>
            <w:tcW w:w="9480" w:type="dxa"/>
            <w:gridSpan w:val="6"/>
            <w:tcBorders>
              <w:bottom w:val="single" w:sz="8" w:space="0" w:color="auto"/>
            </w:tcBorders>
          </w:tcPr>
          <w:p w14:paraId="28DEAE17" w14:textId="77777777" w:rsidR="008F364A" w:rsidRPr="0003572B" w:rsidRDefault="008F364A" w:rsidP="00703929">
            <w:pPr>
              <w:spacing w:line="240" w:lineRule="auto"/>
              <w:rPr>
                <w:lang w:val="en-CA"/>
              </w:rPr>
            </w:pPr>
          </w:p>
        </w:tc>
      </w:tr>
      <w:tr w:rsidR="008F364A" w:rsidRPr="0003572B" w14:paraId="748910C4" w14:textId="77777777" w:rsidTr="00D86890">
        <w:tc>
          <w:tcPr>
            <w:tcW w:w="9480" w:type="dxa"/>
            <w:gridSpan w:val="6"/>
            <w:tcBorders>
              <w:top w:val="single" w:sz="8" w:space="0" w:color="auto"/>
            </w:tcBorders>
          </w:tcPr>
          <w:p w14:paraId="2841849C" w14:textId="77777777" w:rsidR="008F364A" w:rsidRPr="0003572B" w:rsidRDefault="008F364A" w:rsidP="00703929">
            <w:pPr>
              <w:spacing w:line="240" w:lineRule="auto"/>
              <w:rPr>
                <w:lang w:val="en-CA"/>
              </w:rPr>
            </w:pPr>
          </w:p>
        </w:tc>
      </w:tr>
      <w:tr w:rsidR="008F364A" w:rsidRPr="0003572B" w14:paraId="04864200" w14:textId="77777777" w:rsidTr="00D86890">
        <w:tc>
          <w:tcPr>
            <w:tcW w:w="1740" w:type="dxa"/>
            <w:gridSpan w:val="3"/>
          </w:tcPr>
          <w:p w14:paraId="4955139B" w14:textId="77777777" w:rsidR="008F364A" w:rsidRPr="0003572B" w:rsidRDefault="00D86890" w:rsidP="00703929">
            <w:pPr>
              <w:pStyle w:val="zSoquijlblJuge"/>
              <w:spacing w:line="240" w:lineRule="auto"/>
              <w:ind w:right="-142"/>
              <w:rPr>
                <w:lang w:val="en-CA"/>
              </w:rPr>
            </w:pPr>
            <w:bookmarkStart w:id="2" w:name="FORMATION"/>
            <w:r w:rsidRPr="0003572B">
              <w:rPr>
                <w:lang w:val="en-CA"/>
              </w:rPr>
              <w:t>CORAM</w:t>
            </w:r>
            <w:r w:rsidR="00740A17" w:rsidRPr="0003572B">
              <w:rPr>
                <w:lang w:val="en-CA"/>
              </w:rPr>
              <w:t>:</w:t>
            </w:r>
            <w:bookmarkEnd w:id="2"/>
          </w:p>
        </w:tc>
        <w:tc>
          <w:tcPr>
            <w:tcW w:w="2350" w:type="dxa"/>
          </w:tcPr>
          <w:p w14:paraId="5FDE0A6E" w14:textId="77777777" w:rsidR="008F364A" w:rsidRPr="0003572B" w:rsidRDefault="00D86890" w:rsidP="00703929">
            <w:pPr>
              <w:pStyle w:val="zSoquijdatQteJuge"/>
              <w:spacing w:line="240" w:lineRule="auto"/>
              <w:rPr>
                <w:lang w:val="en-CA"/>
              </w:rPr>
            </w:pPr>
            <w:bookmarkStart w:id="3" w:name="Honorables"/>
            <w:r w:rsidRPr="0003572B">
              <w:rPr>
                <w:lang w:val="en-CA"/>
              </w:rPr>
              <w:t>THE</w:t>
            </w:r>
            <w:r w:rsidR="00740A17" w:rsidRPr="0003572B">
              <w:rPr>
                <w:lang w:val="en-CA"/>
              </w:rPr>
              <w:t xml:space="preserve"> HONO</w:t>
            </w:r>
            <w:r w:rsidRPr="0003572B">
              <w:rPr>
                <w:lang w:val="en-CA"/>
              </w:rPr>
              <w:t>U</w:t>
            </w:r>
            <w:r w:rsidR="00740A17" w:rsidRPr="0003572B">
              <w:rPr>
                <w:lang w:val="en-CA"/>
              </w:rPr>
              <w:t>RABLE</w:t>
            </w:r>
            <w:bookmarkEnd w:id="3"/>
          </w:p>
        </w:tc>
        <w:tc>
          <w:tcPr>
            <w:tcW w:w="5390" w:type="dxa"/>
            <w:gridSpan w:val="2"/>
          </w:tcPr>
          <w:p w14:paraId="64431818" w14:textId="77777777" w:rsidR="008F364A" w:rsidRPr="0003572B" w:rsidRDefault="00D86890" w:rsidP="00703929">
            <w:pPr>
              <w:pStyle w:val="zSoquijdatJuge"/>
              <w:spacing w:line="240" w:lineRule="auto"/>
              <w:rPr>
                <w:lang w:val="en-CA"/>
              </w:rPr>
            </w:pPr>
            <w:bookmarkStart w:id="4" w:name="NomJuge1"/>
            <w:r w:rsidRPr="0003572B">
              <w:rPr>
                <w:lang w:val="en-CA"/>
              </w:rPr>
              <w:t>GENEVIÈVE COTNAM, J.</w:t>
            </w:r>
            <w:r w:rsidR="00207F47" w:rsidRPr="0003572B">
              <w:rPr>
                <w:lang w:val="en-CA"/>
              </w:rPr>
              <w:t>A.</w:t>
            </w:r>
            <w:bookmarkEnd w:id="4"/>
          </w:p>
          <w:p w14:paraId="7D002D67" w14:textId="77777777" w:rsidR="008F364A" w:rsidRPr="0003572B" w:rsidRDefault="00D86890" w:rsidP="00703929">
            <w:pPr>
              <w:pStyle w:val="zSoquijdatJuge"/>
              <w:spacing w:line="240" w:lineRule="auto"/>
              <w:rPr>
                <w:lang w:val="en-CA"/>
              </w:rPr>
            </w:pPr>
            <w:bookmarkStart w:id="5" w:name="NomJuge2"/>
            <w:r w:rsidRPr="0003572B">
              <w:rPr>
                <w:lang w:val="en-CA"/>
              </w:rPr>
              <w:t>MICHEL BEAUPRÉ, J.</w:t>
            </w:r>
            <w:r w:rsidR="00207F47" w:rsidRPr="0003572B">
              <w:rPr>
                <w:lang w:val="en-CA"/>
              </w:rPr>
              <w:t>A.</w:t>
            </w:r>
            <w:bookmarkEnd w:id="5"/>
          </w:p>
          <w:p w14:paraId="0ADABCB6" w14:textId="77777777" w:rsidR="005A78BF" w:rsidRPr="0003572B" w:rsidRDefault="00D86890" w:rsidP="00703929">
            <w:pPr>
              <w:pStyle w:val="zSoquijdatJuge"/>
              <w:spacing w:line="240" w:lineRule="auto"/>
              <w:rPr>
                <w:lang w:val="en-CA"/>
              </w:rPr>
            </w:pPr>
            <w:bookmarkStart w:id="6" w:name="_Hlt520513784"/>
            <w:bookmarkStart w:id="7" w:name="NomJuge3"/>
            <w:bookmarkEnd w:id="6"/>
            <w:r w:rsidRPr="0003572B">
              <w:rPr>
                <w:lang w:val="en-CA"/>
              </w:rPr>
              <w:t>PETER KALICHMAN, J.</w:t>
            </w:r>
            <w:r w:rsidR="00207F47" w:rsidRPr="0003572B">
              <w:rPr>
                <w:lang w:val="en-CA"/>
              </w:rPr>
              <w:t>A.</w:t>
            </w:r>
            <w:bookmarkEnd w:id="7"/>
          </w:p>
        </w:tc>
      </w:tr>
      <w:tr w:rsidR="008F364A" w:rsidRPr="0003572B" w14:paraId="3BD68E77" w14:textId="77777777" w:rsidTr="00D86890">
        <w:tc>
          <w:tcPr>
            <w:tcW w:w="9480" w:type="dxa"/>
            <w:gridSpan w:val="6"/>
            <w:tcBorders>
              <w:bottom w:val="single" w:sz="8" w:space="0" w:color="auto"/>
            </w:tcBorders>
          </w:tcPr>
          <w:p w14:paraId="2D9EB01A" w14:textId="77777777" w:rsidR="008F364A" w:rsidRPr="0003572B" w:rsidRDefault="008F364A" w:rsidP="00703929">
            <w:pPr>
              <w:spacing w:line="240" w:lineRule="auto"/>
              <w:rPr>
                <w:lang w:val="en-CA"/>
              </w:rPr>
            </w:pPr>
          </w:p>
        </w:tc>
      </w:tr>
      <w:tr w:rsidR="008F364A" w:rsidRPr="0003572B" w14:paraId="58CAE614" w14:textId="77777777" w:rsidTr="00D86890">
        <w:tc>
          <w:tcPr>
            <w:tcW w:w="9480" w:type="dxa"/>
            <w:gridSpan w:val="6"/>
          </w:tcPr>
          <w:p w14:paraId="31244DD6" w14:textId="77777777" w:rsidR="008F364A" w:rsidRPr="0003572B" w:rsidRDefault="008F364A" w:rsidP="00703929">
            <w:pPr>
              <w:pStyle w:val="zSoquijlblTitrePartie"/>
              <w:spacing w:line="240" w:lineRule="auto"/>
              <w:rPr>
                <w:lang w:val="en-CA"/>
              </w:rPr>
            </w:pPr>
          </w:p>
        </w:tc>
      </w:tr>
      <w:tr w:rsidR="008F364A" w:rsidRPr="0003572B" w14:paraId="698F4CAC" w14:textId="77777777" w:rsidTr="00D86890">
        <w:tc>
          <w:tcPr>
            <w:tcW w:w="9480" w:type="dxa"/>
            <w:gridSpan w:val="6"/>
          </w:tcPr>
          <w:p w14:paraId="7AE97736" w14:textId="77777777" w:rsidR="008F364A" w:rsidRPr="0003572B" w:rsidRDefault="00207F47" w:rsidP="00D86890">
            <w:pPr>
              <w:pStyle w:val="zSoquijdatNomPartieDem"/>
              <w:spacing w:line="240" w:lineRule="auto"/>
              <w:jc w:val="both"/>
              <w:rPr>
                <w:lang w:val="en-CA"/>
              </w:rPr>
            </w:pPr>
            <w:bookmarkStart w:id="8" w:name="App"/>
            <w:r w:rsidRPr="0003572B">
              <w:rPr>
                <w:caps/>
                <w:lang w:val="en-CA"/>
              </w:rPr>
              <w:t>Commission des droits de la personne et des droits de la jeunesse</w:t>
            </w:r>
            <w:bookmarkEnd w:id="8"/>
            <w:r w:rsidRPr="0003572B">
              <w:rPr>
                <w:caps/>
                <w:lang w:val="en-CA"/>
              </w:rPr>
              <w:t>,</w:t>
            </w:r>
            <w:r w:rsidRPr="0003572B">
              <w:rPr>
                <w:lang w:val="en-CA"/>
              </w:rPr>
              <w:t xml:space="preserve"> a</w:t>
            </w:r>
            <w:r w:rsidR="00D86890" w:rsidRPr="0003572B">
              <w:rPr>
                <w:lang w:val="en-CA"/>
              </w:rPr>
              <w:t>cting in t</w:t>
            </w:r>
            <w:r w:rsidR="0053699A" w:rsidRPr="0003572B">
              <w:rPr>
                <w:lang w:val="en-CA"/>
              </w:rPr>
              <w:t>he public interest and on behalf</w:t>
            </w:r>
            <w:r w:rsidR="00D86890" w:rsidRPr="0003572B">
              <w:rPr>
                <w:lang w:val="en-CA"/>
              </w:rPr>
              <w:t xml:space="preserve"> of </w:t>
            </w:r>
            <w:r w:rsidRPr="0003572B">
              <w:rPr>
                <w:lang w:val="en-CA"/>
              </w:rPr>
              <w:t>T.J.R.</w:t>
            </w:r>
          </w:p>
        </w:tc>
      </w:tr>
      <w:tr w:rsidR="008F364A" w:rsidRPr="0003572B" w14:paraId="19A49298" w14:textId="77777777" w:rsidTr="00D86890">
        <w:tc>
          <w:tcPr>
            <w:tcW w:w="9480" w:type="dxa"/>
            <w:gridSpan w:val="6"/>
          </w:tcPr>
          <w:p w14:paraId="397D5EA4" w14:textId="7437087D" w:rsidR="00A552A1" w:rsidRPr="0003572B" w:rsidRDefault="00A552A1" w:rsidP="00703929">
            <w:pPr>
              <w:pStyle w:val="zSoquijdatQtePartieDem"/>
              <w:spacing w:line="240" w:lineRule="auto"/>
              <w:rPr>
                <w:lang w:val="en-CA"/>
              </w:rPr>
            </w:pPr>
            <w:r w:rsidRPr="0003572B">
              <w:rPr>
                <w:lang w:val="en-CA"/>
              </w:rPr>
              <w:t>APPEL</w:t>
            </w:r>
            <w:r w:rsidR="00D86890" w:rsidRPr="0003572B">
              <w:rPr>
                <w:lang w:val="en-CA"/>
              </w:rPr>
              <w:t>LANT</w:t>
            </w:r>
            <w:r w:rsidRPr="0003572B">
              <w:rPr>
                <w:lang w:val="en-CA"/>
              </w:rPr>
              <w:t xml:space="preserve"> – </w:t>
            </w:r>
            <w:r w:rsidR="000B4231">
              <w:rPr>
                <w:lang w:val="en-CA"/>
              </w:rPr>
              <w:t>a</w:t>
            </w:r>
            <w:r w:rsidR="008B1332" w:rsidRPr="0003572B">
              <w:rPr>
                <w:lang w:val="en-CA"/>
              </w:rPr>
              <w:t>pplic</w:t>
            </w:r>
            <w:r w:rsidR="0053699A" w:rsidRPr="0003572B">
              <w:rPr>
                <w:lang w:val="en-CA"/>
              </w:rPr>
              <w:t>ant</w:t>
            </w:r>
          </w:p>
        </w:tc>
      </w:tr>
      <w:tr w:rsidR="008F364A" w:rsidRPr="0003572B" w14:paraId="4FB0BE16" w14:textId="77777777" w:rsidTr="00D86890">
        <w:tc>
          <w:tcPr>
            <w:tcW w:w="9480" w:type="dxa"/>
            <w:gridSpan w:val="6"/>
          </w:tcPr>
          <w:p w14:paraId="5998A2F7" w14:textId="77777777" w:rsidR="008F364A" w:rsidRPr="0003572B" w:rsidRDefault="00FF149E" w:rsidP="00703929">
            <w:pPr>
              <w:pStyle w:val="zSoquijlblLienParties"/>
              <w:spacing w:line="240" w:lineRule="auto"/>
              <w:rPr>
                <w:lang w:val="en-CA"/>
              </w:rPr>
            </w:pPr>
            <w:r w:rsidRPr="0003572B">
              <w:rPr>
                <w:lang w:val="en-CA"/>
              </w:rPr>
              <w:t>v</w:t>
            </w:r>
            <w:r w:rsidR="00740A17" w:rsidRPr="0003572B">
              <w:rPr>
                <w:lang w:val="en-CA"/>
              </w:rPr>
              <w:t>.</w:t>
            </w:r>
          </w:p>
        </w:tc>
      </w:tr>
      <w:tr w:rsidR="008F364A" w:rsidRPr="0003572B" w14:paraId="28F774FF" w14:textId="77777777" w:rsidTr="00D86890">
        <w:tc>
          <w:tcPr>
            <w:tcW w:w="9480" w:type="dxa"/>
            <w:gridSpan w:val="6"/>
          </w:tcPr>
          <w:p w14:paraId="4A794276" w14:textId="77777777" w:rsidR="008F364A" w:rsidRPr="0003572B" w:rsidRDefault="008F364A" w:rsidP="00703929">
            <w:pPr>
              <w:spacing w:line="240" w:lineRule="auto"/>
              <w:rPr>
                <w:lang w:val="en-CA"/>
              </w:rPr>
            </w:pPr>
          </w:p>
        </w:tc>
      </w:tr>
      <w:tr w:rsidR="008F364A" w:rsidRPr="000B4231" w14:paraId="755F1BFE" w14:textId="77777777" w:rsidTr="00D86890">
        <w:tc>
          <w:tcPr>
            <w:tcW w:w="9480" w:type="dxa"/>
            <w:gridSpan w:val="6"/>
          </w:tcPr>
          <w:p w14:paraId="38502318" w14:textId="77777777" w:rsidR="008F364A" w:rsidRPr="0003572B" w:rsidRDefault="00D86890" w:rsidP="00D86890">
            <w:pPr>
              <w:pStyle w:val="zSoquijdatNomPartieDef"/>
              <w:spacing w:line="240" w:lineRule="auto"/>
              <w:rPr>
                <w:lang w:val="en-CA"/>
              </w:rPr>
            </w:pPr>
            <w:bookmarkStart w:id="9" w:name="Intimé"/>
            <w:r w:rsidRPr="0003572B">
              <w:rPr>
                <w:caps/>
                <w:lang w:val="en-CA"/>
              </w:rPr>
              <w:t>ATTORNEY GENERAL OF QUE</w:t>
            </w:r>
            <w:r w:rsidR="00207F47" w:rsidRPr="0003572B">
              <w:rPr>
                <w:caps/>
                <w:lang w:val="en-CA"/>
              </w:rPr>
              <w:t>BEC</w:t>
            </w:r>
            <w:bookmarkEnd w:id="9"/>
            <w:r w:rsidR="00207F47" w:rsidRPr="0003572B">
              <w:rPr>
                <w:caps/>
                <w:lang w:val="en-CA"/>
              </w:rPr>
              <w:t xml:space="preserve"> (</w:t>
            </w:r>
            <w:r w:rsidRPr="0003572B">
              <w:rPr>
                <w:lang w:val="en-CA"/>
              </w:rPr>
              <w:t>in right of the</w:t>
            </w:r>
            <w:r w:rsidR="00A552A1" w:rsidRPr="0003572B">
              <w:rPr>
                <w:lang w:val="en-CA"/>
              </w:rPr>
              <w:t xml:space="preserve"> </w:t>
            </w:r>
            <w:r w:rsidR="00541131" w:rsidRPr="0003572B">
              <w:rPr>
                <w:lang w:val="en-CA"/>
              </w:rPr>
              <w:t>Sûreté du Québec</w:t>
            </w:r>
            <w:r w:rsidR="00A552A1" w:rsidRPr="0003572B">
              <w:rPr>
                <w:caps/>
                <w:lang w:val="en-CA"/>
              </w:rPr>
              <w:t>)</w:t>
            </w:r>
          </w:p>
        </w:tc>
      </w:tr>
      <w:tr w:rsidR="008F364A" w:rsidRPr="000B4231" w14:paraId="1422E305" w14:textId="77777777" w:rsidTr="00D86890">
        <w:tc>
          <w:tcPr>
            <w:tcW w:w="9480" w:type="dxa"/>
            <w:gridSpan w:val="6"/>
          </w:tcPr>
          <w:p w14:paraId="5CC1DC07" w14:textId="6EEA48D9" w:rsidR="00A552A1" w:rsidRPr="000B4231" w:rsidRDefault="00D86890" w:rsidP="00703929">
            <w:pPr>
              <w:pStyle w:val="zSoquijdatQtePartieDef"/>
              <w:spacing w:line="240" w:lineRule="auto"/>
              <w:rPr>
                <w:lang w:val="en-CA"/>
              </w:rPr>
            </w:pPr>
            <w:r w:rsidRPr="000B4231">
              <w:rPr>
                <w:lang w:val="en-CA"/>
              </w:rPr>
              <w:t>RESPONDENT</w:t>
            </w:r>
            <w:r w:rsidR="00A552A1" w:rsidRPr="000B4231">
              <w:rPr>
                <w:lang w:val="en-CA"/>
              </w:rPr>
              <w:t xml:space="preserve"> – </w:t>
            </w:r>
            <w:r w:rsidR="000B4231">
              <w:rPr>
                <w:lang w:val="en-CA"/>
              </w:rPr>
              <w:t>d</w:t>
            </w:r>
            <w:r w:rsidRPr="000B4231">
              <w:rPr>
                <w:lang w:val="en-CA"/>
              </w:rPr>
              <w:t>efendant</w:t>
            </w:r>
          </w:p>
        </w:tc>
      </w:tr>
      <w:tr w:rsidR="008F364A" w:rsidRPr="000B4231" w14:paraId="5CABE98C" w14:textId="77777777" w:rsidTr="00D86890">
        <w:tc>
          <w:tcPr>
            <w:tcW w:w="9480" w:type="dxa"/>
            <w:gridSpan w:val="6"/>
          </w:tcPr>
          <w:p w14:paraId="196BEE91" w14:textId="77777777" w:rsidR="008F364A" w:rsidRPr="000B4231" w:rsidRDefault="008F364A" w:rsidP="00703929">
            <w:pPr>
              <w:spacing w:line="240" w:lineRule="auto"/>
              <w:rPr>
                <w:lang w:val="en-CA"/>
              </w:rPr>
            </w:pPr>
          </w:p>
        </w:tc>
      </w:tr>
      <w:tr w:rsidR="008F364A" w:rsidRPr="000B4231" w14:paraId="002242A0" w14:textId="77777777" w:rsidTr="00D86890">
        <w:tc>
          <w:tcPr>
            <w:tcW w:w="9480" w:type="dxa"/>
            <w:gridSpan w:val="6"/>
            <w:tcBorders>
              <w:top w:val="single" w:sz="8" w:space="0" w:color="auto"/>
            </w:tcBorders>
          </w:tcPr>
          <w:p w14:paraId="4A2B7487" w14:textId="77777777" w:rsidR="008F364A" w:rsidRPr="000B4231" w:rsidRDefault="008F364A" w:rsidP="00703929">
            <w:pPr>
              <w:spacing w:line="240" w:lineRule="auto"/>
              <w:rPr>
                <w:lang w:val="en-CA"/>
              </w:rPr>
            </w:pPr>
            <w:bookmarkStart w:id="10" w:name="Arret"/>
          </w:p>
        </w:tc>
      </w:tr>
      <w:tr w:rsidR="008F364A" w:rsidRPr="000B4231" w14:paraId="0F11D61C" w14:textId="77777777" w:rsidTr="00D86890">
        <w:tc>
          <w:tcPr>
            <w:tcW w:w="9480" w:type="dxa"/>
            <w:gridSpan w:val="6"/>
          </w:tcPr>
          <w:p w14:paraId="3D62B6F6" w14:textId="6D813076" w:rsidR="008F364A" w:rsidRPr="000B4231" w:rsidRDefault="000B4231" w:rsidP="00703929">
            <w:pPr>
              <w:pStyle w:val="zSoquijlblTypeDocument"/>
              <w:spacing w:line="240" w:lineRule="auto"/>
              <w:rPr>
                <w:lang w:val="en-CA"/>
              </w:rPr>
            </w:pPr>
            <w:r w:rsidRPr="000B4231">
              <w:rPr>
                <w:lang w:val="en-CA"/>
              </w:rPr>
              <w:t>JUDGMENT</w:t>
            </w:r>
          </w:p>
        </w:tc>
      </w:tr>
      <w:tr w:rsidR="008F364A" w:rsidRPr="000B4231" w14:paraId="1E3CF259" w14:textId="77777777" w:rsidTr="00D86890">
        <w:tc>
          <w:tcPr>
            <w:tcW w:w="9480" w:type="dxa"/>
            <w:gridSpan w:val="6"/>
            <w:tcBorders>
              <w:bottom w:val="single" w:sz="8" w:space="0" w:color="auto"/>
            </w:tcBorders>
          </w:tcPr>
          <w:p w14:paraId="3A4FB0C3" w14:textId="77777777" w:rsidR="008F364A" w:rsidRPr="000B4231" w:rsidRDefault="008F364A" w:rsidP="00703929">
            <w:pPr>
              <w:spacing w:line="240" w:lineRule="auto"/>
              <w:rPr>
                <w:lang w:val="en-CA"/>
              </w:rPr>
            </w:pPr>
          </w:p>
        </w:tc>
      </w:tr>
      <w:tr w:rsidR="008F364A" w:rsidRPr="000B4231" w14:paraId="1C91F154" w14:textId="77777777" w:rsidTr="00D86890">
        <w:tc>
          <w:tcPr>
            <w:tcW w:w="9480" w:type="dxa"/>
            <w:gridSpan w:val="6"/>
            <w:tcBorders>
              <w:top w:val="single" w:sz="8" w:space="0" w:color="auto"/>
            </w:tcBorders>
          </w:tcPr>
          <w:p w14:paraId="2329FB14" w14:textId="77777777" w:rsidR="008F364A" w:rsidRPr="000B4231" w:rsidRDefault="008F364A" w:rsidP="00703929">
            <w:pPr>
              <w:spacing w:line="240" w:lineRule="auto"/>
              <w:rPr>
                <w:lang w:val="en-CA"/>
              </w:rPr>
            </w:pPr>
          </w:p>
        </w:tc>
      </w:tr>
    </w:tbl>
    <w:p w14:paraId="25E3ECCC" w14:textId="70B06071" w:rsidR="00C721F2" w:rsidRPr="000B4231" w:rsidRDefault="0053699A" w:rsidP="00C721F2">
      <w:pPr>
        <w:tabs>
          <w:tab w:val="left" w:pos="630"/>
        </w:tabs>
        <w:spacing w:after="120" w:line="240" w:lineRule="auto"/>
        <w:jc w:val="both"/>
        <w:rPr>
          <w:rFonts w:asciiTheme="minorHAnsi" w:eastAsiaTheme="minorHAnsi" w:hAnsiTheme="minorHAnsi" w:cstheme="minorHAnsi"/>
          <w:b/>
          <w:szCs w:val="24"/>
          <w:lang w:val="en-CA" w:eastAsia="en-US"/>
        </w:rPr>
      </w:pPr>
      <w:r w:rsidRPr="000B4231">
        <w:rPr>
          <w:rFonts w:asciiTheme="minorHAnsi" w:eastAsiaTheme="minorHAnsi" w:hAnsiTheme="minorHAnsi" w:cstheme="minorHAnsi"/>
          <w:b/>
          <w:szCs w:val="24"/>
          <w:lang w:val="en-CA" w:eastAsia="en-US"/>
        </w:rPr>
        <w:t>NOTICE</w:t>
      </w:r>
      <w:r w:rsidR="00C721F2" w:rsidRPr="000B4231">
        <w:rPr>
          <w:rFonts w:asciiTheme="minorHAnsi" w:eastAsiaTheme="minorHAnsi" w:hAnsiTheme="minorHAnsi" w:cstheme="minorHAnsi"/>
          <w:b/>
          <w:szCs w:val="24"/>
          <w:lang w:val="en-CA" w:eastAsia="en-US"/>
        </w:rPr>
        <w:t xml:space="preserve">: </w:t>
      </w:r>
      <w:r w:rsidR="000B4231">
        <w:rPr>
          <w:rFonts w:asciiTheme="minorHAnsi" w:eastAsiaTheme="minorHAnsi" w:hAnsiTheme="minorHAnsi" w:cstheme="minorHAnsi"/>
          <w:b/>
          <w:szCs w:val="24"/>
          <w:lang w:val="en-CA" w:eastAsia="en-US"/>
        </w:rPr>
        <w:t>On February 21, 2019, t</w:t>
      </w:r>
      <w:r w:rsidRPr="000B4231">
        <w:rPr>
          <w:rFonts w:asciiTheme="minorHAnsi" w:eastAsiaTheme="minorHAnsi" w:hAnsiTheme="minorHAnsi" w:cstheme="minorHAnsi"/>
          <w:b/>
          <w:szCs w:val="24"/>
          <w:lang w:val="en-CA" w:eastAsia="en-US"/>
        </w:rPr>
        <w:t xml:space="preserve">he Honourable Ann-Marie Jones, J.C.Q., made an order under s. </w:t>
      </w:r>
      <w:r w:rsidR="00017AB5" w:rsidRPr="000B4231">
        <w:rPr>
          <w:rFonts w:asciiTheme="minorHAnsi" w:eastAsiaTheme="minorHAnsi" w:hAnsiTheme="minorHAnsi" w:cstheme="minorHAnsi"/>
          <w:b/>
          <w:szCs w:val="24"/>
          <w:lang w:val="en-CA" w:eastAsia="en-US"/>
        </w:rPr>
        <w:t xml:space="preserve">121 of the </w:t>
      </w:r>
      <w:r w:rsidR="00017AB5" w:rsidRPr="000B4231">
        <w:rPr>
          <w:rFonts w:asciiTheme="minorHAnsi" w:eastAsiaTheme="minorHAnsi" w:hAnsiTheme="minorHAnsi" w:cstheme="minorHAnsi"/>
          <w:b/>
          <w:i/>
          <w:szCs w:val="24"/>
          <w:lang w:val="en-CA" w:eastAsia="en-US"/>
        </w:rPr>
        <w:t>Charter of Human Rights and Freedoms</w:t>
      </w:r>
      <w:r w:rsidR="00017AB5" w:rsidRPr="000B4231">
        <w:rPr>
          <w:rFonts w:asciiTheme="minorHAnsi" w:eastAsiaTheme="minorHAnsi" w:hAnsiTheme="minorHAnsi" w:cstheme="minorHAnsi"/>
          <w:b/>
          <w:szCs w:val="24"/>
          <w:lang w:val="en-CA" w:eastAsia="en-US"/>
        </w:rPr>
        <w:t xml:space="preserve"> </w:t>
      </w:r>
      <w:r w:rsidRPr="000B4231">
        <w:rPr>
          <w:rFonts w:asciiTheme="minorHAnsi" w:eastAsiaTheme="minorHAnsi" w:hAnsiTheme="minorHAnsi" w:cstheme="minorHAnsi"/>
          <w:b/>
          <w:szCs w:val="24"/>
          <w:lang w:val="en-CA" w:eastAsia="en-US"/>
        </w:rPr>
        <w:t xml:space="preserve">that the </w:t>
      </w:r>
      <w:r w:rsidR="000B4231">
        <w:rPr>
          <w:rFonts w:asciiTheme="minorHAnsi" w:eastAsiaTheme="minorHAnsi" w:hAnsiTheme="minorHAnsi" w:cstheme="minorHAnsi"/>
          <w:b/>
          <w:szCs w:val="24"/>
          <w:lang w:val="en-CA" w:eastAsia="en-US"/>
        </w:rPr>
        <w:t>complainant</w:t>
      </w:r>
      <w:r w:rsidR="000B4231" w:rsidRPr="000B4231">
        <w:rPr>
          <w:rFonts w:asciiTheme="minorHAnsi" w:eastAsiaTheme="minorHAnsi" w:hAnsiTheme="minorHAnsi" w:cstheme="minorHAnsi"/>
          <w:b/>
          <w:szCs w:val="24"/>
          <w:lang w:val="en-CA" w:eastAsia="en-US"/>
        </w:rPr>
        <w:t xml:space="preserve"> </w:t>
      </w:r>
      <w:r w:rsidRPr="000B4231">
        <w:rPr>
          <w:rFonts w:asciiTheme="minorHAnsi" w:eastAsiaTheme="minorHAnsi" w:hAnsiTheme="minorHAnsi" w:cstheme="minorHAnsi"/>
          <w:b/>
          <w:szCs w:val="24"/>
          <w:lang w:val="en-CA" w:eastAsia="en-US"/>
        </w:rPr>
        <w:t>be identified by the initi</w:t>
      </w:r>
      <w:r w:rsidR="00C721F2" w:rsidRPr="000B4231">
        <w:rPr>
          <w:rFonts w:asciiTheme="minorHAnsi" w:eastAsiaTheme="minorHAnsi" w:hAnsiTheme="minorHAnsi" w:cstheme="minorHAnsi"/>
          <w:b/>
          <w:szCs w:val="24"/>
          <w:lang w:val="en-CA" w:eastAsia="en-US"/>
        </w:rPr>
        <w:t>a</w:t>
      </w:r>
      <w:r w:rsidRPr="000B4231">
        <w:rPr>
          <w:rFonts w:asciiTheme="minorHAnsi" w:eastAsiaTheme="minorHAnsi" w:hAnsiTheme="minorHAnsi" w:cstheme="minorHAnsi"/>
          <w:b/>
          <w:szCs w:val="24"/>
          <w:lang w:val="en-CA" w:eastAsia="en-US"/>
        </w:rPr>
        <w:t>ls</w:t>
      </w:r>
      <w:r w:rsidR="00C721F2" w:rsidRPr="000B4231">
        <w:rPr>
          <w:rFonts w:asciiTheme="minorHAnsi" w:eastAsiaTheme="minorHAnsi" w:hAnsiTheme="minorHAnsi" w:cstheme="minorHAnsi"/>
          <w:b/>
          <w:szCs w:val="24"/>
          <w:lang w:val="en-CA" w:eastAsia="en-US"/>
        </w:rPr>
        <w:t xml:space="preserve"> T.J.R.</w:t>
      </w:r>
    </w:p>
    <w:p w14:paraId="34001A50" w14:textId="283296DF" w:rsidR="00207F47" w:rsidRPr="0003572B" w:rsidRDefault="0053699A" w:rsidP="00703929">
      <w:pPr>
        <w:pStyle w:val="Paragraphe"/>
        <w:spacing w:line="240" w:lineRule="auto"/>
        <w:rPr>
          <w:lang w:val="en-CA"/>
        </w:rPr>
      </w:pPr>
      <w:r w:rsidRPr="000B4231">
        <w:rPr>
          <w:lang w:val="en-CA"/>
        </w:rPr>
        <w:t>The appellant</w:t>
      </w:r>
      <w:r w:rsidR="00207F47" w:rsidRPr="000B4231">
        <w:rPr>
          <w:lang w:val="en-CA"/>
        </w:rPr>
        <w:t xml:space="preserve">, Commission des droits de la personne </w:t>
      </w:r>
      <w:r w:rsidRPr="000B4231">
        <w:rPr>
          <w:lang w:val="en-CA"/>
        </w:rPr>
        <w:t xml:space="preserve">et des droits de la jeunesse (the </w:t>
      </w:r>
      <w:r w:rsidR="007F2816">
        <w:rPr>
          <w:lang w:val="en-CA"/>
        </w:rPr>
        <w:t>“</w:t>
      </w:r>
      <w:r w:rsidRPr="000B4231">
        <w:rPr>
          <w:lang w:val="en-CA"/>
        </w:rPr>
        <w:t>Commission</w:t>
      </w:r>
      <w:r w:rsidR="007F2816">
        <w:rPr>
          <w:lang w:val="en-CA"/>
        </w:rPr>
        <w:t>”</w:t>
      </w:r>
      <w:r w:rsidR="00207F47" w:rsidRPr="000B4231">
        <w:rPr>
          <w:lang w:val="en-CA"/>
        </w:rPr>
        <w:t>), a</w:t>
      </w:r>
      <w:r w:rsidRPr="000B4231">
        <w:rPr>
          <w:lang w:val="en-CA"/>
        </w:rPr>
        <w:t xml:space="preserve">cting in the public interest and on behalf of the </w:t>
      </w:r>
      <w:r w:rsidR="005A6529" w:rsidRPr="000B4231">
        <w:rPr>
          <w:lang w:val="en-CA"/>
        </w:rPr>
        <w:t>complainant</w:t>
      </w:r>
      <w:r w:rsidRPr="000B4231">
        <w:rPr>
          <w:lang w:val="en-CA"/>
        </w:rPr>
        <w:t>, appeal</w:t>
      </w:r>
      <w:r w:rsidR="007F2816">
        <w:rPr>
          <w:lang w:val="en-CA"/>
        </w:rPr>
        <w:t>s</w:t>
      </w:r>
      <w:r w:rsidRPr="000B4231">
        <w:rPr>
          <w:lang w:val="en-CA"/>
        </w:rPr>
        <w:t xml:space="preserve"> from a judgment rendered by the </w:t>
      </w:r>
      <w:r w:rsidR="00207F47" w:rsidRPr="000B4231">
        <w:rPr>
          <w:lang w:val="en-CA"/>
        </w:rPr>
        <w:t>Tribunal des droits de la personne</w:t>
      </w:r>
      <w:r w:rsidR="00A37223" w:rsidRPr="000B4231">
        <w:rPr>
          <w:lang w:val="en-CA"/>
        </w:rPr>
        <w:t xml:space="preserve">, </w:t>
      </w:r>
      <w:r w:rsidR="007F2816">
        <w:rPr>
          <w:lang w:val="en-CA"/>
        </w:rPr>
        <w:t>D</w:t>
      </w:r>
      <w:r w:rsidRPr="000B4231">
        <w:rPr>
          <w:lang w:val="en-CA"/>
        </w:rPr>
        <w:t>istrict of Montre</w:t>
      </w:r>
      <w:r w:rsidR="00A37223" w:rsidRPr="000B4231">
        <w:rPr>
          <w:lang w:val="en-CA"/>
        </w:rPr>
        <w:t>al</w:t>
      </w:r>
      <w:r w:rsidRPr="000B4231">
        <w:rPr>
          <w:lang w:val="en-CA"/>
        </w:rPr>
        <w:t xml:space="preserve"> (</w:t>
      </w:r>
      <w:r w:rsidR="007F2816">
        <w:rPr>
          <w:lang w:val="en-CA"/>
        </w:rPr>
        <w:t xml:space="preserve">the </w:t>
      </w:r>
      <w:r w:rsidRPr="000B4231">
        <w:rPr>
          <w:lang w:val="en-CA"/>
        </w:rPr>
        <w:t>H</w:t>
      </w:r>
      <w:r w:rsidR="00207F47" w:rsidRPr="000B4231">
        <w:rPr>
          <w:lang w:val="en-CA"/>
        </w:rPr>
        <w:t>ono</w:t>
      </w:r>
      <w:r w:rsidRPr="000B4231">
        <w:rPr>
          <w:lang w:val="en-CA"/>
        </w:rPr>
        <w:t>u</w:t>
      </w:r>
      <w:r w:rsidR="00207F47" w:rsidRPr="000B4231">
        <w:rPr>
          <w:lang w:val="en-CA"/>
        </w:rPr>
        <w:t>rable Doris Thibault</w:t>
      </w:r>
      <w:r w:rsidRPr="000B4231">
        <w:rPr>
          <w:lang w:val="en-CA"/>
        </w:rPr>
        <w:t xml:space="preserve">) (the </w:t>
      </w:r>
      <w:r w:rsidR="007F2816">
        <w:rPr>
          <w:lang w:val="en-CA"/>
        </w:rPr>
        <w:t>“</w:t>
      </w:r>
      <w:r w:rsidRPr="000B4231">
        <w:rPr>
          <w:lang w:val="en-CA"/>
        </w:rPr>
        <w:t>Tribunal</w:t>
      </w:r>
      <w:r w:rsidR="007F2816">
        <w:rPr>
          <w:lang w:val="en-CA"/>
        </w:rPr>
        <w:t>”</w:t>
      </w:r>
      <w:r w:rsidR="00A37223" w:rsidRPr="000B4231">
        <w:rPr>
          <w:lang w:val="en-CA"/>
        </w:rPr>
        <w:t>)</w:t>
      </w:r>
      <w:r w:rsidRPr="000B4231">
        <w:rPr>
          <w:lang w:val="en-CA"/>
        </w:rPr>
        <w:t xml:space="preserve"> on November 13, 2020</w:t>
      </w:r>
      <w:r w:rsidR="00207F47" w:rsidRPr="000B4231">
        <w:rPr>
          <w:lang w:val="en-CA"/>
        </w:rPr>
        <w:t xml:space="preserve">, </w:t>
      </w:r>
      <w:r w:rsidRPr="000B4231">
        <w:rPr>
          <w:lang w:val="en-CA"/>
        </w:rPr>
        <w:t>which partiall</w:t>
      </w:r>
      <w:r w:rsidR="00017AB5" w:rsidRPr="000B4231">
        <w:rPr>
          <w:lang w:val="en-CA"/>
        </w:rPr>
        <w:t>y dismissed his</w:t>
      </w:r>
      <w:r w:rsidRPr="000B4231">
        <w:rPr>
          <w:lang w:val="en-CA"/>
        </w:rPr>
        <w:t xml:space="preserve"> originating application and concluded that the refusal of the </w:t>
      </w:r>
      <w:r w:rsidR="00207F47" w:rsidRPr="000B4231">
        <w:rPr>
          <w:lang w:val="en-CA"/>
        </w:rPr>
        <w:t>S</w:t>
      </w:r>
      <w:r w:rsidR="00FF32AD" w:rsidRPr="000B4231">
        <w:rPr>
          <w:lang w:val="en-CA"/>
        </w:rPr>
        <w:t>û</w:t>
      </w:r>
      <w:r w:rsidRPr="000B4231">
        <w:rPr>
          <w:lang w:val="en-CA"/>
        </w:rPr>
        <w:t xml:space="preserve">reté du </w:t>
      </w:r>
      <w:r w:rsidRPr="000B4231">
        <w:rPr>
          <w:lang w:val="en-CA"/>
        </w:rPr>
        <w:lastRenderedPageBreak/>
        <w:t>Québec (SQ</w:t>
      </w:r>
      <w:r w:rsidR="00207F47" w:rsidRPr="000B4231">
        <w:rPr>
          <w:lang w:val="en-CA"/>
        </w:rPr>
        <w:t xml:space="preserve">) </w:t>
      </w:r>
      <w:r w:rsidR="005A6529" w:rsidRPr="000B4231">
        <w:rPr>
          <w:lang w:val="en-CA"/>
        </w:rPr>
        <w:t>to hire the complain</w:t>
      </w:r>
      <w:r w:rsidRPr="000B4231">
        <w:rPr>
          <w:lang w:val="en-CA"/>
        </w:rPr>
        <w:t>ant was not discriminatory and</w:t>
      </w:r>
      <w:r w:rsidR="007F2816">
        <w:rPr>
          <w:lang w:val="en-CA"/>
        </w:rPr>
        <w:t xml:space="preserve"> that it</w:t>
      </w:r>
      <w:r w:rsidRPr="000B4231">
        <w:rPr>
          <w:lang w:val="en-CA"/>
        </w:rPr>
        <w:t xml:space="preserve"> was warranted by</w:t>
      </w:r>
      <w:r w:rsidR="005A6529" w:rsidRPr="000B4231">
        <w:rPr>
          <w:lang w:val="en-CA"/>
        </w:rPr>
        <w:t xml:space="preserve"> the false statements the complain</w:t>
      </w:r>
      <w:r w:rsidRPr="000B4231">
        <w:rPr>
          <w:lang w:val="en-CA"/>
        </w:rPr>
        <w:t xml:space="preserve">ant </w:t>
      </w:r>
      <w:r w:rsidR="007F2816">
        <w:rPr>
          <w:lang w:val="en-CA"/>
        </w:rPr>
        <w:t xml:space="preserve">had </w:t>
      </w:r>
      <w:r w:rsidRPr="000B4231">
        <w:rPr>
          <w:lang w:val="en-CA"/>
        </w:rPr>
        <w:t>made during the hiring process.</w:t>
      </w:r>
      <w:r w:rsidR="00207F47" w:rsidRPr="0003572B">
        <w:rPr>
          <w:rStyle w:val="Appelnotedebasdep"/>
          <w:lang w:val="en-CA"/>
        </w:rPr>
        <w:footnoteReference w:id="1"/>
      </w:r>
      <w:r w:rsidR="00207F47" w:rsidRPr="0003572B">
        <w:rPr>
          <w:lang w:val="en-CA"/>
        </w:rPr>
        <w:t xml:space="preserve"> </w:t>
      </w:r>
    </w:p>
    <w:p w14:paraId="02FE3E7E" w14:textId="77777777" w:rsidR="00207F47" w:rsidRPr="0003572B" w:rsidRDefault="0053699A" w:rsidP="00703929">
      <w:pPr>
        <w:pStyle w:val="Paragraphe"/>
        <w:spacing w:line="240" w:lineRule="auto"/>
        <w:rPr>
          <w:lang w:val="en-CA"/>
        </w:rPr>
      </w:pPr>
      <w:r w:rsidRPr="0003572B">
        <w:rPr>
          <w:lang w:val="en-CA"/>
        </w:rPr>
        <w:t>The appeal is dismissed for the reasons given below</w:t>
      </w:r>
      <w:r w:rsidR="00207F47" w:rsidRPr="0003572B">
        <w:rPr>
          <w:lang w:val="en-CA"/>
        </w:rPr>
        <w:t>.</w:t>
      </w:r>
    </w:p>
    <w:p w14:paraId="6EB00990" w14:textId="77777777" w:rsidR="00207F47" w:rsidRPr="0003572B" w:rsidRDefault="0053699A" w:rsidP="00703929">
      <w:pPr>
        <w:pStyle w:val="Paragraphe"/>
        <w:numPr>
          <w:ilvl w:val="0"/>
          <w:numId w:val="0"/>
        </w:numPr>
        <w:spacing w:line="240" w:lineRule="auto"/>
        <w:rPr>
          <w:b/>
          <w:bCs/>
          <w:lang w:val="en-CA"/>
        </w:rPr>
      </w:pPr>
      <w:r w:rsidRPr="0003572B">
        <w:rPr>
          <w:b/>
          <w:bCs/>
          <w:lang w:val="en-CA"/>
        </w:rPr>
        <w:t>BACKGROUND</w:t>
      </w:r>
      <w:r w:rsidR="00207F47" w:rsidRPr="0003572B">
        <w:rPr>
          <w:b/>
          <w:bCs/>
          <w:lang w:val="en-CA"/>
        </w:rPr>
        <w:t> </w:t>
      </w:r>
    </w:p>
    <w:p w14:paraId="726BD671" w14:textId="77777777" w:rsidR="00207F47" w:rsidRPr="0003572B" w:rsidRDefault="0053699A" w:rsidP="00703929">
      <w:pPr>
        <w:pStyle w:val="Paragraphe"/>
        <w:spacing w:line="240" w:lineRule="auto"/>
        <w:rPr>
          <w:lang w:val="en-CA"/>
        </w:rPr>
      </w:pPr>
      <w:r w:rsidRPr="0003572B">
        <w:rPr>
          <w:lang w:val="en-CA"/>
        </w:rPr>
        <w:t>The facts are not in dispute.</w:t>
      </w:r>
    </w:p>
    <w:p w14:paraId="2E0EAB02" w14:textId="7652D0BD" w:rsidR="00207F47" w:rsidRPr="00EB755F" w:rsidRDefault="005A6529" w:rsidP="00703929">
      <w:pPr>
        <w:pStyle w:val="Paragraphe"/>
        <w:spacing w:line="240" w:lineRule="auto"/>
        <w:rPr>
          <w:lang w:val="en-CA"/>
        </w:rPr>
      </w:pPr>
      <w:r w:rsidRPr="0003572B">
        <w:rPr>
          <w:lang w:val="en-CA"/>
        </w:rPr>
        <w:t>The complain</w:t>
      </w:r>
      <w:r w:rsidR="00017AB5" w:rsidRPr="0003572B">
        <w:rPr>
          <w:lang w:val="en-CA"/>
        </w:rPr>
        <w:t xml:space="preserve">ant is afflicted with Tourette </w:t>
      </w:r>
      <w:r w:rsidR="007F2816">
        <w:rPr>
          <w:lang w:val="en-CA"/>
        </w:rPr>
        <w:t>S</w:t>
      </w:r>
      <w:r w:rsidR="00017AB5" w:rsidRPr="0003572B">
        <w:rPr>
          <w:lang w:val="en-CA"/>
        </w:rPr>
        <w:t>yndrome (</w:t>
      </w:r>
      <w:r w:rsidR="007F2816">
        <w:rPr>
          <w:lang w:val="en-CA"/>
        </w:rPr>
        <w:t>“</w:t>
      </w:r>
      <w:r w:rsidR="00017AB5" w:rsidRPr="0003572B">
        <w:rPr>
          <w:lang w:val="en-CA"/>
        </w:rPr>
        <w:t>TS</w:t>
      </w:r>
      <w:r w:rsidR="007F2816">
        <w:rPr>
          <w:lang w:val="en-CA"/>
        </w:rPr>
        <w:t>”</w:t>
      </w:r>
      <w:r w:rsidR="00017AB5" w:rsidRPr="0003572B">
        <w:rPr>
          <w:lang w:val="en-CA"/>
        </w:rPr>
        <w:t>), diagnosed when he was 7. The syndrom</w:t>
      </w:r>
      <w:r w:rsidRPr="0003572B">
        <w:rPr>
          <w:lang w:val="en-CA"/>
        </w:rPr>
        <w:t>e is characterized by rare</w:t>
      </w:r>
      <w:r w:rsidR="00017AB5" w:rsidRPr="0003572B">
        <w:rPr>
          <w:lang w:val="en-CA"/>
        </w:rPr>
        <w:t xml:space="preserve"> vocal tics that are largely c</w:t>
      </w:r>
      <w:r w:rsidR="00FF149E" w:rsidRPr="0003572B">
        <w:rPr>
          <w:lang w:val="en-CA"/>
        </w:rPr>
        <w:t xml:space="preserve">ontrolled and </w:t>
      </w:r>
      <w:r w:rsidR="00017AB5" w:rsidRPr="0003572B">
        <w:rPr>
          <w:lang w:val="en-CA"/>
        </w:rPr>
        <w:t>motor tics in the form of occasional eye blinking. He has none of the co</w:t>
      </w:r>
      <w:r w:rsidR="007F2816">
        <w:rPr>
          <w:lang w:val="en-CA"/>
        </w:rPr>
        <w:t>morbidities</w:t>
      </w:r>
      <w:r w:rsidR="00017AB5" w:rsidRPr="0003572B">
        <w:rPr>
          <w:lang w:val="en-CA"/>
        </w:rPr>
        <w:t xml:space="preserve"> frequently associated with the syndrome</w:t>
      </w:r>
      <w:r w:rsidR="00207F47" w:rsidRPr="0003572B">
        <w:rPr>
          <w:lang w:val="en-CA"/>
        </w:rPr>
        <w:t>: attention</w:t>
      </w:r>
      <w:r w:rsidR="00017AB5" w:rsidRPr="0003572B">
        <w:rPr>
          <w:lang w:val="en-CA"/>
        </w:rPr>
        <w:t xml:space="preserve"> deficit</w:t>
      </w:r>
      <w:r w:rsidR="00207F47" w:rsidRPr="0003572B">
        <w:rPr>
          <w:lang w:val="en-CA"/>
        </w:rPr>
        <w:t>, comp</w:t>
      </w:r>
      <w:r w:rsidR="00017AB5" w:rsidRPr="0003572B">
        <w:rPr>
          <w:lang w:val="en-CA"/>
        </w:rPr>
        <w:t xml:space="preserve">ulsive behaviour, sleep or personality disorders, </w:t>
      </w:r>
      <w:r w:rsidR="00A37223" w:rsidRPr="0003572B">
        <w:rPr>
          <w:lang w:val="en-CA"/>
        </w:rPr>
        <w:t>etc</w:t>
      </w:r>
      <w:r w:rsidR="00207F47" w:rsidRPr="0003572B">
        <w:rPr>
          <w:lang w:val="en-CA"/>
        </w:rPr>
        <w:t xml:space="preserve">. </w:t>
      </w:r>
      <w:r w:rsidR="00017AB5" w:rsidRPr="0003572B">
        <w:rPr>
          <w:lang w:val="en-CA"/>
        </w:rPr>
        <w:t>The evidence also show</w:t>
      </w:r>
      <w:r w:rsidR="007F2816">
        <w:rPr>
          <w:lang w:val="en-CA"/>
        </w:rPr>
        <w:t>s</w:t>
      </w:r>
      <w:r w:rsidR="00017AB5" w:rsidRPr="0003572B">
        <w:rPr>
          <w:lang w:val="en-CA"/>
        </w:rPr>
        <w:t xml:space="preserve"> that he has never been treated for </w:t>
      </w:r>
      <w:r w:rsidR="007F2816">
        <w:rPr>
          <w:lang w:val="en-CA"/>
        </w:rPr>
        <w:t>this</w:t>
      </w:r>
      <w:r w:rsidR="007F2816" w:rsidRPr="00EB755F">
        <w:rPr>
          <w:lang w:val="en-CA"/>
        </w:rPr>
        <w:t xml:space="preserve"> </w:t>
      </w:r>
      <w:r w:rsidR="00207F47" w:rsidRPr="00EB755F">
        <w:rPr>
          <w:lang w:val="en-CA"/>
        </w:rPr>
        <w:t>condition.</w:t>
      </w:r>
    </w:p>
    <w:p w14:paraId="03C32C3E" w14:textId="77777777" w:rsidR="00207F47" w:rsidRPr="00EB755F" w:rsidRDefault="00207F47" w:rsidP="00703929">
      <w:pPr>
        <w:pStyle w:val="Paragraphe"/>
        <w:spacing w:line="240" w:lineRule="auto"/>
        <w:rPr>
          <w:lang w:val="en-CA"/>
        </w:rPr>
      </w:pPr>
      <w:r w:rsidRPr="00EB755F">
        <w:rPr>
          <w:lang w:val="en-CA"/>
        </w:rPr>
        <w:t>A</w:t>
      </w:r>
      <w:r w:rsidR="00DE54B5" w:rsidRPr="00EB755F">
        <w:rPr>
          <w:lang w:val="en-CA"/>
        </w:rPr>
        <w:t>fter working for the Canadian Army and as a</w:t>
      </w:r>
      <w:r w:rsidR="005A6529" w:rsidRPr="00EB755F">
        <w:rPr>
          <w:lang w:val="en-CA"/>
        </w:rPr>
        <w:t xml:space="preserve"> corrections officer, the complain</w:t>
      </w:r>
      <w:r w:rsidR="00DE54B5" w:rsidRPr="00EB755F">
        <w:rPr>
          <w:lang w:val="en-CA"/>
        </w:rPr>
        <w:t>ant wanted to pursue a career as an SQ officer. He submitted his application and began the long, multi-step recruitment process.</w:t>
      </w:r>
    </w:p>
    <w:p w14:paraId="7185090F" w14:textId="50AC1B82" w:rsidR="00207F47" w:rsidRPr="0003572B" w:rsidRDefault="00C405B9" w:rsidP="00703929">
      <w:pPr>
        <w:pStyle w:val="Paragraphe"/>
        <w:spacing w:line="240" w:lineRule="auto"/>
        <w:rPr>
          <w:lang w:val="en-CA"/>
        </w:rPr>
      </w:pPr>
      <w:r w:rsidRPr="00EB755F">
        <w:rPr>
          <w:lang w:val="en-CA"/>
        </w:rPr>
        <w:t>The applicants start with an assessment day</w:t>
      </w:r>
      <w:r w:rsidR="007F2816">
        <w:rPr>
          <w:lang w:val="en-CA"/>
        </w:rPr>
        <w:t>,</w:t>
      </w:r>
      <w:r w:rsidRPr="00EB755F">
        <w:rPr>
          <w:lang w:val="en-CA"/>
        </w:rPr>
        <w:t xml:space="preserve"> during which they undergo four pre-selection tests: </w:t>
      </w:r>
      <w:r w:rsidR="00237820" w:rsidRPr="00EB755F">
        <w:rPr>
          <w:lang w:val="en-CA"/>
        </w:rPr>
        <w:t>a personality test, a psychometric test, a situational judgment test</w:t>
      </w:r>
      <w:r w:rsidR="007F2816">
        <w:rPr>
          <w:lang w:val="en-CA"/>
        </w:rPr>
        <w:t>,</w:t>
      </w:r>
      <w:r w:rsidR="00237820" w:rsidRPr="00EB755F">
        <w:rPr>
          <w:lang w:val="en-CA"/>
        </w:rPr>
        <w:t xml:space="preserve"> and a ca</w:t>
      </w:r>
      <w:r w:rsidR="00FF149E" w:rsidRPr="00EB755F">
        <w:rPr>
          <w:lang w:val="en-CA"/>
        </w:rPr>
        <w:t>se study. If they pass them all</w:t>
      </w:r>
      <w:r w:rsidR="007F2816">
        <w:rPr>
          <w:lang w:val="en-CA"/>
        </w:rPr>
        <w:t>,</w:t>
      </w:r>
      <w:r w:rsidR="00237820" w:rsidRPr="00EB755F">
        <w:rPr>
          <w:lang w:val="en-CA"/>
        </w:rPr>
        <w:t xml:space="preserve"> they then have to undergo physical and medical </w:t>
      </w:r>
      <w:r w:rsidR="00390134" w:rsidRPr="00EB755F">
        <w:rPr>
          <w:lang w:val="en-CA"/>
        </w:rPr>
        <w:t xml:space="preserve">examinations </w:t>
      </w:r>
      <w:r w:rsidR="00237820" w:rsidRPr="00EB755F">
        <w:rPr>
          <w:lang w:val="en-CA"/>
        </w:rPr>
        <w:t xml:space="preserve">preceded by a medical </w:t>
      </w:r>
      <w:r w:rsidR="00207F47" w:rsidRPr="00EB755F">
        <w:rPr>
          <w:lang w:val="en-CA"/>
        </w:rPr>
        <w:t xml:space="preserve">questionnaire </w:t>
      </w:r>
      <w:r w:rsidR="00237820" w:rsidRPr="00EB755F">
        <w:rPr>
          <w:lang w:val="en-CA"/>
        </w:rPr>
        <w:t xml:space="preserve">drawn up by the </w:t>
      </w:r>
      <w:r w:rsidR="00207F47" w:rsidRPr="00EB755F">
        <w:rPr>
          <w:lang w:val="en-CA"/>
        </w:rPr>
        <w:t>M</w:t>
      </w:r>
      <w:r w:rsidR="009C713F" w:rsidRPr="00EB755F">
        <w:rPr>
          <w:lang w:val="en-CA"/>
        </w:rPr>
        <w:t>e</w:t>
      </w:r>
      <w:r w:rsidR="00207F47" w:rsidRPr="00EB755F">
        <w:rPr>
          <w:lang w:val="en-CA"/>
        </w:rPr>
        <w:t>disys</w:t>
      </w:r>
      <w:r w:rsidR="00237820" w:rsidRPr="00EB755F">
        <w:rPr>
          <w:lang w:val="en-CA"/>
        </w:rPr>
        <w:t xml:space="preserve"> clinic</w:t>
      </w:r>
      <w:r w:rsidR="00207F47" w:rsidRPr="00EB755F">
        <w:rPr>
          <w:lang w:val="en-CA"/>
        </w:rPr>
        <w:t xml:space="preserve">. </w:t>
      </w:r>
      <w:r w:rsidR="00237820" w:rsidRPr="00EB755F">
        <w:rPr>
          <w:lang w:val="en-CA"/>
        </w:rPr>
        <w:t>They also have to answer questions in a pre-</w:t>
      </w:r>
      <w:r w:rsidR="0097767C" w:rsidRPr="00EB755F">
        <w:rPr>
          <w:lang w:val="en-CA"/>
        </w:rPr>
        <w:t>employment</w:t>
      </w:r>
      <w:r w:rsidR="00237820" w:rsidRPr="00EB755F">
        <w:rPr>
          <w:lang w:val="en-CA"/>
        </w:rPr>
        <w:t xml:space="preserve"> questionnaire</w:t>
      </w:r>
      <w:r w:rsidR="00207F47" w:rsidRPr="00EB755F">
        <w:rPr>
          <w:lang w:val="en-CA"/>
        </w:rPr>
        <w:t xml:space="preserve">. </w:t>
      </w:r>
      <w:r w:rsidR="00237820" w:rsidRPr="00EB755F">
        <w:rPr>
          <w:lang w:val="en-CA"/>
        </w:rPr>
        <w:t>After that</w:t>
      </w:r>
      <w:r w:rsidR="007F2816">
        <w:rPr>
          <w:lang w:val="en-CA"/>
        </w:rPr>
        <w:t>,</w:t>
      </w:r>
      <w:r w:rsidR="00237820" w:rsidRPr="00EB755F">
        <w:rPr>
          <w:lang w:val="en-CA"/>
        </w:rPr>
        <w:t xml:space="preserve"> an investigator </w:t>
      </w:r>
      <w:r w:rsidR="00FF149E" w:rsidRPr="00EB755F">
        <w:rPr>
          <w:lang w:val="en-CA"/>
        </w:rPr>
        <w:t xml:space="preserve">conducts </w:t>
      </w:r>
      <w:r w:rsidR="00237820" w:rsidRPr="00EB755F">
        <w:rPr>
          <w:lang w:val="en-CA"/>
        </w:rPr>
        <w:t xml:space="preserve">a security </w:t>
      </w:r>
      <w:r w:rsidR="004222AA">
        <w:rPr>
          <w:lang w:val="en-CA"/>
        </w:rPr>
        <w:t>screening</w:t>
      </w:r>
      <w:r w:rsidR="004222AA" w:rsidRPr="0003572B">
        <w:rPr>
          <w:lang w:val="en-CA"/>
        </w:rPr>
        <w:t xml:space="preserve"> </w:t>
      </w:r>
      <w:r w:rsidR="00237820" w:rsidRPr="0003572B">
        <w:rPr>
          <w:lang w:val="en-CA"/>
        </w:rPr>
        <w:t xml:space="preserve">and an interview in which all the information provided by the applicants is reviewed. Upon recommendation of the </w:t>
      </w:r>
      <w:r w:rsidR="00207F47" w:rsidRPr="0003572B">
        <w:rPr>
          <w:lang w:val="en-CA"/>
        </w:rPr>
        <w:t>SQ</w:t>
      </w:r>
      <w:r w:rsidR="004222AA">
        <w:rPr>
          <w:lang w:val="en-CA"/>
        </w:rPr>
        <w:t>,</w:t>
      </w:r>
      <w:r w:rsidR="00207F47" w:rsidRPr="0003572B">
        <w:rPr>
          <w:lang w:val="en-CA"/>
        </w:rPr>
        <w:t xml:space="preserve"> </w:t>
      </w:r>
      <w:r w:rsidR="00237820" w:rsidRPr="0003572B">
        <w:rPr>
          <w:lang w:val="en-CA"/>
        </w:rPr>
        <w:t xml:space="preserve">and with the authorization of the </w:t>
      </w:r>
      <w:proofErr w:type="spellStart"/>
      <w:r w:rsidR="00237820" w:rsidRPr="0003572B">
        <w:rPr>
          <w:lang w:val="en-CA"/>
        </w:rPr>
        <w:t>M</w:t>
      </w:r>
      <w:r w:rsidR="00207F47" w:rsidRPr="0003572B">
        <w:rPr>
          <w:lang w:val="en-CA"/>
        </w:rPr>
        <w:t>inistère</w:t>
      </w:r>
      <w:proofErr w:type="spellEnd"/>
      <w:r w:rsidR="00207F47" w:rsidRPr="0003572B">
        <w:rPr>
          <w:lang w:val="en-CA"/>
        </w:rPr>
        <w:t xml:space="preserve"> de la </w:t>
      </w:r>
      <w:proofErr w:type="spellStart"/>
      <w:r w:rsidR="00207F47" w:rsidRPr="0003572B">
        <w:rPr>
          <w:lang w:val="en-CA"/>
        </w:rPr>
        <w:t>Sécurité</w:t>
      </w:r>
      <w:proofErr w:type="spellEnd"/>
      <w:r w:rsidR="00207F47" w:rsidRPr="0003572B">
        <w:rPr>
          <w:lang w:val="en-CA"/>
        </w:rPr>
        <w:t xml:space="preserve"> </w:t>
      </w:r>
      <w:proofErr w:type="spellStart"/>
      <w:r w:rsidR="00207F47" w:rsidRPr="0003572B">
        <w:rPr>
          <w:lang w:val="en-CA"/>
        </w:rPr>
        <w:t>publique</w:t>
      </w:r>
      <w:proofErr w:type="spellEnd"/>
      <w:r w:rsidR="00237820" w:rsidRPr="0003572B">
        <w:rPr>
          <w:lang w:val="en-CA"/>
        </w:rPr>
        <w:t xml:space="preserve">, applicants who </w:t>
      </w:r>
      <w:r w:rsidR="00390134" w:rsidRPr="0003572B">
        <w:rPr>
          <w:lang w:val="en-CA"/>
        </w:rPr>
        <w:t xml:space="preserve">get through </w:t>
      </w:r>
      <w:r w:rsidR="00237820" w:rsidRPr="0003572B">
        <w:rPr>
          <w:lang w:val="en-CA"/>
        </w:rPr>
        <w:t>all those steps</w:t>
      </w:r>
      <w:r w:rsidR="00390134" w:rsidRPr="0003572B">
        <w:rPr>
          <w:lang w:val="en-CA"/>
        </w:rPr>
        <w:t xml:space="preserve"> will receive a </w:t>
      </w:r>
      <w:r w:rsidR="00390134" w:rsidRPr="00EB755F">
        <w:rPr>
          <w:lang w:val="en-US"/>
        </w:rPr>
        <w:t>promise of employment</w:t>
      </w:r>
      <w:r w:rsidR="00237820" w:rsidRPr="0003572B">
        <w:rPr>
          <w:lang w:val="en-CA"/>
        </w:rPr>
        <w:t>.</w:t>
      </w:r>
      <w:r w:rsidR="00207F47" w:rsidRPr="0003572B">
        <w:rPr>
          <w:lang w:val="en-CA"/>
        </w:rPr>
        <w:t xml:space="preserve"> </w:t>
      </w:r>
    </w:p>
    <w:p w14:paraId="17B969AE" w14:textId="265F8BE2" w:rsidR="0048684D" w:rsidRPr="0003572B" w:rsidRDefault="000837E5" w:rsidP="00703929">
      <w:pPr>
        <w:pStyle w:val="Paragraphe"/>
        <w:spacing w:line="240" w:lineRule="auto"/>
        <w:rPr>
          <w:lang w:val="en-CA"/>
        </w:rPr>
      </w:pPr>
      <w:r w:rsidRPr="0003572B">
        <w:rPr>
          <w:lang w:val="en-CA"/>
        </w:rPr>
        <w:t xml:space="preserve">Employment </w:t>
      </w:r>
      <w:r w:rsidR="00237820" w:rsidRPr="0003572B">
        <w:rPr>
          <w:lang w:val="en-CA"/>
        </w:rPr>
        <w:t>is still subject to meeting the admission criteria, obtaining an Attestation of Colleg</w:t>
      </w:r>
      <w:r w:rsidR="004222AA">
        <w:rPr>
          <w:lang w:val="en-CA"/>
        </w:rPr>
        <w:t>e</w:t>
      </w:r>
      <w:r w:rsidR="00237820" w:rsidRPr="0003572B">
        <w:rPr>
          <w:lang w:val="en-CA"/>
        </w:rPr>
        <w:t xml:space="preserve"> Studies (ACS)</w:t>
      </w:r>
      <w:r w:rsidR="004222AA">
        <w:rPr>
          <w:lang w:val="en-CA"/>
        </w:rPr>
        <w:t>,</w:t>
      </w:r>
      <w:r w:rsidR="00237820" w:rsidRPr="0003572B">
        <w:rPr>
          <w:lang w:val="en-CA"/>
        </w:rPr>
        <w:t xml:space="preserve"> and completing a 15-week internship at the </w:t>
      </w:r>
      <w:r w:rsidR="00207F47" w:rsidRPr="0003572B">
        <w:rPr>
          <w:lang w:val="en-CA"/>
        </w:rPr>
        <w:t xml:space="preserve">École </w:t>
      </w:r>
      <w:proofErr w:type="spellStart"/>
      <w:r w:rsidR="00C270E0" w:rsidRPr="0003572B">
        <w:rPr>
          <w:lang w:val="en-CA"/>
        </w:rPr>
        <w:t>n</w:t>
      </w:r>
      <w:r w:rsidR="00207F47" w:rsidRPr="0003572B">
        <w:rPr>
          <w:lang w:val="en-CA"/>
        </w:rPr>
        <w:t>ationale</w:t>
      </w:r>
      <w:proofErr w:type="spellEnd"/>
      <w:r w:rsidR="00207F47" w:rsidRPr="0003572B">
        <w:rPr>
          <w:lang w:val="en-CA"/>
        </w:rPr>
        <w:t xml:space="preserve"> de </w:t>
      </w:r>
      <w:r w:rsidR="00C270E0" w:rsidRPr="0003572B">
        <w:rPr>
          <w:lang w:val="en-CA"/>
        </w:rPr>
        <w:t>p</w:t>
      </w:r>
      <w:r w:rsidR="0048684D" w:rsidRPr="0003572B">
        <w:rPr>
          <w:lang w:val="en-CA"/>
        </w:rPr>
        <w:t>olice (ÉNPQ</w:t>
      </w:r>
      <w:r w:rsidR="00207F47" w:rsidRPr="0003572B">
        <w:rPr>
          <w:lang w:val="en-CA"/>
        </w:rPr>
        <w:t xml:space="preserve">). </w:t>
      </w:r>
      <w:r w:rsidR="0048684D" w:rsidRPr="0003572B">
        <w:rPr>
          <w:lang w:val="en-CA"/>
        </w:rPr>
        <w:t xml:space="preserve">The promise </w:t>
      </w:r>
      <w:r w:rsidR="00AC72D1">
        <w:rPr>
          <w:lang w:val="en-CA"/>
        </w:rPr>
        <w:t xml:space="preserve">of employment </w:t>
      </w:r>
      <w:r w:rsidR="0048684D" w:rsidRPr="0003572B">
        <w:rPr>
          <w:lang w:val="en-CA"/>
        </w:rPr>
        <w:t xml:space="preserve">specifies that the </w:t>
      </w:r>
      <w:r w:rsidR="00207F47" w:rsidRPr="0003572B">
        <w:rPr>
          <w:lang w:val="en-CA"/>
        </w:rPr>
        <w:t xml:space="preserve">SQ </w:t>
      </w:r>
      <w:r w:rsidRPr="0003572B">
        <w:rPr>
          <w:lang w:val="en-CA"/>
        </w:rPr>
        <w:t>reserv</w:t>
      </w:r>
      <w:r w:rsidR="0048684D" w:rsidRPr="0003572B">
        <w:rPr>
          <w:lang w:val="en-CA"/>
        </w:rPr>
        <w:t>es its right to terminate the hiring process if, for example, [</w:t>
      </w:r>
      <w:r w:rsidR="0048684D" w:rsidRPr="0003572B">
        <w:rPr>
          <w:smallCaps/>
          <w:lang w:val="en-CA"/>
        </w:rPr>
        <w:t>translation</w:t>
      </w:r>
      <w:r w:rsidR="0048684D" w:rsidRPr="0003572B">
        <w:rPr>
          <w:lang w:val="en-CA"/>
        </w:rPr>
        <w:t>] “</w:t>
      </w:r>
      <w:r w:rsidR="0048684D" w:rsidRPr="000B4231">
        <w:rPr>
          <w:lang w:val="en-CA"/>
        </w:rPr>
        <w:t xml:space="preserve">the [applicant’s] actions or the information </w:t>
      </w:r>
      <w:r w:rsidR="001354E2">
        <w:rPr>
          <w:lang w:val="en-CA"/>
        </w:rPr>
        <w:t xml:space="preserve">brought </w:t>
      </w:r>
      <w:r w:rsidR="0048684D" w:rsidRPr="000B4231">
        <w:rPr>
          <w:lang w:val="en-CA"/>
        </w:rPr>
        <w:t xml:space="preserve">to </w:t>
      </w:r>
      <w:r w:rsidR="001354E2">
        <w:rPr>
          <w:lang w:val="en-CA"/>
        </w:rPr>
        <w:t>[their] attention</w:t>
      </w:r>
      <w:r w:rsidR="0048684D" w:rsidRPr="000B4231">
        <w:rPr>
          <w:lang w:val="en-CA"/>
        </w:rPr>
        <w:t xml:space="preserve"> establish, in the opinion of the </w:t>
      </w:r>
      <w:r w:rsidR="00207F47" w:rsidRPr="0003572B">
        <w:rPr>
          <w:lang w:val="en-CA"/>
        </w:rPr>
        <w:t xml:space="preserve">Sûreté du Québec, </w:t>
      </w:r>
      <w:r w:rsidR="0048684D" w:rsidRPr="0003572B">
        <w:rPr>
          <w:lang w:val="en-CA"/>
        </w:rPr>
        <w:t xml:space="preserve">that [the applicant] does not meet its </w:t>
      </w:r>
      <w:r w:rsidR="0097767C" w:rsidRPr="0003572B">
        <w:rPr>
          <w:lang w:val="en-CA"/>
        </w:rPr>
        <w:t>employment</w:t>
      </w:r>
      <w:r w:rsidR="0048684D" w:rsidRPr="0003572B">
        <w:rPr>
          <w:lang w:val="en-CA"/>
        </w:rPr>
        <w:t xml:space="preserve"> criteria.” </w:t>
      </w:r>
    </w:p>
    <w:p w14:paraId="3F17FAF9" w14:textId="77777777" w:rsidR="0048684D" w:rsidRPr="0003572B" w:rsidRDefault="0048684D" w:rsidP="0048684D">
      <w:pPr>
        <w:pStyle w:val="Paragraphe"/>
        <w:numPr>
          <w:ilvl w:val="0"/>
          <w:numId w:val="0"/>
        </w:numPr>
        <w:spacing w:line="240" w:lineRule="auto"/>
        <w:rPr>
          <w:lang w:val="en-CA"/>
        </w:rPr>
      </w:pPr>
    </w:p>
    <w:p w14:paraId="1603F63B" w14:textId="77777777" w:rsidR="0048684D" w:rsidRPr="0003572B" w:rsidRDefault="0048684D" w:rsidP="0048684D">
      <w:pPr>
        <w:pStyle w:val="Paragraphe"/>
        <w:numPr>
          <w:ilvl w:val="0"/>
          <w:numId w:val="0"/>
        </w:numPr>
        <w:spacing w:line="240" w:lineRule="auto"/>
        <w:rPr>
          <w:lang w:val="en-CA"/>
        </w:rPr>
      </w:pPr>
    </w:p>
    <w:p w14:paraId="3109EBC2" w14:textId="14015123" w:rsidR="00207F47" w:rsidRPr="00436375" w:rsidRDefault="001354E2" w:rsidP="00703929">
      <w:pPr>
        <w:pStyle w:val="Paragraphe"/>
        <w:spacing w:line="240" w:lineRule="auto"/>
        <w:rPr>
          <w:lang w:val="en-CA"/>
        </w:rPr>
      </w:pPr>
      <w:r>
        <w:rPr>
          <w:lang w:val="en-CA"/>
        </w:rPr>
        <w:lastRenderedPageBreak/>
        <w:t>On July 5, 2012, t</w:t>
      </w:r>
      <w:r w:rsidR="000837E5" w:rsidRPr="00436375">
        <w:rPr>
          <w:lang w:val="en-CA"/>
        </w:rPr>
        <w:t>he complain</w:t>
      </w:r>
      <w:r w:rsidR="00BD50F4" w:rsidRPr="00436375">
        <w:rPr>
          <w:lang w:val="en-CA"/>
        </w:rPr>
        <w:t>a</w:t>
      </w:r>
      <w:r w:rsidR="000837E5" w:rsidRPr="00436375">
        <w:rPr>
          <w:lang w:val="en-CA"/>
        </w:rPr>
        <w:t xml:space="preserve">nt received </w:t>
      </w:r>
      <w:r>
        <w:rPr>
          <w:lang w:val="en-CA"/>
        </w:rPr>
        <w:t xml:space="preserve">a </w:t>
      </w:r>
      <w:r w:rsidR="000837E5" w:rsidRPr="0003572B">
        <w:rPr>
          <w:lang w:val="en-CA"/>
        </w:rPr>
        <w:t>promise of employment</w:t>
      </w:r>
      <w:r w:rsidR="00BD50F4" w:rsidRPr="0003572B">
        <w:rPr>
          <w:lang w:val="en-CA"/>
        </w:rPr>
        <w:t xml:space="preserve"> from the SQ. </w:t>
      </w:r>
      <w:r>
        <w:rPr>
          <w:lang w:val="en-CA"/>
        </w:rPr>
        <w:t>At that point, h</w:t>
      </w:r>
      <w:r w:rsidR="00BD50F4" w:rsidRPr="00436375">
        <w:rPr>
          <w:lang w:val="en-CA"/>
        </w:rPr>
        <w:t xml:space="preserve">e then left his </w:t>
      </w:r>
      <w:r w:rsidR="000837E5" w:rsidRPr="00436375">
        <w:rPr>
          <w:lang w:val="en-CA"/>
        </w:rPr>
        <w:t xml:space="preserve">job </w:t>
      </w:r>
      <w:r w:rsidR="00BD50F4" w:rsidRPr="00436375">
        <w:rPr>
          <w:lang w:val="en-CA"/>
        </w:rPr>
        <w:t>position as a correction</w:t>
      </w:r>
      <w:r w:rsidR="005B68FA" w:rsidRPr="00436375">
        <w:rPr>
          <w:lang w:val="en-CA"/>
        </w:rPr>
        <w:t>s</w:t>
      </w:r>
      <w:r w:rsidR="00BD50F4" w:rsidRPr="00436375">
        <w:rPr>
          <w:lang w:val="en-CA"/>
        </w:rPr>
        <w:t xml:space="preserve"> officer and </w:t>
      </w:r>
      <w:r w:rsidR="005B68FA" w:rsidRPr="00436375">
        <w:rPr>
          <w:lang w:val="en-CA"/>
        </w:rPr>
        <w:t>started the courses.</w:t>
      </w:r>
      <w:r w:rsidR="00BD50F4" w:rsidRPr="00436375">
        <w:rPr>
          <w:lang w:val="en-CA"/>
        </w:rPr>
        <w:t xml:space="preserve"> He </w:t>
      </w:r>
      <w:r w:rsidR="000837E5" w:rsidRPr="00436375">
        <w:rPr>
          <w:lang w:val="en-CA"/>
        </w:rPr>
        <w:t xml:space="preserve">successfully </w:t>
      </w:r>
      <w:r w:rsidR="00BD50F4" w:rsidRPr="00436375">
        <w:rPr>
          <w:lang w:val="en-CA"/>
        </w:rPr>
        <w:t xml:space="preserve">passed all the steps of the process and obtained his diploma from the </w:t>
      </w:r>
      <w:r w:rsidR="00207F47" w:rsidRPr="00436375">
        <w:rPr>
          <w:lang w:val="en-CA"/>
        </w:rPr>
        <w:t>ÉNPQ</w:t>
      </w:r>
      <w:r>
        <w:rPr>
          <w:lang w:val="en-CA"/>
        </w:rPr>
        <w:t>,</w:t>
      </w:r>
      <w:r w:rsidR="006022DD" w:rsidRPr="0003572B">
        <w:rPr>
          <w:lang w:val="en-CA"/>
        </w:rPr>
        <w:t xml:space="preserve"> </w:t>
      </w:r>
      <w:r>
        <w:rPr>
          <w:lang w:val="en-CA"/>
        </w:rPr>
        <w:t xml:space="preserve">with </w:t>
      </w:r>
      <w:r w:rsidR="00BD50F4" w:rsidRPr="00436375">
        <w:rPr>
          <w:lang w:val="en-CA"/>
        </w:rPr>
        <w:t>“</w:t>
      </w:r>
      <w:r w:rsidR="006022DD" w:rsidRPr="00436375">
        <w:rPr>
          <w:lang w:val="en-CA"/>
        </w:rPr>
        <w:t>distinction</w:t>
      </w:r>
      <w:r w:rsidR="00BD50F4" w:rsidRPr="00436375">
        <w:rPr>
          <w:lang w:val="en-CA"/>
        </w:rPr>
        <w:t>”</w:t>
      </w:r>
      <w:r>
        <w:rPr>
          <w:lang w:val="en-CA"/>
        </w:rPr>
        <w:t xml:space="preserve"> attributed by his peers.</w:t>
      </w:r>
    </w:p>
    <w:p w14:paraId="64A63F66" w14:textId="2CD5B190" w:rsidR="00207F47" w:rsidRPr="00436375" w:rsidRDefault="00BD50F4" w:rsidP="00703929">
      <w:pPr>
        <w:pStyle w:val="Paragraphe"/>
        <w:keepNext/>
        <w:keepLines/>
        <w:spacing w:line="240" w:lineRule="auto"/>
        <w:rPr>
          <w:lang w:val="en-CA"/>
        </w:rPr>
      </w:pPr>
      <w:r w:rsidRPr="00436375">
        <w:rPr>
          <w:lang w:val="en-CA"/>
        </w:rPr>
        <w:t>The S</w:t>
      </w:r>
      <w:r w:rsidR="000837E5" w:rsidRPr="00436375">
        <w:rPr>
          <w:lang w:val="en-CA"/>
        </w:rPr>
        <w:t xml:space="preserve">Q recruiter </w:t>
      </w:r>
      <w:r w:rsidR="001354E2">
        <w:rPr>
          <w:lang w:val="en-CA"/>
        </w:rPr>
        <w:t>attended</w:t>
      </w:r>
      <w:r w:rsidR="000837E5" w:rsidRPr="00436375">
        <w:rPr>
          <w:lang w:val="en-CA"/>
        </w:rPr>
        <w:t xml:space="preserve"> the ÉNP</w:t>
      </w:r>
      <w:r w:rsidRPr="00436375">
        <w:rPr>
          <w:lang w:val="en-CA"/>
        </w:rPr>
        <w:t xml:space="preserve">Q graduation ceremony on October 25, 2013, as usual. That was when he learned from informal discussions with the instructors that the applicant was afflicted with TS. The instructors said </w:t>
      </w:r>
      <w:r w:rsidR="003257EF" w:rsidRPr="00436375">
        <w:rPr>
          <w:lang w:val="en-CA"/>
        </w:rPr>
        <w:t xml:space="preserve">they noticed that </w:t>
      </w:r>
      <w:r w:rsidRPr="00436375">
        <w:rPr>
          <w:lang w:val="en-CA"/>
        </w:rPr>
        <w:t xml:space="preserve">he sometimes made </w:t>
      </w:r>
      <w:r w:rsidR="003F5CD7">
        <w:rPr>
          <w:lang w:val="en-CA"/>
        </w:rPr>
        <w:t>unusual</w:t>
      </w:r>
      <w:r w:rsidR="003F5CD7" w:rsidRPr="00436375">
        <w:rPr>
          <w:lang w:val="en-CA"/>
        </w:rPr>
        <w:t xml:space="preserve"> </w:t>
      </w:r>
      <w:r w:rsidRPr="00436375">
        <w:rPr>
          <w:lang w:val="en-CA"/>
        </w:rPr>
        <w:t>sounds but added that it did not affect his performance in any way</w:t>
      </w:r>
      <w:r w:rsidR="00207F47" w:rsidRPr="00436375">
        <w:rPr>
          <w:lang w:val="en-CA"/>
        </w:rPr>
        <w:t>.</w:t>
      </w:r>
    </w:p>
    <w:p w14:paraId="58DB28A9" w14:textId="00261789" w:rsidR="00207F47" w:rsidRPr="00436375" w:rsidRDefault="00207F47" w:rsidP="00703929">
      <w:pPr>
        <w:pStyle w:val="Paragraphe"/>
        <w:spacing w:line="240" w:lineRule="auto"/>
        <w:rPr>
          <w:lang w:val="en-CA"/>
        </w:rPr>
      </w:pPr>
      <w:r w:rsidRPr="00436375">
        <w:rPr>
          <w:lang w:val="en-CA"/>
        </w:rPr>
        <w:t>A</w:t>
      </w:r>
      <w:r w:rsidR="003257EF" w:rsidRPr="00436375">
        <w:rPr>
          <w:lang w:val="en-CA"/>
        </w:rPr>
        <w:t>fter checking the complain</w:t>
      </w:r>
      <w:r w:rsidR="008701F6" w:rsidRPr="00436375">
        <w:rPr>
          <w:lang w:val="en-CA"/>
        </w:rPr>
        <w:t xml:space="preserve">ant’s file, the </w:t>
      </w:r>
      <w:r w:rsidRPr="00436375">
        <w:rPr>
          <w:lang w:val="en-CA"/>
        </w:rPr>
        <w:t xml:space="preserve">SQ </w:t>
      </w:r>
      <w:r w:rsidR="008701F6" w:rsidRPr="00436375">
        <w:rPr>
          <w:lang w:val="en-CA"/>
        </w:rPr>
        <w:t xml:space="preserve">found that he had not mentioned the </w:t>
      </w:r>
      <w:r w:rsidRPr="00436375">
        <w:rPr>
          <w:lang w:val="en-CA"/>
        </w:rPr>
        <w:t xml:space="preserve">condition </w:t>
      </w:r>
      <w:r w:rsidR="008701F6" w:rsidRPr="00436375">
        <w:rPr>
          <w:lang w:val="en-CA"/>
        </w:rPr>
        <w:t xml:space="preserve">in the medical </w:t>
      </w:r>
      <w:r w:rsidRPr="00436375">
        <w:rPr>
          <w:lang w:val="en-CA"/>
        </w:rPr>
        <w:t>questionnaire</w:t>
      </w:r>
      <w:r w:rsidR="003257EF" w:rsidRPr="00436375">
        <w:rPr>
          <w:lang w:val="en-CA"/>
        </w:rPr>
        <w:t xml:space="preserve"> </w:t>
      </w:r>
      <w:r w:rsidR="008701F6" w:rsidRPr="00436375">
        <w:rPr>
          <w:lang w:val="en-CA"/>
        </w:rPr>
        <w:t xml:space="preserve">or during two medical examinations at </w:t>
      </w:r>
      <w:r w:rsidRPr="00436375">
        <w:rPr>
          <w:lang w:val="en-CA"/>
        </w:rPr>
        <w:t xml:space="preserve">Medisys. </w:t>
      </w:r>
      <w:r w:rsidR="008701F6" w:rsidRPr="00436375">
        <w:rPr>
          <w:lang w:val="en-CA"/>
        </w:rPr>
        <w:t>Nor was it mentioned in the pre-</w:t>
      </w:r>
      <w:r w:rsidR="0097767C" w:rsidRPr="00436375">
        <w:rPr>
          <w:lang w:val="en-CA"/>
        </w:rPr>
        <w:t>employment</w:t>
      </w:r>
      <w:r w:rsidR="008701F6" w:rsidRPr="00436375">
        <w:rPr>
          <w:lang w:val="en-CA"/>
        </w:rPr>
        <w:t xml:space="preserve"> </w:t>
      </w:r>
      <w:r w:rsidRPr="00436375">
        <w:rPr>
          <w:lang w:val="en-CA"/>
        </w:rPr>
        <w:t xml:space="preserve">questionnaire. </w:t>
      </w:r>
      <w:r w:rsidR="008701F6" w:rsidRPr="00436375">
        <w:rPr>
          <w:lang w:val="en-CA"/>
        </w:rPr>
        <w:t>The only allusion to his</w:t>
      </w:r>
      <w:r w:rsidRPr="00436375">
        <w:rPr>
          <w:lang w:val="en-CA"/>
        </w:rPr>
        <w:t xml:space="preserve"> condition </w:t>
      </w:r>
      <w:r w:rsidR="008701F6" w:rsidRPr="00436375">
        <w:rPr>
          <w:lang w:val="en-CA"/>
        </w:rPr>
        <w:t xml:space="preserve">was in a reference letter sent by the </w:t>
      </w:r>
      <w:r w:rsidRPr="00436375">
        <w:rPr>
          <w:lang w:val="en-CA"/>
        </w:rPr>
        <w:t>Association qu</w:t>
      </w:r>
      <w:r w:rsidR="008701F6" w:rsidRPr="00436375">
        <w:rPr>
          <w:lang w:val="en-CA"/>
        </w:rPr>
        <w:t xml:space="preserve">ébécoise du SGT (the </w:t>
      </w:r>
      <w:r w:rsidR="003F5CD7">
        <w:rPr>
          <w:lang w:val="en-CA"/>
        </w:rPr>
        <w:t>“</w:t>
      </w:r>
      <w:r w:rsidR="008701F6" w:rsidRPr="00436375">
        <w:rPr>
          <w:lang w:val="en-CA"/>
        </w:rPr>
        <w:t>Association</w:t>
      </w:r>
      <w:r w:rsidR="003F5CD7">
        <w:rPr>
          <w:lang w:val="en-CA"/>
        </w:rPr>
        <w:t>”</w:t>
      </w:r>
      <w:r w:rsidRPr="00436375">
        <w:rPr>
          <w:lang w:val="en-CA"/>
        </w:rPr>
        <w:t>)</w:t>
      </w:r>
      <w:r w:rsidR="003F5CD7">
        <w:rPr>
          <w:lang w:val="en-CA"/>
        </w:rPr>
        <w:t>,</w:t>
      </w:r>
      <w:r w:rsidRPr="00436375">
        <w:rPr>
          <w:lang w:val="en-CA"/>
        </w:rPr>
        <w:t xml:space="preserve"> </w:t>
      </w:r>
      <w:r w:rsidR="00D94A1E" w:rsidRPr="00436375">
        <w:rPr>
          <w:lang w:val="en-CA"/>
        </w:rPr>
        <w:t>which said</w:t>
      </w:r>
      <w:r w:rsidRPr="00436375">
        <w:rPr>
          <w:lang w:val="en-CA"/>
        </w:rPr>
        <w:t xml:space="preserve">: </w:t>
      </w:r>
      <w:r w:rsidR="00D94A1E" w:rsidRPr="00436375">
        <w:rPr>
          <w:lang w:val="en-CA"/>
        </w:rPr>
        <w:t>[</w:t>
      </w:r>
      <w:r w:rsidR="00D94A1E" w:rsidRPr="00436375">
        <w:rPr>
          <w:smallCaps/>
          <w:lang w:val="en-CA"/>
        </w:rPr>
        <w:t>translation</w:t>
      </w:r>
      <w:r w:rsidR="00D94A1E" w:rsidRPr="00436375">
        <w:rPr>
          <w:lang w:val="en-CA"/>
        </w:rPr>
        <w:t xml:space="preserve">] “Mr. [T.J.R.] acts as a </w:t>
      </w:r>
      <w:r w:rsidR="00B1292A">
        <w:rPr>
          <w:lang w:val="en-CA"/>
        </w:rPr>
        <w:t xml:space="preserve">support resource with </w:t>
      </w:r>
      <w:r w:rsidR="00D94A1E" w:rsidRPr="00436375">
        <w:rPr>
          <w:lang w:val="en-CA"/>
        </w:rPr>
        <w:t>TS twice a year on average</w:t>
      </w:r>
      <w:r w:rsidRPr="00436375">
        <w:rPr>
          <w:lang w:val="en-CA"/>
        </w:rPr>
        <w:t>.</w:t>
      </w:r>
      <w:r w:rsidR="00D94A1E" w:rsidRPr="00436375">
        <w:rPr>
          <w:lang w:val="en-CA"/>
        </w:rPr>
        <w:t>”</w:t>
      </w:r>
    </w:p>
    <w:p w14:paraId="6AB3B7DB" w14:textId="50618FF3" w:rsidR="00207F47" w:rsidRPr="00436375" w:rsidRDefault="003257EF" w:rsidP="00703929">
      <w:pPr>
        <w:pStyle w:val="Paragraphe"/>
        <w:spacing w:line="240" w:lineRule="auto"/>
        <w:rPr>
          <w:lang w:val="en-CA"/>
        </w:rPr>
      </w:pPr>
      <w:r w:rsidRPr="00436375">
        <w:rPr>
          <w:lang w:val="en-CA"/>
        </w:rPr>
        <w:t>The complain</w:t>
      </w:r>
      <w:r w:rsidR="00D94A1E" w:rsidRPr="00436375">
        <w:rPr>
          <w:lang w:val="en-CA"/>
        </w:rPr>
        <w:t xml:space="preserve">ant’s file was then suspended pending an opinion from the SQ physician and a further security investigation aimed at establishing the reasons the </w:t>
      </w:r>
      <w:r w:rsidR="005B68FA" w:rsidRPr="00436375">
        <w:rPr>
          <w:lang w:val="en-CA"/>
        </w:rPr>
        <w:t xml:space="preserve">said </w:t>
      </w:r>
      <w:r w:rsidR="00D94A1E" w:rsidRPr="00436375">
        <w:rPr>
          <w:lang w:val="en-CA"/>
        </w:rPr>
        <w:t xml:space="preserve">information had not been revealed during the hiring process. </w:t>
      </w:r>
    </w:p>
    <w:p w14:paraId="0BA12BF2" w14:textId="5ADC1124" w:rsidR="00207F47" w:rsidRPr="00436375" w:rsidRDefault="00B1292A" w:rsidP="00703929">
      <w:pPr>
        <w:pStyle w:val="Paragraphe"/>
        <w:spacing w:line="240" w:lineRule="auto"/>
        <w:rPr>
          <w:lang w:val="en-CA"/>
        </w:rPr>
      </w:pPr>
      <w:r>
        <w:rPr>
          <w:lang w:val="en-CA"/>
        </w:rPr>
        <w:t>O</w:t>
      </w:r>
      <w:r w:rsidRPr="00436375">
        <w:rPr>
          <w:lang w:val="en-CA"/>
        </w:rPr>
        <w:t>n November 6, 2013</w:t>
      </w:r>
      <w:r>
        <w:rPr>
          <w:lang w:val="en-CA"/>
        </w:rPr>
        <w:t>,</w:t>
      </w:r>
      <w:r w:rsidRPr="00436375">
        <w:rPr>
          <w:lang w:val="en-CA"/>
        </w:rPr>
        <w:t xml:space="preserve"> </w:t>
      </w:r>
      <w:r w:rsidR="003257EF" w:rsidRPr="00436375">
        <w:rPr>
          <w:lang w:val="en-CA"/>
        </w:rPr>
        <w:t xml:space="preserve"> investigators met </w:t>
      </w:r>
      <w:r>
        <w:rPr>
          <w:lang w:val="en-CA"/>
        </w:rPr>
        <w:t xml:space="preserve">with </w:t>
      </w:r>
      <w:r w:rsidR="003257EF" w:rsidRPr="00436375">
        <w:rPr>
          <w:lang w:val="en-CA"/>
        </w:rPr>
        <w:t>the complain</w:t>
      </w:r>
      <w:r w:rsidR="00D94A1E" w:rsidRPr="00436375">
        <w:rPr>
          <w:lang w:val="en-CA"/>
        </w:rPr>
        <w:t xml:space="preserve">ant and showed him the letter from the </w:t>
      </w:r>
      <w:r w:rsidR="00207F47" w:rsidRPr="00436375">
        <w:rPr>
          <w:lang w:val="en-CA"/>
        </w:rPr>
        <w:t xml:space="preserve">Association. </w:t>
      </w:r>
      <w:r w:rsidR="007D76F0" w:rsidRPr="00436375">
        <w:rPr>
          <w:lang w:val="en-CA"/>
        </w:rPr>
        <w:t>He explained that he did not mention his TS because, in his opinion [</w:t>
      </w:r>
      <w:r w:rsidR="007D76F0" w:rsidRPr="00436375">
        <w:rPr>
          <w:smallCaps/>
          <w:lang w:val="en-CA"/>
        </w:rPr>
        <w:t>translation</w:t>
      </w:r>
      <w:r w:rsidR="007D76F0" w:rsidRPr="00436375">
        <w:rPr>
          <w:lang w:val="en-CA"/>
        </w:rPr>
        <w:t>] “</w:t>
      </w:r>
      <w:r w:rsidR="007D76F0" w:rsidRPr="000B4231">
        <w:rPr>
          <w:lang w:val="en-CA"/>
        </w:rPr>
        <w:t xml:space="preserve">it was over” and </w:t>
      </w:r>
      <w:r w:rsidR="007D76F0" w:rsidRPr="00436375">
        <w:rPr>
          <w:lang w:val="en-CA"/>
        </w:rPr>
        <w:t>[</w:t>
      </w:r>
      <w:r w:rsidR="007D76F0" w:rsidRPr="00436375">
        <w:rPr>
          <w:smallCaps/>
          <w:lang w:val="en-CA"/>
        </w:rPr>
        <w:t>translation</w:t>
      </w:r>
      <w:r w:rsidR="007D76F0" w:rsidRPr="00436375">
        <w:rPr>
          <w:lang w:val="en-CA"/>
        </w:rPr>
        <w:t xml:space="preserve">] </w:t>
      </w:r>
      <w:r w:rsidR="005B68FA" w:rsidRPr="000B4231">
        <w:rPr>
          <w:lang w:val="en-CA"/>
        </w:rPr>
        <w:t>“taken care of</w:t>
      </w:r>
      <w:r w:rsidR="007D76F0" w:rsidRPr="000B4231">
        <w:rPr>
          <w:lang w:val="en-CA"/>
        </w:rPr>
        <w:t xml:space="preserve">.” He stated that he was in </w:t>
      </w:r>
      <w:r w:rsidR="00872B68" w:rsidRPr="00436375">
        <w:rPr>
          <w:lang w:val="en-CA"/>
        </w:rPr>
        <w:t xml:space="preserve">possession </w:t>
      </w:r>
      <w:r w:rsidR="007D76F0" w:rsidRPr="00436375">
        <w:rPr>
          <w:lang w:val="en-CA"/>
        </w:rPr>
        <w:t>of letters from a neurologist confirming what he said. During the meeting</w:t>
      </w:r>
      <w:r>
        <w:rPr>
          <w:lang w:val="en-CA"/>
        </w:rPr>
        <w:t>,</w:t>
      </w:r>
      <w:r w:rsidR="007D76F0" w:rsidRPr="00436375">
        <w:rPr>
          <w:lang w:val="en-CA"/>
        </w:rPr>
        <w:t xml:space="preserve"> he added</w:t>
      </w:r>
      <w:r w:rsidR="005B68FA" w:rsidRPr="00436375">
        <w:rPr>
          <w:lang w:val="en-CA"/>
        </w:rPr>
        <w:t>,</w:t>
      </w:r>
      <w:r w:rsidR="007D76F0" w:rsidRPr="00436375">
        <w:rPr>
          <w:lang w:val="en-CA"/>
        </w:rPr>
        <w:t xml:space="preserve"> on his own initiative</w:t>
      </w:r>
      <w:r w:rsidR="005B68FA" w:rsidRPr="00436375">
        <w:rPr>
          <w:lang w:val="en-CA"/>
        </w:rPr>
        <w:t>,</w:t>
      </w:r>
      <w:r w:rsidR="007D76F0" w:rsidRPr="00436375">
        <w:rPr>
          <w:lang w:val="en-CA"/>
        </w:rPr>
        <w:t xml:space="preserve"> that he had also failed to disclose his </w:t>
      </w:r>
      <w:r w:rsidR="00C54AD6" w:rsidRPr="00436375">
        <w:rPr>
          <w:lang w:val="en-CA"/>
        </w:rPr>
        <w:t xml:space="preserve">consultations </w:t>
      </w:r>
      <w:r w:rsidR="007D76F0" w:rsidRPr="00436375">
        <w:rPr>
          <w:lang w:val="en-CA"/>
        </w:rPr>
        <w:t xml:space="preserve">with a psychologist from </w:t>
      </w:r>
      <w:r w:rsidR="00207F47" w:rsidRPr="00436375">
        <w:rPr>
          <w:lang w:val="en-CA"/>
        </w:rPr>
        <w:t>20</w:t>
      </w:r>
      <w:r w:rsidR="00F0594A" w:rsidRPr="00436375">
        <w:rPr>
          <w:lang w:val="en-CA"/>
        </w:rPr>
        <w:t>0</w:t>
      </w:r>
      <w:r w:rsidR="007D76F0" w:rsidRPr="00436375">
        <w:rPr>
          <w:lang w:val="en-CA"/>
        </w:rPr>
        <w:t xml:space="preserve">4 </w:t>
      </w:r>
      <w:r w:rsidR="00207F47" w:rsidRPr="00436375">
        <w:rPr>
          <w:lang w:val="en-CA"/>
        </w:rPr>
        <w:t>t</w:t>
      </w:r>
      <w:r w:rsidR="007D76F0" w:rsidRPr="00436375">
        <w:rPr>
          <w:lang w:val="en-CA"/>
        </w:rPr>
        <w:t>o</w:t>
      </w:r>
      <w:r w:rsidR="00207F47" w:rsidRPr="00436375">
        <w:rPr>
          <w:lang w:val="en-CA"/>
        </w:rPr>
        <w:t xml:space="preserve"> 20</w:t>
      </w:r>
      <w:r w:rsidR="00F0594A" w:rsidRPr="00436375">
        <w:rPr>
          <w:lang w:val="en-CA"/>
        </w:rPr>
        <w:t>0</w:t>
      </w:r>
      <w:r w:rsidR="00207F47" w:rsidRPr="00436375">
        <w:rPr>
          <w:lang w:val="en-CA"/>
        </w:rPr>
        <w:t xml:space="preserve">7 </w:t>
      </w:r>
      <w:r w:rsidR="007D76F0" w:rsidRPr="00436375">
        <w:rPr>
          <w:lang w:val="en-CA"/>
        </w:rPr>
        <w:t>in relation to his unhealthy relationships wit</w:t>
      </w:r>
      <w:r w:rsidR="003257EF" w:rsidRPr="00436375">
        <w:rPr>
          <w:lang w:val="en-CA"/>
        </w:rPr>
        <w:t xml:space="preserve">h women. He </w:t>
      </w:r>
      <w:r w:rsidR="00C702D5">
        <w:rPr>
          <w:lang w:val="en-CA"/>
        </w:rPr>
        <w:t>specified that</w:t>
      </w:r>
      <w:r w:rsidR="00C702D5" w:rsidRPr="00436375">
        <w:rPr>
          <w:lang w:val="en-CA"/>
        </w:rPr>
        <w:t xml:space="preserve"> </w:t>
      </w:r>
      <w:r w:rsidR="007D76F0" w:rsidRPr="00436375">
        <w:rPr>
          <w:lang w:val="en-CA"/>
        </w:rPr>
        <w:t xml:space="preserve">he had taken that step on his own </w:t>
      </w:r>
      <w:r w:rsidR="00012AA6" w:rsidRPr="00436375">
        <w:rPr>
          <w:lang w:val="en-CA"/>
        </w:rPr>
        <w:t>initiative</w:t>
      </w:r>
      <w:r w:rsidR="00207F47" w:rsidRPr="00436375">
        <w:rPr>
          <w:lang w:val="en-CA"/>
        </w:rPr>
        <w:t xml:space="preserve">, </w:t>
      </w:r>
      <w:r w:rsidR="005B68FA" w:rsidRPr="00436375">
        <w:rPr>
          <w:lang w:val="en-CA"/>
        </w:rPr>
        <w:t xml:space="preserve">that it was not related to </w:t>
      </w:r>
      <w:r w:rsidR="003257EF" w:rsidRPr="00436375">
        <w:rPr>
          <w:lang w:val="en-CA"/>
        </w:rPr>
        <w:t xml:space="preserve">any </w:t>
      </w:r>
      <w:r w:rsidR="007D76F0" w:rsidRPr="00436375">
        <w:rPr>
          <w:lang w:val="en-CA"/>
        </w:rPr>
        <w:t>mental health program</w:t>
      </w:r>
      <w:r w:rsidR="00C702D5">
        <w:rPr>
          <w:lang w:val="en-CA"/>
        </w:rPr>
        <w:t>,</w:t>
      </w:r>
      <w:r w:rsidR="007D76F0" w:rsidRPr="00436375">
        <w:rPr>
          <w:lang w:val="en-CA"/>
        </w:rPr>
        <w:t xml:space="preserve"> and that the person he consulted was really a “life coach” rather than a psychologist. </w:t>
      </w:r>
    </w:p>
    <w:p w14:paraId="411F9F28" w14:textId="77777777" w:rsidR="00207F47" w:rsidRPr="00436375" w:rsidRDefault="003A77ED" w:rsidP="00703929">
      <w:pPr>
        <w:pStyle w:val="Paragraphe"/>
        <w:spacing w:line="240" w:lineRule="auto"/>
        <w:rPr>
          <w:lang w:val="en-CA"/>
        </w:rPr>
      </w:pPr>
      <w:r w:rsidRPr="00436375">
        <w:rPr>
          <w:lang w:val="en-CA"/>
        </w:rPr>
        <w:t>The</w:t>
      </w:r>
      <w:r w:rsidR="00207F47" w:rsidRPr="00436375">
        <w:rPr>
          <w:lang w:val="en-CA"/>
        </w:rPr>
        <w:t xml:space="preserve"> SQ informe</w:t>
      </w:r>
      <w:r w:rsidR="003257EF" w:rsidRPr="00436375">
        <w:rPr>
          <w:lang w:val="en-CA"/>
        </w:rPr>
        <w:t>d the complain</w:t>
      </w:r>
      <w:r w:rsidRPr="00436375">
        <w:rPr>
          <w:lang w:val="en-CA"/>
        </w:rPr>
        <w:t>ant that his file had been suspended. The investigation continued. The SQ physician concl</w:t>
      </w:r>
      <w:r w:rsidR="003257EF" w:rsidRPr="00436375">
        <w:rPr>
          <w:lang w:val="en-CA"/>
        </w:rPr>
        <w:t xml:space="preserve">uded that, even though the </w:t>
      </w:r>
      <w:r w:rsidRPr="00436375">
        <w:rPr>
          <w:lang w:val="en-CA"/>
        </w:rPr>
        <w:t>c</w:t>
      </w:r>
      <w:r w:rsidR="003257EF" w:rsidRPr="00436375">
        <w:rPr>
          <w:lang w:val="en-CA"/>
        </w:rPr>
        <w:t>omplain</w:t>
      </w:r>
      <w:r w:rsidRPr="00436375">
        <w:rPr>
          <w:lang w:val="en-CA"/>
        </w:rPr>
        <w:t xml:space="preserve">ant had failed to disclose his TS diagnosis and his </w:t>
      </w:r>
      <w:r w:rsidR="00207F47" w:rsidRPr="00436375">
        <w:rPr>
          <w:lang w:val="en-CA"/>
        </w:rPr>
        <w:t xml:space="preserve">consultations </w:t>
      </w:r>
      <w:r w:rsidRPr="00436375">
        <w:rPr>
          <w:lang w:val="en-CA"/>
        </w:rPr>
        <w:t xml:space="preserve">with a psychologist, he was still fit to work as a patrol officer. However, that </w:t>
      </w:r>
      <w:r w:rsidR="00207F47" w:rsidRPr="00436375">
        <w:rPr>
          <w:lang w:val="en-CA"/>
        </w:rPr>
        <w:t xml:space="preserve">information </w:t>
      </w:r>
      <w:r w:rsidR="003257EF" w:rsidRPr="00436375">
        <w:rPr>
          <w:lang w:val="en-CA"/>
        </w:rPr>
        <w:t xml:space="preserve">was not shared with the </w:t>
      </w:r>
      <w:r w:rsidRPr="00436375">
        <w:rPr>
          <w:lang w:val="en-CA"/>
        </w:rPr>
        <w:t>c</w:t>
      </w:r>
      <w:r w:rsidR="003257EF" w:rsidRPr="00436375">
        <w:rPr>
          <w:lang w:val="en-CA"/>
        </w:rPr>
        <w:t>omplain</w:t>
      </w:r>
      <w:r w:rsidRPr="00436375">
        <w:rPr>
          <w:lang w:val="en-CA"/>
        </w:rPr>
        <w:t xml:space="preserve">ant. </w:t>
      </w:r>
    </w:p>
    <w:p w14:paraId="75299CDE" w14:textId="27FB5E46" w:rsidR="00207F47" w:rsidRPr="00436375" w:rsidRDefault="003257EF" w:rsidP="00703929">
      <w:pPr>
        <w:pStyle w:val="Paragraphe"/>
        <w:spacing w:line="240" w:lineRule="auto"/>
        <w:rPr>
          <w:lang w:val="en-CA"/>
        </w:rPr>
      </w:pPr>
      <w:r w:rsidRPr="00436375">
        <w:rPr>
          <w:lang w:val="en-CA"/>
        </w:rPr>
        <w:t xml:space="preserve">Instead, the </w:t>
      </w:r>
      <w:r w:rsidR="003A77ED" w:rsidRPr="00436375">
        <w:rPr>
          <w:lang w:val="en-CA"/>
        </w:rPr>
        <w:t>c</w:t>
      </w:r>
      <w:r w:rsidRPr="00436375">
        <w:rPr>
          <w:lang w:val="en-CA"/>
        </w:rPr>
        <w:t>omplain</w:t>
      </w:r>
      <w:r w:rsidR="003A77ED" w:rsidRPr="00436375">
        <w:rPr>
          <w:lang w:val="en-CA"/>
        </w:rPr>
        <w:t>ant was informed on September 18, 2014</w:t>
      </w:r>
      <w:r w:rsidR="00C702D5">
        <w:rPr>
          <w:lang w:val="en-CA"/>
        </w:rPr>
        <w:t>,</w:t>
      </w:r>
      <w:r w:rsidR="003A77ED" w:rsidRPr="00436375">
        <w:rPr>
          <w:lang w:val="en-CA"/>
        </w:rPr>
        <w:t xml:space="preserve"> that the SQ had decided to terminate the promise of employment because </w:t>
      </w:r>
      <w:r w:rsidR="005B68FA" w:rsidRPr="00436375">
        <w:rPr>
          <w:lang w:val="en-CA"/>
        </w:rPr>
        <w:t xml:space="preserve">the trust relationship had </w:t>
      </w:r>
      <w:r w:rsidR="003A77ED" w:rsidRPr="00436375">
        <w:rPr>
          <w:lang w:val="en-CA"/>
        </w:rPr>
        <w:t xml:space="preserve">broken </w:t>
      </w:r>
      <w:r w:rsidR="005B68FA" w:rsidRPr="00436375">
        <w:rPr>
          <w:lang w:val="en-CA"/>
        </w:rPr>
        <w:t xml:space="preserve">down </w:t>
      </w:r>
      <w:r w:rsidR="003A77ED" w:rsidRPr="00436375">
        <w:rPr>
          <w:lang w:val="en-CA"/>
        </w:rPr>
        <w:t>and he no longer met the ethic</w:t>
      </w:r>
      <w:r w:rsidR="006F3ACA">
        <w:rPr>
          <w:lang w:val="en-CA"/>
        </w:rPr>
        <w:t>al</w:t>
      </w:r>
      <w:r w:rsidR="003A77ED" w:rsidRPr="00436375">
        <w:rPr>
          <w:lang w:val="en-CA"/>
        </w:rPr>
        <w:t xml:space="preserve"> and good </w:t>
      </w:r>
      <w:r w:rsidR="006F3ACA">
        <w:rPr>
          <w:lang w:val="en-CA"/>
        </w:rPr>
        <w:t>moral character</w:t>
      </w:r>
      <w:r w:rsidR="006F3ACA" w:rsidRPr="00436375">
        <w:rPr>
          <w:lang w:val="en-CA"/>
        </w:rPr>
        <w:t xml:space="preserve"> </w:t>
      </w:r>
      <w:r w:rsidR="003A77ED" w:rsidRPr="00436375">
        <w:rPr>
          <w:lang w:val="en-CA"/>
        </w:rPr>
        <w:t xml:space="preserve">criteria required to work as a patrol officer. </w:t>
      </w:r>
    </w:p>
    <w:p w14:paraId="5873DA99" w14:textId="1191B2D1" w:rsidR="00207F47" w:rsidRPr="00436375" w:rsidRDefault="003257EF" w:rsidP="00703929">
      <w:pPr>
        <w:pStyle w:val="Paragraphe"/>
        <w:spacing w:line="240" w:lineRule="auto"/>
        <w:rPr>
          <w:lang w:val="en-CA"/>
        </w:rPr>
      </w:pPr>
      <w:r w:rsidRPr="00436375">
        <w:rPr>
          <w:lang w:val="en-CA"/>
        </w:rPr>
        <w:lastRenderedPageBreak/>
        <w:t xml:space="preserve">The </w:t>
      </w:r>
      <w:r w:rsidR="003A77ED" w:rsidRPr="00436375">
        <w:rPr>
          <w:lang w:val="en-CA"/>
        </w:rPr>
        <w:t>c</w:t>
      </w:r>
      <w:r w:rsidRPr="00436375">
        <w:rPr>
          <w:lang w:val="en-CA"/>
        </w:rPr>
        <w:t>omplain</w:t>
      </w:r>
      <w:r w:rsidR="003A77ED" w:rsidRPr="00436375">
        <w:rPr>
          <w:lang w:val="en-CA"/>
        </w:rPr>
        <w:t xml:space="preserve">ant, whose dream of being a police officer crumbled, </w:t>
      </w:r>
      <w:r w:rsidR="00C702D5">
        <w:rPr>
          <w:lang w:val="en-CA"/>
        </w:rPr>
        <w:t xml:space="preserve">has </w:t>
      </w:r>
      <w:r w:rsidR="003A77ED" w:rsidRPr="00436375">
        <w:rPr>
          <w:lang w:val="en-CA"/>
        </w:rPr>
        <w:t xml:space="preserve">never </w:t>
      </w:r>
      <w:r w:rsidR="00C702D5">
        <w:rPr>
          <w:lang w:val="en-CA"/>
        </w:rPr>
        <w:t xml:space="preserve">been </w:t>
      </w:r>
      <w:r w:rsidR="003A77ED" w:rsidRPr="00436375">
        <w:rPr>
          <w:lang w:val="en-CA"/>
        </w:rPr>
        <w:t>able to enter any other pol</w:t>
      </w:r>
      <w:r w:rsidRPr="00436375">
        <w:rPr>
          <w:lang w:val="en-CA"/>
        </w:rPr>
        <w:t>ice force since then</w:t>
      </w:r>
      <w:r w:rsidR="00C702D5">
        <w:rPr>
          <w:lang w:val="en-CA"/>
        </w:rPr>
        <w:t>.</w:t>
      </w:r>
      <w:r w:rsidRPr="00436375">
        <w:rPr>
          <w:lang w:val="en-CA"/>
        </w:rPr>
        <w:t xml:space="preserve"> </w:t>
      </w:r>
      <w:r w:rsidR="00C702D5">
        <w:rPr>
          <w:lang w:val="en-CA"/>
        </w:rPr>
        <w:t xml:space="preserve">Instead, </w:t>
      </w:r>
      <w:r w:rsidRPr="00436375">
        <w:rPr>
          <w:lang w:val="en-CA"/>
        </w:rPr>
        <w:t xml:space="preserve">he </w:t>
      </w:r>
      <w:r w:rsidR="00C702D5">
        <w:rPr>
          <w:lang w:val="en-CA"/>
        </w:rPr>
        <w:t xml:space="preserve">has </w:t>
      </w:r>
      <w:r w:rsidRPr="00436375">
        <w:rPr>
          <w:lang w:val="en-CA"/>
        </w:rPr>
        <w:t>pursued</w:t>
      </w:r>
      <w:r w:rsidR="003A77ED" w:rsidRPr="00436375">
        <w:rPr>
          <w:lang w:val="en-CA"/>
        </w:rPr>
        <w:t xml:space="preserve"> a career in damage insurance. </w:t>
      </w:r>
    </w:p>
    <w:p w14:paraId="6F95F36D" w14:textId="0387DCEE" w:rsidR="00207F47" w:rsidRPr="00436375" w:rsidRDefault="003A77ED" w:rsidP="00703929">
      <w:pPr>
        <w:pStyle w:val="Paragraphe"/>
        <w:spacing w:line="240" w:lineRule="auto"/>
        <w:rPr>
          <w:lang w:val="en-CA"/>
        </w:rPr>
      </w:pPr>
      <w:r w:rsidRPr="00436375">
        <w:rPr>
          <w:lang w:val="en-CA"/>
        </w:rPr>
        <w:t>On November 27, 2019</w:t>
      </w:r>
      <w:r w:rsidR="00C702D5">
        <w:rPr>
          <w:lang w:val="en-CA"/>
        </w:rPr>
        <w:t>,</w:t>
      </w:r>
      <w:r w:rsidRPr="00436375">
        <w:rPr>
          <w:lang w:val="en-CA"/>
        </w:rPr>
        <w:t xml:space="preserve"> the</w:t>
      </w:r>
      <w:r w:rsidR="00207F47" w:rsidRPr="00436375">
        <w:rPr>
          <w:lang w:val="en-CA"/>
        </w:rPr>
        <w:t xml:space="preserve"> Commission</w:t>
      </w:r>
      <w:r w:rsidRPr="00436375">
        <w:rPr>
          <w:lang w:val="en-CA"/>
        </w:rPr>
        <w:t>, acting in the public int</w:t>
      </w:r>
      <w:r w:rsidR="003257EF" w:rsidRPr="00436375">
        <w:rPr>
          <w:lang w:val="en-CA"/>
        </w:rPr>
        <w:t xml:space="preserve">erest and on behalf of the </w:t>
      </w:r>
      <w:r w:rsidRPr="00436375">
        <w:rPr>
          <w:lang w:val="en-CA"/>
        </w:rPr>
        <w:t>c</w:t>
      </w:r>
      <w:r w:rsidR="003257EF" w:rsidRPr="00436375">
        <w:rPr>
          <w:lang w:val="en-CA"/>
        </w:rPr>
        <w:t>omplain</w:t>
      </w:r>
      <w:r w:rsidRPr="00436375">
        <w:rPr>
          <w:lang w:val="en-CA"/>
        </w:rPr>
        <w:t xml:space="preserve">ant, filed a complaint with the </w:t>
      </w:r>
      <w:r w:rsidR="00207F47" w:rsidRPr="00436375">
        <w:rPr>
          <w:lang w:val="en-CA"/>
        </w:rPr>
        <w:t xml:space="preserve">Tribunal des droits de la personne. </w:t>
      </w:r>
    </w:p>
    <w:p w14:paraId="66A88040" w14:textId="77777777" w:rsidR="00207F47" w:rsidRPr="00436375" w:rsidRDefault="0097767C" w:rsidP="00703929">
      <w:pPr>
        <w:pStyle w:val="Paragraphe"/>
        <w:numPr>
          <w:ilvl w:val="0"/>
          <w:numId w:val="0"/>
        </w:numPr>
        <w:spacing w:line="240" w:lineRule="auto"/>
        <w:rPr>
          <w:b/>
          <w:bCs/>
          <w:lang w:val="en-CA"/>
        </w:rPr>
      </w:pPr>
      <w:r w:rsidRPr="00436375">
        <w:rPr>
          <w:b/>
          <w:bCs/>
          <w:lang w:val="en-CA"/>
        </w:rPr>
        <w:t>TH</w:t>
      </w:r>
      <w:r w:rsidR="00207F47" w:rsidRPr="00436375">
        <w:rPr>
          <w:b/>
          <w:bCs/>
          <w:lang w:val="en-CA"/>
        </w:rPr>
        <w:t xml:space="preserve">E </w:t>
      </w:r>
      <w:r w:rsidRPr="00436375">
        <w:rPr>
          <w:b/>
          <w:bCs/>
          <w:lang w:val="en-CA"/>
        </w:rPr>
        <w:t xml:space="preserve">MEDICAL </w:t>
      </w:r>
      <w:r w:rsidR="00207F47" w:rsidRPr="00436375">
        <w:rPr>
          <w:b/>
          <w:bCs/>
          <w:lang w:val="en-CA"/>
        </w:rPr>
        <w:t xml:space="preserve">QUESTIONNAIRE </w:t>
      </w:r>
      <w:r w:rsidRPr="00436375">
        <w:rPr>
          <w:b/>
          <w:bCs/>
          <w:lang w:val="en-CA"/>
        </w:rPr>
        <w:t xml:space="preserve">AND THE PRE-EMPLOYMENT </w:t>
      </w:r>
      <w:r w:rsidR="00207F47" w:rsidRPr="00436375">
        <w:rPr>
          <w:b/>
          <w:bCs/>
          <w:lang w:val="en-CA"/>
        </w:rPr>
        <w:t xml:space="preserve">QUESTIONNAIRE </w:t>
      </w:r>
    </w:p>
    <w:p w14:paraId="694D0791" w14:textId="1D85BC38" w:rsidR="00C54AD6" w:rsidRPr="00436375" w:rsidRDefault="0097767C" w:rsidP="00703929">
      <w:pPr>
        <w:pStyle w:val="Paragraphe"/>
        <w:spacing w:line="240" w:lineRule="auto"/>
        <w:rPr>
          <w:lang w:val="en-CA"/>
        </w:rPr>
      </w:pPr>
      <w:r w:rsidRPr="00436375">
        <w:rPr>
          <w:lang w:val="en-CA"/>
        </w:rPr>
        <w:t>For the purposes of our analysis</w:t>
      </w:r>
      <w:r w:rsidR="007B66C2">
        <w:rPr>
          <w:lang w:val="en-CA"/>
        </w:rPr>
        <w:t>,</w:t>
      </w:r>
      <w:r w:rsidRPr="00436375">
        <w:rPr>
          <w:lang w:val="en-CA"/>
        </w:rPr>
        <w:t xml:space="preserve"> we will briefly review the </w:t>
      </w:r>
      <w:r w:rsidR="00C54AD6" w:rsidRPr="00436375">
        <w:rPr>
          <w:lang w:val="en-CA"/>
        </w:rPr>
        <w:t xml:space="preserve">questions </w:t>
      </w:r>
      <w:r w:rsidRPr="00436375">
        <w:rPr>
          <w:lang w:val="en-CA"/>
        </w:rPr>
        <w:t xml:space="preserve">in the medical </w:t>
      </w:r>
      <w:r w:rsidR="00C54AD6" w:rsidRPr="00436375">
        <w:rPr>
          <w:lang w:val="en-CA"/>
        </w:rPr>
        <w:t xml:space="preserve">questionnaire </w:t>
      </w:r>
      <w:r w:rsidRPr="00436375">
        <w:rPr>
          <w:lang w:val="en-CA"/>
        </w:rPr>
        <w:t>and the pre-employment questionnaire</w:t>
      </w:r>
      <w:r w:rsidR="00C54AD6" w:rsidRPr="00436375">
        <w:rPr>
          <w:lang w:val="en-CA"/>
        </w:rPr>
        <w:t xml:space="preserve">. </w:t>
      </w:r>
    </w:p>
    <w:p w14:paraId="4B282A3B" w14:textId="2E926C58" w:rsidR="00207F47" w:rsidRPr="00436375" w:rsidRDefault="0097767C" w:rsidP="00703929">
      <w:pPr>
        <w:pStyle w:val="Paragraphe"/>
        <w:spacing w:line="240" w:lineRule="auto"/>
        <w:rPr>
          <w:lang w:val="en-CA"/>
        </w:rPr>
      </w:pPr>
      <w:r w:rsidRPr="00436375">
        <w:rPr>
          <w:lang w:val="en-CA"/>
        </w:rPr>
        <w:t xml:space="preserve">The pre-employment medical </w:t>
      </w:r>
      <w:r w:rsidR="00C54AD6" w:rsidRPr="00436375">
        <w:rPr>
          <w:lang w:val="en-CA"/>
        </w:rPr>
        <w:t xml:space="preserve">questionnaire </w:t>
      </w:r>
      <w:r w:rsidRPr="00436375">
        <w:rPr>
          <w:lang w:val="en-CA"/>
        </w:rPr>
        <w:t xml:space="preserve">is a template that </w:t>
      </w:r>
      <w:r w:rsidR="00207F47" w:rsidRPr="00436375">
        <w:rPr>
          <w:lang w:val="en-CA"/>
        </w:rPr>
        <w:t>M</w:t>
      </w:r>
      <w:r w:rsidR="00C270E0" w:rsidRPr="00436375">
        <w:rPr>
          <w:lang w:val="en-CA"/>
        </w:rPr>
        <w:t>e</w:t>
      </w:r>
      <w:r w:rsidR="00207F47" w:rsidRPr="00436375">
        <w:rPr>
          <w:lang w:val="en-CA"/>
        </w:rPr>
        <w:t xml:space="preserve">disys </w:t>
      </w:r>
      <w:r w:rsidRPr="00436375">
        <w:rPr>
          <w:lang w:val="en-CA"/>
        </w:rPr>
        <w:t xml:space="preserve">uses to find out about the applicant’s medical history before the medical examination. It is not tailored specifically </w:t>
      </w:r>
      <w:r w:rsidR="003257EF" w:rsidRPr="00436375">
        <w:rPr>
          <w:lang w:val="en-CA"/>
        </w:rPr>
        <w:t>to the requirements of the SQ or</w:t>
      </w:r>
      <w:r w:rsidRPr="00436375">
        <w:rPr>
          <w:lang w:val="en-CA"/>
        </w:rPr>
        <w:t xml:space="preserve"> the posit</w:t>
      </w:r>
      <w:r w:rsidR="003257EF" w:rsidRPr="00436375">
        <w:rPr>
          <w:lang w:val="en-CA"/>
        </w:rPr>
        <w:t xml:space="preserve">ion of patrol officer. The </w:t>
      </w:r>
      <w:r w:rsidRPr="00436375">
        <w:rPr>
          <w:lang w:val="en-CA"/>
        </w:rPr>
        <w:t>c</w:t>
      </w:r>
      <w:r w:rsidR="003257EF" w:rsidRPr="00436375">
        <w:rPr>
          <w:lang w:val="en-CA"/>
        </w:rPr>
        <w:t>omplain</w:t>
      </w:r>
      <w:r w:rsidRPr="00436375">
        <w:rPr>
          <w:lang w:val="en-CA"/>
        </w:rPr>
        <w:t>ant filled the form in twice, once on March 9, 2012</w:t>
      </w:r>
      <w:r w:rsidR="007B66C2">
        <w:rPr>
          <w:lang w:val="en-CA"/>
        </w:rPr>
        <w:t>,</w:t>
      </w:r>
      <w:r w:rsidRPr="00436375">
        <w:rPr>
          <w:lang w:val="en-CA"/>
        </w:rPr>
        <w:t xml:space="preserve"> and a second time on July 26, 2013. The</w:t>
      </w:r>
      <w:r w:rsidR="00207F47" w:rsidRPr="00436375">
        <w:rPr>
          <w:lang w:val="en-CA"/>
        </w:rPr>
        <w:t xml:space="preserve"> questions </w:t>
      </w:r>
      <w:r w:rsidR="007B66C2">
        <w:rPr>
          <w:lang w:val="en-CA"/>
        </w:rPr>
        <w:t xml:space="preserve">at issue </w:t>
      </w:r>
      <w:r w:rsidRPr="00436375">
        <w:rPr>
          <w:lang w:val="en-CA"/>
        </w:rPr>
        <w:t xml:space="preserve">at first </w:t>
      </w:r>
      <w:r w:rsidR="00C54AD6" w:rsidRPr="00436375">
        <w:rPr>
          <w:lang w:val="en-CA"/>
        </w:rPr>
        <w:t xml:space="preserve">instance </w:t>
      </w:r>
      <w:r w:rsidRPr="00436375">
        <w:rPr>
          <w:lang w:val="en-CA"/>
        </w:rPr>
        <w:t>were</w:t>
      </w:r>
      <w:r w:rsidR="00207F47" w:rsidRPr="00436375">
        <w:rPr>
          <w:lang w:val="en-CA"/>
        </w:rPr>
        <w:t>:</w:t>
      </w:r>
    </w:p>
    <w:p w14:paraId="5EE8EA21" w14:textId="77777777" w:rsidR="0097767C" w:rsidRPr="000B4231" w:rsidRDefault="0097767C" w:rsidP="00B517C8">
      <w:pPr>
        <w:pStyle w:val="Paragraphe"/>
        <w:numPr>
          <w:ilvl w:val="0"/>
          <w:numId w:val="0"/>
        </w:numPr>
        <w:spacing w:after="0" w:line="240" w:lineRule="auto"/>
        <w:rPr>
          <w:lang w:val="en-CA"/>
        </w:rPr>
      </w:pPr>
      <w:r w:rsidRPr="00436375">
        <w:rPr>
          <w:lang w:val="en-CA"/>
        </w:rPr>
        <w:tab/>
      </w:r>
      <w:r w:rsidRPr="000B4231">
        <w:rPr>
          <w:lang w:val="en-CA"/>
        </w:rPr>
        <w:t>[</w:t>
      </w:r>
      <w:r w:rsidRPr="000B4231">
        <w:rPr>
          <w:smallCaps/>
          <w:lang w:val="en-CA"/>
        </w:rPr>
        <w:t>translation</w:t>
      </w:r>
      <w:r w:rsidRPr="000B4231">
        <w:rPr>
          <w:lang w:val="en-CA"/>
        </w:rPr>
        <w:t>]</w:t>
      </w:r>
    </w:p>
    <w:p w14:paraId="286AE5E2" w14:textId="77777777" w:rsidR="00207F47" w:rsidRPr="00974065" w:rsidRDefault="0097767C" w:rsidP="00703929">
      <w:pPr>
        <w:pStyle w:val="Citationenretrait"/>
        <w:numPr>
          <w:ilvl w:val="0"/>
          <w:numId w:val="21"/>
        </w:numPr>
        <w:spacing w:line="240" w:lineRule="auto"/>
        <w:rPr>
          <w:lang w:val="en-CA"/>
        </w:rPr>
      </w:pPr>
      <w:r w:rsidRPr="00974065">
        <w:rPr>
          <w:lang w:val="en-CA"/>
        </w:rPr>
        <w:t>Question 1: “H</w:t>
      </w:r>
      <w:r w:rsidR="005C6AD1" w:rsidRPr="00974065">
        <w:rPr>
          <w:lang w:val="en-CA"/>
        </w:rPr>
        <w:t>ave you ever</w:t>
      </w:r>
      <w:r w:rsidRPr="00974065">
        <w:rPr>
          <w:lang w:val="en-CA"/>
        </w:rPr>
        <w:t xml:space="preserve"> been hospitalized? If so, give details.”</w:t>
      </w:r>
    </w:p>
    <w:p w14:paraId="2801C62D" w14:textId="77777777" w:rsidR="00207F47" w:rsidRPr="00974065" w:rsidRDefault="0097767C" w:rsidP="00703929">
      <w:pPr>
        <w:pStyle w:val="Citationenretrait"/>
        <w:numPr>
          <w:ilvl w:val="0"/>
          <w:numId w:val="21"/>
        </w:numPr>
        <w:spacing w:line="240" w:lineRule="auto"/>
        <w:rPr>
          <w:lang w:val="en-CA"/>
        </w:rPr>
      </w:pPr>
      <w:r w:rsidRPr="00974065">
        <w:rPr>
          <w:lang w:val="en-CA"/>
        </w:rPr>
        <w:t>Question 2: “</w:t>
      </w:r>
      <w:r w:rsidR="005C6AD1" w:rsidRPr="00974065">
        <w:rPr>
          <w:lang w:val="en-CA"/>
        </w:rPr>
        <w:t>Have you ever</w:t>
      </w:r>
      <w:r w:rsidRPr="00974065">
        <w:rPr>
          <w:lang w:val="en-CA"/>
        </w:rPr>
        <w:t xml:space="preserve"> been operated on</w:t>
      </w:r>
      <w:r w:rsidR="00207F47" w:rsidRPr="00974065">
        <w:rPr>
          <w:lang w:val="en-CA"/>
        </w:rPr>
        <w:t xml:space="preserve">? </w:t>
      </w:r>
      <w:r w:rsidRPr="00974065">
        <w:rPr>
          <w:lang w:val="en-CA"/>
        </w:rPr>
        <w:t>If so, give details</w:t>
      </w:r>
      <w:r w:rsidR="005C6AD1" w:rsidRPr="00974065">
        <w:rPr>
          <w:lang w:val="en-CA"/>
        </w:rPr>
        <w:t>.”</w:t>
      </w:r>
    </w:p>
    <w:p w14:paraId="671C733A" w14:textId="77777777" w:rsidR="00207F47" w:rsidRPr="00974065" w:rsidRDefault="005C6AD1" w:rsidP="00703929">
      <w:pPr>
        <w:pStyle w:val="Citationenretrait"/>
        <w:numPr>
          <w:ilvl w:val="0"/>
          <w:numId w:val="21"/>
        </w:numPr>
        <w:spacing w:line="240" w:lineRule="auto"/>
        <w:rPr>
          <w:lang w:val="en-CA"/>
        </w:rPr>
      </w:pPr>
      <w:r w:rsidRPr="00974065">
        <w:rPr>
          <w:lang w:val="en-CA"/>
        </w:rPr>
        <w:t xml:space="preserve">Question 4: “Have you ever been in an automobile </w:t>
      </w:r>
      <w:r w:rsidR="00207F47" w:rsidRPr="00974065">
        <w:rPr>
          <w:lang w:val="en-CA"/>
        </w:rPr>
        <w:t xml:space="preserve">accident </w:t>
      </w:r>
      <w:r w:rsidRPr="00974065">
        <w:rPr>
          <w:lang w:val="en-CA"/>
        </w:rPr>
        <w:t>or have you ever been the victim of a criminal offence causing injuries</w:t>
      </w:r>
      <w:r w:rsidR="00207F47" w:rsidRPr="00974065">
        <w:rPr>
          <w:lang w:val="en-CA"/>
        </w:rPr>
        <w:t xml:space="preserve">? </w:t>
      </w:r>
      <w:r w:rsidR="0097767C" w:rsidRPr="00974065">
        <w:rPr>
          <w:lang w:val="en-CA"/>
        </w:rPr>
        <w:t>If so, give details</w:t>
      </w:r>
      <w:r w:rsidRPr="00974065">
        <w:rPr>
          <w:lang w:val="en-CA"/>
        </w:rPr>
        <w:t>.”</w:t>
      </w:r>
    </w:p>
    <w:p w14:paraId="497D71D4" w14:textId="77777777" w:rsidR="00207F47" w:rsidRPr="00974065" w:rsidRDefault="003257EF" w:rsidP="00703929">
      <w:pPr>
        <w:pStyle w:val="Citationenretrait"/>
        <w:numPr>
          <w:ilvl w:val="0"/>
          <w:numId w:val="21"/>
        </w:numPr>
        <w:spacing w:line="240" w:lineRule="auto"/>
        <w:rPr>
          <w:lang w:val="en-CA"/>
        </w:rPr>
      </w:pPr>
      <w:r w:rsidRPr="00974065">
        <w:rPr>
          <w:lang w:val="en-CA"/>
        </w:rPr>
        <w:t>Question 7: “Are you receiving</w:t>
      </w:r>
      <w:r w:rsidR="005C6AD1" w:rsidRPr="00974065">
        <w:rPr>
          <w:lang w:val="en-CA"/>
        </w:rPr>
        <w:t xml:space="preserve"> or have you ever received a lump-sum payment following an illness or injury</w:t>
      </w:r>
      <w:r w:rsidR="00207F47" w:rsidRPr="00974065">
        <w:rPr>
          <w:lang w:val="en-CA"/>
        </w:rPr>
        <w:t xml:space="preserve">? </w:t>
      </w:r>
      <w:r w:rsidR="0097767C" w:rsidRPr="00974065">
        <w:rPr>
          <w:lang w:val="en-CA"/>
        </w:rPr>
        <w:t>If so, give details</w:t>
      </w:r>
      <w:r w:rsidR="005C6AD1" w:rsidRPr="00974065">
        <w:rPr>
          <w:lang w:val="en-CA"/>
        </w:rPr>
        <w:t>.”</w:t>
      </w:r>
    </w:p>
    <w:p w14:paraId="6C84B239" w14:textId="3C19BBE0" w:rsidR="00207F47" w:rsidRPr="00974065" w:rsidRDefault="005C6AD1" w:rsidP="00703929">
      <w:pPr>
        <w:pStyle w:val="Citationenretrait"/>
        <w:numPr>
          <w:ilvl w:val="0"/>
          <w:numId w:val="21"/>
        </w:numPr>
        <w:spacing w:line="240" w:lineRule="auto"/>
        <w:rPr>
          <w:lang w:val="en-CA"/>
        </w:rPr>
      </w:pPr>
      <w:r w:rsidRPr="00974065">
        <w:rPr>
          <w:lang w:val="en-CA"/>
        </w:rPr>
        <w:t>Question 8: “Have you ever been ex</w:t>
      </w:r>
      <w:r w:rsidR="003257EF" w:rsidRPr="00974065">
        <w:rPr>
          <w:lang w:val="en-CA"/>
        </w:rPr>
        <w:t>posed, … at work or at recreation</w:t>
      </w:r>
      <w:r w:rsidRPr="00974065">
        <w:rPr>
          <w:lang w:val="en-CA"/>
        </w:rPr>
        <w:t>, to: repeated mo</w:t>
      </w:r>
      <w:r w:rsidR="00207F47" w:rsidRPr="00974065">
        <w:rPr>
          <w:lang w:val="en-CA"/>
        </w:rPr>
        <w:t xml:space="preserve">vements </w:t>
      </w:r>
      <w:r w:rsidRPr="00974065">
        <w:rPr>
          <w:lang w:val="en-CA"/>
        </w:rPr>
        <w:t xml:space="preserve">of your hands or elbows, high noise levels, asbestos, lead, mercury, cadmium or other metals, </w:t>
      </w:r>
      <w:r w:rsidR="00207F47" w:rsidRPr="00974065">
        <w:rPr>
          <w:lang w:val="en-CA"/>
        </w:rPr>
        <w:t>radioactive</w:t>
      </w:r>
      <w:r w:rsidRPr="00974065">
        <w:rPr>
          <w:lang w:val="en-CA"/>
        </w:rPr>
        <w:t xml:space="preserve"> substance</w:t>
      </w:r>
      <w:r w:rsidR="00207F47" w:rsidRPr="00974065">
        <w:rPr>
          <w:lang w:val="en-CA"/>
        </w:rPr>
        <w:t xml:space="preserve">s, </w:t>
      </w:r>
      <w:r w:rsidRPr="00974065">
        <w:rPr>
          <w:lang w:val="en-CA"/>
        </w:rPr>
        <w:t xml:space="preserve">vibrating tools, </w:t>
      </w:r>
      <w:r w:rsidR="00207F47" w:rsidRPr="00974065">
        <w:rPr>
          <w:lang w:val="en-CA"/>
        </w:rPr>
        <w:t xml:space="preserve">pesticides, herbicides, insecticides, </w:t>
      </w:r>
      <w:r w:rsidR="00A05660" w:rsidRPr="00974065">
        <w:rPr>
          <w:lang w:val="en-CA"/>
        </w:rPr>
        <w:t xml:space="preserve">scouring or sanding dust, </w:t>
      </w:r>
      <w:r w:rsidR="004759FA">
        <w:rPr>
          <w:lang w:val="en-CA"/>
        </w:rPr>
        <w:t xml:space="preserve">textile </w:t>
      </w:r>
      <w:r w:rsidR="00A05660" w:rsidRPr="00974065">
        <w:rPr>
          <w:lang w:val="en-CA"/>
        </w:rPr>
        <w:t xml:space="preserve">drilling, </w:t>
      </w:r>
      <w:r w:rsidR="00207F47" w:rsidRPr="00974065">
        <w:rPr>
          <w:lang w:val="en-CA"/>
        </w:rPr>
        <w:t>c</w:t>
      </w:r>
      <w:r w:rsidR="00A05660" w:rsidRPr="00974065">
        <w:rPr>
          <w:lang w:val="en-CA"/>
        </w:rPr>
        <w:t>oal, silica, grains, etc</w:t>
      </w:r>
      <w:r w:rsidR="00947448">
        <w:rPr>
          <w:lang w:val="en-CA"/>
        </w:rPr>
        <w:t>.</w:t>
      </w:r>
      <w:r w:rsidR="00A05660" w:rsidRPr="00974065">
        <w:rPr>
          <w:lang w:val="en-CA"/>
        </w:rPr>
        <w:t>…”</w:t>
      </w:r>
    </w:p>
    <w:p w14:paraId="39B6173D" w14:textId="77777777" w:rsidR="00207F47" w:rsidRPr="00974065" w:rsidRDefault="00A05660" w:rsidP="00703929">
      <w:pPr>
        <w:pStyle w:val="Citationenretrait"/>
        <w:numPr>
          <w:ilvl w:val="0"/>
          <w:numId w:val="21"/>
        </w:numPr>
        <w:spacing w:line="240" w:lineRule="auto"/>
        <w:rPr>
          <w:lang w:val="en-CA"/>
        </w:rPr>
      </w:pPr>
      <w:r w:rsidRPr="00974065">
        <w:rPr>
          <w:lang w:val="en-CA"/>
        </w:rPr>
        <w:t>Sectio</w:t>
      </w:r>
      <w:r w:rsidR="0071160F" w:rsidRPr="00974065">
        <w:rPr>
          <w:lang w:val="en-CA"/>
        </w:rPr>
        <w:t>n 4- Systems r</w:t>
      </w:r>
      <w:r w:rsidRPr="00974065">
        <w:rPr>
          <w:lang w:val="en-CA"/>
        </w:rPr>
        <w:t>eview</w:t>
      </w:r>
      <w:r w:rsidR="00207F47" w:rsidRPr="00974065">
        <w:rPr>
          <w:lang w:val="en-CA"/>
        </w:rPr>
        <w:t>:</w:t>
      </w:r>
    </w:p>
    <w:p w14:paraId="19A6539B" w14:textId="6F94EAAB" w:rsidR="00207F47" w:rsidRPr="00974065" w:rsidRDefault="0015556F" w:rsidP="00703929">
      <w:pPr>
        <w:pStyle w:val="Citationenretrait"/>
        <w:spacing w:line="240" w:lineRule="auto"/>
        <w:ind w:left="1843"/>
        <w:rPr>
          <w:lang w:val="en-CA"/>
        </w:rPr>
      </w:pPr>
      <w:r w:rsidRPr="00974065">
        <w:rPr>
          <w:lang w:val="en-CA"/>
        </w:rPr>
        <w:t>“</w:t>
      </w:r>
      <w:r w:rsidRPr="00974065">
        <w:rPr>
          <w:u w:val="single"/>
          <w:lang w:val="en-CA"/>
        </w:rPr>
        <w:t>Are you now or have you even been treated for any of the following illnesses</w:t>
      </w:r>
      <w:r w:rsidR="00207F47" w:rsidRPr="00974065">
        <w:rPr>
          <w:lang w:val="en-CA"/>
        </w:rPr>
        <w:t xml:space="preserve">? </w:t>
      </w:r>
      <w:r w:rsidRPr="00974065">
        <w:rPr>
          <w:lang w:val="en-CA"/>
        </w:rPr>
        <w:t>Tick the response and circle the illness, injury</w:t>
      </w:r>
      <w:r w:rsidR="004759FA">
        <w:rPr>
          <w:lang w:val="en-CA"/>
        </w:rPr>
        <w:t>,</w:t>
      </w:r>
      <w:r w:rsidRPr="00974065">
        <w:rPr>
          <w:lang w:val="en-CA"/>
        </w:rPr>
        <w:t xml:space="preserve"> or symptom and give details.</w:t>
      </w:r>
      <w:r w:rsidR="00207F47" w:rsidRPr="00974065">
        <w:rPr>
          <w:lang w:val="en-CA"/>
        </w:rPr>
        <w:t xml:space="preserve"> </w:t>
      </w:r>
    </w:p>
    <w:p w14:paraId="1CE22FFC" w14:textId="720C116A" w:rsidR="00207F47" w:rsidRPr="00974065" w:rsidRDefault="00F60C34" w:rsidP="00703929">
      <w:pPr>
        <w:pStyle w:val="Citationenretrait"/>
        <w:numPr>
          <w:ilvl w:val="0"/>
          <w:numId w:val="22"/>
        </w:numPr>
        <w:spacing w:line="240" w:lineRule="auto"/>
        <w:ind w:left="1843"/>
        <w:rPr>
          <w:lang w:val="en-CA"/>
        </w:rPr>
      </w:pPr>
      <w:r w:rsidRPr="00974065">
        <w:rPr>
          <w:lang w:val="en-CA"/>
        </w:rPr>
        <w:t>Question 12</w:t>
      </w:r>
      <w:r w:rsidR="00207F47" w:rsidRPr="00974065">
        <w:rPr>
          <w:lang w:val="en-CA"/>
        </w:rPr>
        <w:t xml:space="preserve">: </w:t>
      </w:r>
      <w:r w:rsidRPr="00974065">
        <w:rPr>
          <w:b/>
          <w:bCs/>
          <w:lang w:val="en-CA"/>
        </w:rPr>
        <w:t xml:space="preserve">Liver, pancreas, </w:t>
      </w:r>
      <w:r w:rsidR="00207F47" w:rsidRPr="00974065">
        <w:rPr>
          <w:b/>
          <w:bCs/>
          <w:lang w:val="en-CA"/>
        </w:rPr>
        <w:t>stomac</w:t>
      </w:r>
      <w:r w:rsidRPr="00974065">
        <w:rPr>
          <w:b/>
          <w:bCs/>
          <w:lang w:val="en-CA"/>
        </w:rPr>
        <w:t>h</w:t>
      </w:r>
      <w:r w:rsidR="00207F47" w:rsidRPr="00974065">
        <w:rPr>
          <w:b/>
          <w:bCs/>
          <w:lang w:val="en-CA"/>
        </w:rPr>
        <w:t>, intestin</w:t>
      </w:r>
      <w:r w:rsidRPr="00974065">
        <w:rPr>
          <w:b/>
          <w:bCs/>
          <w:lang w:val="en-CA"/>
        </w:rPr>
        <w:t>e</w:t>
      </w:r>
      <w:r w:rsidR="00207F47" w:rsidRPr="00974065">
        <w:rPr>
          <w:b/>
          <w:bCs/>
          <w:lang w:val="en-CA"/>
        </w:rPr>
        <w:t>s</w:t>
      </w:r>
      <w:r w:rsidRPr="00974065">
        <w:rPr>
          <w:lang w:val="en-CA"/>
        </w:rPr>
        <w:t>: e.g.</w:t>
      </w:r>
      <w:r w:rsidR="004759FA">
        <w:rPr>
          <w:lang w:val="en-CA"/>
        </w:rPr>
        <w:t>,</w:t>
      </w:r>
      <w:r w:rsidRPr="00974065">
        <w:rPr>
          <w:lang w:val="en-CA"/>
        </w:rPr>
        <w:t xml:space="preserve"> he</w:t>
      </w:r>
      <w:r w:rsidR="00207F47" w:rsidRPr="00974065">
        <w:rPr>
          <w:lang w:val="en-CA"/>
        </w:rPr>
        <w:t>patit</w:t>
      </w:r>
      <w:r w:rsidRPr="00974065">
        <w:rPr>
          <w:lang w:val="en-CA"/>
        </w:rPr>
        <w:t>is, jaundice, ulcers, hernias, colitis</w:t>
      </w:r>
      <w:r w:rsidR="00207F47" w:rsidRPr="00974065">
        <w:rPr>
          <w:lang w:val="en-CA"/>
        </w:rPr>
        <w:t xml:space="preserve">, </w:t>
      </w:r>
      <w:r w:rsidR="004759FA">
        <w:rPr>
          <w:lang w:val="en-CA"/>
        </w:rPr>
        <w:t>gall</w:t>
      </w:r>
      <w:r w:rsidRPr="00974065">
        <w:rPr>
          <w:lang w:val="en-CA"/>
        </w:rPr>
        <w:t>stones, hemorrhoids</w:t>
      </w:r>
      <w:r w:rsidR="00207F47" w:rsidRPr="00974065">
        <w:rPr>
          <w:lang w:val="en-CA"/>
        </w:rPr>
        <w:t xml:space="preserve">, </w:t>
      </w:r>
      <w:r w:rsidRPr="00974065">
        <w:rPr>
          <w:lang w:val="en-CA"/>
        </w:rPr>
        <w:t>chronic diarrhea, constipation</w:t>
      </w:r>
      <w:r w:rsidR="00207F47" w:rsidRPr="00974065">
        <w:rPr>
          <w:lang w:val="en-CA"/>
        </w:rPr>
        <w:t xml:space="preserve">? </w:t>
      </w:r>
      <w:r w:rsidR="0097767C" w:rsidRPr="00974065">
        <w:rPr>
          <w:lang w:val="en-CA"/>
        </w:rPr>
        <w:t>If so, give details</w:t>
      </w:r>
      <w:r w:rsidR="00207F47" w:rsidRPr="00974065">
        <w:rPr>
          <w:lang w:val="en-CA"/>
        </w:rPr>
        <w:t>.</w:t>
      </w:r>
    </w:p>
    <w:p w14:paraId="2C57A5BF" w14:textId="77777777" w:rsidR="00207F47" w:rsidRPr="00974065" w:rsidRDefault="00F60C34" w:rsidP="00703929">
      <w:pPr>
        <w:pStyle w:val="Citationenretrait"/>
        <w:numPr>
          <w:ilvl w:val="0"/>
          <w:numId w:val="22"/>
        </w:numPr>
        <w:spacing w:line="240" w:lineRule="auto"/>
        <w:ind w:left="1843"/>
        <w:rPr>
          <w:lang w:val="en-CA"/>
        </w:rPr>
      </w:pPr>
      <w:r w:rsidRPr="00974065">
        <w:rPr>
          <w:lang w:val="en-CA"/>
        </w:rPr>
        <w:lastRenderedPageBreak/>
        <w:t>Question 18</w:t>
      </w:r>
      <w:r w:rsidR="00207F47" w:rsidRPr="00974065">
        <w:rPr>
          <w:lang w:val="en-CA"/>
        </w:rPr>
        <w:t xml:space="preserve">: </w:t>
      </w:r>
      <w:r w:rsidRPr="00974065">
        <w:rPr>
          <w:b/>
          <w:lang w:val="en-CA"/>
        </w:rPr>
        <w:t>Nervous system disorders</w:t>
      </w:r>
      <w:r w:rsidR="00207F47" w:rsidRPr="00974065">
        <w:rPr>
          <w:lang w:val="en-CA"/>
        </w:rPr>
        <w:t>:</w:t>
      </w:r>
    </w:p>
    <w:p w14:paraId="397E6A00" w14:textId="77777777" w:rsidR="00207F47" w:rsidRPr="00974065" w:rsidRDefault="00F60C34" w:rsidP="00703929">
      <w:pPr>
        <w:pStyle w:val="Citationenretrait"/>
        <w:spacing w:before="0" w:line="240" w:lineRule="auto"/>
        <w:ind w:left="2160"/>
        <w:rPr>
          <w:lang w:val="en-CA"/>
        </w:rPr>
      </w:pPr>
      <w:r w:rsidRPr="00974065">
        <w:rPr>
          <w:lang w:val="en-CA"/>
        </w:rPr>
        <w:t>a) Convulsion</w:t>
      </w:r>
      <w:r w:rsidR="006E131D" w:rsidRPr="00974065">
        <w:rPr>
          <w:lang w:val="en-CA"/>
        </w:rPr>
        <w:t>s</w:t>
      </w:r>
      <w:r w:rsidRPr="00974065">
        <w:rPr>
          <w:lang w:val="en-CA"/>
        </w:rPr>
        <w:t>, vertigo</w:t>
      </w:r>
      <w:r w:rsidR="00207F47" w:rsidRPr="00974065">
        <w:rPr>
          <w:lang w:val="en-CA"/>
        </w:rPr>
        <w:t xml:space="preserve">, </w:t>
      </w:r>
      <w:r w:rsidRPr="00974065">
        <w:rPr>
          <w:lang w:val="en-CA"/>
        </w:rPr>
        <w:t>epilepsy, paralysis</w:t>
      </w:r>
      <w:r w:rsidR="00207F47" w:rsidRPr="00974065">
        <w:rPr>
          <w:lang w:val="en-CA"/>
        </w:rPr>
        <w:t xml:space="preserve">, </w:t>
      </w:r>
      <w:r w:rsidRPr="00974065">
        <w:rPr>
          <w:lang w:val="en-CA"/>
        </w:rPr>
        <w:t>severe headaches, loss of consciousness</w:t>
      </w:r>
      <w:r w:rsidR="00207F47" w:rsidRPr="00974065">
        <w:rPr>
          <w:lang w:val="en-CA"/>
        </w:rPr>
        <w:t xml:space="preserve">? </w:t>
      </w:r>
      <w:r w:rsidR="0097767C" w:rsidRPr="00974065">
        <w:rPr>
          <w:lang w:val="en-CA"/>
        </w:rPr>
        <w:t>If so, give details</w:t>
      </w:r>
      <w:r w:rsidR="0024436F" w:rsidRPr="00974065">
        <w:rPr>
          <w:lang w:val="en-CA"/>
        </w:rPr>
        <w:t>.</w:t>
      </w:r>
    </w:p>
    <w:p w14:paraId="41B56521" w14:textId="77777777" w:rsidR="00207F47" w:rsidRPr="0003572B" w:rsidRDefault="00682415" w:rsidP="00703929">
      <w:pPr>
        <w:pStyle w:val="Citationenretrait"/>
        <w:spacing w:before="0" w:line="240" w:lineRule="auto"/>
        <w:ind w:left="2160"/>
        <w:rPr>
          <w:lang w:val="en-CA"/>
        </w:rPr>
      </w:pPr>
      <w:r w:rsidRPr="00974065">
        <w:rPr>
          <w:lang w:val="en-CA"/>
        </w:rPr>
        <w:t>b) Insomnia, anxiety, de</w:t>
      </w:r>
      <w:r w:rsidR="00207F47" w:rsidRPr="00974065">
        <w:rPr>
          <w:lang w:val="en-CA"/>
        </w:rPr>
        <w:t>pression</w:t>
      </w:r>
      <w:r w:rsidRPr="00974065">
        <w:rPr>
          <w:lang w:val="en-CA"/>
        </w:rPr>
        <w:t>, burnout</w:t>
      </w:r>
      <w:r w:rsidR="00207F47" w:rsidRPr="00974065">
        <w:rPr>
          <w:lang w:val="en-CA"/>
        </w:rPr>
        <w:t xml:space="preserve">, </w:t>
      </w:r>
      <w:r w:rsidRPr="00974065">
        <w:rPr>
          <w:lang w:val="en-CA"/>
        </w:rPr>
        <w:t xml:space="preserve">memory loss, </w:t>
      </w:r>
      <w:r w:rsidRPr="00974065">
        <w:rPr>
          <w:u w:val="single"/>
          <w:lang w:val="en-CA"/>
        </w:rPr>
        <w:t>diverse emotional problems</w:t>
      </w:r>
      <w:r w:rsidRPr="00974065">
        <w:rPr>
          <w:lang w:val="en-CA"/>
        </w:rPr>
        <w:t>, dependence on d</w:t>
      </w:r>
      <w:r w:rsidR="00241045" w:rsidRPr="00974065">
        <w:rPr>
          <w:lang w:val="en-CA"/>
        </w:rPr>
        <w:t>rugs</w:t>
      </w:r>
      <w:r w:rsidR="00207F47" w:rsidRPr="00974065">
        <w:rPr>
          <w:lang w:val="en-CA"/>
        </w:rPr>
        <w:t>/alco</w:t>
      </w:r>
      <w:r w:rsidR="00241045" w:rsidRPr="00974065">
        <w:rPr>
          <w:lang w:val="en-CA"/>
        </w:rPr>
        <w:t>h</w:t>
      </w:r>
      <w:r w:rsidR="00207F47" w:rsidRPr="00974065">
        <w:rPr>
          <w:lang w:val="en-CA"/>
        </w:rPr>
        <w:t xml:space="preserve">ol, etc.? </w:t>
      </w:r>
      <w:r w:rsidR="0097767C" w:rsidRPr="00974065">
        <w:rPr>
          <w:u w:val="single"/>
          <w:lang w:val="en-CA"/>
        </w:rPr>
        <w:t>If so, give details</w:t>
      </w:r>
      <w:r w:rsidR="00207F47" w:rsidRPr="00974065">
        <w:rPr>
          <w:lang w:val="en-CA"/>
        </w:rPr>
        <w:t>.</w:t>
      </w:r>
      <w:r w:rsidR="00207F47" w:rsidRPr="0003572B">
        <w:rPr>
          <w:rStyle w:val="Appelnotedebasdep"/>
          <w:lang w:val="en-CA"/>
        </w:rPr>
        <w:footnoteReference w:id="2"/>
      </w:r>
    </w:p>
    <w:p w14:paraId="66F588BD" w14:textId="77777777" w:rsidR="00207F47" w:rsidRPr="0003572B" w:rsidRDefault="00241045" w:rsidP="00703929">
      <w:pPr>
        <w:pStyle w:val="Citationenretrait"/>
        <w:numPr>
          <w:ilvl w:val="0"/>
          <w:numId w:val="23"/>
        </w:numPr>
        <w:spacing w:line="240" w:lineRule="auto"/>
        <w:ind w:left="1843"/>
        <w:rPr>
          <w:lang w:val="en-CA"/>
        </w:rPr>
      </w:pPr>
      <w:r w:rsidRPr="0003572B">
        <w:rPr>
          <w:lang w:val="en-CA"/>
        </w:rPr>
        <w:t>Question 21</w:t>
      </w:r>
      <w:r w:rsidR="00207F47" w:rsidRPr="0003572B">
        <w:rPr>
          <w:lang w:val="en-CA"/>
        </w:rPr>
        <w:t xml:space="preserve">: </w:t>
      </w:r>
      <w:r w:rsidRPr="0003572B">
        <w:rPr>
          <w:b/>
          <w:bCs/>
          <w:lang w:val="en-CA"/>
        </w:rPr>
        <w:t>skin diseases</w:t>
      </w:r>
      <w:r w:rsidRPr="0003572B">
        <w:rPr>
          <w:lang w:val="en-CA"/>
        </w:rPr>
        <w:t>: psoriasis, ecze</w:t>
      </w:r>
      <w:r w:rsidR="00207F47" w:rsidRPr="0003572B">
        <w:rPr>
          <w:lang w:val="en-CA"/>
        </w:rPr>
        <w:t xml:space="preserve">ma, </w:t>
      </w:r>
      <w:r w:rsidRPr="0003572B">
        <w:rPr>
          <w:lang w:val="en-CA"/>
        </w:rPr>
        <w:t>hives</w:t>
      </w:r>
      <w:r w:rsidR="00207F47" w:rsidRPr="0003572B">
        <w:rPr>
          <w:lang w:val="en-CA"/>
        </w:rPr>
        <w:t xml:space="preserve">, </w:t>
      </w:r>
      <w:r w:rsidRPr="0003572B">
        <w:rPr>
          <w:lang w:val="en-CA"/>
        </w:rPr>
        <w:t>dry skin, warts, etc.</w:t>
      </w:r>
      <w:r w:rsidR="00207F47" w:rsidRPr="0003572B">
        <w:rPr>
          <w:lang w:val="en-CA"/>
        </w:rPr>
        <w:t xml:space="preserve">? </w:t>
      </w:r>
      <w:r w:rsidR="0097767C" w:rsidRPr="0003572B">
        <w:rPr>
          <w:lang w:val="en-CA"/>
        </w:rPr>
        <w:t>If so, give details</w:t>
      </w:r>
      <w:r w:rsidR="00207F47" w:rsidRPr="0003572B">
        <w:rPr>
          <w:lang w:val="en-CA"/>
        </w:rPr>
        <w:t>.</w:t>
      </w:r>
    </w:p>
    <w:p w14:paraId="748BAE1F" w14:textId="77777777" w:rsidR="00207F47" w:rsidRPr="0003572B" w:rsidRDefault="00241045" w:rsidP="00703929">
      <w:pPr>
        <w:pStyle w:val="Citationenretrait"/>
        <w:numPr>
          <w:ilvl w:val="0"/>
          <w:numId w:val="23"/>
        </w:numPr>
        <w:spacing w:line="240" w:lineRule="auto"/>
        <w:ind w:left="1843"/>
        <w:rPr>
          <w:lang w:val="en-CA"/>
        </w:rPr>
      </w:pPr>
      <w:r w:rsidRPr="0003572B">
        <w:rPr>
          <w:lang w:val="en-CA"/>
        </w:rPr>
        <w:t>Question 25</w:t>
      </w:r>
      <w:r w:rsidR="00207F47" w:rsidRPr="0003572B">
        <w:rPr>
          <w:lang w:val="en-CA"/>
        </w:rPr>
        <w:t xml:space="preserve">: </w:t>
      </w:r>
      <w:r w:rsidRPr="0003572B">
        <w:rPr>
          <w:u w:val="single"/>
          <w:lang w:val="en-CA"/>
        </w:rPr>
        <w:t>any other health problem not listed above</w:t>
      </w:r>
      <w:r w:rsidR="00207F47" w:rsidRPr="0003572B">
        <w:rPr>
          <w:lang w:val="en-CA"/>
        </w:rPr>
        <w:t xml:space="preserve">? </w:t>
      </w:r>
      <w:r w:rsidR="0097767C" w:rsidRPr="0003572B">
        <w:rPr>
          <w:lang w:val="en-CA"/>
        </w:rPr>
        <w:t>If so, give details</w:t>
      </w:r>
      <w:r w:rsidRPr="0003572B">
        <w:rPr>
          <w:lang w:val="en-CA"/>
        </w:rPr>
        <w:t>.”</w:t>
      </w:r>
    </w:p>
    <w:p w14:paraId="2DA3D7F2" w14:textId="5FE55A1F" w:rsidR="006022DD" w:rsidRPr="0003572B" w:rsidRDefault="00F60C34" w:rsidP="00703929">
      <w:pPr>
        <w:pStyle w:val="Citationenretrait"/>
        <w:spacing w:line="240" w:lineRule="auto"/>
        <w:ind w:left="1843"/>
        <w:jc w:val="right"/>
        <w:rPr>
          <w:lang w:val="en-CA"/>
        </w:rPr>
      </w:pPr>
      <w:r w:rsidRPr="0003572B">
        <w:rPr>
          <w:lang w:val="en-CA"/>
        </w:rPr>
        <w:t>[</w:t>
      </w:r>
      <w:r w:rsidR="006C69E4">
        <w:rPr>
          <w:lang w:val="en-CA"/>
        </w:rPr>
        <w:t>E</w:t>
      </w:r>
      <w:r w:rsidRPr="0003572B">
        <w:rPr>
          <w:lang w:val="en-CA"/>
        </w:rPr>
        <w:t>mphasis</w:t>
      </w:r>
      <w:r w:rsidR="006C69E4">
        <w:rPr>
          <w:lang w:val="en-CA"/>
        </w:rPr>
        <w:t xml:space="preserve"> added.</w:t>
      </w:r>
      <w:r w:rsidR="006022DD" w:rsidRPr="0003572B">
        <w:rPr>
          <w:lang w:val="en-CA"/>
        </w:rPr>
        <w:t>]</w:t>
      </w:r>
    </w:p>
    <w:p w14:paraId="01A01BFC" w14:textId="77777777" w:rsidR="00207F47" w:rsidRPr="0003572B" w:rsidRDefault="00F60C34" w:rsidP="00703929">
      <w:pPr>
        <w:pStyle w:val="Paragraphe"/>
        <w:spacing w:line="240" w:lineRule="auto"/>
        <w:rPr>
          <w:lang w:val="en-CA"/>
        </w:rPr>
      </w:pPr>
      <w:r w:rsidRPr="0003572B">
        <w:rPr>
          <w:lang w:val="en-CA"/>
        </w:rPr>
        <w:t>Only questions 18 and</w:t>
      </w:r>
      <w:r w:rsidR="00207F47" w:rsidRPr="0003572B">
        <w:rPr>
          <w:lang w:val="en-CA"/>
        </w:rPr>
        <w:t xml:space="preserve"> 25 </w:t>
      </w:r>
      <w:r w:rsidRPr="0003572B">
        <w:rPr>
          <w:lang w:val="en-CA"/>
        </w:rPr>
        <w:t xml:space="preserve">are still relevant at the appeal stage. </w:t>
      </w:r>
    </w:p>
    <w:p w14:paraId="765E4771" w14:textId="7CBF518B" w:rsidR="00207F47" w:rsidRPr="0003572B" w:rsidRDefault="001A016B" w:rsidP="00703929">
      <w:pPr>
        <w:pStyle w:val="Paragraphe"/>
        <w:spacing w:line="240" w:lineRule="auto"/>
        <w:rPr>
          <w:lang w:val="en-CA"/>
        </w:rPr>
      </w:pPr>
      <w:r w:rsidRPr="0003572B">
        <w:rPr>
          <w:lang w:val="en-CA"/>
        </w:rPr>
        <w:t>Th</w:t>
      </w:r>
      <w:r w:rsidR="00207F47" w:rsidRPr="0003572B">
        <w:rPr>
          <w:lang w:val="en-CA"/>
        </w:rPr>
        <w:t xml:space="preserve">e </w:t>
      </w:r>
      <w:r w:rsidRPr="0003572B">
        <w:rPr>
          <w:lang w:val="en-CA"/>
        </w:rPr>
        <w:t xml:space="preserve">administrative investigation </w:t>
      </w:r>
      <w:r w:rsidR="00207F47" w:rsidRPr="0003572B">
        <w:rPr>
          <w:lang w:val="en-CA"/>
        </w:rPr>
        <w:t xml:space="preserve">questionnaire </w:t>
      </w:r>
      <w:r w:rsidRPr="0003572B">
        <w:rPr>
          <w:lang w:val="en-CA"/>
        </w:rPr>
        <w:t xml:space="preserve">or pre-employment </w:t>
      </w:r>
      <w:r w:rsidR="00207F47" w:rsidRPr="0003572B">
        <w:rPr>
          <w:lang w:val="en-CA"/>
        </w:rPr>
        <w:t xml:space="preserve">questionnaire </w:t>
      </w:r>
      <w:r w:rsidRPr="0003572B">
        <w:rPr>
          <w:lang w:val="en-CA"/>
        </w:rPr>
        <w:t xml:space="preserve">touches briefly on the applicant’s health, but also contains a set of </w:t>
      </w:r>
      <w:r w:rsidR="00C54AD6" w:rsidRPr="0003572B">
        <w:rPr>
          <w:lang w:val="en-CA"/>
        </w:rPr>
        <w:t xml:space="preserve">questions </w:t>
      </w:r>
      <w:r w:rsidRPr="0003572B">
        <w:rPr>
          <w:lang w:val="en-CA"/>
        </w:rPr>
        <w:t>aimed at obtaining family, academic, professional, social</w:t>
      </w:r>
      <w:r w:rsidR="005E075C">
        <w:rPr>
          <w:lang w:val="en-CA"/>
        </w:rPr>
        <w:t>,</w:t>
      </w:r>
      <w:r w:rsidRPr="0003572B">
        <w:rPr>
          <w:lang w:val="en-CA"/>
        </w:rPr>
        <w:t xml:space="preserve"> and financial information. </w:t>
      </w:r>
      <w:r w:rsidR="005E075C">
        <w:rPr>
          <w:lang w:val="en-CA"/>
        </w:rPr>
        <w:t>This</w:t>
      </w:r>
      <w:r w:rsidR="005E075C" w:rsidRPr="0003572B">
        <w:rPr>
          <w:lang w:val="en-CA"/>
        </w:rPr>
        <w:t xml:space="preserve"> </w:t>
      </w:r>
      <w:r w:rsidR="00207F47" w:rsidRPr="0003572B">
        <w:rPr>
          <w:lang w:val="en-CA"/>
        </w:rPr>
        <w:t xml:space="preserve">questionnaire </w:t>
      </w:r>
      <w:r w:rsidRPr="0003572B">
        <w:rPr>
          <w:lang w:val="en-CA"/>
        </w:rPr>
        <w:t>is filled in before the interview with the investigator.</w:t>
      </w:r>
    </w:p>
    <w:p w14:paraId="19E7C366" w14:textId="638C08D3" w:rsidR="00207F47" w:rsidRPr="0003572B" w:rsidRDefault="001A016B" w:rsidP="00703929">
      <w:pPr>
        <w:pStyle w:val="Paragraphe"/>
        <w:spacing w:line="240" w:lineRule="auto"/>
        <w:rPr>
          <w:lang w:val="en-CA"/>
        </w:rPr>
      </w:pPr>
      <w:r w:rsidRPr="0003572B">
        <w:rPr>
          <w:lang w:val="en-CA"/>
        </w:rPr>
        <w:t xml:space="preserve">The </w:t>
      </w:r>
      <w:r w:rsidR="007A63D6" w:rsidRPr="0003572B">
        <w:rPr>
          <w:lang w:val="en-CA"/>
        </w:rPr>
        <w:t xml:space="preserve">relevant </w:t>
      </w:r>
      <w:r w:rsidR="00207F47" w:rsidRPr="0003572B">
        <w:rPr>
          <w:lang w:val="en-CA"/>
        </w:rPr>
        <w:t xml:space="preserve">questions </w:t>
      </w:r>
      <w:r w:rsidRPr="0003572B">
        <w:rPr>
          <w:lang w:val="en-CA"/>
        </w:rPr>
        <w:t xml:space="preserve">at first </w:t>
      </w:r>
      <w:r w:rsidR="00207F47" w:rsidRPr="0003572B">
        <w:rPr>
          <w:lang w:val="en-CA"/>
        </w:rPr>
        <w:t xml:space="preserve">instance </w:t>
      </w:r>
      <w:r w:rsidRPr="0003572B">
        <w:rPr>
          <w:lang w:val="en-CA"/>
        </w:rPr>
        <w:t>were</w:t>
      </w:r>
      <w:r w:rsidR="00207F47" w:rsidRPr="0003572B">
        <w:rPr>
          <w:lang w:val="en-CA"/>
        </w:rPr>
        <w:t>:</w:t>
      </w:r>
    </w:p>
    <w:p w14:paraId="6B3FDD1E" w14:textId="77777777" w:rsidR="001A016B" w:rsidRPr="0003572B" w:rsidRDefault="001A016B" w:rsidP="00B517C8">
      <w:pPr>
        <w:pStyle w:val="Paragraphe"/>
        <w:numPr>
          <w:ilvl w:val="0"/>
          <w:numId w:val="0"/>
        </w:numPr>
        <w:spacing w:before="0" w:after="0" w:line="240" w:lineRule="auto"/>
        <w:rPr>
          <w:lang w:val="en-CA"/>
        </w:rPr>
      </w:pPr>
      <w:r w:rsidRPr="0003572B">
        <w:rPr>
          <w:lang w:val="en-CA"/>
        </w:rPr>
        <w:tab/>
        <w:t>[</w:t>
      </w:r>
      <w:r w:rsidRPr="0003572B">
        <w:rPr>
          <w:smallCaps/>
          <w:lang w:val="en-CA"/>
        </w:rPr>
        <w:t>translation</w:t>
      </w:r>
      <w:r w:rsidRPr="0003572B">
        <w:rPr>
          <w:lang w:val="en-CA"/>
        </w:rPr>
        <w:t>]</w:t>
      </w:r>
    </w:p>
    <w:p w14:paraId="0C12C987" w14:textId="56C854D3" w:rsidR="00207F47" w:rsidRPr="0003572B" w:rsidRDefault="001A016B" w:rsidP="00703929">
      <w:pPr>
        <w:pStyle w:val="Citationenretrait"/>
        <w:numPr>
          <w:ilvl w:val="0"/>
          <w:numId w:val="24"/>
        </w:numPr>
        <w:spacing w:line="240" w:lineRule="auto"/>
        <w:rPr>
          <w:lang w:val="en-CA"/>
        </w:rPr>
      </w:pPr>
      <w:r w:rsidRPr="0003572B">
        <w:rPr>
          <w:lang w:val="en-CA"/>
        </w:rPr>
        <w:t xml:space="preserve">7.5: “Have you suffered from depression, anxiety, panic disorders, </w:t>
      </w:r>
      <w:r w:rsidRPr="0003572B">
        <w:rPr>
          <w:u w:val="single"/>
          <w:lang w:val="en-CA"/>
        </w:rPr>
        <w:t>behavioural disorders</w:t>
      </w:r>
      <w:r w:rsidRPr="0003572B">
        <w:rPr>
          <w:lang w:val="en-CA"/>
        </w:rPr>
        <w:t>, phobias</w:t>
      </w:r>
      <w:r w:rsidR="005E075C">
        <w:rPr>
          <w:lang w:val="en-CA"/>
        </w:rPr>
        <w:t>,</w:t>
      </w:r>
      <w:r w:rsidRPr="0003572B">
        <w:rPr>
          <w:lang w:val="en-CA"/>
        </w:rPr>
        <w:t xml:space="preserve"> or other mental illness? Describe the circum</w:t>
      </w:r>
      <w:r w:rsidR="00207F47" w:rsidRPr="0003572B">
        <w:rPr>
          <w:lang w:val="en-CA"/>
        </w:rPr>
        <w:t>stances</w:t>
      </w:r>
      <w:r w:rsidRPr="0003572B">
        <w:rPr>
          <w:lang w:val="en-CA"/>
        </w:rPr>
        <w:t>.”</w:t>
      </w:r>
    </w:p>
    <w:p w14:paraId="47C9FCCF" w14:textId="77777777" w:rsidR="00207F47" w:rsidRPr="0003572B" w:rsidRDefault="001A016B" w:rsidP="00703929">
      <w:pPr>
        <w:pStyle w:val="Citationenretrait"/>
        <w:numPr>
          <w:ilvl w:val="0"/>
          <w:numId w:val="24"/>
        </w:numPr>
        <w:spacing w:line="240" w:lineRule="auto"/>
        <w:rPr>
          <w:lang w:val="en-CA"/>
        </w:rPr>
      </w:pPr>
      <w:r w:rsidRPr="0003572B">
        <w:rPr>
          <w:lang w:val="en-CA"/>
        </w:rPr>
        <w:t>7.6: “Have you ever consulted any of the following mental health professionals: psychiatrist</w:t>
      </w:r>
      <w:r w:rsidR="00207F47" w:rsidRPr="0003572B">
        <w:rPr>
          <w:lang w:val="en-CA"/>
        </w:rPr>
        <w:t xml:space="preserve">, </w:t>
      </w:r>
      <w:r w:rsidRPr="0003572B">
        <w:rPr>
          <w:u w:val="single"/>
          <w:lang w:val="en-CA"/>
        </w:rPr>
        <w:t>psychologist, other</w:t>
      </w:r>
      <w:r w:rsidR="00207F47" w:rsidRPr="0003572B">
        <w:rPr>
          <w:u w:val="single"/>
          <w:lang w:val="en-CA"/>
        </w:rPr>
        <w:t>(s</w:t>
      </w:r>
      <w:r w:rsidRPr="0003572B">
        <w:rPr>
          <w:u w:val="single"/>
          <w:lang w:val="en-CA"/>
        </w:rPr>
        <w:t>) (specify)?</w:t>
      </w:r>
      <w:r w:rsidR="00207F47" w:rsidRPr="0003572B">
        <w:rPr>
          <w:u w:val="single"/>
          <w:lang w:val="en-CA"/>
        </w:rPr>
        <w:t> </w:t>
      </w:r>
      <w:r w:rsidRPr="0003572B">
        <w:rPr>
          <w:u w:val="single"/>
          <w:lang w:val="en-CA"/>
        </w:rPr>
        <w:t>If so, describe the circum</w:t>
      </w:r>
      <w:r w:rsidR="00207F47" w:rsidRPr="0003572B">
        <w:rPr>
          <w:u w:val="single"/>
          <w:lang w:val="en-CA"/>
        </w:rPr>
        <w:t>stances.</w:t>
      </w:r>
      <w:r w:rsidRPr="0003572B">
        <w:rPr>
          <w:lang w:val="en-CA"/>
        </w:rPr>
        <w:t>”</w:t>
      </w:r>
    </w:p>
    <w:p w14:paraId="2AF476F4" w14:textId="1E3DC296" w:rsidR="00207F47" w:rsidRPr="0003572B" w:rsidRDefault="001A016B" w:rsidP="00703929">
      <w:pPr>
        <w:pStyle w:val="Citationenretrait"/>
        <w:numPr>
          <w:ilvl w:val="0"/>
          <w:numId w:val="24"/>
        </w:numPr>
        <w:spacing w:line="240" w:lineRule="auto"/>
        <w:rPr>
          <w:lang w:val="en-CA"/>
        </w:rPr>
      </w:pPr>
      <w:r w:rsidRPr="0003572B">
        <w:rPr>
          <w:lang w:val="en-CA"/>
        </w:rPr>
        <w:t>7.7: “Have you ever been hospitalized, undergone an operation</w:t>
      </w:r>
      <w:r w:rsidR="008E0893">
        <w:rPr>
          <w:lang w:val="en-CA"/>
        </w:rPr>
        <w:t>,</w:t>
      </w:r>
      <w:r w:rsidRPr="0003572B">
        <w:rPr>
          <w:lang w:val="en-CA"/>
        </w:rPr>
        <w:t xml:space="preserve"> or had an injury requiring hospital care?”</w:t>
      </w:r>
    </w:p>
    <w:p w14:paraId="7F843BBD" w14:textId="52A82C1E" w:rsidR="006022DD" w:rsidRPr="0003572B" w:rsidRDefault="0097767C" w:rsidP="00703929">
      <w:pPr>
        <w:pStyle w:val="Citationenretrait"/>
        <w:spacing w:line="240" w:lineRule="auto"/>
        <w:ind w:left="1440"/>
        <w:jc w:val="right"/>
        <w:rPr>
          <w:lang w:val="en-CA"/>
        </w:rPr>
      </w:pPr>
      <w:r w:rsidRPr="0003572B">
        <w:rPr>
          <w:lang w:val="en-CA"/>
        </w:rPr>
        <w:t>[</w:t>
      </w:r>
      <w:r w:rsidR="008E0893">
        <w:rPr>
          <w:lang w:val="en-CA"/>
        </w:rPr>
        <w:t>E</w:t>
      </w:r>
      <w:r w:rsidRPr="0003572B">
        <w:rPr>
          <w:lang w:val="en-CA"/>
        </w:rPr>
        <w:t>mphasis</w:t>
      </w:r>
      <w:r w:rsidR="008E0893">
        <w:rPr>
          <w:lang w:val="en-CA"/>
        </w:rPr>
        <w:t xml:space="preserve"> added.</w:t>
      </w:r>
      <w:r w:rsidR="006022DD" w:rsidRPr="0003572B">
        <w:rPr>
          <w:lang w:val="en-CA"/>
        </w:rPr>
        <w:t>]</w:t>
      </w:r>
    </w:p>
    <w:p w14:paraId="0EF4BE58" w14:textId="77777777" w:rsidR="00207F47" w:rsidRPr="000B4231" w:rsidRDefault="00390A47" w:rsidP="00703929">
      <w:pPr>
        <w:pStyle w:val="Paragraphe"/>
        <w:spacing w:line="240" w:lineRule="auto"/>
        <w:rPr>
          <w:lang w:val="en-CA"/>
        </w:rPr>
      </w:pPr>
      <w:r w:rsidRPr="000B4231">
        <w:rPr>
          <w:lang w:val="en-CA"/>
        </w:rPr>
        <w:t>Only questions 7.5 and</w:t>
      </w:r>
      <w:r w:rsidR="00207F47" w:rsidRPr="000B4231">
        <w:rPr>
          <w:lang w:val="en-CA"/>
        </w:rPr>
        <w:t xml:space="preserve"> 7.6 </w:t>
      </w:r>
      <w:r w:rsidRPr="000B4231">
        <w:rPr>
          <w:lang w:val="en-CA"/>
        </w:rPr>
        <w:t xml:space="preserve">are relevant to this appeal. </w:t>
      </w:r>
    </w:p>
    <w:p w14:paraId="5E36F309" w14:textId="110A73CE" w:rsidR="00207F47" w:rsidRPr="0003572B" w:rsidRDefault="001A016B" w:rsidP="00703929">
      <w:pPr>
        <w:pStyle w:val="Paragraphe"/>
        <w:spacing w:line="240" w:lineRule="auto"/>
        <w:rPr>
          <w:lang w:val="en-CA"/>
        </w:rPr>
      </w:pPr>
      <w:r w:rsidRPr="0003572B">
        <w:rPr>
          <w:lang w:val="en-CA"/>
        </w:rPr>
        <w:t xml:space="preserve">In addition, at the end of the pre-employment </w:t>
      </w:r>
      <w:r w:rsidR="00207F47" w:rsidRPr="0003572B">
        <w:rPr>
          <w:lang w:val="en-CA"/>
        </w:rPr>
        <w:t>questionnaire</w:t>
      </w:r>
      <w:r w:rsidR="008E0893">
        <w:rPr>
          <w:lang w:val="en-CA"/>
        </w:rPr>
        <w:t>,</w:t>
      </w:r>
      <w:r w:rsidR="00207F47" w:rsidRPr="0003572B">
        <w:rPr>
          <w:lang w:val="en-CA"/>
        </w:rPr>
        <w:t xml:space="preserve"> </w:t>
      </w:r>
      <w:r w:rsidR="006E131D" w:rsidRPr="0003572B">
        <w:rPr>
          <w:lang w:val="en-CA"/>
        </w:rPr>
        <w:t xml:space="preserve">the </w:t>
      </w:r>
      <w:r w:rsidRPr="0003572B">
        <w:rPr>
          <w:lang w:val="en-CA"/>
        </w:rPr>
        <w:t>c</w:t>
      </w:r>
      <w:r w:rsidR="006E131D" w:rsidRPr="0003572B">
        <w:rPr>
          <w:lang w:val="en-CA"/>
        </w:rPr>
        <w:t>omplain</w:t>
      </w:r>
      <w:r w:rsidR="007A63D6" w:rsidRPr="0003572B">
        <w:rPr>
          <w:lang w:val="en-CA"/>
        </w:rPr>
        <w:t>ant declared</w:t>
      </w:r>
      <w:r w:rsidRPr="0003572B">
        <w:rPr>
          <w:lang w:val="en-CA"/>
        </w:rPr>
        <w:t xml:space="preserve">: </w:t>
      </w:r>
    </w:p>
    <w:p w14:paraId="7D167B87" w14:textId="77777777" w:rsidR="002F3EFA" w:rsidRPr="0003572B" w:rsidRDefault="002F3EFA" w:rsidP="00B517C8">
      <w:pPr>
        <w:pStyle w:val="Paragraphe"/>
        <w:numPr>
          <w:ilvl w:val="0"/>
          <w:numId w:val="0"/>
        </w:numPr>
        <w:spacing w:after="0" w:line="240" w:lineRule="auto"/>
        <w:rPr>
          <w:lang w:val="en-CA"/>
        </w:rPr>
      </w:pPr>
      <w:r w:rsidRPr="0003572B">
        <w:rPr>
          <w:lang w:val="en-CA"/>
        </w:rPr>
        <w:lastRenderedPageBreak/>
        <w:tab/>
        <w:t>[</w:t>
      </w:r>
      <w:r w:rsidRPr="0003572B">
        <w:rPr>
          <w:smallCaps/>
          <w:lang w:val="en-CA"/>
        </w:rPr>
        <w:t>translation</w:t>
      </w:r>
      <w:r w:rsidRPr="0003572B">
        <w:rPr>
          <w:lang w:val="en-CA"/>
        </w:rPr>
        <w:t>]</w:t>
      </w:r>
    </w:p>
    <w:p w14:paraId="628DF362" w14:textId="29BF8B98" w:rsidR="00207F47" w:rsidRPr="00EE10F6" w:rsidRDefault="002F3EFA" w:rsidP="00703929">
      <w:pPr>
        <w:pStyle w:val="Citationenretrait"/>
        <w:spacing w:line="240" w:lineRule="auto"/>
        <w:rPr>
          <w:lang w:val="en-CA"/>
        </w:rPr>
      </w:pPr>
      <w:r w:rsidRPr="0003572B">
        <w:rPr>
          <w:lang w:val="en-CA"/>
        </w:rPr>
        <w:t xml:space="preserve">I certify that the information provided in the </w:t>
      </w:r>
      <w:r w:rsidRPr="0003572B">
        <w:rPr>
          <w:i/>
          <w:lang w:val="en-CA"/>
        </w:rPr>
        <w:t>Administrative-Pre-employment Questionnaire for a Police Applicant</w:t>
      </w:r>
      <w:r w:rsidRPr="0003572B">
        <w:rPr>
          <w:lang w:val="en-CA"/>
        </w:rPr>
        <w:t xml:space="preserve"> (214-536) and the </w:t>
      </w:r>
      <w:r w:rsidRPr="0003572B">
        <w:rPr>
          <w:i/>
          <w:lang w:val="en-CA"/>
        </w:rPr>
        <w:t>Police Officer Offer of Services</w:t>
      </w:r>
      <w:r w:rsidRPr="0003572B">
        <w:rPr>
          <w:lang w:val="en-CA"/>
        </w:rPr>
        <w:t xml:space="preserve"> </w:t>
      </w:r>
      <w:r w:rsidR="00207F47" w:rsidRPr="0003572B">
        <w:rPr>
          <w:lang w:val="en-CA"/>
        </w:rPr>
        <w:t xml:space="preserve">(214-350) </w:t>
      </w:r>
      <w:r w:rsidRPr="0003572B">
        <w:rPr>
          <w:u w:val="single"/>
          <w:lang w:val="en-CA"/>
        </w:rPr>
        <w:t>is complete and true, knowing that a false de</w:t>
      </w:r>
      <w:r w:rsidR="00207F47" w:rsidRPr="0003572B">
        <w:rPr>
          <w:u w:val="single"/>
          <w:lang w:val="en-CA"/>
        </w:rPr>
        <w:t xml:space="preserve">claration </w:t>
      </w:r>
      <w:r w:rsidRPr="0003572B">
        <w:rPr>
          <w:u w:val="single"/>
          <w:lang w:val="en-CA"/>
        </w:rPr>
        <w:t>may lead to my application being refused</w:t>
      </w:r>
      <w:r w:rsidRPr="0003572B">
        <w:rPr>
          <w:lang w:val="en-CA"/>
        </w:rPr>
        <w:t xml:space="preserve"> or</w:t>
      </w:r>
      <w:r w:rsidR="007A63D6" w:rsidRPr="0003572B">
        <w:rPr>
          <w:lang w:val="en-CA"/>
        </w:rPr>
        <w:t xml:space="preserve"> </w:t>
      </w:r>
      <w:r w:rsidR="00F80756">
        <w:rPr>
          <w:lang w:val="en-CA"/>
        </w:rPr>
        <w:t>my dismissal</w:t>
      </w:r>
      <w:r w:rsidRPr="00EE10F6">
        <w:rPr>
          <w:lang w:val="en-CA"/>
        </w:rPr>
        <w:t>, as the case may be</w:t>
      </w:r>
      <w:r w:rsidR="00207F47" w:rsidRPr="00EE10F6">
        <w:rPr>
          <w:lang w:val="en-CA"/>
        </w:rPr>
        <w:t>.</w:t>
      </w:r>
    </w:p>
    <w:p w14:paraId="7ABEF4DA" w14:textId="345AFCC5" w:rsidR="006022DD" w:rsidRPr="00EE10F6" w:rsidRDefault="006022DD" w:rsidP="00703929">
      <w:pPr>
        <w:pStyle w:val="Citationenretrait"/>
        <w:spacing w:before="0" w:line="240" w:lineRule="auto"/>
        <w:jc w:val="right"/>
        <w:rPr>
          <w:lang w:val="en-CA"/>
        </w:rPr>
      </w:pPr>
      <w:r w:rsidRPr="00EE10F6">
        <w:rPr>
          <w:lang w:val="en-CA"/>
        </w:rPr>
        <w:t>[</w:t>
      </w:r>
      <w:r w:rsidR="00EE10F6">
        <w:rPr>
          <w:lang w:val="en-CA"/>
        </w:rPr>
        <w:t>E</w:t>
      </w:r>
      <w:r w:rsidR="00241045" w:rsidRPr="00EE10F6">
        <w:rPr>
          <w:lang w:val="en-CA"/>
        </w:rPr>
        <w:t>mphasis</w:t>
      </w:r>
      <w:r w:rsidR="00EE10F6">
        <w:rPr>
          <w:lang w:val="en-CA"/>
        </w:rPr>
        <w:t xml:space="preserve"> added.</w:t>
      </w:r>
      <w:r w:rsidRPr="00EE10F6">
        <w:rPr>
          <w:lang w:val="en-CA"/>
        </w:rPr>
        <w:t>]</w:t>
      </w:r>
    </w:p>
    <w:p w14:paraId="0AC451E0" w14:textId="219FCE09" w:rsidR="00207F47" w:rsidRPr="00EE10F6" w:rsidRDefault="00241045" w:rsidP="00703929">
      <w:pPr>
        <w:pStyle w:val="Paragraphe"/>
        <w:numPr>
          <w:ilvl w:val="0"/>
          <w:numId w:val="0"/>
        </w:numPr>
        <w:spacing w:line="240" w:lineRule="auto"/>
        <w:rPr>
          <w:b/>
          <w:bCs/>
          <w:lang w:val="en-CA"/>
        </w:rPr>
      </w:pPr>
      <w:r w:rsidRPr="00EE10F6">
        <w:rPr>
          <w:b/>
          <w:bCs/>
          <w:lang w:val="en-CA"/>
        </w:rPr>
        <w:t>TH</w:t>
      </w:r>
      <w:r w:rsidR="00207F47" w:rsidRPr="00EE10F6">
        <w:rPr>
          <w:b/>
          <w:bCs/>
          <w:lang w:val="en-CA"/>
        </w:rPr>
        <w:t>E JU</w:t>
      </w:r>
      <w:r w:rsidRPr="00EE10F6">
        <w:rPr>
          <w:b/>
          <w:bCs/>
          <w:lang w:val="en-CA"/>
        </w:rPr>
        <w:t xml:space="preserve">DGMENT </w:t>
      </w:r>
      <w:r w:rsidR="00F80756">
        <w:rPr>
          <w:b/>
          <w:bCs/>
          <w:lang w:val="en-CA"/>
        </w:rPr>
        <w:t xml:space="preserve">UNDER </w:t>
      </w:r>
      <w:r w:rsidRPr="00EE10F6">
        <w:rPr>
          <w:b/>
          <w:bCs/>
          <w:lang w:val="en-CA"/>
        </w:rPr>
        <w:t>APPEAL</w:t>
      </w:r>
    </w:p>
    <w:p w14:paraId="2885A976" w14:textId="1BF60465" w:rsidR="00207F47" w:rsidRPr="00EE10F6" w:rsidRDefault="00207F47" w:rsidP="00703929">
      <w:pPr>
        <w:pStyle w:val="Paragraphe"/>
        <w:spacing w:line="240" w:lineRule="auto"/>
        <w:rPr>
          <w:lang w:val="en-CA"/>
        </w:rPr>
      </w:pPr>
      <w:r w:rsidRPr="00EE10F6">
        <w:rPr>
          <w:lang w:val="en-CA"/>
        </w:rPr>
        <w:t>A</w:t>
      </w:r>
      <w:r w:rsidR="005D0FDD" w:rsidRPr="00EE10F6">
        <w:rPr>
          <w:lang w:val="en-CA"/>
        </w:rPr>
        <w:t>fter correctly list</w:t>
      </w:r>
      <w:r w:rsidR="00645479" w:rsidRPr="00EE10F6">
        <w:rPr>
          <w:lang w:val="en-CA"/>
        </w:rPr>
        <w:t xml:space="preserve">ing the applicable legal principles, the </w:t>
      </w:r>
      <w:r w:rsidRPr="00EE10F6">
        <w:rPr>
          <w:lang w:val="en-CA"/>
        </w:rPr>
        <w:t xml:space="preserve">Tribunal </w:t>
      </w:r>
      <w:r w:rsidR="00576C6B" w:rsidRPr="00EE10F6">
        <w:rPr>
          <w:lang w:val="en-CA"/>
        </w:rPr>
        <w:t>pointed out that</w:t>
      </w:r>
      <w:r w:rsidR="005D0FDD" w:rsidRPr="00EE10F6">
        <w:rPr>
          <w:lang w:val="en-CA"/>
        </w:rPr>
        <w:t xml:space="preserve"> the</w:t>
      </w:r>
      <w:r w:rsidR="00576C6B" w:rsidRPr="00EE10F6">
        <w:rPr>
          <w:lang w:val="en-CA"/>
        </w:rPr>
        <w:t xml:space="preserve"> </w:t>
      </w:r>
      <w:r w:rsidR="00645479" w:rsidRPr="00EE10F6">
        <w:rPr>
          <w:lang w:val="en-CA"/>
        </w:rPr>
        <w:t xml:space="preserve">employment </w:t>
      </w:r>
      <w:r w:rsidRPr="00EE10F6">
        <w:rPr>
          <w:lang w:val="en-CA"/>
        </w:rPr>
        <w:t xml:space="preserve">questionnaires </w:t>
      </w:r>
      <w:r w:rsidR="00645479" w:rsidRPr="00EE10F6">
        <w:rPr>
          <w:lang w:val="en-CA"/>
        </w:rPr>
        <w:t xml:space="preserve">may violate </w:t>
      </w:r>
      <w:r w:rsidR="004E411B">
        <w:rPr>
          <w:lang w:val="en-CA"/>
        </w:rPr>
        <w:t>the right to</w:t>
      </w:r>
      <w:r w:rsidR="00645479" w:rsidRPr="00EE10F6">
        <w:rPr>
          <w:lang w:val="en-CA"/>
        </w:rPr>
        <w:t xml:space="preserve"> privacy and dignity. It added that pre-employment medical examinations are also likely to </w:t>
      </w:r>
      <w:r w:rsidR="00576C6B" w:rsidRPr="00EE10F6">
        <w:rPr>
          <w:lang w:val="en-CA"/>
        </w:rPr>
        <w:t>infringe on an applicant’s right to physical integrity.</w:t>
      </w:r>
    </w:p>
    <w:p w14:paraId="2AC2D85A" w14:textId="52BE7B38" w:rsidR="00207F47" w:rsidRPr="00F80756" w:rsidRDefault="004E411B" w:rsidP="00703929">
      <w:pPr>
        <w:pStyle w:val="Paragraphe"/>
        <w:spacing w:line="240" w:lineRule="auto"/>
        <w:rPr>
          <w:lang w:val="en-CA"/>
        </w:rPr>
      </w:pPr>
      <w:r>
        <w:rPr>
          <w:lang w:val="en-CA"/>
        </w:rPr>
        <w:t>T</w:t>
      </w:r>
      <w:r w:rsidR="00576C6B" w:rsidRPr="00EE10F6">
        <w:rPr>
          <w:lang w:val="en-CA"/>
        </w:rPr>
        <w:t xml:space="preserve">o </w:t>
      </w:r>
      <w:r w:rsidR="007A63D6" w:rsidRPr="00EE10F6">
        <w:rPr>
          <w:lang w:val="en-CA"/>
        </w:rPr>
        <w:t xml:space="preserve">address the legal issues, </w:t>
      </w:r>
      <w:r w:rsidR="00576C6B" w:rsidRPr="00EE10F6">
        <w:rPr>
          <w:lang w:val="en-CA"/>
        </w:rPr>
        <w:t xml:space="preserve">the </w:t>
      </w:r>
      <w:r w:rsidR="00207F47" w:rsidRPr="00EE10F6">
        <w:rPr>
          <w:lang w:val="en-CA"/>
        </w:rPr>
        <w:t xml:space="preserve">Tribunal </w:t>
      </w:r>
      <w:r w:rsidR="00576C6B" w:rsidRPr="00EE10F6">
        <w:rPr>
          <w:lang w:val="en-CA"/>
        </w:rPr>
        <w:t>determined which qualities and</w:t>
      </w:r>
      <w:r w:rsidR="00207F47" w:rsidRPr="00EE10F6">
        <w:rPr>
          <w:lang w:val="en-CA"/>
        </w:rPr>
        <w:t xml:space="preserve"> aptitudes </w:t>
      </w:r>
      <w:r w:rsidR="00576C6B" w:rsidRPr="00EE10F6">
        <w:rPr>
          <w:lang w:val="en-CA"/>
        </w:rPr>
        <w:t>wer</w:t>
      </w:r>
      <w:r w:rsidR="00207F47" w:rsidRPr="00EE10F6">
        <w:rPr>
          <w:lang w:val="en-CA"/>
        </w:rPr>
        <w:t>e</w:t>
      </w:r>
      <w:r w:rsidR="00576C6B" w:rsidRPr="00EE10F6">
        <w:rPr>
          <w:lang w:val="en-CA"/>
        </w:rPr>
        <w:t xml:space="preserve"> required to </w:t>
      </w:r>
      <w:r w:rsidR="005D0FDD" w:rsidRPr="00EE10F6">
        <w:rPr>
          <w:lang w:val="en-CA"/>
        </w:rPr>
        <w:t xml:space="preserve">be an SQ police officer. It </w:t>
      </w:r>
      <w:r>
        <w:rPr>
          <w:lang w:val="en-CA"/>
        </w:rPr>
        <w:t xml:space="preserve">found </w:t>
      </w:r>
      <w:r w:rsidR="00576C6B" w:rsidRPr="00EE10F6">
        <w:rPr>
          <w:lang w:val="en-CA"/>
        </w:rPr>
        <w:t xml:space="preserve">that applicants must at least meet the requirements of s. 115 of the </w:t>
      </w:r>
      <w:r w:rsidR="00576C6B" w:rsidRPr="00EE10F6">
        <w:rPr>
          <w:i/>
          <w:lang w:val="en-CA"/>
        </w:rPr>
        <w:t>P</w:t>
      </w:r>
      <w:r w:rsidR="00207F47" w:rsidRPr="00EE10F6">
        <w:rPr>
          <w:i/>
          <w:iCs/>
          <w:lang w:val="en-CA"/>
        </w:rPr>
        <w:t>olice</w:t>
      </w:r>
      <w:r w:rsidR="00576C6B" w:rsidRPr="00EE10F6">
        <w:rPr>
          <w:i/>
          <w:iCs/>
          <w:lang w:val="en-CA"/>
        </w:rPr>
        <w:t xml:space="preserve"> Act.</w:t>
      </w:r>
      <w:r w:rsidR="00207F47" w:rsidRPr="00F80756">
        <w:rPr>
          <w:rStyle w:val="Appelnotedebasdep"/>
          <w:lang w:val="en-CA"/>
        </w:rPr>
        <w:footnoteReference w:id="3"/>
      </w:r>
      <w:r w:rsidR="00576C6B" w:rsidRPr="00F80756">
        <w:rPr>
          <w:lang w:val="en-CA"/>
        </w:rPr>
        <w:t xml:space="preserve"> They must therefore </w:t>
      </w:r>
      <w:r>
        <w:rPr>
          <w:lang w:val="en-CA"/>
        </w:rPr>
        <w:t>(</w:t>
      </w:r>
      <w:r w:rsidR="00207F47" w:rsidRPr="00F80756">
        <w:rPr>
          <w:lang w:val="en-CA"/>
        </w:rPr>
        <w:t xml:space="preserve">1) </w:t>
      </w:r>
      <w:r w:rsidR="00576C6B" w:rsidRPr="00F80756">
        <w:rPr>
          <w:lang w:val="en-CA"/>
        </w:rPr>
        <w:t>be Canadian citizens</w:t>
      </w:r>
      <w:r w:rsidR="00207F47" w:rsidRPr="00F80756">
        <w:rPr>
          <w:lang w:val="en-CA"/>
        </w:rPr>
        <w:t xml:space="preserve">, </w:t>
      </w:r>
      <w:r>
        <w:rPr>
          <w:lang w:val="en-CA"/>
        </w:rPr>
        <w:t>(</w:t>
      </w:r>
      <w:r w:rsidR="00207F47" w:rsidRPr="00F80756">
        <w:rPr>
          <w:lang w:val="en-CA"/>
        </w:rPr>
        <w:t xml:space="preserve">2) </w:t>
      </w:r>
      <w:r w:rsidR="00576C6B" w:rsidRPr="00F80756">
        <w:rPr>
          <w:lang w:val="en-CA"/>
        </w:rPr>
        <w:t xml:space="preserve">be of good moral character, </w:t>
      </w:r>
      <w:r>
        <w:rPr>
          <w:lang w:val="en-CA"/>
        </w:rPr>
        <w:t>(</w:t>
      </w:r>
      <w:r w:rsidR="00207F47" w:rsidRPr="00F80756">
        <w:rPr>
          <w:lang w:val="en-CA"/>
        </w:rPr>
        <w:t xml:space="preserve">3) </w:t>
      </w:r>
      <w:r w:rsidR="00576C6B" w:rsidRPr="00F80756">
        <w:rPr>
          <w:lang w:val="en-CA"/>
        </w:rPr>
        <w:t xml:space="preserve">not have been found guilty of an act or omission defined in the </w:t>
      </w:r>
      <w:r w:rsidR="00576C6B" w:rsidRPr="00F80756">
        <w:rPr>
          <w:i/>
          <w:lang w:val="en-CA"/>
        </w:rPr>
        <w:t>Criminal Code</w:t>
      </w:r>
      <w:r w:rsidR="00576C6B" w:rsidRPr="00F80756">
        <w:rPr>
          <w:lang w:val="en-CA"/>
        </w:rPr>
        <w:t xml:space="preserve"> as an offence, or of an offence referred to in section 183 of that </w:t>
      </w:r>
      <w:r w:rsidR="00576C6B" w:rsidRPr="00974065">
        <w:rPr>
          <w:lang w:val="en-CA"/>
        </w:rPr>
        <w:t>Code</w:t>
      </w:r>
      <w:r w:rsidR="00576C6B" w:rsidRPr="00F80756">
        <w:rPr>
          <w:lang w:val="en-CA"/>
        </w:rPr>
        <w:t xml:space="preserve"> under one of the </w:t>
      </w:r>
      <w:r w:rsidR="00576C6B" w:rsidRPr="00974065">
        <w:rPr>
          <w:lang w:val="en-CA"/>
        </w:rPr>
        <w:t>Acts</w:t>
      </w:r>
      <w:r w:rsidR="00576C6B" w:rsidRPr="00F80756">
        <w:rPr>
          <w:lang w:val="en-CA"/>
        </w:rPr>
        <w:t xml:space="preserve"> listed therein, </w:t>
      </w:r>
      <w:r w:rsidR="00055995">
        <w:rPr>
          <w:lang w:val="en-CA"/>
        </w:rPr>
        <w:t>(</w:t>
      </w:r>
      <w:r w:rsidR="00207F47" w:rsidRPr="00F80756">
        <w:rPr>
          <w:lang w:val="en-CA"/>
        </w:rPr>
        <w:t xml:space="preserve">4) </w:t>
      </w:r>
      <w:r w:rsidR="00D8030C" w:rsidRPr="00F80756">
        <w:rPr>
          <w:lang w:val="en-CA"/>
        </w:rPr>
        <w:t xml:space="preserve">hold a diploma awarded by the École </w:t>
      </w:r>
      <w:r w:rsidR="009B5E2A" w:rsidRPr="00F80756">
        <w:rPr>
          <w:lang w:val="en-CA"/>
        </w:rPr>
        <w:t>national</w:t>
      </w:r>
      <w:r w:rsidR="00D8030C" w:rsidRPr="00F80756">
        <w:rPr>
          <w:lang w:val="en-CA"/>
        </w:rPr>
        <w:t xml:space="preserve"> de police du Québec or meet standards of equivalence</w:t>
      </w:r>
      <w:r w:rsidR="00207F47" w:rsidRPr="00F80756">
        <w:rPr>
          <w:lang w:val="en-CA"/>
        </w:rPr>
        <w:t xml:space="preserve">. </w:t>
      </w:r>
      <w:r w:rsidR="00D8030C" w:rsidRPr="00F80756">
        <w:rPr>
          <w:lang w:val="en-CA"/>
        </w:rPr>
        <w:t>Acco</w:t>
      </w:r>
      <w:r w:rsidR="005D0FDD" w:rsidRPr="00F80756">
        <w:rPr>
          <w:lang w:val="en-CA"/>
        </w:rPr>
        <w:t>rding to the evidence, applicants also</w:t>
      </w:r>
      <w:r w:rsidR="00D8030C" w:rsidRPr="00F80756">
        <w:rPr>
          <w:lang w:val="en-CA"/>
        </w:rPr>
        <w:t xml:space="preserve"> </w:t>
      </w:r>
      <w:r>
        <w:rPr>
          <w:lang w:val="en-CA"/>
        </w:rPr>
        <w:t xml:space="preserve">have </w:t>
      </w:r>
      <w:r w:rsidR="00D8030C" w:rsidRPr="00F80756">
        <w:rPr>
          <w:lang w:val="en-CA"/>
        </w:rPr>
        <w:t>to be physically, psychologically</w:t>
      </w:r>
      <w:r>
        <w:rPr>
          <w:lang w:val="en-CA"/>
        </w:rPr>
        <w:t>,</w:t>
      </w:r>
      <w:r w:rsidR="00D8030C" w:rsidRPr="00F80756">
        <w:rPr>
          <w:lang w:val="en-CA"/>
        </w:rPr>
        <w:t xml:space="preserve"> and emotionally stable</w:t>
      </w:r>
      <w:r w:rsidR="005D0FDD" w:rsidRPr="00F80756">
        <w:rPr>
          <w:lang w:val="en-CA"/>
        </w:rPr>
        <w:t xml:space="preserve">, </w:t>
      </w:r>
      <w:r>
        <w:rPr>
          <w:lang w:val="en-CA"/>
        </w:rPr>
        <w:t>given</w:t>
      </w:r>
      <w:r w:rsidR="005D0FDD" w:rsidRPr="00F80756">
        <w:rPr>
          <w:lang w:val="en-CA"/>
        </w:rPr>
        <w:t xml:space="preserve"> </w:t>
      </w:r>
      <w:r w:rsidR="00D8030C" w:rsidRPr="00F80756">
        <w:rPr>
          <w:lang w:val="en-CA"/>
        </w:rPr>
        <w:t>the safety</w:t>
      </w:r>
      <w:r>
        <w:rPr>
          <w:lang w:val="en-CA"/>
        </w:rPr>
        <w:t xml:space="preserve"> issues</w:t>
      </w:r>
      <w:r w:rsidR="00D8030C" w:rsidRPr="00F80756">
        <w:rPr>
          <w:lang w:val="en-CA"/>
        </w:rPr>
        <w:t>, stress</w:t>
      </w:r>
      <w:r>
        <w:rPr>
          <w:lang w:val="en-CA"/>
        </w:rPr>
        <w:t>,</w:t>
      </w:r>
      <w:r w:rsidR="00D8030C" w:rsidRPr="00F80756">
        <w:rPr>
          <w:lang w:val="en-CA"/>
        </w:rPr>
        <w:t xml:space="preserve"> and violence that police officers are confronted with daily. </w:t>
      </w:r>
    </w:p>
    <w:p w14:paraId="0FF2CF49" w14:textId="3B1FFC38" w:rsidR="00207F47" w:rsidRPr="00F80756" w:rsidRDefault="00D8030C" w:rsidP="00703929">
      <w:pPr>
        <w:pStyle w:val="Paragraphe"/>
        <w:spacing w:line="240" w:lineRule="auto"/>
        <w:rPr>
          <w:lang w:val="en-CA"/>
        </w:rPr>
      </w:pPr>
      <w:r w:rsidRPr="00F80756">
        <w:rPr>
          <w:lang w:val="en-CA"/>
        </w:rPr>
        <w:t xml:space="preserve">Analyzing the medical questionnaire, the Tribunal concluded that some </w:t>
      </w:r>
      <w:r w:rsidR="00207F47" w:rsidRPr="00F80756">
        <w:rPr>
          <w:lang w:val="en-CA"/>
        </w:rPr>
        <w:t>questions</w:t>
      </w:r>
      <w:r w:rsidRPr="00F80756">
        <w:rPr>
          <w:lang w:val="en-CA"/>
        </w:rPr>
        <w:t xml:space="preserve"> cast too wide a net and contravened s. </w:t>
      </w:r>
      <w:r w:rsidR="00207F47" w:rsidRPr="00F80756">
        <w:rPr>
          <w:lang w:val="en-CA"/>
        </w:rPr>
        <w:t xml:space="preserve">18.1 </w:t>
      </w:r>
      <w:r w:rsidRPr="00F80756">
        <w:rPr>
          <w:lang w:val="en-CA"/>
        </w:rPr>
        <w:t xml:space="preserve">of the Quebec </w:t>
      </w:r>
      <w:r w:rsidRPr="00F80756">
        <w:rPr>
          <w:i/>
          <w:lang w:val="en-CA"/>
        </w:rPr>
        <w:t xml:space="preserve">Charter of </w:t>
      </w:r>
      <w:r w:rsidR="004E411B">
        <w:rPr>
          <w:i/>
          <w:lang w:val="en-CA"/>
        </w:rPr>
        <w:t>h</w:t>
      </w:r>
      <w:r w:rsidRPr="00F80756">
        <w:rPr>
          <w:i/>
          <w:lang w:val="en-CA"/>
        </w:rPr>
        <w:t xml:space="preserve">uman </w:t>
      </w:r>
      <w:r w:rsidR="004E411B">
        <w:rPr>
          <w:i/>
          <w:lang w:val="en-CA"/>
        </w:rPr>
        <w:t>r</w:t>
      </w:r>
      <w:r w:rsidRPr="00F80756">
        <w:rPr>
          <w:i/>
          <w:lang w:val="en-CA"/>
        </w:rPr>
        <w:t xml:space="preserve">ights and </w:t>
      </w:r>
      <w:r w:rsidR="004E411B">
        <w:rPr>
          <w:i/>
          <w:lang w:val="en-CA"/>
        </w:rPr>
        <w:t>f</w:t>
      </w:r>
      <w:r w:rsidRPr="00F80756">
        <w:rPr>
          <w:i/>
          <w:lang w:val="en-CA"/>
        </w:rPr>
        <w:t>reedoms</w:t>
      </w:r>
      <w:r w:rsidRPr="00F80756">
        <w:rPr>
          <w:lang w:val="en-CA"/>
        </w:rPr>
        <w:t xml:space="preserve"> </w:t>
      </w:r>
      <w:r w:rsidRPr="00F80756">
        <w:rPr>
          <w:iCs/>
          <w:lang w:val="en-CA"/>
        </w:rPr>
        <w:t>(the</w:t>
      </w:r>
      <w:r w:rsidRPr="00F80756">
        <w:rPr>
          <w:i/>
          <w:iCs/>
          <w:lang w:val="en-CA"/>
        </w:rPr>
        <w:t xml:space="preserve"> </w:t>
      </w:r>
      <w:r w:rsidR="004E411B">
        <w:rPr>
          <w:lang w:val="en-CA"/>
        </w:rPr>
        <w:t>“</w:t>
      </w:r>
      <w:r w:rsidR="00C270E0" w:rsidRPr="00F80756">
        <w:rPr>
          <w:i/>
          <w:iCs/>
          <w:lang w:val="en-CA"/>
        </w:rPr>
        <w:t>Charte</w:t>
      </w:r>
      <w:r w:rsidRPr="00F80756">
        <w:rPr>
          <w:i/>
          <w:iCs/>
          <w:lang w:val="en-CA"/>
        </w:rPr>
        <w:t>r</w:t>
      </w:r>
      <w:r w:rsidR="004E411B">
        <w:rPr>
          <w:lang w:val="en-CA"/>
        </w:rPr>
        <w:t>”</w:t>
      </w:r>
      <w:r w:rsidR="00C270E0" w:rsidRPr="00F80756">
        <w:rPr>
          <w:iCs/>
          <w:lang w:val="en-CA"/>
        </w:rPr>
        <w:t>)</w:t>
      </w:r>
      <w:r w:rsidR="005D0FDD" w:rsidRPr="00F80756">
        <w:rPr>
          <w:rStyle w:val="Appelnotedebasdep"/>
          <w:vertAlign w:val="baseline"/>
          <w:lang w:val="en-CA"/>
        </w:rPr>
        <w:t>.</w:t>
      </w:r>
      <w:r w:rsidR="00207F47" w:rsidRPr="00F80756">
        <w:rPr>
          <w:rStyle w:val="Appelnotedebasdep"/>
          <w:lang w:val="en-CA"/>
        </w:rPr>
        <w:footnoteReference w:id="4"/>
      </w:r>
      <w:r w:rsidRPr="00F80756">
        <w:rPr>
          <w:lang w:val="en-CA"/>
        </w:rPr>
        <w:t xml:space="preserve"> Q</w:t>
      </w:r>
      <w:r w:rsidR="00207F47" w:rsidRPr="00F80756">
        <w:rPr>
          <w:lang w:val="en-CA"/>
        </w:rPr>
        <w:t>uestions 1, 2, 4</w:t>
      </w:r>
      <w:r w:rsidR="00C54AD6" w:rsidRPr="00F80756">
        <w:rPr>
          <w:lang w:val="en-CA"/>
        </w:rPr>
        <w:t xml:space="preserve">, </w:t>
      </w:r>
      <w:r w:rsidR="00207F47" w:rsidRPr="00F80756">
        <w:rPr>
          <w:lang w:val="en-CA"/>
        </w:rPr>
        <w:t>7</w:t>
      </w:r>
      <w:r w:rsidR="004E411B">
        <w:rPr>
          <w:lang w:val="en-CA"/>
        </w:rPr>
        <w:t>,</w:t>
      </w:r>
      <w:r w:rsidRPr="00F80756">
        <w:rPr>
          <w:lang w:val="en-CA"/>
        </w:rPr>
        <w:t xml:space="preserve"> and </w:t>
      </w:r>
      <w:r w:rsidR="00C54AD6" w:rsidRPr="00F80756">
        <w:rPr>
          <w:lang w:val="en-CA"/>
        </w:rPr>
        <w:t>25</w:t>
      </w:r>
      <w:r w:rsidR="00207F47" w:rsidRPr="00F80756">
        <w:rPr>
          <w:lang w:val="en-CA"/>
        </w:rPr>
        <w:t xml:space="preserve"> </w:t>
      </w:r>
      <w:r w:rsidRPr="00F80756">
        <w:rPr>
          <w:lang w:val="en-CA"/>
        </w:rPr>
        <w:t>were deemed irrelevant for the purposes of assessing the applicant’s state of health.</w:t>
      </w:r>
      <w:r w:rsidR="00207F47" w:rsidRPr="00F80756">
        <w:rPr>
          <w:rStyle w:val="Appelnotedebasdep"/>
          <w:lang w:val="en-CA"/>
        </w:rPr>
        <w:footnoteReference w:id="5"/>
      </w:r>
      <w:r w:rsidR="00207F47" w:rsidRPr="00F80756">
        <w:rPr>
          <w:lang w:val="en-CA"/>
        </w:rPr>
        <w:t xml:space="preserve"> </w:t>
      </w:r>
      <w:r w:rsidRPr="00F80756">
        <w:rPr>
          <w:lang w:val="en-CA"/>
        </w:rPr>
        <w:t>Th</w:t>
      </w:r>
      <w:r w:rsidR="00012AA6" w:rsidRPr="00F80756">
        <w:rPr>
          <w:lang w:val="en-CA"/>
        </w:rPr>
        <w:t xml:space="preserve">e Tribunal </w:t>
      </w:r>
      <w:r w:rsidRPr="00F80756">
        <w:rPr>
          <w:lang w:val="en-CA"/>
        </w:rPr>
        <w:t xml:space="preserve">did </w:t>
      </w:r>
      <w:r w:rsidR="00A3365A">
        <w:rPr>
          <w:lang w:val="en-CA"/>
        </w:rPr>
        <w:t>find</w:t>
      </w:r>
      <w:r w:rsidRPr="00F80756">
        <w:rPr>
          <w:lang w:val="en-CA"/>
        </w:rPr>
        <w:t>, however</w:t>
      </w:r>
      <w:r w:rsidR="007A63D6" w:rsidRPr="00F80756">
        <w:rPr>
          <w:lang w:val="en-CA"/>
        </w:rPr>
        <w:t>, that the information sought</w:t>
      </w:r>
      <w:r w:rsidRPr="00F80756">
        <w:rPr>
          <w:lang w:val="en-CA"/>
        </w:rPr>
        <w:t xml:space="preserve"> in questions 12, 18</w:t>
      </w:r>
      <w:r w:rsidR="00A3365A">
        <w:rPr>
          <w:lang w:val="en-CA"/>
        </w:rPr>
        <w:t>,</w:t>
      </w:r>
      <w:r w:rsidRPr="00F80756">
        <w:rPr>
          <w:lang w:val="en-CA"/>
        </w:rPr>
        <w:t xml:space="preserve"> and</w:t>
      </w:r>
      <w:r w:rsidR="00207F47" w:rsidRPr="00F80756">
        <w:rPr>
          <w:lang w:val="en-CA"/>
        </w:rPr>
        <w:t xml:space="preserve"> 21 </w:t>
      </w:r>
      <w:r w:rsidRPr="00F80756">
        <w:rPr>
          <w:lang w:val="en-CA"/>
        </w:rPr>
        <w:t>was [</w:t>
      </w:r>
      <w:r w:rsidRPr="00F80756">
        <w:rPr>
          <w:smallCaps/>
          <w:lang w:val="en-CA"/>
        </w:rPr>
        <w:t>translation</w:t>
      </w:r>
      <w:r w:rsidRPr="00F80756">
        <w:rPr>
          <w:lang w:val="en-CA"/>
        </w:rPr>
        <w:t>] “directly connected to the aptitudes or qualitie</w:t>
      </w:r>
      <w:r w:rsidR="00207F47" w:rsidRPr="00F80756">
        <w:rPr>
          <w:lang w:val="en-CA"/>
        </w:rPr>
        <w:t>s requi</w:t>
      </w:r>
      <w:r w:rsidRPr="00F80756">
        <w:rPr>
          <w:lang w:val="en-CA"/>
        </w:rPr>
        <w:t>red.”</w:t>
      </w:r>
      <w:r w:rsidR="00207F47" w:rsidRPr="00F80756">
        <w:rPr>
          <w:rStyle w:val="Appelnotedebasdep"/>
          <w:lang w:val="en-CA"/>
        </w:rPr>
        <w:footnoteReference w:id="6"/>
      </w:r>
      <w:r w:rsidR="00207F47" w:rsidRPr="00F80756">
        <w:rPr>
          <w:lang w:val="en-CA"/>
        </w:rPr>
        <w:t xml:space="preserve"> </w:t>
      </w:r>
    </w:p>
    <w:p w14:paraId="7106EE25" w14:textId="7F64412F" w:rsidR="00207F47" w:rsidRPr="005555BB" w:rsidRDefault="00F60071" w:rsidP="00703929">
      <w:pPr>
        <w:pStyle w:val="Paragraphe"/>
        <w:spacing w:line="240" w:lineRule="auto"/>
        <w:rPr>
          <w:lang w:val="en-CA"/>
        </w:rPr>
      </w:pPr>
      <w:r w:rsidRPr="00F80756">
        <w:rPr>
          <w:lang w:val="en-CA"/>
        </w:rPr>
        <w:t>Th</w:t>
      </w:r>
      <w:r w:rsidR="00207F47" w:rsidRPr="00F80756">
        <w:rPr>
          <w:lang w:val="en-CA"/>
        </w:rPr>
        <w:t xml:space="preserve">e Tribunal </w:t>
      </w:r>
      <w:r w:rsidRPr="00F80756">
        <w:rPr>
          <w:lang w:val="en-CA"/>
        </w:rPr>
        <w:t>felt that questions 7.5 and</w:t>
      </w:r>
      <w:r w:rsidR="00207F47" w:rsidRPr="00F80756">
        <w:rPr>
          <w:lang w:val="en-CA"/>
        </w:rPr>
        <w:t xml:space="preserve"> 7.6 </w:t>
      </w:r>
      <w:r w:rsidRPr="00F80756">
        <w:rPr>
          <w:lang w:val="en-CA"/>
        </w:rPr>
        <w:t xml:space="preserve">of the pre-employment </w:t>
      </w:r>
      <w:r w:rsidR="00207F47" w:rsidRPr="00F80756">
        <w:rPr>
          <w:lang w:val="en-CA"/>
        </w:rPr>
        <w:t xml:space="preserve">questionnaire </w:t>
      </w:r>
      <w:r w:rsidRPr="00F80756">
        <w:rPr>
          <w:lang w:val="en-CA"/>
        </w:rPr>
        <w:t xml:space="preserve">were not discriminatory since the employer was warranted in asking </w:t>
      </w:r>
      <w:r w:rsidR="00207F47" w:rsidRPr="00F80756">
        <w:rPr>
          <w:lang w:val="en-CA"/>
        </w:rPr>
        <w:t xml:space="preserve">questions </w:t>
      </w:r>
      <w:r w:rsidRPr="00F80756">
        <w:rPr>
          <w:lang w:val="en-CA"/>
        </w:rPr>
        <w:t xml:space="preserve">about </w:t>
      </w:r>
      <w:r w:rsidR="00A3365A">
        <w:rPr>
          <w:lang w:val="en-CA"/>
        </w:rPr>
        <w:t xml:space="preserve">the mental health of </w:t>
      </w:r>
      <w:r w:rsidRPr="00F80756">
        <w:rPr>
          <w:lang w:val="en-CA"/>
        </w:rPr>
        <w:t>applicants.</w:t>
      </w:r>
      <w:r w:rsidR="00207F47" w:rsidRPr="00F80756">
        <w:rPr>
          <w:rStyle w:val="Appelnotedebasdep"/>
          <w:lang w:val="en-CA"/>
        </w:rPr>
        <w:footnoteReference w:id="7"/>
      </w:r>
      <w:r w:rsidRPr="00F80756">
        <w:rPr>
          <w:lang w:val="en-CA"/>
        </w:rPr>
        <w:t xml:space="preserve"> It added that the complainant should have said he was afflicted with TS in response to </w:t>
      </w:r>
      <w:r w:rsidR="00207F47" w:rsidRPr="00F80756">
        <w:rPr>
          <w:lang w:val="en-CA"/>
        </w:rPr>
        <w:t>question 7.5</w:t>
      </w:r>
      <w:r w:rsidRPr="00F80756">
        <w:rPr>
          <w:lang w:val="en-CA"/>
        </w:rPr>
        <w:t>.</w:t>
      </w:r>
      <w:r w:rsidR="00207F47" w:rsidRPr="005555BB">
        <w:rPr>
          <w:rStyle w:val="Appelnotedebasdep"/>
          <w:lang w:val="en-CA"/>
        </w:rPr>
        <w:footnoteReference w:id="8"/>
      </w:r>
      <w:r w:rsidR="005555BB">
        <w:rPr>
          <w:lang w:val="en-CA"/>
        </w:rPr>
        <w:t>Q</w:t>
      </w:r>
      <w:r w:rsidR="00207F47" w:rsidRPr="005555BB">
        <w:rPr>
          <w:lang w:val="en-CA"/>
        </w:rPr>
        <w:t>uestion 7.7</w:t>
      </w:r>
      <w:r w:rsidR="005555BB">
        <w:rPr>
          <w:lang w:val="en-CA"/>
        </w:rPr>
        <w:t>, however,</w:t>
      </w:r>
      <w:r w:rsidR="00207F47" w:rsidRPr="005555BB">
        <w:rPr>
          <w:lang w:val="en-CA"/>
        </w:rPr>
        <w:t xml:space="preserve"> </w:t>
      </w:r>
      <w:r w:rsidRPr="005555BB">
        <w:rPr>
          <w:lang w:val="en-CA"/>
        </w:rPr>
        <w:t xml:space="preserve">was too broad and contravened the </w:t>
      </w:r>
      <w:r w:rsidR="00207F47" w:rsidRPr="005555BB">
        <w:rPr>
          <w:i/>
          <w:iCs/>
          <w:lang w:val="en-CA"/>
        </w:rPr>
        <w:t>Charte</w:t>
      </w:r>
      <w:r w:rsidRPr="005555BB">
        <w:rPr>
          <w:i/>
          <w:iCs/>
          <w:lang w:val="en-CA"/>
        </w:rPr>
        <w:t>r.</w:t>
      </w:r>
      <w:r w:rsidR="00207F47" w:rsidRPr="005555BB">
        <w:rPr>
          <w:rStyle w:val="Appelnotedebasdep"/>
          <w:lang w:val="en-CA"/>
        </w:rPr>
        <w:footnoteReference w:id="9"/>
      </w:r>
      <w:r w:rsidR="00207F47" w:rsidRPr="005555BB">
        <w:rPr>
          <w:lang w:val="en-CA"/>
        </w:rPr>
        <w:t xml:space="preserve"> </w:t>
      </w:r>
    </w:p>
    <w:p w14:paraId="31EAFE59" w14:textId="670A64CF" w:rsidR="00207F47" w:rsidRPr="005555BB" w:rsidRDefault="00596897" w:rsidP="00703929">
      <w:pPr>
        <w:pStyle w:val="Paragraphe"/>
        <w:spacing w:line="240" w:lineRule="auto"/>
        <w:rPr>
          <w:lang w:val="en-CA"/>
        </w:rPr>
      </w:pPr>
      <w:r w:rsidRPr="005555BB">
        <w:rPr>
          <w:lang w:val="en-CA"/>
        </w:rPr>
        <w:lastRenderedPageBreak/>
        <w:t>Last, the Tribunal de</w:t>
      </w:r>
      <w:r w:rsidR="00207F47" w:rsidRPr="005555BB">
        <w:rPr>
          <w:lang w:val="en-CA"/>
        </w:rPr>
        <w:t>cide</w:t>
      </w:r>
      <w:r w:rsidRPr="005555BB">
        <w:rPr>
          <w:lang w:val="en-CA"/>
        </w:rPr>
        <w:t xml:space="preserve">d that the </w:t>
      </w:r>
      <w:r w:rsidR="009E29D4">
        <w:rPr>
          <w:lang w:val="en-CA"/>
        </w:rPr>
        <w:t>lung X</w:t>
      </w:r>
      <w:r w:rsidRPr="005555BB">
        <w:rPr>
          <w:lang w:val="en-CA"/>
        </w:rPr>
        <w:t xml:space="preserve">-ray and the genital palpation the complainant underwent during the medical examinations </w:t>
      </w:r>
      <w:r w:rsidR="00776D08">
        <w:rPr>
          <w:lang w:val="en-CA"/>
        </w:rPr>
        <w:t>violated</w:t>
      </w:r>
      <w:r w:rsidR="00776D08" w:rsidRPr="005555BB">
        <w:rPr>
          <w:lang w:val="en-CA"/>
        </w:rPr>
        <w:t xml:space="preserve"> </w:t>
      </w:r>
      <w:r w:rsidRPr="005555BB">
        <w:rPr>
          <w:lang w:val="en-CA"/>
        </w:rPr>
        <w:t>his physical integrity.</w:t>
      </w:r>
    </w:p>
    <w:p w14:paraId="1F2C6E61" w14:textId="5668366F" w:rsidR="00207F47" w:rsidRPr="005555BB" w:rsidRDefault="00596897" w:rsidP="00703929">
      <w:pPr>
        <w:pStyle w:val="Paragraphe"/>
        <w:keepNext/>
        <w:keepLines/>
        <w:spacing w:line="240" w:lineRule="auto"/>
        <w:rPr>
          <w:lang w:val="en-CA"/>
        </w:rPr>
      </w:pPr>
      <w:r w:rsidRPr="005555BB">
        <w:rPr>
          <w:lang w:val="en-CA"/>
        </w:rPr>
        <w:t>As compensation for the</w:t>
      </w:r>
      <w:r w:rsidR="00776D08">
        <w:rPr>
          <w:lang w:val="en-CA"/>
        </w:rPr>
        <w:t>se violations</w:t>
      </w:r>
      <w:r w:rsidRPr="005555BB">
        <w:rPr>
          <w:lang w:val="en-CA"/>
        </w:rPr>
        <w:t>, th</w:t>
      </w:r>
      <w:r w:rsidR="00207F47" w:rsidRPr="005555BB">
        <w:rPr>
          <w:lang w:val="en-CA"/>
        </w:rPr>
        <w:t xml:space="preserve">e Tribunal </w:t>
      </w:r>
      <w:r w:rsidRPr="005555BB">
        <w:rPr>
          <w:lang w:val="en-CA"/>
        </w:rPr>
        <w:t xml:space="preserve">ordered the </w:t>
      </w:r>
      <w:r w:rsidR="00207F47" w:rsidRPr="005555BB">
        <w:rPr>
          <w:lang w:val="en-CA"/>
        </w:rPr>
        <w:t>SQ</w:t>
      </w:r>
      <w:r w:rsidRPr="005555BB">
        <w:rPr>
          <w:lang w:val="en-CA"/>
        </w:rPr>
        <w:t xml:space="preserve"> to pay the complainant an indemnity of $8,000 </w:t>
      </w:r>
      <w:r w:rsidR="00776D08">
        <w:rPr>
          <w:lang w:val="en-CA"/>
        </w:rPr>
        <w:t xml:space="preserve">in </w:t>
      </w:r>
      <w:r w:rsidRPr="005555BB">
        <w:rPr>
          <w:lang w:val="en-CA"/>
        </w:rPr>
        <w:t>moral damages.</w:t>
      </w:r>
      <w:r w:rsidR="00207F47" w:rsidRPr="005555BB">
        <w:rPr>
          <w:lang w:val="en-CA"/>
        </w:rPr>
        <w:t xml:space="preserve"> </w:t>
      </w:r>
      <w:r w:rsidRPr="005555BB">
        <w:rPr>
          <w:lang w:val="en-CA"/>
        </w:rPr>
        <w:t xml:space="preserve">It dismissed the </w:t>
      </w:r>
      <w:r w:rsidR="00776D08">
        <w:rPr>
          <w:lang w:val="en-CA"/>
        </w:rPr>
        <w:t>conclusions seeking</w:t>
      </w:r>
      <w:r w:rsidR="00776D08" w:rsidRPr="005555BB">
        <w:rPr>
          <w:lang w:val="en-CA"/>
        </w:rPr>
        <w:t xml:space="preserve"> </w:t>
      </w:r>
      <w:r w:rsidRPr="005555BB">
        <w:rPr>
          <w:lang w:val="en-CA"/>
        </w:rPr>
        <w:t>punitive damages due to the [</w:t>
      </w:r>
      <w:r w:rsidRPr="005555BB">
        <w:rPr>
          <w:smallCaps/>
          <w:lang w:val="en-CA"/>
        </w:rPr>
        <w:t>translation</w:t>
      </w:r>
      <w:r w:rsidRPr="005555BB">
        <w:rPr>
          <w:lang w:val="en-CA"/>
        </w:rPr>
        <w:t>]</w:t>
      </w:r>
      <w:r w:rsidR="00012AA6" w:rsidRPr="005555BB">
        <w:rPr>
          <w:lang w:val="en-CA"/>
        </w:rPr>
        <w:t xml:space="preserve"> </w:t>
      </w:r>
      <w:r w:rsidRPr="005555BB">
        <w:rPr>
          <w:lang w:val="en-CA"/>
        </w:rPr>
        <w:t>“</w:t>
      </w:r>
      <w:r w:rsidR="00776D08">
        <w:rPr>
          <w:lang w:val="en-CA"/>
        </w:rPr>
        <w:t xml:space="preserve">lack of intentionality of </w:t>
      </w:r>
      <w:r w:rsidRPr="005555BB">
        <w:rPr>
          <w:lang w:val="en-CA"/>
        </w:rPr>
        <w:t>the actions.”</w:t>
      </w:r>
      <w:r w:rsidR="00207F47" w:rsidRPr="005555BB">
        <w:rPr>
          <w:rStyle w:val="Appelnotedebasdep"/>
          <w:lang w:val="en-CA"/>
        </w:rPr>
        <w:footnoteReference w:id="10"/>
      </w:r>
      <w:r w:rsidR="00207F47" w:rsidRPr="005555BB">
        <w:rPr>
          <w:lang w:val="en-CA"/>
        </w:rPr>
        <w:t xml:space="preserve"> </w:t>
      </w:r>
      <w:r w:rsidRPr="005555BB">
        <w:rPr>
          <w:lang w:val="en-CA"/>
        </w:rPr>
        <w:t xml:space="preserve">It ordered the SQ to rewrite its medical and pre-employment </w:t>
      </w:r>
      <w:r w:rsidR="00207F47" w:rsidRPr="005555BB">
        <w:rPr>
          <w:lang w:val="en-CA"/>
        </w:rPr>
        <w:t xml:space="preserve">questionnaires </w:t>
      </w:r>
      <w:r w:rsidR="00B7069D" w:rsidRPr="005555BB">
        <w:rPr>
          <w:lang w:val="en-CA"/>
        </w:rPr>
        <w:t xml:space="preserve">to make them comply with the </w:t>
      </w:r>
      <w:r w:rsidR="00207F47" w:rsidRPr="005555BB">
        <w:rPr>
          <w:i/>
          <w:iCs/>
          <w:lang w:val="en-CA"/>
        </w:rPr>
        <w:t>Charte</w:t>
      </w:r>
      <w:r w:rsidR="00B7069D" w:rsidRPr="005555BB">
        <w:rPr>
          <w:i/>
          <w:iCs/>
          <w:lang w:val="en-CA"/>
        </w:rPr>
        <w:t>r</w:t>
      </w:r>
      <w:r w:rsidR="00207F47" w:rsidRPr="005555BB">
        <w:rPr>
          <w:lang w:val="en-CA"/>
        </w:rPr>
        <w:t xml:space="preserve">. </w:t>
      </w:r>
    </w:p>
    <w:p w14:paraId="0693551C" w14:textId="46DC20D2" w:rsidR="001F5AC9" w:rsidRPr="005555BB" w:rsidRDefault="00B7069D" w:rsidP="00703929">
      <w:pPr>
        <w:pStyle w:val="Paragraphe"/>
        <w:spacing w:line="240" w:lineRule="auto"/>
        <w:rPr>
          <w:lang w:val="en-CA"/>
        </w:rPr>
      </w:pPr>
      <w:r w:rsidRPr="005555BB">
        <w:rPr>
          <w:lang w:val="en-CA"/>
        </w:rPr>
        <w:t>Th</w:t>
      </w:r>
      <w:r w:rsidR="00207F47" w:rsidRPr="005555BB">
        <w:rPr>
          <w:lang w:val="en-CA"/>
        </w:rPr>
        <w:t>e Tribunal refuse</w:t>
      </w:r>
      <w:r w:rsidRPr="005555BB">
        <w:rPr>
          <w:lang w:val="en-CA"/>
        </w:rPr>
        <w:t>d</w:t>
      </w:r>
      <w:r w:rsidR="00776D08">
        <w:rPr>
          <w:lang w:val="en-CA"/>
        </w:rPr>
        <w:t>,</w:t>
      </w:r>
      <w:r w:rsidRPr="005555BB">
        <w:rPr>
          <w:lang w:val="en-CA"/>
        </w:rPr>
        <w:t xml:space="preserve"> however</w:t>
      </w:r>
      <w:r w:rsidR="00776D08">
        <w:rPr>
          <w:lang w:val="en-CA"/>
        </w:rPr>
        <w:t>,</w:t>
      </w:r>
      <w:r w:rsidRPr="005555BB">
        <w:rPr>
          <w:lang w:val="en-CA"/>
        </w:rPr>
        <w:t xml:space="preserve"> to find the refusal </w:t>
      </w:r>
      <w:r w:rsidR="00AC72D1">
        <w:rPr>
          <w:lang w:val="en-CA"/>
        </w:rPr>
        <w:t xml:space="preserve">of employment </w:t>
      </w:r>
      <w:r w:rsidRPr="005555BB">
        <w:rPr>
          <w:lang w:val="en-CA"/>
        </w:rPr>
        <w:t>discriminatory; according to the evidence</w:t>
      </w:r>
      <w:r w:rsidR="00776D08">
        <w:rPr>
          <w:lang w:val="en-CA"/>
        </w:rPr>
        <w:t>, it</w:t>
      </w:r>
      <w:r w:rsidRPr="005555BB">
        <w:rPr>
          <w:lang w:val="en-CA"/>
        </w:rPr>
        <w:t xml:space="preserve"> [</w:t>
      </w:r>
      <w:r w:rsidRPr="005555BB">
        <w:rPr>
          <w:smallCaps/>
          <w:lang w:val="en-CA"/>
        </w:rPr>
        <w:t>translation</w:t>
      </w:r>
      <w:r w:rsidRPr="005555BB">
        <w:rPr>
          <w:lang w:val="en-CA"/>
        </w:rPr>
        <w:t>] “was not discriminatory because the decision was based on the qualities essential to the function of a police officer</w:t>
      </w:r>
      <w:r w:rsidR="00776D08">
        <w:rPr>
          <w:lang w:val="en-CA"/>
        </w:rPr>
        <w:t>, namely,</w:t>
      </w:r>
      <w:r w:rsidRPr="005555BB">
        <w:rPr>
          <w:lang w:val="en-CA"/>
        </w:rPr>
        <w:t xml:space="preserve"> good </w:t>
      </w:r>
      <w:r w:rsidR="006F3ACA">
        <w:rPr>
          <w:lang w:val="en-CA"/>
        </w:rPr>
        <w:t xml:space="preserve">moral </w:t>
      </w:r>
      <w:r w:rsidRPr="005555BB">
        <w:rPr>
          <w:lang w:val="en-CA"/>
        </w:rPr>
        <w:t>character and integrity, not the fact that he was afflicted with TS.”</w:t>
      </w:r>
      <w:r w:rsidR="00207F47" w:rsidRPr="005555BB">
        <w:rPr>
          <w:rStyle w:val="Appelnotedebasdep"/>
          <w:lang w:val="en-CA"/>
        </w:rPr>
        <w:footnoteReference w:id="11"/>
      </w:r>
      <w:r w:rsidR="00207F47" w:rsidRPr="005555BB">
        <w:rPr>
          <w:lang w:val="en-CA"/>
        </w:rPr>
        <w:t xml:space="preserve"> </w:t>
      </w:r>
      <w:r w:rsidRPr="005555BB">
        <w:rPr>
          <w:lang w:val="en-CA"/>
        </w:rPr>
        <w:t>This appeal turns on that conclusion.</w:t>
      </w:r>
    </w:p>
    <w:p w14:paraId="5D34CCCA" w14:textId="05E3F7C0" w:rsidR="00207F47" w:rsidRPr="005555BB" w:rsidRDefault="00776D08" w:rsidP="00703929">
      <w:pPr>
        <w:pStyle w:val="Paragraphe"/>
        <w:keepNext/>
        <w:keepLines/>
        <w:numPr>
          <w:ilvl w:val="0"/>
          <w:numId w:val="0"/>
        </w:numPr>
        <w:spacing w:line="240" w:lineRule="auto"/>
        <w:rPr>
          <w:b/>
          <w:bCs/>
          <w:lang w:val="en-CA"/>
        </w:rPr>
      </w:pPr>
      <w:r>
        <w:rPr>
          <w:b/>
          <w:bCs/>
          <w:lang w:val="en-CA"/>
        </w:rPr>
        <w:t xml:space="preserve">GROUNDS OF </w:t>
      </w:r>
      <w:r w:rsidR="00242537" w:rsidRPr="005555BB">
        <w:rPr>
          <w:b/>
          <w:bCs/>
          <w:lang w:val="en-CA"/>
        </w:rPr>
        <w:t xml:space="preserve">APPEAL </w:t>
      </w:r>
    </w:p>
    <w:p w14:paraId="4DA1555F" w14:textId="03975B51" w:rsidR="00207F47" w:rsidRPr="005555BB" w:rsidRDefault="00242537" w:rsidP="00703929">
      <w:pPr>
        <w:pStyle w:val="Paragraphe"/>
        <w:spacing w:line="240" w:lineRule="auto"/>
        <w:rPr>
          <w:lang w:val="en-CA"/>
        </w:rPr>
      </w:pPr>
      <w:r w:rsidRPr="005555BB">
        <w:rPr>
          <w:lang w:val="en-CA"/>
        </w:rPr>
        <w:t>The appellant submit</w:t>
      </w:r>
      <w:r w:rsidR="00776D08">
        <w:rPr>
          <w:lang w:val="en-CA"/>
        </w:rPr>
        <w:t>s</w:t>
      </w:r>
      <w:r w:rsidRPr="005555BB">
        <w:rPr>
          <w:lang w:val="en-CA"/>
        </w:rPr>
        <w:t xml:space="preserve"> the following</w:t>
      </w:r>
      <w:r w:rsidR="00776D08">
        <w:rPr>
          <w:lang w:val="en-CA"/>
        </w:rPr>
        <w:t xml:space="preserve"> three grounds</w:t>
      </w:r>
      <w:r w:rsidRPr="005555BB">
        <w:rPr>
          <w:lang w:val="en-CA"/>
        </w:rPr>
        <w:t>:</w:t>
      </w:r>
      <w:r w:rsidR="00207F47" w:rsidRPr="005555BB">
        <w:rPr>
          <w:lang w:val="en-CA"/>
        </w:rPr>
        <w:t xml:space="preserve"> </w:t>
      </w:r>
    </w:p>
    <w:p w14:paraId="4154FE3F" w14:textId="77777777" w:rsidR="00207F47" w:rsidRPr="005555BB" w:rsidRDefault="00242537" w:rsidP="00703929">
      <w:pPr>
        <w:pStyle w:val="Citationenretrait"/>
        <w:numPr>
          <w:ilvl w:val="0"/>
          <w:numId w:val="19"/>
        </w:numPr>
        <w:spacing w:before="0" w:line="240" w:lineRule="auto"/>
        <w:rPr>
          <w:sz w:val="24"/>
          <w:szCs w:val="24"/>
          <w:lang w:val="en-CA"/>
        </w:rPr>
      </w:pPr>
      <w:r w:rsidRPr="005555BB">
        <w:rPr>
          <w:sz w:val="24"/>
          <w:szCs w:val="24"/>
          <w:lang w:val="en-CA"/>
        </w:rPr>
        <w:t>Did the T</w:t>
      </w:r>
      <w:r w:rsidR="00207F47" w:rsidRPr="005555BB">
        <w:rPr>
          <w:sz w:val="24"/>
          <w:szCs w:val="24"/>
          <w:lang w:val="en-CA"/>
        </w:rPr>
        <w:t>ri</w:t>
      </w:r>
      <w:r w:rsidRPr="005555BB">
        <w:rPr>
          <w:sz w:val="24"/>
          <w:szCs w:val="24"/>
          <w:lang w:val="en-CA"/>
        </w:rPr>
        <w:t>bunal err in applying the two steps of the legal framework of the defence of justification partially and incompletely and in concluding that the complainant had made false declarations about his health?</w:t>
      </w:r>
    </w:p>
    <w:p w14:paraId="74AA7D77" w14:textId="77777777" w:rsidR="00207F47" w:rsidRPr="005555BB" w:rsidRDefault="00242537" w:rsidP="00703929">
      <w:pPr>
        <w:pStyle w:val="Citationenretrait"/>
        <w:numPr>
          <w:ilvl w:val="0"/>
          <w:numId w:val="19"/>
        </w:numPr>
        <w:spacing w:line="240" w:lineRule="auto"/>
        <w:rPr>
          <w:sz w:val="24"/>
          <w:szCs w:val="24"/>
          <w:lang w:val="en-CA"/>
        </w:rPr>
      </w:pPr>
      <w:r w:rsidRPr="005555BB">
        <w:rPr>
          <w:sz w:val="24"/>
          <w:szCs w:val="24"/>
          <w:lang w:val="en-CA"/>
        </w:rPr>
        <w:t>Was the refusal to hire the complainant discriminatory?</w:t>
      </w:r>
    </w:p>
    <w:p w14:paraId="4B9C427B" w14:textId="0472E259" w:rsidR="00207F47" w:rsidRPr="005555BB" w:rsidRDefault="00E656FB" w:rsidP="00703929">
      <w:pPr>
        <w:pStyle w:val="Citationenretrait"/>
        <w:numPr>
          <w:ilvl w:val="0"/>
          <w:numId w:val="19"/>
        </w:numPr>
        <w:spacing w:line="240" w:lineRule="auto"/>
        <w:rPr>
          <w:sz w:val="24"/>
          <w:szCs w:val="24"/>
          <w:lang w:val="en-CA"/>
        </w:rPr>
      </w:pPr>
      <w:r>
        <w:rPr>
          <w:sz w:val="24"/>
          <w:szCs w:val="24"/>
          <w:lang w:val="en-CA"/>
        </w:rPr>
        <w:t xml:space="preserve">Does </w:t>
      </w:r>
      <w:r w:rsidR="00242537" w:rsidRPr="005555BB">
        <w:rPr>
          <w:sz w:val="24"/>
          <w:szCs w:val="24"/>
          <w:lang w:val="en-CA"/>
        </w:rPr>
        <w:t>t</w:t>
      </w:r>
      <w:r w:rsidR="00B517C8" w:rsidRPr="005555BB">
        <w:rPr>
          <w:sz w:val="24"/>
          <w:szCs w:val="24"/>
          <w:lang w:val="en-CA"/>
        </w:rPr>
        <w:t xml:space="preserve">he complainant </w:t>
      </w:r>
      <w:r>
        <w:rPr>
          <w:sz w:val="24"/>
          <w:szCs w:val="24"/>
          <w:lang w:val="en-CA"/>
        </w:rPr>
        <w:t xml:space="preserve">have the right </w:t>
      </w:r>
      <w:r w:rsidR="00B517C8" w:rsidRPr="005555BB">
        <w:rPr>
          <w:sz w:val="24"/>
          <w:szCs w:val="24"/>
          <w:lang w:val="en-CA"/>
        </w:rPr>
        <w:t xml:space="preserve">to be </w:t>
      </w:r>
      <w:r w:rsidR="00242537" w:rsidRPr="005555BB">
        <w:rPr>
          <w:sz w:val="24"/>
          <w:szCs w:val="24"/>
          <w:lang w:val="en-CA"/>
        </w:rPr>
        <w:t xml:space="preserve">hired and </w:t>
      </w:r>
      <w:r>
        <w:rPr>
          <w:sz w:val="24"/>
          <w:szCs w:val="24"/>
          <w:lang w:val="en-CA"/>
        </w:rPr>
        <w:t xml:space="preserve">is he entitled </w:t>
      </w:r>
      <w:r w:rsidR="00242537" w:rsidRPr="005555BB">
        <w:rPr>
          <w:sz w:val="24"/>
          <w:szCs w:val="24"/>
          <w:lang w:val="en-CA"/>
        </w:rPr>
        <w:t xml:space="preserve">to the damages claimed by the </w:t>
      </w:r>
      <w:r w:rsidR="00207F47" w:rsidRPr="005555BB">
        <w:rPr>
          <w:sz w:val="24"/>
          <w:szCs w:val="24"/>
          <w:lang w:val="en-CA"/>
        </w:rPr>
        <w:t>Commission</w:t>
      </w:r>
      <w:r w:rsidR="00B517C8" w:rsidRPr="005555BB">
        <w:rPr>
          <w:sz w:val="24"/>
          <w:szCs w:val="24"/>
          <w:lang w:val="en-CA"/>
        </w:rPr>
        <w:t xml:space="preserve"> on his behalf</w:t>
      </w:r>
      <w:r w:rsidR="00207F47" w:rsidRPr="005555BB">
        <w:rPr>
          <w:sz w:val="24"/>
          <w:szCs w:val="24"/>
          <w:lang w:val="en-CA"/>
        </w:rPr>
        <w:t>?</w:t>
      </w:r>
    </w:p>
    <w:p w14:paraId="44AF3316" w14:textId="77777777" w:rsidR="00207F47" w:rsidRPr="005555BB" w:rsidRDefault="005D737C" w:rsidP="00703929">
      <w:pPr>
        <w:pStyle w:val="Citationenretrait"/>
        <w:spacing w:before="240" w:line="240" w:lineRule="auto"/>
        <w:ind w:left="0"/>
        <w:rPr>
          <w:b/>
          <w:bCs/>
          <w:sz w:val="24"/>
          <w:szCs w:val="24"/>
          <w:lang w:val="en-CA"/>
        </w:rPr>
      </w:pPr>
      <w:r w:rsidRPr="005555BB">
        <w:rPr>
          <w:b/>
          <w:bCs/>
          <w:sz w:val="24"/>
          <w:szCs w:val="24"/>
          <w:lang w:val="en-CA"/>
        </w:rPr>
        <w:t xml:space="preserve">THE </w:t>
      </w:r>
      <w:r w:rsidR="000D349C" w:rsidRPr="005555BB">
        <w:rPr>
          <w:b/>
          <w:bCs/>
          <w:sz w:val="24"/>
          <w:szCs w:val="24"/>
          <w:lang w:val="en-CA"/>
        </w:rPr>
        <w:t>STANDARD</w:t>
      </w:r>
      <w:r w:rsidRPr="005555BB">
        <w:rPr>
          <w:b/>
          <w:bCs/>
          <w:sz w:val="24"/>
          <w:szCs w:val="24"/>
          <w:lang w:val="en-CA"/>
        </w:rPr>
        <w:t xml:space="preserve"> OF REVIEW</w:t>
      </w:r>
    </w:p>
    <w:p w14:paraId="1047BAFF" w14:textId="46623604" w:rsidR="00207F47" w:rsidRPr="00BD44B9" w:rsidRDefault="005D737C" w:rsidP="00703929">
      <w:pPr>
        <w:pStyle w:val="Paragraphe"/>
        <w:spacing w:line="240" w:lineRule="auto"/>
        <w:rPr>
          <w:rFonts w:cs="Arial"/>
          <w:szCs w:val="24"/>
          <w:lang w:val="en-CA"/>
        </w:rPr>
      </w:pPr>
      <w:r w:rsidRPr="00BD44B9">
        <w:rPr>
          <w:rFonts w:cs="Arial"/>
          <w:szCs w:val="24"/>
          <w:shd w:val="clear" w:color="auto" w:fill="FFFFFF"/>
        </w:rPr>
        <w:t xml:space="preserve">The standard of </w:t>
      </w:r>
      <w:proofErr w:type="spellStart"/>
      <w:r w:rsidRPr="00BD44B9">
        <w:rPr>
          <w:rFonts w:cs="Arial"/>
          <w:szCs w:val="24"/>
          <w:shd w:val="clear" w:color="auto" w:fill="FFFFFF"/>
        </w:rPr>
        <w:t>review</w:t>
      </w:r>
      <w:proofErr w:type="spellEnd"/>
      <w:r w:rsidRPr="00BD44B9">
        <w:rPr>
          <w:rFonts w:cs="Arial"/>
          <w:szCs w:val="24"/>
          <w:shd w:val="clear" w:color="auto" w:fill="FFFFFF"/>
        </w:rPr>
        <w:t xml:space="preserve"> for a </w:t>
      </w:r>
      <w:proofErr w:type="spellStart"/>
      <w:r w:rsidRPr="00BD44B9">
        <w:rPr>
          <w:rFonts w:cs="Arial"/>
          <w:szCs w:val="24"/>
          <w:shd w:val="clear" w:color="auto" w:fill="FFFFFF"/>
        </w:rPr>
        <w:t>decision</w:t>
      </w:r>
      <w:proofErr w:type="spellEnd"/>
      <w:r w:rsidRPr="00BD44B9">
        <w:rPr>
          <w:rFonts w:cs="Arial"/>
          <w:szCs w:val="24"/>
          <w:shd w:val="clear" w:color="auto" w:fill="FFFFFF"/>
        </w:rPr>
        <w:t xml:space="preserve"> </w:t>
      </w:r>
      <w:r w:rsidR="00BD44B9" w:rsidRPr="00BD44B9">
        <w:rPr>
          <w:rFonts w:cs="Arial"/>
          <w:szCs w:val="24"/>
          <w:shd w:val="clear" w:color="auto" w:fill="FFFFFF"/>
        </w:rPr>
        <w:t xml:space="preserve">of </w:t>
      </w:r>
      <w:r w:rsidRPr="00BD44B9">
        <w:rPr>
          <w:rFonts w:cs="Arial"/>
          <w:szCs w:val="24"/>
          <w:shd w:val="clear" w:color="auto" w:fill="FFFFFF"/>
        </w:rPr>
        <w:t xml:space="preserve">the </w:t>
      </w:r>
      <w:r w:rsidR="00207F47" w:rsidRPr="00BD44B9">
        <w:rPr>
          <w:rFonts w:cs="Arial"/>
          <w:szCs w:val="24"/>
          <w:shd w:val="clear" w:color="auto" w:fill="FFFFFF"/>
        </w:rPr>
        <w:t>Tribunal des droits de la personne</w:t>
      </w:r>
      <w:r w:rsidR="00B90D08" w:rsidRPr="00BD44B9">
        <w:rPr>
          <w:rFonts w:cs="Arial"/>
          <w:szCs w:val="24"/>
          <w:shd w:val="clear" w:color="auto" w:fill="FFFFFF"/>
        </w:rPr>
        <w:t xml:space="preserve"> et des droits de la jeunesse</w:t>
      </w:r>
      <w:r w:rsidR="00207F47" w:rsidRPr="00BD44B9">
        <w:rPr>
          <w:rFonts w:cs="Arial"/>
          <w:szCs w:val="24"/>
          <w:shd w:val="clear" w:color="auto" w:fill="FFFFFF"/>
        </w:rPr>
        <w:t xml:space="preserve"> </w:t>
      </w:r>
      <w:proofErr w:type="spellStart"/>
      <w:r w:rsidRPr="00BD44B9">
        <w:rPr>
          <w:rFonts w:cs="Arial"/>
          <w:szCs w:val="24"/>
          <w:shd w:val="clear" w:color="auto" w:fill="FFFFFF"/>
        </w:rPr>
        <w:t>is</w:t>
      </w:r>
      <w:proofErr w:type="spellEnd"/>
      <w:r w:rsidRPr="00BD44B9">
        <w:rPr>
          <w:rFonts w:cs="Arial"/>
          <w:szCs w:val="24"/>
          <w:shd w:val="clear" w:color="auto" w:fill="FFFFFF"/>
        </w:rPr>
        <w:t xml:space="preserve"> </w:t>
      </w:r>
      <w:proofErr w:type="spellStart"/>
      <w:r w:rsidRPr="00BD44B9">
        <w:rPr>
          <w:rFonts w:cs="Arial"/>
          <w:szCs w:val="24"/>
          <w:shd w:val="clear" w:color="auto" w:fill="FFFFFF"/>
        </w:rPr>
        <w:t>now</w:t>
      </w:r>
      <w:proofErr w:type="spellEnd"/>
      <w:r w:rsidRPr="00BD44B9">
        <w:rPr>
          <w:rFonts w:cs="Arial"/>
          <w:szCs w:val="24"/>
          <w:shd w:val="clear" w:color="auto" w:fill="FFFFFF"/>
        </w:rPr>
        <w:t xml:space="preserve"> </w:t>
      </w:r>
      <w:proofErr w:type="spellStart"/>
      <w:r w:rsidRPr="00BD44B9">
        <w:rPr>
          <w:rFonts w:cs="Arial"/>
          <w:szCs w:val="24"/>
          <w:shd w:val="clear" w:color="auto" w:fill="FFFFFF"/>
        </w:rPr>
        <w:t>clear</w:t>
      </w:r>
      <w:proofErr w:type="spellEnd"/>
      <w:r w:rsidR="00207F47" w:rsidRPr="00BD44B9">
        <w:rPr>
          <w:rFonts w:cs="Arial"/>
          <w:szCs w:val="24"/>
          <w:shd w:val="clear" w:color="auto" w:fill="FFFFFF"/>
        </w:rPr>
        <w:t xml:space="preserve">. </w:t>
      </w:r>
      <w:r w:rsidRPr="005555BB">
        <w:rPr>
          <w:rFonts w:cs="Arial"/>
          <w:szCs w:val="24"/>
          <w:shd w:val="clear" w:color="auto" w:fill="FFFFFF"/>
          <w:lang w:val="en-CA"/>
        </w:rPr>
        <w:t xml:space="preserve">In </w:t>
      </w:r>
      <w:r w:rsidR="00207F47" w:rsidRPr="005555BB">
        <w:rPr>
          <w:rFonts w:cs="Arial"/>
          <w:i/>
          <w:szCs w:val="24"/>
          <w:lang w:val="en-CA"/>
        </w:rPr>
        <w:t>Ward</w:t>
      </w:r>
      <w:r w:rsidR="00B914D2" w:rsidRPr="005555BB">
        <w:rPr>
          <w:rFonts w:cs="Arial"/>
          <w:i/>
          <w:szCs w:val="24"/>
          <w:lang w:val="en-CA"/>
        </w:rPr>
        <w:t> </w:t>
      </w:r>
      <w:r w:rsidRPr="005555BB">
        <w:rPr>
          <w:rFonts w:cs="Arial"/>
          <w:i/>
          <w:szCs w:val="24"/>
          <w:lang w:val="en-CA"/>
        </w:rPr>
        <w:t>v</w:t>
      </w:r>
      <w:r w:rsidR="00207F47" w:rsidRPr="005555BB">
        <w:rPr>
          <w:rFonts w:cs="Arial"/>
          <w:i/>
          <w:szCs w:val="24"/>
          <w:lang w:val="en-CA"/>
        </w:rPr>
        <w:t>.</w:t>
      </w:r>
      <w:r w:rsidR="00B914D2" w:rsidRPr="005555BB">
        <w:rPr>
          <w:rFonts w:cs="Arial"/>
          <w:i/>
          <w:szCs w:val="24"/>
          <w:lang w:val="en-CA"/>
        </w:rPr>
        <w:t> </w:t>
      </w:r>
      <w:r w:rsidR="00207F47" w:rsidRPr="005555BB">
        <w:rPr>
          <w:rFonts w:cs="Arial"/>
          <w:i/>
          <w:szCs w:val="24"/>
          <w:lang w:val="en-CA"/>
        </w:rPr>
        <w:t>Québec (Commission des droits de la personne et des droits de la jeunesse)</w:t>
      </w:r>
      <w:r w:rsidRPr="005555BB">
        <w:rPr>
          <w:rFonts w:cs="Arial"/>
          <w:i/>
          <w:szCs w:val="24"/>
          <w:lang w:val="en-CA"/>
        </w:rPr>
        <w:t>,</w:t>
      </w:r>
      <w:r w:rsidR="00207F47" w:rsidRPr="00BD44B9">
        <w:rPr>
          <w:rStyle w:val="Appelnotedebasdep"/>
          <w:rFonts w:cs="Arial"/>
          <w:szCs w:val="24"/>
          <w:lang w:val="en-CA"/>
        </w:rPr>
        <w:footnoteReference w:id="12"/>
      </w:r>
      <w:r w:rsidR="00207F47" w:rsidRPr="00BD44B9">
        <w:rPr>
          <w:rFonts w:cs="Arial"/>
          <w:szCs w:val="24"/>
          <w:lang w:val="en-CA"/>
        </w:rPr>
        <w:t xml:space="preserve"> </w:t>
      </w:r>
      <w:r w:rsidRPr="00BD44B9">
        <w:rPr>
          <w:rFonts w:cs="Arial"/>
          <w:szCs w:val="24"/>
          <w:lang w:val="en-CA"/>
        </w:rPr>
        <w:t xml:space="preserve">the Supreme Court noted: </w:t>
      </w:r>
    </w:p>
    <w:p w14:paraId="2ADD809C" w14:textId="7C9A00D4" w:rsidR="00207F47" w:rsidRPr="00BD44B9" w:rsidRDefault="00207F47" w:rsidP="00703929">
      <w:pPr>
        <w:pStyle w:val="Citationenretrait"/>
        <w:spacing w:line="240" w:lineRule="auto"/>
        <w:rPr>
          <w:rFonts w:cs="Arial"/>
          <w:szCs w:val="22"/>
          <w:lang w:val="en-CA"/>
        </w:rPr>
      </w:pPr>
      <w:r w:rsidRPr="00BD44B9">
        <w:rPr>
          <w:rFonts w:cs="Arial"/>
          <w:szCs w:val="22"/>
          <w:lang w:val="en-CA"/>
        </w:rPr>
        <w:t>[</w:t>
      </w:r>
      <w:bookmarkStart w:id="11" w:name="par24"/>
      <w:r w:rsidRPr="00BD44B9">
        <w:rPr>
          <w:rFonts w:cs="Arial"/>
          <w:szCs w:val="22"/>
          <w:lang w:val="en-CA"/>
        </w:rPr>
        <w:t>24</w:t>
      </w:r>
      <w:bookmarkEnd w:id="11"/>
      <w:r w:rsidRPr="00BD44B9">
        <w:rPr>
          <w:rFonts w:cs="Arial"/>
          <w:szCs w:val="22"/>
          <w:lang w:val="en-CA"/>
        </w:rPr>
        <w:t>] ….</w:t>
      </w:r>
      <w:r w:rsidR="00BD44B9">
        <w:rPr>
          <w:rFonts w:cs="Arial"/>
          <w:szCs w:val="22"/>
          <w:lang w:val="en-CA"/>
        </w:rPr>
        <w:t xml:space="preserve"> </w:t>
      </w:r>
      <w:r w:rsidR="005D737C" w:rsidRPr="00BD44B9">
        <w:rPr>
          <w:rFonts w:cs="Arial"/>
          <w:szCs w:val="22"/>
          <w:lang w:val="en-CA"/>
        </w:rPr>
        <w:t xml:space="preserve">According to </w:t>
      </w:r>
      <w:r w:rsidR="005D737C" w:rsidRPr="00BD44B9">
        <w:rPr>
          <w:rFonts w:cs="Arial"/>
          <w:i/>
          <w:szCs w:val="22"/>
          <w:lang w:val="en-CA"/>
        </w:rPr>
        <w:t>Vavilov</w:t>
      </w:r>
      <w:r w:rsidR="005D737C" w:rsidRPr="00BD44B9">
        <w:rPr>
          <w:rFonts w:cs="Arial"/>
          <w:szCs w:val="22"/>
          <w:lang w:val="en-CA"/>
        </w:rPr>
        <w:t>, the presumption that reasonableness is the applicable standard of review for an administrative decision will be rebutted where the legislature has provided for “a statutory appeal mechanism from an administrative decision maker to a court, thereby signalling the application of appellate standards” (para. 33).</w:t>
      </w:r>
    </w:p>
    <w:p w14:paraId="0E9BAE73" w14:textId="77777777" w:rsidR="00207F47" w:rsidRPr="00EB755F" w:rsidRDefault="00207F47" w:rsidP="00703929">
      <w:pPr>
        <w:pStyle w:val="Citationenretrait"/>
        <w:spacing w:line="240" w:lineRule="auto"/>
        <w:rPr>
          <w:rFonts w:cs="Arial"/>
          <w:szCs w:val="22"/>
          <w:lang w:val="en-CA"/>
        </w:rPr>
      </w:pPr>
      <w:r w:rsidRPr="00BD44B9">
        <w:rPr>
          <w:rFonts w:cs="Arial"/>
          <w:szCs w:val="22"/>
          <w:lang w:val="en-CA"/>
        </w:rPr>
        <w:lastRenderedPageBreak/>
        <w:t xml:space="preserve">[25] </w:t>
      </w:r>
      <w:r w:rsidR="005D737C" w:rsidRPr="00BD44B9">
        <w:rPr>
          <w:rFonts w:cs="Arial"/>
          <w:szCs w:val="22"/>
          <w:lang w:val="en-CA"/>
        </w:rPr>
        <w:t xml:space="preserve">Here, ss. 132 and 133 of the </w:t>
      </w:r>
      <w:r w:rsidR="005D737C" w:rsidRPr="00BD44B9">
        <w:rPr>
          <w:rFonts w:cs="Arial"/>
          <w:i/>
          <w:szCs w:val="22"/>
          <w:lang w:val="en-CA"/>
        </w:rPr>
        <w:t>Quebec Charter</w:t>
      </w:r>
      <w:r w:rsidR="005D737C" w:rsidRPr="00BD44B9">
        <w:rPr>
          <w:rFonts w:cs="Arial"/>
          <w:szCs w:val="22"/>
          <w:lang w:val="en-CA"/>
        </w:rPr>
        <w:t xml:space="preserve"> state that the Tribunal’s decisions may be appealed to the Quebec Court of Appeal. Because there is a statutory appeal mechanism, appellate standards apply rather than the reasonableness standard (</w:t>
      </w:r>
      <w:r w:rsidR="005D737C" w:rsidRPr="00BD44B9">
        <w:rPr>
          <w:rFonts w:cs="Arial"/>
          <w:i/>
          <w:szCs w:val="22"/>
          <w:lang w:val="en-CA"/>
        </w:rPr>
        <w:t>Vavilov</w:t>
      </w:r>
      <w:r w:rsidR="005D737C" w:rsidRPr="00BD44B9">
        <w:rPr>
          <w:rFonts w:cs="Arial"/>
          <w:szCs w:val="22"/>
          <w:lang w:val="en-CA"/>
        </w:rPr>
        <w:t xml:space="preserve">, at para. 37; see </w:t>
      </w:r>
      <w:proofErr w:type="spellStart"/>
      <w:r w:rsidR="005D737C" w:rsidRPr="00BD44B9">
        <w:rPr>
          <w:rFonts w:cs="Arial"/>
          <w:i/>
          <w:szCs w:val="22"/>
          <w:lang w:val="en-CA"/>
        </w:rPr>
        <w:t>Housen</w:t>
      </w:r>
      <w:proofErr w:type="spellEnd"/>
      <w:r w:rsidR="005D737C" w:rsidRPr="00BD44B9">
        <w:rPr>
          <w:rFonts w:cs="Arial"/>
          <w:szCs w:val="22"/>
          <w:lang w:val="en-CA"/>
        </w:rPr>
        <w:t xml:space="preserve"> v. </w:t>
      </w:r>
      <w:proofErr w:type="spellStart"/>
      <w:r w:rsidR="005D737C" w:rsidRPr="00BD44B9">
        <w:rPr>
          <w:rFonts w:cs="Arial"/>
          <w:i/>
          <w:szCs w:val="22"/>
          <w:lang w:val="en-CA"/>
        </w:rPr>
        <w:t>Nikolaisen</w:t>
      </w:r>
      <w:proofErr w:type="spellEnd"/>
      <w:r w:rsidR="005D737C" w:rsidRPr="00BD44B9">
        <w:rPr>
          <w:rFonts w:cs="Arial"/>
          <w:szCs w:val="22"/>
          <w:lang w:val="en-CA"/>
        </w:rPr>
        <w:t>, 2002 SCC 33, [2002] 2 S.C.R. 235). The applicable standard is correctness for questions of law and palpable and overriding error for questions of mixed fact and law</w:t>
      </w:r>
      <w:r w:rsidRPr="00BD44B9">
        <w:rPr>
          <w:rFonts w:cs="Arial"/>
          <w:szCs w:val="22"/>
          <w:lang w:val="en-CA"/>
        </w:rPr>
        <w:t>.</w:t>
      </w:r>
      <w:r w:rsidRPr="00EB755F">
        <w:rPr>
          <w:rStyle w:val="Appelnotedebasdep"/>
          <w:lang w:val="en-CA"/>
        </w:rPr>
        <w:footnoteReference w:id="13"/>
      </w:r>
      <w:r w:rsidRPr="00EB755F">
        <w:rPr>
          <w:lang w:val="en-CA"/>
        </w:rPr>
        <w:t xml:space="preserve"> </w:t>
      </w:r>
    </w:p>
    <w:p w14:paraId="05803A16" w14:textId="77777777" w:rsidR="00207F47" w:rsidRPr="00EB755F" w:rsidRDefault="00B517C8" w:rsidP="00703929">
      <w:pPr>
        <w:pStyle w:val="Paragraphe"/>
        <w:keepNext/>
        <w:keepLines/>
        <w:numPr>
          <w:ilvl w:val="0"/>
          <w:numId w:val="0"/>
        </w:numPr>
        <w:spacing w:line="240" w:lineRule="auto"/>
        <w:rPr>
          <w:b/>
          <w:bCs/>
          <w:lang w:val="en-CA"/>
        </w:rPr>
      </w:pPr>
      <w:r w:rsidRPr="00EB755F">
        <w:rPr>
          <w:b/>
          <w:bCs/>
          <w:lang w:val="en-CA"/>
        </w:rPr>
        <w:t>ANALYSIS</w:t>
      </w:r>
    </w:p>
    <w:p w14:paraId="23411C56" w14:textId="374981C7" w:rsidR="00207F47" w:rsidRPr="00EB755F" w:rsidRDefault="00B517C8" w:rsidP="00703929">
      <w:pPr>
        <w:pStyle w:val="Paragraphe"/>
        <w:keepNext/>
        <w:keepLines/>
        <w:spacing w:line="240" w:lineRule="auto"/>
        <w:rPr>
          <w:lang w:val="en-CA"/>
        </w:rPr>
      </w:pPr>
      <w:r w:rsidRPr="00EB755F">
        <w:rPr>
          <w:lang w:val="en-CA"/>
        </w:rPr>
        <w:t>The appellant argue</w:t>
      </w:r>
      <w:r w:rsidR="00EB755F">
        <w:rPr>
          <w:lang w:val="en-CA"/>
        </w:rPr>
        <w:t>s</w:t>
      </w:r>
      <w:r w:rsidRPr="00EB755F">
        <w:rPr>
          <w:lang w:val="en-CA"/>
        </w:rPr>
        <w:t xml:space="preserve"> that the </w:t>
      </w:r>
      <w:r w:rsidR="00EB755F">
        <w:rPr>
          <w:lang w:val="en-CA"/>
        </w:rPr>
        <w:t xml:space="preserve">refusal of </w:t>
      </w:r>
      <w:r w:rsidRPr="00EB755F">
        <w:rPr>
          <w:lang w:val="en-CA"/>
        </w:rPr>
        <w:t>emplo</w:t>
      </w:r>
      <w:r w:rsidR="006A18F8" w:rsidRPr="00EB755F">
        <w:rPr>
          <w:lang w:val="en-CA"/>
        </w:rPr>
        <w:t>yment was unwarranted and that t</w:t>
      </w:r>
      <w:r w:rsidRPr="00EB755F">
        <w:rPr>
          <w:lang w:val="en-CA"/>
        </w:rPr>
        <w:t>he complainant’s false de</w:t>
      </w:r>
      <w:r w:rsidR="00207F47" w:rsidRPr="00EB755F">
        <w:rPr>
          <w:lang w:val="en-CA"/>
        </w:rPr>
        <w:t xml:space="preserve">clarations </w:t>
      </w:r>
      <w:r w:rsidRPr="00EB755F">
        <w:rPr>
          <w:lang w:val="en-CA"/>
        </w:rPr>
        <w:t>were</w:t>
      </w:r>
      <w:r w:rsidR="006A18F8" w:rsidRPr="00EB755F">
        <w:rPr>
          <w:lang w:val="en-CA"/>
        </w:rPr>
        <w:t xml:space="preserve"> irrelevant</w:t>
      </w:r>
      <w:r w:rsidRPr="00EB755F">
        <w:rPr>
          <w:lang w:val="en-CA"/>
        </w:rPr>
        <w:t xml:space="preserve"> because they referred to </w:t>
      </w:r>
      <w:r w:rsidR="006022DD" w:rsidRPr="00EB755F">
        <w:rPr>
          <w:lang w:val="en-CA"/>
        </w:rPr>
        <w:t xml:space="preserve">questions </w:t>
      </w:r>
      <w:r w:rsidRPr="00EB755F">
        <w:rPr>
          <w:lang w:val="en-CA"/>
        </w:rPr>
        <w:t>the employer had no right to ask since they were discriminatory.</w:t>
      </w:r>
      <w:r w:rsidR="00207F47" w:rsidRPr="00EB755F">
        <w:rPr>
          <w:lang w:val="en-CA"/>
        </w:rPr>
        <w:t xml:space="preserve"> </w:t>
      </w:r>
    </w:p>
    <w:p w14:paraId="13E8C784" w14:textId="4F9BB463" w:rsidR="00207F47" w:rsidRPr="00EB755F" w:rsidRDefault="007B6C0A" w:rsidP="00703929">
      <w:pPr>
        <w:pStyle w:val="Paragraphe"/>
        <w:spacing w:line="240" w:lineRule="auto"/>
        <w:rPr>
          <w:lang w:val="en-CA"/>
        </w:rPr>
      </w:pPr>
      <w:r w:rsidRPr="00EB755F">
        <w:rPr>
          <w:lang w:val="en-CA"/>
        </w:rPr>
        <w:t>The appellant</w:t>
      </w:r>
      <w:r w:rsidR="0078401D" w:rsidRPr="00EB755F">
        <w:rPr>
          <w:lang w:val="en-CA"/>
        </w:rPr>
        <w:t xml:space="preserve"> add</w:t>
      </w:r>
      <w:r w:rsidR="00B526A8">
        <w:rPr>
          <w:lang w:val="en-CA"/>
        </w:rPr>
        <w:t>s</w:t>
      </w:r>
      <w:r w:rsidR="0078401D" w:rsidRPr="00EB755F">
        <w:rPr>
          <w:lang w:val="en-CA"/>
        </w:rPr>
        <w:t xml:space="preserve"> that the same </w:t>
      </w:r>
      <w:r w:rsidR="00DE1A10" w:rsidRPr="00EB755F">
        <w:rPr>
          <w:lang w:val="en-CA"/>
        </w:rPr>
        <w:t>argument</w:t>
      </w:r>
      <w:r w:rsidR="003F42DF" w:rsidRPr="00EB755F">
        <w:rPr>
          <w:lang w:val="en-CA"/>
        </w:rPr>
        <w:t xml:space="preserve"> </w:t>
      </w:r>
      <w:r w:rsidR="0078401D" w:rsidRPr="00EB755F">
        <w:rPr>
          <w:lang w:val="en-CA"/>
        </w:rPr>
        <w:t>also applie</w:t>
      </w:r>
      <w:r w:rsidR="00B526A8">
        <w:rPr>
          <w:lang w:val="en-CA"/>
        </w:rPr>
        <w:t>s</w:t>
      </w:r>
      <w:r w:rsidR="0078401D" w:rsidRPr="00EB755F">
        <w:rPr>
          <w:lang w:val="en-CA"/>
        </w:rPr>
        <w:t xml:space="preserve"> when the </w:t>
      </w:r>
      <w:r w:rsidR="00207F47" w:rsidRPr="00EB755F">
        <w:rPr>
          <w:lang w:val="en-CA"/>
        </w:rPr>
        <w:t xml:space="preserve">questions </w:t>
      </w:r>
      <w:r w:rsidR="00B526A8">
        <w:rPr>
          <w:lang w:val="en-CA"/>
        </w:rPr>
        <w:t xml:space="preserve">are </w:t>
      </w:r>
      <w:r w:rsidR="0078401D" w:rsidRPr="00EB755F">
        <w:rPr>
          <w:lang w:val="en-CA"/>
        </w:rPr>
        <w:t xml:space="preserve">not clear and precise, since such </w:t>
      </w:r>
      <w:r w:rsidR="00207F47" w:rsidRPr="00EB755F">
        <w:rPr>
          <w:lang w:val="en-CA"/>
        </w:rPr>
        <w:t xml:space="preserve">questions </w:t>
      </w:r>
      <w:r w:rsidR="00B526A8">
        <w:rPr>
          <w:lang w:val="en-CA"/>
        </w:rPr>
        <w:t>can</w:t>
      </w:r>
      <w:r w:rsidR="0078401D" w:rsidRPr="00EB755F">
        <w:rPr>
          <w:lang w:val="en-CA"/>
        </w:rPr>
        <w:t xml:space="preserve">not comply with the </w:t>
      </w:r>
      <w:r w:rsidR="00207F47" w:rsidRPr="00EB755F">
        <w:rPr>
          <w:i/>
          <w:iCs/>
          <w:lang w:val="en-CA"/>
        </w:rPr>
        <w:t>Charte</w:t>
      </w:r>
      <w:r w:rsidR="0078401D" w:rsidRPr="00EB755F">
        <w:rPr>
          <w:i/>
          <w:iCs/>
          <w:lang w:val="en-CA"/>
        </w:rPr>
        <w:t>r</w:t>
      </w:r>
      <w:r w:rsidR="0078401D" w:rsidRPr="00EB755F">
        <w:rPr>
          <w:lang w:val="en-CA"/>
        </w:rPr>
        <w:t>. The appellant therefore acknowledge</w:t>
      </w:r>
      <w:r w:rsidR="00B526A8">
        <w:rPr>
          <w:lang w:val="en-CA"/>
        </w:rPr>
        <w:t>s</w:t>
      </w:r>
      <w:r w:rsidR="0078401D" w:rsidRPr="00EB755F">
        <w:rPr>
          <w:lang w:val="en-CA"/>
        </w:rPr>
        <w:t xml:space="preserve"> that the employer was entitled to ask whether the complainant was afflicted with TS, but could only do so by asking precise questions</w:t>
      </w:r>
      <w:r w:rsidR="00207F47" w:rsidRPr="00EB755F">
        <w:rPr>
          <w:lang w:val="en-CA"/>
        </w:rPr>
        <w:t xml:space="preserve">. </w:t>
      </w:r>
      <w:r w:rsidR="0078401D" w:rsidRPr="00EB755F">
        <w:rPr>
          <w:lang w:val="en-CA"/>
        </w:rPr>
        <w:t xml:space="preserve">If it did not, the </w:t>
      </w:r>
      <w:r w:rsidR="00207F47" w:rsidRPr="00EB755F">
        <w:rPr>
          <w:lang w:val="en-CA"/>
        </w:rPr>
        <w:t xml:space="preserve">Tribunal </w:t>
      </w:r>
      <w:r w:rsidR="0078401D" w:rsidRPr="00EB755F">
        <w:rPr>
          <w:lang w:val="en-CA"/>
        </w:rPr>
        <w:t xml:space="preserve">could not conclude that such information was relevant for the employer. </w:t>
      </w:r>
    </w:p>
    <w:p w14:paraId="643AD63D" w14:textId="23640A4A" w:rsidR="00207F47" w:rsidRPr="00B526A8" w:rsidRDefault="0078401D" w:rsidP="00703929">
      <w:pPr>
        <w:pStyle w:val="Paragraphe"/>
        <w:spacing w:line="240" w:lineRule="auto"/>
        <w:rPr>
          <w:lang w:val="en-CA"/>
        </w:rPr>
      </w:pPr>
      <w:r w:rsidRPr="00EB755F">
        <w:rPr>
          <w:lang w:val="en-CA"/>
        </w:rPr>
        <w:t>The appellant also argue</w:t>
      </w:r>
      <w:r w:rsidR="00B526A8">
        <w:rPr>
          <w:lang w:val="en-CA"/>
        </w:rPr>
        <w:t>s</w:t>
      </w:r>
      <w:r w:rsidRPr="00EB755F">
        <w:rPr>
          <w:lang w:val="en-CA"/>
        </w:rPr>
        <w:t xml:space="preserve"> that the </w:t>
      </w:r>
      <w:r w:rsidR="00207F47" w:rsidRPr="00EB755F">
        <w:rPr>
          <w:lang w:val="en-CA"/>
        </w:rPr>
        <w:t xml:space="preserve">Tribunal </w:t>
      </w:r>
      <w:r w:rsidRPr="00EB755F">
        <w:rPr>
          <w:lang w:val="en-CA"/>
        </w:rPr>
        <w:t>erred in considering questions relating to mental health to be relevant.</w:t>
      </w:r>
      <w:r w:rsidR="003F42DF" w:rsidRPr="00B526A8">
        <w:rPr>
          <w:rStyle w:val="Appelnotedebasdep"/>
          <w:lang w:val="en-CA"/>
        </w:rPr>
        <w:footnoteReference w:id="14"/>
      </w:r>
      <w:r w:rsidR="00207F47" w:rsidRPr="00B526A8">
        <w:rPr>
          <w:lang w:val="en-CA"/>
        </w:rPr>
        <w:t xml:space="preserve"> </w:t>
      </w:r>
      <w:r w:rsidRPr="00B526A8">
        <w:rPr>
          <w:lang w:val="en-CA"/>
        </w:rPr>
        <w:t>In the appellant’s view, the fact that the complainant consulted a psychologist about his relationships with women was not relevant for employment purposes. The questions were too broad, which made them discriminatory.</w:t>
      </w:r>
    </w:p>
    <w:p w14:paraId="4039C058" w14:textId="536B03BF" w:rsidR="00207F47" w:rsidRPr="00B526A8" w:rsidRDefault="0078401D" w:rsidP="00703929">
      <w:pPr>
        <w:pStyle w:val="Paragraphe"/>
        <w:spacing w:line="240" w:lineRule="auto"/>
        <w:rPr>
          <w:lang w:val="en-CA"/>
        </w:rPr>
      </w:pPr>
      <w:r w:rsidRPr="00B526A8">
        <w:rPr>
          <w:lang w:val="en-CA"/>
        </w:rPr>
        <w:t>The appellant suggest</w:t>
      </w:r>
      <w:r w:rsidR="00974065">
        <w:rPr>
          <w:lang w:val="en-CA"/>
        </w:rPr>
        <w:t>s</w:t>
      </w:r>
      <w:r w:rsidRPr="00B526A8">
        <w:rPr>
          <w:lang w:val="en-CA"/>
        </w:rPr>
        <w:t xml:space="preserve"> that the reason </w:t>
      </w:r>
      <w:r w:rsidR="00974065">
        <w:rPr>
          <w:lang w:val="en-CA"/>
        </w:rPr>
        <w:t xml:space="preserve">provided </w:t>
      </w:r>
      <w:r w:rsidRPr="00B526A8">
        <w:rPr>
          <w:lang w:val="en-CA"/>
        </w:rPr>
        <w:t>for the dismissal was a pretext. It contend</w:t>
      </w:r>
      <w:r w:rsidR="00974065">
        <w:rPr>
          <w:lang w:val="en-CA"/>
        </w:rPr>
        <w:t>s</w:t>
      </w:r>
      <w:r w:rsidRPr="00B526A8">
        <w:rPr>
          <w:lang w:val="en-CA"/>
        </w:rPr>
        <w:t xml:space="preserve"> that the </w:t>
      </w:r>
      <w:r w:rsidR="00207F47" w:rsidRPr="00B526A8">
        <w:rPr>
          <w:lang w:val="en-CA"/>
        </w:rPr>
        <w:t xml:space="preserve">SQ </w:t>
      </w:r>
      <w:r w:rsidRPr="00B526A8">
        <w:rPr>
          <w:lang w:val="en-CA"/>
        </w:rPr>
        <w:t xml:space="preserve">withdrew its offer of employment for discriminatory reasons connected to the complainant’s health, </w:t>
      </w:r>
      <w:r w:rsidR="00974065">
        <w:rPr>
          <w:lang w:val="en-CA"/>
        </w:rPr>
        <w:t xml:space="preserve">since </w:t>
      </w:r>
      <w:r w:rsidRPr="00B526A8">
        <w:rPr>
          <w:lang w:val="en-CA"/>
        </w:rPr>
        <w:t xml:space="preserve">the SQ’s disability plan </w:t>
      </w:r>
      <w:r w:rsidR="00974065">
        <w:rPr>
          <w:lang w:val="en-CA"/>
        </w:rPr>
        <w:t>is</w:t>
      </w:r>
      <w:r w:rsidR="00974065" w:rsidRPr="00B526A8">
        <w:rPr>
          <w:lang w:val="en-CA"/>
        </w:rPr>
        <w:t xml:space="preserve"> </w:t>
      </w:r>
      <w:r w:rsidRPr="00B526A8">
        <w:rPr>
          <w:lang w:val="en-CA"/>
        </w:rPr>
        <w:t>so generous that it only want</w:t>
      </w:r>
      <w:r w:rsidR="00974065">
        <w:rPr>
          <w:lang w:val="en-CA"/>
        </w:rPr>
        <w:t>s</w:t>
      </w:r>
      <w:r w:rsidRPr="00B526A8">
        <w:rPr>
          <w:lang w:val="en-CA"/>
        </w:rPr>
        <w:t xml:space="preserve"> to hire applicants </w:t>
      </w:r>
      <w:r w:rsidR="00974065">
        <w:rPr>
          <w:lang w:val="en-CA"/>
        </w:rPr>
        <w:t xml:space="preserve">who are </w:t>
      </w:r>
      <w:r w:rsidRPr="00B526A8">
        <w:rPr>
          <w:lang w:val="en-CA"/>
        </w:rPr>
        <w:t xml:space="preserve">in good health. </w:t>
      </w:r>
    </w:p>
    <w:p w14:paraId="0294D62D" w14:textId="77777777" w:rsidR="00207F47" w:rsidRPr="00B526A8" w:rsidRDefault="00207F47" w:rsidP="00703929">
      <w:pPr>
        <w:pStyle w:val="Paragraphe"/>
        <w:numPr>
          <w:ilvl w:val="0"/>
          <w:numId w:val="0"/>
        </w:numPr>
        <w:spacing w:before="240" w:line="240" w:lineRule="auto"/>
        <w:ind w:left="3540"/>
        <w:jc w:val="left"/>
        <w:rPr>
          <w:lang w:val="en-CA"/>
        </w:rPr>
      </w:pPr>
      <w:r w:rsidRPr="00B526A8">
        <w:rPr>
          <w:lang w:val="en-CA"/>
        </w:rPr>
        <w:t>* * * * *</w:t>
      </w:r>
    </w:p>
    <w:p w14:paraId="22E92689" w14:textId="77777777" w:rsidR="003F42DF" w:rsidRPr="00974065" w:rsidRDefault="00AB12A6" w:rsidP="00703929">
      <w:pPr>
        <w:pStyle w:val="Paragraphe"/>
        <w:keepNext/>
        <w:keepLines/>
        <w:numPr>
          <w:ilvl w:val="0"/>
          <w:numId w:val="0"/>
        </w:numPr>
        <w:spacing w:line="240" w:lineRule="auto"/>
        <w:ind w:left="720"/>
        <w:rPr>
          <w:b/>
          <w:lang w:val="en-CA"/>
        </w:rPr>
      </w:pPr>
      <w:r w:rsidRPr="000B4231">
        <w:rPr>
          <w:b/>
          <w:lang w:val="en-CA"/>
        </w:rPr>
        <w:lastRenderedPageBreak/>
        <w:t xml:space="preserve">1- </w:t>
      </w:r>
      <w:r w:rsidRPr="00974065">
        <w:rPr>
          <w:b/>
          <w:lang w:val="en-CA"/>
        </w:rPr>
        <w:t>Did the Tribunal err in concluding that the complainant made false declarations about his health</w:t>
      </w:r>
      <w:r w:rsidR="003F42DF" w:rsidRPr="00974065">
        <w:rPr>
          <w:b/>
          <w:lang w:val="en-CA"/>
        </w:rPr>
        <w:t>?</w:t>
      </w:r>
    </w:p>
    <w:p w14:paraId="6578135C" w14:textId="5F3EC865" w:rsidR="00207F47" w:rsidRPr="00974065" w:rsidRDefault="00AB12A6" w:rsidP="00703929">
      <w:pPr>
        <w:pStyle w:val="Paragraphe"/>
        <w:spacing w:before="0" w:line="240" w:lineRule="auto"/>
        <w:rPr>
          <w:lang w:val="en-CA"/>
        </w:rPr>
      </w:pPr>
      <w:bookmarkStart w:id="12" w:name="_Hlk119417445"/>
      <w:r w:rsidRPr="00974065">
        <w:rPr>
          <w:lang w:val="en-CA"/>
        </w:rPr>
        <w:t>The</w:t>
      </w:r>
      <w:r w:rsidR="00207F47" w:rsidRPr="00974065">
        <w:rPr>
          <w:lang w:val="en-CA"/>
        </w:rPr>
        <w:t xml:space="preserve"> </w:t>
      </w:r>
      <w:r w:rsidR="00207F47" w:rsidRPr="00974065">
        <w:rPr>
          <w:i/>
          <w:iCs/>
          <w:lang w:val="en-CA"/>
        </w:rPr>
        <w:t>Charte</w:t>
      </w:r>
      <w:bookmarkEnd w:id="12"/>
      <w:r w:rsidRPr="00974065">
        <w:rPr>
          <w:i/>
          <w:iCs/>
          <w:lang w:val="en-CA"/>
        </w:rPr>
        <w:t>r</w:t>
      </w:r>
      <w:r w:rsidR="00DE1A10" w:rsidRPr="00974065">
        <w:rPr>
          <w:rStyle w:val="Appelnotedebasdep"/>
          <w:lang w:val="en-CA"/>
        </w:rPr>
        <w:footnoteReference w:id="15"/>
      </w:r>
      <w:r w:rsidRPr="00974065">
        <w:rPr>
          <w:lang w:val="en-CA"/>
        </w:rPr>
        <w:t xml:space="preserve"> makes a clear</w:t>
      </w:r>
      <w:r w:rsidR="00FF2782" w:rsidRPr="00974065">
        <w:rPr>
          <w:lang w:val="en-CA"/>
        </w:rPr>
        <w:t xml:space="preserve"> distinction </w:t>
      </w:r>
      <w:r w:rsidRPr="00974065">
        <w:rPr>
          <w:lang w:val="en-CA"/>
        </w:rPr>
        <w:t xml:space="preserve">between the discriminatory collecting of </w:t>
      </w:r>
      <w:r w:rsidR="00207F47" w:rsidRPr="00974065">
        <w:rPr>
          <w:lang w:val="en-CA"/>
        </w:rPr>
        <w:t>information</w:t>
      </w:r>
      <w:r w:rsidR="00207F47" w:rsidRPr="00974065">
        <w:rPr>
          <w:rStyle w:val="Appelnotedebasdep"/>
          <w:lang w:val="en-CA"/>
        </w:rPr>
        <w:footnoteReference w:id="16"/>
      </w:r>
      <w:r w:rsidR="00207F47" w:rsidRPr="00974065">
        <w:rPr>
          <w:lang w:val="en-CA"/>
        </w:rPr>
        <w:t xml:space="preserve"> </w:t>
      </w:r>
      <w:r w:rsidRPr="00974065">
        <w:rPr>
          <w:lang w:val="en-CA"/>
        </w:rPr>
        <w:t>and discriminatory use made of collected information.</w:t>
      </w:r>
      <w:r w:rsidR="00207F47" w:rsidRPr="00974065">
        <w:rPr>
          <w:rStyle w:val="Appelnotedebasdep"/>
          <w:lang w:val="en-CA"/>
        </w:rPr>
        <w:footnoteReference w:id="17"/>
      </w:r>
      <w:r w:rsidR="00207F47" w:rsidRPr="00974065">
        <w:rPr>
          <w:lang w:val="en-CA"/>
        </w:rPr>
        <w:t xml:space="preserve"> </w:t>
      </w:r>
    </w:p>
    <w:p w14:paraId="4A8BAD1A" w14:textId="77777777" w:rsidR="00207F47" w:rsidRPr="00974065" w:rsidRDefault="00AB12A6" w:rsidP="00703929">
      <w:pPr>
        <w:pStyle w:val="Paragraphe"/>
        <w:spacing w:line="240" w:lineRule="auto"/>
        <w:rPr>
          <w:lang w:val="en-CA"/>
        </w:rPr>
      </w:pPr>
      <w:r w:rsidRPr="00974065">
        <w:rPr>
          <w:lang w:val="en-CA"/>
        </w:rPr>
        <w:t xml:space="preserve">The </w:t>
      </w:r>
      <w:r w:rsidR="00207F47" w:rsidRPr="00974065">
        <w:rPr>
          <w:lang w:val="en-CA"/>
        </w:rPr>
        <w:t>information</w:t>
      </w:r>
      <w:r w:rsidRPr="00974065">
        <w:rPr>
          <w:lang w:val="en-CA"/>
        </w:rPr>
        <w:t xml:space="preserve"> </w:t>
      </w:r>
      <w:r w:rsidR="00207F47" w:rsidRPr="00974065">
        <w:rPr>
          <w:lang w:val="en-CA"/>
        </w:rPr>
        <w:t>s</w:t>
      </w:r>
      <w:r w:rsidRPr="00974065">
        <w:rPr>
          <w:lang w:val="en-CA"/>
        </w:rPr>
        <w:t xml:space="preserve">ought through a medical </w:t>
      </w:r>
      <w:r w:rsidR="00207F47" w:rsidRPr="00974065">
        <w:rPr>
          <w:lang w:val="en-CA"/>
        </w:rPr>
        <w:t>questionnaire</w:t>
      </w:r>
      <w:r w:rsidRPr="00974065">
        <w:rPr>
          <w:lang w:val="en-CA"/>
        </w:rPr>
        <w:t xml:space="preserve"> bears on the applicant’s state of health; as such it touches on one of the grounds of </w:t>
      </w:r>
      <w:r w:rsidR="00207F47" w:rsidRPr="00974065">
        <w:rPr>
          <w:lang w:val="en-CA"/>
        </w:rPr>
        <w:t xml:space="preserve">discrimination </w:t>
      </w:r>
      <w:r w:rsidRPr="00974065">
        <w:rPr>
          <w:lang w:val="en-CA"/>
        </w:rPr>
        <w:t xml:space="preserve">listed in s. </w:t>
      </w:r>
      <w:r w:rsidR="007B6C0A" w:rsidRPr="00974065">
        <w:rPr>
          <w:lang w:val="en-CA"/>
        </w:rPr>
        <w:t>10 of the</w:t>
      </w:r>
      <w:r w:rsidR="00207F47" w:rsidRPr="00974065">
        <w:rPr>
          <w:lang w:val="en-CA"/>
        </w:rPr>
        <w:t xml:space="preserve"> </w:t>
      </w:r>
      <w:r w:rsidR="00207F47" w:rsidRPr="00974065">
        <w:rPr>
          <w:i/>
          <w:iCs/>
          <w:lang w:val="en-CA"/>
        </w:rPr>
        <w:t>Charte</w:t>
      </w:r>
      <w:r w:rsidRPr="00974065">
        <w:rPr>
          <w:i/>
          <w:iCs/>
          <w:lang w:val="en-CA"/>
        </w:rPr>
        <w:t>r</w:t>
      </w:r>
      <w:r w:rsidR="00207F47" w:rsidRPr="00974065">
        <w:rPr>
          <w:lang w:val="en-CA"/>
        </w:rPr>
        <w:t xml:space="preserve">, </w:t>
      </w:r>
      <w:r w:rsidRPr="00974065">
        <w:rPr>
          <w:lang w:val="en-CA"/>
        </w:rPr>
        <w:t xml:space="preserve">i.e. </w:t>
      </w:r>
      <w:r w:rsidR="00207F47" w:rsidRPr="00974065">
        <w:rPr>
          <w:lang w:val="en-CA"/>
        </w:rPr>
        <w:t>handicap</w:t>
      </w:r>
      <w:r w:rsidRPr="00974065">
        <w:rPr>
          <w:lang w:val="en-CA"/>
        </w:rPr>
        <w:t>.</w:t>
      </w:r>
      <w:r w:rsidR="00207F47" w:rsidRPr="00974065">
        <w:rPr>
          <w:rStyle w:val="Appelnotedebasdep"/>
          <w:lang w:val="en-CA"/>
        </w:rPr>
        <w:footnoteReference w:id="18"/>
      </w:r>
      <w:r w:rsidR="00F4602A" w:rsidRPr="00974065">
        <w:rPr>
          <w:lang w:val="en-CA"/>
        </w:rPr>
        <w:t xml:space="preserve"> The fact that applicants have to answer such </w:t>
      </w:r>
      <w:r w:rsidR="00207F47" w:rsidRPr="00974065">
        <w:rPr>
          <w:lang w:val="en-CA"/>
        </w:rPr>
        <w:t xml:space="preserve">questions </w:t>
      </w:r>
      <w:r w:rsidR="00F4602A" w:rsidRPr="00974065">
        <w:rPr>
          <w:lang w:val="en-CA"/>
        </w:rPr>
        <w:t xml:space="preserve">as part of the hiring process is a </w:t>
      </w:r>
      <w:r w:rsidR="00207F47" w:rsidRPr="00974065">
        <w:rPr>
          <w:i/>
          <w:iCs/>
          <w:lang w:val="en-CA"/>
        </w:rPr>
        <w:t>prima facie</w:t>
      </w:r>
      <w:r w:rsidR="00F4602A" w:rsidRPr="00974065">
        <w:rPr>
          <w:i/>
          <w:iCs/>
          <w:lang w:val="en-CA"/>
        </w:rPr>
        <w:t xml:space="preserve"> </w:t>
      </w:r>
      <w:r w:rsidR="00207F47" w:rsidRPr="00974065">
        <w:rPr>
          <w:lang w:val="en-CA"/>
        </w:rPr>
        <w:t>violation</w:t>
      </w:r>
      <w:r w:rsidR="00FF2782" w:rsidRPr="00974065">
        <w:rPr>
          <w:lang w:val="en-CA"/>
        </w:rPr>
        <w:t>,</w:t>
      </w:r>
      <w:r w:rsidR="00207F47" w:rsidRPr="00974065">
        <w:rPr>
          <w:lang w:val="en-CA"/>
        </w:rPr>
        <w:t xml:space="preserve"> </w:t>
      </w:r>
      <w:r w:rsidR="00F4602A" w:rsidRPr="00974065">
        <w:rPr>
          <w:lang w:val="en-CA"/>
        </w:rPr>
        <w:t>regardless of the subsequent use to be made of such information.</w:t>
      </w:r>
      <w:r w:rsidR="00207F47" w:rsidRPr="00974065">
        <w:rPr>
          <w:rStyle w:val="Appelnotedebasdep"/>
          <w:lang w:val="en-CA"/>
        </w:rPr>
        <w:footnoteReference w:id="19"/>
      </w:r>
    </w:p>
    <w:p w14:paraId="6B7CA1DF" w14:textId="5E0BFB4A" w:rsidR="00207F47" w:rsidRPr="00974065" w:rsidRDefault="002B7F36" w:rsidP="00703929">
      <w:pPr>
        <w:pStyle w:val="Paragraphe"/>
        <w:spacing w:line="240" w:lineRule="auto"/>
        <w:rPr>
          <w:lang w:val="en-CA"/>
        </w:rPr>
      </w:pPr>
      <w:r w:rsidRPr="00974065">
        <w:rPr>
          <w:lang w:val="en-CA"/>
        </w:rPr>
        <w:t>As part of the employment process</w:t>
      </w:r>
      <w:r w:rsidR="001C4042">
        <w:rPr>
          <w:lang w:val="en-CA"/>
        </w:rPr>
        <w:t>,</w:t>
      </w:r>
      <w:r w:rsidRPr="00974065">
        <w:rPr>
          <w:lang w:val="en-CA"/>
        </w:rPr>
        <w:t xml:space="preserve"> the employer is entitled to make sure applicants possess the apti</w:t>
      </w:r>
      <w:r w:rsidR="007B6C0A" w:rsidRPr="00974065">
        <w:rPr>
          <w:lang w:val="en-CA"/>
        </w:rPr>
        <w:t xml:space="preserve">tudes and qualities required to </w:t>
      </w:r>
      <w:r w:rsidRPr="00974065">
        <w:rPr>
          <w:lang w:val="en-CA"/>
        </w:rPr>
        <w:t>perform the duti</w:t>
      </w:r>
      <w:r w:rsidR="007B6C0A" w:rsidRPr="00974065">
        <w:rPr>
          <w:lang w:val="en-CA"/>
        </w:rPr>
        <w:t>es they will be assigned in safety</w:t>
      </w:r>
      <w:r w:rsidRPr="00974065">
        <w:rPr>
          <w:lang w:val="en-CA"/>
        </w:rPr>
        <w:t>, both for themselves and for others.</w:t>
      </w:r>
      <w:r w:rsidR="00207F47" w:rsidRPr="00974065">
        <w:rPr>
          <w:rStyle w:val="Appelnotedebasdep"/>
          <w:lang w:val="en-CA"/>
        </w:rPr>
        <w:footnoteReference w:id="20"/>
      </w:r>
      <w:r w:rsidRPr="00974065">
        <w:rPr>
          <w:lang w:val="en-CA"/>
        </w:rPr>
        <w:t xml:space="preserve"> </w:t>
      </w:r>
      <w:r w:rsidR="00950124" w:rsidRPr="00974065">
        <w:rPr>
          <w:lang w:val="en-CA"/>
        </w:rPr>
        <w:t>The employer must there</w:t>
      </w:r>
      <w:r w:rsidRPr="00974065">
        <w:rPr>
          <w:lang w:val="en-CA"/>
        </w:rPr>
        <w:t xml:space="preserve">fore show, on a balance of </w:t>
      </w:r>
      <w:r w:rsidR="00950124" w:rsidRPr="00974065">
        <w:rPr>
          <w:lang w:val="en-CA"/>
        </w:rPr>
        <w:t>probabilitie</w:t>
      </w:r>
      <w:r w:rsidR="00207F47" w:rsidRPr="00974065">
        <w:rPr>
          <w:lang w:val="en-CA"/>
        </w:rPr>
        <w:t xml:space="preserve">s, </w:t>
      </w:r>
      <w:r w:rsidR="00950124" w:rsidRPr="00974065">
        <w:rPr>
          <w:lang w:val="en-CA"/>
        </w:rPr>
        <w:t>that the information it seeks is for that specific purpose alone.</w:t>
      </w:r>
      <w:r w:rsidR="00207F47" w:rsidRPr="00974065">
        <w:rPr>
          <w:rStyle w:val="Appelnotedebasdep"/>
          <w:lang w:val="en-CA"/>
        </w:rPr>
        <w:footnoteReference w:id="21"/>
      </w:r>
      <w:r w:rsidRPr="00974065">
        <w:rPr>
          <w:lang w:val="en-CA"/>
        </w:rPr>
        <w:t xml:space="preserve"> Th</w:t>
      </w:r>
      <w:r w:rsidR="00207F47" w:rsidRPr="00974065">
        <w:rPr>
          <w:lang w:val="en-CA"/>
        </w:rPr>
        <w:t xml:space="preserve">e questionnaire </w:t>
      </w:r>
      <w:r w:rsidRPr="00974065">
        <w:rPr>
          <w:lang w:val="en-CA"/>
        </w:rPr>
        <w:t xml:space="preserve">must be tailored to the duties to be performed and cannot be </w:t>
      </w:r>
      <w:r w:rsidR="001C4042">
        <w:rPr>
          <w:lang w:val="en-CA"/>
        </w:rPr>
        <w:t xml:space="preserve">designed </w:t>
      </w:r>
      <w:r w:rsidRPr="00974065">
        <w:rPr>
          <w:lang w:val="en-CA"/>
        </w:rPr>
        <w:t>solely</w:t>
      </w:r>
      <w:r w:rsidR="001C4042">
        <w:rPr>
          <w:lang w:val="en-CA"/>
        </w:rPr>
        <w:t xml:space="preserve"> to hire</w:t>
      </w:r>
      <w:r w:rsidRPr="00974065">
        <w:rPr>
          <w:lang w:val="en-CA"/>
        </w:rPr>
        <w:t xml:space="preserve"> healthy applicants who will be at a lower risk for absenteeism.</w:t>
      </w:r>
      <w:r w:rsidR="00207F47" w:rsidRPr="00974065">
        <w:rPr>
          <w:rStyle w:val="Appelnotedebasdep"/>
          <w:lang w:val="en-CA"/>
        </w:rPr>
        <w:footnoteReference w:id="22"/>
      </w:r>
      <w:r w:rsidR="00207F47" w:rsidRPr="00974065">
        <w:rPr>
          <w:lang w:val="en-CA"/>
        </w:rPr>
        <w:t xml:space="preserve"> </w:t>
      </w:r>
    </w:p>
    <w:p w14:paraId="275AE9A4" w14:textId="0CB42A24" w:rsidR="00207F47" w:rsidRPr="00974065" w:rsidRDefault="006965E1" w:rsidP="00703929">
      <w:pPr>
        <w:pStyle w:val="Paragraphe"/>
        <w:spacing w:line="240" w:lineRule="auto"/>
        <w:rPr>
          <w:lang w:val="en-CA"/>
        </w:rPr>
      </w:pPr>
      <w:r w:rsidRPr="00974065">
        <w:rPr>
          <w:lang w:val="en-CA"/>
        </w:rPr>
        <w:t xml:space="preserve">With regard to a pre-employment </w:t>
      </w:r>
      <w:r w:rsidR="00207F47" w:rsidRPr="00974065">
        <w:rPr>
          <w:lang w:val="en-CA"/>
        </w:rPr>
        <w:t>questionnaire</w:t>
      </w:r>
      <w:r w:rsidRPr="00974065">
        <w:rPr>
          <w:lang w:val="en-CA"/>
        </w:rPr>
        <w:t xml:space="preserve">, the employer must show that </w:t>
      </w:r>
      <w:r w:rsidRPr="000B4231">
        <w:rPr>
          <w:lang w:val="en-CA"/>
        </w:rPr>
        <w:t>[</w:t>
      </w:r>
      <w:r w:rsidRPr="000B4231">
        <w:rPr>
          <w:smallCaps/>
          <w:lang w:val="en-CA"/>
        </w:rPr>
        <w:t>translation</w:t>
      </w:r>
      <w:r w:rsidRPr="000B4231">
        <w:rPr>
          <w:lang w:val="en-CA"/>
        </w:rPr>
        <w:t>] “the information is sought for a purpose rationally connected to the performance of the job in question and is reasonably necessary for achieving that legitimate</w:t>
      </w:r>
      <w:r w:rsidR="001C4042">
        <w:rPr>
          <w:lang w:val="en-CA"/>
        </w:rPr>
        <w:t>, work-related</w:t>
      </w:r>
      <w:r w:rsidRPr="000B4231">
        <w:rPr>
          <w:lang w:val="en-CA"/>
        </w:rPr>
        <w:t xml:space="preserve"> goal</w:t>
      </w:r>
      <w:r w:rsidR="001C4042">
        <w:rPr>
          <w:lang w:val="en-CA"/>
        </w:rPr>
        <w:t>”</w:t>
      </w:r>
      <w:r w:rsidRPr="000B4231">
        <w:rPr>
          <w:lang w:val="en-CA"/>
        </w:rPr>
        <w:t>.</w:t>
      </w:r>
      <w:r w:rsidR="00207F47" w:rsidRPr="00974065">
        <w:rPr>
          <w:rStyle w:val="Appelnotedebasdep"/>
          <w:lang w:val="en-CA"/>
        </w:rPr>
        <w:footnoteReference w:id="23"/>
      </w:r>
    </w:p>
    <w:p w14:paraId="65C1F558" w14:textId="6A64EE65" w:rsidR="00207F47" w:rsidRPr="00974065" w:rsidRDefault="006965E1" w:rsidP="00703929">
      <w:pPr>
        <w:pStyle w:val="Paragraphe"/>
        <w:spacing w:line="240" w:lineRule="auto"/>
        <w:rPr>
          <w:lang w:val="en-CA"/>
        </w:rPr>
      </w:pPr>
      <w:r w:rsidRPr="00974065">
        <w:rPr>
          <w:lang w:val="en-CA"/>
        </w:rPr>
        <w:t>Th</w:t>
      </w:r>
      <w:r w:rsidR="00207F47" w:rsidRPr="00974065">
        <w:rPr>
          <w:lang w:val="en-CA"/>
        </w:rPr>
        <w:t>e Tribunal conclu</w:t>
      </w:r>
      <w:r w:rsidRPr="00974065">
        <w:rPr>
          <w:lang w:val="en-CA"/>
        </w:rPr>
        <w:t xml:space="preserve">ded that </w:t>
      </w:r>
      <w:r w:rsidR="001C4042">
        <w:rPr>
          <w:lang w:val="en-CA"/>
        </w:rPr>
        <w:t>this</w:t>
      </w:r>
      <w:r w:rsidRPr="00974065">
        <w:rPr>
          <w:lang w:val="en-CA"/>
        </w:rPr>
        <w:t xml:space="preserve"> proof had been</w:t>
      </w:r>
      <w:r w:rsidR="001C4042">
        <w:rPr>
          <w:lang w:val="en-CA"/>
        </w:rPr>
        <w:t xml:space="preserve"> made</w:t>
      </w:r>
      <w:r w:rsidRPr="00974065">
        <w:rPr>
          <w:lang w:val="en-CA"/>
        </w:rPr>
        <w:t>. The</w:t>
      </w:r>
      <w:r w:rsidR="00207F47" w:rsidRPr="00974065">
        <w:rPr>
          <w:lang w:val="en-CA"/>
        </w:rPr>
        <w:t xml:space="preserve"> SQ </w:t>
      </w:r>
      <w:r w:rsidRPr="00974065">
        <w:rPr>
          <w:lang w:val="en-CA"/>
        </w:rPr>
        <w:t>h</w:t>
      </w:r>
      <w:r w:rsidR="00207F47" w:rsidRPr="00974065">
        <w:rPr>
          <w:lang w:val="en-CA"/>
        </w:rPr>
        <w:t>a</w:t>
      </w:r>
      <w:r w:rsidRPr="00974065">
        <w:rPr>
          <w:lang w:val="en-CA"/>
        </w:rPr>
        <w:t>d demon</w:t>
      </w:r>
      <w:r w:rsidR="00572415" w:rsidRPr="00974065">
        <w:rPr>
          <w:lang w:val="en-CA"/>
        </w:rPr>
        <w:t>s</w:t>
      </w:r>
      <w:r w:rsidRPr="00974065">
        <w:rPr>
          <w:lang w:val="en-CA"/>
        </w:rPr>
        <w:t>trated that</w:t>
      </w:r>
      <w:r w:rsidR="00572415" w:rsidRPr="00974065">
        <w:rPr>
          <w:lang w:val="en-CA"/>
        </w:rPr>
        <w:t>, over and above</w:t>
      </w:r>
      <w:r w:rsidRPr="00974065">
        <w:rPr>
          <w:lang w:val="en-CA"/>
        </w:rPr>
        <w:t xml:space="preserve"> the requirements of s. </w:t>
      </w:r>
      <w:r w:rsidR="00207F47" w:rsidRPr="00974065">
        <w:rPr>
          <w:lang w:val="en-CA"/>
        </w:rPr>
        <w:t xml:space="preserve">115 </w:t>
      </w:r>
      <w:r w:rsidR="00572415" w:rsidRPr="00974065">
        <w:rPr>
          <w:lang w:val="en-CA"/>
        </w:rPr>
        <w:t xml:space="preserve">of the </w:t>
      </w:r>
      <w:r w:rsidR="00572415" w:rsidRPr="00974065">
        <w:rPr>
          <w:i/>
          <w:iCs/>
          <w:lang w:val="en-CA"/>
        </w:rPr>
        <w:t>P</w:t>
      </w:r>
      <w:r w:rsidR="00207F47" w:rsidRPr="00974065">
        <w:rPr>
          <w:i/>
          <w:iCs/>
          <w:lang w:val="en-CA"/>
        </w:rPr>
        <w:t>olice</w:t>
      </w:r>
      <w:r w:rsidR="00572415" w:rsidRPr="00974065">
        <w:rPr>
          <w:i/>
          <w:iCs/>
          <w:lang w:val="en-CA"/>
        </w:rPr>
        <w:t xml:space="preserve"> Act</w:t>
      </w:r>
      <w:r w:rsidR="00572415" w:rsidRPr="00974065">
        <w:rPr>
          <w:lang w:val="en-CA"/>
        </w:rPr>
        <w:t xml:space="preserve">, the aptitudes and </w:t>
      </w:r>
      <w:r w:rsidR="00572415" w:rsidRPr="00974065">
        <w:rPr>
          <w:lang w:val="en-CA"/>
        </w:rPr>
        <w:lastRenderedPageBreak/>
        <w:t>qualities required</w:t>
      </w:r>
      <w:r w:rsidR="00207F47" w:rsidRPr="00974065">
        <w:rPr>
          <w:lang w:val="en-CA"/>
        </w:rPr>
        <w:t xml:space="preserve"> </w:t>
      </w:r>
      <w:r w:rsidR="00572415" w:rsidRPr="00974065">
        <w:rPr>
          <w:lang w:val="en-CA"/>
        </w:rPr>
        <w:t xml:space="preserve">to be a police officer </w:t>
      </w:r>
      <w:r w:rsidR="001C4042">
        <w:rPr>
          <w:lang w:val="en-CA"/>
        </w:rPr>
        <w:t>justify</w:t>
      </w:r>
      <w:r w:rsidR="001C4042" w:rsidRPr="00974065">
        <w:rPr>
          <w:lang w:val="en-CA"/>
        </w:rPr>
        <w:t xml:space="preserve"> </w:t>
      </w:r>
      <w:r w:rsidR="000A327D" w:rsidRPr="00974065">
        <w:rPr>
          <w:lang w:val="en-CA"/>
        </w:rPr>
        <w:t>obtaining information relating to the applicant’s neurological conditions and mental health</w:t>
      </w:r>
      <w:r w:rsidR="00207F47" w:rsidRPr="00974065">
        <w:rPr>
          <w:lang w:val="en-CA"/>
        </w:rPr>
        <w:t>.</w:t>
      </w:r>
    </w:p>
    <w:p w14:paraId="5CEE16B8" w14:textId="77777777" w:rsidR="00207F47" w:rsidRPr="00974065" w:rsidRDefault="000A327D" w:rsidP="00703929">
      <w:pPr>
        <w:pStyle w:val="Paragraphe"/>
        <w:spacing w:line="240" w:lineRule="auto"/>
        <w:rPr>
          <w:lang w:val="en-CA"/>
        </w:rPr>
      </w:pPr>
      <w:r w:rsidRPr="00974065">
        <w:rPr>
          <w:lang w:val="en-CA"/>
        </w:rPr>
        <w:t xml:space="preserve">The SQ’s medical expert testified as to the essential </w:t>
      </w:r>
      <w:r w:rsidR="00207F47" w:rsidRPr="00974065">
        <w:rPr>
          <w:lang w:val="en-CA"/>
        </w:rPr>
        <w:t>aptitudes</w:t>
      </w:r>
      <w:r w:rsidRPr="00974065">
        <w:rPr>
          <w:lang w:val="en-CA"/>
        </w:rPr>
        <w:t xml:space="preserve"> required to work as a police officer:</w:t>
      </w:r>
    </w:p>
    <w:p w14:paraId="34EA844F" w14:textId="3D1A9419" w:rsidR="00207F47" w:rsidRPr="00974065" w:rsidRDefault="00207F47" w:rsidP="00703929">
      <w:pPr>
        <w:pStyle w:val="Paragraphe"/>
        <w:numPr>
          <w:ilvl w:val="0"/>
          <w:numId w:val="20"/>
        </w:numPr>
        <w:spacing w:line="240" w:lineRule="auto"/>
        <w:rPr>
          <w:lang w:val="en-CA"/>
        </w:rPr>
      </w:pPr>
      <w:r w:rsidRPr="00974065">
        <w:rPr>
          <w:lang w:val="en-CA"/>
        </w:rPr>
        <w:t>U</w:t>
      </w:r>
      <w:r w:rsidR="00C759FF" w:rsidRPr="00974065">
        <w:rPr>
          <w:lang w:val="en-CA"/>
        </w:rPr>
        <w:t xml:space="preserve">sing a firearm: involves psychological stability and physical </w:t>
      </w:r>
      <w:r w:rsidR="007A794C">
        <w:rPr>
          <w:lang w:val="en-CA"/>
        </w:rPr>
        <w:t>skills</w:t>
      </w:r>
      <w:r w:rsidR="00C759FF" w:rsidRPr="00974065">
        <w:rPr>
          <w:lang w:val="en-CA"/>
        </w:rPr>
        <w:t>; requires pathology-free hands;</w:t>
      </w:r>
    </w:p>
    <w:p w14:paraId="23E2A105" w14:textId="6E58F2FE" w:rsidR="00207F47" w:rsidRPr="00974065" w:rsidRDefault="00C759FF" w:rsidP="00703929">
      <w:pPr>
        <w:pStyle w:val="Paragraphe"/>
        <w:numPr>
          <w:ilvl w:val="0"/>
          <w:numId w:val="20"/>
        </w:numPr>
        <w:spacing w:line="240" w:lineRule="auto"/>
        <w:rPr>
          <w:lang w:val="en-CA"/>
        </w:rPr>
      </w:pPr>
      <w:r w:rsidRPr="00974065">
        <w:rPr>
          <w:lang w:val="en-CA"/>
        </w:rPr>
        <w:t>Driving a vehicle in emergency or priority mode: requires</w:t>
      </w:r>
      <w:r w:rsidR="007A794C">
        <w:rPr>
          <w:lang w:val="en-CA"/>
        </w:rPr>
        <w:t xml:space="preserve"> an ability to control</w:t>
      </w:r>
      <w:r w:rsidR="007A794C" w:rsidRPr="00974065">
        <w:rPr>
          <w:lang w:val="en-CA"/>
        </w:rPr>
        <w:t xml:space="preserve"> impul</w:t>
      </w:r>
      <w:r w:rsidR="007A794C">
        <w:rPr>
          <w:lang w:val="en-CA"/>
        </w:rPr>
        <w:t xml:space="preserve">ses </w:t>
      </w:r>
      <w:r w:rsidRPr="00974065">
        <w:rPr>
          <w:lang w:val="en-CA"/>
        </w:rPr>
        <w:t xml:space="preserve"> and anger</w:t>
      </w:r>
      <w:r w:rsidR="007A794C">
        <w:rPr>
          <w:lang w:val="en-CA"/>
        </w:rPr>
        <w:t>, as well as</w:t>
      </w:r>
      <w:r w:rsidRPr="00974065">
        <w:rPr>
          <w:lang w:val="en-CA"/>
        </w:rPr>
        <w:t xml:space="preserve"> driving skills; the person must </w:t>
      </w:r>
      <w:r w:rsidR="00B04AFD">
        <w:rPr>
          <w:lang w:val="en-CA"/>
        </w:rPr>
        <w:t>have good vision</w:t>
      </w:r>
      <w:r w:rsidRPr="00974065">
        <w:rPr>
          <w:lang w:val="en-CA"/>
        </w:rPr>
        <w:t>;</w:t>
      </w:r>
    </w:p>
    <w:p w14:paraId="4847F9E2" w14:textId="656EFCB9" w:rsidR="00207F47" w:rsidRPr="00974065" w:rsidRDefault="00C759FF" w:rsidP="00703929">
      <w:pPr>
        <w:pStyle w:val="Paragraphe"/>
        <w:numPr>
          <w:ilvl w:val="0"/>
          <w:numId w:val="20"/>
        </w:numPr>
        <w:spacing w:line="240" w:lineRule="auto"/>
        <w:rPr>
          <w:lang w:val="en-CA"/>
        </w:rPr>
      </w:pPr>
      <w:r w:rsidRPr="00974065">
        <w:rPr>
          <w:lang w:val="en-CA"/>
        </w:rPr>
        <w:t xml:space="preserve">Using force to subdue an individual: requires judgement, emotional </w:t>
      </w:r>
      <w:r w:rsidR="00207F47" w:rsidRPr="00974065">
        <w:rPr>
          <w:lang w:val="en-CA"/>
        </w:rPr>
        <w:t>st</w:t>
      </w:r>
      <w:r w:rsidRPr="00974065">
        <w:rPr>
          <w:lang w:val="en-CA"/>
        </w:rPr>
        <w:t xml:space="preserve">ability, knowledge of </w:t>
      </w:r>
      <w:r w:rsidR="00207F47" w:rsidRPr="00974065">
        <w:rPr>
          <w:lang w:val="en-CA"/>
        </w:rPr>
        <w:t>techniques</w:t>
      </w:r>
      <w:r w:rsidR="00B04AFD">
        <w:rPr>
          <w:lang w:val="en-CA"/>
        </w:rPr>
        <w:t>,</w:t>
      </w:r>
      <w:r w:rsidR="00207F47" w:rsidRPr="00974065">
        <w:rPr>
          <w:lang w:val="en-CA"/>
        </w:rPr>
        <w:t xml:space="preserve"> </w:t>
      </w:r>
      <w:r w:rsidRPr="00974065">
        <w:rPr>
          <w:lang w:val="en-CA"/>
        </w:rPr>
        <w:t xml:space="preserve">and use of all four limbs; using </w:t>
      </w:r>
      <w:r w:rsidR="00B04AFD">
        <w:rPr>
          <w:lang w:val="en-CA"/>
        </w:rPr>
        <w:t>these</w:t>
      </w:r>
      <w:r w:rsidRPr="00974065">
        <w:rPr>
          <w:lang w:val="en-CA"/>
        </w:rPr>
        <w:t xml:space="preserve"> </w:t>
      </w:r>
      <w:r w:rsidR="00207F47" w:rsidRPr="00974065">
        <w:rPr>
          <w:lang w:val="en-CA"/>
        </w:rPr>
        <w:t xml:space="preserve">techniques </w:t>
      </w:r>
      <w:r w:rsidR="00983B3B" w:rsidRPr="00974065">
        <w:rPr>
          <w:lang w:val="en-CA"/>
        </w:rPr>
        <w:t>may expose officers to sprains, dislocations, concussions</w:t>
      </w:r>
      <w:r w:rsidR="00B04AFD">
        <w:rPr>
          <w:lang w:val="en-CA"/>
        </w:rPr>
        <w:t>,</w:t>
      </w:r>
      <w:r w:rsidR="00983B3B" w:rsidRPr="00974065">
        <w:rPr>
          <w:lang w:val="en-CA"/>
        </w:rPr>
        <w:t xml:space="preserve"> and </w:t>
      </w:r>
      <w:r w:rsidR="00207F47" w:rsidRPr="00974065">
        <w:rPr>
          <w:lang w:val="en-CA"/>
        </w:rPr>
        <w:t>fractures;</w:t>
      </w:r>
    </w:p>
    <w:p w14:paraId="0C4A2E5E" w14:textId="182C9142" w:rsidR="003F42DF" w:rsidRPr="00974065" w:rsidRDefault="00983B3B" w:rsidP="00703929">
      <w:pPr>
        <w:pStyle w:val="Paragraphe"/>
        <w:numPr>
          <w:ilvl w:val="0"/>
          <w:numId w:val="20"/>
        </w:numPr>
        <w:spacing w:line="240" w:lineRule="auto"/>
        <w:rPr>
          <w:lang w:val="en-CA"/>
        </w:rPr>
      </w:pPr>
      <w:r w:rsidRPr="00974065">
        <w:rPr>
          <w:lang w:val="en-CA"/>
        </w:rPr>
        <w:t>Working shifts on rotation (days, evenings and nights</w:t>
      </w:r>
      <w:r w:rsidR="00207F47" w:rsidRPr="00974065">
        <w:rPr>
          <w:lang w:val="en-CA"/>
        </w:rPr>
        <w:t xml:space="preserve">); </w:t>
      </w:r>
      <w:r w:rsidRPr="00974065">
        <w:rPr>
          <w:lang w:val="en-CA"/>
        </w:rPr>
        <w:t xml:space="preserve">this atypical schedule is not </w:t>
      </w:r>
      <w:r w:rsidR="00207F47" w:rsidRPr="00974065">
        <w:rPr>
          <w:lang w:val="en-CA"/>
        </w:rPr>
        <w:t xml:space="preserve">compatible </w:t>
      </w:r>
      <w:r w:rsidRPr="00974065">
        <w:rPr>
          <w:lang w:val="en-CA"/>
        </w:rPr>
        <w:t xml:space="preserve">with people who have sleep </w:t>
      </w:r>
      <w:r w:rsidR="00536132">
        <w:rPr>
          <w:lang w:val="en-CA"/>
        </w:rPr>
        <w:t>disorders or who</w:t>
      </w:r>
      <w:r w:rsidRPr="00974065">
        <w:rPr>
          <w:lang w:val="en-CA"/>
        </w:rPr>
        <w:t xml:space="preserve"> are emotionally fragile; she added that all psychological disorders are very sensitive to disrupted sleep cycles.</w:t>
      </w:r>
      <w:r w:rsidR="00207F47" w:rsidRPr="00974065">
        <w:rPr>
          <w:rStyle w:val="Appelnotedebasdep"/>
          <w:lang w:val="en-CA"/>
        </w:rPr>
        <w:footnoteReference w:id="24"/>
      </w:r>
    </w:p>
    <w:p w14:paraId="14E188C5" w14:textId="00CD3FF6" w:rsidR="003F42DF" w:rsidRPr="00974065" w:rsidRDefault="00426E0C" w:rsidP="00703929">
      <w:pPr>
        <w:pStyle w:val="Paragraphe"/>
        <w:spacing w:line="240" w:lineRule="auto"/>
        <w:rPr>
          <w:lang w:val="en-CA"/>
        </w:rPr>
      </w:pPr>
      <w:r w:rsidRPr="00974065">
        <w:rPr>
          <w:lang w:val="en-CA"/>
        </w:rPr>
        <w:t xml:space="preserve">She stated that the medical </w:t>
      </w:r>
      <w:r w:rsidR="003F42DF" w:rsidRPr="00974065">
        <w:rPr>
          <w:lang w:val="en-CA"/>
        </w:rPr>
        <w:t xml:space="preserve">questions </w:t>
      </w:r>
      <w:r w:rsidRPr="00974065">
        <w:rPr>
          <w:lang w:val="en-CA"/>
        </w:rPr>
        <w:t>are simple and are aimed at informing the examini</w:t>
      </w:r>
      <w:r w:rsidR="007B6C0A" w:rsidRPr="00974065">
        <w:rPr>
          <w:lang w:val="en-CA"/>
        </w:rPr>
        <w:t xml:space="preserve">ng physician. They are not time </w:t>
      </w:r>
      <w:r w:rsidRPr="00974065">
        <w:rPr>
          <w:lang w:val="en-CA"/>
        </w:rPr>
        <w:t>bound because some medical problems can recur.</w:t>
      </w:r>
      <w:r w:rsidR="003F42DF" w:rsidRPr="00974065">
        <w:rPr>
          <w:rStyle w:val="Appelnotedebasdep"/>
          <w:lang w:val="en-CA"/>
        </w:rPr>
        <w:footnoteReference w:id="25"/>
      </w:r>
      <w:r w:rsidR="003F42DF" w:rsidRPr="00974065">
        <w:rPr>
          <w:lang w:val="en-CA"/>
        </w:rPr>
        <w:t xml:space="preserve"> </w:t>
      </w:r>
      <w:r w:rsidRPr="00974065">
        <w:rPr>
          <w:lang w:val="en-CA"/>
        </w:rPr>
        <w:t xml:space="preserve">She added that the </w:t>
      </w:r>
      <w:r w:rsidR="003F42DF" w:rsidRPr="00974065">
        <w:rPr>
          <w:lang w:val="en-CA"/>
        </w:rPr>
        <w:t xml:space="preserve">questions </w:t>
      </w:r>
      <w:r w:rsidR="005C5A13">
        <w:rPr>
          <w:lang w:val="en-CA"/>
        </w:rPr>
        <w:t xml:space="preserve">related to mental health </w:t>
      </w:r>
      <w:r w:rsidRPr="00974065">
        <w:rPr>
          <w:lang w:val="en-CA"/>
        </w:rPr>
        <w:t>are very relevant because police officers are [</w:t>
      </w:r>
      <w:r w:rsidRPr="00974065">
        <w:rPr>
          <w:smallCaps/>
          <w:lang w:val="en-CA"/>
        </w:rPr>
        <w:t>translation</w:t>
      </w:r>
      <w:r w:rsidRPr="00974065">
        <w:rPr>
          <w:lang w:val="en-CA"/>
        </w:rPr>
        <w:t>] “exposed to above-average situations of</w:t>
      </w:r>
      <w:r w:rsidR="003F42DF" w:rsidRPr="00974065">
        <w:rPr>
          <w:lang w:val="en-CA"/>
        </w:rPr>
        <w:t xml:space="preserve"> violence </w:t>
      </w:r>
      <w:r w:rsidRPr="00974065">
        <w:rPr>
          <w:lang w:val="en-CA"/>
        </w:rPr>
        <w:t xml:space="preserve">and </w:t>
      </w:r>
      <w:r w:rsidR="003F42DF" w:rsidRPr="00974065">
        <w:rPr>
          <w:lang w:val="en-CA"/>
        </w:rPr>
        <w:t>stress</w:t>
      </w:r>
      <w:r w:rsidRPr="00974065">
        <w:rPr>
          <w:lang w:val="en-CA"/>
        </w:rPr>
        <w:t>.”</w:t>
      </w:r>
      <w:r w:rsidR="003F42DF" w:rsidRPr="00974065">
        <w:rPr>
          <w:rStyle w:val="Appelnotedebasdep"/>
          <w:lang w:val="en-CA"/>
        </w:rPr>
        <w:footnoteReference w:id="26"/>
      </w:r>
    </w:p>
    <w:p w14:paraId="2B489F05" w14:textId="77777777" w:rsidR="00833A48" w:rsidRPr="00974065" w:rsidRDefault="00426E0C" w:rsidP="00703929">
      <w:pPr>
        <w:pStyle w:val="Paragraphe"/>
        <w:spacing w:line="240" w:lineRule="auto"/>
        <w:rPr>
          <w:lang w:val="en-CA"/>
        </w:rPr>
      </w:pPr>
      <w:r w:rsidRPr="00974065">
        <w:rPr>
          <w:lang w:val="en-CA"/>
        </w:rPr>
        <w:t>The appellant’s expert also acknowledged the importance of assessing applicants’ mental states in a context where safety issues are paramount.</w:t>
      </w:r>
      <w:r w:rsidR="00833A48" w:rsidRPr="00974065">
        <w:rPr>
          <w:rStyle w:val="Appelnotedebasdep"/>
          <w:lang w:val="en-CA"/>
        </w:rPr>
        <w:footnoteReference w:id="27"/>
      </w:r>
      <w:r w:rsidR="00833A48" w:rsidRPr="00974065">
        <w:rPr>
          <w:lang w:val="en-CA"/>
        </w:rPr>
        <w:t xml:space="preserve"> </w:t>
      </w:r>
    </w:p>
    <w:p w14:paraId="1C09582A" w14:textId="77777777" w:rsidR="00833A48" w:rsidRPr="00974065" w:rsidRDefault="00426E0C" w:rsidP="00703929">
      <w:pPr>
        <w:pStyle w:val="Paragraphe"/>
        <w:spacing w:line="240" w:lineRule="auto"/>
        <w:rPr>
          <w:lang w:val="en-CA"/>
        </w:rPr>
      </w:pPr>
      <w:r w:rsidRPr="00974065">
        <w:rPr>
          <w:lang w:val="en-CA"/>
        </w:rPr>
        <w:t>Th</w:t>
      </w:r>
      <w:r w:rsidR="00833A48" w:rsidRPr="00974065">
        <w:rPr>
          <w:lang w:val="en-CA"/>
        </w:rPr>
        <w:t xml:space="preserve">e Tribunal </w:t>
      </w:r>
      <w:r w:rsidRPr="00974065">
        <w:rPr>
          <w:lang w:val="en-CA"/>
        </w:rPr>
        <w:t>found that the employer had provided sufficient reasons for obtaining the required information.</w:t>
      </w:r>
      <w:r w:rsidR="00833A48" w:rsidRPr="00974065">
        <w:rPr>
          <w:lang w:val="en-CA"/>
        </w:rPr>
        <w:t xml:space="preserve"> </w:t>
      </w:r>
    </w:p>
    <w:p w14:paraId="2D87F277" w14:textId="00941E84" w:rsidR="00207F47" w:rsidRPr="00974065" w:rsidRDefault="00DC01F8" w:rsidP="00703929">
      <w:pPr>
        <w:pStyle w:val="Paragraphe"/>
        <w:spacing w:line="240" w:lineRule="auto"/>
        <w:rPr>
          <w:lang w:val="en-CA"/>
        </w:rPr>
      </w:pPr>
      <w:r w:rsidRPr="00974065">
        <w:rPr>
          <w:lang w:val="en-CA"/>
        </w:rPr>
        <w:t xml:space="preserve">The appeal therefore </w:t>
      </w:r>
      <w:r w:rsidR="00A25E33">
        <w:rPr>
          <w:lang w:val="en-CA"/>
        </w:rPr>
        <w:t>concerns</w:t>
      </w:r>
      <w:r w:rsidRPr="00974065">
        <w:rPr>
          <w:lang w:val="en-CA"/>
        </w:rPr>
        <w:t xml:space="preserve"> the discriminatory nature of </w:t>
      </w:r>
      <w:r w:rsidR="00207F47" w:rsidRPr="00974065">
        <w:rPr>
          <w:lang w:val="en-CA"/>
        </w:rPr>
        <w:t>question</w:t>
      </w:r>
      <w:r w:rsidR="0011503B" w:rsidRPr="00974065">
        <w:rPr>
          <w:lang w:val="en-CA"/>
        </w:rPr>
        <w:t> </w:t>
      </w:r>
      <w:r w:rsidR="00207F47" w:rsidRPr="00974065">
        <w:rPr>
          <w:lang w:val="en-CA"/>
        </w:rPr>
        <w:t xml:space="preserve">18 </w:t>
      </w:r>
      <w:r w:rsidRPr="00974065">
        <w:rPr>
          <w:lang w:val="en-CA"/>
        </w:rPr>
        <w:t xml:space="preserve">in the medical </w:t>
      </w:r>
      <w:r w:rsidR="00207F47" w:rsidRPr="00974065">
        <w:rPr>
          <w:lang w:val="en-CA"/>
        </w:rPr>
        <w:t xml:space="preserve">questionnaire </w:t>
      </w:r>
      <w:r w:rsidRPr="00974065">
        <w:rPr>
          <w:lang w:val="en-CA"/>
        </w:rPr>
        <w:t>and questions 7.5 and 7.6 of the pre-employment</w:t>
      </w:r>
      <w:r w:rsidR="00207F47" w:rsidRPr="00974065">
        <w:rPr>
          <w:lang w:val="en-CA"/>
        </w:rPr>
        <w:t xml:space="preserve"> questionnaire</w:t>
      </w:r>
      <w:r w:rsidRPr="00974065">
        <w:rPr>
          <w:lang w:val="en-CA"/>
        </w:rPr>
        <w:t xml:space="preserve">, </w:t>
      </w:r>
      <w:r w:rsidR="00A25E33">
        <w:rPr>
          <w:lang w:val="en-CA"/>
        </w:rPr>
        <w:t xml:space="preserve">and </w:t>
      </w:r>
      <w:r w:rsidRPr="00974065">
        <w:rPr>
          <w:lang w:val="en-CA"/>
        </w:rPr>
        <w:t>consequently</w:t>
      </w:r>
      <w:r w:rsidR="00A25E33">
        <w:rPr>
          <w:lang w:val="en-CA"/>
        </w:rPr>
        <w:t>,</w:t>
      </w:r>
      <w:r w:rsidRPr="00974065">
        <w:rPr>
          <w:lang w:val="en-CA"/>
        </w:rPr>
        <w:t xml:space="preserve"> on the applicant’s obligation to reveal the fact that he </w:t>
      </w:r>
      <w:r w:rsidR="00A25E33">
        <w:rPr>
          <w:lang w:val="en-CA"/>
        </w:rPr>
        <w:t xml:space="preserve">had </w:t>
      </w:r>
      <w:r w:rsidRPr="00974065">
        <w:rPr>
          <w:lang w:val="en-CA"/>
        </w:rPr>
        <w:t>TS and that he had consulted a psychologist in the past</w:t>
      </w:r>
      <w:r w:rsidR="00833A48" w:rsidRPr="00974065">
        <w:rPr>
          <w:lang w:val="en-CA"/>
        </w:rPr>
        <w:t xml:space="preserve">. </w:t>
      </w:r>
    </w:p>
    <w:p w14:paraId="536D8357" w14:textId="77777777" w:rsidR="00833A48" w:rsidRPr="00974065" w:rsidRDefault="00DC01F8" w:rsidP="00703929">
      <w:pPr>
        <w:pStyle w:val="Paragraphe"/>
        <w:keepNext/>
        <w:keepLines/>
        <w:numPr>
          <w:ilvl w:val="0"/>
          <w:numId w:val="25"/>
        </w:numPr>
        <w:spacing w:line="240" w:lineRule="auto"/>
        <w:rPr>
          <w:u w:val="single"/>
          <w:lang w:val="en-CA"/>
        </w:rPr>
      </w:pPr>
      <w:r w:rsidRPr="00974065">
        <w:rPr>
          <w:u w:val="single"/>
          <w:lang w:val="en-CA"/>
        </w:rPr>
        <w:lastRenderedPageBreak/>
        <w:t>Did the complainant have to reveal the fact that he had TS?</w:t>
      </w:r>
    </w:p>
    <w:p w14:paraId="2B547EB8" w14:textId="4D63712A" w:rsidR="00207F47" w:rsidRPr="00974065" w:rsidRDefault="00275D8E" w:rsidP="00703929">
      <w:pPr>
        <w:pStyle w:val="Paragraphe"/>
        <w:spacing w:line="240" w:lineRule="auto"/>
        <w:rPr>
          <w:lang w:val="en-CA"/>
        </w:rPr>
      </w:pPr>
      <w:r w:rsidRPr="00974065">
        <w:rPr>
          <w:lang w:val="en-CA"/>
        </w:rPr>
        <w:t>Th</w:t>
      </w:r>
      <w:r w:rsidR="00833A48" w:rsidRPr="00974065">
        <w:rPr>
          <w:lang w:val="en-CA"/>
        </w:rPr>
        <w:t>e</w:t>
      </w:r>
      <w:r w:rsidR="007A6ADA" w:rsidRPr="00974065">
        <w:rPr>
          <w:lang w:val="en-CA"/>
        </w:rPr>
        <w:t xml:space="preserve"> Tribunal </w:t>
      </w:r>
      <w:r w:rsidRPr="00974065">
        <w:rPr>
          <w:lang w:val="en-CA"/>
        </w:rPr>
        <w:t xml:space="preserve">concluded that the information sought in </w:t>
      </w:r>
      <w:r w:rsidR="00833A48" w:rsidRPr="00974065">
        <w:rPr>
          <w:lang w:val="en-CA"/>
        </w:rPr>
        <w:t>question 18</w:t>
      </w:r>
      <w:r w:rsidR="007B6C0A" w:rsidRPr="00974065">
        <w:rPr>
          <w:lang w:val="en-CA"/>
        </w:rPr>
        <w:t xml:space="preserve"> of the medical </w:t>
      </w:r>
      <w:r w:rsidR="00833A48" w:rsidRPr="00974065">
        <w:rPr>
          <w:lang w:val="en-CA"/>
        </w:rPr>
        <w:t xml:space="preserve">questionnaire </w:t>
      </w:r>
      <w:r w:rsidRPr="00974065">
        <w:rPr>
          <w:lang w:val="en-CA"/>
        </w:rPr>
        <w:t>in relation to the nervous system was [</w:t>
      </w:r>
      <w:r w:rsidRPr="00974065">
        <w:rPr>
          <w:smallCaps/>
          <w:lang w:val="en-CA"/>
        </w:rPr>
        <w:t>translation</w:t>
      </w:r>
      <w:r w:rsidRPr="00974065">
        <w:rPr>
          <w:lang w:val="en-CA"/>
        </w:rPr>
        <w:t xml:space="preserve">] “directly and rationally connected to the </w:t>
      </w:r>
      <w:r w:rsidR="00207F47" w:rsidRPr="00974065">
        <w:rPr>
          <w:lang w:val="en-CA"/>
        </w:rPr>
        <w:t>apt</w:t>
      </w:r>
      <w:r w:rsidRPr="00974065">
        <w:rPr>
          <w:lang w:val="en-CA"/>
        </w:rPr>
        <w:t>itudes and qualities required</w:t>
      </w:r>
      <w:r w:rsidR="00395A55">
        <w:rPr>
          <w:lang w:val="en-CA"/>
        </w:rPr>
        <w:t>”</w:t>
      </w:r>
      <w:r w:rsidRPr="00974065">
        <w:rPr>
          <w:lang w:val="en-CA"/>
        </w:rPr>
        <w:t xml:space="preserve"> for the work of police officers.</w:t>
      </w:r>
    </w:p>
    <w:p w14:paraId="638E11B6" w14:textId="449F2ABF" w:rsidR="00207F47" w:rsidRPr="00974065" w:rsidRDefault="00275D8E" w:rsidP="00703929">
      <w:pPr>
        <w:pStyle w:val="Paragraphe"/>
        <w:spacing w:line="240" w:lineRule="auto"/>
        <w:rPr>
          <w:lang w:val="en-CA"/>
        </w:rPr>
      </w:pPr>
      <w:r w:rsidRPr="00974065">
        <w:rPr>
          <w:lang w:val="en-CA"/>
        </w:rPr>
        <w:t xml:space="preserve">The appellant has not convinced us that </w:t>
      </w:r>
      <w:r w:rsidR="00395A55">
        <w:rPr>
          <w:lang w:val="en-CA"/>
        </w:rPr>
        <w:t>the above</w:t>
      </w:r>
      <w:r w:rsidR="00395A55" w:rsidRPr="00974065">
        <w:rPr>
          <w:lang w:val="en-CA"/>
        </w:rPr>
        <w:t xml:space="preserve"> </w:t>
      </w:r>
      <w:r w:rsidR="00207F47" w:rsidRPr="00974065">
        <w:rPr>
          <w:lang w:val="en-CA"/>
        </w:rPr>
        <w:t xml:space="preserve">conclusion, </w:t>
      </w:r>
      <w:r w:rsidR="006D5AF0">
        <w:rPr>
          <w:lang w:val="en-CA"/>
        </w:rPr>
        <w:t xml:space="preserve">which is </w:t>
      </w:r>
      <w:r w:rsidRPr="00974065">
        <w:rPr>
          <w:lang w:val="en-CA"/>
        </w:rPr>
        <w:t xml:space="preserve">based on </w:t>
      </w:r>
      <w:r w:rsidR="006D5AF0">
        <w:rPr>
          <w:lang w:val="en-CA"/>
        </w:rPr>
        <w:t xml:space="preserve">the </w:t>
      </w:r>
      <w:r w:rsidRPr="00974065">
        <w:rPr>
          <w:lang w:val="en-CA"/>
        </w:rPr>
        <w:t>evidence, was tainted by erro</w:t>
      </w:r>
      <w:r w:rsidR="00207F47" w:rsidRPr="00974065">
        <w:rPr>
          <w:lang w:val="en-CA"/>
        </w:rPr>
        <w:t>r</w:t>
      </w:r>
      <w:r w:rsidR="00412FAB">
        <w:rPr>
          <w:lang w:val="en-CA"/>
        </w:rPr>
        <w:t xml:space="preserve"> of any kind</w:t>
      </w:r>
      <w:r w:rsidR="00207F47" w:rsidRPr="00974065">
        <w:rPr>
          <w:lang w:val="en-CA"/>
        </w:rPr>
        <w:t>.</w:t>
      </w:r>
    </w:p>
    <w:p w14:paraId="5C4A6E26" w14:textId="57701043" w:rsidR="00207F47" w:rsidRPr="00974065" w:rsidRDefault="00275D8E" w:rsidP="00703929">
      <w:pPr>
        <w:pStyle w:val="Paragraphe"/>
        <w:spacing w:line="240" w:lineRule="auto"/>
        <w:rPr>
          <w:lang w:val="en-CA"/>
        </w:rPr>
      </w:pPr>
      <w:r w:rsidRPr="00974065">
        <w:rPr>
          <w:lang w:val="en-CA"/>
        </w:rPr>
        <w:t xml:space="preserve">It is true that the question does not refer directly to TS or to symptoms related to that </w:t>
      </w:r>
      <w:r w:rsidR="00207F47" w:rsidRPr="00974065">
        <w:rPr>
          <w:lang w:val="en-CA"/>
        </w:rPr>
        <w:t>condition</w:t>
      </w:r>
      <w:r w:rsidR="009328B4" w:rsidRPr="00974065">
        <w:rPr>
          <w:lang w:val="en-CA"/>
        </w:rPr>
        <w:t>,</w:t>
      </w:r>
      <w:r w:rsidRPr="00974065">
        <w:rPr>
          <w:lang w:val="en-CA"/>
        </w:rPr>
        <w:t xml:space="preserve"> such as verbal or motor </w:t>
      </w:r>
      <w:r w:rsidR="00207F47" w:rsidRPr="00974065">
        <w:rPr>
          <w:lang w:val="en-CA"/>
        </w:rPr>
        <w:t xml:space="preserve">tics. </w:t>
      </w:r>
      <w:r w:rsidRPr="00974065">
        <w:rPr>
          <w:lang w:val="en-CA"/>
        </w:rPr>
        <w:t xml:space="preserve">It is hard to strike a balance </w:t>
      </w:r>
      <w:r w:rsidR="007B6C0A" w:rsidRPr="00974065">
        <w:rPr>
          <w:lang w:val="en-CA"/>
        </w:rPr>
        <w:t>on this issue.</w:t>
      </w:r>
      <w:r w:rsidR="00207F47" w:rsidRPr="00974065">
        <w:rPr>
          <w:lang w:val="en-CA"/>
        </w:rPr>
        <w:t xml:space="preserve"> </w:t>
      </w:r>
      <w:r w:rsidRPr="00974065">
        <w:rPr>
          <w:lang w:val="en-CA"/>
        </w:rPr>
        <w:t xml:space="preserve">If the </w:t>
      </w:r>
      <w:r w:rsidR="00207F47" w:rsidRPr="00974065">
        <w:rPr>
          <w:lang w:val="en-CA"/>
        </w:rPr>
        <w:t xml:space="preserve">question </w:t>
      </w:r>
      <w:r w:rsidRPr="00974065">
        <w:rPr>
          <w:lang w:val="en-CA"/>
        </w:rPr>
        <w:t>is too broad</w:t>
      </w:r>
      <w:r w:rsidR="00412FAB">
        <w:rPr>
          <w:lang w:val="en-CA"/>
        </w:rPr>
        <w:t>,</w:t>
      </w:r>
      <w:r w:rsidRPr="00974065">
        <w:rPr>
          <w:lang w:val="en-CA"/>
        </w:rPr>
        <w:t xml:space="preserve"> it risks being </w:t>
      </w:r>
      <w:r w:rsidR="00412FAB">
        <w:rPr>
          <w:lang w:val="en-CA"/>
        </w:rPr>
        <w:t>found</w:t>
      </w:r>
      <w:r w:rsidR="00412FAB" w:rsidRPr="00974065">
        <w:rPr>
          <w:lang w:val="en-CA"/>
        </w:rPr>
        <w:t xml:space="preserve"> </w:t>
      </w:r>
      <w:r w:rsidRPr="00974065">
        <w:rPr>
          <w:lang w:val="en-CA"/>
        </w:rPr>
        <w:t>discriminatory, but if it is too specific</w:t>
      </w:r>
      <w:r w:rsidR="00412FAB">
        <w:rPr>
          <w:lang w:val="en-CA"/>
        </w:rPr>
        <w:t>,</w:t>
      </w:r>
      <w:r w:rsidRPr="00974065">
        <w:rPr>
          <w:lang w:val="en-CA"/>
        </w:rPr>
        <w:t xml:space="preserve"> the employer may miss out on information that is relevant and necessary for hiring purposes</w:t>
      </w:r>
      <w:r w:rsidR="00207F47" w:rsidRPr="00974065">
        <w:rPr>
          <w:lang w:val="en-CA"/>
        </w:rPr>
        <w:t xml:space="preserve">. </w:t>
      </w:r>
    </w:p>
    <w:p w14:paraId="2E708B63" w14:textId="77777777" w:rsidR="00207F47" w:rsidRPr="00974065" w:rsidRDefault="00275D8E" w:rsidP="00703929">
      <w:pPr>
        <w:pStyle w:val="Paragraphe"/>
        <w:spacing w:line="240" w:lineRule="auto"/>
        <w:rPr>
          <w:lang w:val="en-CA"/>
        </w:rPr>
      </w:pPr>
      <w:r w:rsidRPr="00974065">
        <w:rPr>
          <w:lang w:val="en-CA"/>
        </w:rPr>
        <w:t>Question 18 of the medical</w:t>
      </w:r>
      <w:r w:rsidR="00207F47" w:rsidRPr="00974065">
        <w:rPr>
          <w:lang w:val="en-CA"/>
        </w:rPr>
        <w:t xml:space="preserve"> questionnaire </w:t>
      </w:r>
      <w:r w:rsidR="007B6C0A" w:rsidRPr="00974065">
        <w:rPr>
          <w:lang w:val="en-CA"/>
        </w:rPr>
        <w:t>is simple and clear enough for</w:t>
      </w:r>
      <w:r w:rsidRPr="00974065">
        <w:rPr>
          <w:lang w:val="en-CA"/>
        </w:rPr>
        <w:t xml:space="preserve"> all applicants to understand what kind of in</w:t>
      </w:r>
      <w:r w:rsidR="00332B2D" w:rsidRPr="00974065">
        <w:rPr>
          <w:lang w:val="en-CA"/>
        </w:rPr>
        <w:t>fo</w:t>
      </w:r>
      <w:r w:rsidR="007B6C0A" w:rsidRPr="00974065">
        <w:rPr>
          <w:lang w:val="en-CA"/>
        </w:rPr>
        <w:t>rmation they have</w:t>
      </w:r>
      <w:r w:rsidRPr="00974065">
        <w:rPr>
          <w:lang w:val="en-CA"/>
        </w:rPr>
        <w:t xml:space="preserve"> to provide. </w:t>
      </w:r>
      <w:r w:rsidR="00332B2D" w:rsidRPr="00974065">
        <w:rPr>
          <w:lang w:val="en-CA"/>
        </w:rPr>
        <w:t xml:space="preserve">The list of some neurological </w:t>
      </w:r>
      <w:r w:rsidR="00207F47" w:rsidRPr="00974065">
        <w:rPr>
          <w:lang w:val="en-CA"/>
        </w:rPr>
        <w:t xml:space="preserve">conditions </w:t>
      </w:r>
      <w:r w:rsidR="00332B2D" w:rsidRPr="00974065">
        <w:rPr>
          <w:lang w:val="en-CA"/>
        </w:rPr>
        <w:t>and symptom</w:t>
      </w:r>
      <w:r w:rsidR="00207F47" w:rsidRPr="00974065">
        <w:rPr>
          <w:lang w:val="en-CA"/>
        </w:rPr>
        <w:t xml:space="preserve">s </w:t>
      </w:r>
      <w:r w:rsidR="00332B2D" w:rsidRPr="00974065">
        <w:rPr>
          <w:lang w:val="en-CA"/>
        </w:rPr>
        <w:t>is not exhaustive, as appears from the use of “</w:t>
      </w:r>
      <w:proofErr w:type="spellStart"/>
      <w:r w:rsidR="00332B2D" w:rsidRPr="00974065">
        <w:rPr>
          <w:lang w:val="en-CA"/>
        </w:rPr>
        <w:t>etc</w:t>
      </w:r>
      <w:proofErr w:type="spellEnd"/>
      <w:r w:rsidR="00332B2D" w:rsidRPr="00974065">
        <w:rPr>
          <w:lang w:val="en-CA"/>
        </w:rPr>
        <w:t xml:space="preserve">…” It would be unreasonable, despite what the appellant suggests, to require the </w:t>
      </w:r>
      <w:r w:rsidR="00207F47" w:rsidRPr="00974065">
        <w:rPr>
          <w:lang w:val="en-CA"/>
        </w:rPr>
        <w:t xml:space="preserve">questionnaire </w:t>
      </w:r>
      <w:r w:rsidR="00332B2D" w:rsidRPr="00974065">
        <w:rPr>
          <w:lang w:val="en-CA"/>
        </w:rPr>
        <w:t>to list all neurological diseases or every potential relevant symptom.</w:t>
      </w:r>
    </w:p>
    <w:p w14:paraId="2EA017CD" w14:textId="77777777" w:rsidR="00207F47" w:rsidRPr="00974065" w:rsidRDefault="00332B2D" w:rsidP="00703929">
      <w:pPr>
        <w:pStyle w:val="Paragraphe"/>
        <w:spacing w:line="240" w:lineRule="auto"/>
        <w:rPr>
          <w:lang w:val="en-CA"/>
        </w:rPr>
      </w:pPr>
      <w:r w:rsidRPr="00974065">
        <w:rPr>
          <w:lang w:val="en-CA"/>
        </w:rPr>
        <w:t>The complai</w:t>
      </w:r>
      <w:r w:rsidR="00207F47" w:rsidRPr="00974065">
        <w:rPr>
          <w:lang w:val="en-CA"/>
        </w:rPr>
        <w:t xml:space="preserve">nant </w:t>
      </w:r>
      <w:r w:rsidRPr="00974065">
        <w:rPr>
          <w:lang w:val="en-CA"/>
        </w:rPr>
        <w:t xml:space="preserve">knows that he suffers from a neurological </w:t>
      </w:r>
      <w:r w:rsidR="00207F47" w:rsidRPr="00974065">
        <w:rPr>
          <w:lang w:val="en-CA"/>
        </w:rPr>
        <w:t xml:space="preserve">condition </w:t>
      </w:r>
      <w:r w:rsidR="001723F4" w:rsidRPr="00974065">
        <w:rPr>
          <w:lang w:val="en-CA"/>
        </w:rPr>
        <w:t>and that it had been</w:t>
      </w:r>
      <w:r w:rsidRPr="00974065">
        <w:rPr>
          <w:lang w:val="en-CA"/>
        </w:rPr>
        <w:t xml:space="preserve"> a source of concern in previous job searches. </w:t>
      </w:r>
    </w:p>
    <w:p w14:paraId="4EBDEE36" w14:textId="53B3A4FB" w:rsidR="00207F47" w:rsidRPr="00974065" w:rsidRDefault="00332B2D" w:rsidP="00703929">
      <w:pPr>
        <w:pStyle w:val="Paragraphe"/>
        <w:keepNext/>
        <w:keepLines/>
        <w:spacing w:line="240" w:lineRule="auto"/>
        <w:rPr>
          <w:lang w:val="en-CA"/>
        </w:rPr>
      </w:pPr>
      <w:r w:rsidRPr="00974065">
        <w:rPr>
          <w:lang w:val="en-CA"/>
        </w:rPr>
        <w:t xml:space="preserve">In fact, his TS diagnosis had initially prevented him from joining the Canadian Armed Forces in </w:t>
      </w:r>
      <w:r w:rsidR="00207F47" w:rsidRPr="00974065">
        <w:rPr>
          <w:lang w:val="en-CA"/>
        </w:rPr>
        <w:t xml:space="preserve">2000. </w:t>
      </w:r>
      <w:r w:rsidRPr="00974065">
        <w:rPr>
          <w:lang w:val="en-CA"/>
        </w:rPr>
        <w:t>That refusal led him to consult a neurologist</w:t>
      </w:r>
      <w:r w:rsidR="00120FC9">
        <w:rPr>
          <w:lang w:val="en-CA"/>
        </w:rPr>
        <w:t>,</w:t>
      </w:r>
      <w:r w:rsidRPr="00974065">
        <w:rPr>
          <w:lang w:val="en-CA"/>
        </w:rPr>
        <w:t xml:space="preserve"> who concluded that, apart from rare vocal tics and occasional eye blinks, the examination displayed nothing abnormal. The army then agreed to review its </w:t>
      </w:r>
      <w:r w:rsidR="00207F47" w:rsidRPr="00974065">
        <w:rPr>
          <w:lang w:val="en-CA"/>
        </w:rPr>
        <w:t xml:space="preserve">position </w:t>
      </w:r>
      <w:r w:rsidRPr="00974065">
        <w:rPr>
          <w:lang w:val="en-CA"/>
        </w:rPr>
        <w:t xml:space="preserve">and the complainant worked there until </w:t>
      </w:r>
      <w:r w:rsidR="00207F47" w:rsidRPr="00974065">
        <w:rPr>
          <w:lang w:val="en-CA"/>
        </w:rPr>
        <w:t xml:space="preserve">2010. </w:t>
      </w:r>
    </w:p>
    <w:p w14:paraId="6768662E" w14:textId="77777777" w:rsidR="00207F47" w:rsidRPr="00974065" w:rsidRDefault="00332B2D" w:rsidP="00703929">
      <w:pPr>
        <w:pStyle w:val="Paragraphe"/>
        <w:spacing w:line="240" w:lineRule="auto"/>
        <w:rPr>
          <w:lang w:val="en-CA"/>
        </w:rPr>
      </w:pPr>
      <w:r w:rsidRPr="00974065">
        <w:rPr>
          <w:lang w:val="en-CA"/>
        </w:rPr>
        <w:t xml:space="preserve">He made approaches to the RCMP from 2008 to 2010. The complainant considered it necessary to consult the same neurologist again, who confirmed that his condition did not prevent him from working as a police officer. </w:t>
      </w:r>
    </w:p>
    <w:p w14:paraId="2B24E760" w14:textId="7A10069F" w:rsidR="00207F47" w:rsidRPr="00974065" w:rsidRDefault="00196D9A" w:rsidP="00703929">
      <w:pPr>
        <w:pStyle w:val="Paragraphe"/>
        <w:spacing w:line="240" w:lineRule="auto"/>
        <w:rPr>
          <w:lang w:val="en-CA"/>
        </w:rPr>
      </w:pPr>
      <w:r w:rsidRPr="00974065">
        <w:rPr>
          <w:lang w:val="en-CA"/>
        </w:rPr>
        <w:t xml:space="preserve">The fact that it is hard to classify TS as a neurological disorder or a mental health problem, or that the complainant thinks he is cured, despite having a few subtle verbal and motor tics, does not release him from his obligation of transparency and good faith. He knows his </w:t>
      </w:r>
      <w:r w:rsidR="00207F47" w:rsidRPr="00974065">
        <w:rPr>
          <w:lang w:val="en-CA"/>
        </w:rPr>
        <w:t>condition</w:t>
      </w:r>
      <w:r w:rsidR="00120FC9">
        <w:rPr>
          <w:lang w:val="en-CA"/>
        </w:rPr>
        <w:t>,</w:t>
      </w:r>
      <w:r w:rsidR="00207F47" w:rsidRPr="00974065">
        <w:rPr>
          <w:lang w:val="en-CA"/>
        </w:rPr>
        <w:t xml:space="preserve"> </w:t>
      </w:r>
      <w:r w:rsidRPr="00974065">
        <w:rPr>
          <w:lang w:val="en-CA"/>
        </w:rPr>
        <w:t>and it is not up to him to determine what a potential employer will find important or not.</w:t>
      </w:r>
      <w:r w:rsidR="00207F47" w:rsidRPr="00974065">
        <w:rPr>
          <w:lang w:val="en-CA"/>
        </w:rPr>
        <w:t xml:space="preserve"> </w:t>
      </w:r>
    </w:p>
    <w:p w14:paraId="41CD2099" w14:textId="77777777" w:rsidR="00207F47" w:rsidRPr="00974065" w:rsidRDefault="00196D9A" w:rsidP="00DC6EAD">
      <w:pPr>
        <w:pStyle w:val="Paragraphe"/>
        <w:keepNext/>
        <w:keepLines/>
        <w:spacing w:line="240" w:lineRule="auto"/>
        <w:rPr>
          <w:lang w:val="en-CA"/>
        </w:rPr>
      </w:pPr>
      <w:r w:rsidRPr="00974065">
        <w:rPr>
          <w:lang w:val="en-CA"/>
        </w:rPr>
        <w:t>As this Court has stated:</w:t>
      </w:r>
    </w:p>
    <w:p w14:paraId="7568556F" w14:textId="77777777" w:rsidR="00196D9A" w:rsidRPr="00974065" w:rsidRDefault="00196D9A" w:rsidP="0003572B">
      <w:pPr>
        <w:pStyle w:val="Paragraphe"/>
        <w:keepNext/>
        <w:keepLines/>
        <w:numPr>
          <w:ilvl w:val="0"/>
          <w:numId w:val="0"/>
        </w:numPr>
        <w:spacing w:after="0" w:line="240" w:lineRule="auto"/>
        <w:ind w:firstLine="720"/>
        <w:rPr>
          <w:lang w:val="en-CA"/>
        </w:rPr>
      </w:pPr>
      <w:r w:rsidRPr="00974065">
        <w:rPr>
          <w:lang w:val="en-CA"/>
        </w:rPr>
        <w:t>[</w:t>
      </w:r>
      <w:r w:rsidRPr="00974065">
        <w:rPr>
          <w:smallCaps/>
          <w:lang w:val="en-CA"/>
        </w:rPr>
        <w:t>translation</w:t>
      </w:r>
      <w:r w:rsidRPr="00974065">
        <w:rPr>
          <w:lang w:val="en-CA"/>
        </w:rPr>
        <w:t>]</w:t>
      </w:r>
    </w:p>
    <w:p w14:paraId="3EA28AF2" w14:textId="15133CAE" w:rsidR="00207F47" w:rsidRPr="00974065" w:rsidRDefault="00207F47" w:rsidP="00703929">
      <w:pPr>
        <w:pStyle w:val="Citationenretrait"/>
        <w:spacing w:line="240" w:lineRule="auto"/>
        <w:rPr>
          <w:lang w:val="en-CA"/>
        </w:rPr>
      </w:pPr>
      <w:r w:rsidRPr="00974065">
        <w:rPr>
          <w:lang w:val="en-CA"/>
        </w:rPr>
        <w:t xml:space="preserve">[85] </w:t>
      </w:r>
      <w:r w:rsidR="004E72A0" w:rsidRPr="00974065">
        <w:rPr>
          <w:lang w:val="en-CA"/>
        </w:rPr>
        <w:t>Some people fear how the employer could use that</w:t>
      </w:r>
      <w:r w:rsidR="006A091C">
        <w:rPr>
          <w:lang w:val="en-CA"/>
        </w:rPr>
        <w:t xml:space="preserve"> information</w:t>
      </w:r>
      <w:r w:rsidR="004E72A0" w:rsidRPr="00974065">
        <w:rPr>
          <w:lang w:val="en-CA"/>
        </w:rPr>
        <w:t xml:space="preserve">. Applicants who fill in a pre-employment </w:t>
      </w:r>
      <w:r w:rsidRPr="00974065">
        <w:rPr>
          <w:lang w:val="en-CA"/>
        </w:rPr>
        <w:t xml:space="preserve">questionnaire </w:t>
      </w:r>
      <w:r w:rsidR="004E72A0" w:rsidRPr="00974065">
        <w:rPr>
          <w:lang w:val="en-CA"/>
        </w:rPr>
        <w:t xml:space="preserve">have full </w:t>
      </w:r>
      <w:r w:rsidRPr="00974065">
        <w:rPr>
          <w:lang w:val="en-CA"/>
        </w:rPr>
        <w:t xml:space="preserve">latitude </w:t>
      </w:r>
      <w:r w:rsidR="004E72A0" w:rsidRPr="00974065">
        <w:rPr>
          <w:lang w:val="en-CA"/>
        </w:rPr>
        <w:t xml:space="preserve">to nuance and hone their responses, </w:t>
      </w:r>
      <w:r w:rsidR="006A091C">
        <w:rPr>
          <w:lang w:val="en-CA"/>
        </w:rPr>
        <w:t>with supporting documentation</w:t>
      </w:r>
      <w:r w:rsidRPr="00974065">
        <w:rPr>
          <w:lang w:val="en-CA"/>
        </w:rPr>
        <w:t xml:space="preserve">. </w:t>
      </w:r>
      <w:r w:rsidR="004E72A0" w:rsidRPr="00974065">
        <w:rPr>
          <w:lang w:val="en-CA"/>
        </w:rPr>
        <w:t xml:space="preserve">The employers who receive their </w:t>
      </w:r>
      <w:r w:rsidRPr="00974065">
        <w:rPr>
          <w:lang w:val="en-CA"/>
        </w:rPr>
        <w:lastRenderedPageBreak/>
        <w:t>questionnaire</w:t>
      </w:r>
      <w:r w:rsidR="004E72A0" w:rsidRPr="00974065">
        <w:rPr>
          <w:lang w:val="en-CA"/>
        </w:rPr>
        <w:t xml:space="preserve">s must assess and </w:t>
      </w:r>
      <w:r w:rsidR="006A091C">
        <w:rPr>
          <w:lang w:val="en-CA"/>
        </w:rPr>
        <w:t>characterize</w:t>
      </w:r>
      <w:r w:rsidR="006A091C" w:rsidRPr="00974065">
        <w:rPr>
          <w:lang w:val="en-CA"/>
        </w:rPr>
        <w:t xml:space="preserve"> </w:t>
      </w:r>
      <w:r w:rsidR="004E72A0" w:rsidRPr="00974065">
        <w:rPr>
          <w:lang w:val="en-CA"/>
        </w:rPr>
        <w:t xml:space="preserve">them and, after doing so, may deny an application from a person afflicted with a </w:t>
      </w:r>
      <w:r w:rsidRPr="00974065">
        <w:rPr>
          <w:lang w:val="en-CA"/>
        </w:rPr>
        <w:t xml:space="preserve">handicap </w:t>
      </w:r>
      <w:r w:rsidR="006A091C">
        <w:rPr>
          <w:lang w:val="en-CA"/>
        </w:rPr>
        <w:t xml:space="preserve">only </w:t>
      </w:r>
      <w:r w:rsidR="004E72A0" w:rsidRPr="00974065">
        <w:rPr>
          <w:lang w:val="en-CA"/>
        </w:rPr>
        <w:t>if the decision to do so is based on the aptitudes or qualities required by the sought-</w:t>
      </w:r>
      <w:r w:rsidR="006A091C">
        <w:rPr>
          <w:lang w:val="en-CA"/>
        </w:rPr>
        <w:t>after</w:t>
      </w:r>
      <w:r w:rsidR="006A091C" w:rsidRPr="00974065">
        <w:rPr>
          <w:lang w:val="en-CA"/>
        </w:rPr>
        <w:t xml:space="preserve"> </w:t>
      </w:r>
      <w:r w:rsidR="004E72A0" w:rsidRPr="00974065">
        <w:rPr>
          <w:lang w:val="en-CA"/>
        </w:rPr>
        <w:t xml:space="preserve">job at the relevant time. They also have </w:t>
      </w:r>
      <w:r w:rsidR="006A091C">
        <w:rPr>
          <w:lang w:val="en-CA"/>
        </w:rPr>
        <w:t>a duty to accommodate</w:t>
      </w:r>
      <w:r w:rsidR="004E72A0" w:rsidRPr="00974065">
        <w:rPr>
          <w:lang w:val="en-CA"/>
        </w:rPr>
        <w:t xml:space="preserve">, subject to </w:t>
      </w:r>
      <w:r w:rsidR="00D43AE8">
        <w:rPr>
          <w:lang w:val="en-CA"/>
        </w:rPr>
        <w:t>undue hardship</w:t>
      </w:r>
      <w:r w:rsidR="004E72A0" w:rsidRPr="00974065">
        <w:rPr>
          <w:lang w:val="en-CA"/>
        </w:rPr>
        <w:t>.</w:t>
      </w:r>
    </w:p>
    <w:p w14:paraId="7CB9370F" w14:textId="36673A46" w:rsidR="00207F47" w:rsidRPr="00974065" w:rsidRDefault="00207F47" w:rsidP="00703929">
      <w:pPr>
        <w:pStyle w:val="Citationenretrait"/>
        <w:spacing w:line="240" w:lineRule="auto"/>
        <w:rPr>
          <w:lang w:val="en-CA"/>
        </w:rPr>
      </w:pPr>
      <w:r w:rsidRPr="00974065">
        <w:rPr>
          <w:lang w:val="en-CA"/>
        </w:rPr>
        <w:t xml:space="preserve">[86] </w:t>
      </w:r>
      <w:r w:rsidR="00D43AE8">
        <w:rPr>
          <w:lang w:val="en-CA"/>
        </w:rPr>
        <w:t>This</w:t>
      </w:r>
      <w:r w:rsidR="00D43AE8" w:rsidRPr="00974065">
        <w:rPr>
          <w:lang w:val="en-CA"/>
        </w:rPr>
        <w:t xml:space="preserve"> </w:t>
      </w:r>
      <w:r w:rsidR="004E72A0" w:rsidRPr="00974065">
        <w:rPr>
          <w:lang w:val="en-CA"/>
        </w:rPr>
        <w:t xml:space="preserve">important exercise could not be carried out in this case, because the </w:t>
      </w:r>
      <w:r w:rsidR="00D43AE8">
        <w:rPr>
          <w:lang w:val="en-CA"/>
        </w:rPr>
        <w:t xml:space="preserve">employee </w:t>
      </w:r>
      <w:r w:rsidR="004E72A0" w:rsidRPr="00974065">
        <w:rPr>
          <w:lang w:val="en-CA"/>
        </w:rPr>
        <w:t xml:space="preserve">made a deliberate choice not to respond </w:t>
      </w:r>
      <w:r w:rsidR="00D43AE8">
        <w:rPr>
          <w:lang w:val="en-CA"/>
        </w:rPr>
        <w:t xml:space="preserve">in the utmost good faith </w:t>
      </w:r>
      <w:r w:rsidR="004E72A0" w:rsidRPr="00974065">
        <w:rPr>
          <w:lang w:val="en-CA"/>
        </w:rPr>
        <w:t xml:space="preserve">to the employer’s </w:t>
      </w:r>
      <w:r w:rsidRPr="00974065">
        <w:rPr>
          <w:lang w:val="en-CA"/>
        </w:rPr>
        <w:t>questionnaire</w:t>
      </w:r>
      <w:r w:rsidR="00381894" w:rsidRPr="00974065">
        <w:rPr>
          <w:lang w:val="en-CA"/>
        </w:rPr>
        <w:t>.</w:t>
      </w:r>
      <w:r w:rsidR="001B222E" w:rsidRPr="00974065">
        <w:rPr>
          <w:rStyle w:val="Appelnotedebasdep"/>
          <w:lang w:val="en-CA"/>
        </w:rPr>
        <w:footnoteReference w:id="28"/>
      </w:r>
    </w:p>
    <w:p w14:paraId="68822FC9" w14:textId="1F43695F" w:rsidR="00207F47" w:rsidRPr="00974065" w:rsidRDefault="001F3159" w:rsidP="00703929">
      <w:pPr>
        <w:pStyle w:val="Paragraphe"/>
        <w:spacing w:line="240" w:lineRule="auto"/>
        <w:rPr>
          <w:lang w:val="en-CA"/>
        </w:rPr>
      </w:pPr>
      <w:r w:rsidRPr="00974065">
        <w:rPr>
          <w:lang w:val="en-CA"/>
        </w:rPr>
        <w:t>Even if we were to conclude, as the appellant urges us to</w:t>
      </w:r>
      <w:r w:rsidR="00042AD7">
        <w:rPr>
          <w:lang w:val="en-CA"/>
        </w:rPr>
        <w:t xml:space="preserve"> do</w:t>
      </w:r>
      <w:r w:rsidRPr="00974065">
        <w:rPr>
          <w:lang w:val="en-CA"/>
        </w:rPr>
        <w:t>, that there was no specific question obliging the complaina</w:t>
      </w:r>
      <w:r w:rsidR="00990ED7" w:rsidRPr="00974065">
        <w:rPr>
          <w:lang w:val="en-CA"/>
        </w:rPr>
        <w:t>nt to disclose his TS</w:t>
      </w:r>
      <w:r w:rsidRPr="00974065">
        <w:rPr>
          <w:lang w:val="en-CA"/>
        </w:rPr>
        <w:t xml:space="preserve">, the form did include </w:t>
      </w:r>
      <w:r w:rsidR="00207F47" w:rsidRPr="00974065">
        <w:rPr>
          <w:lang w:val="en-CA"/>
        </w:rPr>
        <w:t xml:space="preserve">question </w:t>
      </w:r>
      <w:r w:rsidR="007A6ADA" w:rsidRPr="00974065">
        <w:rPr>
          <w:lang w:val="en-CA"/>
        </w:rPr>
        <w:t>2</w:t>
      </w:r>
      <w:r w:rsidR="00207F47" w:rsidRPr="00974065">
        <w:rPr>
          <w:lang w:val="en-CA"/>
        </w:rPr>
        <w:t>5</w:t>
      </w:r>
      <w:r w:rsidRPr="00974065">
        <w:rPr>
          <w:lang w:val="en-CA"/>
        </w:rPr>
        <w:t>, which asked the applicant to provide details of any state of health not specifically covered by the previous questions</w:t>
      </w:r>
      <w:r w:rsidR="00207F47" w:rsidRPr="00974065">
        <w:rPr>
          <w:lang w:val="en-CA"/>
        </w:rPr>
        <w:t>.</w:t>
      </w:r>
    </w:p>
    <w:p w14:paraId="65701D3D" w14:textId="5AA84082" w:rsidR="00207F47" w:rsidRPr="00974065" w:rsidRDefault="001F3159" w:rsidP="001F3159">
      <w:pPr>
        <w:pStyle w:val="Paragraphe"/>
        <w:spacing w:line="240" w:lineRule="auto"/>
        <w:rPr>
          <w:lang w:val="en-CA"/>
        </w:rPr>
      </w:pPr>
      <w:r w:rsidRPr="00974065">
        <w:rPr>
          <w:lang w:val="en-CA"/>
        </w:rPr>
        <w:t xml:space="preserve">The Tribunal concluded that </w:t>
      </w:r>
      <w:r w:rsidR="00042AD7">
        <w:rPr>
          <w:lang w:val="en-CA"/>
        </w:rPr>
        <w:t>this</w:t>
      </w:r>
      <w:r w:rsidR="00042AD7" w:rsidRPr="00974065">
        <w:rPr>
          <w:lang w:val="en-CA"/>
        </w:rPr>
        <w:t xml:space="preserve"> </w:t>
      </w:r>
      <w:r w:rsidR="00207F47" w:rsidRPr="00974065">
        <w:rPr>
          <w:lang w:val="en-CA"/>
        </w:rPr>
        <w:t xml:space="preserve">question </w:t>
      </w:r>
      <w:r w:rsidRPr="00974065">
        <w:rPr>
          <w:lang w:val="en-CA"/>
        </w:rPr>
        <w:t xml:space="preserve">was too broad and discriminatory. That finding no doubt </w:t>
      </w:r>
      <w:r w:rsidR="00042AD7">
        <w:rPr>
          <w:lang w:val="en-CA"/>
        </w:rPr>
        <w:t>justified</w:t>
      </w:r>
      <w:r w:rsidR="00042AD7" w:rsidRPr="00974065">
        <w:rPr>
          <w:lang w:val="en-CA"/>
        </w:rPr>
        <w:t xml:space="preserve"> </w:t>
      </w:r>
      <w:r w:rsidRPr="00974065">
        <w:rPr>
          <w:lang w:val="en-CA"/>
        </w:rPr>
        <w:t xml:space="preserve">a remedial order under the </w:t>
      </w:r>
      <w:r w:rsidR="00207F47" w:rsidRPr="00974065">
        <w:rPr>
          <w:i/>
          <w:iCs/>
          <w:lang w:val="en-CA"/>
        </w:rPr>
        <w:t>Charte</w:t>
      </w:r>
      <w:r w:rsidRPr="00974065">
        <w:rPr>
          <w:i/>
          <w:iCs/>
          <w:lang w:val="en-CA"/>
        </w:rPr>
        <w:t>r</w:t>
      </w:r>
      <w:r w:rsidRPr="00974065">
        <w:rPr>
          <w:lang w:val="en-CA"/>
        </w:rPr>
        <w:t xml:space="preserve"> obliging the employe</w:t>
      </w:r>
      <w:r w:rsidR="00207F47" w:rsidRPr="00974065">
        <w:rPr>
          <w:lang w:val="en-CA"/>
        </w:rPr>
        <w:t xml:space="preserve">r </w:t>
      </w:r>
      <w:r w:rsidR="00990ED7" w:rsidRPr="00974065">
        <w:rPr>
          <w:lang w:val="en-CA"/>
        </w:rPr>
        <w:t xml:space="preserve">to amend the </w:t>
      </w:r>
      <w:r w:rsidR="00207F47" w:rsidRPr="00974065">
        <w:rPr>
          <w:lang w:val="en-CA"/>
        </w:rPr>
        <w:t xml:space="preserve">question </w:t>
      </w:r>
      <w:r w:rsidRPr="00974065">
        <w:rPr>
          <w:lang w:val="en-CA"/>
        </w:rPr>
        <w:t xml:space="preserve">and make it compliant with the requirements of the </w:t>
      </w:r>
      <w:r w:rsidR="00207F47" w:rsidRPr="00974065">
        <w:rPr>
          <w:i/>
          <w:iCs/>
          <w:lang w:val="en-CA"/>
        </w:rPr>
        <w:t>Charte</w:t>
      </w:r>
      <w:r w:rsidRPr="00974065">
        <w:rPr>
          <w:i/>
          <w:iCs/>
          <w:lang w:val="en-CA"/>
        </w:rPr>
        <w:t>r</w:t>
      </w:r>
      <w:r w:rsidRPr="00974065">
        <w:rPr>
          <w:lang w:val="en-CA"/>
        </w:rPr>
        <w:t>. Th</w:t>
      </w:r>
      <w:r w:rsidR="00207F47" w:rsidRPr="00974065">
        <w:rPr>
          <w:lang w:val="en-CA"/>
        </w:rPr>
        <w:t xml:space="preserve">e </w:t>
      </w:r>
      <w:r w:rsidRPr="00974065">
        <w:rPr>
          <w:lang w:val="en-CA"/>
        </w:rPr>
        <w:t xml:space="preserve">discriminatory nature of that </w:t>
      </w:r>
      <w:r w:rsidR="00207F47" w:rsidRPr="00974065">
        <w:rPr>
          <w:lang w:val="en-CA"/>
        </w:rPr>
        <w:t xml:space="preserve">question </w:t>
      </w:r>
      <w:r w:rsidRPr="00974065">
        <w:rPr>
          <w:lang w:val="en-CA"/>
        </w:rPr>
        <w:t xml:space="preserve">does not, however, release the complainant from his </w:t>
      </w:r>
      <w:r w:rsidR="00207F47" w:rsidRPr="00974065">
        <w:rPr>
          <w:lang w:val="en-CA"/>
        </w:rPr>
        <w:t xml:space="preserve">obligation </w:t>
      </w:r>
      <w:r w:rsidR="00990ED7" w:rsidRPr="00974065">
        <w:rPr>
          <w:lang w:val="en-CA"/>
        </w:rPr>
        <w:t>to disclose</w:t>
      </w:r>
      <w:r w:rsidRPr="00974065">
        <w:rPr>
          <w:lang w:val="en-CA"/>
        </w:rPr>
        <w:t xml:space="preserve"> a medical </w:t>
      </w:r>
      <w:r w:rsidR="00207F47" w:rsidRPr="00974065">
        <w:rPr>
          <w:lang w:val="en-CA"/>
        </w:rPr>
        <w:t xml:space="preserve">condition </w:t>
      </w:r>
      <w:r w:rsidRPr="00974065">
        <w:rPr>
          <w:lang w:val="en-CA"/>
        </w:rPr>
        <w:t xml:space="preserve">which, to his knowledge, could likely be of concern to a </w:t>
      </w:r>
      <w:r w:rsidR="00207F47" w:rsidRPr="00974065">
        <w:rPr>
          <w:lang w:val="en-CA"/>
        </w:rPr>
        <w:t>futur</w:t>
      </w:r>
      <w:r w:rsidRPr="00974065">
        <w:rPr>
          <w:lang w:val="en-CA"/>
        </w:rPr>
        <w:t xml:space="preserve">e employer. He could have answered and added all the </w:t>
      </w:r>
      <w:r w:rsidR="00207F47" w:rsidRPr="00974065">
        <w:rPr>
          <w:lang w:val="en-CA"/>
        </w:rPr>
        <w:t xml:space="preserve">nuances </w:t>
      </w:r>
      <w:r w:rsidRPr="00974065">
        <w:rPr>
          <w:lang w:val="en-CA"/>
        </w:rPr>
        <w:t xml:space="preserve">he thought proper, providing a copy of the report from the neurologist he had consulted in the past. The subject could then have been discussed during the medical examination and specifically analyzed by the employer’s physician. </w:t>
      </w:r>
    </w:p>
    <w:p w14:paraId="191EAA98" w14:textId="77777777" w:rsidR="00207F47" w:rsidRPr="00974065" w:rsidRDefault="001F3159" w:rsidP="00703929">
      <w:pPr>
        <w:pStyle w:val="Paragraphe"/>
        <w:spacing w:line="240" w:lineRule="auto"/>
        <w:rPr>
          <w:lang w:val="en-CA"/>
        </w:rPr>
      </w:pPr>
      <w:r w:rsidRPr="00974065">
        <w:rPr>
          <w:lang w:val="en-CA"/>
        </w:rPr>
        <w:t xml:space="preserve">This Court’s </w:t>
      </w:r>
      <w:r w:rsidR="00990ED7" w:rsidRPr="00974065">
        <w:rPr>
          <w:lang w:val="en-CA"/>
        </w:rPr>
        <w:t xml:space="preserve">analysis </w:t>
      </w:r>
      <w:r w:rsidRPr="00974065">
        <w:rPr>
          <w:lang w:val="en-CA"/>
        </w:rPr>
        <w:t>support</w:t>
      </w:r>
      <w:r w:rsidR="00990ED7" w:rsidRPr="00974065">
        <w:rPr>
          <w:lang w:val="en-CA"/>
        </w:rPr>
        <w:t>s</w:t>
      </w:r>
      <w:r w:rsidRPr="00974065">
        <w:rPr>
          <w:lang w:val="en-CA"/>
        </w:rPr>
        <w:t xml:space="preserve"> the Tribunal’s approach:</w:t>
      </w:r>
    </w:p>
    <w:p w14:paraId="48833F3E" w14:textId="77777777" w:rsidR="001F3159" w:rsidRPr="00974065" w:rsidRDefault="00BB21CC" w:rsidP="00BB21CC">
      <w:pPr>
        <w:pStyle w:val="Paragraphe"/>
        <w:numPr>
          <w:ilvl w:val="0"/>
          <w:numId w:val="0"/>
        </w:numPr>
        <w:spacing w:after="0" w:line="240" w:lineRule="auto"/>
        <w:rPr>
          <w:lang w:val="en-CA"/>
        </w:rPr>
      </w:pPr>
      <w:r w:rsidRPr="00974065">
        <w:rPr>
          <w:lang w:val="en-CA"/>
        </w:rPr>
        <w:tab/>
      </w:r>
      <w:r w:rsidR="001F3159" w:rsidRPr="00974065">
        <w:rPr>
          <w:lang w:val="en-CA"/>
        </w:rPr>
        <w:t>[</w:t>
      </w:r>
      <w:r w:rsidR="001F3159" w:rsidRPr="00974065">
        <w:rPr>
          <w:smallCaps/>
          <w:lang w:val="en-CA"/>
        </w:rPr>
        <w:t>translation</w:t>
      </w:r>
      <w:r w:rsidR="001F3159" w:rsidRPr="00974065">
        <w:rPr>
          <w:lang w:val="en-CA"/>
        </w:rPr>
        <w:t>]</w:t>
      </w:r>
    </w:p>
    <w:p w14:paraId="6E1E05F0" w14:textId="1340D2B4" w:rsidR="00207F47" w:rsidRPr="00974065" w:rsidRDefault="00BB21CC" w:rsidP="00703929">
      <w:pPr>
        <w:pStyle w:val="Citationenretrait"/>
        <w:spacing w:line="240" w:lineRule="auto"/>
        <w:rPr>
          <w:lang w:val="en-CA"/>
        </w:rPr>
      </w:pPr>
      <w:r w:rsidRPr="00974065">
        <w:rPr>
          <w:lang w:val="en-CA"/>
        </w:rPr>
        <w:t>[76] Th</w:t>
      </w:r>
      <w:r w:rsidR="00207F47" w:rsidRPr="00974065">
        <w:rPr>
          <w:lang w:val="en-CA"/>
        </w:rPr>
        <w:t xml:space="preserve">e </w:t>
      </w:r>
      <w:r w:rsidRPr="00974065">
        <w:rPr>
          <w:lang w:val="en-CA"/>
        </w:rPr>
        <w:t>main thrust of the Union’s argument</w:t>
      </w:r>
      <w:r w:rsidR="00207F47" w:rsidRPr="00974065">
        <w:rPr>
          <w:lang w:val="en-CA"/>
        </w:rPr>
        <w:t xml:space="preserve"> </w:t>
      </w:r>
      <w:r w:rsidRPr="00974065">
        <w:rPr>
          <w:lang w:val="en-CA"/>
        </w:rPr>
        <w:t xml:space="preserve">is that the </w:t>
      </w:r>
      <w:r w:rsidR="00207F47" w:rsidRPr="00974065">
        <w:rPr>
          <w:lang w:val="en-CA"/>
        </w:rPr>
        <w:t xml:space="preserve">questions </w:t>
      </w:r>
      <w:r w:rsidRPr="00974065">
        <w:rPr>
          <w:lang w:val="en-CA"/>
        </w:rPr>
        <w:t xml:space="preserve">that were asked did not cover a specific time period and that the evidence did not establish the need for such an invasion of privacy. It would not be reasonable to research all the aspects of the worker’s medical file. Consequently, the </w:t>
      </w:r>
      <w:r w:rsidR="00A76B1F">
        <w:rPr>
          <w:lang w:val="en-CA"/>
        </w:rPr>
        <w:t>employee</w:t>
      </w:r>
      <w:r w:rsidR="00A76B1F" w:rsidRPr="00974065">
        <w:rPr>
          <w:lang w:val="en-CA"/>
        </w:rPr>
        <w:t xml:space="preserve"> </w:t>
      </w:r>
      <w:r w:rsidRPr="00974065">
        <w:rPr>
          <w:lang w:val="en-CA"/>
        </w:rPr>
        <w:t xml:space="preserve">should not be punished for having lied. A false or inaccurate answer to a discriminatory </w:t>
      </w:r>
      <w:r w:rsidR="00207F47" w:rsidRPr="00974065">
        <w:rPr>
          <w:lang w:val="en-CA"/>
        </w:rPr>
        <w:t xml:space="preserve">question </w:t>
      </w:r>
      <w:r w:rsidRPr="00974065">
        <w:rPr>
          <w:lang w:val="en-CA"/>
        </w:rPr>
        <w:t xml:space="preserve">should not, in the Union’s opinion, lead to a break in the employment </w:t>
      </w:r>
      <w:r w:rsidR="00AD4A48">
        <w:rPr>
          <w:lang w:val="en-CA"/>
        </w:rPr>
        <w:t>relationship</w:t>
      </w:r>
      <w:r w:rsidRPr="00974065">
        <w:rPr>
          <w:lang w:val="en-CA"/>
        </w:rPr>
        <w:t>.</w:t>
      </w:r>
    </w:p>
    <w:p w14:paraId="10D6AEEB" w14:textId="03AA60D1" w:rsidR="00207F47" w:rsidRPr="00974065" w:rsidRDefault="00BB21CC" w:rsidP="00703929">
      <w:pPr>
        <w:pStyle w:val="Citationenretrait"/>
        <w:spacing w:line="240" w:lineRule="auto"/>
        <w:rPr>
          <w:u w:val="single"/>
          <w:lang w:val="en-CA"/>
        </w:rPr>
      </w:pPr>
      <w:r w:rsidRPr="00974065">
        <w:rPr>
          <w:lang w:val="en-CA"/>
        </w:rPr>
        <w:t>[77] Th</w:t>
      </w:r>
      <w:r w:rsidR="00207F47" w:rsidRPr="00974065">
        <w:rPr>
          <w:lang w:val="en-CA"/>
        </w:rPr>
        <w:t xml:space="preserve">e questionnaire </w:t>
      </w:r>
      <w:r w:rsidRPr="00974065">
        <w:rPr>
          <w:lang w:val="en-CA"/>
        </w:rPr>
        <w:t xml:space="preserve">casts a wide net and it does not seem to have been designed to obtain medical information related only to the </w:t>
      </w:r>
      <w:r w:rsidR="00207F47" w:rsidRPr="00974065">
        <w:rPr>
          <w:lang w:val="en-CA"/>
        </w:rPr>
        <w:t>aptitude</w:t>
      </w:r>
      <w:r w:rsidRPr="00974065">
        <w:rPr>
          <w:lang w:val="en-CA"/>
        </w:rPr>
        <w:t>s or qualitie</w:t>
      </w:r>
      <w:r w:rsidR="00207F47" w:rsidRPr="00974065">
        <w:rPr>
          <w:lang w:val="en-CA"/>
        </w:rPr>
        <w:t>s requi</w:t>
      </w:r>
      <w:r w:rsidRPr="00974065">
        <w:rPr>
          <w:lang w:val="en-CA"/>
        </w:rPr>
        <w:t xml:space="preserve">red by the nursing profession. Some remedies could no doubt have been </w:t>
      </w:r>
      <w:r w:rsidR="00AD4A48">
        <w:rPr>
          <w:lang w:val="en-CA"/>
        </w:rPr>
        <w:t>sought</w:t>
      </w:r>
      <w:r w:rsidR="00AD4A48" w:rsidRPr="00974065">
        <w:rPr>
          <w:lang w:val="en-CA"/>
        </w:rPr>
        <w:t xml:space="preserve"> </w:t>
      </w:r>
      <w:r w:rsidRPr="00974065">
        <w:rPr>
          <w:lang w:val="en-CA"/>
        </w:rPr>
        <w:t xml:space="preserve">under the </w:t>
      </w:r>
      <w:r w:rsidR="00207F47" w:rsidRPr="00974065">
        <w:rPr>
          <w:i/>
          <w:lang w:val="en-CA"/>
        </w:rPr>
        <w:t>Charte</w:t>
      </w:r>
      <w:r w:rsidRPr="00974065">
        <w:rPr>
          <w:i/>
          <w:lang w:val="en-CA"/>
        </w:rPr>
        <w:t>r</w:t>
      </w:r>
      <w:r w:rsidR="00207F47" w:rsidRPr="00974065">
        <w:rPr>
          <w:lang w:val="en-CA"/>
        </w:rPr>
        <w:t xml:space="preserve">. </w:t>
      </w:r>
      <w:r w:rsidRPr="00974065">
        <w:rPr>
          <w:u w:val="single"/>
          <w:lang w:val="en-CA"/>
        </w:rPr>
        <w:t xml:space="preserve">That is not to say, </w:t>
      </w:r>
      <w:r w:rsidR="00AD4A48">
        <w:rPr>
          <w:u w:val="single"/>
          <w:lang w:val="en-CA"/>
        </w:rPr>
        <w:t>however</w:t>
      </w:r>
      <w:r w:rsidRPr="00974065">
        <w:rPr>
          <w:u w:val="single"/>
          <w:lang w:val="en-CA"/>
        </w:rPr>
        <w:t xml:space="preserve">, that since certain questions should not have been asked, the </w:t>
      </w:r>
      <w:r w:rsidR="00AD4A48">
        <w:rPr>
          <w:u w:val="single"/>
          <w:lang w:val="en-CA"/>
        </w:rPr>
        <w:t>employee’s</w:t>
      </w:r>
      <w:r w:rsidR="00AD4A48" w:rsidRPr="00974065">
        <w:rPr>
          <w:u w:val="single"/>
          <w:lang w:val="en-CA"/>
        </w:rPr>
        <w:t xml:space="preserve"> </w:t>
      </w:r>
      <w:r w:rsidRPr="00974065">
        <w:rPr>
          <w:u w:val="single"/>
          <w:lang w:val="en-CA"/>
        </w:rPr>
        <w:t xml:space="preserve">false declarations bearing on information the employer was entitled to </w:t>
      </w:r>
      <w:r w:rsidR="00AD4A48">
        <w:rPr>
          <w:u w:val="single"/>
          <w:lang w:val="en-CA"/>
        </w:rPr>
        <w:t>know</w:t>
      </w:r>
      <w:r w:rsidR="00AD4A48" w:rsidRPr="00974065">
        <w:rPr>
          <w:u w:val="single"/>
          <w:lang w:val="en-CA"/>
        </w:rPr>
        <w:t xml:space="preserve"> </w:t>
      </w:r>
      <w:r w:rsidRPr="00974065">
        <w:rPr>
          <w:u w:val="single"/>
          <w:lang w:val="en-CA"/>
        </w:rPr>
        <w:t>in order to assume its responsibilities and make the best decision about hiring in the circumstances could not be set up against him</w:t>
      </w:r>
      <w:r w:rsidRPr="00974065">
        <w:rPr>
          <w:lang w:val="en-CA"/>
        </w:rPr>
        <w:t>.</w:t>
      </w:r>
    </w:p>
    <w:p w14:paraId="1701220C" w14:textId="56F7BE01" w:rsidR="00207F47" w:rsidRPr="00974065" w:rsidRDefault="00207F47" w:rsidP="00703929">
      <w:pPr>
        <w:pStyle w:val="Citationenretrait"/>
        <w:spacing w:line="240" w:lineRule="auto"/>
        <w:rPr>
          <w:lang w:val="en-CA"/>
        </w:rPr>
      </w:pPr>
      <w:r w:rsidRPr="00974065">
        <w:rPr>
          <w:u w:val="single"/>
          <w:lang w:val="en-CA"/>
        </w:rPr>
        <w:lastRenderedPageBreak/>
        <w:t xml:space="preserve">[78] </w:t>
      </w:r>
      <w:r w:rsidR="003743E0" w:rsidRPr="00974065">
        <w:rPr>
          <w:u w:val="single"/>
          <w:lang w:val="en-CA"/>
        </w:rPr>
        <w:t xml:space="preserve">I do not follow the school of thought </w:t>
      </w:r>
      <w:r w:rsidR="00AD4A48">
        <w:rPr>
          <w:u w:val="single"/>
          <w:lang w:val="en-CA"/>
        </w:rPr>
        <w:t xml:space="preserve">that would find that </w:t>
      </w:r>
      <w:r w:rsidR="003743E0" w:rsidRPr="00974065">
        <w:rPr>
          <w:u w:val="single"/>
          <w:lang w:val="en-CA"/>
        </w:rPr>
        <w:t xml:space="preserve">the applicant is released from his </w:t>
      </w:r>
      <w:r w:rsidRPr="00974065">
        <w:rPr>
          <w:u w:val="single"/>
          <w:lang w:val="en-CA"/>
        </w:rPr>
        <w:t>obligation</w:t>
      </w:r>
      <w:r w:rsidR="003743E0" w:rsidRPr="00974065">
        <w:rPr>
          <w:u w:val="single"/>
          <w:lang w:val="en-CA"/>
        </w:rPr>
        <w:t xml:space="preserve"> of good faith and transparency in such a specific case. </w:t>
      </w:r>
      <w:r w:rsidR="00AD4A48">
        <w:rPr>
          <w:u w:val="single"/>
          <w:lang w:val="en-CA"/>
        </w:rPr>
        <w:t xml:space="preserve">He cannot hide information that might be prejudicial to him to be on the safe side, and then claim, if the subterfuge is eventually discovered, that some of the questions were potentially discriminatory. </w:t>
      </w:r>
      <w:r w:rsidR="003743E0" w:rsidRPr="00974065">
        <w:rPr>
          <w:u w:val="single"/>
          <w:lang w:val="en-CA"/>
        </w:rPr>
        <w:t>.</w:t>
      </w:r>
    </w:p>
    <w:p w14:paraId="2183F470" w14:textId="213271AD" w:rsidR="00207F47" w:rsidRPr="00974065" w:rsidRDefault="00207F47" w:rsidP="00703929">
      <w:pPr>
        <w:pStyle w:val="Citationenretrait"/>
        <w:spacing w:line="240" w:lineRule="auto"/>
        <w:rPr>
          <w:lang w:val="en-CA"/>
        </w:rPr>
      </w:pPr>
      <w:r w:rsidRPr="00974065">
        <w:rPr>
          <w:lang w:val="en-CA"/>
        </w:rPr>
        <w:t xml:space="preserve">[79] </w:t>
      </w:r>
      <w:r w:rsidR="003743E0" w:rsidRPr="00974065">
        <w:rPr>
          <w:lang w:val="en-CA"/>
        </w:rPr>
        <w:t>I agree that a false de</w:t>
      </w:r>
      <w:r w:rsidRPr="00974065">
        <w:rPr>
          <w:lang w:val="en-CA"/>
        </w:rPr>
        <w:t xml:space="preserve">claration </w:t>
      </w:r>
      <w:r w:rsidR="003743E0" w:rsidRPr="00974065">
        <w:rPr>
          <w:lang w:val="en-CA"/>
        </w:rPr>
        <w:t>may not be determina</w:t>
      </w:r>
      <w:r w:rsidR="00DA11E4">
        <w:rPr>
          <w:lang w:val="en-CA"/>
        </w:rPr>
        <w:t>tive</w:t>
      </w:r>
      <w:r w:rsidR="003743E0" w:rsidRPr="00974065">
        <w:rPr>
          <w:lang w:val="en-CA"/>
        </w:rPr>
        <w:t xml:space="preserve"> if the </w:t>
      </w:r>
      <w:r w:rsidRPr="00974065">
        <w:rPr>
          <w:lang w:val="en-CA"/>
        </w:rPr>
        <w:t xml:space="preserve">omission </w:t>
      </w:r>
      <w:r w:rsidR="003743E0" w:rsidRPr="00974065">
        <w:rPr>
          <w:lang w:val="en-CA"/>
        </w:rPr>
        <w:t xml:space="preserve">concerns an </w:t>
      </w:r>
      <w:r w:rsidR="00DA11E4">
        <w:rPr>
          <w:lang w:val="en-CA"/>
        </w:rPr>
        <w:t>element</w:t>
      </w:r>
      <w:r w:rsidR="003743E0" w:rsidRPr="00974065">
        <w:rPr>
          <w:lang w:val="en-CA"/>
        </w:rPr>
        <w:t xml:space="preserve"> the employer would not be entitled to consider under s. 18.1 of the</w:t>
      </w:r>
      <w:r w:rsidRPr="00974065">
        <w:rPr>
          <w:lang w:val="en-CA"/>
        </w:rPr>
        <w:t xml:space="preserve"> </w:t>
      </w:r>
      <w:r w:rsidRPr="00974065">
        <w:rPr>
          <w:i/>
          <w:lang w:val="en-CA"/>
        </w:rPr>
        <w:t>Charte</w:t>
      </w:r>
      <w:r w:rsidR="003743E0" w:rsidRPr="00974065">
        <w:rPr>
          <w:i/>
          <w:lang w:val="en-CA"/>
        </w:rPr>
        <w:t>r</w:t>
      </w:r>
      <w:r w:rsidR="003743E0" w:rsidRPr="00974065">
        <w:rPr>
          <w:lang w:val="en-CA"/>
        </w:rPr>
        <w:t xml:space="preserve"> or an insignificant </w:t>
      </w:r>
      <w:r w:rsidR="00DA11E4">
        <w:rPr>
          <w:lang w:val="en-CA"/>
        </w:rPr>
        <w:t xml:space="preserve">element </w:t>
      </w:r>
      <w:r w:rsidR="003743E0" w:rsidRPr="00974065">
        <w:rPr>
          <w:lang w:val="en-CA"/>
        </w:rPr>
        <w:t xml:space="preserve">that did not </w:t>
      </w:r>
      <w:r w:rsidR="00DA11E4">
        <w:rPr>
          <w:lang w:val="en-CA"/>
        </w:rPr>
        <w:t xml:space="preserve">determine </w:t>
      </w:r>
      <w:r w:rsidR="003743E0" w:rsidRPr="00974065">
        <w:rPr>
          <w:lang w:val="en-CA"/>
        </w:rPr>
        <w:t>the issue of consent. But that is not the case here</w:t>
      </w:r>
      <w:r w:rsidR="00381894" w:rsidRPr="00974065">
        <w:rPr>
          <w:lang w:val="en-CA"/>
        </w:rPr>
        <w:t>.</w:t>
      </w:r>
      <w:r w:rsidRPr="00974065">
        <w:rPr>
          <w:rStyle w:val="Appelnotedebasdep"/>
          <w:rFonts w:cs="Arial"/>
          <w:lang w:val="en-CA"/>
        </w:rPr>
        <w:footnoteReference w:id="29"/>
      </w:r>
    </w:p>
    <w:p w14:paraId="5E452A80" w14:textId="77777777" w:rsidR="00207F47" w:rsidRPr="00974065" w:rsidRDefault="00D101C2" w:rsidP="00703929">
      <w:pPr>
        <w:pStyle w:val="Citationenretrait"/>
        <w:spacing w:line="240" w:lineRule="auto"/>
        <w:jc w:val="right"/>
        <w:rPr>
          <w:lang w:val="en-CA"/>
        </w:rPr>
      </w:pPr>
      <w:r w:rsidRPr="00974065">
        <w:rPr>
          <w:lang w:val="en-CA"/>
        </w:rPr>
        <w:t>[</w:t>
      </w:r>
      <w:r w:rsidR="00241045" w:rsidRPr="00974065">
        <w:rPr>
          <w:lang w:val="en-CA"/>
        </w:rPr>
        <w:t>Our emphasis</w:t>
      </w:r>
      <w:r w:rsidRPr="00974065">
        <w:rPr>
          <w:lang w:val="en-CA"/>
        </w:rPr>
        <w:t>]</w:t>
      </w:r>
    </w:p>
    <w:p w14:paraId="1E7C6B16" w14:textId="77777777" w:rsidR="00207F47" w:rsidRPr="00974065" w:rsidRDefault="003743E0" w:rsidP="00703929">
      <w:pPr>
        <w:pStyle w:val="Paragraphe"/>
        <w:spacing w:line="240" w:lineRule="auto"/>
        <w:rPr>
          <w:rFonts w:cs="Arial"/>
          <w:szCs w:val="24"/>
          <w:lang w:val="en-CA"/>
        </w:rPr>
      </w:pPr>
      <w:r w:rsidRPr="00974065">
        <w:rPr>
          <w:rFonts w:cs="Arial"/>
          <w:szCs w:val="24"/>
          <w:lang w:val="en-CA"/>
        </w:rPr>
        <w:t>Th</w:t>
      </w:r>
      <w:r w:rsidR="00207F47" w:rsidRPr="00974065">
        <w:rPr>
          <w:rFonts w:cs="Arial"/>
          <w:szCs w:val="24"/>
          <w:lang w:val="en-CA"/>
        </w:rPr>
        <w:t xml:space="preserve">e </w:t>
      </w:r>
      <w:r w:rsidRPr="00974065">
        <w:rPr>
          <w:rFonts w:cs="Arial"/>
          <w:szCs w:val="24"/>
          <w:lang w:val="en-CA"/>
        </w:rPr>
        <w:t>same line of reasoning applies here. The complainant should have declared that he had TS.</w:t>
      </w:r>
    </w:p>
    <w:p w14:paraId="2624E4C4" w14:textId="77777777" w:rsidR="00B06F54" w:rsidRPr="00974065" w:rsidRDefault="00B036EF" w:rsidP="00703929">
      <w:pPr>
        <w:pStyle w:val="Paragraphe"/>
        <w:numPr>
          <w:ilvl w:val="0"/>
          <w:numId w:val="0"/>
        </w:numPr>
        <w:spacing w:line="240" w:lineRule="auto"/>
        <w:ind w:left="720"/>
        <w:rPr>
          <w:rFonts w:cs="Arial"/>
          <w:szCs w:val="24"/>
          <w:u w:val="single"/>
          <w:lang w:val="en-CA"/>
        </w:rPr>
      </w:pPr>
      <w:r w:rsidRPr="00974065">
        <w:rPr>
          <w:rFonts w:cs="Arial"/>
          <w:szCs w:val="24"/>
          <w:u w:val="single"/>
          <w:lang w:val="en-CA"/>
        </w:rPr>
        <w:t>ii- Th</w:t>
      </w:r>
      <w:r w:rsidR="00B06F54" w:rsidRPr="00974065">
        <w:rPr>
          <w:rFonts w:cs="Arial"/>
          <w:szCs w:val="24"/>
          <w:u w:val="single"/>
          <w:lang w:val="en-CA"/>
        </w:rPr>
        <w:t xml:space="preserve">e </w:t>
      </w:r>
      <w:r w:rsidRPr="00974065">
        <w:rPr>
          <w:rFonts w:cs="Arial"/>
          <w:szCs w:val="24"/>
          <w:u w:val="single"/>
          <w:lang w:val="en-CA"/>
        </w:rPr>
        <w:t>complai</w:t>
      </w:r>
      <w:r w:rsidR="00B06F54" w:rsidRPr="00974065">
        <w:rPr>
          <w:rFonts w:cs="Arial"/>
          <w:szCs w:val="24"/>
          <w:u w:val="single"/>
          <w:lang w:val="en-CA"/>
        </w:rPr>
        <w:t xml:space="preserve">nant </w:t>
      </w:r>
      <w:r w:rsidRPr="00974065">
        <w:rPr>
          <w:rFonts w:cs="Arial"/>
          <w:szCs w:val="24"/>
          <w:u w:val="single"/>
          <w:lang w:val="en-CA"/>
        </w:rPr>
        <w:t>made false de</w:t>
      </w:r>
      <w:r w:rsidR="00B06F54" w:rsidRPr="00974065">
        <w:rPr>
          <w:rFonts w:cs="Arial"/>
          <w:szCs w:val="24"/>
          <w:u w:val="single"/>
          <w:lang w:val="en-CA"/>
        </w:rPr>
        <w:t xml:space="preserve">clarations </w:t>
      </w:r>
      <w:r w:rsidRPr="00974065">
        <w:rPr>
          <w:rFonts w:cs="Arial"/>
          <w:szCs w:val="24"/>
          <w:u w:val="single"/>
          <w:lang w:val="en-CA"/>
        </w:rPr>
        <w:t xml:space="preserve">about his </w:t>
      </w:r>
      <w:r w:rsidR="00B06F54" w:rsidRPr="00974065">
        <w:rPr>
          <w:rFonts w:cs="Arial"/>
          <w:szCs w:val="24"/>
          <w:u w:val="single"/>
          <w:lang w:val="en-CA"/>
        </w:rPr>
        <w:t xml:space="preserve">consultations </w:t>
      </w:r>
      <w:r w:rsidRPr="00974065">
        <w:rPr>
          <w:rFonts w:cs="Arial"/>
          <w:szCs w:val="24"/>
          <w:u w:val="single"/>
          <w:lang w:val="en-CA"/>
        </w:rPr>
        <w:t>with a psychologist</w:t>
      </w:r>
    </w:p>
    <w:p w14:paraId="7068E866" w14:textId="54F6CC23" w:rsidR="00207F47" w:rsidRPr="00974065" w:rsidRDefault="00B036EF" w:rsidP="00703929">
      <w:pPr>
        <w:pStyle w:val="Paragraphe"/>
        <w:spacing w:line="240" w:lineRule="auto"/>
        <w:rPr>
          <w:lang w:val="en-CA"/>
        </w:rPr>
      </w:pPr>
      <w:r w:rsidRPr="00974065">
        <w:rPr>
          <w:lang w:val="en-CA"/>
        </w:rPr>
        <w:t>Th</w:t>
      </w:r>
      <w:r w:rsidR="00E44F90" w:rsidRPr="00974065">
        <w:rPr>
          <w:lang w:val="en-CA"/>
        </w:rPr>
        <w:t>e Tribunal</w:t>
      </w:r>
      <w:r w:rsidRPr="00974065">
        <w:rPr>
          <w:lang w:val="en-CA"/>
        </w:rPr>
        <w:t xml:space="preserve"> concluded that the employer was </w:t>
      </w:r>
      <w:r w:rsidR="006E0268">
        <w:rPr>
          <w:lang w:val="en-CA"/>
        </w:rPr>
        <w:t xml:space="preserve">justified </w:t>
      </w:r>
      <w:r w:rsidRPr="00974065">
        <w:rPr>
          <w:lang w:val="en-CA"/>
        </w:rPr>
        <w:t xml:space="preserve">in asking </w:t>
      </w:r>
      <w:r w:rsidR="00207F47" w:rsidRPr="00974065">
        <w:rPr>
          <w:lang w:val="en-CA"/>
        </w:rPr>
        <w:t xml:space="preserve">questions </w:t>
      </w:r>
      <w:r w:rsidR="006E0268">
        <w:rPr>
          <w:lang w:val="en-CA"/>
        </w:rPr>
        <w:t xml:space="preserve">relating to </w:t>
      </w:r>
      <w:r w:rsidRPr="00974065">
        <w:rPr>
          <w:lang w:val="en-CA"/>
        </w:rPr>
        <w:t>the applicant’s mental health due to the demands of police work.</w:t>
      </w:r>
      <w:r w:rsidR="00207F47" w:rsidRPr="00974065">
        <w:rPr>
          <w:rStyle w:val="Appelnotedebasdep"/>
          <w:lang w:val="en-CA"/>
        </w:rPr>
        <w:footnoteReference w:id="30"/>
      </w:r>
      <w:r w:rsidR="00207F47" w:rsidRPr="00974065">
        <w:rPr>
          <w:lang w:val="en-CA"/>
        </w:rPr>
        <w:t xml:space="preserve"> </w:t>
      </w:r>
      <w:r w:rsidRPr="00974065">
        <w:rPr>
          <w:lang w:val="en-CA"/>
        </w:rPr>
        <w:t>That</w:t>
      </w:r>
      <w:r w:rsidR="00B06F54" w:rsidRPr="00974065">
        <w:rPr>
          <w:lang w:val="en-CA"/>
        </w:rPr>
        <w:t xml:space="preserve"> conclusion </w:t>
      </w:r>
      <w:r w:rsidRPr="00974065">
        <w:rPr>
          <w:lang w:val="en-CA"/>
        </w:rPr>
        <w:t>was supported by the evidence.</w:t>
      </w:r>
      <w:r w:rsidR="00B06F54" w:rsidRPr="00974065">
        <w:rPr>
          <w:lang w:val="en-CA"/>
        </w:rPr>
        <w:t xml:space="preserve"> </w:t>
      </w:r>
    </w:p>
    <w:p w14:paraId="03A88FEA" w14:textId="0640DB9C" w:rsidR="00207F47" w:rsidRPr="00974065" w:rsidRDefault="006E0268" w:rsidP="00703929">
      <w:pPr>
        <w:pStyle w:val="Paragraphe"/>
        <w:spacing w:line="240" w:lineRule="auto"/>
        <w:rPr>
          <w:lang w:val="en-CA"/>
        </w:rPr>
      </w:pPr>
      <w:r>
        <w:rPr>
          <w:lang w:val="en-CA"/>
        </w:rPr>
        <w:t>In actual fact, t</w:t>
      </w:r>
      <w:r w:rsidR="00990ED7" w:rsidRPr="00974065">
        <w:rPr>
          <w:lang w:val="en-CA"/>
        </w:rPr>
        <w:t>h</w:t>
      </w:r>
      <w:r w:rsidR="00B06F54" w:rsidRPr="00974065">
        <w:rPr>
          <w:lang w:val="en-CA"/>
        </w:rPr>
        <w:t xml:space="preserve">e </w:t>
      </w:r>
      <w:r w:rsidR="004146A6" w:rsidRPr="00974065">
        <w:rPr>
          <w:lang w:val="en-CA"/>
        </w:rPr>
        <w:t>complai</w:t>
      </w:r>
      <w:r w:rsidR="00B06F54" w:rsidRPr="00974065">
        <w:rPr>
          <w:lang w:val="en-CA"/>
        </w:rPr>
        <w:t>nant</w:t>
      </w:r>
      <w:r w:rsidR="004146A6" w:rsidRPr="00974065">
        <w:rPr>
          <w:lang w:val="en-CA"/>
        </w:rPr>
        <w:t xml:space="preserve"> did answer the questions he was asked, but </w:t>
      </w:r>
      <w:r>
        <w:rPr>
          <w:lang w:val="en-CA"/>
        </w:rPr>
        <w:t xml:space="preserve">he merely </w:t>
      </w:r>
      <w:r w:rsidR="00990ED7" w:rsidRPr="00974065">
        <w:rPr>
          <w:lang w:val="en-CA"/>
        </w:rPr>
        <w:t xml:space="preserve">stated </w:t>
      </w:r>
      <w:r w:rsidR="004146A6" w:rsidRPr="00974065">
        <w:rPr>
          <w:lang w:val="en-CA"/>
        </w:rPr>
        <w:t>that he had benefitted from psycholog</w:t>
      </w:r>
      <w:r>
        <w:rPr>
          <w:lang w:val="en-CA"/>
        </w:rPr>
        <w:t>ical</w:t>
      </w:r>
      <w:r w:rsidR="004146A6" w:rsidRPr="00974065">
        <w:rPr>
          <w:lang w:val="en-CA"/>
        </w:rPr>
        <w:t xml:space="preserve"> follow-up offered </w:t>
      </w:r>
      <w:r w:rsidR="00562D67">
        <w:rPr>
          <w:lang w:val="en-CA"/>
        </w:rPr>
        <w:t>through</w:t>
      </w:r>
      <w:r w:rsidR="004146A6" w:rsidRPr="00974065">
        <w:rPr>
          <w:lang w:val="en-CA"/>
        </w:rPr>
        <w:t xml:space="preserve"> the funeral parlour when his mother died. He never mentioned his </w:t>
      </w:r>
      <w:r w:rsidR="00207F47" w:rsidRPr="00974065">
        <w:rPr>
          <w:lang w:val="en-CA"/>
        </w:rPr>
        <w:t>consultations</w:t>
      </w:r>
      <w:r w:rsidR="00E9689D" w:rsidRPr="00974065">
        <w:rPr>
          <w:lang w:val="en-CA"/>
        </w:rPr>
        <w:t xml:space="preserve"> </w:t>
      </w:r>
      <w:r w:rsidR="00562D67">
        <w:rPr>
          <w:lang w:val="en-CA"/>
        </w:rPr>
        <w:t xml:space="preserve">having </w:t>
      </w:r>
      <w:r w:rsidR="00990ED7" w:rsidRPr="00974065">
        <w:rPr>
          <w:lang w:val="en-CA"/>
        </w:rPr>
        <w:t xml:space="preserve">to do </w:t>
      </w:r>
      <w:r w:rsidR="00E9689D" w:rsidRPr="00974065">
        <w:rPr>
          <w:lang w:val="en-CA"/>
        </w:rPr>
        <w:t>with</w:t>
      </w:r>
      <w:r w:rsidR="004146A6" w:rsidRPr="00974065">
        <w:rPr>
          <w:lang w:val="en-CA"/>
        </w:rPr>
        <w:t xml:space="preserve"> his difficult relationships with women. He did not </w:t>
      </w:r>
      <w:r w:rsidR="00562D67">
        <w:rPr>
          <w:lang w:val="en-CA"/>
        </w:rPr>
        <w:t xml:space="preserve">disclose </w:t>
      </w:r>
      <w:r w:rsidR="004146A6" w:rsidRPr="00974065">
        <w:rPr>
          <w:lang w:val="en-CA"/>
        </w:rPr>
        <w:t xml:space="preserve">that subject until the additional administrative investigation after the graduation ceremony. And even on that </w:t>
      </w:r>
      <w:r w:rsidR="00207F47" w:rsidRPr="00974065">
        <w:rPr>
          <w:lang w:val="en-CA"/>
        </w:rPr>
        <w:t>occasion</w:t>
      </w:r>
      <w:r w:rsidR="008446E6" w:rsidRPr="00974065">
        <w:rPr>
          <w:lang w:val="en-CA"/>
        </w:rPr>
        <w:t>,</w:t>
      </w:r>
      <w:r w:rsidR="004146A6" w:rsidRPr="00974065">
        <w:rPr>
          <w:lang w:val="en-CA"/>
        </w:rPr>
        <w:t xml:space="preserve"> the </w:t>
      </w:r>
      <w:r w:rsidR="00207F47" w:rsidRPr="00974065">
        <w:rPr>
          <w:lang w:val="en-CA"/>
        </w:rPr>
        <w:t xml:space="preserve">information </w:t>
      </w:r>
      <w:r w:rsidR="004146A6" w:rsidRPr="00974065">
        <w:rPr>
          <w:lang w:val="en-CA"/>
        </w:rPr>
        <w:t xml:space="preserve">he provided was inaccurate. He said he had consulted a “life coach” on his own </w:t>
      </w:r>
      <w:r w:rsidR="00207F47" w:rsidRPr="00974065">
        <w:rPr>
          <w:lang w:val="en-CA"/>
        </w:rPr>
        <w:t xml:space="preserve">initiative </w:t>
      </w:r>
      <w:r w:rsidR="004146A6" w:rsidRPr="00974065">
        <w:rPr>
          <w:lang w:val="en-CA"/>
        </w:rPr>
        <w:t xml:space="preserve">a few times while the investigation was still underway, </w:t>
      </w:r>
      <w:r w:rsidR="00990ED7" w:rsidRPr="00974065">
        <w:rPr>
          <w:lang w:val="en-CA"/>
        </w:rPr>
        <w:t xml:space="preserve">and </w:t>
      </w:r>
      <w:r w:rsidR="004146A6" w:rsidRPr="00974065">
        <w:rPr>
          <w:lang w:val="en-CA"/>
        </w:rPr>
        <w:t xml:space="preserve">that he had consulted a psychologist sporadically, i.e. on 16 </w:t>
      </w:r>
      <w:r w:rsidR="00207F47" w:rsidRPr="00974065">
        <w:rPr>
          <w:lang w:val="en-CA"/>
        </w:rPr>
        <w:t xml:space="preserve">occasions, </w:t>
      </w:r>
      <w:r w:rsidR="004146A6" w:rsidRPr="00974065">
        <w:rPr>
          <w:lang w:val="en-CA"/>
        </w:rPr>
        <w:t>between 2004 and</w:t>
      </w:r>
      <w:r w:rsidR="00207F47" w:rsidRPr="00974065">
        <w:rPr>
          <w:lang w:val="en-CA"/>
        </w:rPr>
        <w:t xml:space="preserve"> 2005. </w:t>
      </w:r>
      <w:r w:rsidR="004146A6" w:rsidRPr="00974065">
        <w:rPr>
          <w:lang w:val="en-CA"/>
        </w:rPr>
        <w:t xml:space="preserve">The investigation revealed that </w:t>
      </w:r>
      <w:r w:rsidR="00E9689D" w:rsidRPr="00974065">
        <w:rPr>
          <w:lang w:val="en-CA"/>
        </w:rPr>
        <w:t>he had in fact</w:t>
      </w:r>
      <w:r w:rsidR="004146A6" w:rsidRPr="00974065">
        <w:rPr>
          <w:lang w:val="en-CA"/>
        </w:rPr>
        <w:t xml:space="preserve"> had 48 such consultations between the end of November </w:t>
      </w:r>
      <w:r w:rsidR="00E9689D" w:rsidRPr="00974065">
        <w:rPr>
          <w:lang w:val="en-CA"/>
        </w:rPr>
        <w:t>2004 and June</w:t>
      </w:r>
      <w:r w:rsidR="00207F47" w:rsidRPr="00974065">
        <w:rPr>
          <w:lang w:val="en-CA"/>
        </w:rPr>
        <w:t xml:space="preserve"> 2007. </w:t>
      </w:r>
    </w:p>
    <w:p w14:paraId="74A5A50C" w14:textId="77777777" w:rsidR="00B06F54" w:rsidRPr="00974065" w:rsidRDefault="00E9689D" w:rsidP="00703929">
      <w:pPr>
        <w:pStyle w:val="Paragraphe"/>
        <w:spacing w:line="240" w:lineRule="auto"/>
        <w:rPr>
          <w:lang w:val="en-CA"/>
        </w:rPr>
      </w:pPr>
      <w:r w:rsidRPr="00974065">
        <w:rPr>
          <w:lang w:val="en-CA"/>
        </w:rPr>
        <w:t xml:space="preserve">The </w:t>
      </w:r>
      <w:r w:rsidR="00207F47" w:rsidRPr="00974065">
        <w:rPr>
          <w:lang w:val="en-CA"/>
        </w:rPr>
        <w:t>Tribunal</w:t>
      </w:r>
      <w:r w:rsidRPr="00974065">
        <w:rPr>
          <w:lang w:val="en-CA"/>
        </w:rPr>
        <w:t>’s conclusion that the complainant gave false declarations in response to questions 7.5 and 7.6 of the administrative investigation</w:t>
      </w:r>
      <w:r w:rsidR="00207F47" w:rsidRPr="00974065">
        <w:rPr>
          <w:lang w:val="en-CA"/>
        </w:rPr>
        <w:t xml:space="preserve"> questionnaire </w:t>
      </w:r>
      <w:r w:rsidRPr="00974065">
        <w:rPr>
          <w:lang w:val="en-CA"/>
        </w:rPr>
        <w:t>was therefore well founded.</w:t>
      </w:r>
      <w:r w:rsidR="00207F47" w:rsidRPr="00974065">
        <w:rPr>
          <w:lang w:val="en-CA"/>
        </w:rPr>
        <w:t xml:space="preserve"> </w:t>
      </w:r>
    </w:p>
    <w:p w14:paraId="11B9C189" w14:textId="01359A76" w:rsidR="00297CAA" w:rsidRPr="00974065" w:rsidRDefault="00297CAA" w:rsidP="00703929">
      <w:pPr>
        <w:pStyle w:val="Paragraphe"/>
        <w:numPr>
          <w:ilvl w:val="0"/>
          <w:numId w:val="0"/>
        </w:numPr>
        <w:spacing w:line="240" w:lineRule="auto"/>
        <w:ind w:firstLine="720"/>
        <w:rPr>
          <w:b/>
          <w:bCs/>
          <w:lang w:val="en-CA"/>
        </w:rPr>
      </w:pPr>
      <w:r w:rsidRPr="00974065">
        <w:rPr>
          <w:b/>
          <w:bCs/>
          <w:lang w:val="en-CA"/>
        </w:rPr>
        <w:t xml:space="preserve">2- </w:t>
      </w:r>
      <w:r w:rsidR="00DC01F8" w:rsidRPr="00974065">
        <w:rPr>
          <w:b/>
          <w:bCs/>
          <w:lang w:val="en-CA"/>
        </w:rPr>
        <w:t xml:space="preserve">Was the refusal of employment </w:t>
      </w:r>
      <w:r w:rsidR="006F3D47">
        <w:rPr>
          <w:b/>
          <w:bCs/>
          <w:lang w:val="en-CA"/>
        </w:rPr>
        <w:t>justified</w:t>
      </w:r>
      <w:r w:rsidR="006F3D47" w:rsidRPr="00974065">
        <w:rPr>
          <w:b/>
          <w:bCs/>
          <w:lang w:val="en-CA"/>
        </w:rPr>
        <w:t xml:space="preserve"> </w:t>
      </w:r>
      <w:r w:rsidR="00DC01F8" w:rsidRPr="00974065">
        <w:rPr>
          <w:b/>
          <w:bCs/>
          <w:lang w:val="en-CA"/>
        </w:rPr>
        <w:t>in the circum</w:t>
      </w:r>
      <w:r w:rsidRPr="00974065">
        <w:rPr>
          <w:b/>
          <w:bCs/>
          <w:lang w:val="en-CA"/>
        </w:rPr>
        <w:t>stances?</w:t>
      </w:r>
    </w:p>
    <w:p w14:paraId="1E426822" w14:textId="61D6B864" w:rsidR="00B06F54" w:rsidRPr="00974065" w:rsidRDefault="00250E5E" w:rsidP="00703929">
      <w:pPr>
        <w:pStyle w:val="Paragraphe"/>
        <w:spacing w:line="240" w:lineRule="auto"/>
        <w:rPr>
          <w:lang w:val="en-CA"/>
        </w:rPr>
      </w:pPr>
      <w:r w:rsidRPr="00974065">
        <w:rPr>
          <w:lang w:val="en-CA"/>
        </w:rPr>
        <w:t>Th</w:t>
      </w:r>
      <w:r w:rsidR="00297CAA" w:rsidRPr="00974065">
        <w:rPr>
          <w:lang w:val="en-CA"/>
        </w:rPr>
        <w:t>e Tribunal</w:t>
      </w:r>
      <w:r w:rsidRPr="00974065">
        <w:rPr>
          <w:lang w:val="en-CA"/>
        </w:rPr>
        <w:t xml:space="preserve"> correctly </w:t>
      </w:r>
      <w:r w:rsidR="00297CAA" w:rsidRPr="00974065">
        <w:rPr>
          <w:lang w:val="en-CA"/>
        </w:rPr>
        <w:t>conclu</w:t>
      </w:r>
      <w:r w:rsidRPr="00974065">
        <w:rPr>
          <w:lang w:val="en-CA"/>
        </w:rPr>
        <w:t>ded</w:t>
      </w:r>
      <w:r w:rsidR="00297CAA" w:rsidRPr="00974065">
        <w:rPr>
          <w:lang w:val="en-CA"/>
        </w:rPr>
        <w:t xml:space="preserve"> </w:t>
      </w:r>
      <w:r w:rsidRPr="00974065">
        <w:rPr>
          <w:lang w:val="en-CA"/>
        </w:rPr>
        <w:t>that the complainant demonstrated a lack of transparency d</w:t>
      </w:r>
      <w:r w:rsidR="00990ED7" w:rsidRPr="00974065">
        <w:rPr>
          <w:lang w:val="en-CA"/>
        </w:rPr>
        <w:t>uring the hiring process. There were</w:t>
      </w:r>
      <w:r w:rsidRPr="00974065">
        <w:rPr>
          <w:lang w:val="en-CA"/>
        </w:rPr>
        <w:t xml:space="preserve"> several</w:t>
      </w:r>
      <w:r w:rsidR="00297CAA" w:rsidRPr="00974065">
        <w:rPr>
          <w:lang w:val="en-CA"/>
        </w:rPr>
        <w:t xml:space="preserve"> </w:t>
      </w:r>
      <w:r w:rsidR="00B06F54" w:rsidRPr="00974065">
        <w:rPr>
          <w:lang w:val="en-CA"/>
        </w:rPr>
        <w:t xml:space="preserve">occasions </w:t>
      </w:r>
      <w:r w:rsidRPr="00974065">
        <w:rPr>
          <w:lang w:val="en-CA"/>
        </w:rPr>
        <w:t xml:space="preserve">when he could have disclosed the fact that he suffered from TS. He filled in the medical </w:t>
      </w:r>
      <w:r w:rsidR="00B06F54" w:rsidRPr="00974065">
        <w:rPr>
          <w:lang w:val="en-CA"/>
        </w:rPr>
        <w:t xml:space="preserve">questionnaire </w:t>
      </w:r>
      <w:r w:rsidRPr="00974065">
        <w:rPr>
          <w:lang w:val="en-CA"/>
        </w:rPr>
        <w:lastRenderedPageBreak/>
        <w:t xml:space="preserve">twice, underwent two medical examinations during which the items mentioned in the </w:t>
      </w:r>
      <w:r w:rsidR="00B06F54" w:rsidRPr="00974065">
        <w:rPr>
          <w:lang w:val="en-CA"/>
        </w:rPr>
        <w:t xml:space="preserve">questionnaire </w:t>
      </w:r>
      <w:r w:rsidRPr="00974065">
        <w:rPr>
          <w:lang w:val="en-CA"/>
        </w:rPr>
        <w:t xml:space="preserve">were addressed, and he filled in the </w:t>
      </w:r>
      <w:r w:rsidR="00B06F54" w:rsidRPr="00974065">
        <w:rPr>
          <w:lang w:val="en-CA"/>
        </w:rPr>
        <w:t xml:space="preserve">questionnaire </w:t>
      </w:r>
      <w:r w:rsidRPr="00974065">
        <w:rPr>
          <w:lang w:val="en-CA"/>
        </w:rPr>
        <w:t xml:space="preserve">for the administrative investigation </w:t>
      </w:r>
      <w:r w:rsidR="00520B6F">
        <w:rPr>
          <w:lang w:val="en-CA"/>
        </w:rPr>
        <w:t>in addition to</w:t>
      </w:r>
      <w:r w:rsidRPr="00974065">
        <w:rPr>
          <w:lang w:val="en-CA"/>
        </w:rPr>
        <w:t xml:space="preserve"> taking part in an interview. He chose not to mention it</w:t>
      </w:r>
      <w:r w:rsidR="00520B6F">
        <w:rPr>
          <w:lang w:val="en-CA"/>
        </w:rPr>
        <w:t>,</w:t>
      </w:r>
      <w:r w:rsidRPr="00974065">
        <w:rPr>
          <w:lang w:val="en-CA"/>
        </w:rPr>
        <w:t xml:space="preserve"> even though he was aware that it might well be relevant to a potential employer. He also demonstrated reticence with regard to his </w:t>
      </w:r>
      <w:r w:rsidR="00297CAA" w:rsidRPr="00974065">
        <w:rPr>
          <w:lang w:val="en-CA"/>
        </w:rPr>
        <w:t xml:space="preserve">consultations </w:t>
      </w:r>
      <w:r w:rsidRPr="00974065">
        <w:rPr>
          <w:lang w:val="en-CA"/>
        </w:rPr>
        <w:t xml:space="preserve">with a psychologist. </w:t>
      </w:r>
    </w:p>
    <w:p w14:paraId="74A19F23" w14:textId="559C4073" w:rsidR="00207F47" w:rsidRPr="00974065" w:rsidRDefault="00250E5E" w:rsidP="00703929">
      <w:pPr>
        <w:pStyle w:val="Paragraphe"/>
        <w:spacing w:line="240" w:lineRule="auto"/>
        <w:rPr>
          <w:lang w:val="en-CA"/>
        </w:rPr>
      </w:pPr>
      <w:r w:rsidRPr="00974065">
        <w:rPr>
          <w:lang w:val="en-CA"/>
        </w:rPr>
        <w:t xml:space="preserve">Once again in </w:t>
      </w:r>
      <w:r w:rsidR="00207F47" w:rsidRPr="00974065">
        <w:rPr>
          <w:i/>
          <w:iCs/>
          <w:lang w:val="en-CA"/>
        </w:rPr>
        <w:t xml:space="preserve">Centre </w:t>
      </w:r>
      <w:proofErr w:type="spellStart"/>
      <w:r w:rsidR="00207F47" w:rsidRPr="00974065">
        <w:rPr>
          <w:i/>
          <w:iCs/>
          <w:lang w:val="en-CA"/>
        </w:rPr>
        <w:t>hospitalier</w:t>
      </w:r>
      <w:proofErr w:type="spellEnd"/>
      <w:r w:rsidR="00207F47" w:rsidRPr="00974065">
        <w:rPr>
          <w:i/>
          <w:iCs/>
          <w:lang w:val="en-CA"/>
        </w:rPr>
        <w:t xml:space="preserve"> </w:t>
      </w:r>
      <w:proofErr w:type="spellStart"/>
      <w:r w:rsidR="00207F47" w:rsidRPr="00974065">
        <w:rPr>
          <w:i/>
          <w:iCs/>
          <w:lang w:val="en-CA"/>
        </w:rPr>
        <w:t>régional</w:t>
      </w:r>
      <w:proofErr w:type="spellEnd"/>
      <w:r w:rsidR="00207F47" w:rsidRPr="00974065">
        <w:rPr>
          <w:i/>
          <w:iCs/>
          <w:lang w:val="en-CA"/>
        </w:rPr>
        <w:t xml:space="preserve"> de Trois-Rivières</w:t>
      </w:r>
      <w:r w:rsidR="00520B6F">
        <w:rPr>
          <w:lang w:val="en-CA"/>
        </w:rPr>
        <w:t>,</w:t>
      </w:r>
      <w:r w:rsidRPr="00974065">
        <w:rPr>
          <w:lang w:val="en-CA"/>
        </w:rPr>
        <w:t xml:space="preserve"> this Court noted that:</w:t>
      </w:r>
    </w:p>
    <w:p w14:paraId="77630A28" w14:textId="77777777" w:rsidR="00250E5E" w:rsidRPr="00974065" w:rsidRDefault="00250E5E" w:rsidP="00250E5E">
      <w:pPr>
        <w:pStyle w:val="Citationenretrait"/>
        <w:spacing w:after="0" w:line="240" w:lineRule="auto"/>
        <w:rPr>
          <w:lang w:val="en-CA"/>
        </w:rPr>
      </w:pPr>
      <w:r w:rsidRPr="00974065">
        <w:rPr>
          <w:lang w:val="en-CA"/>
        </w:rPr>
        <w:t>[</w:t>
      </w:r>
      <w:r w:rsidRPr="00974065">
        <w:rPr>
          <w:smallCaps/>
          <w:lang w:val="en-CA"/>
        </w:rPr>
        <w:t>translation</w:t>
      </w:r>
      <w:r w:rsidRPr="00974065">
        <w:rPr>
          <w:lang w:val="en-CA"/>
        </w:rPr>
        <w:t>]</w:t>
      </w:r>
    </w:p>
    <w:p w14:paraId="2D8997E5" w14:textId="6D280B6F" w:rsidR="00207F47" w:rsidRPr="00974065" w:rsidRDefault="00207F47" w:rsidP="00703929">
      <w:pPr>
        <w:pStyle w:val="Citationenretrait"/>
        <w:spacing w:line="240" w:lineRule="auto"/>
        <w:rPr>
          <w:lang w:val="en-CA"/>
        </w:rPr>
      </w:pPr>
      <w:r w:rsidRPr="00974065">
        <w:rPr>
          <w:lang w:val="en-CA"/>
        </w:rPr>
        <w:t xml:space="preserve">[60] </w:t>
      </w:r>
      <w:r w:rsidR="002103E1">
        <w:rPr>
          <w:u w:val="single"/>
          <w:lang w:val="en-CA"/>
        </w:rPr>
        <w:t>F</w:t>
      </w:r>
      <w:r w:rsidR="00250E5E" w:rsidRPr="00974065">
        <w:rPr>
          <w:u w:val="single"/>
          <w:lang w:val="en-CA"/>
        </w:rPr>
        <w:t>alse de</w:t>
      </w:r>
      <w:r w:rsidRPr="00974065">
        <w:rPr>
          <w:u w:val="single"/>
          <w:lang w:val="en-CA"/>
        </w:rPr>
        <w:t xml:space="preserve">clarations </w:t>
      </w:r>
      <w:r w:rsidR="00250E5E" w:rsidRPr="00974065">
        <w:rPr>
          <w:u w:val="single"/>
          <w:lang w:val="en-CA"/>
        </w:rPr>
        <w:t xml:space="preserve">in the pre-employment medical </w:t>
      </w:r>
      <w:r w:rsidRPr="00974065">
        <w:rPr>
          <w:u w:val="single"/>
          <w:lang w:val="en-CA"/>
        </w:rPr>
        <w:t xml:space="preserve">questionnaire </w:t>
      </w:r>
      <w:r w:rsidR="00250E5E" w:rsidRPr="00974065">
        <w:rPr>
          <w:u w:val="single"/>
          <w:lang w:val="en-CA"/>
        </w:rPr>
        <w:t xml:space="preserve">are often likened by arbitration tribunals to a lack of </w:t>
      </w:r>
      <w:r w:rsidR="00A41674" w:rsidRPr="00974065">
        <w:rPr>
          <w:u w:val="single"/>
          <w:lang w:val="en-CA"/>
        </w:rPr>
        <w:t xml:space="preserve">transparency </w:t>
      </w:r>
      <w:r w:rsidR="002103E1">
        <w:rPr>
          <w:u w:val="single"/>
          <w:lang w:val="en-CA"/>
        </w:rPr>
        <w:t>that</w:t>
      </w:r>
      <w:r w:rsidR="002103E1" w:rsidRPr="00974065">
        <w:rPr>
          <w:u w:val="single"/>
          <w:lang w:val="en-CA"/>
        </w:rPr>
        <w:t xml:space="preserve"> </w:t>
      </w:r>
      <w:proofErr w:type="spellStart"/>
      <w:r w:rsidR="00990ED7" w:rsidRPr="00974065">
        <w:rPr>
          <w:u w:val="single"/>
          <w:lang w:val="en-CA"/>
        </w:rPr>
        <w:t>affectss</w:t>
      </w:r>
      <w:proofErr w:type="spellEnd"/>
      <w:r w:rsidR="002103E1">
        <w:rPr>
          <w:u w:val="single"/>
          <w:lang w:val="en-CA"/>
        </w:rPr>
        <w:t xml:space="preserve"> </w:t>
      </w:r>
      <w:r w:rsidR="00A41674" w:rsidRPr="00974065">
        <w:rPr>
          <w:u w:val="single"/>
          <w:lang w:val="en-CA"/>
        </w:rPr>
        <w:t>the trust relationship between the worker and the employer, one which is vital to the ongoing employment relationship.</w:t>
      </w:r>
      <w:r w:rsidR="00A41674" w:rsidRPr="00974065">
        <w:rPr>
          <w:lang w:val="en-CA"/>
        </w:rPr>
        <w:t xml:space="preserve"> Case law on arbitrations has established certain criteria for determining the conditions that would warrant dismissing a worker</w:t>
      </w:r>
      <w:r w:rsidR="00990ED7" w:rsidRPr="00974065">
        <w:rPr>
          <w:lang w:val="en-CA"/>
        </w:rPr>
        <w:t>.</w:t>
      </w:r>
      <w:r w:rsidR="00A41674" w:rsidRPr="00974065">
        <w:rPr>
          <w:lang w:val="en-CA"/>
        </w:rPr>
        <w:t xml:space="preserve"> They include: </w:t>
      </w:r>
      <w:r w:rsidR="002103E1">
        <w:rPr>
          <w:lang w:val="en-CA"/>
        </w:rPr>
        <w:t>(</w:t>
      </w:r>
      <w:r w:rsidR="00A41674" w:rsidRPr="00974065">
        <w:rPr>
          <w:lang w:val="en-CA"/>
        </w:rPr>
        <w:t>1) the connection between the false de</w:t>
      </w:r>
      <w:r w:rsidRPr="00974065">
        <w:rPr>
          <w:lang w:val="en-CA"/>
        </w:rPr>
        <w:t xml:space="preserve">claration </w:t>
      </w:r>
      <w:r w:rsidR="00A41674" w:rsidRPr="00974065">
        <w:rPr>
          <w:lang w:val="en-CA"/>
        </w:rPr>
        <w:t xml:space="preserve">and the duties performed by the employee; </w:t>
      </w:r>
      <w:r w:rsidR="002103E1">
        <w:rPr>
          <w:lang w:val="en-CA"/>
        </w:rPr>
        <w:t>(</w:t>
      </w:r>
      <w:r w:rsidR="00A41674" w:rsidRPr="00974065">
        <w:rPr>
          <w:lang w:val="en-CA"/>
        </w:rPr>
        <w:t>2) the fac</w:t>
      </w:r>
      <w:r w:rsidRPr="00974065">
        <w:rPr>
          <w:lang w:val="en-CA"/>
        </w:rPr>
        <w:t xml:space="preserve">t </w:t>
      </w:r>
      <w:r w:rsidR="00A41674" w:rsidRPr="00974065">
        <w:rPr>
          <w:lang w:val="en-CA"/>
        </w:rPr>
        <w:t xml:space="preserve">that the employer would not have hired the employee if </w:t>
      </w:r>
      <w:r w:rsidR="002103E1">
        <w:rPr>
          <w:lang w:val="en-CA"/>
        </w:rPr>
        <w:t xml:space="preserve">it </w:t>
      </w:r>
      <w:r w:rsidR="00A41674" w:rsidRPr="00974065">
        <w:rPr>
          <w:lang w:val="en-CA"/>
        </w:rPr>
        <w:t xml:space="preserve">had known the truth; </w:t>
      </w:r>
      <w:r w:rsidR="002103E1">
        <w:rPr>
          <w:lang w:val="en-CA"/>
        </w:rPr>
        <w:t>(</w:t>
      </w:r>
      <w:r w:rsidRPr="00974065">
        <w:rPr>
          <w:lang w:val="en-CA"/>
        </w:rPr>
        <w:t xml:space="preserve">3) </w:t>
      </w:r>
      <w:r w:rsidR="00A41674" w:rsidRPr="00974065">
        <w:rPr>
          <w:lang w:val="en-CA"/>
        </w:rPr>
        <w:t xml:space="preserve">the </w:t>
      </w:r>
      <w:r w:rsidR="002103E1">
        <w:rPr>
          <w:lang w:val="en-CA"/>
        </w:rPr>
        <w:t>deliberate</w:t>
      </w:r>
      <w:r w:rsidR="002103E1" w:rsidRPr="00974065">
        <w:rPr>
          <w:lang w:val="en-CA"/>
        </w:rPr>
        <w:t xml:space="preserve"> </w:t>
      </w:r>
      <w:r w:rsidR="005F142A" w:rsidRPr="00974065">
        <w:rPr>
          <w:lang w:val="en-CA"/>
        </w:rPr>
        <w:t xml:space="preserve">nature </w:t>
      </w:r>
      <w:r w:rsidR="00A41674" w:rsidRPr="00974065">
        <w:rPr>
          <w:lang w:val="en-CA"/>
        </w:rPr>
        <w:t>of the fals</w:t>
      </w:r>
      <w:r w:rsidR="005F142A" w:rsidRPr="00974065">
        <w:rPr>
          <w:lang w:val="en-CA"/>
        </w:rPr>
        <w:t>e</w:t>
      </w:r>
      <w:r w:rsidR="00A41674" w:rsidRPr="00974065">
        <w:rPr>
          <w:lang w:val="en-CA"/>
        </w:rPr>
        <w:t xml:space="preserve"> de</w:t>
      </w:r>
      <w:r w:rsidRPr="00974065">
        <w:rPr>
          <w:lang w:val="en-CA"/>
        </w:rPr>
        <w:t>claration.</w:t>
      </w:r>
    </w:p>
    <w:p w14:paraId="1294ED4F" w14:textId="79AD74D8" w:rsidR="00207F47" w:rsidRPr="00974065" w:rsidRDefault="00207F47" w:rsidP="00703929">
      <w:pPr>
        <w:pStyle w:val="Citationenretrait"/>
        <w:spacing w:line="240" w:lineRule="auto"/>
        <w:rPr>
          <w:lang w:val="en-CA"/>
        </w:rPr>
      </w:pPr>
      <w:r w:rsidRPr="00974065">
        <w:rPr>
          <w:lang w:val="en-CA"/>
        </w:rPr>
        <w:t xml:space="preserve">[61] </w:t>
      </w:r>
      <w:r w:rsidR="00A41674" w:rsidRPr="00974065">
        <w:rPr>
          <w:lang w:val="en-CA"/>
        </w:rPr>
        <w:t>Just one of th</w:t>
      </w:r>
      <w:r w:rsidR="002103E1">
        <w:rPr>
          <w:lang w:val="en-CA"/>
        </w:rPr>
        <w:t>e</w:t>
      </w:r>
      <w:r w:rsidR="00A41674" w:rsidRPr="00974065">
        <w:rPr>
          <w:lang w:val="en-CA"/>
        </w:rPr>
        <w:t xml:space="preserve">se items may </w:t>
      </w:r>
      <w:r w:rsidR="002103E1">
        <w:rPr>
          <w:lang w:val="en-CA"/>
        </w:rPr>
        <w:t xml:space="preserve">suffice </w:t>
      </w:r>
      <w:r w:rsidR="00A41674" w:rsidRPr="00974065">
        <w:rPr>
          <w:lang w:val="en-CA"/>
        </w:rPr>
        <w:t xml:space="preserve">to justify dismissal. </w:t>
      </w:r>
      <w:r w:rsidR="00A41674" w:rsidRPr="00974065">
        <w:rPr>
          <w:u w:val="single"/>
          <w:lang w:val="en-CA"/>
        </w:rPr>
        <w:t xml:space="preserve">And even if an applicant </w:t>
      </w:r>
      <w:r w:rsidR="002103E1">
        <w:rPr>
          <w:u w:val="single"/>
          <w:lang w:val="en-CA"/>
        </w:rPr>
        <w:t xml:space="preserve">is </w:t>
      </w:r>
      <w:r w:rsidR="00A41674" w:rsidRPr="00974065">
        <w:rPr>
          <w:u w:val="single"/>
          <w:lang w:val="en-CA"/>
        </w:rPr>
        <w:t xml:space="preserve">in good faith </w:t>
      </w:r>
      <w:r w:rsidR="002103E1">
        <w:rPr>
          <w:u w:val="single"/>
          <w:lang w:val="en-CA"/>
        </w:rPr>
        <w:t>when declaring that he or she not have</w:t>
      </w:r>
      <w:r w:rsidR="00A41674" w:rsidRPr="00974065">
        <w:rPr>
          <w:u w:val="single"/>
          <w:lang w:val="en-CA"/>
        </w:rPr>
        <w:t xml:space="preserve"> an illness that would prevent him from holding a position, the employer’s consent may be vitiated if </w:t>
      </w:r>
      <w:r w:rsidR="002103E1">
        <w:rPr>
          <w:u w:val="single"/>
          <w:lang w:val="en-CA"/>
        </w:rPr>
        <w:t xml:space="preserve">it turns out not to be </w:t>
      </w:r>
      <w:r w:rsidR="00A41674" w:rsidRPr="00974065">
        <w:rPr>
          <w:u w:val="single"/>
          <w:lang w:val="en-CA"/>
        </w:rPr>
        <w:t>the case</w:t>
      </w:r>
      <w:r w:rsidR="002A1CDB" w:rsidRPr="00974065">
        <w:rPr>
          <w:lang w:val="en-CA"/>
        </w:rPr>
        <w:t>.</w:t>
      </w:r>
      <w:r w:rsidR="00716FCC" w:rsidRPr="00974065">
        <w:rPr>
          <w:rStyle w:val="Appelnotedebasdep"/>
          <w:iCs/>
          <w:lang w:val="en-CA"/>
        </w:rPr>
        <w:footnoteReference w:id="31"/>
      </w:r>
    </w:p>
    <w:p w14:paraId="76609D41" w14:textId="77777777" w:rsidR="00707D31" w:rsidRPr="00974065" w:rsidRDefault="00707D31" w:rsidP="00703929">
      <w:pPr>
        <w:pStyle w:val="Citationenretrait"/>
        <w:spacing w:line="240" w:lineRule="auto"/>
        <w:jc w:val="right"/>
        <w:rPr>
          <w:lang w:val="en-CA"/>
        </w:rPr>
      </w:pPr>
      <w:r w:rsidRPr="00974065">
        <w:rPr>
          <w:lang w:val="en-CA"/>
        </w:rPr>
        <w:t>[</w:t>
      </w:r>
      <w:r w:rsidR="00241045" w:rsidRPr="00974065">
        <w:rPr>
          <w:lang w:val="en-CA"/>
        </w:rPr>
        <w:t>Our emphasis</w:t>
      </w:r>
      <w:r w:rsidRPr="00974065">
        <w:rPr>
          <w:lang w:val="en-CA"/>
        </w:rPr>
        <w:t>]</w:t>
      </w:r>
    </w:p>
    <w:p w14:paraId="737DB13C" w14:textId="57CDC09B" w:rsidR="00207F47" w:rsidRPr="00974065" w:rsidRDefault="006F3ACA" w:rsidP="00703929">
      <w:pPr>
        <w:pStyle w:val="Paragraphe"/>
        <w:spacing w:line="240" w:lineRule="auto"/>
        <w:rPr>
          <w:lang w:val="en-CA"/>
        </w:rPr>
      </w:pPr>
      <w:r>
        <w:rPr>
          <w:lang w:val="en-CA"/>
        </w:rPr>
        <w:t>Indeed, a</w:t>
      </w:r>
      <w:r w:rsidR="00A41674" w:rsidRPr="00974065">
        <w:rPr>
          <w:lang w:val="en-CA"/>
        </w:rPr>
        <w:t xml:space="preserve">pplicants are held to </w:t>
      </w:r>
      <w:r>
        <w:rPr>
          <w:lang w:val="en-CA"/>
        </w:rPr>
        <w:t xml:space="preserve">a duty </w:t>
      </w:r>
      <w:r w:rsidR="00A41674" w:rsidRPr="00974065">
        <w:rPr>
          <w:lang w:val="en-CA"/>
        </w:rPr>
        <w:t>of good faith</w:t>
      </w:r>
      <w:r w:rsidR="00A41674" w:rsidRPr="00974065">
        <w:rPr>
          <w:rStyle w:val="Appelnotedebasdep"/>
          <w:lang w:val="en-CA"/>
        </w:rPr>
        <w:footnoteReference w:id="32"/>
      </w:r>
      <w:r w:rsidR="00A41674" w:rsidRPr="00974065">
        <w:rPr>
          <w:lang w:val="en-CA"/>
        </w:rPr>
        <w:t xml:space="preserve"> toward their future employers when they take part in the hiring process. </w:t>
      </w:r>
    </w:p>
    <w:p w14:paraId="3DA7750C" w14:textId="47125715" w:rsidR="00207F47" w:rsidRPr="00974065" w:rsidRDefault="002E0957" w:rsidP="00703929">
      <w:pPr>
        <w:pStyle w:val="Paragraphe"/>
        <w:spacing w:line="240" w:lineRule="auto"/>
        <w:rPr>
          <w:lang w:val="en-CA"/>
        </w:rPr>
      </w:pPr>
      <w:r w:rsidRPr="00974065">
        <w:rPr>
          <w:lang w:val="en-CA"/>
        </w:rPr>
        <w:t xml:space="preserve">The cancellation of the promise of employment </w:t>
      </w:r>
      <w:r w:rsidR="0019753A" w:rsidRPr="00974065">
        <w:rPr>
          <w:lang w:val="en-CA"/>
        </w:rPr>
        <w:t xml:space="preserve">is not </w:t>
      </w:r>
      <w:r w:rsidR="005F142A" w:rsidRPr="00974065">
        <w:rPr>
          <w:lang w:val="en-CA"/>
        </w:rPr>
        <w:t xml:space="preserve">connected </w:t>
      </w:r>
      <w:r w:rsidR="0019753A" w:rsidRPr="00974065">
        <w:rPr>
          <w:lang w:val="en-CA"/>
        </w:rPr>
        <w:t xml:space="preserve">to the complainant’s state of health. After completing its investigation, the SQ </w:t>
      </w:r>
      <w:r w:rsidR="006F3ACA">
        <w:rPr>
          <w:lang w:val="en-CA"/>
        </w:rPr>
        <w:t>found</w:t>
      </w:r>
      <w:r w:rsidR="006F3ACA" w:rsidRPr="00974065">
        <w:rPr>
          <w:lang w:val="en-CA"/>
        </w:rPr>
        <w:t xml:space="preserve"> </w:t>
      </w:r>
      <w:r w:rsidR="0019753A" w:rsidRPr="00974065">
        <w:rPr>
          <w:lang w:val="en-CA"/>
        </w:rPr>
        <w:t xml:space="preserve">that he was capable of performing the duties of a patrol officer despite his TS and the psychological problems he had sought help </w:t>
      </w:r>
      <w:r w:rsidR="006F3ACA">
        <w:rPr>
          <w:lang w:val="en-CA"/>
        </w:rPr>
        <w:t>for</w:t>
      </w:r>
      <w:r w:rsidR="0019753A" w:rsidRPr="00974065">
        <w:rPr>
          <w:lang w:val="en-CA"/>
        </w:rPr>
        <w:t xml:space="preserve">. </w:t>
      </w:r>
      <w:r w:rsidR="00A9155F" w:rsidRPr="00974065">
        <w:rPr>
          <w:lang w:val="en-CA"/>
        </w:rPr>
        <w:t>It was the deliberate omissions with regard to his state of health that prompted the employer’s de</w:t>
      </w:r>
      <w:r w:rsidR="00207F47" w:rsidRPr="00974065">
        <w:rPr>
          <w:lang w:val="en-CA"/>
        </w:rPr>
        <w:t xml:space="preserve">cision. </w:t>
      </w:r>
      <w:r w:rsidR="00A9155F" w:rsidRPr="00974065">
        <w:rPr>
          <w:lang w:val="en-CA"/>
        </w:rPr>
        <w:t>Those half</w:t>
      </w:r>
      <w:r w:rsidR="006F3ACA">
        <w:rPr>
          <w:lang w:val="en-CA"/>
        </w:rPr>
        <w:t>-</w:t>
      </w:r>
      <w:r w:rsidR="00A9155F" w:rsidRPr="00974065">
        <w:rPr>
          <w:lang w:val="en-CA"/>
        </w:rPr>
        <w:t xml:space="preserve">truths coming from a future police officer were of a kind </w:t>
      </w:r>
      <w:r w:rsidR="006F3ACA">
        <w:rPr>
          <w:lang w:val="en-CA"/>
        </w:rPr>
        <w:t>to</w:t>
      </w:r>
      <w:r w:rsidR="00A9155F" w:rsidRPr="00974065">
        <w:rPr>
          <w:lang w:val="en-CA"/>
        </w:rPr>
        <w:t xml:space="preserve"> </w:t>
      </w:r>
      <w:r w:rsidR="005F142A" w:rsidRPr="00974065">
        <w:rPr>
          <w:lang w:val="en-CA"/>
        </w:rPr>
        <w:t xml:space="preserve">affect </w:t>
      </w:r>
      <w:r w:rsidR="00A9155F" w:rsidRPr="00974065">
        <w:rPr>
          <w:lang w:val="en-CA"/>
        </w:rPr>
        <w:t xml:space="preserve">the relationship of trust with the employer and even with the </w:t>
      </w:r>
      <w:r w:rsidR="00707D31" w:rsidRPr="00974065">
        <w:rPr>
          <w:lang w:val="en-CA"/>
        </w:rPr>
        <w:t>public,</w:t>
      </w:r>
      <w:r w:rsidR="00207F47" w:rsidRPr="00974065">
        <w:rPr>
          <w:lang w:val="en-CA"/>
        </w:rPr>
        <w:t xml:space="preserve"> </w:t>
      </w:r>
      <w:r w:rsidR="00A9155F" w:rsidRPr="00974065">
        <w:rPr>
          <w:lang w:val="en-CA"/>
        </w:rPr>
        <w:t xml:space="preserve">especially when the </w:t>
      </w:r>
      <w:r w:rsidR="00207F47" w:rsidRPr="00974065">
        <w:rPr>
          <w:lang w:val="en-CA"/>
        </w:rPr>
        <w:t>notion</w:t>
      </w:r>
      <w:r w:rsidR="00AC38E7" w:rsidRPr="00974065">
        <w:rPr>
          <w:lang w:val="en-CA"/>
        </w:rPr>
        <w:t>s</w:t>
      </w:r>
      <w:r w:rsidR="00207F47" w:rsidRPr="00974065">
        <w:rPr>
          <w:lang w:val="en-CA"/>
        </w:rPr>
        <w:t xml:space="preserve"> </w:t>
      </w:r>
      <w:r w:rsidR="00A9155F" w:rsidRPr="00974065">
        <w:rPr>
          <w:lang w:val="en-CA"/>
        </w:rPr>
        <w:t xml:space="preserve">of good </w:t>
      </w:r>
      <w:r w:rsidR="006F3ACA">
        <w:rPr>
          <w:lang w:val="en-CA"/>
        </w:rPr>
        <w:t xml:space="preserve">moral character </w:t>
      </w:r>
      <w:r w:rsidR="00A9155F" w:rsidRPr="00974065">
        <w:rPr>
          <w:lang w:val="en-CA"/>
        </w:rPr>
        <w:t>and integrity are core qualities required in applicants.</w:t>
      </w:r>
      <w:r w:rsidR="00207F47" w:rsidRPr="00974065">
        <w:rPr>
          <w:lang w:val="en-CA"/>
        </w:rPr>
        <w:t xml:space="preserve"> </w:t>
      </w:r>
    </w:p>
    <w:p w14:paraId="5C422626" w14:textId="25A3906E" w:rsidR="001F5AC9" w:rsidRPr="00974065" w:rsidRDefault="00A9155F" w:rsidP="00703929">
      <w:pPr>
        <w:pStyle w:val="Paragraphe"/>
        <w:spacing w:line="240" w:lineRule="auto"/>
        <w:rPr>
          <w:lang w:val="en-CA"/>
        </w:rPr>
      </w:pPr>
      <w:r w:rsidRPr="00974065">
        <w:rPr>
          <w:lang w:val="en-CA"/>
        </w:rPr>
        <w:t xml:space="preserve">Given </w:t>
      </w:r>
      <w:r w:rsidR="006F3ACA">
        <w:rPr>
          <w:lang w:val="en-CA"/>
        </w:rPr>
        <w:t>this</w:t>
      </w:r>
      <w:r w:rsidR="006F3ACA" w:rsidRPr="00974065">
        <w:rPr>
          <w:lang w:val="en-CA"/>
        </w:rPr>
        <w:t xml:space="preserve"> </w:t>
      </w:r>
      <w:r w:rsidRPr="00974065">
        <w:rPr>
          <w:lang w:val="en-CA"/>
        </w:rPr>
        <w:t>conclusion, it is not necessary for the Court to rule on the application for rehiring and damages.</w:t>
      </w:r>
      <w:r w:rsidR="00207F47" w:rsidRPr="00974065">
        <w:rPr>
          <w:lang w:val="en-CA"/>
        </w:rPr>
        <w:t xml:space="preserve"> </w:t>
      </w:r>
    </w:p>
    <w:p w14:paraId="70BE6302" w14:textId="0474111A" w:rsidR="00207F47" w:rsidRPr="00974065" w:rsidRDefault="00390A47" w:rsidP="00703929">
      <w:pPr>
        <w:pStyle w:val="Paragraphe"/>
        <w:numPr>
          <w:ilvl w:val="0"/>
          <w:numId w:val="0"/>
        </w:numPr>
        <w:spacing w:line="240" w:lineRule="auto"/>
        <w:rPr>
          <w:b/>
          <w:bCs/>
          <w:lang w:val="en-CA"/>
        </w:rPr>
      </w:pPr>
      <w:r w:rsidRPr="00974065">
        <w:rPr>
          <w:b/>
          <w:bCs/>
          <w:lang w:val="en-CA"/>
        </w:rPr>
        <w:t>FOR THESE REASONS</w:t>
      </w:r>
      <w:r w:rsidR="006F3ACA">
        <w:rPr>
          <w:b/>
          <w:bCs/>
          <w:lang w:val="en-CA"/>
        </w:rPr>
        <w:t>,</w:t>
      </w:r>
      <w:r w:rsidRPr="00974065">
        <w:rPr>
          <w:b/>
          <w:bCs/>
          <w:lang w:val="en-CA"/>
        </w:rPr>
        <w:t xml:space="preserve"> THE COURT</w:t>
      </w:r>
      <w:r w:rsidR="00207F47" w:rsidRPr="00974065">
        <w:rPr>
          <w:b/>
          <w:bCs/>
          <w:lang w:val="en-CA"/>
        </w:rPr>
        <w:t>:</w:t>
      </w:r>
    </w:p>
    <w:p w14:paraId="52E93072" w14:textId="77777777" w:rsidR="008F364A" w:rsidRPr="00974065" w:rsidRDefault="00241045" w:rsidP="00703929">
      <w:pPr>
        <w:pStyle w:val="Paragraphe"/>
        <w:spacing w:line="240" w:lineRule="auto"/>
        <w:rPr>
          <w:lang w:val="en-CA"/>
        </w:rPr>
      </w:pPr>
      <w:r w:rsidRPr="00974065">
        <w:rPr>
          <w:b/>
          <w:bCs/>
          <w:lang w:val="en-CA"/>
        </w:rPr>
        <w:lastRenderedPageBreak/>
        <w:t>DISMISS</w:t>
      </w:r>
      <w:r w:rsidR="00207F47" w:rsidRPr="00974065">
        <w:rPr>
          <w:b/>
          <w:bCs/>
          <w:lang w:val="en-CA"/>
        </w:rPr>
        <w:t>E</w:t>
      </w:r>
      <w:r w:rsidRPr="00974065">
        <w:rPr>
          <w:b/>
          <w:bCs/>
          <w:lang w:val="en-CA"/>
        </w:rPr>
        <w:t>S</w:t>
      </w:r>
      <w:r w:rsidRPr="00974065">
        <w:rPr>
          <w:lang w:val="en-CA"/>
        </w:rPr>
        <w:t xml:space="preserve"> the a</w:t>
      </w:r>
      <w:r w:rsidR="00207F47" w:rsidRPr="00974065">
        <w:rPr>
          <w:lang w:val="en-CA"/>
        </w:rPr>
        <w:t>ppe</w:t>
      </w:r>
      <w:r w:rsidRPr="00974065">
        <w:rPr>
          <w:lang w:val="en-CA"/>
        </w:rPr>
        <w:t>a</w:t>
      </w:r>
      <w:r w:rsidR="00207F47" w:rsidRPr="00974065">
        <w:rPr>
          <w:lang w:val="en-CA"/>
        </w:rPr>
        <w:t xml:space="preserve">l </w:t>
      </w:r>
      <w:r w:rsidRPr="00974065">
        <w:rPr>
          <w:lang w:val="en-CA"/>
        </w:rPr>
        <w:t>with costs</w:t>
      </w:r>
      <w:r w:rsidR="00207F47" w:rsidRPr="00974065">
        <w:rPr>
          <w:lang w:val="en-CA"/>
        </w:rPr>
        <w:t>.</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8F364A" w:rsidRPr="000B4231" w14:paraId="7B32ED09" w14:textId="77777777" w:rsidTr="003E3239">
        <w:trPr>
          <w:trHeight w:val="576"/>
        </w:trPr>
        <w:tc>
          <w:tcPr>
            <w:tcW w:w="9362" w:type="dxa"/>
            <w:gridSpan w:val="3"/>
            <w:tcBorders>
              <w:top w:val="nil"/>
              <w:bottom w:val="nil"/>
            </w:tcBorders>
          </w:tcPr>
          <w:p w14:paraId="56F474D5" w14:textId="77777777" w:rsidR="008F364A" w:rsidRPr="00974065" w:rsidRDefault="008F364A" w:rsidP="00703929">
            <w:pPr>
              <w:keepNext/>
              <w:spacing w:line="240" w:lineRule="auto"/>
              <w:rPr>
                <w:lang w:val="en-CA"/>
              </w:rPr>
            </w:pPr>
          </w:p>
        </w:tc>
      </w:tr>
      <w:tr w:rsidR="008F364A" w:rsidRPr="000B4231" w14:paraId="05BE63FC" w14:textId="77777777" w:rsidTr="00117914">
        <w:trPr>
          <w:trHeight w:val="283"/>
        </w:trPr>
        <w:tc>
          <w:tcPr>
            <w:tcW w:w="4682" w:type="dxa"/>
            <w:gridSpan w:val="2"/>
            <w:tcBorders>
              <w:top w:val="nil"/>
              <w:bottom w:val="nil"/>
            </w:tcBorders>
          </w:tcPr>
          <w:p w14:paraId="6BBC746B" w14:textId="77777777" w:rsidR="008F364A" w:rsidRPr="00974065" w:rsidRDefault="008F364A" w:rsidP="00703929">
            <w:pPr>
              <w:keepNext/>
              <w:spacing w:line="240" w:lineRule="auto"/>
              <w:rPr>
                <w:lang w:val="en-CA"/>
              </w:rPr>
            </w:pPr>
          </w:p>
        </w:tc>
        <w:tc>
          <w:tcPr>
            <w:tcW w:w="4680" w:type="dxa"/>
            <w:tcBorders>
              <w:top w:val="nil"/>
              <w:bottom w:val="single" w:sz="8" w:space="0" w:color="auto"/>
            </w:tcBorders>
          </w:tcPr>
          <w:p w14:paraId="37CB1A58" w14:textId="77777777" w:rsidR="008F364A" w:rsidRPr="00974065" w:rsidRDefault="008F364A" w:rsidP="00703929">
            <w:pPr>
              <w:keepNext/>
              <w:spacing w:line="240" w:lineRule="auto"/>
              <w:rPr>
                <w:lang w:val="en-CA"/>
              </w:rPr>
            </w:pPr>
          </w:p>
        </w:tc>
      </w:tr>
      <w:tr w:rsidR="008F364A" w:rsidRPr="00974065" w14:paraId="6A70BE3C" w14:textId="77777777" w:rsidTr="00117914">
        <w:trPr>
          <w:trHeight w:val="283"/>
        </w:trPr>
        <w:tc>
          <w:tcPr>
            <w:tcW w:w="4682" w:type="dxa"/>
            <w:gridSpan w:val="2"/>
            <w:tcBorders>
              <w:top w:val="nil"/>
            </w:tcBorders>
          </w:tcPr>
          <w:p w14:paraId="740E6EFE" w14:textId="77777777" w:rsidR="008F364A" w:rsidRPr="000B4231" w:rsidRDefault="008F364A" w:rsidP="00703929">
            <w:pPr>
              <w:keepNext/>
              <w:spacing w:line="240" w:lineRule="auto"/>
              <w:rPr>
                <w:lang w:val="en-CA"/>
              </w:rPr>
            </w:pPr>
          </w:p>
        </w:tc>
        <w:tc>
          <w:tcPr>
            <w:tcW w:w="4680" w:type="dxa"/>
            <w:tcBorders>
              <w:top w:val="single" w:sz="8" w:space="0" w:color="auto"/>
            </w:tcBorders>
          </w:tcPr>
          <w:p w14:paraId="68C50C2B" w14:textId="77777777" w:rsidR="008F364A" w:rsidRPr="000B4231" w:rsidRDefault="00241045" w:rsidP="00703929">
            <w:pPr>
              <w:spacing w:line="240" w:lineRule="auto"/>
              <w:rPr>
                <w:lang w:val="en-CA"/>
              </w:rPr>
            </w:pPr>
            <w:r w:rsidRPr="000B4231">
              <w:rPr>
                <w:lang w:val="en-CA"/>
              </w:rPr>
              <w:t>GENEVIÈVE COTNAM, J.</w:t>
            </w:r>
            <w:r w:rsidR="007E5C22" w:rsidRPr="000B4231">
              <w:rPr>
                <w:lang w:val="en-CA"/>
              </w:rPr>
              <w:t>A.</w:t>
            </w:r>
          </w:p>
        </w:tc>
      </w:tr>
      <w:tr w:rsidR="008F364A" w:rsidRPr="00974065" w14:paraId="6615EE8C" w14:textId="77777777" w:rsidTr="00117914">
        <w:trPr>
          <w:trHeight w:val="283"/>
        </w:trPr>
        <w:tc>
          <w:tcPr>
            <w:tcW w:w="4682" w:type="dxa"/>
            <w:gridSpan w:val="2"/>
            <w:tcBorders>
              <w:top w:val="nil"/>
            </w:tcBorders>
          </w:tcPr>
          <w:p w14:paraId="023F043A" w14:textId="77777777" w:rsidR="008F364A" w:rsidRPr="000B4231" w:rsidRDefault="008F364A" w:rsidP="00703929">
            <w:pPr>
              <w:keepNext/>
              <w:spacing w:line="240" w:lineRule="auto"/>
              <w:rPr>
                <w:lang w:val="en-CA"/>
              </w:rPr>
            </w:pPr>
            <w:bookmarkStart w:id="13" w:name="Signature2"/>
          </w:p>
        </w:tc>
        <w:tc>
          <w:tcPr>
            <w:tcW w:w="4680" w:type="dxa"/>
            <w:tcBorders>
              <w:top w:val="nil"/>
            </w:tcBorders>
          </w:tcPr>
          <w:p w14:paraId="4691E549" w14:textId="77777777" w:rsidR="008F364A" w:rsidRPr="000B4231" w:rsidRDefault="008F364A" w:rsidP="00703929">
            <w:pPr>
              <w:keepNext/>
              <w:spacing w:line="240" w:lineRule="auto"/>
              <w:rPr>
                <w:lang w:val="en-CA"/>
              </w:rPr>
            </w:pPr>
          </w:p>
        </w:tc>
      </w:tr>
      <w:tr w:rsidR="008F364A" w:rsidRPr="00974065" w14:paraId="08466E3C" w14:textId="77777777" w:rsidTr="00117914">
        <w:trPr>
          <w:trHeight w:val="283"/>
        </w:trPr>
        <w:tc>
          <w:tcPr>
            <w:tcW w:w="4682" w:type="dxa"/>
            <w:gridSpan w:val="2"/>
            <w:tcBorders>
              <w:top w:val="nil"/>
              <w:bottom w:val="nil"/>
            </w:tcBorders>
          </w:tcPr>
          <w:p w14:paraId="726D5735" w14:textId="77777777" w:rsidR="008F364A" w:rsidRPr="000B4231" w:rsidRDefault="008F364A" w:rsidP="00703929">
            <w:pPr>
              <w:keepNext/>
              <w:spacing w:line="240" w:lineRule="auto"/>
              <w:rPr>
                <w:lang w:val="en-CA"/>
              </w:rPr>
            </w:pPr>
          </w:p>
        </w:tc>
        <w:tc>
          <w:tcPr>
            <w:tcW w:w="4680" w:type="dxa"/>
            <w:tcBorders>
              <w:top w:val="nil"/>
              <w:bottom w:val="single" w:sz="8" w:space="0" w:color="auto"/>
            </w:tcBorders>
          </w:tcPr>
          <w:p w14:paraId="67B7911A" w14:textId="77777777" w:rsidR="008F364A" w:rsidRPr="000B4231" w:rsidRDefault="008F364A" w:rsidP="00703929">
            <w:pPr>
              <w:keepNext/>
              <w:spacing w:line="240" w:lineRule="auto"/>
              <w:rPr>
                <w:lang w:val="en-CA"/>
              </w:rPr>
            </w:pPr>
          </w:p>
        </w:tc>
      </w:tr>
      <w:tr w:rsidR="008F364A" w:rsidRPr="00974065" w14:paraId="0611864D" w14:textId="77777777" w:rsidTr="00117914">
        <w:trPr>
          <w:trHeight w:val="283"/>
        </w:trPr>
        <w:tc>
          <w:tcPr>
            <w:tcW w:w="4682" w:type="dxa"/>
            <w:gridSpan w:val="2"/>
            <w:tcBorders>
              <w:top w:val="nil"/>
            </w:tcBorders>
          </w:tcPr>
          <w:p w14:paraId="10FFBAD5" w14:textId="77777777" w:rsidR="008F364A" w:rsidRPr="000B4231" w:rsidRDefault="008F364A" w:rsidP="00703929">
            <w:pPr>
              <w:keepNext/>
              <w:spacing w:line="240" w:lineRule="auto"/>
              <w:rPr>
                <w:lang w:val="en-CA"/>
              </w:rPr>
            </w:pPr>
          </w:p>
        </w:tc>
        <w:tc>
          <w:tcPr>
            <w:tcW w:w="4680" w:type="dxa"/>
            <w:tcBorders>
              <w:top w:val="single" w:sz="8" w:space="0" w:color="auto"/>
            </w:tcBorders>
          </w:tcPr>
          <w:p w14:paraId="3DAF3859" w14:textId="77777777" w:rsidR="008F364A" w:rsidRPr="00974065" w:rsidRDefault="00241045" w:rsidP="00703929">
            <w:pPr>
              <w:keepNext/>
              <w:spacing w:line="240" w:lineRule="auto"/>
              <w:rPr>
                <w:lang w:val="en-CA"/>
              </w:rPr>
            </w:pPr>
            <w:r w:rsidRPr="00974065">
              <w:rPr>
                <w:lang w:val="en-CA"/>
              </w:rPr>
              <w:t>MICHEL BEAUPRÉ, J.</w:t>
            </w:r>
            <w:r w:rsidR="007E5C22" w:rsidRPr="00974065">
              <w:rPr>
                <w:lang w:val="en-CA"/>
              </w:rPr>
              <w:t>A.</w:t>
            </w:r>
          </w:p>
        </w:tc>
      </w:tr>
      <w:tr w:rsidR="008F364A" w:rsidRPr="00974065" w14:paraId="20B76F65" w14:textId="77777777" w:rsidTr="00117914">
        <w:trPr>
          <w:trHeight w:val="283"/>
        </w:trPr>
        <w:tc>
          <w:tcPr>
            <w:tcW w:w="4682" w:type="dxa"/>
            <w:gridSpan w:val="2"/>
            <w:tcBorders>
              <w:top w:val="nil"/>
            </w:tcBorders>
          </w:tcPr>
          <w:p w14:paraId="6959F4E3" w14:textId="77777777" w:rsidR="008F364A" w:rsidRPr="00974065" w:rsidRDefault="008F364A" w:rsidP="00703929">
            <w:pPr>
              <w:keepNext/>
              <w:spacing w:line="240" w:lineRule="auto"/>
              <w:rPr>
                <w:lang w:val="en-CA"/>
              </w:rPr>
            </w:pPr>
            <w:bookmarkStart w:id="14" w:name="Signature3"/>
            <w:bookmarkEnd w:id="13"/>
          </w:p>
        </w:tc>
        <w:tc>
          <w:tcPr>
            <w:tcW w:w="4680" w:type="dxa"/>
            <w:tcBorders>
              <w:top w:val="nil"/>
            </w:tcBorders>
          </w:tcPr>
          <w:p w14:paraId="3B149C28" w14:textId="77777777" w:rsidR="008F364A" w:rsidRPr="00974065" w:rsidRDefault="008F364A" w:rsidP="00703929">
            <w:pPr>
              <w:keepNext/>
              <w:spacing w:line="240" w:lineRule="auto"/>
              <w:rPr>
                <w:lang w:val="en-CA"/>
              </w:rPr>
            </w:pPr>
          </w:p>
        </w:tc>
      </w:tr>
      <w:tr w:rsidR="008F364A" w:rsidRPr="00974065" w14:paraId="4C0250AE" w14:textId="77777777" w:rsidTr="00117914">
        <w:trPr>
          <w:trHeight w:val="283"/>
        </w:trPr>
        <w:tc>
          <w:tcPr>
            <w:tcW w:w="4682" w:type="dxa"/>
            <w:gridSpan w:val="2"/>
            <w:tcBorders>
              <w:top w:val="nil"/>
              <w:bottom w:val="nil"/>
            </w:tcBorders>
          </w:tcPr>
          <w:p w14:paraId="38392665" w14:textId="77777777" w:rsidR="008F364A" w:rsidRPr="00974065" w:rsidRDefault="008F364A" w:rsidP="00703929">
            <w:pPr>
              <w:keepNext/>
              <w:spacing w:line="240" w:lineRule="auto"/>
              <w:rPr>
                <w:lang w:val="en-CA"/>
              </w:rPr>
            </w:pPr>
          </w:p>
        </w:tc>
        <w:tc>
          <w:tcPr>
            <w:tcW w:w="4680" w:type="dxa"/>
            <w:tcBorders>
              <w:top w:val="nil"/>
              <w:bottom w:val="single" w:sz="8" w:space="0" w:color="auto"/>
            </w:tcBorders>
          </w:tcPr>
          <w:p w14:paraId="0382CD15" w14:textId="77777777" w:rsidR="008F364A" w:rsidRPr="00974065" w:rsidRDefault="008F364A" w:rsidP="00703929">
            <w:pPr>
              <w:keepNext/>
              <w:spacing w:line="240" w:lineRule="auto"/>
              <w:rPr>
                <w:lang w:val="en-CA"/>
              </w:rPr>
            </w:pPr>
          </w:p>
        </w:tc>
      </w:tr>
      <w:tr w:rsidR="008F364A" w:rsidRPr="00974065" w14:paraId="53F4FA46" w14:textId="77777777" w:rsidTr="00117914">
        <w:trPr>
          <w:trHeight w:val="283"/>
        </w:trPr>
        <w:tc>
          <w:tcPr>
            <w:tcW w:w="4682" w:type="dxa"/>
            <w:gridSpan w:val="2"/>
            <w:tcBorders>
              <w:top w:val="nil"/>
            </w:tcBorders>
          </w:tcPr>
          <w:p w14:paraId="0FDE09F1" w14:textId="77777777" w:rsidR="008F364A" w:rsidRPr="00974065" w:rsidRDefault="008F364A" w:rsidP="00703929">
            <w:pPr>
              <w:keepNext/>
              <w:spacing w:line="240" w:lineRule="auto"/>
              <w:rPr>
                <w:lang w:val="en-CA"/>
              </w:rPr>
            </w:pPr>
          </w:p>
        </w:tc>
        <w:tc>
          <w:tcPr>
            <w:tcW w:w="4680" w:type="dxa"/>
            <w:tcBorders>
              <w:top w:val="single" w:sz="8" w:space="0" w:color="auto"/>
            </w:tcBorders>
          </w:tcPr>
          <w:p w14:paraId="54301726" w14:textId="77777777" w:rsidR="008F364A" w:rsidRPr="000B4231" w:rsidRDefault="00241045" w:rsidP="00703929">
            <w:pPr>
              <w:keepNext/>
              <w:spacing w:line="240" w:lineRule="auto"/>
              <w:rPr>
                <w:lang w:val="en-CA"/>
              </w:rPr>
            </w:pPr>
            <w:r w:rsidRPr="000B4231">
              <w:rPr>
                <w:lang w:val="en-CA"/>
              </w:rPr>
              <w:t>PETER KALICHMAN, J.</w:t>
            </w:r>
            <w:r w:rsidR="007E5C22" w:rsidRPr="000B4231">
              <w:rPr>
                <w:lang w:val="en-CA"/>
              </w:rPr>
              <w:t>A.</w:t>
            </w:r>
          </w:p>
        </w:tc>
      </w:tr>
      <w:bookmarkEnd w:id="14"/>
      <w:tr w:rsidR="005A78BF" w:rsidRPr="00974065" w14:paraId="3990D4C7" w14:textId="77777777" w:rsidTr="00423DF1">
        <w:tc>
          <w:tcPr>
            <w:tcW w:w="9362" w:type="dxa"/>
            <w:gridSpan w:val="3"/>
          </w:tcPr>
          <w:p w14:paraId="783237BA" w14:textId="77777777" w:rsidR="005A78BF" w:rsidRPr="000B4231" w:rsidRDefault="005A78BF" w:rsidP="00703929">
            <w:pPr>
              <w:spacing w:line="240" w:lineRule="auto"/>
              <w:rPr>
                <w:lang w:val="en-CA"/>
              </w:rPr>
            </w:pPr>
          </w:p>
        </w:tc>
      </w:tr>
      <w:tr w:rsidR="005A78BF" w:rsidRPr="00974065" w14:paraId="1BD048F4" w14:textId="77777777" w:rsidTr="00423DF1">
        <w:tc>
          <w:tcPr>
            <w:tcW w:w="9362" w:type="dxa"/>
            <w:gridSpan w:val="3"/>
          </w:tcPr>
          <w:p w14:paraId="043FBA07" w14:textId="0AFFFFBF" w:rsidR="005A78BF" w:rsidRPr="00974065" w:rsidRDefault="002B74C0" w:rsidP="00703929">
            <w:pPr>
              <w:pStyle w:val="zSoquijdatNomProcureurDem"/>
              <w:spacing w:line="240" w:lineRule="auto"/>
              <w:rPr>
                <w:caps/>
                <w:lang w:val="en-CA"/>
              </w:rPr>
            </w:pPr>
            <w:r w:rsidRPr="00974065">
              <w:rPr>
                <w:lang w:val="en-CA"/>
              </w:rPr>
              <w:t>M</w:t>
            </w:r>
            <w:r w:rsidR="006F3ACA">
              <w:rPr>
                <w:lang w:val="en-CA"/>
              </w:rPr>
              <w:t>tre</w:t>
            </w:r>
            <w:r w:rsidRPr="00974065">
              <w:rPr>
                <w:lang w:val="en-CA"/>
              </w:rPr>
              <w:t xml:space="preserve"> </w:t>
            </w:r>
            <w:bookmarkStart w:id="15" w:name="Avocat_app"/>
            <w:r w:rsidRPr="00974065">
              <w:rPr>
                <w:lang w:val="en-CA"/>
              </w:rPr>
              <w:t>Stéphanie Fournier</w:t>
            </w:r>
            <w:bookmarkEnd w:id="15"/>
          </w:p>
        </w:tc>
      </w:tr>
      <w:tr w:rsidR="006F058A" w:rsidRPr="00974065" w14:paraId="24659708" w14:textId="77777777" w:rsidTr="00423DF1">
        <w:tc>
          <w:tcPr>
            <w:tcW w:w="9362" w:type="dxa"/>
            <w:gridSpan w:val="3"/>
          </w:tcPr>
          <w:p w14:paraId="208B8B24" w14:textId="00DAF73A" w:rsidR="006F058A" w:rsidRPr="00974065" w:rsidRDefault="006F058A" w:rsidP="00703929">
            <w:pPr>
              <w:pStyle w:val="zSoquijdatNomProcureurDem"/>
              <w:spacing w:line="240" w:lineRule="auto"/>
              <w:rPr>
                <w:lang w:val="en-CA"/>
              </w:rPr>
            </w:pPr>
            <w:r w:rsidRPr="00974065">
              <w:rPr>
                <w:lang w:val="en-CA"/>
              </w:rPr>
              <w:t>M</w:t>
            </w:r>
            <w:r w:rsidR="006F3ACA">
              <w:rPr>
                <w:lang w:val="en-CA"/>
              </w:rPr>
              <w:t>tre</w:t>
            </w:r>
            <w:r w:rsidRPr="00974065">
              <w:rPr>
                <w:lang w:val="en-CA"/>
              </w:rPr>
              <w:t xml:space="preserve"> </w:t>
            </w:r>
            <w:proofErr w:type="spellStart"/>
            <w:r w:rsidRPr="00974065">
              <w:rPr>
                <w:lang w:val="en-CA"/>
              </w:rPr>
              <w:t>Lysiane</w:t>
            </w:r>
            <w:proofErr w:type="spellEnd"/>
            <w:r w:rsidRPr="00974065">
              <w:rPr>
                <w:lang w:val="en-CA"/>
              </w:rPr>
              <w:t xml:space="preserve"> Clément-Major</w:t>
            </w:r>
          </w:p>
        </w:tc>
      </w:tr>
      <w:tr w:rsidR="005A78BF" w:rsidRPr="00974065" w14:paraId="3F817C22" w14:textId="77777777" w:rsidTr="00423DF1">
        <w:tc>
          <w:tcPr>
            <w:tcW w:w="9362" w:type="dxa"/>
            <w:gridSpan w:val="3"/>
          </w:tcPr>
          <w:p w14:paraId="685FD529" w14:textId="77777777" w:rsidR="005A78BF" w:rsidRPr="000B4231" w:rsidRDefault="002B74C0" w:rsidP="00703929">
            <w:pPr>
              <w:pStyle w:val="zSoquijdatCabinetProcureurDem"/>
              <w:spacing w:line="240" w:lineRule="auto"/>
              <w:rPr>
                <w:iCs/>
                <w:lang w:val="en-CA"/>
              </w:rPr>
            </w:pPr>
            <w:bookmarkStart w:id="16" w:name="Bureau_Avocat_app"/>
            <w:r w:rsidRPr="00974065">
              <w:rPr>
                <w:iCs/>
                <w:lang w:val="en-CA"/>
              </w:rPr>
              <w:t>BITZAKIDIS, CLÉMENT-MAJOR, FOURNIER</w:t>
            </w:r>
            <w:bookmarkEnd w:id="16"/>
          </w:p>
        </w:tc>
      </w:tr>
      <w:tr w:rsidR="005A78BF" w:rsidRPr="00974065" w14:paraId="1199480C" w14:textId="77777777" w:rsidTr="00423DF1">
        <w:tc>
          <w:tcPr>
            <w:tcW w:w="9362" w:type="dxa"/>
            <w:gridSpan w:val="3"/>
          </w:tcPr>
          <w:p w14:paraId="6583EFF4" w14:textId="77777777" w:rsidR="005A78BF" w:rsidRPr="000B4231" w:rsidRDefault="00A9155F" w:rsidP="00703929">
            <w:pPr>
              <w:pStyle w:val="zSoquijlblProcureurDem"/>
              <w:spacing w:line="240" w:lineRule="auto"/>
              <w:rPr>
                <w:lang w:val="en-CA"/>
              </w:rPr>
            </w:pPr>
            <w:r w:rsidRPr="00974065">
              <w:rPr>
                <w:lang w:val="en-CA"/>
              </w:rPr>
              <w:t>For the A</w:t>
            </w:r>
            <w:r w:rsidR="00390A47" w:rsidRPr="00974065">
              <w:rPr>
                <w:lang w:val="en-CA"/>
              </w:rPr>
              <w:t>ppellant</w:t>
            </w:r>
          </w:p>
        </w:tc>
      </w:tr>
      <w:tr w:rsidR="005A78BF" w:rsidRPr="00974065" w14:paraId="4C16F408" w14:textId="77777777" w:rsidTr="00423DF1">
        <w:tc>
          <w:tcPr>
            <w:tcW w:w="9362" w:type="dxa"/>
            <w:gridSpan w:val="3"/>
          </w:tcPr>
          <w:p w14:paraId="406DB71F" w14:textId="77777777" w:rsidR="005A78BF" w:rsidRPr="000B4231" w:rsidRDefault="005A78BF" w:rsidP="00703929">
            <w:pPr>
              <w:spacing w:line="240" w:lineRule="auto"/>
              <w:rPr>
                <w:lang w:val="en-CA"/>
              </w:rPr>
            </w:pPr>
          </w:p>
        </w:tc>
      </w:tr>
      <w:tr w:rsidR="005A78BF" w:rsidRPr="00974065" w14:paraId="41A29C25" w14:textId="77777777" w:rsidTr="00423DF1">
        <w:tc>
          <w:tcPr>
            <w:tcW w:w="9362" w:type="dxa"/>
            <w:gridSpan w:val="3"/>
          </w:tcPr>
          <w:p w14:paraId="279CB398" w14:textId="6B4B10A2" w:rsidR="005A78BF" w:rsidRPr="00974065" w:rsidRDefault="00390A47" w:rsidP="00703929">
            <w:pPr>
              <w:pStyle w:val="zSoquijdatNomProcureurDef"/>
              <w:spacing w:line="240" w:lineRule="auto"/>
              <w:rPr>
                <w:caps/>
                <w:lang w:val="en-CA"/>
              </w:rPr>
            </w:pPr>
            <w:r w:rsidRPr="00974065">
              <w:rPr>
                <w:lang w:val="en-CA"/>
              </w:rPr>
              <w:t>M</w:t>
            </w:r>
            <w:r w:rsidR="006F3ACA">
              <w:rPr>
                <w:lang w:val="en-CA"/>
              </w:rPr>
              <w:t>tre</w:t>
            </w:r>
            <w:r w:rsidR="002B74C0" w:rsidRPr="00974065">
              <w:rPr>
                <w:lang w:val="en-CA"/>
              </w:rPr>
              <w:t xml:space="preserve"> </w:t>
            </w:r>
            <w:bookmarkStart w:id="17" w:name="Avocat_int"/>
            <w:r w:rsidR="002B74C0" w:rsidRPr="00974065">
              <w:rPr>
                <w:lang w:val="en-CA"/>
              </w:rPr>
              <w:t xml:space="preserve">Charles Gravel </w:t>
            </w:r>
            <w:bookmarkEnd w:id="17"/>
          </w:p>
        </w:tc>
      </w:tr>
      <w:tr w:rsidR="002B74C0" w:rsidRPr="00974065" w14:paraId="2512CF0A" w14:textId="77777777" w:rsidTr="00423DF1">
        <w:tc>
          <w:tcPr>
            <w:tcW w:w="9362" w:type="dxa"/>
            <w:gridSpan w:val="3"/>
          </w:tcPr>
          <w:p w14:paraId="164D0DB0" w14:textId="39CA0945" w:rsidR="002B74C0" w:rsidRPr="00974065" w:rsidRDefault="00390A47" w:rsidP="00703929">
            <w:pPr>
              <w:pStyle w:val="zSoquijdatNomProcureurDef"/>
              <w:spacing w:line="240" w:lineRule="auto"/>
              <w:rPr>
                <w:lang w:val="en-CA"/>
              </w:rPr>
            </w:pPr>
            <w:r w:rsidRPr="00974065">
              <w:rPr>
                <w:lang w:val="en-CA"/>
              </w:rPr>
              <w:t>M</w:t>
            </w:r>
            <w:r w:rsidR="006F3ACA">
              <w:rPr>
                <w:lang w:val="en-CA"/>
              </w:rPr>
              <w:t>tre</w:t>
            </w:r>
            <w:r w:rsidR="002B74C0" w:rsidRPr="00974065">
              <w:rPr>
                <w:lang w:val="en-CA"/>
              </w:rPr>
              <w:t xml:space="preserve"> François-Alexandre Gagné</w:t>
            </w:r>
          </w:p>
        </w:tc>
      </w:tr>
      <w:tr w:rsidR="005A78BF" w:rsidRPr="00974065" w14:paraId="7B37C845" w14:textId="77777777" w:rsidTr="00423DF1">
        <w:tc>
          <w:tcPr>
            <w:tcW w:w="9362" w:type="dxa"/>
            <w:gridSpan w:val="3"/>
          </w:tcPr>
          <w:p w14:paraId="5D9D6BA7" w14:textId="77777777" w:rsidR="005A78BF" w:rsidRPr="000B4231" w:rsidRDefault="002B74C0" w:rsidP="00703929">
            <w:pPr>
              <w:pStyle w:val="zSoquijdatCabinetProcureurDef"/>
              <w:spacing w:line="240" w:lineRule="auto"/>
              <w:rPr>
                <w:iCs/>
                <w:lang w:val="en-CA"/>
              </w:rPr>
            </w:pPr>
            <w:r w:rsidRPr="00974065">
              <w:rPr>
                <w:iCs/>
                <w:lang w:val="en-CA"/>
              </w:rPr>
              <w:t>BERNARD, ROY (JUSTICE-QUÉBEC)</w:t>
            </w:r>
          </w:p>
        </w:tc>
      </w:tr>
      <w:tr w:rsidR="005A78BF" w:rsidRPr="00974065" w14:paraId="0F29493B" w14:textId="77777777" w:rsidTr="00423DF1">
        <w:tc>
          <w:tcPr>
            <w:tcW w:w="9362" w:type="dxa"/>
            <w:gridSpan w:val="3"/>
          </w:tcPr>
          <w:p w14:paraId="260B00C5" w14:textId="77777777" w:rsidR="005A78BF" w:rsidRPr="00974065" w:rsidRDefault="00A9155F" w:rsidP="00703929">
            <w:pPr>
              <w:pStyle w:val="zSoquijlblProcureurDef"/>
              <w:spacing w:line="240" w:lineRule="auto"/>
              <w:rPr>
                <w:lang w:val="en-CA"/>
              </w:rPr>
            </w:pPr>
            <w:r w:rsidRPr="00974065">
              <w:rPr>
                <w:lang w:val="en-CA"/>
              </w:rPr>
              <w:t>For the R</w:t>
            </w:r>
            <w:r w:rsidR="00390A47" w:rsidRPr="00974065">
              <w:rPr>
                <w:lang w:val="en-CA"/>
              </w:rPr>
              <w:t>espondent</w:t>
            </w:r>
          </w:p>
        </w:tc>
      </w:tr>
      <w:tr w:rsidR="005A78BF" w:rsidRPr="00974065" w14:paraId="7DEDCDE4" w14:textId="77777777" w:rsidTr="00423DF1">
        <w:tc>
          <w:tcPr>
            <w:tcW w:w="9362" w:type="dxa"/>
            <w:gridSpan w:val="3"/>
          </w:tcPr>
          <w:p w14:paraId="3DEB10BC" w14:textId="77777777" w:rsidR="005A78BF" w:rsidRPr="00974065" w:rsidRDefault="005A78BF" w:rsidP="00703929">
            <w:pPr>
              <w:spacing w:line="240" w:lineRule="auto"/>
              <w:rPr>
                <w:lang w:val="en-CA"/>
              </w:rPr>
            </w:pPr>
          </w:p>
        </w:tc>
      </w:tr>
      <w:tr w:rsidR="005A78BF" w:rsidRPr="00974065" w14:paraId="532C4BFB" w14:textId="77777777" w:rsidTr="00423DF1">
        <w:tc>
          <w:tcPr>
            <w:tcW w:w="1997" w:type="dxa"/>
          </w:tcPr>
          <w:p w14:paraId="27009C9D" w14:textId="77777777" w:rsidR="005A78BF" w:rsidRPr="00974065" w:rsidRDefault="00390A47" w:rsidP="00703929">
            <w:pPr>
              <w:pStyle w:val="zSoquijlblDateAudience"/>
              <w:spacing w:line="240" w:lineRule="auto"/>
              <w:rPr>
                <w:lang w:val="en-CA"/>
              </w:rPr>
            </w:pPr>
            <w:r w:rsidRPr="00974065">
              <w:rPr>
                <w:lang w:val="en-CA"/>
              </w:rPr>
              <w:t>Hearing date</w:t>
            </w:r>
            <w:r w:rsidR="005A78BF" w:rsidRPr="00974065">
              <w:rPr>
                <w:lang w:val="en-CA"/>
              </w:rPr>
              <w:t>:</w:t>
            </w:r>
          </w:p>
        </w:tc>
        <w:tc>
          <w:tcPr>
            <w:tcW w:w="7365" w:type="dxa"/>
            <w:gridSpan w:val="2"/>
          </w:tcPr>
          <w:p w14:paraId="5D850561" w14:textId="77777777" w:rsidR="005A78BF" w:rsidRPr="00974065" w:rsidRDefault="00390A47" w:rsidP="00703929">
            <w:pPr>
              <w:pStyle w:val="zSoquijdatDateAudience"/>
              <w:spacing w:line="240" w:lineRule="auto"/>
              <w:rPr>
                <w:lang w:val="en-CA"/>
              </w:rPr>
            </w:pPr>
            <w:r w:rsidRPr="00974065">
              <w:rPr>
                <w:lang w:val="en-CA"/>
              </w:rPr>
              <w:t xml:space="preserve">March 24, </w:t>
            </w:r>
            <w:r w:rsidR="002B74C0" w:rsidRPr="00974065">
              <w:rPr>
                <w:lang w:val="en-CA"/>
              </w:rPr>
              <w:t>2022</w:t>
            </w:r>
          </w:p>
        </w:tc>
      </w:tr>
      <w:bookmarkEnd w:id="10"/>
    </w:tbl>
    <w:p w14:paraId="656BABAE" w14:textId="77777777" w:rsidR="00740A17" w:rsidRPr="00974065" w:rsidRDefault="00740A17" w:rsidP="00703929">
      <w:pPr>
        <w:spacing w:line="240" w:lineRule="auto"/>
        <w:rPr>
          <w:lang w:val="en-CA"/>
        </w:rPr>
      </w:pPr>
    </w:p>
    <w:p w14:paraId="6EA627B2" w14:textId="77777777" w:rsidR="00833A48" w:rsidRPr="00974065" w:rsidRDefault="00833A48" w:rsidP="00703929">
      <w:pPr>
        <w:spacing w:line="240" w:lineRule="auto"/>
        <w:rPr>
          <w:lang w:val="en-CA"/>
        </w:rPr>
      </w:pPr>
    </w:p>
    <w:p w14:paraId="774DD0AC" w14:textId="77777777" w:rsidR="00833A48" w:rsidRPr="00974065" w:rsidRDefault="00833A48" w:rsidP="00703929">
      <w:pPr>
        <w:spacing w:line="240" w:lineRule="auto"/>
        <w:rPr>
          <w:lang w:val="en-CA"/>
        </w:rPr>
      </w:pPr>
    </w:p>
    <w:sectPr w:rsidR="00833A48" w:rsidRPr="00974065" w:rsidSect="00207F47">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4FF9" w14:textId="77777777" w:rsidR="008A32B8" w:rsidRDefault="008A32B8">
      <w:r>
        <w:separator/>
      </w:r>
    </w:p>
  </w:endnote>
  <w:endnote w:type="continuationSeparator" w:id="0">
    <w:p w14:paraId="4BE4A28A" w14:textId="77777777" w:rsidR="008A32B8" w:rsidRDefault="008A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B3DCF" w14:textId="77777777" w:rsidR="008A32B8" w:rsidRDefault="008A32B8">
      <w:r>
        <w:separator/>
      </w:r>
    </w:p>
  </w:footnote>
  <w:footnote w:type="continuationSeparator" w:id="0">
    <w:p w14:paraId="00FD1950" w14:textId="77777777" w:rsidR="008A32B8" w:rsidRDefault="008A32B8">
      <w:r>
        <w:continuationSeparator/>
      </w:r>
    </w:p>
  </w:footnote>
  <w:footnote w:id="1">
    <w:p w14:paraId="0A670A1C" w14:textId="6775169E" w:rsidR="00426E0C" w:rsidRPr="000B4231" w:rsidRDefault="00426E0C" w:rsidP="00541131">
      <w:pPr>
        <w:pStyle w:val="Notedebasdepage"/>
      </w:pPr>
      <w:r>
        <w:rPr>
          <w:rStyle w:val="Appelnotedebasdep"/>
        </w:rPr>
        <w:footnoteRef/>
      </w:r>
      <w:r>
        <w:t xml:space="preserve"> </w:t>
      </w:r>
      <w:r>
        <w:tab/>
      </w:r>
      <w:r w:rsidRPr="006B7A67">
        <w:rPr>
          <w:i/>
        </w:rPr>
        <w:t xml:space="preserve">Commission des </w:t>
      </w:r>
      <w:r>
        <w:rPr>
          <w:i/>
        </w:rPr>
        <w:t>dr</w:t>
      </w:r>
      <w:r w:rsidRPr="006B7A67">
        <w:rPr>
          <w:i/>
        </w:rPr>
        <w:t xml:space="preserve">oits de la personne et des </w:t>
      </w:r>
      <w:r>
        <w:rPr>
          <w:i/>
        </w:rPr>
        <w:t>dr</w:t>
      </w:r>
      <w:r w:rsidRPr="006B7A67">
        <w:rPr>
          <w:i/>
        </w:rPr>
        <w:t>oits de la jeunesse (T.J.R.) c. Procureur général du Québec (Sûreté du Québec)</w:t>
      </w:r>
      <w:r>
        <w:t xml:space="preserve">, 2020 QCTDP 20 </w:t>
      </w:r>
      <w:r w:rsidRPr="000B4231">
        <w:t>[judgment</w:t>
      </w:r>
      <w:r w:rsidR="001354E2">
        <w:t xml:space="preserve"> under </w:t>
      </w:r>
      <w:r w:rsidRPr="000B4231">
        <w:t>appeal].</w:t>
      </w:r>
    </w:p>
  </w:footnote>
  <w:footnote w:id="2">
    <w:p w14:paraId="2DFB7777" w14:textId="43DA11B3" w:rsidR="00426E0C" w:rsidRPr="00BD50F4" w:rsidRDefault="00426E0C" w:rsidP="00207F47">
      <w:pPr>
        <w:pStyle w:val="Notedebasdepage"/>
        <w:rPr>
          <w:lang w:val="en-US"/>
        </w:rPr>
      </w:pPr>
      <w:r w:rsidRPr="00BD50F4">
        <w:rPr>
          <w:rStyle w:val="Appelnotedebasdep"/>
          <w:lang w:val="en-US"/>
        </w:rPr>
        <w:footnoteRef/>
      </w:r>
      <w:r>
        <w:rPr>
          <w:lang w:val="en-US"/>
        </w:rPr>
        <w:t xml:space="preserve"> </w:t>
      </w:r>
      <w:r>
        <w:rPr>
          <w:lang w:val="en-US"/>
        </w:rPr>
        <w:tab/>
        <w:t>Exhibit</w:t>
      </w:r>
      <w:r w:rsidRPr="00BD50F4">
        <w:rPr>
          <w:lang w:val="en-US"/>
        </w:rPr>
        <w:t xml:space="preserve"> P-9, </w:t>
      </w:r>
      <w:r>
        <w:rPr>
          <w:lang w:val="en-US"/>
        </w:rPr>
        <w:t>Pre-employment medical q</w:t>
      </w:r>
      <w:r w:rsidRPr="00BD50F4">
        <w:rPr>
          <w:lang w:val="en-US"/>
        </w:rPr>
        <w:t xml:space="preserve">uestionnaire </w:t>
      </w:r>
      <w:r>
        <w:rPr>
          <w:lang w:val="en-US"/>
        </w:rPr>
        <w:t>or medical q</w:t>
      </w:r>
      <w:r w:rsidRPr="00BD50F4">
        <w:rPr>
          <w:lang w:val="en-US"/>
        </w:rPr>
        <w:t xml:space="preserve">uestionnaire </w:t>
      </w:r>
      <w:r>
        <w:rPr>
          <w:lang w:val="en-US"/>
        </w:rPr>
        <w:t>fro</w:t>
      </w:r>
      <w:r w:rsidRPr="00BD50F4">
        <w:rPr>
          <w:lang w:val="en-US"/>
        </w:rPr>
        <w:t>m</w:t>
      </w:r>
      <w:r>
        <w:rPr>
          <w:lang w:val="en-US"/>
        </w:rPr>
        <w:t xml:space="preserve"> the first visit to the </w:t>
      </w:r>
      <w:r w:rsidRPr="00BD50F4">
        <w:rPr>
          <w:lang w:val="en-US"/>
        </w:rPr>
        <w:t xml:space="preserve">Medisys </w:t>
      </w:r>
      <w:r>
        <w:rPr>
          <w:lang w:val="en-US"/>
        </w:rPr>
        <w:t>clinic</w:t>
      </w:r>
      <w:r w:rsidR="008E0893">
        <w:rPr>
          <w:lang w:val="en-US"/>
        </w:rPr>
        <w:t>,</w:t>
      </w:r>
      <w:r>
        <w:rPr>
          <w:lang w:val="en-US"/>
        </w:rPr>
        <w:t xml:space="preserve"> filled in by the </w:t>
      </w:r>
      <w:r w:rsidR="008E0893">
        <w:rPr>
          <w:lang w:val="en-US"/>
        </w:rPr>
        <w:t xml:space="preserve">complainant </w:t>
      </w:r>
      <w:r>
        <w:rPr>
          <w:lang w:val="en-US"/>
        </w:rPr>
        <w:t>on or about March 9, 2012;</w:t>
      </w:r>
      <w:r w:rsidRPr="00BD50F4">
        <w:rPr>
          <w:lang w:val="en-US"/>
        </w:rPr>
        <w:t xml:space="preserve"> </w:t>
      </w:r>
      <w:r w:rsidR="008E0893">
        <w:rPr>
          <w:lang w:val="en-US"/>
        </w:rPr>
        <w:t xml:space="preserve">A.F., </w:t>
      </w:r>
      <w:r>
        <w:rPr>
          <w:lang w:val="en-US"/>
        </w:rPr>
        <w:t>confidential vol.</w:t>
      </w:r>
      <w:r w:rsidR="008E0893">
        <w:rPr>
          <w:lang w:val="en-US"/>
        </w:rPr>
        <w:t xml:space="preserve">at </w:t>
      </w:r>
      <w:r w:rsidRPr="00BD50F4">
        <w:rPr>
          <w:lang w:val="en-US"/>
        </w:rPr>
        <w:t>191-192.</w:t>
      </w:r>
    </w:p>
  </w:footnote>
  <w:footnote w:id="3">
    <w:p w14:paraId="2322D8EA" w14:textId="77777777" w:rsidR="00426E0C" w:rsidRPr="000B4231" w:rsidRDefault="00426E0C" w:rsidP="00207F47">
      <w:pPr>
        <w:pStyle w:val="Notedebasdepage"/>
        <w:rPr>
          <w:lang w:val="en-CA"/>
        </w:rPr>
      </w:pPr>
      <w:r>
        <w:rPr>
          <w:rStyle w:val="Appelnotedebasdep"/>
        </w:rPr>
        <w:footnoteRef/>
      </w:r>
      <w:r w:rsidRPr="000B4231">
        <w:rPr>
          <w:lang w:val="en-CA"/>
        </w:rPr>
        <w:t xml:space="preserve"> </w:t>
      </w:r>
      <w:r w:rsidRPr="000B4231">
        <w:rPr>
          <w:lang w:val="en-CA"/>
        </w:rPr>
        <w:tab/>
        <w:t>CQLR c. P-13.1.</w:t>
      </w:r>
    </w:p>
  </w:footnote>
  <w:footnote w:id="4">
    <w:p w14:paraId="0AE843D5" w14:textId="0B3A97D9" w:rsidR="00426E0C" w:rsidRPr="00F60071" w:rsidRDefault="00426E0C" w:rsidP="00207F47">
      <w:pPr>
        <w:pStyle w:val="Notedebasdepage"/>
        <w:rPr>
          <w:lang w:val="en-US"/>
        </w:rPr>
      </w:pPr>
      <w:r>
        <w:rPr>
          <w:rStyle w:val="Appelnotedebasdep"/>
        </w:rPr>
        <w:footnoteRef/>
      </w:r>
      <w:r w:rsidRPr="000B4231">
        <w:rPr>
          <w:lang w:val="en-CA"/>
        </w:rPr>
        <w:t xml:space="preserve"> </w:t>
      </w:r>
      <w:r w:rsidRPr="000B4231">
        <w:rPr>
          <w:lang w:val="en-CA"/>
        </w:rPr>
        <w:tab/>
        <w:t>Th</w:t>
      </w:r>
      <w:r w:rsidR="00A3365A">
        <w:rPr>
          <w:lang w:val="en-US"/>
        </w:rPr>
        <w:t xml:space="preserve">e questions are numbers </w:t>
      </w:r>
      <w:r w:rsidRPr="00F60071">
        <w:rPr>
          <w:lang w:val="en-US"/>
        </w:rPr>
        <w:t xml:space="preserve"> 1,</w:t>
      </w:r>
      <w:r>
        <w:rPr>
          <w:lang w:val="en-US"/>
        </w:rPr>
        <w:t xml:space="preserve"> </w:t>
      </w:r>
      <w:r w:rsidRPr="00F60071">
        <w:rPr>
          <w:lang w:val="en-US"/>
        </w:rPr>
        <w:t>2,</w:t>
      </w:r>
      <w:r>
        <w:rPr>
          <w:lang w:val="en-US"/>
        </w:rPr>
        <w:t xml:space="preserve"> </w:t>
      </w:r>
      <w:r w:rsidRPr="00F60071">
        <w:rPr>
          <w:lang w:val="en-US"/>
        </w:rPr>
        <w:t>3, 7, 8</w:t>
      </w:r>
      <w:r w:rsidR="00A3365A">
        <w:rPr>
          <w:lang w:val="en-US"/>
        </w:rPr>
        <w:t>,</w:t>
      </w:r>
      <w:r w:rsidRPr="00F60071">
        <w:rPr>
          <w:lang w:val="en-US"/>
        </w:rPr>
        <w:t xml:space="preserve"> and 25 </w:t>
      </w:r>
      <w:r w:rsidR="00A3365A">
        <w:rPr>
          <w:lang w:val="en-US"/>
        </w:rPr>
        <w:t xml:space="preserve">of </w:t>
      </w:r>
      <w:r w:rsidRPr="00F60071">
        <w:rPr>
          <w:lang w:val="en-US"/>
        </w:rPr>
        <w:t xml:space="preserve">the medical questionnaire. See: Judgment </w:t>
      </w:r>
      <w:r w:rsidR="00A3365A">
        <w:rPr>
          <w:lang w:val="en-US"/>
        </w:rPr>
        <w:t>under appeal at</w:t>
      </w:r>
      <w:r w:rsidRPr="00F60071">
        <w:rPr>
          <w:lang w:val="en-US"/>
        </w:rPr>
        <w:t xml:space="preserve"> paras. 102</w:t>
      </w:r>
      <w:r w:rsidR="00A3365A">
        <w:rPr>
          <w:lang w:val="en-US"/>
        </w:rPr>
        <w:t>–</w:t>
      </w:r>
      <w:r w:rsidRPr="00F60071">
        <w:rPr>
          <w:lang w:val="en-US"/>
        </w:rPr>
        <w:t>104 and 110.</w:t>
      </w:r>
    </w:p>
  </w:footnote>
  <w:footnote w:id="5">
    <w:p w14:paraId="0B7EE60C" w14:textId="61E00BAA" w:rsidR="00426E0C" w:rsidRPr="00F60071" w:rsidRDefault="00426E0C" w:rsidP="00207F47">
      <w:pPr>
        <w:pStyle w:val="Notedebasdepage"/>
        <w:rPr>
          <w:lang w:val="en-US"/>
        </w:rPr>
      </w:pPr>
      <w:r w:rsidRPr="00F60071">
        <w:rPr>
          <w:rStyle w:val="Appelnotedebasdep"/>
          <w:lang w:val="en-US"/>
        </w:rPr>
        <w:footnoteRef/>
      </w:r>
      <w:r w:rsidRPr="00F60071">
        <w:rPr>
          <w:lang w:val="en-US"/>
        </w:rPr>
        <w:t xml:space="preserve"> </w:t>
      </w:r>
      <w:r w:rsidRPr="00F60071">
        <w:rPr>
          <w:lang w:val="en-US"/>
        </w:rPr>
        <w:tab/>
        <w:t xml:space="preserve">Judgment </w:t>
      </w:r>
      <w:r w:rsidR="00A3365A">
        <w:rPr>
          <w:lang w:val="en-US"/>
        </w:rPr>
        <w:t xml:space="preserve">under appeal at </w:t>
      </w:r>
      <w:r w:rsidRPr="00F60071">
        <w:rPr>
          <w:lang w:val="en-US"/>
        </w:rPr>
        <w:t>paras. 103 and 104.</w:t>
      </w:r>
    </w:p>
  </w:footnote>
  <w:footnote w:id="6">
    <w:p w14:paraId="1E4C1F85" w14:textId="6B2C5C8F" w:rsidR="00426E0C" w:rsidRPr="00F60071" w:rsidRDefault="00426E0C" w:rsidP="00207F47">
      <w:pPr>
        <w:pStyle w:val="Notedebasdepage"/>
        <w:rPr>
          <w:lang w:val="en-US"/>
        </w:rPr>
      </w:pPr>
      <w:r w:rsidRPr="00F60071">
        <w:rPr>
          <w:rStyle w:val="Appelnotedebasdep"/>
          <w:lang w:val="en-US"/>
        </w:rPr>
        <w:footnoteRef/>
      </w:r>
      <w:r w:rsidRPr="00F60071">
        <w:rPr>
          <w:lang w:val="en-US"/>
        </w:rPr>
        <w:t xml:space="preserve"> </w:t>
      </w:r>
      <w:r w:rsidRPr="00F60071">
        <w:rPr>
          <w:lang w:val="en-US"/>
        </w:rPr>
        <w:tab/>
        <w:t xml:space="preserve">Judgment </w:t>
      </w:r>
      <w:r w:rsidR="00A3365A">
        <w:rPr>
          <w:lang w:val="en-US"/>
        </w:rPr>
        <w:t xml:space="preserve">under appeal at </w:t>
      </w:r>
      <w:r w:rsidRPr="00F60071">
        <w:rPr>
          <w:lang w:val="en-US"/>
        </w:rPr>
        <w:t xml:space="preserve"> paras. 102 and 109.</w:t>
      </w:r>
    </w:p>
  </w:footnote>
  <w:footnote w:id="7">
    <w:p w14:paraId="6961FDE4" w14:textId="1FE7D80E" w:rsidR="00426E0C" w:rsidRPr="00F60071" w:rsidRDefault="00426E0C" w:rsidP="00207F47">
      <w:pPr>
        <w:pStyle w:val="Notedebasdepage"/>
        <w:rPr>
          <w:lang w:val="en-US"/>
        </w:rPr>
      </w:pPr>
      <w:r w:rsidRPr="00F60071">
        <w:rPr>
          <w:rStyle w:val="Appelnotedebasdep"/>
          <w:lang w:val="en-US"/>
        </w:rPr>
        <w:footnoteRef/>
      </w:r>
      <w:r w:rsidRPr="00F60071">
        <w:rPr>
          <w:lang w:val="en-US"/>
        </w:rPr>
        <w:t xml:space="preserve"> </w:t>
      </w:r>
      <w:r w:rsidRPr="00F60071">
        <w:rPr>
          <w:lang w:val="en-US"/>
        </w:rPr>
        <w:tab/>
        <w:t xml:space="preserve">Judgment </w:t>
      </w:r>
      <w:r w:rsidR="00A3365A">
        <w:rPr>
          <w:lang w:val="en-US"/>
        </w:rPr>
        <w:t xml:space="preserve">under appeal at </w:t>
      </w:r>
      <w:r w:rsidRPr="00F60071">
        <w:rPr>
          <w:lang w:val="en-US"/>
        </w:rPr>
        <w:t>paras. 114 and 117.</w:t>
      </w:r>
    </w:p>
  </w:footnote>
  <w:footnote w:id="8">
    <w:p w14:paraId="6F560617" w14:textId="0555EB6E" w:rsidR="00426E0C" w:rsidRPr="00F60071" w:rsidRDefault="00426E0C" w:rsidP="00207F47">
      <w:pPr>
        <w:pStyle w:val="Notedebasdepage"/>
        <w:rPr>
          <w:lang w:val="en-US"/>
        </w:rPr>
      </w:pPr>
      <w:r w:rsidRPr="00F60071">
        <w:rPr>
          <w:rStyle w:val="Appelnotedebasdep"/>
          <w:lang w:val="en-US"/>
        </w:rPr>
        <w:footnoteRef/>
      </w:r>
      <w:r w:rsidRPr="00F60071">
        <w:rPr>
          <w:lang w:val="en-US"/>
        </w:rPr>
        <w:t xml:space="preserve"> </w:t>
      </w:r>
      <w:r w:rsidRPr="00F60071">
        <w:rPr>
          <w:lang w:val="en-US"/>
        </w:rPr>
        <w:tab/>
        <w:t xml:space="preserve">Judgment </w:t>
      </w:r>
      <w:r w:rsidR="00E656FB">
        <w:rPr>
          <w:lang w:val="en-US"/>
        </w:rPr>
        <w:t>under appeal at</w:t>
      </w:r>
      <w:r w:rsidRPr="00F60071">
        <w:rPr>
          <w:lang w:val="en-US"/>
        </w:rPr>
        <w:t xml:space="preserve"> para. 115.</w:t>
      </w:r>
    </w:p>
  </w:footnote>
  <w:footnote w:id="9">
    <w:p w14:paraId="5234A0A2" w14:textId="3F77DB69" w:rsidR="00426E0C" w:rsidRPr="00F60071" w:rsidRDefault="00426E0C" w:rsidP="00207F47">
      <w:pPr>
        <w:pStyle w:val="Notedebasdepage"/>
        <w:rPr>
          <w:lang w:val="en-US"/>
        </w:rPr>
      </w:pPr>
      <w:r w:rsidRPr="00F60071">
        <w:rPr>
          <w:rStyle w:val="Appelnotedebasdep"/>
          <w:lang w:val="en-US"/>
        </w:rPr>
        <w:footnoteRef/>
      </w:r>
      <w:r w:rsidRPr="00F60071">
        <w:rPr>
          <w:lang w:val="en-US"/>
        </w:rPr>
        <w:t xml:space="preserve"> </w:t>
      </w:r>
      <w:r w:rsidRPr="00F60071">
        <w:rPr>
          <w:lang w:val="en-US"/>
        </w:rPr>
        <w:tab/>
        <w:t xml:space="preserve">Judgment </w:t>
      </w:r>
      <w:r w:rsidR="00E656FB">
        <w:rPr>
          <w:lang w:val="en-US"/>
        </w:rPr>
        <w:t>under appeal at</w:t>
      </w:r>
      <w:r w:rsidRPr="00F60071">
        <w:rPr>
          <w:lang w:val="en-US"/>
        </w:rPr>
        <w:t xml:space="preserve"> para. 118.</w:t>
      </w:r>
    </w:p>
  </w:footnote>
  <w:footnote w:id="10">
    <w:p w14:paraId="48033F7E" w14:textId="1C24F211" w:rsidR="00426E0C" w:rsidRPr="00BD44B9" w:rsidRDefault="00426E0C" w:rsidP="00207F47">
      <w:pPr>
        <w:pStyle w:val="Notedebasdepage"/>
        <w:rPr>
          <w:lang w:val="en-CA"/>
        </w:rPr>
      </w:pPr>
      <w:r w:rsidRPr="00F60071">
        <w:rPr>
          <w:rStyle w:val="Appelnotedebasdep"/>
          <w:lang w:val="en-US"/>
        </w:rPr>
        <w:footnoteRef/>
      </w:r>
      <w:r w:rsidRPr="00F60071">
        <w:rPr>
          <w:lang w:val="en-US"/>
        </w:rPr>
        <w:t xml:space="preserve"> </w:t>
      </w:r>
      <w:r w:rsidRPr="00F60071">
        <w:rPr>
          <w:lang w:val="en-US"/>
        </w:rPr>
        <w:tab/>
        <w:t xml:space="preserve">Judgment </w:t>
      </w:r>
      <w:r w:rsidR="00E656FB">
        <w:rPr>
          <w:lang w:val="en-US"/>
        </w:rPr>
        <w:t>under appeal at</w:t>
      </w:r>
      <w:r w:rsidRPr="00F60071">
        <w:rPr>
          <w:lang w:val="en-US"/>
        </w:rPr>
        <w:t xml:space="preserve"> </w:t>
      </w:r>
      <w:r>
        <w:rPr>
          <w:lang w:val="en-US"/>
        </w:rPr>
        <w:t>paras</w:t>
      </w:r>
      <w:r w:rsidRPr="00F60071">
        <w:rPr>
          <w:lang w:val="en-US"/>
        </w:rPr>
        <w:t xml:space="preserve">. </w:t>
      </w:r>
      <w:r w:rsidRPr="00BD44B9">
        <w:rPr>
          <w:lang w:val="en-CA"/>
        </w:rPr>
        <w:t>187</w:t>
      </w:r>
      <w:r w:rsidR="00E656FB" w:rsidRPr="00BD44B9">
        <w:rPr>
          <w:lang w:val="en-CA"/>
        </w:rPr>
        <w:t>–</w:t>
      </w:r>
      <w:r w:rsidRPr="00BD44B9">
        <w:rPr>
          <w:lang w:val="en-CA"/>
        </w:rPr>
        <w:t>192.</w:t>
      </w:r>
    </w:p>
  </w:footnote>
  <w:footnote w:id="11">
    <w:p w14:paraId="3FA79A0B" w14:textId="20A75DFD" w:rsidR="00426E0C" w:rsidRPr="000B4231" w:rsidRDefault="00426E0C" w:rsidP="00207F47">
      <w:pPr>
        <w:pStyle w:val="Notedebasdepage"/>
      </w:pPr>
      <w:r w:rsidRPr="00F60071">
        <w:rPr>
          <w:rStyle w:val="Appelnotedebasdep"/>
          <w:lang w:val="en-US"/>
        </w:rPr>
        <w:footnoteRef/>
      </w:r>
      <w:r w:rsidRPr="00BD44B9">
        <w:rPr>
          <w:lang w:val="en-CA"/>
        </w:rPr>
        <w:t xml:space="preserve"> </w:t>
      </w:r>
      <w:r w:rsidRPr="00BD44B9">
        <w:rPr>
          <w:lang w:val="en-CA"/>
        </w:rPr>
        <w:tab/>
        <w:t xml:space="preserve">Judgment </w:t>
      </w:r>
      <w:r w:rsidR="00E656FB" w:rsidRPr="00BD44B9">
        <w:rPr>
          <w:lang w:val="en-CA"/>
        </w:rPr>
        <w:t>under appeal at</w:t>
      </w:r>
      <w:r w:rsidRPr="00BD44B9">
        <w:rPr>
          <w:lang w:val="en-CA"/>
        </w:rPr>
        <w:t xml:space="preserve"> para. </w:t>
      </w:r>
      <w:r w:rsidRPr="000B4231">
        <w:t>156.</w:t>
      </w:r>
    </w:p>
  </w:footnote>
  <w:footnote w:id="12">
    <w:p w14:paraId="1BCD6699" w14:textId="77777777" w:rsidR="00426E0C" w:rsidRPr="000B4231" w:rsidRDefault="00426E0C" w:rsidP="00207F47">
      <w:pPr>
        <w:pStyle w:val="Notedebasdepage"/>
      </w:pPr>
      <w:r w:rsidRPr="00F60071">
        <w:rPr>
          <w:rStyle w:val="Appelnotedebasdep"/>
          <w:lang w:val="en-US"/>
        </w:rPr>
        <w:footnoteRef/>
      </w:r>
      <w:r w:rsidRPr="000B4231">
        <w:t xml:space="preserve"> </w:t>
      </w:r>
      <w:r w:rsidRPr="000B4231">
        <w:tab/>
      </w:r>
      <w:r w:rsidRPr="000B4231">
        <w:rPr>
          <w:rStyle w:val="solexhl"/>
          <w:rFonts w:cs="Arial"/>
          <w:i/>
        </w:rPr>
        <w:t>Ward</w:t>
      </w:r>
      <w:r w:rsidRPr="000B4231">
        <w:rPr>
          <w:rFonts w:cs="Arial"/>
          <w:i/>
        </w:rPr>
        <w:t xml:space="preserve"> v. Québec (Commission des droits de la personne et des droits de la jeunesse)</w:t>
      </w:r>
      <w:r w:rsidRPr="000B4231">
        <w:rPr>
          <w:rFonts w:cs="Arial"/>
        </w:rPr>
        <w:t>, 2021 SCC 43.</w:t>
      </w:r>
    </w:p>
  </w:footnote>
  <w:footnote w:id="13">
    <w:p w14:paraId="31E5C3D0" w14:textId="18E2F2DA" w:rsidR="00426E0C" w:rsidRPr="0003572B" w:rsidRDefault="00426E0C" w:rsidP="00207F47">
      <w:pPr>
        <w:pStyle w:val="Notedebasdepage"/>
        <w:rPr>
          <w:rFonts w:cs="Arial"/>
        </w:rPr>
      </w:pPr>
      <w:r w:rsidRPr="00E72976">
        <w:rPr>
          <w:rStyle w:val="Appelnotedebasdep"/>
          <w:rFonts w:cs="Arial"/>
        </w:rPr>
        <w:footnoteRef/>
      </w:r>
      <w:r w:rsidRPr="0003572B">
        <w:rPr>
          <w:rFonts w:cs="Arial"/>
        </w:rPr>
        <w:t xml:space="preserve"> </w:t>
      </w:r>
      <w:r w:rsidRPr="0003572B">
        <w:rPr>
          <w:rFonts w:cs="Arial"/>
        </w:rPr>
        <w:tab/>
      </w:r>
      <w:r w:rsidRPr="0003572B">
        <w:rPr>
          <w:rFonts w:cs="Arial"/>
          <w:i/>
        </w:rPr>
        <w:t>Ibid</w:t>
      </w:r>
      <w:r w:rsidRPr="0003572B">
        <w:rPr>
          <w:rFonts w:cs="Arial"/>
        </w:rPr>
        <w:t>.</w:t>
      </w:r>
      <w:r w:rsidR="00974065" w:rsidRPr="0003572B">
        <w:rPr>
          <w:rFonts w:cs="Arial"/>
        </w:rPr>
        <w:t xml:space="preserve"> at</w:t>
      </w:r>
      <w:r w:rsidRPr="0003572B">
        <w:rPr>
          <w:rFonts w:cs="Arial"/>
        </w:rPr>
        <w:t xml:space="preserve"> paras. 24</w:t>
      </w:r>
      <w:r w:rsidR="00974065" w:rsidRPr="0003572B">
        <w:rPr>
          <w:rFonts w:cs="Arial"/>
        </w:rPr>
        <w:t>–</w:t>
      </w:r>
      <w:r w:rsidRPr="0003572B">
        <w:rPr>
          <w:rFonts w:cs="Arial"/>
        </w:rPr>
        <w:t>25.</w:t>
      </w:r>
    </w:p>
  </w:footnote>
  <w:footnote w:id="14">
    <w:p w14:paraId="5695E04C" w14:textId="281908C9" w:rsidR="00426E0C" w:rsidRPr="0003572B" w:rsidRDefault="00426E0C">
      <w:pPr>
        <w:pStyle w:val="Notedebasdepage"/>
      </w:pPr>
      <w:r>
        <w:rPr>
          <w:rStyle w:val="Appelnotedebasdep"/>
        </w:rPr>
        <w:footnoteRef/>
      </w:r>
      <w:r w:rsidRPr="0003572B">
        <w:t xml:space="preserve"> </w:t>
      </w:r>
      <w:r w:rsidRPr="0003572B">
        <w:tab/>
      </w:r>
      <w:r w:rsidR="00974065" w:rsidRPr="0003572B">
        <w:t>M</w:t>
      </w:r>
      <w:r w:rsidR="007B6C0A" w:rsidRPr="0003572B">
        <w:t>edical questionnaire</w:t>
      </w:r>
      <w:r w:rsidRPr="0003572B">
        <w:t>: questions 18 and 25; pre-employment questionnaire: questions 7.5 and 7.6.</w:t>
      </w:r>
    </w:p>
  </w:footnote>
  <w:footnote w:id="15">
    <w:p w14:paraId="4ECAA65D" w14:textId="03AAF6E8" w:rsidR="00426E0C" w:rsidRPr="000B4231" w:rsidRDefault="00426E0C">
      <w:pPr>
        <w:pStyle w:val="Notedebasdepage"/>
        <w:rPr>
          <w:lang w:val="en-CA"/>
        </w:rPr>
      </w:pPr>
      <w:r w:rsidRPr="00DC6EAD">
        <w:rPr>
          <w:rStyle w:val="Appelnotedebasdep"/>
        </w:rPr>
        <w:footnoteRef/>
      </w:r>
      <w:r w:rsidRPr="000B4231">
        <w:rPr>
          <w:lang w:val="en-CA"/>
        </w:rPr>
        <w:t xml:space="preserve"> </w:t>
      </w:r>
      <w:r w:rsidRPr="000B4231">
        <w:rPr>
          <w:lang w:val="en-CA"/>
        </w:rPr>
        <w:tab/>
      </w:r>
      <w:r w:rsidRPr="000B4231">
        <w:rPr>
          <w:i/>
          <w:lang w:val="en-CA"/>
        </w:rPr>
        <w:t xml:space="preserve">Charter of </w:t>
      </w:r>
      <w:r w:rsidR="004E42AA">
        <w:rPr>
          <w:i/>
          <w:lang w:val="en-CA"/>
        </w:rPr>
        <w:t>h</w:t>
      </w:r>
      <w:r w:rsidRPr="000B4231">
        <w:rPr>
          <w:i/>
          <w:lang w:val="en-CA"/>
        </w:rPr>
        <w:t xml:space="preserve">uman </w:t>
      </w:r>
      <w:r w:rsidR="004E42AA">
        <w:rPr>
          <w:i/>
          <w:lang w:val="en-CA"/>
        </w:rPr>
        <w:t>r</w:t>
      </w:r>
      <w:r w:rsidRPr="000B4231">
        <w:rPr>
          <w:i/>
          <w:lang w:val="en-CA"/>
        </w:rPr>
        <w:t xml:space="preserve">ights and </w:t>
      </w:r>
      <w:r w:rsidR="004E42AA">
        <w:rPr>
          <w:i/>
          <w:lang w:val="en-CA"/>
        </w:rPr>
        <w:t>f</w:t>
      </w:r>
      <w:r w:rsidRPr="000B4231">
        <w:rPr>
          <w:i/>
          <w:lang w:val="en-CA"/>
        </w:rPr>
        <w:t xml:space="preserve">reedoms, </w:t>
      </w:r>
      <w:r w:rsidRPr="000B4231">
        <w:rPr>
          <w:lang w:val="en-CA"/>
        </w:rPr>
        <w:t xml:space="preserve">CQLR c. C-12 [the </w:t>
      </w:r>
      <w:r w:rsidR="004E42AA">
        <w:rPr>
          <w:lang w:val="en-CA"/>
        </w:rPr>
        <w:t>“</w:t>
      </w:r>
      <w:r w:rsidRPr="000B4231">
        <w:rPr>
          <w:i/>
          <w:iCs/>
          <w:lang w:val="en-CA"/>
        </w:rPr>
        <w:t>Charter</w:t>
      </w:r>
      <w:r w:rsidR="004E42AA">
        <w:rPr>
          <w:lang w:val="en-CA"/>
        </w:rPr>
        <w:t>”</w:t>
      </w:r>
      <w:r w:rsidRPr="000B4231">
        <w:rPr>
          <w:lang w:val="en-CA"/>
        </w:rPr>
        <w:t>].</w:t>
      </w:r>
    </w:p>
  </w:footnote>
  <w:footnote w:id="16">
    <w:p w14:paraId="4F5D270F" w14:textId="28057B02" w:rsidR="00426E0C" w:rsidRPr="00572415" w:rsidRDefault="00426E0C" w:rsidP="00207F47">
      <w:pPr>
        <w:pStyle w:val="Notedebasdepage"/>
        <w:rPr>
          <w:lang w:val="en-US"/>
        </w:rPr>
      </w:pPr>
      <w:r w:rsidRPr="00DC6EAD">
        <w:rPr>
          <w:rStyle w:val="Appelnotedebasdep"/>
        </w:rPr>
        <w:footnoteRef/>
      </w:r>
      <w:r w:rsidRPr="000B4231">
        <w:rPr>
          <w:lang w:val="en-CA"/>
        </w:rPr>
        <w:t xml:space="preserve"> </w:t>
      </w:r>
      <w:r w:rsidRPr="000B4231">
        <w:rPr>
          <w:lang w:val="en-CA"/>
        </w:rPr>
        <w:tab/>
      </w:r>
      <w:r w:rsidRPr="000B4231">
        <w:rPr>
          <w:i/>
          <w:iCs/>
          <w:lang w:val="en-CA"/>
        </w:rPr>
        <w:t>Charter</w:t>
      </w:r>
      <w:r w:rsidRPr="000B4231">
        <w:rPr>
          <w:lang w:val="en-CA"/>
        </w:rPr>
        <w:t xml:space="preserve">, </w:t>
      </w:r>
      <w:r w:rsidRPr="000B4231">
        <w:rPr>
          <w:i/>
          <w:iCs/>
          <w:lang w:val="en-CA"/>
        </w:rPr>
        <w:t>supra</w:t>
      </w:r>
      <w:r w:rsidR="00CE0C49">
        <w:rPr>
          <w:lang w:val="en-CA"/>
        </w:rPr>
        <w:t xml:space="preserve"> note</w:t>
      </w:r>
      <w:r w:rsidRPr="000B4231">
        <w:rPr>
          <w:lang w:val="en-CA"/>
        </w:rPr>
        <w:t>. 15, s.</w:t>
      </w:r>
      <w:r w:rsidRPr="000B4231">
        <w:rPr>
          <w:i/>
          <w:iCs/>
          <w:lang w:val="en-CA"/>
        </w:rPr>
        <w:t> </w:t>
      </w:r>
      <w:r w:rsidRPr="000B4231">
        <w:rPr>
          <w:lang w:val="en-CA"/>
        </w:rPr>
        <w:t xml:space="preserve">18.1: </w:t>
      </w:r>
      <w:r>
        <w:rPr>
          <w:lang w:val="en-US"/>
        </w:rPr>
        <w:t xml:space="preserve">“No </w:t>
      </w:r>
      <w:r w:rsidRPr="00572415">
        <w:rPr>
          <w:lang w:val="en-US"/>
        </w:rPr>
        <w:t>one may, in an employment application form or employment interview, require a person to give information regarding any ground mentioned in section 10 unless the information is useful for the application of section 20 or the implementation of an affirmative action program in existence at the time of the application.</w:t>
      </w:r>
      <w:r>
        <w:rPr>
          <w:lang w:val="en-US"/>
        </w:rPr>
        <w:t>”</w:t>
      </w:r>
    </w:p>
  </w:footnote>
  <w:footnote w:id="17">
    <w:p w14:paraId="43B04C28" w14:textId="754CB4AB" w:rsidR="00426E0C" w:rsidRPr="000B4231" w:rsidRDefault="00426E0C" w:rsidP="00207F47">
      <w:pPr>
        <w:pStyle w:val="Notedebasdepage"/>
        <w:rPr>
          <w:lang w:val="en-CA"/>
        </w:rPr>
      </w:pPr>
      <w:r w:rsidRPr="00572415">
        <w:rPr>
          <w:rStyle w:val="Appelnotedebasdep"/>
          <w:lang w:val="en-US"/>
        </w:rPr>
        <w:footnoteRef/>
      </w:r>
      <w:r w:rsidRPr="00572415">
        <w:rPr>
          <w:lang w:val="en-US"/>
        </w:rPr>
        <w:t xml:space="preserve"> </w:t>
      </w:r>
      <w:r w:rsidRPr="00572415">
        <w:rPr>
          <w:lang w:val="en-US"/>
        </w:rPr>
        <w:tab/>
      </w:r>
      <w:r w:rsidRPr="00572415">
        <w:rPr>
          <w:i/>
          <w:iCs/>
          <w:lang w:val="en-US"/>
        </w:rPr>
        <w:t>Charte</w:t>
      </w:r>
      <w:r>
        <w:rPr>
          <w:i/>
          <w:iCs/>
          <w:lang w:val="en-US"/>
        </w:rPr>
        <w:t>r</w:t>
      </w:r>
      <w:r w:rsidRPr="00572415">
        <w:rPr>
          <w:lang w:val="en-US"/>
        </w:rPr>
        <w:t xml:space="preserve">, </w:t>
      </w:r>
      <w:r w:rsidRPr="00572415">
        <w:rPr>
          <w:i/>
          <w:iCs/>
          <w:lang w:val="en-US"/>
        </w:rPr>
        <w:t>supra</w:t>
      </w:r>
      <w:r w:rsidR="004E42AA">
        <w:rPr>
          <w:lang w:val="en-US"/>
        </w:rPr>
        <w:t xml:space="preserve"> note</w:t>
      </w:r>
      <w:r>
        <w:rPr>
          <w:lang w:val="en-US"/>
        </w:rPr>
        <w:t xml:space="preserve"> 15, s</w:t>
      </w:r>
      <w:r w:rsidRPr="00572415">
        <w:rPr>
          <w:lang w:val="en-US"/>
        </w:rPr>
        <w:t>.</w:t>
      </w:r>
      <w:r w:rsidRPr="00572415">
        <w:rPr>
          <w:i/>
          <w:iCs/>
          <w:lang w:val="en-US"/>
        </w:rPr>
        <w:t> </w:t>
      </w:r>
      <w:r>
        <w:rPr>
          <w:lang w:val="en-US"/>
        </w:rPr>
        <w:t>16</w:t>
      </w:r>
      <w:r w:rsidRPr="00572415">
        <w:rPr>
          <w:lang w:val="en-US"/>
        </w:rPr>
        <w:t xml:space="preserve">: </w:t>
      </w:r>
      <w:r>
        <w:rPr>
          <w:lang w:val="en-US"/>
        </w:rPr>
        <w:t>“</w:t>
      </w:r>
      <w:r w:rsidRPr="00572415">
        <w:rPr>
          <w:lang w:val="en-US"/>
        </w:rPr>
        <w:t xml:space="preserve">No one may </w:t>
      </w:r>
      <w:r w:rsidRPr="00572415">
        <w:rPr>
          <w:lang w:val="en-US"/>
        </w:rPr>
        <w:t>practise discrimination in respect of the hiring, apprenticeship, duration of the probationary period, vocational training, promotion, transfer, displacement, laying-off, suspension, dismissal or conditions of employment of a person or in the establishment of categories or classes of employment.</w:t>
      </w:r>
      <w:r>
        <w:rPr>
          <w:lang w:val="en-US"/>
        </w:rPr>
        <w:t>”</w:t>
      </w:r>
    </w:p>
  </w:footnote>
  <w:footnote w:id="18">
    <w:p w14:paraId="5D666EF9" w14:textId="522F064A" w:rsidR="00426E0C" w:rsidRPr="00DC6EAD" w:rsidRDefault="00426E0C" w:rsidP="00A552A1">
      <w:pPr>
        <w:autoSpaceDE w:val="0"/>
        <w:autoSpaceDN w:val="0"/>
        <w:adjustRightInd w:val="0"/>
        <w:spacing w:line="240" w:lineRule="auto"/>
        <w:ind w:left="357" w:hanging="357"/>
        <w:rPr>
          <w:rFonts w:cstheme="minorHAnsi"/>
          <w:i/>
          <w:iCs/>
          <w:sz w:val="20"/>
        </w:rPr>
      </w:pPr>
      <w:r w:rsidRPr="00DC6EAD">
        <w:rPr>
          <w:rStyle w:val="Appelnotedebasdep"/>
          <w:sz w:val="20"/>
        </w:rPr>
        <w:footnoteRef/>
      </w:r>
      <w:r w:rsidRPr="00DC6EAD">
        <w:rPr>
          <w:sz w:val="20"/>
        </w:rPr>
        <w:t xml:space="preserve"> </w:t>
      </w:r>
      <w:r w:rsidRPr="00DC6EAD">
        <w:rPr>
          <w:sz w:val="20"/>
        </w:rPr>
        <w:tab/>
      </w:r>
      <w:r w:rsidRPr="00DC6EAD">
        <w:rPr>
          <w:rFonts w:cstheme="minorHAnsi"/>
          <w:i/>
          <w:iCs/>
          <w:sz w:val="20"/>
        </w:rPr>
        <w:t xml:space="preserve">Syndicat des infirmières, inhalothérapeutes, infirmières auxiliaires du Cœur du Québec (SIIIACQ) c. Centre hospitalier régional de Trois-Rivières, </w:t>
      </w:r>
      <w:r w:rsidRPr="00DC6EAD">
        <w:rPr>
          <w:rFonts w:cstheme="minorHAnsi"/>
          <w:sz w:val="20"/>
        </w:rPr>
        <w:t>2012 QCCA 1867</w:t>
      </w:r>
      <w:r>
        <w:rPr>
          <w:rFonts w:cstheme="minorHAnsi"/>
          <w:sz w:val="20"/>
        </w:rPr>
        <w:t xml:space="preserve">, </w:t>
      </w:r>
      <w:r>
        <w:rPr>
          <w:rFonts w:cstheme="minorHAnsi"/>
          <w:sz w:val="20"/>
        </w:rPr>
        <w:t>leave to app</w:t>
      </w:r>
      <w:r w:rsidR="00196D9A">
        <w:rPr>
          <w:rFonts w:cstheme="minorHAnsi"/>
          <w:sz w:val="20"/>
        </w:rPr>
        <w:t xml:space="preserve">eal to </w:t>
      </w:r>
      <w:r w:rsidR="004E42AA">
        <w:rPr>
          <w:rFonts w:cstheme="minorHAnsi"/>
          <w:sz w:val="20"/>
        </w:rPr>
        <w:t>S.C.C.</w:t>
      </w:r>
      <w:r w:rsidR="00196D9A">
        <w:rPr>
          <w:rFonts w:cstheme="minorHAnsi"/>
          <w:sz w:val="20"/>
        </w:rPr>
        <w:t xml:space="preserve"> </w:t>
      </w:r>
      <w:r w:rsidR="004E42AA" w:rsidRPr="0003572B">
        <w:rPr>
          <w:rFonts w:cstheme="minorHAnsi"/>
          <w:sz w:val="20"/>
        </w:rPr>
        <w:t>refused</w:t>
      </w:r>
      <w:r w:rsidR="004E42AA">
        <w:rPr>
          <w:rFonts w:cstheme="minorHAnsi"/>
          <w:sz w:val="20"/>
        </w:rPr>
        <w:t>,</w:t>
      </w:r>
      <w:r>
        <w:rPr>
          <w:rFonts w:cstheme="minorHAnsi"/>
          <w:sz w:val="20"/>
        </w:rPr>
        <w:t xml:space="preserve">  </w:t>
      </w:r>
      <w:r w:rsidRPr="006F04F9">
        <w:rPr>
          <w:rFonts w:cstheme="minorHAnsi"/>
          <w:sz w:val="20"/>
        </w:rPr>
        <w:t>35130</w:t>
      </w:r>
      <w:r w:rsidR="004E42AA">
        <w:rPr>
          <w:rFonts w:cstheme="minorHAnsi"/>
          <w:sz w:val="20"/>
        </w:rPr>
        <w:t xml:space="preserve"> (21 March 2013)</w:t>
      </w:r>
      <w:r>
        <w:rPr>
          <w:rFonts w:cstheme="minorHAnsi"/>
          <w:sz w:val="20"/>
        </w:rPr>
        <w:t>.</w:t>
      </w:r>
    </w:p>
  </w:footnote>
  <w:footnote w:id="19">
    <w:p w14:paraId="3DBC3B7F" w14:textId="711117FA" w:rsidR="00426E0C" w:rsidRPr="00DC6EAD" w:rsidRDefault="00426E0C" w:rsidP="00A552A1">
      <w:pPr>
        <w:autoSpaceDE w:val="0"/>
        <w:autoSpaceDN w:val="0"/>
        <w:adjustRightInd w:val="0"/>
        <w:spacing w:line="240" w:lineRule="auto"/>
        <w:ind w:left="357" w:hanging="357"/>
        <w:rPr>
          <w:rFonts w:cstheme="minorHAnsi"/>
          <w:i/>
          <w:iCs/>
          <w:sz w:val="20"/>
        </w:rPr>
      </w:pPr>
      <w:r w:rsidRPr="00DC6EAD">
        <w:rPr>
          <w:rStyle w:val="Appelnotedebasdep"/>
          <w:sz w:val="20"/>
        </w:rPr>
        <w:footnoteRef/>
      </w:r>
      <w:r w:rsidRPr="00DC6EAD">
        <w:rPr>
          <w:sz w:val="20"/>
        </w:rPr>
        <w:t xml:space="preserve"> </w:t>
      </w:r>
      <w:r w:rsidRPr="00DC6EAD">
        <w:rPr>
          <w:sz w:val="20"/>
        </w:rPr>
        <w:tab/>
      </w:r>
      <w:r w:rsidRPr="00DC6EAD">
        <w:rPr>
          <w:rFonts w:cstheme="minorHAnsi"/>
          <w:i/>
          <w:sz w:val="20"/>
        </w:rPr>
        <w:t>I</w:t>
      </w:r>
      <w:r>
        <w:rPr>
          <w:rFonts w:cstheme="minorHAnsi"/>
          <w:i/>
          <w:sz w:val="20"/>
        </w:rPr>
        <w:t>bi</w:t>
      </w:r>
      <w:r w:rsidRPr="00DC6EAD">
        <w:rPr>
          <w:rFonts w:cstheme="minorHAnsi"/>
          <w:i/>
          <w:sz w:val="20"/>
        </w:rPr>
        <w:t>d.</w:t>
      </w:r>
      <w:r w:rsidR="004E42AA">
        <w:rPr>
          <w:sz w:val="20"/>
        </w:rPr>
        <w:t xml:space="preserve"> at</w:t>
      </w:r>
      <w:r>
        <w:rPr>
          <w:sz w:val="20"/>
        </w:rPr>
        <w:t xml:space="preserve"> paras. 63 and</w:t>
      </w:r>
      <w:r w:rsidRPr="00DC6EAD">
        <w:rPr>
          <w:sz w:val="20"/>
        </w:rPr>
        <w:t xml:space="preserve"> 65.</w:t>
      </w:r>
    </w:p>
  </w:footnote>
  <w:footnote w:id="20">
    <w:p w14:paraId="79434655" w14:textId="09BF1B87" w:rsidR="00426E0C" w:rsidRPr="00DC6EAD" w:rsidRDefault="00426E0C" w:rsidP="00A552A1">
      <w:pPr>
        <w:autoSpaceDE w:val="0"/>
        <w:autoSpaceDN w:val="0"/>
        <w:adjustRightInd w:val="0"/>
        <w:spacing w:line="240" w:lineRule="auto"/>
        <w:ind w:left="357" w:hanging="357"/>
        <w:rPr>
          <w:rFonts w:cstheme="minorHAnsi"/>
          <w:i/>
          <w:iCs/>
          <w:sz w:val="20"/>
        </w:rPr>
      </w:pPr>
      <w:r w:rsidRPr="00DC6EAD">
        <w:rPr>
          <w:rStyle w:val="Appelnotedebasdep"/>
          <w:sz w:val="20"/>
        </w:rPr>
        <w:footnoteRef/>
      </w:r>
      <w:r w:rsidRPr="00DC6EAD">
        <w:rPr>
          <w:sz w:val="20"/>
        </w:rPr>
        <w:t xml:space="preserve"> </w:t>
      </w:r>
      <w:r w:rsidRPr="00DC6EAD">
        <w:rPr>
          <w:sz w:val="20"/>
        </w:rPr>
        <w:tab/>
      </w:r>
      <w:r w:rsidRPr="006F129C">
        <w:rPr>
          <w:i/>
          <w:iCs/>
          <w:sz w:val="20"/>
        </w:rPr>
        <w:t>Charte</w:t>
      </w:r>
      <w:r>
        <w:rPr>
          <w:i/>
          <w:iCs/>
          <w:sz w:val="20"/>
        </w:rPr>
        <w:t>r</w:t>
      </w:r>
      <w:r w:rsidRPr="00FA1FC5">
        <w:rPr>
          <w:sz w:val="20"/>
        </w:rPr>
        <w:t xml:space="preserve">, </w:t>
      </w:r>
      <w:r w:rsidRPr="006F129C">
        <w:rPr>
          <w:i/>
          <w:iCs/>
          <w:sz w:val="20"/>
        </w:rPr>
        <w:t>supra</w:t>
      </w:r>
      <w:r w:rsidR="004E42AA">
        <w:rPr>
          <w:sz w:val="20"/>
        </w:rPr>
        <w:t xml:space="preserve"> note</w:t>
      </w:r>
      <w:r w:rsidRPr="00FA1FC5">
        <w:rPr>
          <w:sz w:val="20"/>
        </w:rPr>
        <w:t xml:space="preserve"> 1</w:t>
      </w:r>
      <w:r>
        <w:rPr>
          <w:sz w:val="20"/>
        </w:rPr>
        <w:t>5, s</w:t>
      </w:r>
      <w:r w:rsidRPr="00FA1FC5">
        <w:rPr>
          <w:sz w:val="20"/>
        </w:rPr>
        <w:t>.</w:t>
      </w:r>
      <w:r>
        <w:rPr>
          <w:sz w:val="20"/>
        </w:rPr>
        <w:t> 20;</w:t>
      </w:r>
      <w:r w:rsidRPr="00DC6EAD">
        <w:rPr>
          <w:sz w:val="20"/>
        </w:rPr>
        <w:t xml:space="preserve"> </w:t>
      </w:r>
      <w:r w:rsidRPr="00DC6EAD">
        <w:rPr>
          <w:rFonts w:cstheme="minorHAnsi"/>
          <w:i/>
          <w:iCs/>
          <w:sz w:val="20"/>
        </w:rPr>
        <w:t xml:space="preserve">Syndicat des infirmières, inhalothérapeutes, infirmières auxiliaires du Cœur </w:t>
      </w:r>
      <w:r w:rsidR="007B6C0A">
        <w:rPr>
          <w:rFonts w:cstheme="minorHAnsi"/>
          <w:i/>
          <w:iCs/>
          <w:sz w:val="20"/>
        </w:rPr>
        <w:t>du Québec (SIII</w:t>
      </w:r>
      <w:r w:rsidRPr="00DC6EAD">
        <w:rPr>
          <w:rFonts w:cstheme="minorHAnsi"/>
          <w:i/>
          <w:iCs/>
          <w:sz w:val="20"/>
        </w:rPr>
        <w:t xml:space="preserve">ACQ) c. Centre hospitalier régional de Trois-Rivières, </w:t>
      </w:r>
      <w:r w:rsidRPr="00DC6EAD">
        <w:rPr>
          <w:rFonts w:cstheme="minorHAnsi"/>
          <w:i/>
          <w:sz w:val="20"/>
        </w:rPr>
        <w:t>supra</w:t>
      </w:r>
      <w:r w:rsidR="004E42AA">
        <w:rPr>
          <w:rFonts w:cstheme="minorHAnsi"/>
          <w:iCs/>
          <w:sz w:val="20"/>
        </w:rPr>
        <w:t xml:space="preserve"> note</w:t>
      </w:r>
      <w:r w:rsidRPr="00DC6EAD">
        <w:rPr>
          <w:rFonts w:cstheme="minorHAnsi"/>
          <w:sz w:val="20"/>
        </w:rPr>
        <w:t xml:space="preserve"> 1</w:t>
      </w:r>
      <w:r>
        <w:rPr>
          <w:rFonts w:cstheme="minorHAnsi"/>
          <w:sz w:val="20"/>
        </w:rPr>
        <w:t>8</w:t>
      </w:r>
      <w:r w:rsidR="004E42AA">
        <w:rPr>
          <w:sz w:val="20"/>
        </w:rPr>
        <w:t xml:space="preserve"> at</w:t>
      </w:r>
      <w:r>
        <w:rPr>
          <w:sz w:val="20"/>
        </w:rPr>
        <w:t xml:space="preserve"> para</w:t>
      </w:r>
      <w:r w:rsidRPr="00DC6EAD">
        <w:rPr>
          <w:sz w:val="20"/>
        </w:rPr>
        <w:t>. 67</w:t>
      </w:r>
      <w:r>
        <w:rPr>
          <w:sz w:val="20"/>
        </w:rPr>
        <w:t>.</w:t>
      </w:r>
    </w:p>
  </w:footnote>
  <w:footnote w:id="21">
    <w:p w14:paraId="24EE2ADC" w14:textId="02CFFE82" w:rsidR="00426E0C" w:rsidRPr="000B4231" w:rsidRDefault="00426E0C" w:rsidP="00A552A1">
      <w:pPr>
        <w:autoSpaceDE w:val="0"/>
        <w:autoSpaceDN w:val="0"/>
        <w:adjustRightInd w:val="0"/>
        <w:spacing w:line="240" w:lineRule="auto"/>
        <w:ind w:left="357" w:hanging="357"/>
        <w:rPr>
          <w:rFonts w:cstheme="minorHAnsi"/>
          <w:i/>
          <w:iCs/>
          <w:sz w:val="20"/>
          <w:lang w:val="en-CA"/>
        </w:rPr>
      </w:pPr>
      <w:r w:rsidRPr="00DC6EAD">
        <w:rPr>
          <w:rStyle w:val="Appelnotedebasdep"/>
          <w:sz w:val="20"/>
        </w:rPr>
        <w:footnoteRef/>
      </w:r>
      <w:r w:rsidRPr="00DC6EAD">
        <w:rPr>
          <w:sz w:val="20"/>
        </w:rPr>
        <w:t xml:space="preserve"> </w:t>
      </w:r>
      <w:r w:rsidRPr="00DC6EAD">
        <w:rPr>
          <w:sz w:val="20"/>
        </w:rPr>
        <w:tab/>
      </w:r>
      <w:r w:rsidRPr="00DC6EAD">
        <w:rPr>
          <w:rFonts w:cstheme="minorHAnsi"/>
          <w:i/>
          <w:iCs/>
          <w:sz w:val="20"/>
        </w:rPr>
        <w:t>Syndicat des infirmières, inhalothérapeutes, infirmières auxiliaires du Cœur d</w:t>
      </w:r>
      <w:r>
        <w:rPr>
          <w:rFonts w:cstheme="minorHAnsi"/>
          <w:i/>
          <w:iCs/>
          <w:sz w:val="20"/>
        </w:rPr>
        <w:t>u Québec (SIII</w:t>
      </w:r>
      <w:r w:rsidRPr="00DC6EAD">
        <w:rPr>
          <w:rFonts w:cstheme="minorHAnsi"/>
          <w:i/>
          <w:iCs/>
          <w:sz w:val="20"/>
        </w:rPr>
        <w:t xml:space="preserve">ACQ) c. Centre hospitalier régional de Trois-Rivières, </w:t>
      </w:r>
      <w:r w:rsidRPr="00DC6EAD">
        <w:rPr>
          <w:rFonts w:cstheme="minorHAnsi"/>
          <w:i/>
          <w:sz w:val="20"/>
        </w:rPr>
        <w:t>supra</w:t>
      </w:r>
      <w:r w:rsidR="004E42AA">
        <w:rPr>
          <w:rFonts w:cstheme="minorHAnsi"/>
          <w:sz w:val="20"/>
        </w:rPr>
        <w:t xml:space="preserve"> note</w:t>
      </w:r>
      <w:r w:rsidRPr="00DC6EAD">
        <w:rPr>
          <w:rFonts w:cstheme="minorHAnsi"/>
          <w:sz w:val="20"/>
        </w:rPr>
        <w:t xml:space="preserve"> 1</w:t>
      </w:r>
      <w:r>
        <w:rPr>
          <w:rFonts w:cstheme="minorHAnsi"/>
          <w:sz w:val="20"/>
        </w:rPr>
        <w:t>8</w:t>
      </w:r>
      <w:r w:rsidR="004E42AA">
        <w:rPr>
          <w:sz w:val="20"/>
        </w:rPr>
        <w:t xml:space="preserve"> at</w:t>
      </w:r>
      <w:r>
        <w:rPr>
          <w:sz w:val="20"/>
        </w:rPr>
        <w:t xml:space="preserve"> para</w:t>
      </w:r>
      <w:r w:rsidRPr="00DC6EAD">
        <w:rPr>
          <w:sz w:val="20"/>
        </w:rPr>
        <w:t xml:space="preserve">. </w:t>
      </w:r>
      <w:r w:rsidRPr="000B4231">
        <w:rPr>
          <w:sz w:val="20"/>
          <w:lang w:val="en-CA"/>
        </w:rPr>
        <w:t>67.</w:t>
      </w:r>
    </w:p>
  </w:footnote>
  <w:footnote w:id="22">
    <w:p w14:paraId="5FEEF6B0" w14:textId="006364F9" w:rsidR="00426E0C" w:rsidRPr="000B4231" w:rsidRDefault="00426E0C" w:rsidP="006625E8">
      <w:pPr>
        <w:autoSpaceDE w:val="0"/>
        <w:autoSpaceDN w:val="0"/>
        <w:adjustRightInd w:val="0"/>
        <w:spacing w:line="240" w:lineRule="auto"/>
        <w:ind w:left="357" w:hanging="357"/>
        <w:rPr>
          <w:sz w:val="20"/>
          <w:lang w:val="en-CA"/>
        </w:rPr>
      </w:pPr>
      <w:r w:rsidRPr="00DC6EAD">
        <w:rPr>
          <w:rStyle w:val="Appelnotedebasdep"/>
          <w:sz w:val="20"/>
        </w:rPr>
        <w:footnoteRef/>
      </w:r>
      <w:r w:rsidRPr="000B4231">
        <w:rPr>
          <w:sz w:val="20"/>
          <w:lang w:val="en-CA"/>
        </w:rPr>
        <w:t xml:space="preserve"> </w:t>
      </w:r>
      <w:r w:rsidRPr="000B4231">
        <w:rPr>
          <w:sz w:val="20"/>
          <w:lang w:val="en-CA"/>
        </w:rPr>
        <w:tab/>
      </w:r>
      <w:r w:rsidRPr="000B4231">
        <w:rPr>
          <w:rFonts w:cstheme="minorHAnsi"/>
          <w:i/>
          <w:iCs/>
          <w:sz w:val="20"/>
          <w:lang w:val="en-CA"/>
        </w:rPr>
        <w:t>Ibid.</w:t>
      </w:r>
      <w:r w:rsidR="004E42AA">
        <w:rPr>
          <w:rFonts w:cstheme="minorHAnsi"/>
          <w:i/>
          <w:iCs/>
          <w:sz w:val="20"/>
          <w:lang w:val="en-CA"/>
        </w:rPr>
        <w:t xml:space="preserve"> </w:t>
      </w:r>
      <w:r w:rsidR="00055995">
        <w:rPr>
          <w:rFonts w:cstheme="minorHAnsi"/>
          <w:sz w:val="20"/>
          <w:lang w:val="en-CA"/>
        </w:rPr>
        <w:t>at</w:t>
      </w:r>
      <w:r w:rsidRPr="000B4231">
        <w:rPr>
          <w:sz w:val="20"/>
          <w:lang w:val="en-CA"/>
        </w:rPr>
        <w:t xml:space="preserve"> para. 58.</w:t>
      </w:r>
    </w:p>
  </w:footnote>
  <w:footnote w:id="23">
    <w:p w14:paraId="6D7AA3B0" w14:textId="00254A3A" w:rsidR="00426E0C" w:rsidRPr="000B4231" w:rsidRDefault="00426E0C" w:rsidP="00054427">
      <w:pPr>
        <w:autoSpaceDE w:val="0"/>
        <w:autoSpaceDN w:val="0"/>
        <w:adjustRightInd w:val="0"/>
        <w:spacing w:line="240" w:lineRule="auto"/>
        <w:ind w:left="357" w:hanging="357"/>
        <w:rPr>
          <w:sz w:val="20"/>
          <w:lang w:val="en-CA"/>
        </w:rPr>
      </w:pPr>
      <w:r w:rsidRPr="00DC6EAD">
        <w:rPr>
          <w:rStyle w:val="Appelnotedebasdep"/>
          <w:sz w:val="20"/>
        </w:rPr>
        <w:footnoteRef/>
      </w:r>
      <w:r w:rsidRPr="000B4231">
        <w:rPr>
          <w:sz w:val="20"/>
          <w:lang w:val="en-CA"/>
        </w:rPr>
        <w:t xml:space="preserve"> </w:t>
      </w:r>
      <w:r w:rsidRPr="000B4231">
        <w:rPr>
          <w:sz w:val="20"/>
          <w:lang w:val="en-CA"/>
        </w:rPr>
        <w:tab/>
      </w:r>
      <w:r w:rsidRPr="000B4231">
        <w:rPr>
          <w:rFonts w:cstheme="minorHAnsi"/>
          <w:i/>
          <w:iCs/>
          <w:sz w:val="20"/>
          <w:lang w:val="en-CA"/>
        </w:rPr>
        <w:t>Ibid.</w:t>
      </w:r>
      <w:r w:rsidR="00055995">
        <w:rPr>
          <w:rFonts w:cstheme="minorHAnsi"/>
          <w:sz w:val="20"/>
          <w:lang w:val="en-CA"/>
        </w:rPr>
        <w:t xml:space="preserve"> at</w:t>
      </w:r>
      <w:r w:rsidRPr="000B4231">
        <w:rPr>
          <w:sz w:val="20"/>
          <w:lang w:val="en-CA"/>
        </w:rPr>
        <w:t xml:space="preserve"> para. 68.</w:t>
      </w:r>
    </w:p>
  </w:footnote>
  <w:footnote w:id="24">
    <w:p w14:paraId="14E68A68" w14:textId="319D4C29" w:rsidR="00426E0C" w:rsidRPr="00AB12A6" w:rsidRDefault="00426E0C" w:rsidP="00207F47">
      <w:pPr>
        <w:pStyle w:val="Notedebasdepage"/>
        <w:rPr>
          <w:lang w:val="en-GB"/>
        </w:rPr>
      </w:pPr>
      <w:r>
        <w:rPr>
          <w:rStyle w:val="Appelnotedebasdep"/>
        </w:rPr>
        <w:footnoteRef/>
      </w:r>
      <w:r w:rsidRPr="000B4231">
        <w:rPr>
          <w:lang w:val="en-CA"/>
        </w:rPr>
        <w:t xml:space="preserve"> </w:t>
      </w:r>
      <w:r w:rsidRPr="000B4231">
        <w:rPr>
          <w:lang w:val="en-CA"/>
        </w:rPr>
        <w:tab/>
      </w:r>
      <w:r w:rsidRPr="00AB12A6">
        <w:rPr>
          <w:lang w:val="en-GB"/>
        </w:rPr>
        <w:t xml:space="preserve">Judgment </w:t>
      </w:r>
      <w:r w:rsidR="00E656FB">
        <w:rPr>
          <w:lang w:val="en-GB"/>
        </w:rPr>
        <w:t>under appeal</w:t>
      </w:r>
      <w:r w:rsidRPr="00AB12A6">
        <w:rPr>
          <w:lang w:val="en-GB"/>
        </w:rPr>
        <w:t>, para. 78.</w:t>
      </w:r>
    </w:p>
  </w:footnote>
  <w:footnote w:id="25">
    <w:p w14:paraId="6B5867CF" w14:textId="7A7F9A37" w:rsidR="00426E0C" w:rsidRPr="00AB12A6" w:rsidRDefault="00426E0C" w:rsidP="003F42DF">
      <w:pPr>
        <w:pStyle w:val="Notedebasdepage"/>
        <w:rPr>
          <w:lang w:val="en-GB"/>
        </w:rPr>
      </w:pPr>
      <w:r w:rsidRPr="00AB12A6">
        <w:rPr>
          <w:rStyle w:val="Appelnotedebasdep"/>
          <w:lang w:val="en-GB"/>
        </w:rPr>
        <w:footnoteRef/>
      </w:r>
      <w:r w:rsidRPr="00AB12A6">
        <w:rPr>
          <w:lang w:val="en-GB"/>
        </w:rPr>
        <w:t xml:space="preserve"> </w:t>
      </w:r>
      <w:r w:rsidRPr="00AB12A6">
        <w:rPr>
          <w:lang w:val="en-GB"/>
        </w:rPr>
        <w:tab/>
        <w:t xml:space="preserve">Judgment </w:t>
      </w:r>
      <w:r w:rsidR="00E656FB">
        <w:rPr>
          <w:lang w:val="en-GB"/>
        </w:rPr>
        <w:t>under appeal</w:t>
      </w:r>
      <w:r w:rsidRPr="00AB12A6">
        <w:rPr>
          <w:lang w:val="en-GB"/>
        </w:rPr>
        <w:t>, paras. 91-92.</w:t>
      </w:r>
    </w:p>
  </w:footnote>
  <w:footnote w:id="26">
    <w:p w14:paraId="39935A99" w14:textId="0C4C271F" w:rsidR="00426E0C" w:rsidRPr="00AB12A6" w:rsidRDefault="00426E0C" w:rsidP="003F42DF">
      <w:pPr>
        <w:pStyle w:val="Notedebasdepage"/>
        <w:rPr>
          <w:lang w:val="en-GB"/>
        </w:rPr>
      </w:pPr>
      <w:r w:rsidRPr="00AB12A6">
        <w:rPr>
          <w:rStyle w:val="Appelnotedebasdep"/>
          <w:lang w:val="en-GB"/>
        </w:rPr>
        <w:footnoteRef/>
      </w:r>
      <w:r w:rsidRPr="00AB12A6">
        <w:rPr>
          <w:lang w:val="en-GB"/>
        </w:rPr>
        <w:t xml:space="preserve"> </w:t>
      </w:r>
      <w:r w:rsidRPr="00AB12A6">
        <w:rPr>
          <w:lang w:val="en-GB"/>
        </w:rPr>
        <w:tab/>
        <w:t xml:space="preserve">Judgment </w:t>
      </w:r>
      <w:r w:rsidR="00E656FB">
        <w:rPr>
          <w:lang w:val="en-GB"/>
        </w:rPr>
        <w:t>under appeal</w:t>
      </w:r>
      <w:r w:rsidRPr="00AB12A6">
        <w:rPr>
          <w:lang w:val="en-GB"/>
        </w:rPr>
        <w:t>, para. 79.</w:t>
      </w:r>
    </w:p>
  </w:footnote>
  <w:footnote w:id="27">
    <w:p w14:paraId="650776B9" w14:textId="60857C8B" w:rsidR="00426E0C" w:rsidRPr="000B4231" w:rsidRDefault="00426E0C" w:rsidP="00833A48">
      <w:pPr>
        <w:pStyle w:val="Notedebasdepage"/>
      </w:pPr>
      <w:r w:rsidRPr="00AB12A6">
        <w:rPr>
          <w:rStyle w:val="Appelnotedebasdep"/>
          <w:lang w:val="en-GB"/>
        </w:rPr>
        <w:footnoteRef/>
      </w:r>
      <w:r w:rsidRPr="00AB12A6">
        <w:rPr>
          <w:lang w:val="en-GB"/>
        </w:rPr>
        <w:t xml:space="preserve"> </w:t>
      </w:r>
      <w:r w:rsidRPr="00AB12A6">
        <w:rPr>
          <w:lang w:val="en-GB"/>
        </w:rPr>
        <w:tab/>
        <w:t xml:space="preserve">Judgment </w:t>
      </w:r>
      <w:r w:rsidR="00E656FB">
        <w:rPr>
          <w:lang w:val="en-GB"/>
        </w:rPr>
        <w:t>under appeal</w:t>
      </w:r>
      <w:r w:rsidRPr="00AB12A6">
        <w:rPr>
          <w:lang w:val="en-GB"/>
        </w:rPr>
        <w:t xml:space="preserve">, para. </w:t>
      </w:r>
      <w:r w:rsidRPr="000B4231">
        <w:t>80.</w:t>
      </w:r>
    </w:p>
  </w:footnote>
  <w:footnote w:id="28">
    <w:p w14:paraId="6A627A8F" w14:textId="37280372" w:rsidR="00426E0C" w:rsidRDefault="00426E0C">
      <w:pPr>
        <w:pStyle w:val="Notedebasdepage"/>
      </w:pPr>
      <w:r>
        <w:rPr>
          <w:rStyle w:val="Appelnotedebasdep"/>
        </w:rPr>
        <w:footnoteRef/>
      </w:r>
      <w:r>
        <w:t xml:space="preserve"> </w:t>
      </w:r>
      <w:r>
        <w:tab/>
      </w:r>
      <w:r w:rsidRPr="00A552A1">
        <w:rPr>
          <w:rFonts w:cstheme="minorHAnsi"/>
          <w:i/>
          <w:iCs/>
          <w:color w:val="171717"/>
        </w:rPr>
        <w:t>Syndicat des infirmières, inhalothérapeutes, infirmières aux</w:t>
      </w:r>
      <w:r w:rsidR="00196D9A">
        <w:rPr>
          <w:rFonts w:cstheme="minorHAnsi"/>
          <w:i/>
          <w:iCs/>
          <w:color w:val="171717"/>
        </w:rPr>
        <w:t>iliaires du Cœur du Québec (SIII</w:t>
      </w:r>
      <w:r w:rsidRPr="00A552A1">
        <w:rPr>
          <w:rFonts w:cstheme="minorHAnsi"/>
          <w:i/>
          <w:iCs/>
          <w:color w:val="171717"/>
        </w:rPr>
        <w:t>ACQ) c.</w:t>
      </w:r>
      <w:r>
        <w:rPr>
          <w:rFonts w:cstheme="minorHAnsi"/>
          <w:i/>
          <w:iCs/>
          <w:color w:val="171717"/>
        </w:rPr>
        <w:t xml:space="preserve"> </w:t>
      </w:r>
      <w:r w:rsidRPr="00A552A1">
        <w:rPr>
          <w:rFonts w:cstheme="minorHAnsi"/>
          <w:i/>
          <w:iCs/>
          <w:color w:val="171717"/>
        </w:rPr>
        <w:t>Centre hospitalier régional de Trois-Rivières</w:t>
      </w:r>
      <w:r w:rsidRPr="006F129C">
        <w:rPr>
          <w:rFonts w:cstheme="minorHAnsi"/>
          <w:color w:val="171717"/>
        </w:rPr>
        <w:t>,</w:t>
      </w:r>
      <w:r w:rsidRPr="00A552A1">
        <w:rPr>
          <w:rFonts w:cstheme="minorHAnsi"/>
          <w:i/>
          <w:iCs/>
          <w:color w:val="171717"/>
        </w:rPr>
        <w:t xml:space="preserve"> </w:t>
      </w:r>
      <w:r w:rsidRPr="00291EDB">
        <w:rPr>
          <w:rFonts w:cstheme="minorHAnsi"/>
          <w:i/>
          <w:color w:val="171717"/>
        </w:rPr>
        <w:t>supra</w:t>
      </w:r>
      <w:r w:rsidR="00ED0B57">
        <w:rPr>
          <w:rFonts w:cstheme="minorHAnsi"/>
          <w:iCs/>
          <w:color w:val="171717"/>
        </w:rPr>
        <w:t xml:space="preserve"> note</w:t>
      </w:r>
      <w:r w:rsidR="00196D9A">
        <w:rPr>
          <w:rFonts w:cstheme="minorHAnsi"/>
          <w:color w:val="171717"/>
        </w:rPr>
        <w:t xml:space="preserve"> 18</w:t>
      </w:r>
      <w:r w:rsidR="00ED0B57">
        <w:rPr>
          <w:rFonts w:cstheme="minorHAnsi"/>
          <w:color w:val="171717"/>
        </w:rPr>
        <w:t xml:space="preserve"> at</w:t>
      </w:r>
      <w:r w:rsidR="00196D9A">
        <w:rPr>
          <w:rFonts w:cstheme="minorHAnsi"/>
          <w:color w:val="171717"/>
        </w:rPr>
        <w:t xml:space="preserve"> paras</w:t>
      </w:r>
      <w:r>
        <w:rPr>
          <w:rFonts w:cstheme="minorHAnsi"/>
          <w:color w:val="171717"/>
        </w:rPr>
        <w:t>. 85</w:t>
      </w:r>
      <w:r w:rsidR="00ED0B57">
        <w:rPr>
          <w:rFonts w:cstheme="minorHAnsi"/>
          <w:color w:val="171717"/>
        </w:rPr>
        <w:t>–</w:t>
      </w:r>
      <w:r>
        <w:rPr>
          <w:rFonts w:cstheme="minorHAnsi"/>
          <w:color w:val="171717"/>
        </w:rPr>
        <w:t>86.</w:t>
      </w:r>
    </w:p>
  </w:footnote>
  <w:footnote w:id="29">
    <w:p w14:paraId="5F04BA9B" w14:textId="7C9BB713" w:rsidR="00426E0C" w:rsidRPr="00DC6EAD" w:rsidRDefault="00426E0C" w:rsidP="00A552A1">
      <w:pPr>
        <w:autoSpaceDE w:val="0"/>
        <w:autoSpaceDN w:val="0"/>
        <w:adjustRightInd w:val="0"/>
        <w:spacing w:line="240" w:lineRule="auto"/>
        <w:ind w:left="357" w:hanging="357"/>
        <w:rPr>
          <w:rFonts w:cstheme="minorHAnsi"/>
          <w:i/>
          <w:iCs/>
          <w:color w:val="171717"/>
          <w:sz w:val="20"/>
        </w:rPr>
      </w:pPr>
      <w:r w:rsidRPr="00DC6EAD">
        <w:rPr>
          <w:rStyle w:val="Appelnotedebasdep"/>
          <w:sz w:val="20"/>
        </w:rPr>
        <w:footnoteRef/>
      </w:r>
      <w:r w:rsidRPr="00DC6EAD">
        <w:rPr>
          <w:sz w:val="20"/>
        </w:rPr>
        <w:t xml:space="preserve"> </w:t>
      </w:r>
      <w:r w:rsidRPr="00DC6EAD">
        <w:rPr>
          <w:sz w:val="20"/>
        </w:rPr>
        <w:tab/>
      </w:r>
      <w:r w:rsidRPr="00DC6EAD">
        <w:rPr>
          <w:i/>
          <w:sz w:val="20"/>
        </w:rPr>
        <w:t>I</w:t>
      </w:r>
      <w:r>
        <w:rPr>
          <w:i/>
          <w:sz w:val="20"/>
        </w:rPr>
        <w:t>bid</w:t>
      </w:r>
      <w:r w:rsidRPr="00DC6EAD">
        <w:rPr>
          <w:rFonts w:cstheme="minorHAnsi"/>
          <w:color w:val="171717"/>
          <w:sz w:val="20"/>
        </w:rPr>
        <w:t>.</w:t>
      </w:r>
      <w:r w:rsidR="00A76B1F">
        <w:rPr>
          <w:rFonts w:cstheme="minorHAnsi"/>
          <w:color w:val="171717"/>
          <w:sz w:val="20"/>
        </w:rPr>
        <w:t xml:space="preserve"> at</w:t>
      </w:r>
      <w:r>
        <w:rPr>
          <w:rFonts w:cstheme="minorHAnsi"/>
          <w:color w:val="171717"/>
          <w:sz w:val="20"/>
        </w:rPr>
        <w:t xml:space="preserve"> paras. 76</w:t>
      </w:r>
      <w:r w:rsidR="00A76B1F">
        <w:rPr>
          <w:rFonts w:cstheme="minorHAnsi"/>
          <w:color w:val="171717"/>
          <w:sz w:val="20"/>
        </w:rPr>
        <w:t>–</w:t>
      </w:r>
      <w:r>
        <w:rPr>
          <w:rFonts w:cstheme="minorHAnsi"/>
          <w:color w:val="171717"/>
          <w:sz w:val="20"/>
        </w:rPr>
        <w:t>79.</w:t>
      </w:r>
    </w:p>
  </w:footnote>
  <w:footnote w:id="30">
    <w:p w14:paraId="5377B369" w14:textId="7CCB4DA8" w:rsidR="00426E0C" w:rsidRPr="00DC6EAD" w:rsidRDefault="00426E0C" w:rsidP="00207F47">
      <w:pPr>
        <w:pStyle w:val="Notedebasdepage"/>
      </w:pPr>
      <w:r w:rsidRPr="00DC6EAD">
        <w:rPr>
          <w:rStyle w:val="Appelnotedebasdep"/>
        </w:rPr>
        <w:footnoteRef/>
      </w:r>
      <w:r w:rsidRPr="00DC6EAD">
        <w:t xml:space="preserve"> </w:t>
      </w:r>
      <w:r w:rsidRPr="00DC6EAD">
        <w:tab/>
      </w:r>
      <w:r w:rsidRPr="000B4231">
        <w:t xml:space="preserve">Judgment </w:t>
      </w:r>
      <w:r w:rsidR="00E656FB">
        <w:t>under appeal</w:t>
      </w:r>
      <w:r>
        <w:t>, para. </w:t>
      </w:r>
      <w:r w:rsidRPr="00DC6EAD">
        <w:t>114.</w:t>
      </w:r>
    </w:p>
  </w:footnote>
  <w:footnote w:id="31">
    <w:p w14:paraId="322A9A96" w14:textId="77777777" w:rsidR="00426E0C" w:rsidRPr="00DC6EAD" w:rsidRDefault="00426E0C" w:rsidP="00716FCC">
      <w:pPr>
        <w:pStyle w:val="Notedebasdepage"/>
      </w:pPr>
      <w:r w:rsidRPr="00DC6EAD">
        <w:rPr>
          <w:rStyle w:val="Appelnotedebasdep"/>
        </w:rPr>
        <w:footnoteRef/>
      </w:r>
      <w:r w:rsidRPr="00DC6EAD">
        <w:t xml:space="preserve"> </w:t>
      </w:r>
      <w:r w:rsidRPr="00DC6EAD">
        <w:tab/>
      </w:r>
      <w:r w:rsidRPr="00DC6EAD">
        <w:rPr>
          <w:rFonts w:cstheme="minorHAnsi"/>
          <w:i/>
          <w:iCs/>
        </w:rPr>
        <w:t>Syndicat des infirmières, inhalothérapeutes, infirmières auxi</w:t>
      </w:r>
      <w:r w:rsidR="00250E5E">
        <w:rPr>
          <w:rFonts w:cstheme="minorHAnsi"/>
          <w:i/>
          <w:iCs/>
        </w:rPr>
        <w:t xml:space="preserve">liaires du </w:t>
      </w:r>
      <w:r w:rsidR="00250E5E">
        <w:rPr>
          <w:rFonts w:cstheme="minorHAnsi"/>
          <w:i/>
          <w:iCs/>
        </w:rPr>
        <w:t>Coeur du Québec (SIII</w:t>
      </w:r>
      <w:r w:rsidRPr="00DC6EAD">
        <w:rPr>
          <w:rFonts w:cstheme="minorHAnsi"/>
          <w:i/>
          <w:iCs/>
        </w:rPr>
        <w:t>ACQ) c. Centre hospitalier régional de Trois-Rivières</w:t>
      </w:r>
      <w:r w:rsidRPr="006F129C">
        <w:rPr>
          <w:rFonts w:cstheme="minorHAnsi"/>
        </w:rPr>
        <w:t xml:space="preserve">, </w:t>
      </w:r>
      <w:r w:rsidRPr="006F129C">
        <w:rPr>
          <w:rFonts w:cstheme="minorHAnsi"/>
          <w:i/>
          <w:iCs/>
        </w:rPr>
        <w:t>supra</w:t>
      </w:r>
      <w:r w:rsidRPr="006F129C">
        <w:rPr>
          <w:rFonts w:cstheme="minorHAnsi"/>
        </w:rPr>
        <w:t>,</w:t>
      </w:r>
      <w:r w:rsidR="00250E5E">
        <w:rPr>
          <w:rFonts w:cstheme="minorHAnsi"/>
        </w:rPr>
        <w:t xml:space="preserve"> fn.</w:t>
      </w:r>
      <w:r w:rsidRPr="00DC6EAD">
        <w:rPr>
          <w:rFonts w:cstheme="minorHAnsi"/>
        </w:rPr>
        <w:t xml:space="preserve"> 1</w:t>
      </w:r>
      <w:r w:rsidR="00250E5E">
        <w:rPr>
          <w:rFonts w:cstheme="minorHAnsi"/>
        </w:rPr>
        <w:t>8, paras</w:t>
      </w:r>
      <w:r>
        <w:rPr>
          <w:rFonts w:cstheme="minorHAnsi"/>
        </w:rPr>
        <w:t>. 60-61</w:t>
      </w:r>
      <w:r w:rsidRPr="00DC6EAD">
        <w:rPr>
          <w:rFonts w:cstheme="minorHAnsi"/>
        </w:rPr>
        <w:t>.</w:t>
      </w:r>
    </w:p>
  </w:footnote>
  <w:footnote w:id="32">
    <w:p w14:paraId="2779455C" w14:textId="77777777" w:rsidR="00A41674" w:rsidRDefault="00A41674" w:rsidP="00A41674">
      <w:pPr>
        <w:pStyle w:val="Notedebasdepage"/>
      </w:pPr>
      <w:r w:rsidRPr="00DC6EAD">
        <w:rPr>
          <w:rStyle w:val="Appelnotedebasdep"/>
        </w:rPr>
        <w:footnoteRef/>
      </w:r>
      <w:r w:rsidRPr="00DC6EAD">
        <w:t xml:space="preserve"> </w:t>
      </w:r>
      <w:r w:rsidRPr="00DC6EAD">
        <w:tab/>
        <w:t>Art</w:t>
      </w:r>
      <w:r>
        <w:t xml:space="preserve">icles. 6, 7 and 1375 of the </w:t>
      </w:r>
      <w:r w:rsidRPr="00250E5E">
        <w:rPr>
          <w:i/>
        </w:rPr>
        <w:t>Civil</w:t>
      </w:r>
      <w:r>
        <w:t xml:space="preserve"> </w:t>
      </w:r>
      <w:r w:rsidR="005F142A">
        <w:rPr>
          <w:i/>
          <w:iCs/>
        </w:rPr>
        <w:t xml:space="preserve">Code </w:t>
      </w:r>
      <w:r>
        <w:rPr>
          <w:i/>
          <w:iCs/>
        </w:rPr>
        <w:t>of</w:t>
      </w:r>
      <w:r w:rsidRPr="00DC6EAD">
        <w:rPr>
          <w:i/>
          <w:iCs/>
        </w:rPr>
        <w:t xml:space="preserve"> Québec.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37E" w14:textId="77777777" w:rsidR="00426E0C" w:rsidRDefault="00426E0C" w:rsidP="00DB2119">
    <w:pPr>
      <w:tabs>
        <w:tab w:val="center" w:pos="4709"/>
        <w:tab w:val="right" w:pos="9360"/>
      </w:tabs>
      <w:spacing w:line="360" w:lineRule="auto"/>
      <w:ind w:right="524"/>
    </w:pPr>
    <w:bookmarkStart w:id="18" w:name="EntDossier"/>
    <w:r>
      <w:t>500-09-029282-217</w:t>
    </w:r>
    <w:bookmarkEnd w:id="18"/>
    <w:r w:rsidRPr="007462D6">
      <w:t xml:space="preserve"> </w:t>
    </w:r>
    <w:r>
      <w:tab/>
    </w:r>
    <w:r>
      <w:tab/>
      <w:t xml:space="preserve">PAGE: </w:t>
    </w:r>
    <w:r w:rsidR="009B5E2A">
      <w:fldChar w:fldCharType="begin"/>
    </w:r>
    <w:r w:rsidR="009B5E2A">
      <w:instrText xml:space="preserve"> PAGE </w:instrText>
    </w:r>
    <w:r w:rsidR="009B5E2A">
      <w:fldChar w:fldCharType="separate"/>
    </w:r>
    <w:r w:rsidR="008B1332">
      <w:rPr>
        <w:noProof/>
      </w:rPr>
      <w:t>15</w:t>
    </w:r>
    <w:r w:rsidR="009B5E2A">
      <w:rPr>
        <w:noProof/>
      </w:rPr>
      <w:fldChar w:fldCharType="end"/>
    </w:r>
  </w:p>
  <w:p w14:paraId="191A888A" w14:textId="77777777" w:rsidR="00426E0C" w:rsidRDefault="00426E0C"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E4893"/>
    <w:multiLevelType w:val="hybridMultilevel"/>
    <w:tmpl w:val="121C1528"/>
    <w:lvl w:ilvl="0" w:tplc="2E8ACE98">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1CD71EDC"/>
    <w:multiLevelType w:val="hybridMultilevel"/>
    <w:tmpl w:val="F5BE263C"/>
    <w:lvl w:ilvl="0" w:tplc="20802544">
      <w:start w:val="1"/>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07F6426"/>
    <w:multiLevelType w:val="hybridMultilevel"/>
    <w:tmpl w:val="C9EC0A0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DA3386E"/>
    <w:multiLevelType w:val="hybridMultilevel"/>
    <w:tmpl w:val="43AC7F56"/>
    <w:lvl w:ilvl="0" w:tplc="20802544">
      <w:start w:val="1"/>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E483B7E"/>
    <w:multiLevelType w:val="hybridMultilevel"/>
    <w:tmpl w:val="FF78564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DDE356B"/>
    <w:multiLevelType w:val="hybridMultilevel"/>
    <w:tmpl w:val="971443E4"/>
    <w:lvl w:ilvl="0" w:tplc="03D8B418">
      <w:start w:val="2"/>
      <w:numFmt w:val="bullet"/>
      <w:lvlText w:val=""/>
      <w:lvlJc w:val="left"/>
      <w:pPr>
        <w:ind w:left="3960" w:hanging="360"/>
      </w:pPr>
      <w:rPr>
        <w:rFonts w:ascii="Symbol" w:eastAsia="Times New Roman" w:hAnsi="Symbol" w:cs="Times New Roman" w:hint="default"/>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19" w15:restartNumberingAfterBreak="0">
    <w:nsid w:val="75866118"/>
    <w:multiLevelType w:val="hybridMultilevel"/>
    <w:tmpl w:val="4852D5A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79AA2F63"/>
    <w:multiLevelType w:val="hybridMultilevel"/>
    <w:tmpl w:val="0316DC6C"/>
    <w:lvl w:ilvl="0" w:tplc="20802544">
      <w:start w:val="1"/>
      <w:numFmt w:val="bullet"/>
      <w:lvlText w:val="-"/>
      <w:lvlJc w:val="left"/>
      <w:pPr>
        <w:ind w:left="1068" w:hanging="360"/>
      </w:pPr>
      <w:rPr>
        <w:rFonts w:ascii="Arial" w:eastAsia="Times New Roman" w:hAnsi="Arial" w:cs="Aria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100222021">
    <w:abstractNumId w:val="17"/>
  </w:num>
  <w:num w:numId="2" w16cid:durableId="1398819882">
    <w:abstractNumId w:val="17"/>
  </w:num>
  <w:num w:numId="3" w16cid:durableId="1153520812">
    <w:abstractNumId w:val="17"/>
  </w:num>
  <w:num w:numId="4" w16cid:durableId="2034456114">
    <w:abstractNumId w:val="8"/>
  </w:num>
  <w:num w:numId="5" w16cid:durableId="53436455">
    <w:abstractNumId w:val="3"/>
  </w:num>
  <w:num w:numId="6" w16cid:durableId="1695494408">
    <w:abstractNumId w:val="2"/>
  </w:num>
  <w:num w:numId="7" w16cid:durableId="1582518556">
    <w:abstractNumId w:val="1"/>
  </w:num>
  <w:num w:numId="8" w16cid:durableId="1244485581">
    <w:abstractNumId w:val="0"/>
  </w:num>
  <w:num w:numId="9" w16cid:durableId="1698189326">
    <w:abstractNumId w:val="9"/>
  </w:num>
  <w:num w:numId="10" w16cid:durableId="493421435">
    <w:abstractNumId w:val="7"/>
  </w:num>
  <w:num w:numId="11" w16cid:durableId="548033600">
    <w:abstractNumId w:val="6"/>
  </w:num>
  <w:num w:numId="12" w16cid:durableId="1034503328">
    <w:abstractNumId w:val="5"/>
  </w:num>
  <w:num w:numId="13" w16cid:durableId="512184865">
    <w:abstractNumId w:val="4"/>
  </w:num>
  <w:num w:numId="14" w16cid:durableId="635719090">
    <w:abstractNumId w:val="17"/>
  </w:num>
  <w:num w:numId="15" w16cid:durableId="930089127">
    <w:abstractNumId w:val="17"/>
  </w:num>
  <w:num w:numId="16" w16cid:durableId="623004160">
    <w:abstractNumId w:val="17"/>
  </w:num>
  <w:num w:numId="17" w16cid:durableId="859854422">
    <w:abstractNumId w:val="14"/>
  </w:num>
  <w:num w:numId="18" w16cid:durableId="312681549">
    <w:abstractNumId w:val="13"/>
  </w:num>
  <w:num w:numId="19" w16cid:durableId="1720126214">
    <w:abstractNumId w:val="12"/>
  </w:num>
  <w:num w:numId="20" w16cid:durableId="1326392917">
    <w:abstractNumId w:val="20"/>
  </w:num>
  <w:num w:numId="21" w16cid:durableId="672102975">
    <w:abstractNumId w:val="11"/>
  </w:num>
  <w:num w:numId="22" w16cid:durableId="449252536">
    <w:abstractNumId w:val="19"/>
  </w:num>
  <w:num w:numId="23" w16cid:durableId="836269717">
    <w:abstractNumId w:val="16"/>
  </w:num>
  <w:num w:numId="24" w16cid:durableId="1868446067">
    <w:abstractNumId w:val="15"/>
  </w:num>
  <w:num w:numId="25" w16cid:durableId="995180868">
    <w:abstractNumId w:val="10"/>
  </w:num>
  <w:num w:numId="26" w16cid:durableId="423768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5FFFBE-D657-4BCD-9B59-EECF05A7E31B}"/>
    <w:docVar w:name="dgnword-eventsink" w:val="877976432"/>
    <w:docVar w:name="inNBChoix" w:val="3"/>
    <w:docVar w:name="MotifJuge1" w:val="MOTIFS DE LA JUGE"/>
    <w:docVar w:name="MotifJuge2" w:val="MOTIFS DU JUGE"/>
    <w:docVar w:name="MotifJuge3" w:val="MOTIFS DU JUGE"/>
    <w:docVar w:name="NomFamJuge1" w:val="COTNAM"/>
    <w:docVar w:name="NomFamJuge2" w:val="BEAUPRÉ"/>
    <w:docVar w:name="NomFamJuge3" w:val="KALICHMAN"/>
    <w:docVar w:name="NomFamJuge4" w:val="MAILHOT"/>
    <w:docVar w:name="NomFamJuge5" w:val="BAUDOUIN"/>
    <w:docVar w:name="QteJuge1" w:val=", J.C.A."/>
    <w:docVar w:name="QteJuge2" w:val=", J.C.A."/>
    <w:docVar w:name="QteJuge3" w:val=", J.C.A."/>
    <w:docVar w:name="stPremiereFois" w:val="Non"/>
  </w:docVars>
  <w:rsids>
    <w:rsidRoot w:val="00207F47"/>
    <w:rsid w:val="00006C2B"/>
    <w:rsid w:val="00012AA6"/>
    <w:rsid w:val="000131E1"/>
    <w:rsid w:val="00017AB5"/>
    <w:rsid w:val="0003572B"/>
    <w:rsid w:val="00042AD7"/>
    <w:rsid w:val="0004394C"/>
    <w:rsid w:val="00053691"/>
    <w:rsid w:val="00054427"/>
    <w:rsid w:val="00055995"/>
    <w:rsid w:val="000837E5"/>
    <w:rsid w:val="000A327D"/>
    <w:rsid w:val="000A5D0B"/>
    <w:rsid w:val="000A7516"/>
    <w:rsid w:val="000B2E57"/>
    <w:rsid w:val="000B4231"/>
    <w:rsid w:val="000B42AF"/>
    <w:rsid w:val="000C5D1E"/>
    <w:rsid w:val="000D349C"/>
    <w:rsid w:val="000F130F"/>
    <w:rsid w:val="000F1E89"/>
    <w:rsid w:val="000F7F17"/>
    <w:rsid w:val="00104107"/>
    <w:rsid w:val="00110B53"/>
    <w:rsid w:val="00112321"/>
    <w:rsid w:val="0011503B"/>
    <w:rsid w:val="00117914"/>
    <w:rsid w:val="00120FC9"/>
    <w:rsid w:val="0013028C"/>
    <w:rsid w:val="001354E2"/>
    <w:rsid w:val="00143F95"/>
    <w:rsid w:val="0015556F"/>
    <w:rsid w:val="0015610F"/>
    <w:rsid w:val="00160B31"/>
    <w:rsid w:val="001723F4"/>
    <w:rsid w:val="0017495F"/>
    <w:rsid w:val="00175419"/>
    <w:rsid w:val="00181F56"/>
    <w:rsid w:val="001907CE"/>
    <w:rsid w:val="00190FA7"/>
    <w:rsid w:val="00196D9A"/>
    <w:rsid w:val="001972F2"/>
    <w:rsid w:val="0019753A"/>
    <w:rsid w:val="001A016B"/>
    <w:rsid w:val="001B222E"/>
    <w:rsid w:val="001C4042"/>
    <w:rsid w:val="001E04EA"/>
    <w:rsid w:val="001F3159"/>
    <w:rsid w:val="001F4F32"/>
    <w:rsid w:val="001F5AC9"/>
    <w:rsid w:val="00205DC4"/>
    <w:rsid w:val="00207F47"/>
    <w:rsid w:val="00210088"/>
    <w:rsid w:val="002103E1"/>
    <w:rsid w:val="0021548E"/>
    <w:rsid w:val="002273F5"/>
    <w:rsid w:val="002376AF"/>
    <w:rsid w:val="00237820"/>
    <w:rsid w:val="00241045"/>
    <w:rsid w:val="00242537"/>
    <w:rsid w:val="0024436F"/>
    <w:rsid w:val="00250E5E"/>
    <w:rsid w:val="002628EA"/>
    <w:rsid w:val="00275D8E"/>
    <w:rsid w:val="00290C62"/>
    <w:rsid w:val="00297CAA"/>
    <w:rsid w:val="002A1CDB"/>
    <w:rsid w:val="002B4A07"/>
    <w:rsid w:val="002B74C0"/>
    <w:rsid w:val="002B7878"/>
    <w:rsid w:val="002B7F36"/>
    <w:rsid w:val="002C4107"/>
    <w:rsid w:val="002E0957"/>
    <w:rsid w:val="002E1F0E"/>
    <w:rsid w:val="002E229C"/>
    <w:rsid w:val="002E51F1"/>
    <w:rsid w:val="002F1350"/>
    <w:rsid w:val="002F3EFA"/>
    <w:rsid w:val="002F6136"/>
    <w:rsid w:val="00313139"/>
    <w:rsid w:val="00315AED"/>
    <w:rsid w:val="00322DE0"/>
    <w:rsid w:val="0032363D"/>
    <w:rsid w:val="003257EF"/>
    <w:rsid w:val="0033190E"/>
    <w:rsid w:val="00332B2D"/>
    <w:rsid w:val="00360C11"/>
    <w:rsid w:val="00361325"/>
    <w:rsid w:val="003743E0"/>
    <w:rsid w:val="00374888"/>
    <w:rsid w:val="00374E40"/>
    <w:rsid w:val="00381894"/>
    <w:rsid w:val="00390134"/>
    <w:rsid w:val="00390A47"/>
    <w:rsid w:val="00395A55"/>
    <w:rsid w:val="003A7136"/>
    <w:rsid w:val="003A77ED"/>
    <w:rsid w:val="003C1731"/>
    <w:rsid w:val="003D29A6"/>
    <w:rsid w:val="003D487D"/>
    <w:rsid w:val="003E3239"/>
    <w:rsid w:val="003E3E3C"/>
    <w:rsid w:val="003F42DF"/>
    <w:rsid w:val="003F5CD7"/>
    <w:rsid w:val="00412FAB"/>
    <w:rsid w:val="004146A6"/>
    <w:rsid w:val="004222AA"/>
    <w:rsid w:val="00423DF1"/>
    <w:rsid w:val="00426E0C"/>
    <w:rsid w:val="00430C58"/>
    <w:rsid w:val="004331C4"/>
    <w:rsid w:val="0043564D"/>
    <w:rsid w:val="00436375"/>
    <w:rsid w:val="00441C25"/>
    <w:rsid w:val="00444217"/>
    <w:rsid w:val="00446452"/>
    <w:rsid w:val="00472DC8"/>
    <w:rsid w:val="004759FA"/>
    <w:rsid w:val="004802EC"/>
    <w:rsid w:val="0048684D"/>
    <w:rsid w:val="00487E56"/>
    <w:rsid w:val="004A29F1"/>
    <w:rsid w:val="004A6641"/>
    <w:rsid w:val="004B1E94"/>
    <w:rsid w:val="004B33FF"/>
    <w:rsid w:val="004D2F69"/>
    <w:rsid w:val="004E411B"/>
    <w:rsid w:val="004E42AA"/>
    <w:rsid w:val="004E4FBA"/>
    <w:rsid w:val="004E72A0"/>
    <w:rsid w:val="005131F1"/>
    <w:rsid w:val="0051484F"/>
    <w:rsid w:val="00516B3E"/>
    <w:rsid w:val="00520B6F"/>
    <w:rsid w:val="00524C04"/>
    <w:rsid w:val="005262C9"/>
    <w:rsid w:val="00531D70"/>
    <w:rsid w:val="00536132"/>
    <w:rsid w:val="0053699A"/>
    <w:rsid w:val="00541131"/>
    <w:rsid w:val="00547C54"/>
    <w:rsid w:val="005555BB"/>
    <w:rsid w:val="00562D67"/>
    <w:rsid w:val="00566BF6"/>
    <w:rsid w:val="00572415"/>
    <w:rsid w:val="00576C6B"/>
    <w:rsid w:val="00583434"/>
    <w:rsid w:val="0058349F"/>
    <w:rsid w:val="005858A8"/>
    <w:rsid w:val="00596897"/>
    <w:rsid w:val="005A6529"/>
    <w:rsid w:val="005A78BF"/>
    <w:rsid w:val="005B68FA"/>
    <w:rsid w:val="005B6B4C"/>
    <w:rsid w:val="005C5A13"/>
    <w:rsid w:val="005C6AD1"/>
    <w:rsid w:val="005C7516"/>
    <w:rsid w:val="005D0FDD"/>
    <w:rsid w:val="005D1522"/>
    <w:rsid w:val="005D737C"/>
    <w:rsid w:val="005E075C"/>
    <w:rsid w:val="005E5D23"/>
    <w:rsid w:val="005E5F2D"/>
    <w:rsid w:val="005F142A"/>
    <w:rsid w:val="005F4F5F"/>
    <w:rsid w:val="005F5F5F"/>
    <w:rsid w:val="00600808"/>
    <w:rsid w:val="006022DD"/>
    <w:rsid w:val="0061136B"/>
    <w:rsid w:val="00615B58"/>
    <w:rsid w:val="00624770"/>
    <w:rsid w:val="006305EC"/>
    <w:rsid w:val="00640125"/>
    <w:rsid w:val="0064250B"/>
    <w:rsid w:val="00645479"/>
    <w:rsid w:val="006625E8"/>
    <w:rsid w:val="006661E2"/>
    <w:rsid w:val="00682083"/>
    <w:rsid w:val="00682415"/>
    <w:rsid w:val="006826AA"/>
    <w:rsid w:val="0068356A"/>
    <w:rsid w:val="006965E1"/>
    <w:rsid w:val="006A091C"/>
    <w:rsid w:val="006A0DB0"/>
    <w:rsid w:val="006A18F8"/>
    <w:rsid w:val="006A6629"/>
    <w:rsid w:val="006C17FD"/>
    <w:rsid w:val="006C69E4"/>
    <w:rsid w:val="006D5AF0"/>
    <w:rsid w:val="006E0268"/>
    <w:rsid w:val="006E131D"/>
    <w:rsid w:val="006F04F9"/>
    <w:rsid w:val="006F058A"/>
    <w:rsid w:val="006F129C"/>
    <w:rsid w:val="006F3ACA"/>
    <w:rsid w:val="006F3D47"/>
    <w:rsid w:val="00703929"/>
    <w:rsid w:val="00704A60"/>
    <w:rsid w:val="00707D31"/>
    <w:rsid w:val="0071160F"/>
    <w:rsid w:val="00716FCC"/>
    <w:rsid w:val="00740A17"/>
    <w:rsid w:val="00745660"/>
    <w:rsid w:val="007462D6"/>
    <w:rsid w:val="0074738B"/>
    <w:rsid w:val="00751B47"/>
    <w:rsid w:val="0075430F"/>
    <w:rsid w:val="0076062E"/>
    <w:rsid w:val="0076123C"/>
    <w:rsid w:val="00776D08"/>
    <w:rsid w:val="0078401D"/>
    <w:rsid w:val="007953F3"/>
    <w:rsid w:val="007A63D6"/>
    <w:rsid w:val="007A6ADA"/>
    <w:rsid w:val="007A7803"/>
    <w:rsid w:val="007A794C"/>
    <w:rsid w:val="007B061E"/>
    <w:rsid w:val="007B48D5"/>
    <w:rsid w:val="007B66C2"/>
    <w:rsid w:val="007B6C0A"/>
    <w:rsid w:val="007C145F"/>
    <w:rsid w:val="007D087C"/>
    <w:rsid w:val="007D4F06"/>
    <w:rsid w:val="007D76F0"/>
    <w:rsid w:val="007E33E4"/>
    <w:rsid w:val="007E4CC9"/>
    <w:rsid w:val="007E5C22"/>
    <w:rsid w:val="007F2816"/>
    <w:rsid w:val="007F348F"/>
    <w:rsid w:val="00800D23"/>
    <w:rsid w:val="0080368A"/>
    <w:rsid w:val="00816273"/>
    <w:rsid w:val="0082331E"/>
    <w:rsid w:val="00823446"/>
    <w:rsid w:val="0082717B"/>
    <w:rsid w:val="00827B04"/>
    <w:rsid w:val="0083032E"/>
    <w:rsid w:val="00833A48"/>
    <w:rsid w:val="00841907"/>
    <w:rsid w:val="008446E6"/>
    <w:rsid w:val="0086036A"/>
    <w:rsid w:val="008653A3"/>
    <w:rsid w:val="008657A2"/>
    <w:rsid w:val="00866645"/>
    <w:rsid w:val="008701F6"/>
    <w:rsid w:val="00872B68"/>
    <w:rsid w:val="008805C5"/>
    <w:rsid w:val="00882210"/>
    <w:rsid w:val="008A0399"/>
    <w:rsid w:val="008A32B8"/>
    <w:rsid w:val="008A6185"/>
    <w:rsid w:val="008B1332"/>
    <w:rsid w:val="008B4AD4"/>
    <w:rsid w:val="008C1FE9"/>
    <w:rsid w:val="008C7DCE"/>
    <w:rsid w:val="008D18FC"/>
    <w:rsid w:val="008D398B"/>
    <w:rsid w:val="008D7E49"/>
    <w:rsid w:val="008E0893"/>
    <w:rsid w:val="008F1FC1"/>
    <w:rsid w:val="008F364A"/>
    <w:rsid w:val="008F3F53"/>
    <w:rsid w:val="0090335E"/>
    <w:rsid w:val="00913E03"/>
    <w:rsid w:val="009213B9"/>
    <w:rsid w:val="009229E9"/>
    <w:rsid w:val="00926953"/>
    <w:rsid w:val="00932703"/>
    <w:rsid w:val="009328B4"/>
    <w:rsid w:val="00936469"/>
    <w:rsid w:val="009400B7"/>
    <w:rsid w:val="0094496B"/>
    <w:rsid w:val="00947448"/>
    <w:rsid w:val="00950124"/>
    <w:rsid w:val="00951059"/>
    <w:rsid w:val="00954DC2"/>
    <w:rsid w:val="00957B92"/>
    <w:rsid w:val="00962436"/>
    <w:rsid w:val="00963215"/>
    <w:rsid w:val="00970966"/>
    <w:rsid w:val="00974065"/>
    <w:rsid w:val="00974442"/>
    <w:rsid w:val="0097767C"/>
    <w:rsid w:val="00983B3B"/>
    <w:rsid w:val="009877C1"/>
    <w:rsid w:val="00990ED7"/>
    <w:rsid w:val="00991EB0"/>
    <w:rsid w:val="009B5E2A"/>
    <w:rsid w:val="009C713F"/>
    <w:rsid w:val="009D0429"/>
    <w:rsid w:val="009E29D4"/>
    <w:rsid w:val="009F1F69"/>
    <w:rsid w:val="00A05660"/>
    <w:rsid w:val="00A23BF4"/>
    <w:rsid w:val="00A2593B"/>
    <w:rsid w:val="00A25E33"/>
    <w:rsid w:val="00A3365A"/>
    <w:rsid w:val="00A34E05"/>
    <w:rsid w:val="00A357C5"/>
    <w:rsid w:val="00A37223"/>
    <w:rsid w:val="00A41674"/>
    <w:rsid w:val="00A43D8B"/>
    <w:rsid w:val="00A454F1"/>
    <w:rsid w:val="00A543CC"/>
    <w:rsid w:val="00A552A1"/>
    <w:rsid w:val="00A76B1F"/>
    <w:rsid w:val="00A770A9"/>
    <w:rsid w:val="00A9155F"/>
    <w:rsid w:val="00A93CFF"/>
    <w:rsid w:val="00AB12A6"/>
    <w:rsid w:val="00AB31C9"/>
    <w:rsid w:val="00AB7DD2"/>
    <w:rsid w:val="00AC38E7"/>
    <w:rsid w:val="00AC72D1"/>
    <w:rsid w:val="00AD4A48"/>
    <w:rsid w:val="00AE1FDD"/>
    <w:rsid w:val="00AE6CE8"/>
    <w:rsid w:val="00AF0C7C"/>
    <w:rsid w:val="00AF46A1"/>
    <w:rsid w:val="00B00D36"/>
    <w:rsid w:val="00B01D86"/>
    <w:rsid w:val="00B02C57"/>
    <w:rsid w:val="00B036EF"/>
    <w:rsid w:val="00B04AFD"/>
    <w:rsid w:val="00B06F54"/>
    <w:rsid w:val="00B07E4E"/>
    <w:rsid w:val="00B07F7F"/>
    <w:rsid w:val="00B11FD1"/>
    <w:rsid w:val="00B1292A"/>
    <w:rsid w:val="00B137E9"/>
    <w:rsid w:val="00B30EA2"/>
    <w:rsid w:val="00B36ED3"/>
    <w:rsid w:val="00B3746C"/>
    <w:rsid w:val="00B47898"/>
    <w:rsid w:val="00B513C9"/>
    <w:rsid w:val="00B517C8"/>
    <w:rsid w:val="00B526A8"/>
    <w:rsid w:val="00B54D04"/>
    <w:rsid w:val="00B56EF4"/>
    <w:rsid w:val="00B630A1"/>
    <w:rsid w:val="00B649BF"/>
    <w:rsid w:val="00B70485"/>
    <w:rsid w:val="00B7069D"/>
    <w:rsid w:val="00B77B06"/>
    <w:rsid w:val="00B82A13"/>
    <w:rsid w:val="00B90D08"/>
    <w:rsid w:val="00B914D2"/>
    <w:rsid w:val="00BB21CC"/>
    <w:rsid w:val="00BD44B9"/>
    <w:rsid w:val="00BD50F4"/>
    <w:rsid w:val="00C02AF8"/>
    <w:rsid w:val="00C17E01"/>
    <w:rsid w:val="00C270E0"/>
    <w:rsid w:val="00C31AC4"/>
    <w:rsid w:val="00C405B9"/>
    <w:rsid w:val="00C409BE"/>
    <w:rsid w:val="00C423CA"/>
    <w:rsid w:val="00C52511"/>
    <w:rsid w:val="00C54AD6"/>
    <w:rsid w:val="00C652ED"/>
    <w:rsid w:val="00C702D5"/>
    <w:rsid w:val="00C721F2"/>
    <w:rsid w:val="00C759FF"/>
    <w:rsid w:val="00C7793C"/>
    <w:rsid w:val="00C82C1E"/>
    <w:rsid w:val="00C939A8"/>
    <w:rsid w:val="00C97145"/>
    <w:rsid w:val="00CB2DCF"/>
    <w:rsid w:val="00CB6DA0"/>
    <w:rsid w:val="00CC3A1A"/>
    <w:rsid w:val="00CE0A5E"/>
    <w:rsid w:val="00CE0C49"/>
    <w:rsid w:val="00D010FD"/>
    <w:rsid w:val="00D02812"/>
    <w:rsid w:val="00D101C2"/>
    <w:rsid w:val="00D20056"/>
    <w:rsid w:val="00D36101"/>
    <w:rsid w:val="00D43AE8"/>
    <w:rsid w:val="00D70D5C"/>
    <w:rsid w:val="00D8030C"/>
    <w:rsid w:val="00D86890"/>
    <w:rsid w:val="00D94A1E"/>
    <w:rsid w:val="00DA11E4"/>
    <w:rsid w:val="00DA3EBE"/>
    <w:rsid w:val="00DB2119"/>
    <w:rsid w:val="00DB396E"/>
    <w:rsid w:val="00DC01F8"/>
    <w:rsid w:val="00DC05BC"/>
    <w:rsid w:val="00DC6EAD"/>
    <w:rsid w:val="00DD3A24"/>
    <w:rsid w:val="00DE1A10"/>
    <w:rsid w:val="00DE54B5"/>
    <w:rsid w:val="00DF3516"/>
    <w:rsid w:val="00E03C07"/>
    <w:rsid w:val="00E20E3C"/>
    <w:rsid w:val="00E36290"/>
    <w:rsid w:val="00E36962"/>
    <w:rsid w:val="00E44F90"/>
    <w:rsid w:val="00E62729"/>
    <w:rsid w:val="00E63176"/>
    <w:rsid w:val="00E656FB"/>
    <w:rsid w:val="00E81E61"/>
    <w:rsid w:val="00E848B4"/>
    <w:rsid w:val="00E91417"/>
    <w:rsid w:val="00E94329"/>
    <w:rsid w:val="00E9537F"/>
    <w:rsid w:val="00E9689D"/>
    <w:rsid w:val="00EA20DE"/>
    <w:rsid w:val="00EA64B0"/>
    <w:rsid w:val="00EB1377"/>
    <w:rsid w:val="00EB755F"/>
    <w:rsid w:val="00EC1E33"/>
    <w:rsid w:val="00ED0B57"/>
    <w:rsid w:val="00ED3907"/>
    <w:rsid w:val="00EE10F6"/>
    <w:rsid w:val="00F0594A"/>
    <w:rsid w:val="00F07022"/>
    <w:rsid w:val="00F1119E"/>
    <w:rsid w:val="00F33E30"/>
    <w:rsid w:val="00F35A34"/>
    <w:rsid w:val="00F40882"/>
    <w:rsid w:val="00F43559"/>
    <w:rsid w:val="00F4602A"/>
    <w:rsid w:val="00F51EC8"/>
    <w:rsid w:val="00F52D8D"/>
    <w:rsid w:val="00F5789B"/>
    <w:rsid w:val="00F60071"/>
    <w:rsid w:val="00F60C34"/>
    <w:rsid w:val="00F678ED"/>
    <w:rsid w:val="00F75AAB"/>
    <w:rsid w:val="00F75C76"/>
    <w:rsid w:val="00F80756"/>
    <w:rsid w:val="00F84ED0"/>
    <w:rsid w:val="00F90D9C"/>
    <w:rsid w:val="00FA1784"/>
    <w:rsid w:val="00FA1FC5"/>
    <w:rsid w:val="00FB2D43"/>
    <w:rsid w:val="00FC720B"/>
    <w:rsid w:val="00FE3FE9"/>
    <w:rsid w:val="00FE6A10"/>
    <w:rsid w:val="00FE7B7D"/>
    <w:rsid w:val="00FF149E"/>
    <w:rsid w:val="00FF2782"/>
    <w:rsid w:val="00FF32AD"/>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ACF0A0"/>
  <w15:docId w15:val="{E1CAD343-B0D4-488C-93A0-B90651FB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04"/>
    <w:pPr>
      <w:spacing w:line="280" w:lineRule="exact"/>
    </w:pPr>
    <w:rPr>
      <w:rFonts w:ascii="Arial" w:hAnsi="Arial"/>
      <w:sz w:val="24"/>
      <w:lang w:eastAsia="fr-FR"/>
    </w:rPr>
  </w:style>
  <w:style w:type="paragraph" w:styleId="Titre1">
    <w:name w:val="heading 1"/>
    <w:basedOn w:val="Normal"/>
    <w:next w:val="Normal"/>
    <w:qFormat/>
    <w:rsid w:val="00524C04"/>
    <w:pPr>
      <w:keepNext/>
      <w:spacing w:before="240" w:after="60" w:line="500" w:lineRule="exact"/>
      <w:outlineLvl w:val="0"/>
    </w:pPr>
    <w:rPr>
      <w:b/>
      <w:kern w:val="28"/>
      <w:sz w:val="28"/>
    </w:rPr>
  </w:style>
  <w:style w:type="paragraph" w:styleId="Titre2">
    <w:name w:val="heading 2"/>
    <w:basedOn w:val="Normal"/>
    <w:next w:val="Normal"/>
    <w:qFormat/>
    <w:rsid w:val="00524C04"/>
    <w:pPr>
      <w:keepNext/>
      <w:spacing w:before="240" w:after="60"/>
      <w:outlineLvl w:val="1"/>
    </w:pPr>
    <w:rPr>
      <w:b/>
      <w:i/>
    </w:rPr>
  </w:style>
  <w:style w:type="paragraph" w:styleId="Titre3">
    <w:name w:val="heading 3"/>
    <w:basedOn w:val="Normal"/>
    <w:next w:val="Normal"/>
    <w:qFormat/>
    <w:rsid w:val="00524C04"/>
    <w:pPr>
      <w:keepNext/>
      <w:spacing w:before="240" w:after="60"/>
      <w:outlineLvl w:val="2"/>
    </w:pPr>
  </w:style>
  <w:style w:type="paragraph" w:styleId="Titre4">
    <w:name w:val="heading 4"/>
    <w:basedOn w:val="Normal"/>
    <w:next w:val="Normal"/>
    <w:qFormat/>
    <w:rsid w:val="00524C04"/>
    <w:pPr>
      <w:keepNext/>
      <w:spacing w:before="240" w:after="60"/>
      <w:outlineLvl w:val="3"/>
    </w:pPr>
    <w:rPr>
      <w:b/>
    </w:rPr>
  </w:style>
  <w:style w:type="paragraph" w:styleId="Titre5">
    <w:name w:val="heading 5"/>
    <w:basedOn w:val="Normal"/>
    <w:next w:val="Normal"/>
    <w:qFormat/>
    <w:rsid w:val="00524C04"/>
    <w:pPr>
      <w:spacing w:before="240" w:after="60"/>
      <w:outlineLvl w:val="4"/>
    </w:pPr>
    <w:rPr>
      <w:sz w:val="22"/>
    </w:rPr>
  </w:style>
  <w:style w:type="paragraph" w:styleId="Titre6">
    <w:name w:val="heading 6"/>
    <w:basedOn w:val="Normal"/>
    <w:next w:val="Normal"/>
    <w:qFormat/>
    <w:rsid w:val="00524C04"/>
    <w:pPr>
      <w:spacing w:before="240" w:after="60"/>
      <w:outlineLvl w:val="5"/>
    </w:pPr>
    <w:rPr>
      <w:i/>
      <w:sz w:val="22"/>
    </w:rPr>
  </w:style>
  <w:style w:type="paragraph" w:styleId="Titre7">
    <w:name w:val="heading 7"/>
    <w:basedOn w:val="Normal"/>
    <w:next w:val="Normal"/>
    <w:qFormat/>
    <w:rsid w:val="00524C04"/>
    <w:pPr>
      <w:spacing w:before="240" w:after="60"/>
      <w:outlineLvl w:val="6"/>
    </w:pPr>
    <w:rPr>
      <w:sz w:val="20"/>
    </w:rPr>
  </w:style>
  <w:style w:type="paragraph" w:styleId="Titre8">
    <w:name w:val="heading 8"/>
    <w:basedOn w:val="Normal"/>
    <w:next w:val="Normal"/>
    <w:qFormat/>
    <w:rsid w:val="00524C04"/>
    <w:pPr>
      <w:spacing w:before="240" w:after="60"/>
      <w:outlineLvl w:val="7"/>
    </w:pPr>
    <w:rPr>
      <w:i/>
      <w:sz w:val="20"/>
    </w:rPr>
  </w:style>
  <w:style w:type="paragraph" w:styleId="Titre9">
    <w:name w:val="heading 9"/>
    <w:basedOn w:val="Normal"/>
    <w:next w:val="Normal"/>
    <w:qFormat/>
    <w:rsid w:val="00524C04"/>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524C04"/>
    <w:pPr>
      <w:numPr>
        <w:numId w:val="18"/>
      </w:numPr>
      <w:spacing w:before="120" w:after="120" w:line="500" w:lineRule="exact"/>
      <w:jc w:val="both"/>
    </w:pPr>
    <w:rPr>
      <w:kern w:val="28"/>
    </w:rPr>
  </w:style>
  <w:style w:type="paragraph" w:customStyle="1" w:styleId="Citationenretrait">
    <w:name w:val="Citation en retrait"/>
    <w:basedOn w:val="Normal"/>
    <w:link w:val="CitationenretraitCar"/>
    <w:qFormat/>
    <w:rsid w:val="00524C04"/>
    <w:pPr>
      <w:spacing w:before="120" w:after="120"/>
      <w:ind w:left="720" w:right="720"/>
      <w:jc w:val="both"/>
    </w:pPr>
    <w:rPr>
      <w:kern w:val="24"/>
      <w:sz w:val="22"/>
    </w:rPr>
  </w:style>
  <w:style w:type="character" w:customStyle="1" w:styleId="Citationintgre">
    <w:name w:val="Citation intégrée"/>
    <w:rsid w:val="00524C04"/>
    <w:rPr>
      <w:rFonts w:ascii="Arial" w:hAnsi="Arial"/>
      <w:i/>
      <w:noProof w:val="0"/>
      <w:sz w:val="22"/>
      <w:lang w:val="fr-CA"/>
    </w:rPr>
  </w:style>
  <w:style w:type="paragraph" w:styleId="Corpsdetexte">
    <w:name w:val="Body Text"/>
    <w:basedOn w:val="Normal"/>
    <w:semiHidden/>
    <w:rsid w:val="00524C04"/>
    <w:pPr>
      <w:spacing w:after="120"/>
    </w:pPr>
  </w:style>
  <w:style w:type="paragraph" w:styleId="Notedebasdepage">
    <w:name w:val="footnote text"/>
    <w:basedOn w:val="Normal"/>
    <w:link w:val="NotedebasdepageCar"/>
    <w:qFormat/>
    <w:rsid w:val="00524C04"/>
    <w:pPr>
      <w:spacing w:line="240" w:lineRule="auto"/>
      <w:ind w:left="360" w:hanging="360"/>
      <w:jc w:val="both"/>
    </w:pPr>
    <w:rPr>
      <w:sz w:val="20"/>
    </w:rPr>
  </w:style>
  <w:style w:type="paragraph" w:styleId="Notedefin">
    <w:name w:val="endnote text"/>
    <w:basedOn w:val="Normal"/>
    <w:semiHidden/>
    <w:rsid w:val="00524C04"/>
    <w:pPr>
      <w:ind w:left="-360"/>
      <w:jc w:val="both"/>
    </w:pPr>
    <w:rPr>
      <w:sz w:val="20"/>
    </w:rPr>
  </w:style>
  <w:style w:type="paragraph" w:customStyle="1" w:styleId="zSoquijlblCour">
    <w:name w:val="zSoquij_lblCour"/>
    <w:basedOn w:val="Normal"/>
    <w:rsid w:val="00524C04"/>
    <w:pPr>
      <w:spacing w:line="500" w:lineRule="exact"/>
      <w:jc w:val="center"/>
    </w:pPr>
    <w:rPr>
      <w:b/>
      <w:sz w:val="36"/>
    </w:rPr>
  </w:style>
  <w:style w:type="paragraph" w:customStyle="1" w:styleId="zSoquijlblPays">
    <w:name w:val="zSoquij_lblPays"/>
    <w:basedOn w:val="Normal"/>
    <w:rsid w:val="00524C04"/>
  </w:style>
  <w:style w:type="paragraph" w:customStyle="1" w:styleId="zSoquijlblProvince">
    <w:name w:val="zSoquij_lblProvince"/>
    <w:basedOn w:val="Normal"/>
    <w:rsid w:val="00524C04"/>
  </w:style>
  <w:style w:type="paragraph" w:customStyle="1" w:styleId="zSoquijlblGreffe">
    <w:name w:val="zSoquij_lblGreffe"/>
    <w:basedOn w:val="Normal"/>
    <w:rsid w:val="00524C04"/>
  </w:style>
  <w:style w:type="paragraph" w:customStyle="1" w:styleId="zSoquijdatGreffe">
    <w:name w:val="zSoquij_datGreffe"/>
    <w:basedOn w:val="Normal"/>
    <w:rsid w:val="00524C04"/>
  </w:style>
  <w:style w:type="paragraph" w:customStyle="1" w:styleId="zSoquijdatDivision">
    <w:name w:val="zSoquij_datDivision"/>
    <w:basedOn w:val="Normal"/>
    <w:rsid w:val="00524C04"/>
    <w:pPr>
      <w:jc w:val="center"/>
    </w:pPr>
    <w:rPr>
      <w:sz w:val="22"/>
    </w:rPr>
  </w:style>
  <w:style w:type="paragraph" w:customStyle="1" w:styleId="zSoquijlblNoDossier">
    <w:name w:val="zSoquij_lblNoDossier"/>
    <w:basedOn w:val="Normal"/>
    <w:rsid w:val="00524C04"/>
  </w:style>
  <w:style w:type="paragraph" w:customStyle="1" w:styleId="zSoquijdatNoDossier">
    <w:name w:val="zSoquij_datNoDossier"/>
    <w:basedOn w:val="Normal"/>
    <w:rsid w:val="00524C04"/>
  </w:style>
  <w:style w:type="paragraph" w:customStyle="1" w:styleId="zSoquijdatNoDossierAnt">
    <w:name w:val="zSoquij_datNoDossierAnt"/>
    <w:basedOn w:val="Normal"/>
    <w:rsid w:val="00524C04"/>
    <w:pPr>
      <w:ind w:left="950"/>
    </w:pPr>
  </w:style>
  <w:style w:type="paragraph" w:customStyle="1" w:styleId="zSoquijdatDateJugement">
    <w:name w:val="zSoquij_datDateJugement"/>
    <w:basedOn w:val="Normal"/>
    <w:rsid w:val="00524C04"/>
  </w:style>
  <w:style w:type="paragraph" w:customStyle="1" w:styleId="zSoquijlblDateJugement">
    <w:name w:val="zSoquij_lblDateJugement"/>
    <w:basedOn w:val="Normal"/>
    <w:rsid w:val="00524C04"/>
  </w:style>
  <w:style w:type="paragraph" w:customStyle="1" w:styleId="zSoquijlblJuge">
    <w:name w:val="zSoquij_lblJuge"/>
    <w:basedOn w:val="Normal"/>
    <w:rsid w:val="00524C04"/>
    <w:rPr>
      <w:b/>
    </w:rPr>
  </w:style>
  <w:style w:type="paragraph" w:customStyle="1" w:styleId="zSoquijdatQteJuge">
    <w:name w:val="zSoquij_datQteJuge"/>
    <w:basedOn w:val="Normal"/>
    <w:rsid w:val="00524C04"/>
    <w:rPr>
      <w:b/>
    </w:rPr>
  </w:style>
  <w:style w:type="paragraph" w:customStyle="1" w:styleId="zSoquijdatJuge">
    <w:name w:val="zSoquij_datJuge"/>
    <w:basedOn w:val="Normal"/>
    <w:rsid w:val="00524C04"/>
    <w:rPr>
      <w:b/>
    </w:rPr>
  </w:style>
  <w:style w:type="paragraph" w:customStyle="1" w:styleId="zSoquijdatNomPartieDem">
    <w:name w:val="zSoquij_datNomPartieDem"/>
    <w:basedOn w:val="Normal"/>
    <w:rsid w:val="00524C04"/>
    <w:rPr>
      <w:b/>
      <w:bCs/>
    </w:rPr>
  </w:style>
  <w:style w:type="paragraph" w:customStyle="1" w:styleId="zSoquijdatQtePartieDem">
    <w:name w:val="zSoquij_datQtePartieDem"/>
    <w:basedOn w:val="Normal"/>
    <w:rsid w:val="00524C04"/>
    <w:pPr>
      <w:ind w:left="708"/>
    </w:pPr>
  </w:style>
  <w:style w:type="paragraph" w:customStyle="1" w:styleId="zSoquijlblLienParties">
    <w:name w:val="zSoquij_lblLienParties"/>
    <w:basedOn w:val="Normal"/>
    <w:rsid w:val="00524C04"/>
  </w:style>
  <w:style w:type="paragraph" w:customStyle="1" w:styleId="zSoquijdatNomPartieDef">
    <w:name w:val="zSoquij_datNomPartieDef"/>
    <w:basedOn w:val="Normal"/>
    <w:rsid w:val="00524C04"/>
    <w:rPr>
      <w:b/>
      <w:bCs/>
    </w:rPr>
  </w:style>
  <w:style w:type="paragraph" w:customStyle="1" w:styleId="zSoquijdatQtePartieDef">
    <w:name w:val="zSoquij_datQtePartieDef"/>
    <w:basedOn w:val="Normal"/>
    <w:rsid w:val="00524C04"/>
    <w:pPr>
      <w:ind w:left="708"/>
    </w:pPr>
  </w:style>
  <w:style w:type="paragraph" w:customStyle="1" w:styleId="zSoquijlblTypeDocument">
    <w:name w:val="zSoquij_lblTypeDocument"/>
    <w:basedOn w:val="Normal"/>
    <w:rsid w:val="00524C04"/>
    <w:pPr>
      <w:jc w:val="center"/>
    </w:pPr>
  </w:style>
  <w:style w:type="paragraph" w:customStyle="1" w:styleId="zSoquijlblProcureurDem">
    <w:name w:val="zSoquij_lblProcureurDem"/>
    <w:basedOn w:val="Normal"/>
    <w:rsid w:val="00524C04"/>
  </w:style>
  <w:style w:type="paragraph" w:customStyle="1" w:styleId="zSoquijlblProcureurDef">
    <w:name w:val="zSoquij_lblProcureurDef"/>
    <w:basedOn w:val="Normal"/>
    <w:rsid w:val="00524C04"/>
  </w:style>
  <w:style w:type="paragraph" w:customStyle="1" w:styleId="zSoquijlblDateAudience">
    <w:name w:val="zSoquij_lblDateAudience"/>
    <w:basedOn w:val="Normal"/>
    <w:rsid w:val="00524C04"/>
  </w:style>
  <w:style w:type="paragraph" w:customStyle="1" w:styleId="zSoquijdatDateAudience">
    <w:name w:val="zSoquij_datDateAudience"/>
    <w:basedOn w:val="Normal"/>
    <w:rsid w:val="00524C04"/>
  </w:style>
  <w:style w:type="paragraph" w:customStyle="1" w:styleId="zSoquijlblNomChambre">
    <w:name w:val="zSoquij_lblNomChambre"/>
    <w:basedOn w:val="Normal"/>
    <w:rsid w:val="00524C04"/>
  </w:style>
  <w:style w:type="paragraph" w:customStyle="1" w:styleId="zSoquijlblOpinionJuge">
    <w:name w:val="zSoquij_lblOpinionJuge"/>
    <w:basedOn w:val="Normal"/>
    <w:rsid w:val="00524C04"/>
    <w:pPr>
      <w:jc w:val="center"/>
    </w:pPr>
  </w:style>
  <w:style w:type="character" w:customStyle="1" w:styleId="zSoquijlblEntNoDossier">
    <w:name w:val="zSoquij_lblEntNoDossier"/>
    <w:basedOn w:val="Policepardfaut"/>
    <w:rsid w:val="00524C04"/>
    <w:rPr>
      <w:noProof w:val="0"/>
      <w:lang w:val="fr-CA"/>
    </w:rPr>
  </w:style>
  <w:style w:type="paragraph" w:customStyle="1" w:styleId="zSoquijlblTitrePartie">
    <w:name w:val="zSoquij_lblTitrePartie"/>
    <w:basedOn w:val="Normal"/>
    <w:rsid w:val="00524C04"/>
  </w:style>
  <w:style w:type="paragraph" w:customStyle="1" w:styleId="zSoquijdatIdJuge">
    <w:name w:val="zSoquij_datIdJuge"/>
    <w:basedOn w:val="Normal"/>
    <w:rsid w:val="00524C04"/>
    <w:pPr>
      <w:jc w:val="right"/>
    </w:pPr>
  </w:style>
  <w:style w:type="paragraph" w:customStyle="1" w:styleId="Sous-paragraphe">
    <w:name w:val="Sous-paragraphe"/>
    <w:basedOn w:val="Normal"/>
    <w:qFormat/>
    <w:rsid w:val="00524C04"/>
    <w:pPr>
      <w:widowControl w:val="0"/>
      <w:numPr>
        <w:ilvl w:val="1"/>
        <w:numId w:val="18"/>
      </w:numPr>
      <w:spacing w:after="120"/>
      <w:jc w:val="both"/>
    </w:pPr>
    <w:rPr>
      <w:kern w:val="28"/>
    </w:rPr>
  </w:style>
  <w:style w:type="paragraph" w:customStyle="1" w:styleId="zSoquijdatNomProcureurDem">
    <w:name w:val="zSoquij_datNomProcureurDem"/>
    <w:basedOn w:val="zSoquijlblProcureurDem"/>
    <w:rsid w:val="00524C04"/>
    <w:pPr>
      <w:keepNext/>
    </w:pPr>
  </w:style>
  <w:style w:type="paragraph" w:customStyle="1" w:styleId="zSoquijdatNomProcureurDef">
    <w:name w:val="zSoquij_datNomProcureurDef"/>
    <w:basedOn w:val="zSoquijlblProcureurDef"/>
    <w:rsid w:val="00524C04"/>
    <w:pPr>
      <w:keepNext/>
    </w:pPr>
  </w:style>
  <w:style w:type="paragraph" w:customStyle="1" w:styleId="zSoquijdatCabinetProcureurDem">
    <w:name w:val="zSoquij_datCabinetProcureurDem"/>
    <w:basedOn w:val="Normal"/>
    <w:rsid w:val="00524C04"/>
    <w:pPr>
      <w:keepNext/>
    </w:pPr>
  </w:style>
  <w:style w:type="paragraph" w:customStyle="1" w:styleId="zSoquijdatCabinetProcureurDef">
    <w:name w:val="zSoquij_datCabinetProcureurDef"/>
    <w:basedOn w:val="zSoquijlblProcureurDef"/>
    <w:rsid w:val="00524C04"/>
    <w:pPr>
      <w:keepNext/>
    </w:pPr>
  </w:style>
  <w:style w:type="paragraph" w:styleId="En-tte">
    <w:name w:val="header"/>
    <w:basedOn w:val="Normal"/>
    <w:semiHidden/>
    <w:rsid w:val="00524C04"/>
    <w:pPr>
      <w:tabs>
        <w:tab w:val="center" w:pos="4320"/>
        <w:tab w:val="right" w:pos="8640"/>
      </w:tabs>
    </w:pPr>
  </w:style>
  <w:style w:type="paragraph" w:styleId="Pieddepage">
    <w:name w:val="footer"/>
    <w:basedOn w:val="Normal"/>
    <w:semiHidden/>
    <w:rsid w:val="00524C04"/>
    <w:pPr>
      <w:tabs>
        <w:tab w:val="center" w:pos="4320"/>
        <w:tab w:val="right" w:pos="8640"/>
      </w:tabs>
    </w:pPr>
  </w:style>
  <w:style w:type="paragraph" w:customStyle="1" w:styleId="Tableaudroiteanglais">
    <w:name w:val="Tableau droite anglais"/>
    <w:basedOn w:val="Tableaugauchefranais"/>
    <w:rsid w:val="00524C04"/>
    <w:pPr>
      <w:ind w:left="144" w:right="720"/>
      <w:jc w:val="both"/>
    </w:pPr>
    <w:rPr>
      <w:lang w:val="en-CA"/>
    </w:rPr>
  </w:style>
  <w:style w:type="paragraph" w:customStyle="1" w:styleId="Tableaugauchefranais">
    <w:name w:val="Tableau gauche français"/>
    <w:basedOn w:val="Normal"/>
    <w:rsid w:val="00524C04"/>
    <w:pPr>
      <w:ind w:left="720" w:right="144"/>
    </w:pPr>
    <w:rPr>
      <w:sz w:val="22"/>
    </w:rPr>
  </w:style>
  <w:style w:type="character" w:styleId="Appelnotedebasdep">
    <w:name w:val="footnote reference"/>
    <w:uiPriority w:val="99"/>
    <w:qFormat/>
    <w:rsid w:val="00524C04"/>
    <w:rPr>
      <w:noProof w:val="0"/>
      <w:vertAlign w:val="superscript"/>
      <w:lang w:val="fr-CA"/>
    </w:rPr>
  </w:style>
  <w:style w:type="paragraph" w:styleId="Corpsdetexte3">
    <w:name w:val="Body Text 3"/>
    <w:basedOn w:val="Normal"/>
    <w:semiHidden/>
    <w:rsid w:val="00524C04"/>
    <w:pPr>
      <w:spacing w:after="120"/>
    </w:pPr>
    <w:rPr>
      <w:sz w:val="16"/>
    </w:rPr>
  </w:style>
  <w:style w:type="paragraph" w:customStyle="1" w:styleId="zSoquijdatRepertorie">
    <w:name w:val="zSoquij_datRepertorie"/>
    <w:basedOn w:val="zSoquijlblCour"/>
    <w:rsid w:val="00524C04"/>
    <w:pPr>
      <w:spacing w:line="240" w:lineRule="auto"/>
      <w:jc w:val="left"/>
    </w:pPr>
    <w:rPr>
      <w:sz w:val="22"/>
    </w:rPr>
  </w:style>
  <w:style w:type="paragraph" w:customStyle="1" w:styleId="zSoquijdatRefNeutre">
    <w:name w:val="zSoquij_datRefNeutre"/>
    <w:basedOn w:val="zSoquijlblCour"/>
    <w:rsid w:val="00524C04"/>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ParagrapheCar">
    <w:name w:val="Paragraphe Car"/>
    <w:link w:val="Paragraphe"/>
    <w:qFormat/>
    <w:rsid w:val="00207F47"/>
    <w:rPr>
      <w:rFonts w:ascii="Arial" w:hAnsi="Arial"/>
      <w:kern w:val="28"/>
      <w:sz w:val="24"/>
      <w:lang w:eastAsia="fr-FR"/>
    </w:rPr>
  </w:style>
  <w:style w:type="character" w:customStyle="1" w:styleId="NotedebasdepageCar">
    <w:name w:val="Note de bas de page Car"/>
    <w:basedOn w:val="Policepardfaut"/>
    <w:link w:val="Notedebasdepage"/>
    <w:rsid w:val="00207F47"/>
    <w:rPr>
      <w:rFonts w:ascii="Arial" w:hAnsi="Arial"/>
      <w:lang w:eastAsia="fr-FR"/>
    </w:rPr>
  </w:style>
  <w:style w:type="character" w:customStyle="1" w:styleId="CitationenretraitCar">
    <w:name w:val="Citation en retrait Car"/>
    <w:link w:val="Citationenretrait"/>
    <w:rsid w:val="00207F47"/>
    <w:rPr>
      <w:rFonts w:ascii="Arial" w:hAnsi="Arial"/>
      <w:kern w:val="24"/>
      <w:sz w:val="22"/>
      <w:lang w:eastAsia="fr-FR"/>
    </w:rPr>
  </w:style>
  <w:style w:type="character" w:styleId="Hyperlien">
    <w:name w:val="Hyperlink"/>
    <w:uiPriority w:val="99"/>
    <w:rsid w:val="00207F47"/>
    <w:rPr>
      <w:noProof w:val="0"/>
      <w:color w:val="0000FF"/>
      <w:u w:val="single"/>
      <w:lang w:val="fr-CA"/>
    </w:rPr>
  </w:style>
  <w:style w:type="character" w:customStyle="1" w:styleId="solexhl">
    <w:name w:val="solexhl"/>
    <w:basedOn w:val="Policepardfaut"/>
    <w:rsid w:val="00207F47"/>
  </w:style>
  <w:style w:type="character" w:styleId="Marquedecommentaire">
    <w:name w:val="annotation reference"/>
    <w:basedOn w:val="Policepardfaut"/>
    <w:uiPriority w:val="99"/>
    <w:semiHidden/>
    <w:unhideWhenUsed/>
    <w:rsid w:val="00315AED"/>
    <w:rPr>
      <w:sz w:val="16"/>
      <w:szCs w:val="16"/>
    </w:rPr>
  </w:style>
  <w:style w:type="paragraph" w:styleId="Commentaire">
    <w:name w:val="annotation text"/>
    <w:basedOn w:val="Normal"/>
    <w:link w:val="CommentaireCar"/>
    <w:uiPriority w:val="99"/>
    <w:semiHidden/>
    <w:unhideWhenUsed/>
    <w:rsid w:val="00315AED"/>
    <w:pPr>
      <w:spacing w:line="240" w:lineRule="auto"/>
    </w:pPr>
    <w:rPr>
      <w:sz w:val="20"/>
    </w:rPr>
  </w:style>
  <w:style w:type="character" w:customStyle="1" w:styleId="CommentaireCar">
    <w:name w:val="Commentaire Car"/>
    <w:basedOn w:val="Policepardfaut"/>
    <w:link w:val="Commentaire"/>
    <w:uiPriority w:val="99"/>
    <w:semiHidden/>
    <w:rsid w:val="00315AED"/>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315AED"/>
    <w:rPr>
      <w:b/>
      <w:bCs/>
    </w:rPr>
  </w:style>
  <w:style w:type="character" w:customStyle="1" w:styleId="ObjetducommentaireCar">
    <w:name w:val="Objet du commentaire Car"/>
    <w:basedOn w:val="CommentaireCar"/>
    <w:link w:val="Objetducommentaire"/>
    <w:uiPriority w:val="99"/>
    <w:semiHidden/>
    <w:rsid w:val="00315AED"/>
    <w:rPr>
      <w:rFonts w:ascii="Arial" w:hAnsi="Arial"/>
      <w:b/>
      <w:bCs/>
      <w:lang w:eastAsia="fr-FR"/>
    </w:rPr>
  </w:style>
  <w:style w:type="paragraph" w:styleId="Rvision">
    <w:name w:val="Revision"/>
    <w:hidden/>
    <w:uiPriority w:val="99"/>
    <w:semiHidden/>
    <w:rsid w:val="000B4231"/>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8982">
      <w:bodyDiv w:val="1"/>
      <w:marLeft w:val="0"/>
      <w:marRight w:val="0"/>
      <w:marTop w:val="0"/>
      <w:marBottom w:val="0"/>
      <w:divBdr>
        <w:top w:val="none" w:sz="0" w:space="0" w:color="auto"/>
        <w:left w:val="none" w:sz="0" w:space="0" w:color="auto"/>
        <w:bottom w:val="none" w:sz="0" w:space="0" w:color="auto"/>
        <w:right w:val="none" w:sz="0" w:space="0" w:color="auto"/>
      </w:divBdr>
    </w:div>
    <w:div w:id="1398939070">
      <w:bodyDiv w:val="1"/>
      <w:marLeft w:val="0"/>
      <w:marRight w:val="0"/>
      <w:marTop w:val="0"/>
      <w:marBottom w:val="0"/>
      <w:divBdr>
        <w:top w:val="none" w:sz="0" w:space="0" w:color="auto"/>
        <w:left w:val="none" w:sz="0" w:space="0" w:color="auto"/>
        <w:bottom w:val="none" w:sz="0" w:space="0" w:color="auto"/>
        <w:right w:val="none" w:sz="0" w:space="0" w:color="auto"/>
      </w:divBdr>
      <w:divsChild>
        <w:div w:id="1570190523">
          <w:marLeft w:val="0"/>
          <w:marRight w:val="0"/>
          <w:marTop w:val="219"/>
          <w:marBottom w:val="240"/>
          <w:divBdr>
            <w:top w:val="none" w:sz="0" w:space="0" w:color="auto"/>
            <w:left w:val="none" w:sz="0" w:space="0" w:color="auto"/>
            <w:bottom w:val="none" w:sz="0" w:space="0" w:color="auto"/>
            <w:right w:val="none" w:sz="0" w:space="0" w:color="auto"/>
          </w:divBdr>
        </w:div>
      </w:divsChild>
    </w:div>
    <w:div w:id="1612206436">
      <w:bodyDiv w:val="1"/>
      <w:marLeft w:val="0"/>
      <w:marRight w:val="0"/>
      <w:marTop w:val="0"/>
      <w:marBottom w:val="0"/>
      <w:divBdr>
        <w:top w:val="none" w:sz="0" w:space="0" w:color="auto"/>
        <w:left w:val="none" w:sz="0" w:space="0" w:color="auto"/>
        <w:bottom w:val="none" w:sz="0" w:space="0" w:color="auto"/>
        <w:right w:val="none" w:sz="0" w:space="0" w:color="auto"/>
      </w:divBdr>
    </w:div>
    <w:div w:id="16355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35BD-27A8-4010-A77B-9F0D6889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4570</Words>
  <Characters>25139</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de jugement pour la cour d'appel</vt:lpstr>
      <vt:lpstr>Gabarit de jugement pour la cour d'appel</vt:lpstr>
    </vt:vector>
  </TitlesOfParts>
  <Manager>Patrice Tardif</Manager>
  <Company>MJQ</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Gisèle Tendeng Diène</dc:creator>
  <cp:lastModifiedBy>trad-rev</cp:lastModifiedBy>
  <cp:revision>2</cp:revision>
  <cp:lastPrinted>2022-11-21T19:52:00Z</cp:lastPrinted>
  <dcterms:created xsi:type="dcterms:W3CDTF">2023-05-03T20:07:00Z</dcterms:created>
  <dcterms:modified xsi:type="dcterms:W3CDTF">2023-05-03T20:07:00Z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04-26-2001</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CA</vt:lpwstr>
  </property>
  <property fmtid="{D5CDD505-2E9C-101B-9397-08002B2CF9AE}" pid="7" name="Soquij_Langue">
    <vt:lpwstr>Fra</vt:lpwstr>
  </property>
</Properties>
</file>