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EF50" w14:textId="77777777" w:rsidR="00FB3DDB" w:rsidRPr="00FB3DDB" w:rsidRDefault="00655A8A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Unofficial English Translation of the Judgment of the Court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320"/>
        <w:gridCol w:w="180"/>
        <w:gridCol w:w="2350"/>
        <w:gridCol w:w="3402"/>
        <w:gridCol w:w="1988"/>
      </w:tblGrid>
      <w:tr w:rsidR="008F364A" w:rsidRPr="005048B3" w14:paraId="05E82378" w14:textId="77777777" w:rsidTr="00EB7611">
        <w:trPr>
          <w:trHeight w:val="248"/>
        </w:trPr>
        <w:tc>
          <w:tcPr>
            <w:tcW w:w="7282" w:type="dxa"/>
            <w:gridSpan w:val="5"/>
          </w:tcPr>
          <w:p w14:paraId="7CF8AE8B" w14:textId="77777777" w:rsidR="008F364A" w:rsidRPr="005048B3" w:rsidRDefault="00A94866" w:rsidP="00A94866">
            <w:pPr>
              <w:pStyle w:val="zSoquijdatRepertorie"/>
              <w:rPr>
                <w:rFonts w:cs="Arial"/>
                <w:lang w:val="en-CA"/>
              </w:rPr>
            </w:pPr>
            <w:r w:rsidRPr="005048B3">
              <w:rPr>
                <w:rFonts w:cs="Arial"/>
                <w:lang w:val="en-CA"/>
              </w:rPr>
              <w:t>Yombo c. R.</w:t>
            </w:r>
          </w:p>
        </w:tc>
        <w:tc>
          <w:tcPr>
            <w:tcW w:w="1988" w:type="dxa"/>
          </w:tcPr>
          <w:p w14:paraId="6B4D0C92" w14:textId="77777777" w:rsidR="008F364A" w:rsidRPr="005048B3" w:rsidRDefault="0035597E" w:rsidP="0035597E">
            <w:pPr>
              <w:pStyle w:val="zSoquijdatRefNeutre"/>
              <w:jc w:val="right"/>
              <w:rPr>
                <w:rFonts w:cs="Arial"/>
                <w:lang w:val="en-CA"/>
              </w:rPr>
            </w:pPr>
            <w:r w:rsidRPr="005048B3">
              <w:rPr>
                <w:rFonts w:cs="Arial"/>
                <w:lang w:val="en-CA"/>
              </w:rPr>
              <w:t>2023 QCCA 12</w:t>
            </w:r>
          </w:p>
        </w:tc>
      </w:tr>
      <w:tr w:rsidR="008F364A" w:rsidRPr="005048B3" w14:paraId="2709FE0A" w14:textId="77777777" w:rsidTr="00EB7611">
        <w:trPr>
          <w:trHeight w:val="247"/>
        </w:trPr>
        <w:tc>
          <w:tcPr>
            <w:tcW w:w="9270" w:type="dxa"/>
            <w:gridSpan w:val="6"/>
          </w:tcPr>
          <w:p w14:paraId="35A571C2" w14:textId="77777777" w:rsidR="008F364A" w:rsidRPr="005048B3" w:rsidRDefault="00740A17">
            <w:pPr>
              <w:pStyle w:val="zSoquijlblCour"/>
              <w:rPr>
                <w:lang w:val="en-CA"/>
              </w:rPr>
            </w:pPr>
            <w:r w:rsidRPr="005048B3">
              <w:rPr>
                <w:lang w:val="en-CA"/>
              </w:rPr>
              <w:t>COUR</w:t>
            </w:r>
            <w:r w:rsidR="005048B3">
              <w:rPr>
                <w:lang w:val="en-CA"/>
              </w:rPr>
              <w:t>T OF APPEAL</w:t>
            </w:r>
          </w:p>
        </w:tc>
      </w:tr>
      <w:tr w:rsidR="008F364A" w:rsidRPr="005048B3" w14:paraId="157D2996" w14:textId="77777777" w:rsidTr="00EB7611">
        <w:trPr>
          <w:trHeight w:val="540"/>
        </w:trPr>
        <w:tc>
          <w:tcPr>
            <w:tcW w:w="9270" w:type="dxa"/>
            <w:gridSpan w:val="6"/>
          </w:tcPr>
          <w:p w14:paraId="456381F3" w14:textId="77777777" w:rsidR="008F364A" w:rsidRPr="005048B3" w:rsidRDefault="008F364A">
            <w:pPr>
              <w:pStyle w:val="zSoquijdatDivision"/>
              <w:rPr>
                <w:lang w:val="en-CA"/>
              </w:rPr>
            </w:pPr>
          </w:p>
        </w:tc>
      </w:tr>
      <w:tr w:rsidR="008F364A" w:rsidRPr="005048B3" w14:paraId="0EFD7114" w14:textId="77777777" w:rsidTr="00EB7611">
        <w:tc>
          <w:tcPr>
            <w:tcW w:w="9270" w:type="dxa"/>
            <w:gridSpan w:val="6"/>
          </w:tcPr>
          <w:p w14:paraId="7DB11EF4" w14:textId="77777777" w:rsidR="008F364A" w:rsidRPr="005048B3" w:rsidRDefault="00740A17">
            <w:pPr>
              <w:pStyle w:val="zSoquijlblPays"/>
              <w:rPr>
                <w:lang w:val="en-CA"/>
              </w:rPr>
            </w:pPr>
            <w:r w:rsidRPr="005048B3">
              <w:rPr>
                <w:lang w:val="en-CA"/>
              </w:rPr>
              <w:t>CANADA</w:t>
            </w:r>
          </w:p>
        </w:tc>
      </w:tr>
      <w:tr w:rsidR="008F364A" w:rsidRPr="005048B3" w14:paraId="73943AA0" w14:textId="77777777" w:rsidTr="00EB7611">
        <w:tc>
          <w:tcPr>
            <w:tcW w:w="9270" w:type="dxa"/>
            <w:gridSpan w:val="6"/>
          </w:tcPr>
          <w:p w14:paraId="2BE7B840" w14:textId="77777777" w:rsidR="008F364A" w:rsidRPr="005048B3" w:rsidRDefault="00740A17">
            <w:pPr>
              <w:pStyle w:val="zSoquijlblProvince"/>
              <w:rPr>
                <w:lang w:val="en-CA"/>
              </w:rPr>
            </w:pPr>
            <w:r w:rsidRPr="005048B3">
              <w:rPr>
                <w:lang w:val="en-CA"/>
              </w:rPr>
              <w:t xml:space="preserve">PROVINCE </w:t>
            </w:r>
            <w:r w:rsidR="005048B3">
              <w:rPr>
                <w:lang w:val="en-CA"/>
              </w:rPr>
              <w:t>OF</w:t>
            </w:r>
            <w:r w:rsidRPr="005048B3">
              <w:rPr>
                <w:lang w:val="en-CA"/>
              </w:rPr>
              <w:t xml:space="preserve"> QU</w:t>
            </w:r>
            <w:r w:rsidR="005048B3">
              <w:rPr>
                <w:lang w:val="en-CA"/>
              </w:rPr>
              <w:t>E</w:t>
            </w:r>
            <w:r w:rsidRPr="005048B3">
              <w:rPr>
                <w:lang w:val="en-CA"/>
              </w:rPr>
              <w:t>BEC</w:t>
            </w:r>
          </w:p>
        </w:tc>
      </w:tr>
      <w:tr w:rsidR="008F364A" w:rsidRPr="005048B3" w14:paraId="6B304726" w14:textId="77777777" w:rsidTr="00EB7611">
        <w:tc>
          <w:tcPr>
            <w:tcW w:w="1350" w:type="dxa"/>
            <w:gridSpan w:val="2"/>
          </w:tcPr>
          <w:p w14:paraId="189A01FD" w14:textId="77777777" w:rsidR="008F364A" w:rsidRPr="005048B3" w:rsidRDefault="00EB7611">
            <w:pPr>
              <w:pStyle w:val="zSoquijlblGreffe"/>
              <w:rPr>
                <w:lang w:val="en-CA"/>
              </w:rPr>
            </w:pPr>
            <w:r>
              <w:rPr>
                <w:lang w:val="en-CA"/>
              </w:rPr>
              <w:t xml:space="preserve">REGISTRY </w:t>
            </w:r>
          </w:p>
          <w:p w14:paraId="674B161B" w14:textId="77777777" w:rsidR="008F364A" w:rsidRPr="005048B3" w:rsidRDefault="008F364A">
            <w:pPr>
              <w:pStyle w:val="zSoquijlblGreffe"/>
              <w:rPr>
                <w:lang w:val="en-CA"/>
              </w:rPr>
            </w:pPr>
          </w:p>
        </w:tc>
        <w:tc>
          <w:tcPr>
            <w:tcW w:w="7920" w:type="dxa"/>
            <w:gridSpan w:val="4"/>
          </w:tcPr>
          <w:p w14:paraId="469C09C9" w14:textId="77777777" w:rsidR="008F364A" w:rsidRPr="005048B3" w:rsidRDefault="00EB7611">
            <w:pPr>
              <w:pStyle w:val="zSoquijdatGreffe"/>
              <w:rPr>
                <w:lang w:val="en-CA"/>
              </w:rPr>
            </w:pPr>
            <w:bookmarkStart w:id="0" w:name="NomGreffe"/>
            <w:r>
              <w:rPr>
                <w:lang w:val="en-CA"/>
              </w:rPr>
              <w:t xml:space="preserve">OF </w:t>
            </w:r>
            <w:bookmarkEnd w:id="0"/>
            <w:r>
              <w:rPr>
                <w:lang w:val="en-CA"/>
              </w:rPr>
              <w:t>MONTREAL</w:t>
            </w:r>
          </w:p>
        </w:tc>
      </w:tr>
      <w:tr w:rsidR="008F364A" w:rsidRPr="005048B3" w14:paraId="03C2E9C9" w14:textId="77777777" w:rsidTr="00EB7611">
        <w:tc>
          <w:tcPr>
            <w:tcW w:w="1030" w:type="dxa"/>
          </w:tcPr>
          <w:p w14:paraId="3626628F" w14:textId="77777777" w:rsidR="008F364A" w:rsidRPr="005048B3" w:rsidRDefault="00740A17">
            <w:pPr>
              <w:pStyle w:val="zSoquijlblNoDossier"/>
              <w:rPr>
                <w:lang w:val="en-CA"/>
              </w:rPr>
            </w:pPr>
            <w:r w:rsidRPr="005048B3">
              <w:rPr>
                <w:lang w:val="en-CA"/>
              </w:rPr>
              <w:t>N</w:t>
            </w:r>
            <w:r w:rsidR="005048B3">
              <w:rPr>
                <w:lang w:val="en-CA"/>
              </w:rPr>
              <w:t>o.</w:t>
            </w:r>
            <w:r w:rsidRPr="005048B3">
              <w:rPr>
                <w:lang w:val="en-CA"/>
              </w:rPr>
              <w:t>:</w:t>
            </w:r>
          </w:p>
        </w:tc>
        <w:tc>
          <w:tcPr>
            <w:tcW w:w="8240" w:type="dxa"/>
            <w:gridSpan w:val="5"/>
          </w:tcPr>
          <w:p w14:paraId="799FD532" w14:textId="77777777" w:rsidR="008F364A" w:rsidRPr="005048B3" w:rsidRDefault="00066990">
            <w:pPr>
              <w:pStyle w:val="zSoquijdatNoDossier"/>
              <w:rPr>
                <w:lang w:val="en-CA"/>
              </w:rPr>
            </w:pPr>
            <w:bookmarkStart w:id="1" w:name="NoDossier"/>
            <w:r w:rsidRPr="005048B3">
              <w:rPr>
                <w:lang w:val="en-CA"/>
              </w:rPr>
              <w:t>500-10-007423-203</w:t>
            </w:r>
            <w:bookmarkEnd w:id="1"/>
          </w:p>
        </w:tc>
      </w:tr>
      <w:tr w:rsidR="00066990" w:rsidRPr="005048B3" w14:paraId="0621923A" w14:textId="77777777" w:rsidTr="00EB7611">
        <w:tc>
          <w:tcPr>
            <w:tcW w:w="9270" w:type="dxa"/>
            <w:gridSpan w:val="6"/>
          </w:tcPr>
          <w:p w14:paraId="678F78FE" w14:textId="77777777" w:rsidR="00066990" w:rsidRPr="005048B3" w:rsidRDefault="00066990" w:rsidP="00066990">
            <w:pPr>
              <w:pStyle w:val="zSoquijdatNoDossierAnt"/>
              <w:rPr>
                <w:lang w:val="en-CA"/>
              </w:rPr>
            </w:pPr>
            <w:r w:rsidRPr="005048B3">
              <w:rPr>
                <w:lang w:val="en-CA"/>
              </w:rPr>
              <w:t>(500-01-204049-206)</w:t>
            </w:r>
          </w:p>
        </w:tc>
      </w:tr>
      <w:tr w:rsidR="008F364A" w:rsidRPr="005048B3" w14:paraId="24F90D23" w14:textId="77777777" w:rsidTr="00EB7611">
        <w:tc>
          <w:tcPr>
            <w:tcW w:w="9270" w:type="dxa"/>
            <w:gridSpan w:val="6"/>
          </w:tcPr>
          <w:p w14:paraId="50F36867" w14:textId="77777777" w:rsidR="008F364A" w:rsidRPr="005048B3" w:rsidRDefault="008F364A">
            <w:pPr>
              <w:rPr>
                <w:lang w:val="en-CA"/>
              </w:rPr>
            </w:pPr>
          </w:p>
        </w:tc>
      </w:tr>
      <w:tr w:rsidR="008F364A" w:rsidRPr="005048B3" w14:paraId="4086E6BD" w14:textId="77777777" w:rsidTr="00EB7611">
        <w:tc>
          <w:tcPr>
            <w:tcW w:w="1030" w:type="dxa"/>
          </w:tcPr>
          <w:p w14:paraId="0179C9C4" w14:textId="77777777" w:rsidR="008F364A" w:rsidRPr="005048B3" w:rsidRDefault="00740A17">
            <w:pPr>
              <w:pStyle w:val="zSoquijlblDateJugement"/>
              <w:rPr>
                <w:lang w:val="en-CA"/>
              </w:rPr>
            </w:pPr>
            <w:r w:rsidRPr="005048B3">
              <w:rPr>
                <w:lang w:val="en-CA"/>
              </w:rPr>
              <w:t>DATE:</w:t>
            </w:r>
          </w:p>
        </w:tc>
        <w:tc>
          <w:tcPr>
            <w:tcW w:w="8240" w:type="dxa"/>
            <w:gridSpan w:val="5"/>
          </w:tcPr>
          <w:p w14:paraId="383E13B5" w14:textId="77777777" w:rsidR="008F364A" w:rsidRPr="005048B3" w:rsidRDefault="00544ECD">
            <w:pPr>
              <w:pStyle w:val="zSoquijdatDateJugement"/>
              <w:rPr>
                <w:lang w:val="en-CA"/>
              </w:rPr>
            </w:pPr>
            <w:r w:rsidRPr="005048B3">
              <w:rPr>
                <w:lang w:val="en-CA"/>
              </w:rPr>
              <w:t xml:space="preserve"> </w:t>
            </w:r>
            <w:r w:rsidR="005048B3">
              <w:rPr>
                <w:lang w:val="en-CA"/>
              </w:rPr>
              <w:t>January 10,</w:t>
            </w:r>
            <w:r w:rsidR="00894256" w:rsidRPr="005048B3">
              <w:rPr>
                <w:lang w:val="en-CA"/>
              </w:rPr>
              <w:t xml:space="preserve"> 2023</w:t>
            </w:r>
          </w:p>
        </w:tc>
      </w:tr>
      <w:tr w:rsidR="008F364A" w:rsidRPr="005048B3" w14:paraId="7138D376" w14:textId="77777777" w:rsidTr="00EB7611">
        <w:tc>
          <w:tcPr>
            <w:tcW w:w="9270" w:type="dxa"/>
            <w:gridSpan w:val="6"/>
            <w:tcBorders>
              <w:bottom w:val="single" w:sz="8" w:space="0" w:color="auto"/>
            </w:tcBorders>
          </w:tcPr>
          <w:p w14:paraId="124EB9C1" w14:textId="77777777" w:rsidR="008F364A" w:rsidRPr="005048B3" w:rsidRDefault="008F364A">
            <w:pPr>
              <w:rPr>
                <w:lang w:val="en-CA"/>
              </w:rPr>
            </w:pPr>
          </w:p>
        </w:tc>
      </w:tr>
      <w:tr w:rsidR="008F364A" w:rsidRPr="005048B3" w14:paraId="49EFBE26" w14:textId="77777777" w:rsidTr="00EB7611">
        <w:tc>
          <w:tcPr>
            <w:tcW w:w="9270" w:type="dxa"/>
            <w:gridSpan w:val="6"/>
            <w:tcBorders>
              <w:top w:val="single" w:sz="8" w:space="0" w:color="auto"/>
            </w:tcBorders>
          </w:tcPr>
          <w:p w14:paraId="2C155878" w14:textId="77777777" w:rsidR="008F364A" w:rsidRPr="005048B3" w:rsidRDefault="008F364A">
            <w:pPr>
              <w:rPr>
                <w:lang w:val="en-CA"/>
              </w:rPr>
            </w:pPr>
          </w:p>
        </w:tc>
      </w:tr>
      <w:tr w:rsidR="008F364A" w:rsidRPr="005048B3" w14:paraId="554A28BA" w14:textId="77777777" w:rsidTr="00EB7611">
        <w:tc>
          <w:tcPr>
            <w:tcW w:w="1530" w:type="dxa"/>
            <w:gridSpan w:val="3"/>
          </w:tcPr>
          <w:p w14:paraId="0D5E8762" w14:textId="77777777" w:rsidR="008F364A" w:rsidRPr="005048B3" w:rsidRDefault="003B6365" w:rsidP="00423DF1">
            <w:pPr>
              <w:pStyle w:val="zSoquijlblJuge"/>
              <w:ind w:right="-142"/>
              <w:rPr>
                <w:lang w:val="en-CA"/>
              </w:rPr>
            </w:pPr>
            <w:bookmarkStart w:id="2" w:name="FORMATION"/>
            <w:r>
              <w:rPr>
                <w:lang w:val="en-CA"/>
              </w:rPr>
              <w:t>CORAM</w:t>
            </w:r>
            <w:r w:rsidR="00740A17" w:rsidRPr="005048B3">
              <w:rPr>
                <w:lang w:val="en-CA"/>
              </w:rPr>
              <w:t>:</w:t>
            </w:r>
            <w:bookmarkEnd w:id="2"/>
          </w:p>
        </w:tc>
        <w:tc>
          <w:tcPr>
            <w:tcW w:w="2350" w:type="dxa"/>
          </w:tcPr>
          <w:p w14:paraId="7E7C6A54" w14:textId="77777777" w:rsidR="008F364A" w:rsidRPr="005048B3" w:rsidRDefault="005048B3">
            <w:pPr>
              <w:pStyle w:val="zSoquijdatQteJuge"/>
              <w:rPr>
                <w:lang w:val="en-CA"/>
              </w:rPr>
            </w:pPr>
            <w:bookmarkStart w:id="3" w:name="Honorables"/>
            <w:r>
              <w:rPr>
                <w:lang w:val="en-CA"/>
              </w:rPr>
              <w:t>THE</w:t>
            </w:r>
            <w:r w:rsidR="00740A17" w:rsidRPr="005048B3">
              <w:rPr>
                <w:lang w:val="en-CA"/>
              </w:rPr>
              <w:t xml:space="preserve"> HONO</w:t>
            </w:r>
            <w:r>
              <w:rPr>
                <w:lang w:val="en-CA"/>
              </w:rPr>
              <w:t>U</w:t>
            </w:r>
            <w:r w:rsidR="00EB7611">
              <w:rPr>
                <w:lang w:val="en-CA"/>
              </w:rPr>
              <w:t>R</w:t>
            </w:r>
            <w:r w:rsidR="00740A17" w:rsidRPr="005048B3">
              <w:rPr>
                <w:lang w:val="en-CA"/>
              </w:rPr>
              <w:t>ABLE</w:t>
            </w:r>
            <w:bookmarkEnd w:id="3"/>
          </w:p>
        </w:tc>
        <w:tc>
          <w:tcPr>
            <w:tcW w:w="5390" w:type="dxa"/>
            <w:gridSpan w:val="2"/>
          </w:tcPr>
          <w:p w14:paraId="06080D68" w14:textId="77777777" w:rsidR="008F364A" w:rsidRPr="005048B3" w:rsidRDefault="00066990">
            <w:pPr>
              <w:pStyle w:val="zSoquijdatJuge"/>
              <w:rPr>
                <w:lang w:val="en-CA"/>
              </w:rPr>
            </w:pPr>
            <w:bookmarkStart w:id="4" w:name="NomJuge1"/>
            <w:r w:rsidRPr="005048B3">
              <w:rPr>
                <w:lang w:val="en-CA"/>
              </w:rPr>
              <w:t>MARTIN VAUCLAIR, J.A.</w:t>
            </w:r>
            <w:bookmarkEnd w:id="4"/>
          </w:p>
          <w:p w14:paraId="7DF7100A" w14:textId="77777777" w:rsidR="008F364A" w:rsidRPr="005048B3" w:rsidRDefault="00066990">
            <w:pPr>
              <w:pStyle w:val="zSoquijdatJuge"/>
              <w:rPr>
                <w:lang w:val="en-CA"/>
              </w:rPr>
            </w:pPr>
            <w:bookmarkStart w:id="5" w:name="NomJuge2"/>
            <w:r w:rsidRPr="005048B3">
              <w:rPr>
                <w:lang w:val="en-CA"/>
              </w:rPr>
              <w:t>STEPHEN W. HAMILTON, J.A.</w:t>
            </w:r>
            <w:bookmarkEnd w:id="5"/>
          </w:p>
          <w:p w14:paraId="0A2F57DB" w14:textId="77777777" w:rsidR="005A78BF" w:rsidRPr="005048B3" w:rsidRDefault="00066990" w:rsidP="00066990">
            <w:pPr>
              <w:pStyle w:val="zSoquijdatJuge"/>
              <w:rPr>
                <w:lang w:val="en-CA"/>
              </w:rPr>
            </w:pPr>
            <w:bookmarkStart w:id="6" w:name="_Hlt520513784"/>
            <w:bookmarkStart w:id="7" w:name="NomJuge3"/>
            <w:bookmarkEnd w:id="6"/>
            <w:r w:rsidRPr="005048B3">
              <w:rPr>
                <w:lang w:val="en-CA"/>
              </w:rPr>
              <w:t>GUY COURNOYER, J.A.</w:t>
            </w:r>
            <w:bookmarkEnd w:id="7"/>
          </w:p>
        </w:tc>
      </w:tr>
      <w:tr w:rsidR="008F364A" w:rsidRPr="005048B3" w14:paraId="124D5443" w14:textId="77777777" w:rsidTr="00EB7611">
        <w:tc>
          <w:tcPr>
            <w:tcW w:w="9270" w:type="dxa"/>
            <w:gridSpan w:val="6"/>
            <w:tcBorders>
              <w:bottom w:val="single" w:sz="8" w:space="0" w:color="auto"/>
            </w:tcBorders>
          </w:tcPr>
          <w:p w14:paraId="19093BF1" w14:textId="77777777" w:rsidR="008F364A" w:rsidRPr="005048B3" w:rsidRDefault="008F364A">
            <w:pPr>
              <w:rPr>
                <w:lang w:val="en-CA"/>
              </w:rPr>
            </w:pPr>
          </w:p>
        </w:tc>
      </w:tr>
      <w:tr w:rsidR="008F364A" w:rsidRPr="005048B3" w14:paraId="733DABD9" w14:textId="77777777" w:rsidTr="00EB7611">
        <w:tc>
          <w:tcPr>
            <w:tcW w:w="9270" w:type="dxa"/>
            <w:gridSpan w:val="6"/>
          </w:tcPr>
          <w:p w14:paraId="3BA63B4C" w14:textId="77777777" w:rsidR="008F364A" w:rsidRPr="005048B3" w:rsidRDefault="008F364A">
            <w:pPr>
              <w:pStyle w:val="zSoquijlblTitrePartie"/>
              <w:rPr>
                <w:lang w:val="en-CA"/>
              </w:rPr>
            </w:pPr>
          </w:p>
        </w:tc>
      </w:tr>
      <w:tr w:rsidR="008F364A" w:rsidRPr="005048B3" w14:paraId="502B8B31" w14:textId="77777777" w:rsidTr="00EB7611">
        <w:tc>
          <w:tcPr>
            <w:tcW w:w="9270" w:type="dxa"/>
            <w:gridSpan w:val="6"/>
          </w:tcPr>
          <w:p w14:paraId="1FF68A7C" w14:textId="77777777" w:rsidR="008F364A" w:rsidRPr="005048B3" w:rsidRDefault="00066990">
            <w:pPr>
              <w:pStyle w:val="zSoquijdatNomPartieDem"/>
              <w:rPr>
                <w:lang w:val="en-CA"/>
              </w:rPr>
            </w:pPr>
            <w:r w:rsidRPr="005048B3">
              <w:rPr>
                <w:lang w:val="en-CA"/>
              </w:rPr>
              <w:t>ÉMILE YOMBO</w:t>
            </w:r>
          </w:p>
        </w:tc>
      </w:tr>
      <w:tr w:rsidR="008F364A" w:rsidRPr="005048B3" w14:paraId="3D76766A" w14:textId="77777777" w:rsidTr="00EB7611">
        <w:tc>
          <w:tcPr>
            <w:tcW w:w="9270" w:type="dxa"/>
            <w:gridSpan w:val="6"/>
          </w:tcPr>
          <w:p w14:paraId="3187AFF7" w14:textId="77777777" w:rsidR="008F364A" w:rsidRPr="005048B3" w:rsidRDefault="00066990">
            <w:pPr>
              <w:pStyle w:val="zSoquijdatQtePartieDem"/>
              <w:rPr>
                <w:lang w:val="en-CA"/>
              </w:rPr>
            </w:pPr>
            <w:r w:rsidRPr="005048B3">
              <w:rPr>
                <w:lang w:val="en-CA"/>
              </w:rPr>
              <w:t>APPE</w:t>
            </w:r>
            <w:r w:rsidR="005048B3">
              <w:rPr>
                <w:lang w:val="en-CA"/>
              </w:rPr>
              <w:t>L</w:t>
            </w:r>
            <w:r w:rsidRPr="005048B3">
              <w:rPr>
                <w:lang w:val="en-CA"/>
              </w:rPr>
              <w:t xml:space="preserve">LANT – </w:t>
            </w:r>
            <w:r w:rsidR="005048B3">
              <w:rPr>
                <w:lang w:val="en-CA"/>
              </w:rPr>
              <w:t>Accused</w:t>
            </w:r>
            <w:r w:rsidRPr="005048B3">
              <w:rPr>
                <w:lang w:val="en-CA"/>
              </w:rPr>
              <w:t xml:space="preserve"> </w:t>
            </w:r>
          </w:p>
        </w:tc>
      </w:tr>
      <w:tr w:rsidR="008F364A" w:rsidRPr="005048B3" w14:paraId="7950FCFA" w14:textId="77777777" w:rsidTr="00EB7611">
        <w:tc>
          <w:tcPr>
            <w:tcW w:w="9270" w:type="dxa"/>
            <w:gridSpan w:val="6"/>
          </w:tcPr>
          <w:p w14:paraId="04A998A1" w14:textId="77777777" w:rsidR="008F364A" w:rsidRPr="005048B3" w:rsidRDefault="008F364A">
            <w:pPr>
              <w:pStyle w:val="zSoquijlblLienParties"/>
              <w:rPr>
                <w:lang w:val="en-CA"/>
              </w:rPr>
            </w:pPr>
          </w:p>
        </w:tc>
      </w:tr>
      <w:tr w:rsidR="008F364A" w:rsidRPr="005048B3" w14:paraId="059292D4" w14:textId="77777777" w:rsidTr="00EB7611">
        <w:tc>
          <w:tcPr>
            <w:tcW w:w="9270" w:type="dxa"/>
            <w:gridSpan w:val="6"/>
          </w:tcPr>
          <w:p w14:paraId="3305EE45" w14:textId="77777777" w:rsidR="008F364A" w:rsidRPr="005048B3" w:rsidRDefault="009A7E16">
            <w:pPr>
              <w:rPr>
                <w:lang w:val="en-CA"/>
              </w:rPr>
            </w:pPr>
            <w:r>
              <w:rPr>
                <w:lang w:val="en-CA"/>
              </w:rPr>
              <w:t>v.</w:t>
            </w:r>
          </w:p>
        </w:tc>
      </w:tr>
      <w:tr w:rsidR="005048B3" w:rsidRPr="005048B3" w14:paraId="18940656" w14:textId="77777777" w:rsidTr="00EB7611">
        <w:tc>
          <w:tcPr>
            <w:tcW w:w="9270" w:type="dxa"/>
            <w:gridSpan w:val="6"/>
          </w:tcPr>
          <w:p w14:paraId="6317869C" w14:textId="77777777" w:rsidR="005048B3" w:rsidRPr="005048B3" w:rsidRDefault="005048B3">
            <w:pPr>
              <w:rPr>
                <w:lang w:val="en-CA"/>
              </w:rPr>
            </w:pPr>
          </w:p>
        </w:tc>
      </w:tr>
      <w:tr w:rsidR="008F364A" w:rsidRPr="005048B3" w14:paraId="4ED47336" w14:textId="77777777" w:rsidTr="00EB7611">
        <w:tc>
          <w:tcPr>
            <w:tcW w:w="9270" w:type="dxa"/>
            <w:gridSpan w:val="6"/>
          </w:tcPr>
          <w:p w14:paraId="01C3C7CB" w14:textId="77777777" w:rsidR="008F364A" w:rsidRPr="005048B3" w:rsidRDefault="005048B3">
            <w:pPr>
              <w:pStyle w:val="zSoquijdatNomPartieDef"/>
              <w:rPr>
                <w:lang w:val="en-CA"/>
              </w:rPr>
            </w:pPr>
            <w:r>
              <w:rPr>
                <w:lang w:val="en-CA"/>
              </w:rPr>
              <w:t>HIS MAJESTY THE KING</w:t>
            </w:r>
          </w:p>
        </w:tc>
      </w:tr>
      <w:tr w:rsidR="008F364A" w:rsidRPr="005048B3" w14:paraId="1B90C283" w14:textId="77777777" w:rsidTr="00EB7611">
        <w:tc>
          <w:tcPr>
            <w:tcW w:w="9270" w:type="dxa"/>
            <w:gridSpan w:val="6"/>
          </w:tcPr>
          <w:p w14:paraId="4754CEDD" w14:textId="77777777" w:rsidR="008F364A" w:rsidRPr="005048B3" w:rsidRDefault="005048B3">
            <w:pPr>
              <w:pStyle w:val="zSoquijdatQtePartieDef"/>
              <w:rPr>
                <w:lang w:val="en-CA"/>
              </w:rPr>
            </w:pPr>
            <w:r>
              <w:rPr>
                <w:lang w:val="en-CA"/>
              </w:rPr>
              <w:t>RESPONDENT</w:t>
            </w:r>
            <w:r w:rsidR="00066990" w:rsidRPr="005048B3">
              <w:rPr>
                <w:lang w:val="en-CA"/>
              </w:rPr>
              <w:t xml:space="preserve"> – </w:t>
            </w:r>
            <w:r w:rsidR="00EB7611">
              <w:rPr>
                <w:lang w:val="en-CA"/>
              </w:rPr>
              <w:t>Prosecutor</w:t>
            </w:r>
            <w:r w:rsidR="00066990" w:rsidRPr="005048B3">
              <w:rPr>
                <w:lang w:val="en-CA"/>
              </w:rPr>
              <w:t xml:space="preserve"> </w:t>
            </w:r>
          </w:p>
        </w:tc>
      </w:tr>
      <w:tr w:rsidR="008F364A" w:rsidRPr="005048B3" w14:paraId="07F1E6F3" w14:textId="77777777" w:rsidTr="00EB7611">
        <w:tc>
          <w:tcPr>
            <w:tcW w:w="9270" w:type="dxa"/>
            <w:gridSpan w:val="6"/>
          </w:tcPr>
          <w:p w14:paraId="1B82E758" w14:textId="77777777" w:rsidR="008F364A" w:rsidRPr="005048B3" w:rsidRDefault="008F364A">
            <w:pPr>
              <w:rPr>
                <w:lang w:val="en-CA"/>
              </w:rPr>
            </w:pPr>
          </w:p>
        </w:tc>
      </w:tr>
      <w:tr w:rsidR="008F364A" w:rsidRPr="005048B3" w14:paraId="351910A1" w14:textId="77777777" w:rsidTr="00EB7611">
        <w:tc>
          <w:tcPr>
            <w:tcW w:w="9270" w:type="dxa"/>
            <w:gridSpan w:val="6"/>
            <w:tcBorders>
              <w:top w:val="single" w:sz="8" w:space="0" w:color="auto"/>
            </w:tcBorders>
          </w:tcPr>
          <w:p w14:paraId="6635B2CB" w14:textId="77777777" w:rsidR="008F364A" w:rsidRPr="005048B3" w:rsidRDefault="008F364A">
            <w:pPr>
              <w:rPr>
                <w:lang w:val="en-CA"/>
              </w:rPr>
            </w:pPr>
            <w:bookmarkStart w:id="8" w:name="Arret"/>
          </w:p>
        </w:tc>
      </w:tr>
      <w:tr w:rsidR="008F364A" w:rsidRPr="005048B3" w14:paraId="1580D16F" w14:textId="77777777" w:rsidTr="00EB7611">
        <w:tc>
          <w:tcPr>
            <w:tcW w:w="9270" w:type="dxa"/>
            <w:gridSpan w:val="6"/>
          </w:tcPr>
          <w:p w14:paraId="1D9FC622" w14:textId="77777777" w:rsidR="008F364A" w:rsidRPr="005048B3" w:rsidRDefault="005048B3">
            <w:pPr>
              <w:pStyle w:val="zSoquijlblTypeDocument"/>
              <w:rPr>
                <w:lang w:val="en-CA"/>
              </w:rPr>
            </w:pPr>
            <w:bookmarkStart w:id="9" w:name="TitreDocument"/>
            <w:r>
              <w:rPr>
                <w:lang w:val="en-CA"/>
              </w:rPr>
              <w:t>JUDGMENT</w:t>
            </w:r>
            <w:bookmarkEnd w:id="9"/>
          </w:p>
        </w:tc>
      </w:tr>
      <w:tr w:rsidR="008F364A" w:rsidRPr="005048B3" w14:paraId="3AE843E3" w14:textId="77777777" w:rsidTr="00EB7611">
        <w:tc>
          <w:tcPr>
            <w:tcW w:w="9270" w:type="dxa"/>
            <w:gridSpan w:val="6"/>
            <w:tcBorders>
              <w:bottom w:val="single" w:sz="8" w:space="0" w:color="auto"/>
            </w:tcBorders>
          </w:tcPr>
          <w:p w14:paraId="09EF42F4" w14:textId="77777777" w:rsidR="008F364A" w:rsidRPr="005048B3" w:rsidRDefault="008F364A">
            <w:pPr>
              <w:rPr>
                <w:lang w:val="en-CA"/>
              </w:rPr>
            </w:pPr>
          </w:p>
        </w:tc>
      </w:tr>
      <w:tr w:rsidR="008F364A" w:rsidRPr="005048B3" w14:paraId="25995203" w14:textId="77777777" w:rsidTr="00EB7611">
        <w:tc>
          <w:tcPr>
            <w:tcW w:w="9270" w:type="dxa"/>
            <w:gridSpan w:val="6"/>
            <w:tcBorders>
              <w:top w:val="single" w:sz="8" w:space="0" w:color="auto"/>
            </w:tcBorders>
          </w:tcPr>
          <w:p w14:paraId="7B812C9C" w14:textId="77777777" w:rsidR="008F364A" w:rsidRPr="005048B3" w:rsidRDefault="008F364A">
            <w:pPr>
              <w:rPr>
                <w:lang w:val="en-CA"/>
              </w:rPr>
            </w:pPr>
          </w:p>
        </w:tc>
      </w:tr>
    </w:tbl>
    <w:p w14:paraId="05EC01F4" w14:textId="77777777" w:rsidR="005C7BE3" w:rsidRPr="005048B3" w:rsidRDefault="00EB7611" w:rsidP="00894256">
      <w:pPr>
        <w:pStyle w:val="JgtParagraphe"/>
        <w:numPr>
          <w:ilvl w:val="0"/>
          <w:numId w:val="19"/>
        </w:numPr>
        <w:spacing w:before="240" w:line="280" w:lineRule="exact"/>
        <w:rPr>
          <w:lang w:val="en-CA"/>
        </w:rPr>
      </w:pPr>
      <w:r w:rsidRPr="00EB7611">
        <w:rPr>
          <w:lang w:val="en-CA"/>
        </w:rPr>
        <w:t>On September 30, 2020, Judge Lori Renée Weitzman, of the Court of Quebec, Criminal and Penal Division, District of Montreal, acquitted the appellant of two counts</w:t>
      </w:r>
      <w:r w:rsidR="006635F4">
        <w:rPr>
          <w:lang w:val="en-CA"/>
        </w:rPr>
        <w:t xml:space="preserve"> –</w:t>
      </w:r>
      <w:r>
        <w:rPr>
          <w:lang w:val="en-CA"/>
        </w:rPr>
        <w:t xml:space="preserve"> </w:t>
      </w:r>
      <w:r w:rsidRPr="00EB7611">
        <w:rPr>
          <w:lang w:val="en-CA"/>
        </w:rPr>
        <w:t xml:space="preserve">one count of </w:t>
      </w:r>
      <w:r w:rsidR="006635F4">
        <w:rPr>
          <w:lang w:val="en-CA"/>
        </w:rPr>
        <w:t xml:space="preserve">uttering </w:t>
      </w:r>
      <w:r w:rsidRPr="00EB7611">
        <w:rPr>
          <w:lang w:val="en-CA"/>
        </w:rPr>
        <w:t>threats and another of harassment</w:t>
      </w:r>
      <w:r w:rsidR="003B6365">
        <w:rPr>
          <w:lang w:val="en-CA"/>
        </w:rPr>
        <w:t xml:space="preserve"> </w:t>
      </w:r>
      <w:r w:rsidR="006635F4">
        <w:rPr>
          <w:lang w:val="en-CA"/>
        </w:rPr>
        <w:t xml:space="preserve">– </w:t>
      </w:r>
      <w:r w:rsidRPr="00EB7611">
        <w:rPr>
          <w:lang w:val="en-CA"/>
        </w:rPr>
        <w:t xml:space="preserve">and </w:t>
      </w:r>
      <w:r w:rsidR="003B6365">
        <w:rPr>
          <w:lang w:val="en-CA"/>
        </w:rPr>
        <w:t>convicted</w:t>
      </w:r>
      <w:r w:rsidR="003B6365" w:rsidRPr="00EB7611">
        <w:rPr>
          <w:lang w:val="en-CA"/>
        </w:rPr>
        <w:t xml:space="preserve"> </w:t>
      </w:r>
      <w:r w:rsidRPr="00EB7611">
        <w:rPr>
          <w:lang w:val="en-CA"/>
        </w:rPr>
        <w:t>him of one count of assault. He appeal</w:t>
      </w:r>
      <w:r>
        <w:rPr>
          <w:lang w:val="en-CA"/>
        </w:rPr>
        <w:t>ed</w:t>
      </w:r>
      <w:r w:rsidRPr="00EB7611">
        <w:rPr>
          <w:lang w:val="en-CA"/>
        </w:rPr>
        <w:t xml:space="preserve">. The </w:t>
      </w:r>
      <w:r w:rsidR="00996E8E">
        <w:rPr>
          <w:lang w:val="en-CA"/>
        </w:rPr>
        <w:t>application</w:t>
      </w:r>
      <w:r w:rsidRPr="00EB7611">
        <w:rPr>
          <w:lang w:val="en-CA"/>
        </w:rPr>
        <w:t xml:space="preserve"> for </w:t>
      </w:r>
      <w:r>
        <w:rPr>
          <w:lang w:val="en-CA"/>
        </w:rPr>
        <w:t>leave</w:t>
      </w:r>
      <w:r w:rsidRPr="00EB7611">
        <w:rPr>
          <w:lang w:val="en-CA"/>
        </w:rPr>
        <w:t xml:space="preserve"> to appeal </w:t>
      </w:r>
      <w:r>
        <w:rPr>
          <w:lang w:val="en-CA"/>
        </w:rPr>
        <w:t>was</w:t>
      </w:r>
      <w:r w:rsidRPr="00EB7611">
        <w:rPr>
          <w:lang w:val="en-CA"/>
        </w:rPr>
        <w:t xml:space="preserve"> </w:t>
      </w:r>
      <w:r w:rsidR="00E51C29">
        <w:rPr>
          <w:lang w:val="en-CA"/>
        </w:rPr>
        <w:t>r</w:t>
      </w:r>
      <w:r w:rsidR="006635F4">
        <w:rPr>
          <w:lang w:val="en-CA"/>
        </w:rPr>
        <w:t>eferred</w:t>
      </w:r>
      <w:r w:rsidRPr="00EB7611">
        <w:rPr>
          <w:lang w:val="en-CA"/>
        </w:rPr>
        <w:t xml:space="preserve"> to the panel:</w:t>
      </w:r>
      <w:r w:rsidR="006635F4">
        <w:rPr>
          <w:lang w:val="en-CA"/>
        </w:rPr>
        <w:t xml:space="preserve"> </w:t>
      </w:r>
      <w:r w:rsidR="005C7BE3" w:rsidRPr="005048B3">
        <w:rPr>
          <w:i/>
          <w:lang w:val="en-CA"/>
        </w:rPr>
        <w:t xml:space="preserve">R. </w:t>
      </w:r>
      <w:r>
        <w:rPr>
          <w:i/>
          <w:lang w:val="en-CA"/>
        </w:rPr>
        <w:t>v</w:t>
      </w:r>
      <w:r w:rsidR="005C7BE3" w:rsidRPr="005048B3">
        <w:rPr>
          <w:i/>
          <w:lang w:val="en-CA"/>
        </w:rPr>
        <w:t>. Yombo</w:t>
      </w:r>
      <w:r w:rsidR="005C7BE3" w:rsidRPr="005048B3">
        <w:rPr>
          <w:iCs/>
          <w:lang w:val="en-CA"/>
        </w:rPr>
        <w:t>, 2020</w:t>
      </w:r>
      <w:r w:rsidR="005C7BE3" w:rsidRPr="005048B3">
        <w:rPr>
          <w:lang w:val="en-CA"/>
        </w:rPr>
        <w:t xml:space="preserve"> QCCA 1464.</w:t>
      </w:r>
    </w:p>
    <w:p w14:paraId="4A139E58" w14:textId="77777777" w:rsidR="005C7BE3" w:rsidRPr="005048B3" w:rsidRDefault="006635F4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>
        <w:rPr>
          <w:lang w:val="en-CA"/>
        </w:rPr>
        <w:t xml:space="preserve">For the reasons of </w:t>
      </w:r>
      <w:r w:rsidR="005C7BE3" w:rsidRPr="005048B3">
        <w:rPr>
          <w:lang w:val="en-CA"/>
        </w:rPr>
        <w:t>Vauclair</w:t>
      </w:r>
      <w:r>
        <w:rPr>
          <w:lang w:val="en-CA"/>
        </w:rPr>
        <w:t>, J.A.</w:t>
      </w:r>
      <w:r w:rsidR="005C7BE3" w:rsidRPr="005048B3">
        <w:rPr>
          <w:lang w:val="en-CA"/>
        </w:rPr>
        <w:t xml:space="preserve">, </w:t>
      </w:r>
      <w:r>
        <w:rPr>
          <w:lang w:val="en-CA"/>
        </w:rPr>
        <w:t>with which</w:t>
      </w:r>
      <w:r w:rsidR="005C7BE3" w:rsidRPr="005048B3">
        <w:rPr>
          <w:lang w:val="en-CA"/>
        </w:rPr>
        <w:t xml:space="preserve"> Hamilton </w:t>
      </w:r>
      <w:r>
        <w:rPr>
          <w:lang w:val="en-CA"/>
        </w:rPr>
        <w:t>and</w:t>
      </w:r>
      <w:r w:rsidR="005C7BE3" w:rsidRPr="005048B3">
        <w:rPr>
          <w:lang w:val="en-CA"/>
        </w:rPr>
        <w:t xml:space="preserve"> Cournoyer,</w:t>
      </w:r>
      <w:r>
        <w:rPr>
          <w:lang w:val="en-CA"/>
        </w:rPr>
        <w:t xml:space="preserve"> JJ.A. agree</w:t>
      </w:r>
      <w:r w:rsidR="003579F7">
        <w:rPr>
          <w:lang w:val="en-CA"/>
        </w:rPr>
        <w:t>,</w:t>
      </w:r>
      <w:r w:rsidR="005C7BE3" w:rsidRPr="005048B3">
        <w:rPr>
          <w:lang w:val="en-CA"/>
        </w:rPr>
        <w:t xml:space="preserve"> </w:t>
      </w:r>
      <w:r w:rsidR="003579F7">
        <w:rPr>
          <w:b/>
          <w:lang w:val="en-CA"/>
        </w:rPr>
        <w:t>THE COURT</w:t>
      </w:r>
      <w:r w:rsidR="005C7BE3" w:rsidRPr="005048B3">
        <w:rPr>
          <w:b/>
          <w:lang w:val="en-CA"/>
        </w:rPr>
        <w:t>:</w:t>
      </w:r>
    </w:p>
    <w:p w14:paraId="6DAE725A" w14:textId="77777777" w:rsidR="00AE5655" w:rsidRPr="005048B3" w:rsidRDefault="003B6365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>
        <w:rPr>
          <w:b/>
          <w:bCs/>
          <w:lang w:val="en-CA"/>
        </w:rPr>
        <w:t>GRANTS</w:t>
      </w:r>
      <w:r w:rsidRPr="005048B3">
        <w:rPr>
          <w:b/>
          <w:bCs/>
          <w:lang w:val="en-CA"/>
        </w:rPr>
        <w:t xml:space="preserve"> </w:t>
      </w:r>
      <w:r w:rsidR="003579F7">
        <w:rPr>
          <w:lang w:val="en-CA"/>
        </w:rPr>
        <w:t xml:space="preserve">the </w:t>
      </w:r>
      <w:r w:rsidR="00996E8E">
        <w:rPr>
          <w:lang w:val="en-CA"/>
        </w:rPr>
        <w:t>application</w:t>
      </w:r>
      <w:r w:rsidR="003579F7">
        <w:rPr>
          <w:lang w:val="en-CA"/>
        </w:rPr>
        <w:t xml:space="preserve"> for leave to appeal</w:t>
      </w:r>
      <w:r w:rsidR="00AE5655" w:rsidRPr="005048B3">
        <w:rPr>
          <w:lang w:val="en-CA"/>
        </w:rPr>
        <w:t>;</w:t>
      </w:r>
    </w:p>
    <w:p w14:paraId="5865E579" w14:textId="77777777" w:rsidR="005C7BE3" w:rsidRPr="005048B3" w:rsidRDefault="003579F7" w:rsidP="00894256">
      <w:pPr>
        <w:pStyle w:val="JgtParagraphe"/>
        <w:keepNext/>
        <w:keepLines/>
        <w:numPr>
          <w:ilvl w:val="0"/>
          <w:numId w:val="19"/>
        </w:numPr>
        <w:spacing w:line="280" w:lineRule="exact"/>
        <w:rPr>
          <w:lang w:val="en-CA"/>
        </w:rPr>
      </w:pPr>
      <w:r>
        <w:rPr>
          <w:b/>
          <w:lang w:val="en-CA"/>
        </w:rPr>
        <w:lastRenderedPageBreak/>
        <w:t>DISMISSES</w:t>
      </w:r>
      <w:r w:rsidR="005C7BE3" w:rsidRPr="005048B3">
        <w:rPr>
          <w:b/>
          <w:lang w:val="en-CA"/>
        </w:rPr>
        <w:t xml:space="preserve"> </w:t>
      </w:r>
      <w:r>
        <w:rPr>
          <w:bCs/>
          <w:lang w:val="en-CA"/>
        </w:rPr>
        <w:t>the appeal</w:t>
      </w:r>
      <w:r w:rsidR="005C7BE3" w:rsidRPr="005048B3">
        <w:rPr>
          <w:bCs/>
          <w:lang w:val="en-CA"/>
        </w:rPr>
        <w:t>.</w:t>
      </w: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2685"/>
        <w:gridCol w:w="4680"/>
      </w:tblGrid>
      <w:tr w:rsidR="008F364A" w:rsidRPr="005048B3" w14:paraId="0DAEC98A" w14:textId="77777777" w:rsidTr="003E3239">
        <w:trPr>
          <w:trHeight w:val="576"/>
        </w:trPr>
        <w:tc>
          <w:tcPr>
            <w:tcW w:w="9362" w:type="dxa"/>
            <w:gridSpan w:val="3"/>
            <w:tcBorders>
              <w:top w:val="nil"/>
              <w:bottom w:val="nil"/>
            </w:tcBorders>
          </w:tcPr>
          <w:p w14:paraId="582139AF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</w:tr>
      <w:tr w:rsidR="008F364A" w:rsidRPr="005048B3" w14:paraId="0000A8B7" w14:textId="77777777" w:rsidTr="00117914">
        <w:trPr>
          <w:trHeight w:val="283"/>
        </w:trPr>
        <w:tc>
          <w:tcPr>
            <w:tcW w:w="4682" w:type="dxa"/>
            <w:gridSpan w:val="2"/>
            <w:tcBorders>
              <w:top w:val="nil"/>
              <w:bottom w:val="nil"/>
            </w:tcBorders>
          </w:tcPr>
          <w:p w14:paraId="05767A3E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  <w:tc>
          <w:tcPr>
            <w:tcW w:w="4680" w:type="dxa"/>
            <w:tcBorders>
              <w:top w:val="nil"/>
              <w:bottom w:val="single" w:sz="8" w:space="0" w:color="auto"/>
            </w:tcBorders>
          </w:tcPr>
          <w:p w14:paraId="2D3C5E76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</w:tr>
      <w:tr w:rsidR="008F364A" w:rsidRPr="005048B3" w14:paraId="52040AB3" w14:textId="77777777" w:rsidTr="00117914">
        <w:trPr>
          <w:trHeight w:val="283"/>
        </w:trPr>
        <w:tc>
          <w:tcPr>
            <w:tcW w:w="4682" w:type="dxa"/>
            <w:gridSpan w:val="2"/>
            <w:tcBorders>
              <w:top w:val="nil"/>
            </w:tcBorders>
          </w:tcPr>
          <w:p w14:paraId="345531C6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  <w:tc>
          <w:tcPr>
            <w:tcW w:w="4680" w:type="dxa"/>
            <w:tcBorders>
              <w:top w:val="single" w:sz="8" w:space="0" w:color="auto"/>
            </w:tcBorders>
          </w:tcPr>
          <w:p w14:paraId="436342BC" w14:textId="77777777" w:rsidR="008F364A" w:rsidRPr="005048B3" w:rsidRDefault="00544ECD" w:rsidP="00894256">
            <w:pPr>
              <w:keepNext/>
              <w:keepLines/>
              <w:rPr>
                <w:lang w:val="en-CA"/>
              </w:rPr>
            </w:pPr>
            <w:r w:rsidRPr="005048B3">
              <w:rPr>
                <w:lang w:val="en-CA"/>
              </w:rPr>
              <w:t>MARTIN VAUCLAIR, J.A.</w:t>
            </w:r>
          </w:p>
        </w:tc>
      </w:tr>
      <w:tr w:rsidR="008F364A" w:rsidRPr="005048B3" w14:paraId="223DC0E1" w14:textId="77777777" w:rsidTr="00117914">
        <w:trPr>
          <w:trHeight w:val="283"/>
        </w:trPr>
        <w:tc>
          <w:tcPr>
            <w:tcW w:w="4682" w:type="dxa"/>
            <w:gridSpan w:val="2"/>
            <w:tcBorders>
              <w:top w:val="nil"/>
            </w:tcBorders>
          </w:tcPr>
          <w:p w14:paraId="001B5E28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  <w:bookmarkStart w:id="10" w:name="Signature2"/>
          </w:p>
        </w:tc>
        <w:tc>
          <w:tcPr>
            <w:tcW w:w="4680" w:type="dxa"/>
            <w:tcBorders>
              <w:top w:val="nil"/>
            </w:tcBorders>
          </w:tcPr>
          <w:p w14:paraId="34F7D1F0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</w:tr>
      <w:tr w:rsidR="008F364A" w:rsidRPr="005048B3" w14:paraId="63BFBC73" w14:textId="77777777" w:rsidTr="00117914">
        <w:trPr>
          <w:trHeight w:val="283"/>
        </w:trPr>
        <w:tc>
          <w:tcPr>
            <w:tcW w:w="4682" w:type="dxa"/>
            <w:gridSpan w:val="2"/>
            <w:tcBorders>
              <w:top w:val="nil"/>
              <w:bottom w:val="nil"/>
            </w:tcBorders>
          </w:tcPr>
          <w:p w14:paraId="361D2DB0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  <w:tc>
          <w:tcPr>
            <w:tcW w:w="4680" w:type="dxa"/>
            <w:tcBorders>
              <w:top w:val="nil"/>
              <w:bottom w:val="single" w:sz="8" w:space="0" w:color="auto"/>
            </w:tcBorders>
          </w:tcPr>
          <w:p w14:paraId="186E8A63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</w:tr>
      <w:tr w:rsidR="008F364A" w:rsidRPr="005048B3" w14:paraId="0DA9FAD7" w14:textId="77777777" w:rsidTr="00117914">
        <w:trPr>
          <w:trHeight w:val="283"/>
        </w:trPr>
        <w:tc>
          <w:tcPr>
            <w:tcW w:w="4682" w:type="dxa"/>
            <w:gridSpan w:val="2"/>
            <w:tcBorders>
              <w:top w:val="nil"/>
            </w:tcBorders>
          </w:tcPr>
          <w:p w14:paraId="4DAD625D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  <w:tc>
          <w:tcPr>
            <w:tcW w:w="4680" w:type="dxa"/>
            <w:tcBorders>
              <w:top w:val="single" w:sz="8" w:space="0" w:color="auto"/>
            </w:tcBorders>
          </w:tcPr>
          <w:p w14:paraId="0FA37AC8" w14:textId="77777777" w:rsidR="008F364A" w:rsidRPr="005048B3" w:rsidRDefault="00544ECD" w:rsidP="00894256">
            <w:pPr>
              <w:keepNext/>
              <w:keepLines/>
              <w:rPr>
                <w:lang w:val="en-CA"/>
              </w:rPr>
            </w:pPr>
            <w:r w:rsidRPr="005048B3">
              <w:rPr>
                <w:lang w:val="en-CA"/>
              </w:rPr>
              <w:t>STEPHEN W. HAMILTON, J.A.</w:t>
            </w:r>
          </w:p>
        </w:tc>
      </w:tr>
      <w:tr w:rsidR="008F364A" w:rsidRPr="005048B3" w14:paraId="65F1F957" w14:textId="77777777" w:rsidTr="00117914">
        <w:trPr>
          <w:trHeight w:val="283"/>
        </w:trPr>
        <w:tc>
          <w:tcPr>
            <w:tcW w:w="4682" w:type="dxa"/>
            <w:gridSpan w:val="2"/>
            <w:tcBorders>
              <w:top w:val="nil"/>
            </w:tcBorders>
          </w:tcPr>
          <w:p w14:paraId="4D08B5B7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  <w:bookmarkStart w:id="11" w:name="Signature3"/>
            <w:bookmarkEnd w:id="10"/>
          </w:p>
        </w:tc>
        <w:tc>
          <w:tcPr>
            <w:tcW w:w="4680" w:type="dxa"/>
            <w:tcBorders>
              <w:top w:val="nil"/>
            </w:tcBorders>
          </w:tcPr>
          <w:p w14:paraId="622FFC61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</w:tr>
      <w:tr w:rsidR="008F364A" w:rsidRPr="005048B3" w14:paraId="180172C6" w14:textId="77777777" w:rsidTr="00117914">
        <w:trPr>
          <w:trHeight w:val="283"/>
        </w:trPr>
        <w:tc>
          <w:tcPr>
            <w:tcW w:w="4682" w:type="dxa"/>
            <w:gridSpan w:val="2"/>
            <w:tcBorders>
              <w:top w:val="nil"/>
              <w:bottom w:val="nil"/>
            </w:tcBorders>
          </w:tcPr>
          <w:p w14:paraId="0EF77239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  <w:tc>
          <w:tcPr>
            <w:tcW w:w="4680" w:type="dxa"/>
            <w:tcBorders>
              <w:top w:val="nil"/>
              <w:bottom w:val="single" w:sz="8" w:space="0" w:color="auto"/>
            </w:tcBorders>
          </w:tcPr>
          <w:p w14:paraId="45E5B299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</w:tr>
      <w:tr w:rsidR="008F364A" w:rsidRPr="005048B3" w14:paraId="3632765C" w14:textId="77777777" w:rsidTr="00117914">
        <w:trPr>
          <w:trHeight w:val="283"/>
        </w:trPr>
        <w:tc>
          <w:tcPr>
            <w:tcW w:w="4682" w:type="dxa"/>
            <w:gridSpan w:val="2"/>
            <w:tcBorders>
              <w:top w:val="nil"/>
            </w:tcBorders>
          </w:tcPr>
          <w:p w14:paraId="0A9CCB95" w14:textId="77777777" w:rsidR="008F364A" w:rsidRPr="005048B3" w:rsidRDefault="008F364A" w:rsidP="00894256">
            <w:pPr>
              <w:keepNext/>
              <w:keepLines/>
              <w:rPr>
                <w:lang w:val="en-CA"/>
              </w:rPr>
            </w:pPr>
          </w:p>
        </w:tc>
        <w:tc>
          <w:tcPr>
            <w:tcW w:w="4680" w:type="dxa"/>
            <w:tcBorders>
              <w:top w:val="single" w:sz="8" w:space="0" w:color="auto"/>
            </w:tcBorders>
          </w:tcPr>
          <w:p w14:paraId="3C3AC8B4" w14:textId="77777777" w:rsidR="008F364A" w:rsidRPr="005048B3" w:rsidRDefault="00544ECD" w:rsidP="00894256">
            <w:pPr>
              <w:keepNext/>
              <w:keepLines/>
              <w:rPr>
                <w:lang w:val="en-CA"/>
              </w:rPr>
            </w:pPr>
            <w:r w:rsidRPr="005048B3">
              <w:rPr>
                <w:lang w:val="en-CA"/>
              </w:rPr>
              <w:t>GUY COURNOYER, J.A.</w:t>
            </w:r>
          </w:p>
        </w:tc>
      </w:tr>
      <w:bookmarkEnd w:id="11"/>
      <w:tr w:rsidR="005A78BF" w:rsidRPr="005048B3" w14:paraId="4095FA4E" w14:textId="77777777" w:rsidTr="00423DF1">
        <w:tc>
          <w:tcPr>
            <w:tcW w:w="9362" w:type="dxa"/>
            <w:gridSpan w:val="3"/>
          </w:tcPr>
          <w:p w14:paraId="48F38083" w14:textId="77777777" w:rsidR="005A78BF" w:rsidRPr="005048B3" w:rsidRDefault="005A78BF" w:rsidP="00894256">
            <w:pPr>
              <w:keepNext/>
              <w:keepLines/>
              <w:rPr>
                <w:lang w:val="en-CA"/>
              </w:rPr>
            </w:pPr>
          </w:p>
        </w:tc>
      </w:tr>
      <w:tr w:rsidR="005A78BF" w:rsidRPr="005048B3" w14:paraId="0D28F7E2" w14:textId="77777777" w:rsidTr="00423DF1">
        <w:tc>
          <w:tcPr>
            <w:tcW w:w="9362" w:type="dxa"/>
            <w:gridSpan w:val="3"/>
          </w:tcPr>
          <w:p w14:paraId="54B05E92" w14:textId="77777777" w:rsidR="005A78BF" w:rsidRPr="005048B3" w:rsidRDefault="00066990" w:rsidP="00894256">
            <w:pPr>
              <w:pStyle w:val="zSoquijdatNomProcureurDem"/>
              <w:keepLines/>
              <w:rPr>
                <w:lang w:val="en-CA"/>
              </w:rPr>
            </w:pPr>
            <w:r w:rsidRPr="005048B3">
              <w:rPr>
                <w:lang w:val="en-CA"/>
              </w:rPr>
              <w:t>M</w:t>
            </w:r>
            <w:r w:rsidR="003579F7">
              <w:rPr>
                <w:lang w:val="en-CA"/>
              </w:rPr>
              <w:t>tr</w:t>
            </w:r>
            <w:r w:rsidRPr="005048B3">
              <w:rPr>
                <w:lang w:val="en-CA"/>
              </w:rPr>
              <w:t>e Rita Magloé Francis</w:t>
            </w:r>
          </w:p>
        </w:tc>
      </w:tr>
      <w:tr w:rsidR="005A78BF" w:rsidRPr="005048B3" w14:paraId="444336F8" w14:textId="77777777" w:rsidTr="00423DF1">
        <w:tc>
          <w:tcPr>
            <w:tcW w:w="9362" w:type="dxa"/>
            <w:gridSpan w:val="3"/>
          </w:tcPr>
          <w:p w14:paraId="77BA61B4" w14:textId="77777777" w:rsidR="005A78BF" w:rsidRPr="005048B3" w:rsidRDefault="00066990" w:rsidP="00894256">
            <w:pPr>
              <w:pStyle w:val="zSoquijdatCabinetProcureurDem"/>
              <w:keepLines/>
              <w:rPr>
                <w:lang w:val="en-CA"/>
              </w:rPr>
            </w:pPr>
            <w:r w:rsidRPr="005048B3">
              <w:rPr>
                <w:lang w:val="en-CA"/>
              </w:rPr>
              <w:t>SURPRENANT MAGLOÉ AVOCATS</w:t>
            </w:r>
          </w:p>
        </w:tc>
      </w:tr>
      <w:tr w:rsidR="005A78BF" w:rsidRPr="005048B3" w14:paraId="68B0B3AB" w14:textId="77777777" w:rsidTr="00423DF1">
        <w:tc>
          <w:tcPr>
            <w:tcW w:w="9362" w:type="dxa"/>
            <w:gridSpan w:val="3"/>
          </w:tcPr>
          <w:p w14:paraId="61A0963E" w14:textId="77777777" w:rsidR="005A78BF" w:rsidRPr="005048B3" w:rsidRDefault="003579F7" w:rsidP="00894256">
            <w:pPr>
              <w:pStyle w:val="zSoquijlblProcureurDem"/>
              <w:keepNext/>
              <w:keepLines/>
              <w:rPr>
                <w:lang w:val="en-CA"/>
              </w:rPr>
            </w:pPr>
            <w:r>
              <w:rPr>
                <w:lang w:val="en-CA"/>
              </w:rPr>
              <w:t>For the appellant</w:t>
            </w:r>
          </w:p>
        </w:tc>
      </w:tr>
      <w:tr w:rsidR="005A78BF" w:rsidRPr="005048B3" w14:paraId="664F3DA2" w14:textId="77777777" w:rsidTr="00423DF1">
        <w:tc>
          <w:tcPr>
            <w:tcW w:w="9362" w:type="dxa"/>
            <w:gridSpan w:val="3"/>
          </w:tcPr>
          <w:p w14:paraId="5DE99D95" w14:textId="77777777" w:rsidR="005A78BF" w:rsidRPr="005048B3" w:rsidRDefault="005A78BF" w:rsidP="00894256">
            <w:pPr>
              <w:keepNext/>
              <w:keepLines/>
              <w:rPr>
                <w:lang w:val="en-CA"/>
              </w:rPr>
            </w:pPr>
          </w:p>
        </w:tc>
      </w:tr>
      <w:tr w:rsidR="005A78BF" w:rsidRPr="005048B3" w14:paraId="571E9DDC" w14:textId="77777777" w:rsidTr="00423DF1">
        <w:tc>
          <w:tcPr>
            <w:tcW w:w="9362" w:type="dxa"/>
            <w:gridSpan w:val="3"/>
          </w:tcPr>
          <w:p w14:paraId="08FC6E42" w14:textId="77777777" w:rsidR="005A78BF" w:rsidRPr="005048B3" w:rsidRDefault="00066990" w:rsidP="00894256">
            <w:pPr>
              <w:pStyle w:val="zSoquijdatNomProcureurDef"/>
              <w:keepLines/>
              <w:rPr>
                <w:lang w:val="en-CA"/>
              </w:rPr>
            </w:pPr>
            <w:r w:rsidRPr="005048B3">
              <w:rPr>
                <w:lang w:val="en-CA"/>
              </w:rPr>
              <w:t>M</w:t>
            </w:r>
            <w:r w:rsidR="003579F7">
              <w:rPr>
                <w:lang w:val="en-CA"/>
              </w:rPr>
              <w:t>tr</w:t>
            </w:r>
            <w:r w:rsidRPr="005048B3">
              <w:rPr>
                <w:lang w:val="en-CA"/>
              </w:rPr>
              <w:t>e Richard Audet</w:t>
            </w:r>
          </w:p>
        </w:tc>
      </w:tr>
      <w:tr w:rsidR="003579F7" w:rsidRPr="005048B3" w14:paraId="6F08D701" w14:textId="77777777" w:rsidTr="00423DF1">
        <w:tc>
          <w:tcPr>
            <w:tcW w:w="9362" w:type="dxa"/>
            <w:gridSpan w:val="3"/>
          </w:tcPr>
          <w:p w14:paraId="4C9AF07D" w14:textId="77777777" w:rsidR="003579F7" w:rsidRPr="005048B3" w:rsidRDefault="003579F7" w:rsidP="003579F7">
            <w:pPr>
              <w:pStyle w:val="zSoquijdatCabinetProcureurDef"/>
              <w:keepLines/>
              <w:rPr>
                <w:lang w:val="en-CA"/>
              </w:rPr>
            </w:pPr>
            <w:r w:rsidRPr="00285657">
              <w:rPr>
                <w:lang w:val="en-CA"/>
              </w:rPr>
              <w:t>DIRECTOR OF CRIMINAL AND PENAL PROSECUTIONS</w:t>
            </w:r>
          </w:p>
        </w:tc>
      </w:tr>
      <w:tr w:rsidR="005A78BF" w:rsidRPr="005048B3" w14:paraId="7F47B448" w14:textId="77777777" w:rsidTr="00423DF1">
        <w:tc>
          <w:tcPr>
            <w:tcW w:w="9362" w:type="dxa"/>
            <w:gridSpan w:val="3"/>
          </w:tcPr>
          <w:p w14:paraId="412D3B46" w14:textId="77777777" w:rsidR="005A78BF" w:rsidRPr="005048B3" w:rsidRDefault="003579F7" w:rsidP="00894256">
            <w:pPr>
              <w:pStyle w:val="zSoquijlblProcureurDef"/>
              <w:keepNext/>
              <w:keepLines/>
              <w:rPr>
                <w:lang w:val="en-CA"/>
              </w:rPr>
            </w:pPr>
            <w:r>
              <w:rPr>
                <w:lang w:val="en-CA"/>
              </w:rPr>
              <w:t>For the respondent</w:t>
            </w:r>
          </w:p>
        </w:tc>
      </w:tr>
      <w:tr w:rsidR="005A78BF" w:rsidRPr="005048B3" w14:paraId="2707E471" w14:textId="77777777" w:rsidTr="00423DF1">
        <w:tc>
          <w:tcPr>
            <w:tcW w:w="9362" w:type="dxa"/>
            <w:gridSpan w:val="3"/>
          </w:tcPr>
          <w:p w14:paraId="7CDC35C6" w14:textId="77777777" w:rsidR="005A78BF" w:rsidRPr="005048B3" w:rsidRDefault="005A78BF" w:rsidP="00894256">
            <w:pPr>
              <w:keepNext/>
              <w:keepLines/>
              <w:rPr>
                <w:lang w:val="en-CA"/>
              </w:rPr>
            </w:pPr>
          </w:p>
        </w:tc>
      </w:tr>
      <w:tr w:rsidR="005A78BF" w:rsidRPr="005048B3" w14:paraId="454F7FC9" w14:textId="77777777" w:rsidTr="00423DF1">
        <w:tc>
          <w:tcPr>
            <w:tcW w:w="1997" w:type="dxa"/>
          </w:tcPr>
          <w:p w14:paraId="74D39219" w14:textId="77777777" w:rsidR="005A78BF" w:rsidRPr="005048B3" w:rsidRDefault="005A78BF" w:rsidP="00894256">
            <w:pPr>
              <w:pStyle w:val="zSoquijlblDateAudience"/>
              <w:keepNext/>
              <w:keepLines/>
              <w:rPr>
                <w:lang w:val="en-CA"/>
              </w:rPr>
            </w:pPr>
            <w:r w:rsidRPr="005048B3">
              <w:rPr>
                <w:lang w:val="en-CA"/>
              </w:rPr>
              <w:t xml:space="preserve">Date </w:t>
            </w:r>
            <w:r w:rsidR="003579F7">
              <w:rPr>
                <w:lang w:val="en-CA"/>
              </w:rPr>
              <w:t>of hearing</w:t>
            </w:r>
            <w:r w:rsidRPr="005048B3">
              <w:rPr>
                <w:lang w:val="en-CA"/>
              </w:rPr>
              <w:t>:</w:t>
            </w:r>
          </w:p>
        </w:tc>
        <w:tc>
          <w:tcPr>
            <w:tcW w:w="7365" w:type="dxa"/>
            <w:gridSpan w:val="2"/>
          </w:tcPr>
          <w:p w14:paraId="7398BB1F" w14:textId="77777777" w:rsidR="005A78BF" w:rsidRPr="005048B3" w:rsidRDefault="003579F7" w:rsidP="00894256">
            <w:pPr>
              <w:pStyle w:val="zSoquijdatDateAudience"/>
              <w:keepNext/>
              <w:keepLines/>
              <w:rPr>
                <w:lang w:val="en-CA"/>
              </w:rPr>
            </w:pPr>
            <w:r>
              <w:rPr>
                <w:lang w:val="en-CA"/>
              </w:rPr>
              <w:t>December 1</w:t>
            </w:r>
            <w:r w:rsidR="00066990" w:rsidRPr="005048B3">
              <w:rPr>
                <w:lang w:val="en-CA"/>
              </w:rPr>
              <w:t>5</w:t>
            </w:r>
            <w:r>
              <w:rPr>
                <w:lang w:val="en-CA"/>
              </w:rPr>
              <w:t>,</w:t>
            </w:r>
            <w:r w:rsidR="00066990" w:rsidRPr="005048B3">
              <w:rPr>
                <w:lang w:val="en-CA"/>
              </w:rPr>
              <w:t xml:space="preserve"> 2022</w:t>
            </w:r>
          </w:p>
        </w:tc>
      </w:tr>
    </w:tbl>
    <w:p w14:paraId="15E60EAD" w14:textId="77777777" w:rsidR="00894256" w:rsidRPr="005048B3" w:rsidRDefault="00894256" w:rsidP="00894256">
      <w:pPr>
        <w:rPr>
          <w:lang w:val="en-CA"/>
        </w:rPr>
        <w:sectPr w:rsidR="00894256" w:rsidRPr="005048B3" w:rsidSect="00F43559">
          <w:headerReference w:type="default" r:id="rId8"/>
          <w:pgSz w:w="12242" w:h="15842" w:code="1"/>
          <w:pgMar w:top="1440" w:right="1008" w:bottom="1440" w:left="1872" w:header="1440" w:footer="792" w:gutter="0"/>
          <w:cols w:space="720"/>
          <w:formProt w:val="0"/>
          <w:titlePg/>
        </w:sectPr>
      </w:pPr>
      <w:bookmarkStart w:id="12" w:name="Opinion"/>
      <w:bookmarkEnd w:id="8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94256" w:rsidRPr="005048B3" w14:paraId="0B4C8337" w14:textId="77777777">
        <w:tc>
          <w:tcPr>
            <w:tcW w:w="9360" w:type="dxa"/>
            <w:tcBorders>
              <w:bottom w:val="single" w:sz="8" w:space="0" w:color="auto"/>
            </w:tcBorders>
          </w:tcPr>
          <w:p w14:paraId="35CDAF5B" w14:textId="77777777" w:rsidR="00894256" w:rsidRPr="005048B3" w:rsidRDefault="00894256">
            <w:pPr>
              <w:rPr>
                <w:lang w:val="en-CA"/>
              </w:rPr>
            </w:pPr>
            <w:r w:rsidRPr="005048B3">
              <w:rPr>
                <w:lang w:val="en-CA"/>
              </w:rPr>
              <w:lastRenderedPageBreak/>
              <w:br w:type="page"/>
            </w:r>
          </w:p>
          <w:p w14:paraId="2ECD0BDA" w14:textId="77777777" w:rsidR="00894256" w:rsidRPr="005048B3" w:rsidRDefault="00894256">
            <w:pPr>
              <w:rPr>
                <w:lang w:val="en-CA"/>
              </w:rPr>
            </w:pPr>
          </w:p>
        </w:tc>
      </w:tr>
      <w:tr w:rsidR="00894256" w:rsidRPr="005048B3" w14:paraId="25135025" w14:textId="77777777">
        <w:tc>
          <w:tcPr>
            <w:tcW w:w="9360" w:type="dxa"/>
            <w:tcBorders>
              <w:top w:val="single" w:sz="8" w:space="0" w:color="auto"/>
            </w:tcBorders>
          </w:tcPr>
          <w:p w14:paraId="1152805E" w14:textId="77777777" w:rsidR="00894256" w:rsidRPr="005048B3" w:rsidRDefault="00894256">
            <w:pPr>
              <w:rPr>
                <w:lang w:val="en-CA"/>
              </w:rPr>
            </w:pPr>
          </w:p>
        </w:tc>
      </w:tr>
      <w:tr w:rsidR="00894256" w:rsidRPr="005048B3" w14:paraId="37A277FD" w14:textId="77777777">
        <w:tc>
          <w:tcPr>
            <w:tcW w:w="9360" w:type="dxa"/>
          </w:tcPr>
          <w:p w14:paraId="70F6658B" w14:textId="77777777" w:rsidR="00894256" w:rsidRPr="005048B3" w:rsidRDefault="003579F7" w:rsidP="00544ECD">
            <w:pPr>
              <w:pStyle w:val="zSoquijlblOpinionJuge"/>
              <w:rPr>
                <w:lang w:val="en-CA"/>
              </w:rPr>
            </w:pPr>
            <w:r>
              <w:rPr>
                <w:lang w:val="en-CA"/>
              </w:rPr>
              <w:t>REASONS OF</w:t>
            </w:r>
            <w:r w:rsidR="00894256" w:rsidRPr="005048B3">
              <w:rPr>
                <w:lang w:val="en-CA"/>
              </w:rPr>
              <w:t xml:space="preserve"> </w:t>
            </w:r>
            <w:r w:rsidR="00544ECD" w:rsidRPr="005048B3">
              <w:rPr>
                <w:lang w:val="en-CA"/>
              </w:rPr>
              <w:t>VAUCLAIR</w:t>
            </w:r>
            <w:r>
              <w:rPr>
                <w:lang w:val="en-CA"/>
              </w:rPr>
              <w:t>, J.A.</w:t>
            </w:r>
          </w:p>
        </w:tc>
      </w:tr>
      <w:tr w:rsidR="00894256" w:rsidRPr="005048B3" w14:paraId="6C5BFB6C" w14:textId="77777777">
        <w:tc>
          <w:tcPr>
            <w:tcW w:w="9360" w:type="dxa"/>
            <w:tcBorders>
              <w:bottom w:val="single" w:sz="8" w:space="0" w:color="auto"/>
            </w:tcBorders>
          </w:tcPr>
          <w:p w14:paraId="6EE1ED5D" w14:textId="77777777" w:rsidR="00894256" w:rsidRPr="005048B3" w:rsidRDefault="00894256">
            <w:pPr>
              <w:rPr>
                <w:lang w:val="en-CA"/>
              </w:rPr>
            </w:pPr>
          </w:p>
        </w:tc>
      </w:tr>
      <w:tr w:rsidR="00894256" w:rsidRPr="005048B3" w14:paraId="0ABA4621" w14:textId="77777777">
        <w:tc>
          <w:tcPr>
            <w:tcW w:w="9360" w:type="dxa"/>
            <w:tcBorders>
              <w:top w:val="single" w:sz="8" w:space="0" w:color="auto"/>
            </w:tcBorders>
          </w:tcPr>
          <w:p w14:paraId="1FC95B24" w14:textId="77777777" w:rsidR="00894256" w:rsidRPr="005048B3" w:rsidRDefault="00894256">
            <w:pPr>
              <w:rPr>
                <w:lang w:val="en-CA"/>
              </w:rPr>
            </w:pPr>
          </w:p>
        </w:tc>
      </w:tr>
    </w:tbl>
    <w:p w14:paraId="27210F7F" w14:textId="77777777" w:rsidR="00894256" w:rsidRPr="005048B3" w:rsidRDefault="009A7E16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>
        <w:rPr>
          <w:lang w:val="en-CA"/>
        </w:rPr>
        <w:t>The appellant was f</w:t>
      </w:r>
      <w:r w:rsidR="003579F7" w:rsidRPr="003579F7">
        <w:rPr>
          <w:lang w:val="en-CA"/>
        </w:rPr>
        <w:t>ound guilty of assault committed during a chance encounter</w:t>
      </w:r>
      <w:r>
        <w:rPr>
          <w:lang w:val="en-CA"/>
        </w:rPr>
        <w:t>.</w:t>
      </w:r>
      <w:r w:rsidR="003579F7" w:rsidRPr="003579F7">
        <w:rPr>
          <w:lang w:val="en-CA"/>
        </w:rPr>
        <w:t xml:space="preserve"> </w:t>
      </w:r>
      <w:r>
        <w:rPr>
          <w:lang w:val="en-CA"/>
        </w:rPr>
        <w:t>T</w:t>
      </w:r>
      <w:r w:rsidR="003579F7" w:rsidRPr="003579F7">
        <w:rPr>
          <w:lang w:val="en-CA"/>
        </w:rPr>
        <w:t xml:space="preserve">he events in question are </w:t>
      </w:r>
      <w:r w:rsidR="003579F7">
        <w:rPr>
          <w:lang w:val="en-CA"/>
        </w:rPr>
        <w:t>particular</w:t>
      </w:r>
      <w:r w:rsidR="003579F7" w:rsidRPr="003579F7">
        <w:rPr>
          <w:lang w:val="en-CA"/>
        </w:rPr>
        <w:t xml:space="preserve"> </w:t>
      </w:r>
      <w:r w:rsidR="00D82E13">
        <w:rPr>
          <w:lang w:val="en-CA"/>
        </w:rPr>
        <w:t>because the appellant</w:t>
      </w:r>
      <w:r w:rsidR="003579F7" w:rsidRPr="003579F7">
        <w:rPr>
          <w:lang w:val="en-CA"/>
        </w:rPr>
        <w:t xml:space="preserve"> is </w:t>
      </w:r>
      <w:r w:rsidR="00D82E13">
        <w:rPr>
          <w:lang w:val="en-CA"/>
        </w:rPr>
        <w:t>someone</w:t>
      </w:r>
      <w:r w:rsidR="003579F7" w:rsidRPr="003579F7">
        <w:rPr>
          <w:lang w:val="en-CA"/>
        </w:rPr>
        <w:t xml:space="preserve"> who has been in custody several times and the victim is a correction</w:t>
      </w:r>
      <w:r w:rsidR="003579F7">
        <w:rPr>
          <w:lang w:val="en-CA"/>
        </w:rPr>
        <w:t>s</w:t>
      </w:r>
      <w:r w:rsidR="003579F7" w:rsidRPr="003579F7">
        <w:rPr>
          <w:lang w:val="en-CA"/>
        </w:rPr>
        <w:t xml:space="preserve"> officer. It is </w:t>
      </w:r>
      <w:r w:rsidR="002B61AF">
        <w:rPr>
          <w:lang w:val="en-CA"/>
        </w:rPr>
        <w:t>established</w:t>
      </w:r>
      <w:r w:rsidR="003579F7" w:rsidRPr="003579F7">
        <w:rPr>
          <w:lang w:val="en-CA"/>
        </w:rPr>
        <w:t xml:space="preserve"> that the</w:t>
      </w:r>
      <w:r w:rsidR="00D05AF4">
        <w:rPr>
          <w:lang w:val="en-CA"/>
        </w:rPr>
        <w:t>y</w:t>
      </w:r>
      <w:r w:rsidR="003579F7" w:rsidRPr="003579F7">
        <w:rPr>
          <w:lang w:val="en-CA"/>
        </w:rPr>
        <w:t xml:space="preserve"> had already</w:t>
      </w:r>
      <w:r w:rsidR="002B61AF">
        <w:rPr>
          <w:lang w:val="en-CA"/>
        </w:rPr>
        <w:t xml:space="preserve"> crosse</w:t>
      </w:r>
      <w:r>
        <w:rPr>
          <w:lang w:val="en-CA"/>
        </w:rPr>
        <w:t>d</w:t>
      </w:r>
      <w:r w:rsidR="002B61AF">
        <w:rPr>
          <w:lang w:val="en-CA"/>
        </w:rPr>
        <w:t xml:space="preserve"> paths</w:t>
      </w:r>
      <w:r w:rsidR="003579F7" w:rsidRPr="003579F7">
        <w:rPr>
          <w:lang w:val="en-CA"/>
        </w:rPr>
        <w:t xml:space="preserve"> in prison and another time outside.</w:t>
      </w:r>
      <w:r w:rsidR="00894256" w:rsidRPr="005048B3">
        <w:rPr>
          <w:lang w:val="en-CA"/>
        </w:rPr>
        <w:t xml:space="preserve"> </w:t>
      </w:r>
    </w:p>
    <w:p w14:paraId="3A5C34C2" w14:textId="77777777" w:rsidR="00894256" w:rsidRPr="005048B3" w:rsidRDefault="00305D2D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305D2D">
        <w:rPr>
          <w:lang w:val="en-CA"/>
        </w:rPr>
        <w:t xml:space="preserve">The </w:t>
      </w:r>
      <w:r>
        <w:rPr>
          <w:lang w:val="en-CA"/>
        </w:rPr>
        <w:t>c</w:t>
      </w:r>
      <w:r w:rsidRPr="00305D2D">
        <w:rPr>
          <w:lang w:val="en-CA"/>
        </w:rPr>
        <w:t>omplainant testifie</w:t>
      </w:r>
      <w:r>
        <w:rPr>
          <w:lang w:val="en-CA"/>
        </w:rPr>
        <w:t>d</w:t>
      </w:r>
      <w:r w:rsidRPr="00305D2D">
        <w:rPr>
          <w:lang w:val="en-CA"/>
        </w:rPr>
        <w:t xml:space="preserve">. On the day in question, she was returning from work, still dressed in her uniform. She </w:t>
      </w:r>
      <w:r>
        <w:rPr>
          <w:lang w:val="en-CA"/>
        </w:rPr>
        <w:t>was</w:t>
      </w:r>
      <w:r w:rsidRPr="00305D2D">
        <w:rPr>
          <w:lang w:val="en-CA"/>
        </w:rPr>
        <w:t xml:space="preserve"> walking on the platform of a </w:t>
      </w:r>
      <w:r w:rsidR="00107A63">
        <w:rPr>
          <w:lang w:val="en-CA"/>
        </w:rPr>
        <w:t>metro</w:t>
      </w:r>
      <w:r w:rsidRPr="00305D2D">
        <w:rPr>
          <w:lang w:val="en-CA"/>
        </w:rPr>
        <w:t xml:space="preserve"> station when the </w:t>
      </w:r>
      <w:r>
        <w:rPr>
          <w:lang w:val="en-CA"/>
        </w:rPr>
        <w:t>appellant</w:t>
      </w:r>
      <w:r w:rsidRPr="00305D2D">
        <w:rPr>
          <w:lang w:val="en-CA"/>
        </w:rPr>
        <w:t xml:space="preserve"> shout</w:t>
      </w:r>
      <w:r>
        <w:rPr>
          <w:lang w:val="en-CA"/>
        </w:rPr>
        <w:t>ed</w:t>
      </w:r>
      <w:r w:rsidRPr="00305D2D">
        <w:rPr>
          <w:lang w:val="en-CA"/>
        </w:rPr>
        <w:t xml:space="preserve"> something at her and pushe</w:t>
      </w:r>
      <w:r>
        <w:rPr>
          <w:lang w:val="en-CA"/>
        </w:rPr>
        <w:t>d</w:t>
      </w:r>
      <w:r w:rsidRPr="00305D2D">
        <w:rPr>
          <w:lang w:val="en-CA"/>
        </w:rPr>
        <w:t xml:space="preserve"> her shoulder with his fist. </w:t>
      </w:r>
      <w:r>
        <w:rPr>
          <w:lang w:val="en-CA"/>
        </w:rPr>
        <w:t>This</w:t>
      </w:r>
      <w:r w:rsidRPr="00305D2D">
        <w:rPr>
          <w:lang w:val="en-CA"/>
        </w:rPr>
        <w:t xml:space="preserve"> cause</w:t>
      </w:r>
      <w:r>
        <w:rPr>
          <w:lang w:val="en-CA"/>
        </w:rPr>
        <w:t>d her</w:t>
      </w:r>
      <w:r w:rsidRPr="00305D2D">
        <w:rPr>
          <w:lang w:val="en-CA"/>
        </w:rPr>
        <w:t xml:space="preserve"> no pain. She recognize</w:t>
      </w:r>
      <w:r>
        <w:rPr>
          <w:lang w:val="en-CA"/>
        </w:rPr>
        <w:t>d</w:t>
      </w:r>
      <w:r w:rsidRPr="00305D2D">
        <w:rPr>
          <w:lang w:val="en-CA"/>
        </w:rPr>
        <w:t xml:space="preserve"> him and hear</w:t>
      </w:r>
      <w:r>
        <w:rPr>
          <w:lang w:val="en-CA"/>
        </w:rPr>
        <w:t>d</w:t>
      </w:r>
      <w:r w:rsidRPr="00305D2D">
        <w:rPr>
          <w:lang w:val="en-CA"/>
        </w:rPr>
        <w:t xml:space="preserve"> threatening words. According to her, the </w:t>
      </w:r>
      <w:r>
        <w:rPr>
          <w:lang w:val="en-CA"/>
        </w:rPr>
        <w:t>appellant</w:t>
      </w:r>
      <w:r w:rsidRPr="00305D2D">
        <w:rPr>
          <w:lang w:val="en-CA"/>
        </w:rPr>
        <w:t xml:space="preserve"> smiled as if he </w:t>
      </w:r>
      <w:r>
        <w:rPr>
          <w:lang w:val="en-CA"/>
        </w:rPr>
        <w:t>were</w:t>
      </w:r>
      <w:r w:rsidRPr="00305D2D">
        <w:rPr>
          <w:lang w:val="en-CA"/>
        </w:rPr>
        <w:t xml:space="preserve"> </w:t>
      </w:r>
      <w:r w:rsidR="000E4DD2">
        <w:rPr>
          <w:lang w:val="en-CA"/>
        </w:rPr>
        <w:t>mocking</w:t>
      </w:r>
      <w:r w:rsidRPr="00305D2D">
        <w:rPr>
          <w:lang w:val="en-CA"/>
        </w:rPr>
        <w:t xml:space="preserve"> her. The victim smile</w:t>
      </w:r>
      <w:r>
        <w:rPr>
          <w:lang w:val="en-CA"/>
        </w:rPr>
        <w:t>d back</w:t>
      </w:r>
      <w:r w:rsidRPr="00305D2D">
        <w:rPr>
          <w:lang w:val="en-CA"/>
        </w:rPr>
        <w:t xml:space="preserve"> at </w:t>
      </w:r>
      <w:r>
        <w:rPr>
          <w:lang w:val="en-CA"/>
        </w:rPr>
        <w:t>him</w:t>
      </w:r>
      <w:r w:rsidRPr="00305D2D">
        <w:rPr>
          <w:lang w:val="en-CA"/>
        </w:rPr>
        <w:t>, but she explain</w:t>
      </w:r>
      <w:r>
        <w:rPr>
          <w:lang w:val="en-CA"/>
        </w:rPr>
        <w:t>ed</w:t>
      </w:r>
      <w:r w:rsidRPr="00305D2D">
        <w:rPr>
          <w:lang w:val="en-CA"/>
        </w:rPr>
        <w:t xml:space="preserve"> that it was to defuse the situation. She continue</w:t>
      </w:r>
      <w:r>
        <w:rPr>
          <w:lang w:val="en-CA"/>
        </w:rPr>
        <w:t>d</w:t>
      </w:r>
      <w:r w:rsidRPr="00305D2D">
        <w:rPr>
          <w:lang w:val="en-CA"/>
        </w:rPr>
        <w:t xml:space="preserve"> on her way, upset,</w:t>
      </w:r>
      <w:r w:rsidR="000E4DD2">
        <w:rPr>
          <w:lang w:val="en-CA"/>
        </w:rPr>
        <w:t xml:space="preserve"> and</w:t>
      </w:r>
      <w:r w:rsidRPr="00305D2D">
        <w:rPr>
          <w:lang w:val="en-CA"/>
        </w:rPr>
        <w:t xml:space="preserve"> le</w:t>
      </w:r>
      <w:r>
        <w:rPr>
          <w:lang w:val="en-CA"/>
        </w:rPr>
        <w:t>t</w:t>
      </w:r>
      <w:r w:rsidRPr="00305D2D">
        <w:rPr>
          <w:lang w:val="en-CA"/>
        </w:rPr>
        <w:t xml:space="preserve"> the </w:t>
      </w:r>
      <w:r>
        <w:rPr>
          <w:lang w:val="en-CA"/>
        </w:rPr>
        <w:t xml:space="preserve">appellant </w:t>
      </w:r>
      <w:r w:rsidRPr="00305D2D">
        <w:rPr>
          <w:lang w:val="en-CA"/>
        </w:rPr>
        <w:t xml:space="preserve">take the </w:t>
      </w:r>
      <w:r w:rsidR="00107A63">
        <w:rPr>
          <w:lang w:val="en-CA"/>
        </w:rPr>
        <w:t>metro</w:t>
      </w:r>
      <w:r w:rsidRPr="00305D2D">
        <w:rPr>
          <w:lang w:val="en-CA"/>
        </w:rPr>
        <w:t xml:space="preserve"> </w:t>
      </w:r>
      <w:r w:rsidR="000E4DD2">
        <w:rPr>
          <w:lang w:val="en-CA"/>
        </w:rPr>
        <w:t>while she</w:t>
      </w:r>
      <w:r w:rsidRPr="00305D2D">
        <w:rPr>
          <w:lang w:val="en-CA"/>
        </w:rPr>
        <w:t xml:space="preserve"> </w:t>
      </w:r>
      <w:r>
        <w:rPr>
          <w:lang w:val="en-CA"/>
        </w:rPr>
        <w:t>remained</w:t>
      </w:r>
      <w:r w:rsidRPr="00305D2D">
        <w:rPr>
          <w:lang w:val="en-CA"/>
        </w:rPr>
        <w:t xml:space="preserve"> on the platform</w:t>
      </w:r>
      <w:r w:rsidR="00894256" w:rsidRPr="005048B3">
        <w:rPr>
          <w:lang w:val="en-CA"/>
        </w:rPr>
        <w:t xml:space="preserve">. </w:t>
      </w:r>
    </w:p>
    <w:p w14:paraId="7E60C419" w14:textId="77777777" w:rsidR="00894256" w:rsidRPr="005048B3" w:rsidRDefault="00827DDD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827DDD">
        <w:rPr>
          <w:lang w:val="en-CA"/>
        </w:rPr>
        <w:t>The appellant testified. He admit</w:t>
      </w:r>
      <w:r>
        <w:rPr>
          <w:lang w:val="en-CA"/>
        </w:rPr>
        <w:t>ted</w:t>
      </w:r>
      <w:r w:rsidRPr="00827DDD">
        <w:rPr>
          <w:lang w:val="en-CA"/>
        </w:rPr>
        <w:t xml:space="preserve"> to having given </w:t>
      </w:r>
      <w:r>
        <w:rPr>
          <w:lang w:val="en-CA"/>
        </w:rPr>
        <w:t>the victim a “</w:t>
      </w:r>
      <w:r w:rsidRPr="00D853EA">
        <w:rPr>
          <w:i/>
          <w:iCs/>
          <w:lang w:val="en-CA"/>
        </w:rPr>
        <w:t>bine</w:t>
      </w:r>
      <w:r>
        <w:rPr>
          <w:lang w:val="en-CA"/>
        </w:rPr>
        <w:t xml:space="preserve">”, the Quebec vernacular for </w:t>
      </w:r>
      <w:r w:rsidRPr="00827DDD">
        <w:rPr>
          <w:lang w:val="en-CA"/>
        </w:rPr>
        <w:t xml:space="preserve">a </w:t>
      </w:r>
      <w:r w:rsidR="006C4D05">
        <w:rPr>
          <w:lang w:val="en-CA"/>
        </w:rPr>
        <w:t xml:space="preserve">light </w:t>
      </w:r>
      <w:r>
        <w:rPr>
          <w:lang w:val="en-CA"/>
        </w:rPr>
        <w:t>punch</w:t>
      </w:r>
      <w:r w:rsidRPr="00827DDD">
        <w:rPr>
          <w:lang w:val="en-CA"/>
        </w:rPr>
        <w:t xml:space="preserve"> on the shoulder</w:t>
      </w:r>
      <w:r w:rsidR="000E4DD2">
        <w:rPr>
          <w:lang w:val="en-CA"/>
        </w:rPr>
        <w:t>,</w:t>
      </w:r>
      <w:r w:rsidRPr="00827DDD">
        <w:rPr>
          <w:lang w:val="en-CA"/>
        </w:rPr>
        <w:t xml:space="preserve"> but without applying force. His intention was neither to hurt her nor to annoy her</w:t>
      </w:r>
      <w:r w:rsidR="000E4DD2">
        <w:rPr>
          <w:lang w:val="en-CA"/>
        </w:rPr>
        <w:t>,</w:t>
      </w:r>
      <w:r w:rsidRPr="00827DDD">
        <w:rPr>
          <w:lang w:val="en-CA"/>
        </w:rPr>
        <w:t xml:space="preserve"> but to greet her. He was surprised and happy to see her</w:t>
      </w:r>
      <w:r w:rsidR="009A7E16">
        <w:rPr>
          <w:lang w:val="en-CA"/>
        </w:rPr>
        <w:t>;</w:t>
      </w:r>
      <w:r w:rsidRPr="00827DDD">
        <w:rPr>
          <w:lang w:val="en-CA"/>
        </w:rPr>
        <w:t xml:space="preserve"> the gesture was meant to be friendly.</w:t>
      </w:r>
      <w:r w:rsidR="00894256" w:rsidRPr="005048B3">
        <w:rPr>
          <w:lang w:val="en-CA"/>
        </w:rPr>
        <w:t xml:space="preserve"> </w:t>
      </w:r>
    </w:p>
    <w:p w14:paraId="614FFA2D" w14:textId="77777777" w:rsidR="00894256" w:rsidRPr="005048B3" w:rsidRDefault="000E4DD2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>
        <w:rPr>
          <w:lang w:val="en-CA"/>
        </w:rPr>
        <w:t>Soundless i</w:t>
      </w:r>
      <w:r w:rsidR="00827DDD" w:rsidRPr="00827DDD">
        <w:rPr>
          <w:lang w:val="en-CA"/>
        </w:rPr>
        <w:t>mages of the scene</w:t>
      </w:r>
      <w:r>
        <w:rPr>
          <w:lang w:val="en-CA"/>
        </w:rPr>
        <w:t xml:space="preserve"> </w:t>
      </w:r>
      <w:r w:rsidR="00827DDD" w:rsidRPr="00827DDD">
        <w:rPr>
          <w:lang w:val="en-CA"/>
        </w:rPr>
        <w:t xml:space="preserve">were captured by surveillance cameras and </w:t>
      </w:r>
      <w:r w:rsidR="006C4D05">
        <w:rPr>
          <w:lang w:val="en-CA"/>
        </w:rPr>
        <w:t>adduced</w:t>
      </w:r>
      <w:r w:rsidR="006C4D05" w:rsidRPr="00827DDD">
        <w:rPr>
          <w:lang w:val="en-CA"/>
        </w:rPr>
        <w:t xml:space="preserve"> </w:t>
      </w:r>
      <w:r w:rsidR="00827DDD" w:rsidRPr="00827DDD">
        <w:rPr>
          <w:lang w:val="en-CA"/>
        </w:rPr>
        <w:t xml:space="preserve">at trial. The video clearly shows the victim </w:t>
      </w:r>
      <w:r w:rsidR="00827DDD">
        <w:rPr>
          <w:lang w:val="en-CA"/>
        </w:rPr>
        <w:t>walking</w:t>
      </w:r>
      <w:r w:rsidR="00827DDD" w:rsidRPr="00827DDD">
        <w:rPr>
          <w:lang w:val="en-CA"/>
        </w:rPr>
        <w:t xml:space="preserve"> on the platform. </w:t>
      </w:r>
      <w:r>
        <w:rPr>
          <w:lang w:val="en-CA"/>
        </w:rPr>
        <w:t>Something suddenly catches h</w:t>
      </w:r>
      <w:r w:rsidR="00827DDD">
        <w:rPr>
          <w:lang w:val="en-CA"/>
        </w:rPr>
        <w:t>er</w:t>
      </w:r>
      <w:r w:rsidR="00827DDD" w:rsidRPr="00827DDD">
        <w:rPr>
          <w:lang w:val="en-CA"/>
        </w:rPr>
        <w:t xml:space="preserve"> attention and the </w:t>
      </w:r>
      <w:r w:rsidR="00827DDD">
        <w:rPr>
          <w:lang w:val="en-CA"/>
        </w:rPr>
        <w:t>appellant</w:t>
      </w:r>
      <w:r w:rsidR="00827DDD" w:rsidRPr="00827DDD">
        <w:rPr>
          <w:lang w:val="en-CA"/>
        </w:rPr>
        <w:t xml:space="preserve"> approaches. She continues </w:t>
      </w:r>
      <w:r w:rsidR="006C4D05">
        <w:rPr>
          <w:lang w:val="en-CA"/>
        </w:rPr>
        <w:t>walking</w:t>
      </w:r>
      <w:r w:rsidR="00827DDD" w:rsidRPr="00827DDD">
        <w:rPr>
          <w:lang w:val="en-CA"/>
        </w:rPr>
        <w:t xml:space="preserve"> and the </w:t>
      </w:r>
      <w:r w:rsidR="009A7E16">
        <w:rPr>
          <w:lang w:val="en-CA"/>
        </w:rPr>
        <w:t>appellant</w:t>
      </w:r>
      <w:r w:rsidR="00827DDD" w:rsidRPr="00827DDD">
        <w:rPr>
          <w:lang w:val="en-CA"/>
        </w:rPr>
        <w:t xml:space="preserve"> gives her four “</w:t>
      </w:r>
      <w:r w:rsidR="00827DDD" w:rsidRPr="00D853EA">
        <w:rPr>
          <w:i/>
          <w:iCs/>
          <w:lang w:val="en-CA"/>
        </w:rPr>
        <w:t>bines</w:t>
      </w:r>
      <w:r w:rsidR="00827DDD" w:rsidRPr="00827DDD">
        <w:rPr>
          <w:lang w:val="en-CA"/>
        </w:rPr>
        <w:t>”</w:t>
      </w:r>
      <w:r w:rsidR="006A7CCB">
        <w:rPr>
          <w:lang w:val="en-CA"/>
        </w:rPr>
        <w:t xml:space="preserve">, </w:t>
      </w:r>
      <w:r w:rsidR="00827DDD">
        <w:rPr>
          <w:lang w:val="en-CA"/>
        </w:rPr>
        <w:t>or little punches</w:t>
      </w:r>
      <w:r>
        <w:rPr>
          <w:lang w:val="en-CA"/>
        </w:rPr>
        <w:t>,</w:t>
      </w:r>
      <w:r w:rsidR="00827DDD">
        <w:rPr>
          <w:lang w:val="en-CA"/>
        </w:rPr>
        <w:t xml:space="preserve"> </w:t>
      </w:r>
      <w:r w:rsidR="00827DDD" w:rsidRPr="00827DDD">
        <w:rPr>
          <w:lang w:val="en-CA"/>
        </w:rPr>
        <w:t xml:space="preserve">on the shoulder. The </w:t>
      </w:r>
      <w:r w:rsidR="00827DDD">
        <w:rPr>
          <w:lang w:val="en-CA"/>
        </w:rPr>
        <w:t>appellant</w:t>
      </w:r>
      <w:r w:rsidR="00827DDD" w:rsidRPr="00827DDD">
        <w:rPr>
          <w:lang w:val="en-CA"/>
        </w:rPr>
        <w:t xml:space="preserve"> seems to follow the victim with his eyes, all smiles, </w:t>
      </w:r>
      <w:r w:rsidR="00827DDD">
        <w:rPr>
          <w:lang w:val="en-CA"/>
        </w:rPr>
        <w:t>and steps</w:t>
      </w:r>
      <w:r w:rsidR="00827DDD" w:rsidRPr="00827DDD">
        <w:rPr>
          <w:lang w:val="en-CA"/>
        </w:rPr>
        <w:t xml:space="preserve"> into the </w:t>
      </w:r>
      <w:r w:rsidR="00107A63">
        <w:rPr>
          <w:lang w:val="en-CA"/>
        </w:rPr>
        <w:t>metro</w:t>
      </w:r>
      <w:r w:rsidR="00827DDD" w:rsidRPr="00827DDD">
        <w:rPr>
          <w:lang w:val="en-CA"/>
        </w:rPr>
        <w:t xml:space="preserve"> car which has stopped. The victim remains on the </w:t>
      </w:r>
      <w:r w:rsidR="00827DDD">
        <w:rPr>
          <w:lang w:val="en-CA"/>
        </w:rPr>
        <w:t>platform</w:t>
      </w:r>
      <w:r w:rsidR="00827DDD" w:rsidRPr="00827DDD">
        <w:rPr>
          <w:lang w:val="en-CA"/>
        </w:rPr>
        <w:t>.</w:t>
      </w:r>
    </w:p>
    <w:p w14:paraId="543D7D5E" w14:textId="77777777" w:rsidR="00894256" w:rsidRPr="005048B3" w:rsidRDefault="00894256" w:rsidP="00894256">
      <w:pPr>
        <w:pStyle w:val="JgtParagraphe"/>
        <w:tabs>
          <w:tab w:val="clear" w:pos="720"/>
        </w:tabs>
        <w:spacing w:line="280" w:lineRule="exact"/>
        <w:jc w:val="center"/>
        <w:rPr>
          <w:lang w:val="en-CA"/>
        </w:rPr>
      </w:pPr>
      <w:r w:rsidRPr="005048B3">
        <w:rPr>
          <w:lang w:val="en-CA"/>
        </w:rPr>
        <w:t>*</w:t>
      </w:r>
    </w:p>
    <w:p w14:paraId="55FF6400" w14:textId="77777777" w:rsidR="00894256" w:rsidRPr="005048B3" w:rsidRDefault="003B254B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3B254B">
        <w:rPr>
          <w:lang w:val="en-CA"/>
        </w:rPr>
        <w:t xml:space="preserve">The trial judge </w:t>
      </w:r>
      <w:r w:rsidR="006C4D05">
        <w:rPr>
          <w:lang w:val="en-CA"/>
        </w:rPr>
        <w:t>accepted</w:t>
      </w:r>
      <w:r w:rsidR="006C4D05" w:rsidRPr="003B254B">
        <w:rPr>
          <w:lang w:val="en-CA"/>
        </w:rPr>
        <w:t xml:space="preserve"> </w:t>
      </w:r>
      <w:r w:rsidRPr="003B254B">
        <w:rPr>
          <w:lang w:val="en-CA"/>
        </w:rPr>
        <w:t xml:space="preserve">that the appellant did shout something at the victim, but she </w:t>
      </w:r>
      <w:r>
        <w:rPr>
          <w:lang w:val="en-CA"/>
        </w:rPr>
        <w:t>was</w:t>
      </w:r>
      <w:r w:rsidRPr="003B254B">
        <w:rPr>
          <w:lang w:val="en-CA"/>
        </w:rPr>
        <w:t xml:space="preserve"> not convince</w:t>
      </w:r>
      <w:r>
        <w:rPr>
          <w:lang w:val="en-CA"/>
        </w:rPr>
        <w:t>d</w:t>
      </w:r>
      <w:r w:rsidRPr="003B254B">
        <w:rPr>
          <w:lang w:val="en-CA"/>
        </w:rPr>
        <w:t xml:space="preserve"> beyond a reasonable doubt that it was a threat. </w:t>
      </w:r>
      <w:r>
        <w:rPr>
          <w:lang w:val="en-CA"/>
        </w:rPr>
        <w:t>She</w:t>
      </w:r>
      <w:r w:rsidR="000E4DD2">
        <w:rPr>
          <w:lang w:val="en-CA"/>
        </w:rPr>
        <w:t xml:space="preserve"> then</w:t>
      </w:r>
      <w:r w:rsidRPr="003B254B">
        <w:rPr>
          <w:lang w:val="en-CA"/>
        </w:rPr>
        <w:t xml:space="preserve"> analyze</w:t>
      </w:r>
      <w:r>
        <w:rPr>
          <w:lang w:val="en-CA"/>
        </w:rPr>
        <w:t>d</w:t>
      </w:r>
      <w:r w:rsidRPr="003B254B">
        <w:rPr>
          <w:lang w:val="en-CA"/>
        </w:rPr>
        <w:t xml:space="preserve"> the offen</w:t>
      </w:r>
      <w:r>
        <w:rPr>
          <w:lang w:val="en-CA"/>
        </w:rPr>
        <w:t>c</w:t>
      </w:r>
      <w:r w:rsidRPr="003B254B">
        <w:rPr>
          <w:lang w:val="en-CA"/>
        </w:rPr>
        <w:t>e of harassment and conclude</w:t>
      </w:r>
      <w:r>
        <w:rPr>
          <w:lang w:val="en-CA"/>
        </w:rPr>
        <w:t>d</w:t>
      </w:r>
      <w:r w:rsidRPr="003B254B">
        <w:rPr>
          <w:lang w:val="en-CA"/>
        </w:rPr>
        <w:t xml:space="preserve"> that the Crown ha</w:t>
      </w:r>
      <w:r>
        <w:rPr>
          <w:lang w:val="en-CA"/>
        </w:rPr>
        <w:t>d</w:t>
      </w:r>
      <w:r w:rsidRPr="003B254B">
        <w:rPr>
          <w:lang w:val="en-CA"/>
        </w:rPr>
        <w:t xml:space="preserve"> not prove</w:t>
      </w:r>
      <w:r w:rsidR="006C4D05">
        <w:rPr>
          <w:lang w:val="en-CA"/>
        </w:rPr>
        <w:t>d</w:t>
      </w:r>
      <w:r w:rsidRPr="003B254B">
        <w:rPr>
          <w:lang w:val="en-CA"/>
        </w:rPr>
        <w:t xml:space="preserve"> </w:t>
      </w:r>
      <w:r w:rsidR="000E4DD2" w:rsidRPr="003B254B">
        <w:rPr>
          <w:lang w:val="en-CA"/>
        </w:rPr>
        <w:t xml:space="preserve">all the elements of the </w:t>
      </w:r>
      <w:r w:rsidR="000E4DD2">
        <w:rPr>
          <w:lang w:val="en-CA"/>
        </w:rPr>
        <w:t>o</w:t>
      </w:r>
      <w:r w:rsidR="000E4DD2" w:rsidRPr="003B254B">
        <w:rPr>
          <w:lang w:val="en-CA"/>
        </w:rPr>
        <w:t xml:space="preserve">ffence </w:t>
      </w:r>
      <w:r w:rsidRPr="003B254B">
        <w:rPr>
          <w:lang w:val="en-CA"/>
        </w:rPr>
        <w:t>beyond a reasonable doubt</w:t>
      </w:r>
      <w:r w:rsidR="000E4DD2">
        <w:rPr>
          <w:lang w:val="en-CA"/>
        </w:rPr>
        <w:t>.</w:t>
      </w:r>
      <w:r w:rsidRPr="003B254B">
        <w:rPr>
          <w:lang w:val="en-CA"/>
        </w:rPr>
        <w:t xml:space="preserve"> </w:t>
      </w:r>
      <w:r w:rsidR="000E4DD2">
        <w:rPr>
          <w:lang w:val="en-CA"/>
        </w:rPr>
        <w:t>T</w:t>
      </w:r>
      <w:r w:rsidRPr="003B254B">
        <w:rPr>
          <w:lang w:val="en-CA"/>
        </w:rPr>
        <w:t>he</w:t>
      </w:r>
      <w:r w:rsidR="000961A7">
        <w:rPr>
          <w:lang w:val="en-CA"/>
        </w:rPr>
        <w:t xml:space="preserve"> victim’s</w:t>
      </w:r>
      <w:r w:rsidRPr="003B254B">
        <w:rPr>
          <w:lang w:val="en-CA"/>
        </w:rPr>
        <w:t xml:space="preserve"> </w:t>
      </w:r>
      <w:r>
        <w:rPr>
          <w:lang w:val="en-CA"/>
        </w:rPr>
        <w:t>mere</w:t>
      </w:r>
      <w:r w:rsidRPr="003B254B">
        <w:rPr>
          <w:lang w:val="en-CA"/>
        </w:rPr>
        <w:t xml:space="preserve"> discomfort </w:t>
      </w:r>
      <w:r w:rsidR="000E4DD2">
        <w:rPr>
          <w:lang w:val="en-CA"/>
        </w:rPr>
        <w:t>did not</w:t>
      </w:r>
      <w:r w:rsidRPr="003B254B">
        <w:rPr>
          <w:lang w:val="en-CA"/>
        </w:rPr>
        <w:t xml:space="preserve"> meet </w:t>
      </w:r>
      <w:r w:rsidR="005930AF" w:rsidRPr="005930AF">
        <w:rPr>
          <w:sz w:val="22"/>
          <w:szCs w:val="22"/>
          <w:lang w:val="en-CA"/>
        </w:rPr>
        <w:t>[</w:t>
      </w:r>
      <w:r w:rsidR="000E4DD2" w:rsidRPr="000E4DD2">
        <w:rPr>
          <w:smallCaps/>
          <w:lang w:val="en-CA"/>
        </w:rPr>
        <w:t>translation</w:t>
      </w:r>
      <w:r w:rsidR="005930AF" w:rsidRPr="005930AF">
        <w:rPr>
          <w:sz w:val="22"/>
          <w:szCs w:val="22"/>
          <w:lang w:val="en-CA"/>
        </w:rPr>
        <w:t>]</w:t>
      </w:r>
      <w:r w:rsidR="005930AF">
        <w:rPr>
          <w:lang w:val="en-CA"/>
        </w:rPr>
        <w:t xml:space="preserve"> </w:t>
      </w:r>
      <w:r w:rsidRPr="003B254B">
        <w:rPr>
          <w:lang w:val="en-CA"/>
        </w:rPr>
        <w:t>"the threshold required to establish harassment</w:t>
      </w:r>
      <w:r w:rsidR="0056285F">
        <w:rPr>
          <w:lang w:val="en-CA"/>
        </w:rPr>
        <w:t>”</w:t>
      </w:r>
      <w:r w:rsidRPr="003B254B">
        <w:rPr>
          <w:lang w:val="en-CA"/>
        </w:rPr>
        <w:t xml:space="preserve"> in the circumstances. She also acquit</w:t>
      </w:r>
      <w:r w:rsidR="00393545">
        <w:rPr>
          <w:lang w:val="en-CA"/>
        </w:rPr>
        <w:t xml:space="preserve">ted </w:t>
      </w:r>
      <w:r w:rsidRPr="003B254B">
        <w:rPr>
          <w:lang w:val="en-CA"/>
        </w:rPr>
        <w:t>him of this offence.</w:t>
      </w:r>
    </w:p>
    <w:p w14:paraId="41AC4092" w14:textId="77777777" w:rsidR="00894256" w:rsidRPr="005048B3" w:rsidRDefault="006C4D05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>
        <w:rPr>
          <w:lang w:val="en-CA"/>
        </w:rPr>
        <w:t>That was not the case</w:t>
      </w:r>
      <w:r w:rsidR="00393545" w:rsidRPr="00393545">
        <w:rPr>
          <w:lang w:val="en-CA"/>
        </w:rPr>
        <w:t xml:space="preserve"> </w:t>
      </w:r>
      <w:r w:rsidR="00393545">
        <w:rPr>
          <w:lang w:val="en-CA"/>
        </w:rPr>
        <w:t xml:space="preserve">with respect to </w:t>
      </w:r>
      <w:r w:rsidR="00393545" w:rsidRPr="00393545">
        <w:rPr>
          <w:lang w:val="en-CA"/>
        </w:rPr>
        <w:t>the offen</w:t>
      </w:r>
      <w:r w:rsidR="00393545">
        <w:rPr>
          <w:lang w:val="en-CA"/>
        </w:rPr>
        <w:t>c</w:t>
      </w:r>
      <w:r w:rsidR="00393545" w:rsidRPr="00393545">
        <w:rPr>
          <w:lang w:val="en-CA"/>
        </w:rPr>
        <w:t>e of assault. In this regard, the judge f</w:t>
      </w:r>
      <w:r w:rsidR="00393545">
        <w:rPr>
          <w:lang w:val="en-CA"/>
        </w:rPr>
        <w:t>ound that there had been i</w:t>
      </w:r>
      <w:r w:rsidR="00393545" w:rsidRPr="00393545">
        <w:rPr>
          <w:lang w:val="en-CA"/>
        </w:rPr>
        <w:t xml:space="preserve">ntentional use of force, a </w:t>
      </w:r>
      <w:r w:rsidR="00393545">
        <w:rPr>
          <w:lang w:val="en-CA"/>
        </w:rPr>
        <w:t>finding</w:t>
      </w:r>
      <w:r w:rsidR="00393545" w:rsidRPr="00393545">
        <w:rPr>
          <w:lang w:val="en-CA"/>
        </w:rPr>
        <w:t xml:space="preserve"> which, moreover, cannot be doubted. </w:t>
      </w:r>
      <w:r w:rsidR="00393545">
        <w:rPr>
          <w:lang w:val="en-CA"/>
        </w:rPr>
        <w:t>She</w:t>
      </w:r>
      <w:r w:rsidR="00393545" w:rsidRPr="00393545">
        <w:rPr>
          <w:lang w:val="en-CA"/>
        </w:rPr>
        <w:t xml:space="preserve"> then </w:t>
      </w:r>
      <w:r w:rsidR="00393545">
        <w:rPr>
          <w:lang w:val="en-CA"/>
        </w:rPr>
        <w:t>ruled out</w:t>
      </w:r>
      <w:r w:rsidR="000961A7">
        <w:rPr>
          <w:lang w:val="en-CA"/>
        </w:rPr>
        <w:t xml:space="preserve"> the victim’s</w:t>
      </w:r>
      <w:r w:rsidR="00393545" w:rsidRPr="00393545">
        <w:rPr>
          <w:lang w:val="en-CA"/>
        </w:rPr>
        <w:t xml:space="preserve"> implied consent, as well as the appellant's belief </w:t>
      </w:r>
      <w:r w:rsidR="00393545">
        <w:rPr>
          <w:lang w:val="en-CA"/>
        </w:rPr>
        <w:t>that there had been</w:t>
      </w:r>
      <w:r w:rsidR="00393545" w:rsidRPr="00393545">
        <w:rPr>
          <w:lang w:val="en-CA"/>
        </w:rPr>
        <w:t xml:space="preserve"> consent. These </w:t>
      </w:r>
      <w:r w:rsidR="00393545">
        <w:rPr>
          <w:lang w:val="en-CA"/>
        </w:rPr>
        <w:t>finding</w:t>
      </w:r>
      <w:r w:rsidR="005C6C8F">
        <w:rPr>
          <w:lang w:val="en-CA"/>
        </w:rPr>
        <w:t>s</w:t>
      </w:r>
      <w:r w:rsidR="00393545" w:rsidRPr="00393545">
        <w:rPr>
          <w:lang w:val="en-CA"/>
        </w:rPr>
        <w:t xml:space="preserve"> are equally </w:t>
      </w:r>
      <w:r w:rsidR="005C6C8F">
        <w:rPr>
          <w:lang w:val="en-CA"/>
        </w:rPr>
        <w:t>unassailable</w:t>
      </w:r>
      <w:r w:rsidR="00393545" w:rsidRPr="00393545">
        <w:rPr>
          <w:lang w:val="en-CA"/>
        </w:rPr>
        <w:t xml:space="preserve">. </w:t>
      </w:r>
      <w:r w:rsidR="00393545" w:rsidRPr="00393545">
        <w:rPr>
          <w:lang w:val="en-CA"/>
        </w:rPr>
        <w:lastRenderedPageBreak/>
        <w:t>These are questions of fact to be assessed by the judge. The appellant demonstrate</w:t>
      </w:r>
      <w:r w:rsidR="002077D8">
        <w:rPr>
          <w:lang w:val="en-CA"/>
        </w:rPr>
        <w:t>d</w:t>
      </w:r>
      <w:r w:rsidR="00393545" w:rsidRPr="00393545">
        <w:rPr>
          <w:lang w:val="en-CA"/>
        </w:rPr>
        <w:t xml:space="preserve"> no error </w:t>
      </w:r>
      <w:r w:rsidR="00393545">
        <w:rPr>
          <w:lang w:val="en-CA"/>
        </w:rPr>
        <w:t xml:space="preserve">that would </w:t>
      </w:r>
      <w:r w:rsidR="00393545" w:rsidRPr="00393545">
        <w:rPr>
          <w:lang w:val="en-CA"/>
        </w:rPr>
        <w:t>justify the Court's intervention.</w:t>
      </w:r>
    </w:p>
    <w:p w14:paraId="08360273" w14:textId="77777777" w:rsidR="00894256" w:rsidRPr="005048B3" w:rsidRDefault="00393545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393545">
        <w:rPr>
          <w:lang w:val="en-CA"/>
        </w:rPr>
        <w:t xml:space="preserve">More specifically, and this will also be important </w:t>
      </w:r>
      <w:r w:rsidR="000961A7">
        <w:rPr>
          <w:lang w:val="en-CA"/>
        </w:rPr>
        <w:t>with respect to</w:t>
      </w:r>
      <w:r w:rsidRPr="00393545">
        <w:rPr>
          <w:lang w:val="en-CA"/>
        </w:rPr>
        <w:t xml:space="preserve"> the last part of her decision, the judge rejected the appellant's explanation that he had simply been surprised to find the victim on the </w:t>
      </w:r>
      <w:r w:rsidR="00107A63">
        <w:rPr>
          <w:lang w:val="en-CA"/>
        </w:rPr>
        <w:t>metro</w:t>
      </w:r>
      <w:r w:rsidRPr="00393545">
        <w:rPr>
          <w:lang w:val="en-CA"/>
        </w:rPr>
        <w:t xml:space="preserve"> platform and that his gesture was </w:t>
      </w:r>
      <w:r>
        <w:rPr>
          <w:lang w:val="en-CA"/>
        </w:rPr>
        <w:t xml:space="preserve">a </w:t>
      </w:r>
      <w:r w:rsidRPr="00393545">
        <w:rPr>
          <w:lang w:val="en-CA"/>
        </w:rPr>
        <w:t xml:space="preserve">friendly </w:t>
      </w:r>
      <w:r>
        <w:rPr>
          <w:lang w:val="en-CA"/>
        </w:rPr>
        <w:t>one</w:t>
      </w:r>
      <w:r w:rsidR="000961A7">
        <w:rPr>
          <w:lang w:val="en-CA"/>
        </w:rPr>
        <w:t>,</w:t>
      </w:r>
      <w:r w:rsidRPr="00393545">
        <w:rPr>
          <w:lang w:val="en-CA"/>
        </w:rPr>
        <w:t xml:space="preserve"> without</w:t>
      </w:r>
      <w:r w:rsidR="000961A7">
        <w:rPr>
          <w:lang w:val="en-CA"/>
        </w:rPr>
        <w:t xml:space="preserve"> any</w:t>
      </w:r>
      <w:r w:rsidRPr="00393545">
        <w:rPr>
          <w:lang w:val="en-CA"/>
        </w:rPr>
        <w:t xml:space="preserve"> hostility</w:t>
      </w:r>
      <w:r w:rsidR="00894256" w:rsidRPr="005048B3">
        <w:rPr>
          <w:lang w:val="en-CA"/>
        </w:rPr>
        <w:t xml:space="preserve">. </w:t>
      </w:r>
    </w:p>
    <w:p w14:paraId="1B08AE5A" w14:textId="77777777" w:rsidR="00894256" w:rsidRPr="005048B3" w:rsidRDefault="00393545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>
        <w:rPr>
          <w:lang w:val="en-CA"/>
        </w:rPr>
        <w:t>The judge noted that</w:t>
      </w:r>
      <w:r w:rsidR="00894256" w:rsidRPr="005048B3">
        <w:rPr>
          <w:lang w:val="en-CA"/>
        </w:rPr>
        <w:t>:</w:t>
      </w:r>
    </w:p>
    <w:p w14:paraId="37156B7E" w14:textId="77777777" w:rsidR="00393545" w:rsidRPr="00FC539D" w:rsidRDefault="00FC539D" w:rsidP="00894256">
      <w:pPr>
        <w:pStyle w:val="JgtCitation"/>
        <w:spacing w:line="280" w:lineRule="exact"/>
        <w:rPr>
          <w:sz w:val="20"/>
          <w:szCs w:val="20"/>
          <w:lang w:val="en-CA"/>
        </w:rPr>
      </w:pPr>
      <w:r w:rsidRPr="00FC539D">
        <w:rPr>
          <w:sz w:val="20"/>
          <w:szCs w:val="20"/>
          <w:lang w:val="en-CA"/>
        </w:rPr>
        <w:t>[TRANSLATION]</w:t>
      </w:r>
    </w:p>
    <w:p w14:paraId="4BC98E79" w14:textId="77777777" w:rsidR="00894256" w:rsidRPr="005048B3" w:rsidRDefault="00894256" w:rsidP="00894256">
      <w:pPr>
        <w:pStyle w:val="JgtCitation"/>
        <w:spacing w:line="280" w:lineRule="exact"/>
        <w:rPr>
          <w:lang w:val="en-CA"/>
        </w:rPr>
      </w:pPr>
      <w:r w:rsidRPr="005048B3">
        <w:rPr>
          <w:lang w:val="en-CA"/>
        </w:rPr>
        <w:t xml:space="preserve">[38] </w:t>
      </w:r>
      <w:r w:rsidR="00FC539D" w:rsidRPr="00FC539D">
        <w:rPr>
          <w:lang w:val="en-CA"/>
        </w:rPr>
        <w:t xml:space="preserve">The video evidence allows us to conclude, beyond a reasonable doubt, that this was an intentional and aggressive </w:t>
      </w:r>
      <w:r w:rsidR="00025ADA">
        <w:rPr>
          <w:lang w:val="en-CA"/>
        </w:rPr>
        <w:t>act</w:t>
      </w:r>
      <w:r w:rsidR="00FC539D" w:rsidRPr="00FC539D">
        <w:rPr>
          <w:lang w:val="en-CA"/>
        </w:rPr>
        <w:t xml:space="preserve">, even if the force applied was not very great. The reaction of [the victim] </w:t>
      </w:r>
      <w:r w:rsidR="002077D8">
        <w:rPr>
          <w:lang w:val="en-CA"/>
        </w:rPr>
        <w:t>is consistent with</w:t>
      </w:r>
      <w:r w:rsidR="00FC539D" w:rsidRPr="00FC539D">
        <w:rPr>
          <w:lang w:val="en-CA"/>
        </w:rPr>
        <w:t xml:space="preserve"> this unexpected and hostile attack.</w:t>
      </w:r>
    </w:p>
    <w:p w14:paraId="0E6B9FA9" w14:textId="77777777" w:rsidR="00894256" w:rsidRPr="005048B3" w:rsidRDefault="00DB78F8" w:rsidP="007E1A4F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DB78F8">
        <w:rPr>
          <w:lang w:val="en-CA"/>
        </w:rPr>
        <w:t xml:space="preserve">The judge not only had the </w:t>
      </w:r>
      <w:r w:rsidR="00E51C29">
        <w:rPr>
          <w:lang w:val="en-CA"/>
        </w:rPr>
        <w:t>benefit</w:t>
      </w:r>
      <w:r w:rsidRPr="00DB78F8">
        <w:rPr>
          <w:lang w:val="en-CA"/>
        </w:rPr>
        <w:t xml:space="preserve"> of hearing the witnesses</w:t>
      </w:r>
      <w:r w:rsidR="000961A7">
        <w:rPr>
          <w:lang w:val="en-CA"/>
        </w:rPr>
        <w:t>,</w:t>
      </w:r>
      <w:r w:rsidRPr="00DB78F8">
        <w:rPr>
          <w:lang w:val="en-CA"/>
        </w:rPr>
        <w:t xml:space="preserve"> but also of analyzing </w:t>
      </w:r>
      <w:r w:rsidR="00E51C29">
        <w:rPr>
          <w:lang w:val="en-CA"/>
        </w:rPr>
        <w:t>that</w:t>
      </w:r>
      <w:r w:rsidRPr="00DB78F8">
        <w:rPr>
          <w:lang w:val="en-CA"/>
        </w:rPr>
        <w:t xml:space="preserve"> evidence </w:t>
      </w:r>
      <w:r w:rsidR="00730F36">
        <w:rPr>
          <w:lang w:val="en-CA"/>
        </w:rPr>
        <w:t xml:space="preserve">in light of </w:t>
      </w:r>
      <w:r w:rsidRPr="00DB78F8">
        <w:rPr>
          <w:lang w:val="en-CA"/>
        </w:rPr>
        <w:t xml:space="preserve">the </w:t>
      </w:r>
      <w:r w:rsidR="00B42408">
        <w:rPr>
          <w:lang w:val="en-CA"/>
        </w:rPr>
        <w:t xml:space="preserve">video </w:t>
      </w:r>
      <w:r w:rsidRPr="00DB78F8">
        <w:rPr>
          <w:lang w:val="en-CA"/>
        </w:rPr>
        <w:t xml:space="preserve">images. </w:t>
      </w:r>
      <w:r>
        <w:rPr>
          <w:lang w:val="en-CA"/>
        </w:rPr>
        <w:t>T</w:t>
      </w:r>
      <w:r w:rsidRPr="00DB78F8">
        <w:rPr>
          <w:lang w:val="en-CA"/>
        </w:rPr>
        <w:t>he images and the testimon</w:t>
      </w:r>
      <w:r w:rsidR="007E1A4F">
        <w:rPr>
          <w:lang w:val="en-CA"/>
        </w:rPr>
        <w:t>y</w:t>
      </w:r>
      <w:r w:rsidRPr="00DB78F8">
        <w:rPr>
          <w:lang w:val="en-CA"/>
        </w:rPr>
        <w:t xml:space="preserve"> support the</w:t>
      </w:r>
      <w:r w:rsidR="000961A7">
        <w:rPr>
          <w:lang w:val="en-CA"/>
        </w:rPr>
        <w:t xml:space="preserve"> judge’s</w:t>
      </w:r>
      <w:r w:rsidRPr="00DB78F8">
        <w:rPr>
          <w:lang w:val="en-CA"/>
        </w:rPr>
        <w:t xml:space="preserve"> coherent conclusions. She </w:t>
      </w:r>
      <w:r>
        <w:rPr>
          <w:lang w:val="en-CA"/>
        </w:rPr>
        <w:t>was aware of</w:t>
      </w:r>
      <w:r w:rsidRPr="00DB78F8">
        <w:rPr>
          <w:lang w:val="en-CA"/>
        </w:rPr>
        <w:t xml:space="preserve"> the inaccuracies </w:t>
      </w:r>
      <w:r>
        <w:rPr>
          <w:lang w:val="en-CA"/>
        </w:rPr>
        <w:t>in</w:t>
      </w:r>
      <w:r w:rsidRPr="00DB78F8">
        <w:rPr>
          <w:lang w:val="en-CA"/>
        </w:rPr>
        <w:t xml:space="preserve"> the victim's testimony, particularly with regard to the duration of the events, which the victim </w:t>
      </w:r>
      <w:r>
        <w:rPr>
          <w:lang w:val="en-CA"/>
        </w:rPr>
        <w:t>believed</w:t>
      </w:r>
      <w:r w:rsidRPr="00DB78F8">
        <w:rPr>
          <w:lang w:val="en-CA"/>
        </w:rPr>
        <w:t xml:space="preserve"> to be much longer than the</w:t>
      </w:r>
      <w:r>
        <w:rPr>
          <w:lang w:val="en-CA"/>
        </w:rPr>
        <w:t>y actually were</w:t>
      </w:r>
      <w:r w:rsidRPr="00DB78F8">
        <w:rPr>
          <w:lang w:val="en-CA"/>
        </w:rPr>
        <w:t xml:space="preserve">. </w:t>
      </w:r>
      <w:r w:rsidR="008C7909">
        <w:rPr>
          <w:lang w:val="en-CA"/>
        </w:rPr>
        <w:t>In the</w:t>
      </w:r>
      <w:r w:rsidRPr="00DB78F8">
        <w:rPr>
          <w:lang w:val="en-CA"/>
        </w:rPr>
        <w:t xml:space="preserve"> judge</w:t>
      </w:r>
      <w:r w:rsidR="008C7909">
        <w:rPr>
          <w:lang w:val="en-CA"/>
        </w:rPr>
        <w:t>’s view</w:t>
      </w:r>
      <w:r w:rsidRPr="00DB78F8">
        <w:rPr>
          <w:lang w:val="en-CA"/>
        </w:rPr>
        <w:t xml:space="preserve">, this </w:t>
      </w:r>
      <w:r>
        <w:rPr>
          <w:lang w:val="en-CA"/>
        </w:rPr>
        <w:t>was due to</w:t>
      </w:r>
      <w:r w:rsidRPr="00DB78F8">
        <w:rPr>
          <w:lang w:val="en-CA"/>
        </w:rPr>
        <w:t xml:space="preserve"> the stress experienced by the victim at th</w:t>
      </w:r>
      <w:r>
        <w:rPr>
          <w:lang w:val="en-CA"/>
        </w:rPr>
        <w:t>e</w:t>
      </w:r>
      <w:r w:rsidRPr="00DB78F8">
        <w:rPr>
          <w:lang w:val="en-CA"/>
        </w:rPr>
        <w:t xml:space="preserve"> time. </w:t>
      </w:r>
      <w:r w:rsidR="000E6654">
        <w:rPr>
          <w:lang w:val="en-CA"/>
        </w:rPr>
        <w:t xml:space="preserve">Given the situation, she </w:t>
      </w:r>
      <w:r>
        <w:rPr>
          <w:lang w:val="en-CA"/>
        </w:rPr>
        <w:t>gave</w:t>
      </w:r>
      <w:r w:rsidRPr="00DB78F8">
        <w:rPr>
          <w:lang w:val="en-CA"/>
        </w:rPr>
        <w:t xml:space="preserve"> the appellant the benefit of the doubt </w:t>
      </w:r>
      <w:r w:rsidR="00A55EB7">
        <w:rPr>
          <w:lang w:val="en-CA"/>
        </w:rPr>
        <w:t>regarding</w:t>
      </w:r>
      <w:r w:rsidRPr="00DB78F8">
        <w:rPr>
          <w:lang w:val="en-CA"/>
        </w:rPr>
        <w:t xml:space="preserve"> the threatening nature of the words heard by the victim.</w:t>
      </w:r>
    </w:p>
    <w:p w14:paraId="51D8D8DB" w14:textId="77777777" w:rsidR="00894256" w:rsidRPr="005048B3" w:rsidRDefault="00A55EB7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A55EB7">
        <w:rPr>
          <w:lang w:val="en-CA"/>
        </w:rPr>
        <w:t xml:space="preserve">Once again, the appellant </w:t>
      </w:r>
      <w:r w:rsidR="007E1A4F">
        <w:rPr>
          <w:lang w:val="en-CA"/>
        </w:rPr>
        <w:t xml:space="preserve">has failed to </w:t>
      </w:r>
      <w:r w:rsidRPr="00A55EB7">
        <w:rPr>
          <w:lang w:val="en-CA"/>
        </w:rPr>
        <w:t xml:space="preserve">demonstrate </w:t>
      </w:r>
      <w:r w:rsidR="007E1A4F">
        <w:rPr>
          <w:lang w:val="en-CA"/>
        </w:rPr>
        <w:t>any</w:t>
      </w:r>
      <w:r w:rsidRPr="00A55EB7">
        <w:rPr>
          <w:lang w:val="en-CA"/>
        </w:rPr>
        <w:t xml:space="preserve"> error in the judge's conclusion on the victim's </w:t>
      </w:r>
      <w:r w:rsidR="000E6654">
        <w:rPr>
          <w:lang w:val="en-CA"/>
        </w:rPr>
        <w:t xml:space="preserve">lack of </w:t>
      </w:r>
      <w:r w:rsidRPr="00A55EB7">
        <w:rPr>
          <w:lang w:val="en-CA"/>
        </w:rPr>
        <w:t xml:space="preserve">consent or on the appellant's belief </w:t>
      </w:r>
      <w:r>
        <w:rPr>
          <w:lang w:val="en-CA"/>
        </w:rPr>
        <w:t>that there had been</w:t>
      </w:r>
      <w:r w:rsidRPr="00A55EB7">
        <w:rPr>
          <w:lang w:val="en-CA"/>
        </w:rPr>
        <w:t xml:space="preserve"> consent. </w:t>
      </w:r>
      <w:r w:rsidR="000E6654">
        <w:rPr>
          <w:lang w:val="en-CA"/>
        </w:rPr>
        <w:t xml:space="preserve">It was open to the judge to find </w:t>
      </w:r>
      <w:r w:rsidRPr="00A55EB7">
        <w:rPr>
          <w:lang w:val="en-CA"/>
        </w:rPr>
        <w:t xml:space="preserve">that </w:t>
      </w:r>
      <w:r>
        <w:rPr>
          <w:lang w:val="en-CA"/>
        </w:rPr>
        <w:t xml:space="preserve">there </w:t>
      </w:r>
      <w:r w:rsidR="00730F36">
        <w:rPr>
          <w:lang w:val="en-CA"/>
        </w:rPr>
        <w:t>had been n</w:t>
      </w:r>
      <w:r w:rsidRPr="00A55EB7">
        <w:rPr>
          <w:lang w:val="en-CA"/>
        </w:rPr>
        <w:t xml:space="preserve">o </w:t>
      </w:r>
      <w:r>
        <w:rPr>
          <w:lang w:val="en-CA"/>
        </w:rPr>
        <w:t xml:space="preserve">express </w:t>
      </w:r>
      <w:r w:rsidRPr="00A55EB7">
        <w:rPr>
          <w:lang w:val="en-CA"/>
        </w:rPr>
        <w:t xml:space="preserve">consent </w:t>
      </w:r>
      <w:r w:rsidR="000E6654">
        <w:rPr>
          <w:lang w:val="en-CA"/>
        </w:rPr>
        <w:t>from</w:t>
      </w:r>
      <w:r w:rsidRPr="00A55EB7">
        <w:rPr>
          <w:lang w:val="en-CA"/>
        </w:rPr>
        <w:t xml:space="preserve"> the victim. Given </w:t>
      </w:r>
      <w:r>
        <w:rPr>
          <w:lang w:val="en-CA"/>
        </w:rPr>
        <w:t>how quickly the events unfolded</w:t>
      </w:r>
      <w:r w:rsidRPr="00A55EB7">
        <w:rPr>
          <w:lang w:val="en-CA"/>
        </w:rPr>
        <w:t xml:space="preserve"> and, above all, the absence of a relationship between the p</w:t>
      </w:r>
      <w:r>
        <w:rPr>
          <w:lang w:val="en-CA"/>
        </w:rPr>
        <w:t>arties</w:t>
      </w:r>
      <w:r w:rsidRPr="00A55EB7">
        <w:rPr>
          <w:lang w:val="en-CA"/>
        </w:rPr>
        <w:t xml:space="preserve"> except </w:t>
      </w:r>
      <w:r w:rsidR="000E6654">
        <w:rPr>
          <w:lang w:val="en-CA"/>
        </w:rPr>
        <w:t xml:space="preserve">for </w:t>
      </w:r>
      <w:r w:rsidRPr="00A55EB7">
        <w:rPr>
          <w:lang w:val="en-CA"/>
        </w:rPr>
        <w:t>that of a correction</w:t>
      </w:r>
      <w:r>
        <w:rPr>
          <w:lang w:val="en-CA"/>
        </w:rPr>
        <w:t>s</w:t>
      </w:r>
      <w:r w:rsidRPr="00A55EB7">
        <w:rPr>
          <w:lang w:val="en-CA"/>
        </w:rPr>
        <w:t xml:space="preserve"> officer</w:t>
      </w:r>
      <w:r w:rsidR="003E7B64">
        <w:rPr>
          <w:lang w:val="en-CA"/>
        </w:rPr>
        <w:t>’s authority</w:t>
      </w:r>
      <w:r w:rsidRPr="00A55EB7">
        <w:rPr>
          <w:lang w:val="en-CA"/>
        </w:rPr>
        <w:t xml:space="preserve"> </w:t>
      </w:r>
      <w:r w:rsidR="003E7B64">
        <w:rPr>
          <w:lang w:val="en-CA"/>
        </w:rPr>
        <w:t>in respect of</w:t>
      </w:r>
      <w:r w:rsidRPr="00A55EB7">
        <w:rPr>
          <w:lang w:val="en-CA"/>
        </w:rPr>
        <w:t xml:space="preserve"> an inmate, the judge </w:t>
      </w:r>
      <w:r w:rsidR="005E3B60">
        <w:rPr>
          <w:lang w:val="en-CA"/>
        </w:rPr>
        <w:t>could</w:t>
      </w:r>
      <w:r w:rsidRPr="00A55EB7">
        <w:rPr>
          <w:lang w:val="en-CA"/>
        </w:rPr>
        <w:t xml:space="preserve"> </w:t>
      </w:r>
      <w:r w:rsidR="00730F36">
        <w:rPr>
          <w:lang w:val="en-CA"/>
        </w:rPr>
        <w:t>rule out</w:t>
      </w:r>
      <w:r w:rsidRPr="00A55EB7">
        <w:rPr>
          <w:lang w:val="en-CA"/>
        </w:rPr>
        <w:t xml:space="preserve"> implied consent</w:t>
      </w:r>
      <w:r w:rsidR="00894256" w:rsidRPr="005048B3">
        <w:rPr>
          <w:lang w:val="en-CA"/>
        </w:rPr>
        <w:t xml:space="preserve">. </w:t>
      </w:r>
    </w:p>
    <w:p w14:paraId="070427D2" w14:textId="77777777" w:rsidR="00894256" w:rsidRPr="005048B3" w:rsidRDefault="00894256" w:rsidP="00894256">
      <w:pPr>
        <w:pStyle w:val="JgtParagraphe"/>
        <w:tabs>
          <w:tab w:val="clear" w:pos="720"/>
        </w:tabs>
        <w:spacing w:line="280" w:lineRule="exact"/>
        <w:jc w:val="center"/>
        <w:rPr>
          <w:lang w:val="en-CA"/>
        </w:rPr>
      </w:pPr>
      <w:r w:rsidRPr="005048B3">
        <w:rPr>
          <w:lang w:val="en-CA"/>
        </w:rPr>
        <w:t>**</w:t>
      </w:r>
    </w:p>
    <w:p w14:paraId="45786A19" w14:textId="77777777" w:rsidR="00894256" w:rsidRPr="005048B3" w:rsidRDefault="00B75C19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B75C19">
        <w:rPr>
          <w:lang w:val="en-CA"/>
        </w:rPr>
        <w:t xml:space="preserve">In the final part of the decision and </w:t>
      </w:r>
      <w:r w:rsidR="008C7909">
        <w:rPr>
          <w:lang w:val="en-CA"/>
        </w:rPr>
        <w:t xml:space="preserve">of </w:t>
      </w:r>
      <w:r w:rsidRPr="00B75C19">
        <w:rPr>
          <w:lang w:val="en-CA"/>
        </w:rPr>
        <w:t xml:space="preserve">the appeal, the appellant criticizes the judge for refusing to apply the </w:t>
      </w:r>
      <w:r w:rsidR="0063685A">
        <w:rPr>
          <w:lang w:val="en-CA"/>
        </w:rPr>
        <w:t xml:space="preserve">maxim of </w:t>
      </w:r>
      <w:r w:rsidRPr="00B75C19">
        <w:rPr>
          <w:i/>
          <w:iCs/>
          <w:lang w:val="en-CA"/>
        </w:rPr>
        <w:t xml:space="preserve">de minimis non </w:t>
      </w:r>
      <w:proofErr w:type="spellStart"/>
      <w:r w:rsidRPr="00B75C19">
        <w:rPr>
          <w:i/>
          <w:iCs/>
          <w:lang w:val="en-CA"/>
        </w:rPr>
        <w:t>curat</w:t>
      </w:r>
      <w:proofErr w:type="spellEnd"/>
      <w:r w:rsidRPr="00B75C19">
        <w:rPr>
          <w:i/>
          <w:iCs/>
          <w:lang w:val="en-CA"/>
        </w:rPr>
        <w:t xml:space="preserve"> lex</w:t>
      </w:r>
      <w:r>
        <w:rPr>
          <w:lang w:val="en-CA"/>
        </w:rPr>
        <w:t>,</w:t>
      </w:r>
      <w:r w:rsidRPr="00B75C19">
        <w:rPr>
          <w:lang w:val="en-CA"/>
        </w:rPr>
        <w:t xml:space="preserve"> often translated </w:t>
      </w:r>
      <w:r>
        <w:rPr>
          <w:lang w:val="en-CA"/>
        </w:rPr>
        <w:t>as</w:t>
      </w:r>
      <w:r w:rsidRPr="00B75C19">
        <w:rPr>
          <w:lang w:val="en-CA"/>
        </w:rPr>
        <w:t xml:space="preserve"> </w:t>
      </w:r>
      <w:r w:rsidR="008C7909" w:rsidRPr="00330D51">
        <w:rPr>
          <w:sz w:val="22"/>
          <w:szCs w:val="22"/>
          <w:lang w:val="en-CA"/>
        </w:rPr>
        <w:t>[</w:t>
      </w:r>
      <w:r w:rsidR="00D853EA" w:rsidRPr="00D853EA">
        <w:rPr>
          <w:smallCaps/>
          <w:lang w:val="en-CA"/>
        </w:rPr>
        <w:t>translation</w:t>
      </w:r>
      <w:r w:rsidR="008C7909" w:rsidRPr="00330D51">
        <w:rPr>
          <w:sz w:val="22"/>
          <w:szCs w:val="22"/>
          <w:lang w:val="en-CA"/>
        </w:rPr>
        <w:t>]</w:t>
      </w:r>
      <w:r w:rsidR="008C7909">
        <w:rPr>
          <w:lang w:val="en-CA"/>
        </w:rPr>
        <w:t xml:space="preserve"> </w:t>
      </w:r>
      <w:r w:rsidRPr="00B75C19">
        <w:rPr>
          <w:lang w:val="en-CA"/>
        </w:rPr>
        <w:t xml:space="preserve">"the law does not </w:t>
      </w:r>
      <w:r w:rsidR="0063685A">
        <w:rPr>
          <w:lang w:val="en-CA"/>
        </w:rPr>
        <w:t>concern itself with</w:t>
      </w:r>
      <w:r>
        <w:rPr>
          <w:lang w:val="en-CA"/>
        </w:rPr>
        <w:t xml:space="preserve"> trifles</w:t>
      </w:r>
      <w:r w:rsidRPr="00B75C19">
        <w:rPr>
          <w:lang w:val="en-CA"/>
        </w:rPr>
        <w:t xml:space="preserve">”. This </w:t>
      </w:r>
      <w:r w:rsidR="00B32602">
        <w:rPr>
          <w:lang w:val="en-CA"/>
        </w:rPr>
        <w:t>maxim</w:t>
      </w:r>
      <w:r w:rsidRPr="00B75C19">
        <w:rPr>
          <w:lang w:val="en-CA"/>
        </w:rPr>
        <w:t xml:space="preserve"> </w:t>
      </w:r>
      <w:r w:rsidR="000E6654">
        <w:rPr>
          <w:lang w:val="en-CA"/>
        </w:rPr>
        <w:t xml:space="preserve">aims </w:t>
      </w:r>
      <w:r w:rsidRPr="00B75C19">
        <w:rPr>
          <w:lang w:val="en-CA"/>
        </w:rPr>
        <w:t xml:space="preserve">to express the idea that a court can accept </w:t>
      </w:r>
      <w:r>
        <w:rPr>
          <w:lang w:val="en-CA"/>
        </w:rPr>
        <w:t>this</w:t>
      </w:r>
      <w:r w:rsidRPr="00B75C19">
        <w:rPr>
          <w:lang w:val="en-CA"/>
        </w:rPr>
        <w:t xml:space="preserve"> “defence” in </w:t>
      </w:r>
      <w:r>
        <w:rPr>
          <w:lang w:val="en-CA"/>
        </w:rPr>
        <w:t>cases where</w:t>
      </w:r>
      <w:r w:rsidRPr="00B75C19">
        <w:rPr>
          <w:lang w:val="en-CA"/>
        </w:rPr>
        <w:t xml:space="preserve"> the offen</w:t>
      </w:r>
      <w:r>
        <w:rPr>
          <w:lang w:val="en-CA"/>
        </w:rPr>
        <w:t>c</w:t>
      </w:r>
      <w:r w:rsidRPr="00B75C19">
        <w:rPr>
          <w:lang w:val="en-CA"/>
        </w:rPr>
        <w:t xml:space="preserve">e, although legally committed, is insignificant and should not entail consequences for its </w:t>
      </w:r>
      <w:r>
        <w:rPr>
          <w:lang w:val="en-CA"/>
        </w:rPr>
        <w:t>perpetrator</w:t>
      </w:r>
      <w:r w:rsidRPr="00B75C19">
        <w:rPr>
          <w:lang w:val="en-CA"/>
        </w:rPr>
        <w:t>.</w:t>
      </w:r>
    </w:p>
    <w:p w14:paraId="378B0D82" w14:textId="77777777" w:rsidR="00894256" w:rsidRPr="005048B3" w:rsidRDefault="00B75C19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B75C19">
        <w:rPr>
          <w:lang w:val="en-CA"/>
        </w:rPr>
        <w:t xml:space="preserve">Should the judge have applied the </w:t>
      </w:r>
      <w:r w:rsidR="00B32602">
        <w:rPr>
          <w:lang w:val="en-CA"/>
        </w:rPr>
        <w:t>maxim</w:t>
      </w:r>
      <w:r>
        <w:rPr>
          <w:lang w:val="en-CA"/>
        </w:rPr>
        <w:t xml:space="preserve"> </w:t>
      </w:r>
      <w:r w:rsidRPr="00B75C19">
        <w:rPr>
          <w:lang w:val="en-CA"/>
        </w:rPr>
        <w:t xml:space="preserve">or doctrine of </w:t>
      </w:r>
      <w:r w:rsidRPr="00B75C19">
        <w:rPr>
          <w:i/>
          <w:iCs/>
          <w:lang w:val="en-CA"/>
        </w:rPr>
        <w:t>de minimis non curat lex</w:t>
      </w:r>
      <w:r w:rsidRPr="00B75C19">
        <w:rPr>
          <w:lang w:val="en-CA"/>
        </w:rPr>
        <w:t xml:space="preserve">? I agree with the respondent's position that this doctrine </w:t>
      </w:r>
      <w:r>
        <w:rPr>
          <w:lang w:val="en-CA"/>
        </w:rPr>
        <w:t>should apply</w:t>
      </w:r>
      <w:r w:rsidR="00986E89">
        <w:rPr>
          <w:lang w:val="en-CA"/>
        </w:rPr>
        <w:t xml:space="preserve"> only</w:t>
      </w:r>
      <w:r>
        <w:rPr>
          <w:lang w:val="en-CA"/>
        </w:rPr>
        <w:t xml:space="preserve"> exceptionally</w:t>
      </w:r>
      <w:r w:rsidRPr="00B75C19">
        <w:rPr>
          <w:lang w:val="en-CA"/>
        </w:rPr>
        <w:t>, that is to say</w:t>
      </w:r>
      <w:r w:rsidR="008C7909">
        <w:rPr>
          <w:lang w:val="en-CA"/>
        </w:rPr>
        <w:t>,</w:t>
      </w:r>
      <w:r w:rsidRPr="00B75C19">
        <w:rPr>
          <w:lang w:val="en-CA"/>
        </w:rPr>
        <w:t xml:space="preserve"> in the clearest and most </w:t>
      </w:r>
      <w:r w:rsidR="008C7909">
        <w:rPr>
          <w:lang w:val="en-CA"/>
        </w:rPr>
        <w:t>obvious</w:t>
      </w:r>
      <w:r w:rsidRPr="00B75C19">
        <w:rPr>
          <w:lang w:val="en-CA"/>
        </w:rPr>
        <w:t xml:space="preserve"> cases.</w:t>
      </w:r>
    </w:p>
    <w:p w14:paraId="6C92188E" w14:textId="77777777" w:rsidR="00894256" w:rsidRPr="005048B3" w:rsidRDefault="00216BE1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216BE1">
        <w:rPr>
          <w:lang w:val="en-CA"/>
        </w:rPr>
        <w:lastRenderedPageBreak/>
        <w:t xml:space="preserve">Whether a case qualifies for application of the doctrine is a question of law. An appellate court may therefore review the decision </w:t>
      </w:r>
      <w:r w:rsidR="00685A92">
        <w:rPr>
          <w:lang w:val="en-CA"/>
        </w:rPr>
        <w:t>according to the</w:t>
      </w:r>
      <w:r w:rsidRPr="00216BE1">
        <w:rPr>
          <w:lang w:val="en-CA"/>
        </w:rPr>
        <w:t xml:space="preserve"> standard of correctness. However, deference is </w:t>
      </w:r>
      <w:r w:rsidR="00685A92">
        <w:rPr>
          <w:lang w:val="en-CA"/>
        </w:rPr>
        <w:t>owed</w:t>
      </w:r>
      <w:r w:rsidRPr="00216BE1">
        <w:rPr>
          <w:lang w:val="en-CA"/>
        </w:rPr>
        <w:t xml:space="preserve"> to the underlying </w:t>
      </w:r>
      <w:r w:rsidR="000E6654">
        <w:rPr>
          <w:lang w:val="en-CA"/>
        </w:rPr>
        <w:t>findings of fact</w:t>
      </w:r>
      <w:r w:rsidRPr="00216BE1">
        <w:rPr>
          <w:lang w:val="en-CA"/>
        </w:rPr>
        <w:t xml:space="preserve">. I </w:t>
      </w:r>
      <w:r w:rsidR="00FE49CA">
        <w:rPr>
          <w:lang w:val="en-CA"/>
        </w:rPr>
        <w:t>therefore</w:t>
      </w:r>
      <w:r w:rsidR="00FE49CA" w:rsidRPr="00216BE1">
        <w:rPr>
          <w:lang w:val="en-CA"/>
        </w:rPr>
        <w:t xml:space="preserve"> </w:t>
      </w:r>
      <w:r w:rsidRPr="00216BE1">
        <w:rPr>
          <w:lang w:val="en-CA"/>
        </w:rPr>
        <w:t xml:space="preserve">share the approach set out by the Court of Appeal for Ontario in </w:t>
      </w:r>
      <w:r w:rsidR="00894256" w:rsidRPr="005048B3">
        <w:rPr>
          <w:i/>
          <w:iCs/>
          <w:lang w:val="en-CA"/>
        </w:rPr>
        <w:t>R. v. Kubassek</w:t>
      </w:r>
      <w:r w:rsidR="00894256" w:rsidRPr="005048B3">
        <w:rPr>
          <w:lang w:val="en-CA"/>
        </w:rPr>
        <w:t xml:space="preserve"> (2004), 188 C.C.C. (3d) 307, </w:t>
      </w:r>
      <w:r w:rsidR="00685A92">
        <w:rPr>
          <w:lang w:val="en-CA"/>
        </w:rPr>
        <w:t xml:space="preserve">at </w:t>
      </w:r>
      <w:r w:rsidR="00894256" w:rsidRPr="005048B3">
        <w:rPr>
          <w:lang w:val="en-CA"/>
        </w:rPr>
        <w:t>par</w:t>
      </w:r>
      <w:r w:rsidR="00685A92">
        <w:rPr>
          <w:lang w:val="en-CA"/>
        </w:rPr>
        <w:t>as</w:t>
      </w:r>
      <w:r w:rsidR="00894256" w:rsidRPr="005048B3">
        <w:rPr>
          <w:lang w:val="en-CA"/>
        </w:rPr>
        <w:t>. 11</w:t>
      </w:r>
      <w:r w:rsidR="00FE49CA">
        <w:rPr>
          <w:lang w:val="en-CA"/>
        </w:rPr>
        <w:t>–</w:t>
      </w:r>
      <w:r w:rsidR="00894256" w:rsidRPr="005048B3">
        <w:rPr>
          <w:lang w:val="en-CA"/>
        </w:rPr>
        <w:t>16.</w:t>
      </w:r>
    </w:p>
    <w:p w14:paraId="3BC4E1BE" w14:textId="77777777" w:rsidR="00894256" w:rsidRPr="005048B3" w:rsidRDefault="002630AD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2630AD">
        <w:rPr>
          <w:lang w:val="en-CA"/>
        </w:rPr>
        <w:t xml:space="preserve">In </w:t>
      </w:r>
      <w:r>
        <w:rPr>
          <w:lang w:val="en-CA"/>
        </w:rPr>
        <w:t xml:space="preserve">the </w:t>
      </w:r>
      <w:r w:rsidRPr="002630AD">
        <w:rPr>
          <w:lang w:val="en-CA"/>
        </w:rPr>
        <w:t xml:space="preserve">case law, the </w:t>
      </w:r>
      <w:r w:rsidR="00B32602">
        <w:rPr>
          <w:lang w:val="en-CA"/>
        </w:rPr>
        <w:t>maxim</w:t>
      </w:r>
      <w:r>
        <w:rPr>
          <w:lang w:val="en-CA"/>
        </w:rPr>
        <w:t xml:space="preserve"> </w:t>
      </w:r>
      <w:r w:rsidRPr="002630AD">
        <w:rPr>
          <w:lang w:val="en-CA"/>
        </w:rPr>
        <w:t>is</w:t>
      </w:r>
      <w:r w:rsidR="000961A7" w:rsidRPr="002630AD">
        <w:rPr>
          <w:lang w:val="en-CA"/>
        </w:rPr>
        <w:t xml:space="preserve"> </w:t>
      </w:r>
      <w:r w:rsidR="007737F2" w:rsidRPr="002630AD">
        <w:rPr>
          <w:lang w:val="en-CA"/>
        </w:rPr>
        <w:t xml:space="preserve">discussed by </w:t>
      </w:r>
      <w:r w:rsidR="007737F2">
        <w:rPr>
          <w:lang w:val="en-CA"/>
        </w:rPr>
        <w:t xml:space="preserve">trial </w:t>
      </w:r>
      <w:r w:rsidR="007737F2" w:rsidRPr="002630AD">
        <w:rPr>
          <w:lang w:val="en-CA"/>
        </w:rPr>
        <w:t>courts</w:t>
      </w:r>
      <w:r w:rsidR="0063685A">
        <w:rPr>
          <w:lang w:val="en-CA"/>
        </w:rPr>
        <w:t>, for the most part</w:t>
      </w:r>
      <w:r w:rsidRPr="002630AD">
        <w:rPr>
          <w:lang w:val="en-CA"/>
        </w:rPr>
        <w:t xml:space="preserve">. In Quebec, </w:t>
      </w:r>
      <w:r w:rsidR="004436F8" w:rsidRPr="002630AD">
        <w:rPr>
          <w:lang w:val="en-CA"/>
        </w:rPr>
        <w:t xml:space="preserve">in </w:t>
      </w:r>
      <w:r w:rsidR="004436F8" w:rsidRPr="002630AD">
        <w:rPr>
          <w:i/>
          <w:iCs/>
          <w:lang w:val="en-CA"/>
        </w:rPr>
        <w:t xml:space="preserve">R. </w:t>
      </w:r>
      <w:r w:rsidR="004436F8">
        <w:rPr>
          <w:i/>
          <w:iCs/>
          <w:lang w:val="en-CA"/>
        </w:rPr>
        <w:t>c</w:t>
      </w:r>
      <w:r w:rsidR="004436F8" w:rsidRPr="002630AD">
        <w:rPr>
          <w:i/>
          <w:iCs/>
          <w:lang w:val="en-CA"/>
        </w:rPr>
        <w:t>. Freedman</w:t>
      </w:r>
      <w:r w:rsidR="004436F8" w:rsidRPr="002630AD">
        <w:rPr>
          <w:lang w:val="en-CA"/>
        </w:rPr>
        <w:t>, 2006 QCCS 8022</w:t>
      </w:r>
      <w:r w:rsidR="004436F8">
        <w:rPr>
          <w:lang w:val="en-CA"/>
        </w:rPr>
        <w:t xml:space="preserve">, </w:t>
      </w:r>
      <w:r w:rsidRPr="002630AD">
        <w:rPr>
          <w:lang w:val="en-CA"/>
        </w:rPr>
        <w:t xml:space="preserve">the Superior Court </w:t>
      </w:r>
      <w:r w:rsidR="007737F2">
        <w:rPr>
          <w:lang w:val="en-CA"/>
        </w:rPr>
        <w:t>sitting on</w:t>
      </w:r>
      <w:r w:rsidRPr="002630AD">
        <w:rPr>
          <w:lang w:val="en-CA"/>
        </w:rPr>
        <w:t xml:space="preserve"> appeal from a decision of the Court of Qu</w:t>
      </w:r>
      <w:r w:rsidR="00D1298E">
        <w:rPr>
          <w:lang w:val="en-CA"/>
        </w:rPr>
        <w:t>é</w:t>
      </w:r>
      <w:r w:rsidRPr="002630AD">
        <w:rPr>
          <w:lang w:val="en-CA"/>
        </w:rPr>
        <w:t xml:space="preserve">bec, </w:t>
      </w:r>
      <w:r w:rsidRPr="002630AD">
        <w:rPr>
          <w:i/>
          <w:iCs/>
          <w:lang w:val="en-CA"/>
        </w:rPr>
        <w:t xml:space="preserve">R. </w:t>
      </w:r>
      <w:r w:rsidR="002A11AE">
        <w:rPr>
          <w:i/>
          <w:iCs/>
          <w:lang w:val="en-CA"/>
        </w:rPr>
        <w:t>c</w:t>
      </w:r>
      <w:r w:rsidRPr="002630AD">
        <w:rPr>
          <w:i/>
          <w:iCs/>
          <w:lang w:val="en-CA"/>
        </w:rPr>
        <w:t>. Freedman</w:t>
      </w:r>
      <w:r w:rsidRPr="002630AD">
        <w:rPr>
          <w:lang w:val="en-CA"/>
        </w:rPr>
        <w:t xml:space="preserve">, 2006 QCCQ 1855, confirmed the possibility of applying the </w:t>
      </w:r>
      <w:r w:rsidR="00B32602">
        <w:rPr>
          <w:lang w:val="en-CA"/>
        </w:rPr>
        <w:t>m</w:t>
      </w:r>
      <w:r w:rsidR="00B32851">
        <w:rPr>
          <w:lang w:val="en-CA"/>
        </w:rPr>
        <w:t>a</w:t>
      </w:r>
      <w:r w:rsidR="00B32602">
        <w:rPr>
          <w:lang w:val="en-CA"/>
        </w:rPr>
        <w:t>xim</w:t>
      </w:r>
      <w:r w:rsidRPr="002630AD">
        <w:rPr>
          <w:lang w:val="en-CA"/>
        </w:rPr>
        <w:t xml:space="preserve"> in criminal law.</w:t>
      </w:r>
    </w:p>
    <w:p w14:paraId="0B150E11" w14:textId="77777777" w:rsidR="00894256" w:rsidRPr="005048B3" w:rsidRDefault="00D853EA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C850B8">
        <w:rPr>
          <w:lang w:val="en-CA"/>
        </w:rPr>
        <w:t>For</w:t>
      </w:r>
      <w:r w:rsidR="00C850B8" w:rsidRPr="00C850B8">
        <w:rPr>
          <w:lang w:val="en-CA"/>
        </w:rPr>
        <w:t xml:space="preserve"> these reasons, it is </w:t>
      </w:r>
      <w:r w:rsidR="00B32602">
        <w:rPr>
          <w:lang w:val="en-CA"/>
        </w:rPr>
        <w:t>pointless to analyze</w:t>
      </w:r>
      <w:r w:rsidR="00C850B8" w:rsidRPr="00C850B8">
        <w:rPr>
          <w:lang w:val="en-CA"/>
        </w:rPr>
        <w:t xml:space="preserve"> the debates surrounding the maxim and its application. Moreover, in this case, the Court is not being asked to decide </w:t>
      </w:r>
      <w:r w:rsidR="00B32602">
        <w:rPr>
          <w:lang w:val="en-CA"/>
        </w:rPr>
        <w:t xml:space="preserve">on </w:t>
      </w:r>
      <w:r w:rsidR="00C850B8" w:rsidRPr="00C850B8">
        <w:rPr>
          <w:lang w:val="en-CA"/>
        </w:rPr>
        <w:t xml:space="preserve">its existence in criminal law or to review </w:t>
      </w:r>
      <w:r w:rsidR="00C850B8" w:rsidRPr="00B32602">
        <w:rPr>
          <w:i/>
          <w:iCs/>
          <w:lang w:val="en-CA"/>
        </w:rPr>
        <w:t xml:space="preserve">R. </w:t>
      </w:r>
      <w:r w:rsidR="002A11AE">
        <w:rPr>
          <w:i/>
          <w:iCs/>
          <w:lang w:val="en-CA"/>
        </w:rPr>
        <w:t>c</w:t>
      </w:r>
      <w:r w:rsidR="00C850B8" w:rsidRPr="00B32602">
        <w:rPr>
          <w:i/>
          <w:iCs/>
          <w:lang w:val="en-CA"/>
        </w:rPr>
        <w:t>. Freedman</w:t>
      </w:r>
      <w:r w:rsidR="00C850B8" w:rsidRPr="00C850B8">
        <w:rPr>
          <w:lang w:val="en-CA"/>
        </w:rPr>
        <w:t xml:space="preserve">, 2006 QCCS 8022. Nor is it necessary to definitively </w:t>
      </w:r>
      <w:r w:rsidR="00AF0C24">
        <w:rPr>
          <w:lang w:val="en-CA"/>
        </w:rPr>
        <w:t>characterize</w:t>
      </w:r>
      <w:r w:rsidR="00C850B8" w:rsidRPr="00C850B8">
        <w:rPr>
          <w:lang w:val="en-CA"/>
        </w:rPr>
        <w:t xml:space="preserve"> the maxim as a defen</w:t>
      </w:r>
      <w:r w:rsidR="00B32602">
        <w:rPr>
          <w:lang w:val="en-CA"/>
        </w:rPr>
        <w:t>c</w:t>
      </w:r>
      <w:r w:rsidR="00C850B8" w:rsidRPr="00C850B8">
        <w:rPr>
          <w:lang w:val="en-CA"/>
        </w:rPr>
        <w:t xml:space="preserve">e or, as Professor </w:t>
      </w:r>
      <w:r w:rsidR="006C45E3">
        <w:rPr>
          <w:lang w:val="en-CA"/>
        </w:rPr>
        <w:t>Fehr</w:t>
      </w:r>
      <w:r w:rsidR="00C850B8" w:rsidRPr="00C850B8">
        <w:rPr>
          <w:lang w:val="en-CA"/>
        </w:rPr>
        <w:t xml:space="preserve"> suggests, as a facet of the inherent power of the courts to cease any abuse of procedure which </w:t>
      </w:r>
      <w:r w:rsidR="00C6654B">
        <w:rPr>
          <w:lang w:val="en-CA"/>
        </w:rPr>
        <w:t>could</w:t>
      </w:r>
      <w:r w:rsidR="00C850B8" w:rsidRPr="00C850B8">
        <w:rPr>
          <w:lang w:val="en-CA"/>
        </w:rPr>
        <w:t xml:space="preserve"> undermin</w:t>
      </w:r>
      <w:r w:rsidR="00C6654B">
        <w:rPr>
          <w:lang w:val="en-CA"/>
        </w:rPr>
        <w:t>e</w:t>
      </w:r>
      <w:r w:rsidR="00C850B8" w:rsidRPr="00C850B8">
        <w:rPr>
          <w:lang w:val="en-CA"/>
        </w:rPr>
        <w:t xml:space="preserve"> </w:t>
      </w:r>
      <w:r w:rsidR="00C6654B">
        <w:rPr>
          <w:lang w:val="en-CA"/>
        </w:rPr>
        <w:t>p</w:t>
      </w:r>
      <w:r w:rsidR="00C850B8" w:rsidRPr="00C850B8">
        <w:rPr>
          <w:lang w:val="en-CA"/>
        </w:rPr>
        <w:t xml:space="preserve">ublic </w:t>
      </w:r>
      <w:r w:rsidR="00C6654B">
        <w:rPr>
          <w:lang w:val="en-CA"/>
        </w:rPr>
        <w:t>c</w:t>
      </w:r>
      <w:r w:rsidR="00C850B8" w:rsidRPr="00C850B8">
        <w:rPr>
          <w:lang w:val="en-CA"/>
        </w:rPr>
        <w:t xml:space="preserve">onfidence in the </w:t>
      </w:r>
      <w:r w:rsidR="00C6654B">
        <w:rPr>
          <w:lang w:val="en-CA"/>
        </w:rPr>
        <w:t>a</w:t>
      </w:r>
      <w:r w:rsidR="00C850B8" w:rsidRPr="00C850B8">
        <w:rPr>
          <w:lang w:val="en-CA"/>
        </w:rPr>
        <w:t xml:space="preserve">dministration of </w:t>
      </w:r>
      <w:r w:rsidR="00C6654B">
        <w:rPr>
          <w:lang w:val="en-CA"/>
        </w:rPr>
        <w:t>j</w:t>
      </w:r>
      <w:r w:rsidR="00C850B8" w:rsidRPr="00C850B8">
        <w:rPr>
          <w:lang w:val="en-CA"/>
        </w:rPr>
        <w:t>ustice: Colton F</w:t>
      </w:r>
      <w:r w:rsidR="00AA5FFA" w:rsidRPr="00C850B8">
        <w:rPr>
          <w:lang w:val="en-CA"/>
        </w:rPr>
        <w:t>ehr</w:t>
      </w:r>
      <w:r w:rsidR="00C850B8" w:rsidRPr="00C850B8">
        <w:rPr>
          <w:lang w:val="en-CA"/>
        </w:rPr>
        <w:t>, “Reconceptualizing De Minimis Non Curat Lex”</w:t>
      </w:r>
      <w:r w:rsidR="008C7909">
        <w:rPr>
          <w:lang w:val="en-CA"/>
        </w:rPr>
        <w:t>,</w:t>
      </w:r>
      <w:r w:rsidR="00C850B8" w:rsidRPr="00C850B8">
        <w:rPr>
          <w:lang w:val="en-CA"/>
        </w:rPr>
        <w:t xml:space="preserve"> (2017) 64:1 Criminal Law Quarterly 200.</w:t>
      </w:r>
    </w:p>
    <w:p w14:paraId="41C96610" w14:textId="77777777" w:rsidR="00894256" w:rsidRPr="005048B3" w:rsidRDefault="00CF6AF3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CF6AF3">
        <w:rPr>
          <w:lang w:val="en-CA"/>
        </w:rPr>
        <w:t xml:space="preserve">Its existence has </w:t>
      </w:r>
      <w:r w:rsidR="008C7909">
        <w:rPr>
          <w:lang w:val="en-CA"/>
        </w:rPr>
        <w:t>at times</w:t>
      </w:r>
      <w:r w:rsidRPr="00CF6AF3">
        <w:rPr>
          <w:lang w:val="en-CA"/>
        </w:rPr>
        <w:t xml:space="preserve"> been questioned</w:t>
      </w:r>
      <w:r w:rsidR="004436F8">
        <w:rPr>
          <w:lang w:val="en-CA"/>
        </w:rPr>
        <w:t xml:space="preserve">, though </w:t>
      </w:r>
      <w:r w:rsidR="008C7909">
        <w:rPr>
          <w:lang w:val="en-CA"/>
        </w:rPr>
        <w:t>without being</w:t>
      </w:r>
      <w:r w:rsidRPr="00CF6AF3">
        <w:rPr>
          <w:lang w:val="en-CA"/>
        </w:rPr>
        <w:t xml:space="preserve"> excluded: see </w:t>
      </w:r>
      <w:r w:rsidRPr="00CF6AF3">
        <w:rPr>
          <w:i/>
          <w:iCs/>
          <w:lang w:val="en-CA"/>
        </w:rPr>
        <w:t xml:space="preserve">R. </w:t>
      </w:r>
      <w:r w:rsidR="002A11AE">
        <w:rPr>
          <w:i/>
          <w:iCs/>
          <w:lang w:val="en-CA"/>
        </w:rPr>
        <w:t>c</w:t>
      </w:r>
      <w:r w:rsidRPr="00CF6AF3">
        <w:rPr>
          <w:i/>
          <w:iCs/>
          <w:lang w:val="en-CA"/>
        </w:rPr>
        <w:t xml:space="preserve">. </w:t>
      </w:r>
      <w:proofErr w:type="spellStart"/>
      <w:r w:rsidRPr="00CF6AF3">
        <w:rPr>
          <w:i/>
          <w:iCs/>
          <w:lang w:val="en-CA"/>
        </w:rPr>
        <w:t>Dubourg</w:t>
      </w:r>
      <w:proofErr w:type="spellEnd"/>
      <w:r w:rsidRPr="00CF6AF3">
        <w:rPr>
          <w:lang w:val="en-CA"/>
        </w:rPr>
        <w:t xml:space="preserve">, 2018 QCCA 1999 </w:t>
      </w:r>
      <w:r>
        <w:rPr>
          <w:lang w:val="en-CA"/>
        </w:rPr>
        <w:t xml:space="preserve">at </w:t>
      </w:r>
      <w:r w:rsidRPr="00CF6AF3">
        <w:rPr>
          <w:lang w:val="en-CA"/>
        </w:rPr>
        <w:t>par</w:t>
      </w:r>
      <w:r>
        <w:rPr>
          <w:lang w:val="en-CA"/>
        </w:rPr>
        <w:t>as</w:t>
      </w:r>
      <w:r w:rsidRPr="00CF6AF3">
        <w:rPr>
          <w:lang w:val="en-CA"/>
        </w:rPr>
        <w:t>. 37</w:t>
      </w:r>
      <w:r w:rsidR="002A11AE">
        <w:rPr>
          <w:lang w:val="en-CA"/>
        </w:rPr>
        <w:t>–</w:t>
      </w:r>
      <w:r w:rsidRPr="00CF6AF3">
        <w:rPr>
          <w:lang w:val="en-CA"/>
        </w:rPr>
        <w:t xml:space="preserve">41. Its application seems more questionable in </w:t>
      </w:r>
      <w:r w:rsidR="00D1298E">
        <w:rPr>
          <w:lang w:val="en-CA"/>
        </w:rPr>
        <w:t>the</w:t>
      </w:r>
      <w:r w:rsidRPr="00CF6AF3">
        <w:rPr>
          <w:lang w:val="en-CA"/>
        </w:rPr>
        <w:t xml:space="preserve"> context of sexual or domestic violence: </w:t>
      </w:r>
      <w:r w:rsidRPr="00CF6AF3">
        <w:rPr>
          <w:i/>
          <w:iCs/>
          <w:lang w:val="en-CA"/>
        </w:rPr>
        <w:t xml:space="preserve">R. </w:t>
      </w:r>
      <w:r>
        <w:rPr>
          <w:i/>
          <w:iCs/>
          <w:lang w:val="en-CA"/>
        </w:rPr>
        <w:t>v</w:t>
      </w:r>
      <w:r w:rsidRPr="00CF6AF3">
        <w:rPr>
          <w:i/>
          <w:iCs/>
          <w:lang w:val="en-CA"/>
        </w:rPr>
        <w:t>. J.A.</w:t>
      </w:r>
      <w:r w:rsidRPr="00CF6AF3">
        <w:rPr>
          <w:lang w:val="en-CA"/>
        </w:rPr>
        <w:t xml:space="preserve">, [2011] 2 S.C.R. 440 </w:t>
      </w:r>
      <w:r>
        <w:rPr>
          <w:lang w:val="en-CA"/>
        </w:rPr>
        <w:t xml:space="preserve">at </w:t>
      </w:r>
      <w:r w:rsidRPr="00CF6AF3">
        <w:rPr>
          <w:lang w:val="en-CA"/>
        </w:rPr>
        <w:t xml:space="preserve">para. 63; </w:t>
      </w:r>
      <w:r w:rsidRPr="00CF6AF3">
        <w:rPr>
          <w:i/>
          <w:iCs/>
          <w:lang w:val="en-CA"/>
        </w:rPr>
        <w:t xml:space="preserve">R. </w:t>
      </w:r>
      <w:r w:rsidR="002A11AE">
        <w:rPr>
          <w:i/>
          <w:iCs/>
          <w:lang w:val="en-CA"/>
        </w:rPr>
        <w:t>c</w:t>
      </w:r>
      <w:r w:rsidRPr="00CF6AF3">
        <w:rPr>
          <w:i/>
          <w:iCs/>
          <w:lang w:val="en-CA"/>
        </w:rPr>
        <w:t>. Gosselin</w:t>
      </w:r>
      <w:r w:rsidRPr="00CF6AF3">
        <w:rPr>
          <w:lang w:val="en-CA"/>
        </w:rPr>
        <w:t xml:space="preserve">, 2012 QCCA 1874 </w:t>
      </w:r>
      <w:r>
        <w:rPr>
          <w:lang w:val="en-CA"/>
        </w:rPr>
        <w:t xml:space="preserve">at </w:t>
      </w:r>
      <w:r w:rsidRPr="00CF6AF3">
        <w:rPr>
          <w:lang w:val="en-CA"/>
        </w:rPr>
        <w:t>par</w:t>
      </w:r>
      <w:r>
        <w:rPr>
          <w:lang w:val="en-CA"/>
        </w:rPr>
        <w:t>a</w:t>
      </w:r>
      <w:r w:rsidRPr="00CF6AF3">
        <w:rPr>
          <w:lang w:val="en-CA"/>
        </w:rPr>
        <w:t xml:space="preserve">. 40. This should come as no surprise, if only because of the vulnerability of </w:t>
      </w:r>
      <w:r w:rsidR="00AF10CD">
        <w:rPr>
          <w:lang w:val="en-CA"/>
        </w:rPr>
        <w:t xml:space="preserve">the </w:t>
      </w:r>
      <w:r w:rsidRPr="00CF6AF3">
        <w:rPr>
          <w:lang w:val="en-CA"/>
        </w:rPr>
        <w:t>victims</w:t>
      </w:r>
      <w:r w:rsidR="004436F8">
        <w:rPr>
          <w:lang w:val="en-CA"/>
        </w:rPr>
        <w:t>, for example,</w:t>
      </w:r>
      <w:r w:rsidRPr="00CF6AF3">
        <w:rPr>
          <w:lang w:val="en-CA"/>
        </w:rPr>
        <w:t xml:space="preserve"> and the imperatives of public interest in this type of case.</w:t>
      </w:r>
    </w:p>
    <w:p w14:paraId="665D3D04" w14:textId="77777777" w:rsidR="00894256" w:rsidRPr="00D853EA" w:rsidRDefault="004666FC" w:rsidP="00894256">
      <w:pPr>
        <w:pStyle w:val="JgtParagraphe"/>
        <w:numPr>
          <w:ilvl w:val="0"/>
          <w:numId w:val="19"/>
        </w:numPr>
        <w:spacing w:line="280" w:lineRule="exact"/>
        <w:rPr>
          <w:lang w:val="fr-CA"/>
        </w:rPr>
      </w:pPr>
      <w:r w:rsidRPr="004666FC">
        <w:rPr>
          <w:lang w:val="en-CA"/>
        </w:rPr>
        <w:t xml:space="preserve">The fact remains that the possibility of </w:t>
      </w:r>
      <w:r>
        <w:rPr>
          <w:lang w:val="en-CA"/>
        </w:rPr>
        <w:t>invoking</w:t>
      </w:r>
      <w:r w:rsidRPr="004666FC">
        <w:rPr>
          <w:lang w:val="en-CA"/>
        </w:rPr>
        <w:t xml:space="preserve"> this maxim has never been totally ruled out by a court of appeal or by the Supreme Court. On the contrary, there are indications that it may play a role in the administration of criminal justice: </w:t>
      </w:r>
      <w:r w:rsidRPr="004666FC">
        <w:rPr>
          <w:i/>
          <w:iCs/>
          <w:lang w:val="en-CA"/>
        </w:rPr>
        <w:t>R. v. Hinchey</w:t>
      </w:r>
      <w:r w:rsidRPr="004666FC">
        <w:rPr>
          <w:lang w:val="en-CA"/>
        </w:rPr>
        <w:t xml:space="preserve">, [1996] 3 S.C.R. 1128 </w:t>
      </w:r>
      <w:r>
        <w:rPr>
          <w:lang w:val="en-CA"/>
        </w:rPr>
        <w:t xml:space="preserve">at </w:t>
      </w:r>
      <w:r w:rsidRPr="004666FC">
        <w:rPr>
          <w:lang w:val="en-CA"/>
        </w:rPr>
        <w:t xml:space="preserve">para. 69; </w:t>
      </w:r>
      <w:r w:rsidRPr="004666FC">
        <w:rPr>
          <w:i/>
          <w:iCs/>
          <w:lang w:val="en-CA"/>
        </w:rPr>
        <w:t xml:space="preserve">R. v. </w:t>
      </w:r>
      <w:proofErr w:type="spellStart"/>
      <w:r w:rsidRPr="004666FC">
        <w:rPr>
          <w:i/>
          <w:iCs/>
          <w:lang w:val="en-CA"/>
        </w:rPr>
        <w:t>Cuerrier</w:t>
      </w:r>
      <w:proofErr w:type="spellEnd"/>
      <w:r w:rsidRPr="004666FC">
        <w:rPr>
          <w:lang w:val="en-CA"/>
        </w:rPr>
        <w:t xml:space="preserve">, [1998] 2 S.C.R. 371 </w:t>
      </w:r>
      <w:r>
        <w:rPr>
          <w:lang w:val="en-CA"/>
        </w:rPr>
        <w:t xml:space="preserve">at </w:t>
      </w:r>
      <w:r w:rsidRPr="004666FC">
        <w:rPr>
          <w:lang w:val="en-CA"/>
        </w:rPr>
        <w:t xml:space="preserve">para. 21; </w:t>
      </w:r>
      <w:r w:rsidRPr="004666FC">
        <w:rPr>
          <w:i/>
          <w:iCs/>
          <w:lang w:val="en-CA"/>
        </w:rPr>
        <w:t>Canadian Foundation for Children, Youth and the Law v. Canada (Attorney General)</w:t>
      </w:r>
      <w:r w:rsidRPr="004666FC">
        <w:rPr>
          <w:lang w:val="en-CA"/>
        </w:rPr>
        <w:t xml:space="preserve">, [2004] 1 S.C.R. 76 </w:t>
      </w:r>
      <w:r>
        <w:rPr>
          <w:lang w:val="en-CA"/>
        </w:rPr>
        <w:t xml:space="preserve">at </w:t>
      </w:r>
      <w:r w:rsidRPr="004666FC">
        <w:rPr>
          <w:lang w:val="en-CA"/>
        </w:rPr>
        <w:t>para</w:t>
      </w:r>
      <w:r w:rsidR="002A11AE">
        <w:rPr>
          <w:lang w:val="en-CA"/>
        </w:rPr>
        <w:t>s</w:t>
      </w:r>
      <w:r w:rsidRPr="004666FC">
        <w:rPr>
          <w:lang w:val="en-CA"/>
        </w:rPr>
        <w:t xml:space="preserve">. </w:t>
      </w:r>
      <w:r w:rsidRPr="00D853EA">
        <w:rPr>
          <w:lang w:val="fr-CA"/>
        </w:rPr>
        <w:t xml:space="preserve">200 </w:t>
      </w:r>
      <w:r w:rsidR="00334760" w:rsidRPr="00D853EA">
        <w:rPr>
          <w:i/>
          <w:iCs/>
          <w:lang w:val="fr-CA"/>
        </w:rPr>
        <w:t xml:space="preserve">et </w:t>
      </w:r>
      <w:proofErr w:type="spellStart"/>
      <w:r w:rsidR="00334760" w:rsidRPr="00D853EA">
        <w:rPr>
          <w:i/>
          <w:iCs/>
          <w:lang w:val="fr-CA"/>
        </w:rPr>
        <w:t>seq</w:t>
      </w:r>
      <w:proofErr w:type="spellEnd"/>
      <w:r w:rsidR="00334760" w:rsidRPr="00D853EA">
        <w:rPr>
          <w:i/>
          <w:iCs/>
          <w:lang w:val="fr-CA"/>
        </w:rPr>
        <w:t>.</w:t>
      </w:r>
      <w:r w:rsidRPr="00D853EA">
        <w:rPr>
          <w:lang w:val="fr-CA"/>
        </w:rPr>
        <w:t xml:space="preserve"> (Arbour,</w:t>
      </w:r>
      <w:r w:rsidR="00334760" w:rsidRPr="00D853EA">
        <w:rPr>
          <w:lang w:val="fr-CA"/>
        </w:rPr>
        <w:t xml:space="preserve"> J.</w:t>
      </w:r>
      <w:r w:rsidR="002548A2" w:rsidRPr="00D853EA">
        <w:rPr>
          <w:lang w:val="fr-CA"/>
        </w:rPr>
        <w:t>,</w:t>
      </w:r>
      <w:r w:rsidRPr="00D853EA">
        <w:rPr>
          <w:lang w:val="fr-CA"/>
        </w:rPr>
        <w:t xml:space="preserve"> </w:t>
      </w:r>
      <w:proofErr w:type="spellStart"/>
      <w:r w:rsidRPr="00D853EA">
        <w:rPr>
          <w:lang w:val="fr-CA"/>
        </w:rPr>
        <w:t>dissenting</w:t>
      </w:r>
      <w:proofErr w:type="spellEnd"/>
      <w:r w:rsidRPr="00D853EA">
        <w:rPr>
          <w:lang w:val="fr-CA"/>
        </w:rPr>
        <w:t xml:space="preserve">); </w:t>
      </w:r>
      <w:r w:rsidRPr="00D853EA">
        <w:rPr>
          <w:i/>
          <w:iCs/>
          <w:lang w:val="fr-CA"/>
        </w:rPr>
        <w:t>R. v. Murdock</w:t>
      </w:r>
      <w:r w:rsidRPr="00D853EA">
        <w:rPr>
          <w:lang w:val="fr-CA"/>
        </w:rPr>
        <w:t xml:space="preserve"> (2003), 176 CCC (3d) 232 (C.A.O.).</w:t>
      </w:r>
    </w:p>
    <w:p w14:paraId="21FAAE0D" w14:textId="77777777" w:rsidR="00894256" w:rsidRPr="005048B3" w:rsidRDefault="00F8719E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>
        <w:rPr>
          <w:lang w:val="en-CA"/>
        </w:rPr>
        <w:t xml:space="preserve">Scholarly commentary </w:t>
      </w:r>
      <w:r w:rsidR="00DB704B">
        <w:rPr>
          <w:lang w:val="en-CA"/>
        </w:rPr>
        <w:t>on this subject is extensive and contradictory</w:t>
      </w:r>
      <w:r w:rsidR="00894256" w:rsidRPr="005048B3">
        <w:rPr>
          <w:lang w:val="en-CA"/>
        </w:rPr>
        <w:t xml:space="preserve">. </w:t>
      </w:r>
      <w:r w:rsidR="00330D51">
        <w:rPr>
          <w:lang w:val="en-CA"/>
        </w:rPr>
        <w:t>M</w:t>
      </w:r>
      <w:r w:rsidR="003A2D29">
        <w:rPr>
          <w:lang w:val="en-CA"/>
        </w:rPr>
        <w:t>any</w:t>
      </w:r>
      <w:r w:rsidR="00587CA0">
        <w:rPr>
          <w:lang w:val="en-CA"/>
        </w:rPr>
        <w:t xml:space="preserve"> </w:t>
      </w:r>
      <w:r w:rsidR="00DB704B" w:rsidRPr="00DB704B">
        <w:rPr>
          <w:lang w:val="en-CA"/>
        </w:rPr>
        <w:t>authors</w:t>
      </w:r>
      <w:r w:rsidR="003A2D29">
        <w:rPr>
          <w:lang w:val="en-CA"/>
        </w:rPr>
        <w:t xml:space="preserve"> have examined</w:t>
      </w:r>
      <w:r w:rsidR="00DB704B" w:rsidRPr="00DB704B">
        <w:rPr>
          <w:lang w:val="en-CA"/>
        </w:rPr>
        <w:t xml:space="preserve"> it</w:t>
      </w:r>
      <w:r w:rsidR="00330D51">
        <w:rPr>
          <w:lang w:val="en-CA"/>
        </w:rPr>
        <w:t>, including, non-exhaustively</w:t>
      </w:r>
      <w:r w:rsidR="00DB704B" w:rsidRPr="00DB704B">
        <w:rPr>
          <w:lang w:val="en-CA"/>
        </w:rPr>
        <w:t xml:space="preserve">: Marc-Étienne </w:t>
      </w:r>
      <w:r w:rsidR="00AF65FF" w:rsidRPr="00DB704B">
        <w:rPr>
          <w:lang w:val="en-CA"/>
        </w:rPr>
        <w:t>O’B</w:t>
      </w:r>
      <w:r w:rsidR="00AF65FF">
        <w:rPr>
          <w:lang w:val="en-CA"/>
        </w:rPr>
        <w:t>rien</w:t>
      </w:r>
      <w:r w:rsidR="00DB704B" w:rsidRPr="00DB704B">
        <w:rPr>
          <w:lang w:val="en-CA"/>
        </w:rPr>
        <w:t>, “</w:t>
      </w:r>
      <w:r w:rsidR="00DB704B" w:rsidRPr="004436F8">
        <w:rPr>
          <w:lang w:val="en-CA"/>
        </w:rPr>
        <w:t>Unveiling the Mechanisms Behind Judicial Responses to De minimis Claims in Trial-Level Assault Cases</w:t>
      </w:r>
      <w:r w:rsidR="00DB704B" w:rsidRPr="00DB704B">
        <w:rPr>
          <w:lang w:val="en-CA"/>
        </w:rPr>
        <w:t>” (2020) 68 Criminal Law Quarterly 249; Morris M</w:t>
      </w:r>
      <w:r w:rsidR="00AF65FF">
        <w:rPr>
          <w:lang w:val="en-CA"/>
        </w:rPr>
        <w:t>anning</w:t>
      </w:r>
      <w:r w:rsidR="00DB704B" w:rsidRPr="00DB704B">
        <w:rPr>
          <w:lang w:val="en-CA"/>
        </w:rPr>
        <w:t xml:space="preserve"> </w:t>
      </w:r>
      <w:r w:rsidR="004436F8">
        <w:rPr>
          <w:lang w:val="en-CA"/>
        </w:rPr>
        <w:t xml:space="preserve">&amp; </w:t>
      </w:r>
      <w:r w:rsidR="00DB704B" w:rsidRPr="00DB704B">
        <w:rPr>
          <w:lang w:val="en-CA"/>
        </w:rPr>
        <w:t xml:space="preserve">Peter </w:t>
      </w:r>
      <w:proofErr w:type="spellStart"/>
      <w:r w:rsidR="00DB704B" w:rsidRPr="00DB704B">
        <w:rPr>
          <w:lang w:val="en-CA"/>
        </w:rPr>
        <w:t>S</w:t>
      </w:r>
      <w:r w:rsidR="00AF65FF" w:rsidRPr="00DB704B">
        <w:rPr>
          <w:lang w:val="en-CA"/>
        </w:rPr>
        <w:t>ankoff</w:t>
      </w:r>
      <w:proofErr w:type="spellEnd"/>
      <w:r w:rsidR="00DB704B" w:rsidRPr="00DB704B">
        <w:rPr>
          <w:lang w:val="en-CA"/>
        </w:rPr>
        <w:t xml:space="preserve">, </w:t>
      </w:r>
      <w:r w:rsidR="00DB704B" w:rsidRPr="00587CA0">
        <w:rPr>
          <w:i/>
          <w:iCs/>
          <w:lang w:val="en-CA"/>
        </w:rPr>
        <w:t xml:space="preserve">Manning, </w:t>
      </w:r>
      <w:proofErr w:type="spellStart"/>
      <w:r w:rsidR="00DB704B" w:rsidRPr="00587CA0">
        <w:rPr>
          <w:i/>
          <w:iCs/>
          <w:lang w:val="en-CA"/>
        </w:rPr>
        <w:t>Mewett</w:t>
      </w:r>
      <w:proofErr w:type="spellEnd"/>
      <w:r w:rsidR="00DB704B" w:rsidRPr="00587CA0">
        <w:rPr>
          <w:i/>
          <w:iCs/>
          <w:lang w:val="en-CA"/>
        </w:rPr>
        <w:t xml:space="preserve"> &amp; Sankoff – Criminal Law</w:t>
      </w:r>
      <w:r w:rsidR="00DB704B" w:rsidRPr="00DB704B">
        <w:rPr>
          <w:lang w:val="en-CA"/>
        </w:rPr>
        <w:t xml:space="preserve">, 5th ed. </w:t>
      </w:r>
      <w:r w:rsidR="00D1298E">
        <w:rPr>
          <w:lang w:val="en-CA"/>
        </w:rPr>
        <w:t xml:space="preserve">(Toronto: </w:t>
      </w:r>
      <w:r w:rsidR="00DB704B" w:rsidRPr="00DB704B">
        <w:rPr>
          <w:lang w:val="en-CA"/>
        </w:rPr>
        <w:t>LexisNexis Canada,</w:t>
      </w:r>
      <w:r w:rsidR="00D1298E">
        <w:rPr>
          <w:lang w:val="en-CA"/>
        </w:rPr>
        <w:t xml:space="preserve"> 2015)</w:t>
      </w:r>
      <w:r w:rsidR="00DB704B" w:rsidRPr="00DB704B">
        <w:rPr>
          <w:lang w:val="en-CA"/>
        </w:rPr>
        <w:t xml:space="preserve"> </w:t>
      </w:r>
      <w:r w:rsidR="00587CA0">
        <w:rPr>
          <w:lang w:val="en-CA"/>
        </w:rPr>
        <w:t>at</w:t>
      </w:r>
      <w:r w:rsidR="00DB704B" w:rsidRPr="00DB704B">
        <w:rPr>
          <w:lang w:val="en-CA"/>
        </w:rPr>
        <w:t xml:space="preserve"> 652, para. 13.167; Steve C</w:t>
      </w:r>
      <w:r w:rsidR="00AA5FFA" w:rsidRPr="00DB704B">
        <w:rPr>
          <w:lang w:val="en-CA"/>
        </w:rPr>
        <w:t>oughlan</w:t>
      </w:r>
      <w:r w:rsidR="00DB704B" w:rsidRPr="00DB704B">
        <w:rPr>
          <w:lang w:val="en-CA"/>
        </w:rPr>
        <w:t>, “</w:t>
      </w:r>
      <w:r w:rsidR="00DB704B" w:rsidRPr="004436F8">
        <w:rPr>
          <w:lang w:val="en-CA"/>
        </w:rPr>
        <w:t>Why De Minimis Should Not Be a Defence”</w:t>
      </w:r>
      <w:r w:rsidR="00DB704B" w:rsidRPr="00DB704B">
        <w:rPr>
          <w:lang w:val="en-CA"/>
        </w:rPr>
        <w:t xml:space="preserve"> (2018) 44:2 Queen's Law Journal 262; Colton F</w:t>
      </w:r>
      <w:r w:rsidR="00AA5FFA" w:rsidRPr="00DB704B">
        <w:rPr>
          <w:lang w:val="en-CA"/>
        </w:rPr>
        <w:t>e</w:t>
      </w:r>
      <w:r w:rsidR="00AA5FFA">
        <w:rPr>
          <w:lang w:val="en-CA"/>
        </w:rPr>
        <w:t>hr</w:t>
      </w:r>
      <w:r w:rsidR="00DB704B" w:rsidRPr="00DB704B">
        <w:rPr>
          <w:lang w:val="en-CA"/>
        </w:rPr>
        <w:t>, “</w:t>
      </w:r>
      <w:r w:rsidR="00DB704B" w:rsidRPr="004436F8">
        <w:rPr>
          <w:lang w:val="en-CA"/>
        </w:rPr>
        <w:t>Why De Minimis Is a Defense: a Reply to Professor Coughlan</w:t>
      </w:r>
      <w:r w:rsidR="00DB704B" w:rsidRPr="00DB704B">
        <w:rPr>
          <w:lang w:val="en-CA"/>
        </w:rPr>
        <w:t>” 67 McGill Law Journal 1; Kent R</w:t>
      </w:r>
      <w:r w:rsidR="00AA5FFA" w:rsidRPr="00DB704B">
        <w:rPr>
          <w:lang w:val="en-CA"/>
        </w:rPr>
        <w:t>oach</w:t>
      </w:r>
      <w:r w:rsidR="00DB704B" w:rsidRPr="00DB704B">
        <w:rPr>
          <w:lang w:val="en-CA"/>
        </w:rPr>
        <w:t xml:space="preserve">, </w:t>
      </w:r>
      <w:r w:rsidR="00DB704B" w:rsidRPr="00587CA0">
        <w:rPr>
          <w:i/>
          <w:iCs/>
          <w:lang w:val="en-CA"/>
        </w:rPr>
        <w:t>Criminal Law</w:t>
      </w:r>
      <w:r w:rsidR="00DB704B" w:rsidRPr="00DB704B">
        <w:rPr>
          <w:lang w:val="en-CA"/>
        </w:rPr>
        <w:t xml:space="preserve">, 7th ed. </w:t>
      </w:r>
      <w:r w:rsidR="00D1298E" w:rsidRPr="004436F8">
        <w:rPr>
          <w:lang w:val="fr-CA"/>
        </w:rPr>
        <w:t xml:space="preserve">(Toronto: </w:t>
      </w:r>
      <w:r w:rsidR="00DB704B" w:rsidRPr="004436F8">
        <w:rPr>
          <w:lang w:val="fr-CA"/>
        </w:rPr>
        <w:t>Irwin Law,</w:t>
      </w:r>
      <w:r w:rsidR="00D1298E" w:rsidRPr="004436F8">
        <w:rPr>
          <w:lang w:val="fr-CA"/>
        </w:rPr>
        <w:t xml:space="preserve"> 2018)</w:t>
      </w:r>
      <w:r w:rsidR="00DB704B" w:rsidRPr="004436F8">
        <w:rPr>
          <w:lang w:val="fr-CA"/>
        </w:rPr>
        <w:t xml:space="preserve"> </w:t>
      </w:r>
      <w:r w:rsidR="002548A2" w:rsidRPr="004436F8">
        <w:rPr>
          <w:lang w:val="fr-CA"/>
        </w:rPr>
        <w:t xml:space="preserve">at </w:t>
      </w:r>
      <w:r w:rsidR="00DB704B" w:rsidRPr="004436F8">
        <w:rPr>
          <w:lang w:val="fr-CA"/>
        </w:rPr>
        <w:t>105</w:t>
      </w:r>
      <w:r w:rsidR="00AA5FFA" w:rsidRPr="004436F8">
        <w:rPr>
          <w:lang w:val="fr-CA"/>
        </w:rPr>
        <w:t>–</w:t>
      </w:r>
      <w:r w:rsidR="00DB704B" w:rsidRPr="004436F8">
        <w:rPr>
          <w:lang w:val="fr-CA"/>
        </w:rPr>
        <w:t>106; Simon R</w:t>
      </w:r>
      <w:r w:rsidR="00AA5FFA" w:rsidRPr="004436F8">
        <w:rPr>
          <w:lang w:val="fr-CA"/>
        </w:rPr>
        <w:t>oy</w:t>
      </w:r>
      <w:r w:rsidR="00DB704B" w:rsidRPr="004436F8">
        <w:rPr>
          <w:sz w:val="28"/>
          <w:szCs w:val="28"/>
          <w:lang w:val="fr-CA"/>
        </w:rPr>
        <w:t xml:space="preserve"> </w:t>
      </w:r>
      <w:r w:rsidR="004436F8" w:rsidRPr="004436F8">
        <w:rPr>
          <w:lang w:val="fr-CA"/>
        </w:rPr>
        <w:t>&amp;</w:t>
      </w:r>
      <w:r w:rsidR="00DB704B" w:rsidRPr="004436F8">
        <w:rPr>
          <w:lang w:val="fr-CA"/>
        </w:rPr>
        <w:t xml:space="preserve"> Julie </w:t>
      </w:r>
      <w:r w:rsidR="00DB704B" w:rsidRPr="004436F8">
        <w:rPr>
          <w:lang w:val="fr-CA"/>
        </w:rPr>
        <w:lastRenderedPageBreak/>
        <w:t>V</w:t>
      </w:r>
      <w:r w:rsidR="00AA5FFA" w:rsidRPr="004436F8">
        <w:rPr>
          <w:lang w:val="fr-CA"/>
        </w:rPr>
        <w:t>incent</w:t>
      </w:r>
      <w:r w:rsidR="00DB704B" w:rsidRPr="004436F8">
        <w:rPr>
          <w:lang w:val="fr-CA"/>
        </w:rPr>
        <w:t>, “</w:t>
      </w:r>
      <w:r w:rsidR="00587CA0" w:rsidRPr="004436F8">
        <w:rPr>
          <w:lang w:val="fr-CA"/>
        </w:rPr>
        <w:t>La</w:t>
      </w:r>
      <w:r w:rsidR="00DB704B" w:rsidRPr="004436F8">
        <w:rPr>
          <w:lang w:val="fr-CA"/>
        </w:rPr>
        <w:t xml:space="preserve"> place </w:t>
      </w:r>
      <w:r w:rsidR="00587CA0" w:rsidRPr="004436F8">
        <w:rPr>
          <w:lang w:val="fr-CA"/>
        </w:rPr>
        <w:t>du</w:t>
      </w:r>
      <w:r w:rsidR="00DB704B" w:rsidRPr="004436F8">
        <w:rPr>
          <w:lang w:val="fr-CA"/>
        </w:rPr>
        <w:t xml:space="preserve"> concept de minimis non </w:t>
      </w:r>
      <w:proofErr w:type="spellStart"/>
      <w:r w:rsidR="00DB704B" w:rsidRPr="004436F8">
        <w:rPr>
          <w:lang w:val="fr-CA"/>
        </w:rPr>
        <w:t>curat</w:t>
      </w:r>
      <w:proofErr w:type="spellEnd"/>
      <w:r w:rsidR="00DB704B" w:rsidRPr="004436F8">
        <w:rPr>
          <w:lang w:val="fr-CA"/>
        </w:rPr>
        <w:t xml:space="preserve"> </w:t>
      </w:r>
      <w:proofErr w:type="spellStart"/>
      <w:r w:rsidR="00DB704B" w:rsidRPr="004436F8">
        <w:rPr>
          <w:lang w:val="fr-CA"/>
        </w:rPr>
        <w:t>lex</w:t>
      </w:r>
      <w:proofErr w:type="spellEnd"/>
      <w:r w:rsidR="00DB704B" w:rsidRPr="004436F8">
        <w:rPr>
          <w:lang w:val="fr-CA"/>
        </w:rPr>
        <w:t xml:space="preserve"> </w:t>
      </w:r>
      <w:r w:rsidR="00587CA0" w:rsidRPr="004436F8">
        <w:rPr>
          <w:lang w:val="fr-CA"/>
        </w:rPr>
        <w:t>en droit pénal canadien”</w:t>
      </w:r>
      <w:r w:rsidR="00DB704B" w:rsidRPr="004436F8">
        <w:rPr>
          <w:lang w:val="fr-CA"/>
        </w:rPr>
        <w:t xml:space="preserve"> (2006) 66 R. du B. 213 </w:t>
      </w:r>
      <w:r w:rsidR="00587CA0" w:rsidRPr="004436F8">
        <w:rPr>
          <w:lang w:val="fr-CA"/>
        </w:rPr>
        <w:t xml:space="preserve">at </w:t>
      </w:r>
      <w:r w:rsidR="00DB704B" w:rsidRPr="004436F8">
        <w:rPr>
          <w:lang w:val="fr-CA"/>
        </w:rPr>
        <w:t>par</w:t>
      </w:r>
      <w:r w:rsidR="00587CA0" w:rsidRPr="004436F8">
        <w:rPr>
          <w:lang w:val="fr-CA"/>
        </w:rPr>
        <w:t>as.</w:t>
      </w:r>
      <w:r w:rsidR="00DB704B" w:rsidRPr="004436F8">
        <w:rPr>
          <w:lang w:val="fr-CA"/>
        </w:rPr>
        <w:t xml:space="preserve"> </w:t>
      </w:r>
      <w:r w:rsidR="00DB704B" w:rsidRPr="00DB704B">
        <w:rPr>
          <w:lang w:val="en-CA"/>
        </w:rPr>
        <w:t>49</w:t>
      </w:r>
      <w:r w:rsidR="00AA5FFA">
        <w:rPr>
          <w:lang w:val="en-CA"/>
        </w:rPr>
        <w:t>–</w:t>
      </w:r>
      <w:r w:rsidR="00DB704B" w:rsidRPr="00DB704B">
        <w:rPr>
          <w:lang w:val="en-CA"/>
        </w:rPr>
        <w:t>50.</w:t>
      </w:r>
    </w:p>
    <w:p w14:paraId="28F3FC45" w14:textId="77777777" w:rsidR="00894256" w:rsidRPr="005048B3" w:rsidRDefault="00330D51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>
        <w:rPr>
          <w:lang w:val="en-CA"/>
        </w:rPr>
        <w:t>While</w:t>
      </w:r>
      <w:r w:rsidRPr="00330D51">
        <w:rPr>
          <w:lang w:val="en-CA"/>
        </w:rPr>
        <w:t xml:space="preserve"> the Superior Court confirmed </w:t>
      </w:r>
      <w:r w:rsidR="00807966">
        <w:rPr>
          <w:lang w:val="en-CA"/>
        </w:rPr>
        <w:t>the</w:t>
      </w:r>
      <w:r w:rsidRPr="00330D51">
        <w:rPr>
          <w:lang w:val="en-CA"/>
        </w:rPr>
        <w:t xml:space="preserve"> existence</w:t>
      </w:r>
      <w:r w:rsidR="00807966">
        <w:rPr>
          <w:lang w:val="en-CA"/>
        </w:rPr>
        <w:t xml:space="preserve"> of the maxim</w:t>
      </w:r>
      <w:r w:rsidR="00E72EFD">
        <w:rPr>
          <w:lang w:val="en-CA"/>
        </w:rPr>
        <w:t xml:space="preserve"> in </w:t>
      </w:r>
      <w:r w:rsidR="00E72EFD" w:rsidRPr="00E72EFD">
        <w:rPr>
          <w:i/>
          <w:iCs/>
          <w:lang w:val="en-CA"/>
        </w:rPr>
        <w:t>Freedman</w:t>
      </w:r>
      <w:r w:rsidRPr="00330D51">
        <w:rPr>
          <w:lang w:val="en-CA"/>
        </w:rPr>
        <w:t xml:space="preserve">, </w:t>
      </w:r>
      <w:r w:rsidR="0077458B">
        <w:rPr>
          <w:lang w:val="en-CA"/>
        </w:rPr>
        <w:t>it is important to emphasize</w:t>
      </w:r>
      <w:r w:rsidRPr="00330D51">
        <w:rPr>
          <w:lang w:val="en-CA"/>
        </w:rPr>
        <w:t xml:space="preserve"> its exceptional nature. In </w:t>
      </w:r>
      <w:r w:rsidRPr="00330D51">
        <w:rPr>
          <w:i/>
          <w:iCs/>
          <w:lang w:val="en-CA"/>
        </w:rPr>
        <w:t>Dubourg</w:t>
      </w:r>
      <w:r w:rsidRPr="00330D51">
        <w:rPr>
          <w:lang w:val="en-CA"/>
        </w:rPr>
        <w:t xml:space="preserve">, the Court reiterated that </w:t>
      </w:r>
      <w:r w:rsidRPr="00330D51">
        <w:rPr>
          <w:sz w:val="22"/>
          <w:szCs w:val="22"/>
          <w:lang w:val="en-CA"/>
        </w:rPr>
        <w:t>[</w:t>
      </w:r>
      <w:r w:rsidR="00807966" w:rsidRPr="00807966">
        <w:rPr>
          <w:smallCaps/>
          <w:lang w:val="en-CA"/>
        </w:rPr>
        <w:t>translation</w:t>
      </w:r>
      <w:r w:rsidRPr="00330D51">
        <w:rPr>
          <w:sz w:val="22"/>
          <w:szCs w:val="22"/>
          <w:lang w:val="en-CA"/>
        </w:rPr>
        <w:t>]</w:t>
      </w:r>
      <w:r>
        <w:rPr>
          <w:lang w:val="en-CA"/>
        </w:rPr>
        <w:t xml:space="preserve"> </w:t>
      </w:r>
      <w:r w:rsidRPr="00330D51">
        <w:rPr>
          <w:lang w:val="en-CA"/>
        </w:rPr>
        <w:t xml:space="preserve">“the courts must be careful not to contradict the discretionary choice of the Crown to lay charges for a given </w:t>
      </w:r>
      <w:r>
        <w:rPr>
          <w:lang w:val="en-CA"/>
        </w:rPr>
        <w:t>act</w:t>
      </w:r>
      <w:r w:rsidRPr="00330D51">
        <w:rPr>
          <w:lang w:val="en-CA"/>
        </w:rPr>
        <w:t xml:space="preserve">, except in the most obvious cases”: </w:t>
      </w:r>
      <w:r w:rsidRPr="00330D51">
        <w:rPr>
          <w:i/>
          <w:iCs/>
          <w:lang w:val="en-CA"/>
        </w:rPr>
        <w:t xml:space="preserve">R. </w:t>
      </w:r>
      <w:r w:rsidR="001B30F1">
        <w:rPr>
          <w:i/>
          <w:iCs/>
          <w:lang w:val="en-CA"/>
        </w:rPr>
        <w:t>c</w:t>
      </w:r>
      <w:r w:rsidRPr="00330D51">
        <w:rPr>
          <w:i/>
          <w:iCs/>
          <w:lang w:val="en-CA"/>
        </w:rPr>
        <w:t xml:space="preserve">. </w:t>
      </w:r>
      <w:proofErr w:type="spellStart"/>
      <w:r w:rsidRPr="00330D51">
        <w:rPr>
          <w:i/>
          <w:iCs/>
          <w:lang w:val="en-CA"/>
        </w:rPr>
        <w:t>Dubourg</w:t>
      </w:r>
      <w:proofErr w:type="spellEnd"/>
      <w:r w:rsidRPr="00330D51">
        <w:rPr>
          <w:lang w:val="en-CA"/>
        </w:rPr>
        <w:t xml:space="preserve">, 2018 QCCA 1999 </w:t>
      </w:r>
      <w:r>
        <w:rPr>
          <w:lang w:val="en-CA"/>
        </w:rPr>
        <w:t xml:space="preserve">at </w:t>
      </w:r>
      <w:r w:rsidRPr="00330D51">
        <w:rPr>
          <w:lang w:val="en-CA"/>
        </w:rPr>
        <w:t>par</w:t>
      </w:r>
      <w:r>
        <w:rPr>
          <w:lang w:val="en-CA"/>
        </w:rPr>
        <w:t>a</w:t>
      </w:r>
      <w:r w:rsidRPr="00330D51">
        <w:rPr>
          <w:lang w:val="en-CA"/>
        </w:rPr>
        <w:t>. 41.</w:t>
      </w:r>
      <w:r w:rsidR="00894256" w:rsidRPr="005048B3">
        <w:rPr>
          <w:lang w:val="en-CA"/>
        </w:rPr>
        <w:t xml:space="preserve"> </w:t>
      </w:r>
    </w:p>
    <w:p w14:paraId="3321AAD9" w14:textId="77777777" w:rsidR="00894256" w:rsidRPr="00A6314E" w:rsidRDefault="0077458B" w:rsidP="00894256">
      <w:pPr>
        <w:pStyle w:val="JgtParagraphe"/>
        <w:numPr>
          <w:ilvl w:val="0"/>
          <w:numId w:val="18"/>
        </w:numPr>
        <w:spacing w:line="280" w:lineRule="exact"/>
        <w:rPr>
          <w:lang w:val="en-CA"/>
        </w:rPr>
      </w:pPr>
      <w:r w:rsidRPr="0077458B">
        <w:rPr>
          <w:lang w:val="en-CA"/>
        </w:rPr>
        <w:t>Moreover, on September 1, 2017, the implementation in Quebec of a diversion program for adult offenders offer</w:t>
      </w:r>
      <w:r w:rsidR="002C5F98">
        <w:rPr>
          <w:lang w:val="en-CA"/>
        </w:rPr>
        <w:t>s</w:t>
      </w:r>
      <w:r w:rsidRPr="0077458B">
        <w:rPr>
          <w:lang w:val="en-CA"/>
        </w:rPr>
        <w:t xml:space="preserve"> a concrete possibility of diversion. It ensure</w:t>
      </w:r>
      <w:r w:rsidR="002C5F98">
        <w:rPr>
          <w:lang w:val="en-CA"/>
        </w:rPr>
        <w:t>s</w:t>
      </w:r>
      <w:r w:rsidRPr="0077458B">
        <w:rPr>
          <w:lang w:val="en-CA"/>
        </w:rPr>
        <w:t xml:space="preserve">, </w:t>
      </w:r>
      <w:r w:rsidR="005F3161" w:rsidRPr="005F3161">
        <w:rPr>
          <w:i/>
          <w:iCs/>
          <w:lang w:val="en-CA"/>
        </w:rPr>
        <w:t>inter alia</w:t>
      </w:r>
      <w:r w:rsidRPr="0077458B">
        <w:rPr>
          <w:lang w:val="en-CA"/>
        </w:rPr>
        <w:t xml:space="preserve">, </w:t>
      </w:r>
      <w:r w:rsidR="005F3161">
        <w:rPr>
          <w:lang w:val="en-CA"/>
        </w:rPr>
        <w:t>that</w:t>
      </w:r>
      <w:r w:rsidRPr="0077458B">
        <w:rPr>
          <w:lang w:val="en-CA"/>
        </w:rPr>
        <w:t xml:space="preserve"> </w:t>
      </w:r>
      <w:r w:rsidR="00025ADA" w:rsidRPr="00330D51">
        <w:rPr>
          <w:sz w:val="22"/>
          <w:szCs w:val="22"/>
          <w:lang w:val="en-CA"/>
        </w:rPr>
        <w:t>[</w:t>
      </w:r>
      <w:r w:rsidR="00A7567E" w:rsidRPr="00D853EA">
        <w:rPr>
          <w:smallCaps/>
          <w:lang w:val="en-CA"/>
        </w:rPr>
        <w:t>translation</w:t>
      </w:r>
      <w:r w:rsidR="00025ADA" w:rsidRPr="00330D51">
        <w:rPr>
          <w:sz w:val="22"/>
          <w:szCs w:val="22"/>
          <w:lang w:val="en-CA"/>
        </w:rPr>
        <w:t>]</w:t>
      </w:r>
      <w:r w:rsidR="00025ADA">
        <w:rPr>
          <w:lang w:val="en-CA"/>
        </w:rPr>
        <w:t xml:space="preserve"> </w:t>
      </w:r>
      <w:r w:rsidRPr="0077458B">
        <w:rPr>
          <w:lang w:val="en-CA"/>
        </w:rPr>
        <w:t>"only offen</w:t>
      </w:r>
      <w:r w:rsidR="005F3161">
        <w:rPr>
          <w:lang w:val="en-CA"/>
        </w:rPr>
        <w:t>c</w:t>
      </w:r>
      <w:r w:rsidRPr="0077458B">
        <w:rPr>
          <w:lang w:val="en-CA"/>
        </w:rPr>
        <w:t>es serious enough to jeopardize public safety</w:t>
      </w:r>
      <w:r w:rsidR="005F3161">
        <w:rPr>
          <w:lang w:val="en-CA"/>
        </w:rPr>
        <w:t xml:space="preserve"> will be brought before the courts</w:t>
      </w:r>
      <w:r w:rsidRPr="0077458B">
        <w:rPr>
          <w:lang w:val="en-CA"/>
        </w:rPr>
        <w:t>", thus directing less serious offen</w:t>
      </w:r>
      <w:r w:rsidR="007E5C17">
        <w:rPr>
          <w:lang w:val="en-CA"/>
        </w:rPr>
        <w:t>c</w:t>
      </w:r>
      <w:r w:rsidRPr="0077458B">
        <w:rPr>
          <w:lang w:val="en-CA"/>
        </w:rPr>
        <w:t xml:space="preserve">es outside the traditional adversarial system: see </w:t>
      </w:r>
      <w:r w:rsidR="00A7567E">
        <w:rPr>
          <w:lang w:val="en-CA"/>
        </w:rPr>
        <w:t xml:space="preserve">C. </w:t>
      </w:r>
      <w:r w:rsidRPr="0077458B">
        <w:rPr>
          <w:lang w:val="en-CA"/>
        </w:rPr>
        <w:t>R</w:t>
      </w:r>
      <w:r w:rsidR="00A7567E" w:rsidRPr="00A7567E">
        <w:rPr>
          <w:lang w:val="en-CA"/>
        </w:rPr>
        <w:t>ossi</w:t>
      </w:r>
      <w:r w:rsidRPr="0077458B">
        <w:rPr>
          <w:lang w:val="en-CA"/>
        </w:rPr>
        <w:t xml:space="preserve">, </w:t>
      </w:r>
      <w:r w:rsidR="00A7567E">
        <w:rPr>
          <w:lang w:val="en-CA"/>
        </w:rPr>
        <w:t xml:space="preserve"> J. </w:t>
      </w:r>
      <w:r w:rsidRPr="0077458B">
        <w:rPr>
          <w:lang w:val="en-CA"/>
        </w:rPr>
        <w:t>D</w:t>
      </w:r>
      <w:r w:rsidR="00A7567E" w:rsidRPr="0077458B">
        <w:rPr>
          <w:lang w:val="en-CA"/>
        </w:rPr>
        <w:t>esrosiers</w:t>
      </w:r>
      <w:r w:rsidRPr="0077458B">
        <w:rPr>
          <w:lang w:val="en-CA"/>
        </w:rPr>
        <w:t xml:space="preserve">, </w:t>
      </w:r>
      <w:r w:rsidR="00283F8F">
        <w:rPr>
          <w:lang w:val="en-CA"/>
        </w:rPr>
        <w:t xml:space="preserve">V. </w:t>
      </w:r>
      <w:r w:rsidRPr="0077458B">
        <w:rPr>
          <w:lang w:val="en-CA"/>
        </w:rPr>
        <w:t>B</w:t>
      </w:r>
      <w:r w:rsidR="00A7567E" w:rsidRPr="0077458B">
        <w:rPr>
          <w:lang w:val="en-CA"/>
        </w:rPr>
        <w:t>rassard</w:t>
      </w:r>
      <w:r w:rsidRPr="0077458B">
        <w:rPr>
          <w:lang w:val="en-CA"/>
        </w:rPr>
        <w:t xml:space="preserve">, </w:t>
      </w:r>
      <w:r w:rsidR="00283F8F">
        <w:rPr>
          <w:lang w:val="en-CA"/>
        </w:rPr>
        <w:t xml:space="preserve">L. </w:t>
      </w:r>
      <w:r w:rsidRPr="0077458B">
        <w:rPr>
          <w:lang w:val="en-CA"/>
        </w:rPr>
        <w:t>M</w:t>
      </w:r>
      <w:r w:rsidR="00A7567E" w:rsidRPr="0077458B">
        <w:rPr>
          <w:lang w:val="en-CA"/>
        </w:rPr>
        <w:t>arceau</w:t>
      </w:r>
      <w:r w:rsidRPr="0077458B">
        <w:rPr>
          <w:lang w:val="en-CA"/>
        </w:rPr>
        <w:t xml:space="preserve">, </w:t>
      </w:r>
      <w:r w:rsidR="00283F8F">
        <w:rPr>
          <w:lang w:val="en-CA"/>
        </w:rPr>
        <w:t>M.</w:t>
      </w:r>
      <w:r w:rsidR="00D853EA">
        <w:rPr>
          <w:lang w:val="en-CA"/>
        </w:rPr>
        <w:t xml:space="preserve"> </w:t>
      </w:r>
      <w:r w:rsidRPr="0077458B">
        <w:rPr>
          <w:lang w:val="en-CA"/>
        </w:rPr>
        <w:t>C</w:t>
      </w:r>
      <w:r w:rsidR="00A7567E" w:rsidRPr="0077458B">
        <w:rPr>
          <w:lang w:val="en-CA"/>
        </w:rPr>
        <w:t>loutier</w:t>
      </w:r>
      <w:r w:rsidRPr="0077458B">
        <w:rPr>
          <w:lang w:val="en-CA"/>
        </w:rPr>
        <w:t xml:space="preserve">, </w:t>
      </w:r>
      <w:r w:rsidR="00283F8F">
        <w:rPr>
          <w:lang w:val="en-CA"/>
        </w:rPr>
        <w:t xml:space="preserve">A. </w:t>
      </w:r>
      <w:r w:rsidRPr="0077458B">
        <w:rPr>
          <w:lang w:val="en-CA"/>
        </w:rPr>
        <w:t>B</w:t>
      </w:r>
      <w:r w:rsidR="00A7567E" w:rsidRPr="0077458B">
        <w:rPr>
          <w:lang w:val="en-CA"/>
        </w:rPr>
        <w:t>eland</w:t>
      </w:r>
      <w:r w:rsidRPr="0077458B">
        <w:rPr>
          <w:lang w:val="en-CA"/>
        </w:rPr>
        <w:t xml:space="preserve"> O</w:t>
      </w:r>
      <w:r w:rsidR="00A7567E" w:rsidRPr="0077458B">
        <w:rPr>
          <w:lang w:val="en-CA"/>
        </w:rPr>
        <w:t>uellette</w:t>
      </w:r>
      <w:r w:rsidR="00A6314E">
        <w:rPr>
          <w:lang w:val="en-CA"/>
        </w:rPr>
        <w:t>,</w:t>
      </w:r>
      <w:r w:rsidRPr="0077458B">
        <w:rPr>
          <w:lang w:val="en-CA"/>
        </w:rPr>
        <w:t xml:space="preserve"> </w:t>
      </w:r>
      <w:r w:rsidRPr="00A6314E">
        <w:rPr>
          <w:lang w:val="en-CA"/>
        </w:rPr>
        <w:t xml:space="preserve">(2020) </w:t>
      </w:r>
      <w:r w:rsidR="007E5C17" w:rsidRPr="00A6314E">
        <w:rPr>
          <w:i/>
          <w:iCs/>
          <w:lang w:val="en-CA"/>
        </w:rPr>
        <w:t xml:space="preserve">Le Programme de </w:t>
      </w:r>
      <w:proofErr w:type="spellStart"/>
      <w:r w:rsidR="007E5C17" w:rsidRPr="00A6314E">
        <w:rPr>
          <w:i/>
          <w:iCs/>
          <w:lang w:val="en-CA"/>
        </w:rPr>
        <w:t>mesures</w:t>
      </w:r>
      <w:proofErr w:type="spellEnd"/>
      <w:r w:rsidR="007E5C17" w:rsidRPr="00A6314E">
        <w:rPr>
          <w:i/>
          <w:iCs/>
          <w:lang w:val="en-CA"/>
        </w:rPr>
        <w:t xml:space="preserve"> de rechange </w:t>
      </w:r>
      <w:proofErr w:type="spellStart"/>
      <w:r w:rsidR="007E5C17" w:rsidRPr="00A6314E">
        <w:rPr>
          <w:i/>
          <w:iCs/>
          <w:lang w:val="en-CA"/>
        </w:rPr>
        <w:t>g</w:t>
      </w:r>
      <w:r w:rsidR="002548A2" w:rsidRPr="00A6314E">
        <w:rPr>
          <w:i/>
          <w:iCs/>
          <w:lang w:val="en-CA"/>
        </w:rPr>
        <w:t>éné</w:t>
      </w:r>
      <w:r w:rsidR="007E5C17" w:rsidRPr="00A6314E">
        <w:rPr>
          <w:i/>
          <w:iCs/>
          <w:lang w:val="en-CA"/>
        </w:rPr>
        <w:t>ral</w:t>
      </w:r>
      <w:proofErr w:type="spellEnd"/>
      <w:r w:rsidR="007E5C17" w:rsidRPr="00A6314E">
        <w:rPr>
          <w:i/>
          <w:iCs/>
          <w:lang w:val="en-CA"/>
        </w:rPr>
        <w:t xml:space="preserve"> pour </w:t>
      </w:r>
      <w:proofErr w:type="spellStart"/>
      <w:r w:rsidR="007E5C17" w:rsidRPr="00A6314E">
        <w:rPr>
          <w:i/>
          <w:iCs/>
          <w:lang w:val="en-CA"/>
        </w:rPr>
        <w:t>adultes</w:t>
      </w:r>
      <w:proofErr w:type="spellEnd"/>
      <w:r w:rsidR="007E5C17" w:rsidRPr="00A6314E">
        <w:rPr>
          <w:i/>
          <w:iCs/>
          <w:lang w:val="en-CA"/>
        </w:rPr>
        <w:t xml:space="preserve">, portrait, analyse et </w:t>
      </w:r>
      <w:proofErr w:type="spellStart"/>
      <w:r w:rsidR="007E5C17" w:rsidRPr="00A6314E">
        <w:rPr>
          <w:i/>
          <w:iCs/>
          <w:lang w:val="en-CA"/>
        </w:rPr>
        <w:t>enjeux</w:t>
      </w:r>
      <w:proofErr w:type="spellEnd"/>
      <w:r w:rsidR="007E5C17" w:rsidRPr="00A6314E">
        <w:rPr>
          <w:i/>
          <w:iCs/>
          <w:lang w:val="en-CA"/>
        </w:rPr>
        <w:t xml:space="preserve"> du </w:t>
      </w:r>
      <w:proofErr w:type="spellStart"/>
      <w:r w:rsidR="007E5C17" w:rsidRPr="00A6314E">
        <w:rPr>
          <w:i/>
          <w:iCs/>
          <w:lang w:val="en-CA"/>
        </w:rPr>
        <w:t>projet</w:t>
      </w:r>
      <w:proofErr w:type="spellEnd"/>
      <w:r w:rsidR="007E5C17" w:rsidRPr="00A6314E">
        <w:rPr>
          <w:i/>
          <w:iCs/>
          <w:lang w:val="en-CA"/>
        </w:rPr>
        <w:t xml:space="preserve"> </w:t>
      </w:r>
      <w:proofErr w:type="spellStart"/>
      <w:r w:rsidR="007E5C17" w:rsidRPr="00A6314E">
        <w:rPr>
          <w:i/>
          <w:iCs/>
          <w:lang w:val="en-CA"/>
        </w:rPr>
        <w:t>pilote</w:t>
      </w:r>
      <w:proofErr w:type="spellEnd"/>
      <w:r w:rsidRPr="00A6314E">
        <w:rPr>
          <w:lang w:val="en-CA"/>
        </w:rPr>
        <w:t xml:space="preserve"> </w:t>
      </w:r>
      <w:r w:rsidRPr="00A6314E">
        <w:rPr>
          <w:i/>
          <w:iCs/>
          <w:lang w:val="en-CA"/>
        </w:rPr>
        <w:t>2017-2019</w:t>
      </w:r>
      <w:r w:rsidRPr="00A6314E">
        <w:rPr>
          <w:lang w:val="en-CA"/>
        </w:rPr>
        <w:t xml:space="preserve">, </w:t>
      </w:r>
      <w:r w:rsidR="002548A2" w:rsidRPr="00A6314E">
        <w:rPr>
          <w:lang w:val="en-CA"/>
        </w:rPr>
        <w:t>r</w:t>
      </w:r>
      <w:r w:rsidRPr="00A6314E">
        <w:rPr>
          <w:lang w:val="en-CA"/>
        </w:rPr>
        <w:t xml:space="preserve">esearch report submitted to the </w:t>
      </w:r>
      <w:proofErr w:type="spellStart"/>
      <w:r w:rsidRPr="00A6314E">
        <w:rPr>
          <w:lang w:val="en-CA"/>
        </w:rPr>
        <w:t>Ministère</w:t>
      </w:r>
      <w:proofErr w:type="spellEnd"/>
      <w:r w:rsidRPr="00A6314E">
        <w:rPr>
          <w:lang w:val="en-CA"/>
        </w:rPr>
        <w:t xml:space="preserve"> de la Justice du Québec, Université Laval, Qu</w:t>
      </w:r>
      <w:r w:rsidR="00A6314E">
        <w:rPr>
          <w:lang w:val="en-CA"/>
        </w:rPr>
        <w:t>é</w:t>
      </w:r>
      <w:r w:rsidRPr="00A6314E">
        <w:rPr>
          <w:lang w:val="en-CA"/>
        </w:rPr>
        <w:t>bec, February 2020, 54 p. at 11.</w:t>
      </w:r>
    </w:p>
    <w:p w14:paraId="2DA4211F" w14:textId="77777777" w:rsidR="00894256" w:rsidRPr="005048B3" w:rsidRDefault="00FF3ECF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FF3ECF">
        <w:rPr>
          <w:lang w:val="en-CA"/>
        </w:rPr>
        <w:t xml:space="preserve">There is no doubt that, in this context, </w:t>
      </w:r>
      <w:r>
        <w:rPr>
          <w:lang w:val="en-CA"/>
        </w:rPr>
        <w:t>cases that have</w:t>
      </w:r>
      <w:r w:rsidRPr="00FF3ECF">
        <w:rPr>
          <w:lang w:val="en-CA"/>
        </w:rPr>
        <w:t xml:space="preserve"> the characteristics necessary for the application of the maxim will be rare. The rarity of its application does not mean that it is no longer useful, </w:t>
      </w:r>
      <w:r w:rsidR="00A6314E">
        <w:rPr>
          <w:lang w:val="en-CA"/>
        </w:rPr>
        <w:t xml:space="preserve">however, </w:t>
      </w:r>
      <w:r w:rsidRPr="00FF3ECF">
        <w:rPr>
          <w:lang w:val="en-CA"/>
        </w:rPr>
        <w:t>even in difficult contexts: see</w:t>
      </w:r>
      <w:r>
        <w:rPr>
          <w:lang w:val="en-CA"/>
        </w:rPr>
        <w:t>,</w:t>
      </w:r>
      <w:r w:rsidRPr="00FF3ECF">
        <w:rPr>
          <w:lang w:val="en-CA"/>
        </w:rPr>
        <w:t xml:space="preserve"> for example</w:t>
      </w:r>
      <w:r>
        <w:rPr>
          <w:lang w:val="en-CA"/>
        </w:rPr>
        <w:t>,</w:t>
      </w:r>
      <w:r w:rsidRPr="00FF3ECF">
        <w:rPr>
          <w:lang w:val="en-CA"/>
        </w:rPr>
        <w:t xml:space="preserve"> </w:t>
      </w:r>
      <w:r w:rsidRPr="00FF3ECF">
        <w:rPr>
          <w:i/>
          <w:iCs/>
          <w:lang w:val="en-CA"/>
        </w:rPr>
        <w:t>Canadian Foundation for Children, Youth and the Law v. Canada (Attorney General)</w:t>
      </w:r>
      <w:r w:rsidRPr="00FF3ECF">
        <w:rPr>
          <w:lang w:val="en-CA"/>
        </w:rPr>
        <w:t xml:space="preserve">, </w:t>
      </w:r>
      <w:r w:rsidRPr="00FF3ECF">
        <w:rPr>
          <w:i/>
          <w:iCs/>
          <w:lang w:val="en-CA"/>
        </w:rPr>
        <w:t>supra</w:t>
      </w:r>
      <w:r w:rsidRPr="00FF3ECF">
        <w:rPr>
          <w:lang w:val="en-CA"/>
        </w:rPr>
        <w:t>.</w:t>
      </w:r>
      <w:r w:rsidR="00894256" w:rsidRPr="005048B3">
        <w:rPr>
          <w:lang w:val="en-CA"/>
        </w:rPr>
        <w:t xml:space="preserve"> </w:t>
      </w:r>
    </w:p>
    <w:p w14:paraId="0C977762" w14:textId="77777777" w:rsidR="00894256" w:rsidRPr="005048B3" w:rsidRDefault="005E2810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5E2810">
        <w:rPr>
          <w:lang w:val="en-CA"/>
        </w:rPr>
        <w:t>More recent cases illustrate the</w:t>
      </w:r>
      <w:r w:rsidR="00A6314E">
        <w:rPr>
          <w:lang w:val="en-CA"/>
        </w:rPr>
        <w:t xml:space="preserve"> propriety</w:t>
      </w:r>
      <w:r w:rsidRPr="005E2810">
        <w:rPr>
          <w:lang w:val="en-CA"/>
        </w:rPr>
        <w:t xml:space="preserve"> of its application: </w:t>
      </w:r>
      <w:r w:rsidRPr="005E2810">
        <w:rPr>
          <w:i/>
          <w:iCs/>
          <w:lang w:val="en-CA"/>
        </w:rPr>
        <w:t>R. v. Juneja</w:t>
      </w:r>
      <w:r w:rsidRPr="005E2810">
        <w:rPr>
          <w:lang w:val="en-CA"/>
        </w:rPr>
        <w:t>, 2009 ONCJ 572 (one person grab</w:t>
      </w:r>
      <w:r w:rsidR="002C5F98">
        <w:rPr>
          <w:lang w:val="en-CA"/>
        </w:rPr>
        <w:t>bed</w:t>
      </w:r>
      <w:r w:rsidRPr="005E2810">
        <w:rPr>
          <w:lang w:val="en-CA"/>
        </w:rPr>
        <w:t xml:space="preserve"> another's wrist </w:t>
      </w:r>
      <w:r w:rsidR="00283F8F">
        <w:rPr>
          <w:lang w:val="en-CA"/>
        </w:rPr>
        <w:t>during</w:t>
      </w:r>
      <w:r w:rsidR="00283F8F" w:rsidRPr="005E2810">
        <w:rPr>
          <w:lang w:val="en-CA"/>
        </w:rPr>
        <w:t xml:space="preserve"> </w:t>
      </w:r>
      <w:r w:rsidR="005569EB">
        <w:rPr>
          <w:lang w:val="en-CA"/>
        </w:rPr>
        <w:t xml:space="preserve">a </w:t>
      </w:r>
      <w:r w:rsidRPr="005E2810">
        <w:rPr>
          <w:lang w:val="en-CA"/>
        </w:rPr>
        <w:t xml:space="preserve">discussion </w:t>
      </w:r>
      <w:r w:rsidR="005569EB">
        <w:rPr>
          <w:lang w:val="en-CA"/>
        </w:rPr>
        <w:t>about a</w:t>
      </w:r>
      <w:r w:rsidRPr="005E2810">
        <w:rPr>
          <w:lang w:val="en-CA"/>
        </w:rPr>
        <w:t xml:space="preserve"> latent conflict); </w:t>
      </w:r>
      <w:r w:rsidRPr="005E2810">
        <w:rPr>
          <w:i/>
          <w:iCs/>
          <w:lang w:val="en-CA"/>
        </w:rPr>
        <w:t>R. v. Haynes</w:t>
      </w:r>
      <w:r w:rsidRPr="005E2810">
        <w:rPr>
          <w:lang w:val="en-CA"/>
        </w:rPr>
        <w:t>, 2022 ONCJ 30 (a neighbor spray</w:t>
      </w:r>
      <w:r w:rsidR="002C5F98">
        <w:rPr>
          <w:lang w:val="en-CA"/>
        </w:rPr>
        <w:t>ed</w:t>
      </w:r>
      <w:r w:rsidRPr="005E2810">
        <w:rPr>
          <w:lang w:val="en-CA"/>
        </w:rPr>
        <w:t xml:space="preserve"> water on her neighbor with a hose during yet another verbal argument); </w:t>
      </w:r>
      <w:r w:rsidRPr="005E2810">
        <w:rPr>
          <w:i/>
          <w:iCs/>
          <w:lang w:val="en-CA"/>
        </w:rPr>
        <w:t>R. v. Arsenault</w:t>
      </w:r>
      <w:r w:rsidRPr="005E2810">
        <w:rPr>
          <w:lang w:val="en-CA"/>
        </w:rPr>
        <w:t>, 2018 ONCJ 224 (a one-line text message violate</w:t>
      </w:r>
      <w:r w:rsidR="002C5F98">
        <w:rPr>
          <w:lang w:val="en-CA"/>
        </w:rPr>
        <w:t>d</w:t>
      </w:r>
      <w:r w:rsidRPr="005E2810">
        <w:rPr>
          <w:lang w:val="en-CA"/>
        </w:rPr>
        <w:t xml:space="preserve"> a prohibition</w:t>
      </w:r>
      <w:r w:rsidR="00F82162">
        <w:rPr>
          <w:lang w:val="en-CA"/>
        </w:rPr>
        <w:t xml:space="preserve"> from communicating</w:t>
      </w:r>
      <w:r w:rsidRPr="005E2810">
        <w:rPr>
          <w:lang w:val="en-CA"/>
        </w:rPr>
        <w:t xml:space="preserve">; </w:t>
      </w:r>
      <w:r w:rsidRPr="005E2810">
        <w:rPr>
          <w:i/>
          <w:iCs/>
          <w:lang w:val="en-CA"/>
        </w:rPr>
        <w:t>contra</w:t>
      </w:r>
      <w:r w:rsidRPr="005E2810">
        <w:rPr>
          <w:lang w:val="en-CA"/>
        </w:rPr>
        <w:t xml:space="preserve"> in </w:t>
      </w:r>
      <w:r w:rsidRPr="005E2810">
        <w:rPr>
          <w:i/>
          <w:iCs/>
          <w:lang w:val="en-CA"/>
        </w:rPr>
        <w:t>R. v. Feliciano</w:t>
      </w:r>
      <w:r w:rsidRPr="005E2810">
        <w:rPr>
          <w:lang w:val="en-CA"/>
        </w:rPr>
        <w:t>, 2019 ONCJ 263).</w:t>
      </w:r>
    </w:p>
    <w:p w14:paraId="29CBAB44" w14:textId="77777777" w:rsidR="00894256" w:rsidRPr="005048B3" w:rsidRDefault="00F95A2A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F95A2A">
        <w:rPr>
          <w:rFonts w:cs="Arial"/>
          <w:lang w:val="en-CA"/>
        </w:rPr>
        <w:t xml:space="preserve">The maxim </w:t>
      </w:r>
      <w:r w:rsidR="00F73D8B">
        <w:rPr>
          <w:rFonts w:cs="Arial"/>
          <w:lang w:val="en-CA"/>
        </w:rPr>
        <w:t>helps</w:t>
      </w:r>
      <w:r w:rsidRPr="00F95A2A">
        <w:rPr>
          <w:rFonts w:cs="Arial"/>
          <w:lang w:val="en-CA"/>
        </w:rPr>
        <w:t xml:space="preserve"> maintain confidence in the administration of justice (</w:t>
      </w:r>
      <w:r w:rsidRPr="00F73D8B">
        <w:rPr>
          <w:rFonts w:cs="Arial"/>
          <w:i/>
          <w:iCs/>
          <w:lang w:val="en-CA"/>
        </w:rPr>
        <w:t xml:space="preserve">R. </w:t>
      </w:r>
      <w:r w:rsidR="00283F8F">
        <w:rPr>
          <w:rFonts w:cs="Arial"/>
          <w:i/>
          <w:iCs/>
          <w:lang w:val="en-CA"/>
        </w:rPr>
        <w:t>c</w:t>
      </w:r>
      <w:r w:rsidRPr="00F73D8B">
        <w:rPr>
          <w:rFonts w:cs="Arial"/>
          <w:i/>
          <w:iCs/>
          <w:lang w:val="en-CA"/>
        </w:rPr>
        <w:t>. Freedman</w:t>
      </w:r>
      <w:r w:rsidRPr="00F95A2A">
        <w:rPr>
          <w:rFonts w:cs="Arial"/>
          <w:lang w:val="en-CA"/>
        </w:rPr>
        <w:t xml:space="preserve">, 2006 QCCQ 1855 </w:t>
      </w:r>
      <w:r w:rsidR="00F73D8B">
        <w:rPr>
          <w:rFonts w:cs="Arial"/>
          <w:lang w:val="en-CA"/>
        </w:rPr>
        <w:t xml:space="preserve">at </w:t>
      </w:r>
      <w:r w:rsidRPr="00F95A2A">
        <w:rPr>
          <w:rFonts w:cs="Arial"/>
          <w:lang w:val="en-CA"/>
        </w:rPr>
        <w:t>par</w:t>
      </w:r>
      <w:r w:rsidR="00F73D8B">
        <w:rPr>
          <w:rFonts w:cs="Arial"/>
          <w:lang w:val="en-CA"/>
        </w:rPr>
        <w:t>a</w:t>
      </w:r>
      <w:r w:rsidRPr="00F95A2A">
        <w:rPr>
          <w:rFonts w:cs="Arial"/>
          <w:lang w:val="en-CA"/>
        </w:rPr>
        <w:t xml:space="preserve">. 56; </w:t>
      </w:r>
      <w:r w:rsidRPr="00F73D8B">
        <w:rPr>
          <w:rFonts w:cs="Arial"/>
          <w:i/>
          <w:iCs/>
          <w:lang w:val="en-CA"/>
        </w:rPr>
        <w:t xml:space="preserve">R. </w:t>
      </w:r>
      <w:r w:rsidR="00283F8F">
        <w:rPr>
          <w:rFonts w:cs="Arial"/>
          <w:i/>
          <w:iCs/>
          <w:lang w:val="en-CA"/>
        </w:rPr>
        <w:t>c</w:t>
      </w:r>
      <w:r w:rsidRPr="00F73D8B">
        <w:rPr>
          <w:rFonts w:cs="Arial"/>
          <w:i/>
          <w:iCs/>
          <w:lang w:val="en-CA"/>
        </w:rPr>
        <w:t>. Jean</w:t>
      </w:r>
      <w:r w:rsidRPr="00F95A2A">
        <w:rPr>
          <w:rFonts w:cs="Arial"/>
          <w:lang w:val="en-CA"/>
        </w:rPr>
        <w:t xml:space="preserve">, 2020 QCCQ 8902 </w:t>
      </w:r>
      <w:r w:rsidR="00F73D8B">
        <w:rPr>
          <w:rFonts w:cs="Arial"/>
          <w:lang w:val="en-CA"/>
        </w:rPr>
        <w:t xml:space="preserve">at </w:t>
      </w:r>
      <w:r w:rsidRPr="00F95A2A">
        <w:rPr>
          <w:rFonts w:cs="Arial"/>
          <w:lang w:val="en-CA"/>
        </w:rPr>
        <w:t>par</w:t>
      </w:r>
      <w:r w:rsidR="00F73D8B">
        <w:rPr>
          <w:rFonts w:cs="Arial"/>
          <w:lang w:val="en-CA"/>
        </w:rPr>
        <w:t>a</w:t>
      </w:r>
      <w:r w:rsidRPr="00F95A2A">
        <w:rPr>
          <w:rFonts w:cs="Arial"/>
          <w:lang w:val="en-CA"/>
        </w:rPr>
        <w:t>. 161; Morris M</w:t>
      </w:r>
      <w:r w:rsidR="00283F8F" w:rsidRPr="00F95A2A">
        <w:rPr>
          <w:rFonts w:cs="Arial"/>
          <w:lang w:val="en-CA"/>
        </w:rPr>
        <w:t>anning</w:t>
      </w:r>
      <w:r w:rsidRPr="00F95A2A">
        <w:rPr>
          <w:rFonts w:cs="Arial"/>
          <w:lang w:val="en-CA"/>
        </w:rPr>
        <w:t xml:space="preserve"> </w:t>
      </w:r>
      <w:r w:rsidR="00353C04">
        <w:rPr>
          <w:rFonts w:cs="Arial"/>
          <w:lang w:val="en-CA"/>
        </w:rPr>
        <w:t>&amp;</w:t>
      </w:r>
      <w:r w:rsidRPr="00F95A2A">
        <w:rPr>
          <w:rFonts w:cs="Arial"/>
          <w:lang w:val="en-CA"/>
        </w:rPr>
        <w:t xml:space="preserve"> Peter </w:t>
      </w:r>
      <w:proofErr w:type="spellStart"/>
      <w:r w:rsidRPr="00F95A2A">
        <w:rPr>
          <w:rFonts w:cs="Arial"/>
          <w:lang w:val="en-CA"/>
        </w:rPr>
        <w:t>S</w:t>
      </w:r>
      <w:r w:rsidR="00283F8F" w:rsidRPr="00F95A2A">
        <w:rPr>
          <w:rFonts w:cs="Arial"/>
          <w:lang w:val="en-CA"/>
        </w:rPr>
        <w:t>ankoff</w:t>
      </w:r>
      <w:proofErr w:type="spellEnd"/>
      <w:r w:rsidRPr="00F95A2A">
        <w:rPr>
          <w:rFonts w:cs="Arial"/>
          <w:lang w:val="en-CA"/>
        </w:rPr>
        <w:t xml:space="preserve">, </w:t>
      </w:r>
      <w:r w:rsidRPr="00F73D8B">
        <w:rPr>
          <w:rFonts w:cs="Arial"/>
          <w:i/>
          <w:iCs/>
          <w:lang w:val="en-CA"/>
        </w:rPr>
        <w:t>supra</w:t>
      </w:r>
      <w:r w:rsidRPr="00F95A2A">
        <w:rPr>
          <w:rFonts w:cs="Arial"/>
          <w:lang w:val="en-CA"/>
        </w:rPr>
        <w:t xml:space="preserve"> </w:t>
      </w:r>
      <w:r w:rsidR="00F73D8B">
        <w:rPr>
          <w:rFonts w:cs="Arial"/>
          <w:lang w:val="en-CA"/>
        </w:rPr>
        <w:t xml:space="preserve">at </w:t>
      </w:r>
      <w:r w:rsidRPr="00F95A2A">
        <w:rPr>
          <w:rFonts w:cs="Arial"/>
          <w:lang w:val="en-CA"/>
        </w:rPr>
        <w:t>paras. 13.167</w:t>
      </w:r>
      <w:r w:rsidR="00283F8F">
        <w:rPr>
          <w:rFonts w:cs="Arial"/>
          <w:lang w:val="en-CA"/>
        </w:rPr>
        <w:t>–</w:t>
      </w:r>
      <w:r w:rsidRPr="00F95A2A">
        <w:rPr>
          <w:rFonts w:cs="Arial"/>
          <w:lang w:val="en-CA"/>
        </w:rPr>
        <w:t>168), but it can have the opposite effect if applied without a serious assessment of all the circumstances (</w:t>
      </w:r>
      <w:r w:rsidRPr="00F73D8B">
        <w:rPr>
          <w:rFonts w:cs="Arial"/>
          <w:i/>
          <w:iCs/>
          <w:lang w:val="en-CA"/>
        </w:rPr>
        <w:t xml:space="preserve">R. </w:t>
      </w:r>
      <w:r w:rsidR="00283F8F">
        <w:rPr>
          <w:rFonts w:cs="Arial"/>
          <w:i/>
          <w:iCs/>
          <w:lang w:val="en-CA"/>
        </w:rPr>
        <w:t>c</w:t>
      </w:r>
      <w:r w:rsidRPr="00F73D8B">
        <w:rPr>
          <w:rFonts w:cs="Arial"/>
          <w:i/>
          <w:iCs/>
          <w:lang w:val="en-CA"/>
        </w:rPr>
        <w:t>. Jean</w:t>
      </w:r>
      <w:r w:rsidRPr="00F95A2A">
        <w:rPr>
          <w:rFonts w:cs="Arial"/>
          <w:lang w:val="en-CA"/>
        </w:rPr>
        <w:t xml:space="preserve">, 2020 QCCQ 8902 </w:t>
      </w:r>
      <w:r w:rsidR="00F73D8B">
        <w:rPr>
          <w:rFonts w:cs="Arial"/>
          <w:lang w:val="en-CA"/>
        </w:rPr>
        <w:t xml:space="preserve">at </w:t>
      </w:r>
      <w:r w:rsidRPr="00F95A2A">
        <w:rPr>
          <w:rFonts w:cs="Arial"/>
          <w:lang w:val="en-CA"/>
        </w:rPr>
        <w:t xml:space="preserve">para. 171). It should also be </w:t>
      </w:r>
      <w:r w:rsidR="00F73D8B">
        <w:rPr>
          <w:rFonts w:cs="Arial"/>
          <w:lang w:val="en-CA"/>
        </w:rPr>
        <w:t>noted</w:t>
      </w:r>
      <w:r w:rsidRPr="00F95A2A">
        <w:rPr>
          <w:rFonts w:cs="Arial"/>
          <w:lang w:val="en-CA"/>
        </w:rPr>
        <w:t xml:space="preserve"> that in </w:t>
      </w:r>
      <w:r w:rsidRPr="00F73D8B">
        <w:rPr>
          <w:rFonts w:cs="Arial"/>
          <w:i/>
          <w:iCs/>
          <w:lang w:val="en-CA"/>
        </w:rPr>
        <w:t>Freedman</w:t>
      </w:r>
      <w:r w:rsidRPr="00F95A2A">
        <w:rPr>
          <w:rFonts w:cs="Arial"/>
          <w:lang w:val="en-CA"/>
        </w:rPr>
        <w:t xml:space="preserve">, </w:t>
      </w:r>
      <w:r w:rsidRPr="00F73D8B">
        <w:rPr>
          <w:rFonts w:cs="Arial"/>
          <w:i/>
          <w:iCs/>
          <w:lang w:val="en-CA"/>
        </w:rPr>
        <w:t>supra</w:t>
      </w:r>
      <w:r w:rsidRPr="00F95A2A">
        <w:rPr>
          <w:rFonts w:cs="Arial"/>
          <w:lang w:val="en-CA"/>
        </w:rPr>
        <w:t xml:space="preserve">, the Crown had conceded that the mere contact revealed by the evidence between the accused and the victim would not have </w:t>
      </w:r>
      <w:r w:rsidR="0087337D">
        <w:rPr>
          <w:rFonts w:cs="Arial"/>
          <w:lang w:val="en-CA"/>
        </w:rPr>
        <w:t>given rise to</w:t>
      </w:r>
      <w:r w:rsidRPr="00F95A2A">
        <w:rPr>
          <w:rFonts w:cs="Arial"/>
          <w:lang w:val="en-CA"/>
        </w:rPr>
        <w:t xml:space="preserve"> any charges: </w:t>
      </w:r>
      <w:r w:rsidRPr="00F73D8B">
        <w:rPr>
          <w:rFonts w:cs="Arial"/>
          <w:i/>
          <w:iCs/>
          <w:lang w:val="en-CA"/>
        </w:rPr>
        <w:t xml:space="preserve">R. </w:t>
      </w:r>
      <w:r w:rsidR="00283F8F">
        <w:rPr>
          <w:rFonts w:cs="Arial"/>
          <w:i/>
          <w:iCs/>
          <w:lang w:val="en-CA"/>
        </w:rPr>
        <w:t>c</w:t>
      </w:r>
      <w:r w:rsidRPr="00F73D8B">
        <w:rPr>
          <w:rFonts w:cs="Arial"/>
          <w:i/>
          <w:iCs/>
          <w:lang w:val="en-CA"/>
        </w:rPr>
        <w:t>. Freedman</w:t>
      </w:r>
      <w:r w:rsidRPr="00F95A2A">
        <w:rPr>
          <w:rFonts w:cs="Arial"/>
          <w:lang w:val="en-CA"/>
        </w:rPr>
        <w:t xml:space="preserve">, 2006 QCCQ 1855, </w:t>
      </w:r>
      <w:r w:rsidR="00F73D8B">
        <w:rPr>
          <w:rFonts w:cs="Arial"/>
          <w:lang w:val="en-CA"/>
        </w:rPr>
        <w:t xml:space="preserve">at </w:t>
      </w:r>
      <w:r w:rsidRPr="00F95A2A">
        <w:rPr>
          <w:rFonts w:cs="Arial"/>
          <w:lang w:val="en-CA"/>
        </w:rPr>
        <w:t>par</w:t>
      </w:r>
      <w:r w:rsidR="00F73D8B">
        <w:rPr>
          <w:rFonts w:cs="Arial"/>
          <w:lang w:val="en-CA"/>
        </w:rPr>
        <w:t>a</w:t>
      </w:r>
      <w:r w:rsidRPr="00F95A2A">
        <w:rPr>
          <w:rFonts w:cs="Arial"/>
          <w:lang w:val="en-CA"/>
        </w:rPr>
        <w:t>. 37.</w:t>
      </w:r>
    </w:p>
    <w:p w14:paraId="0576202E" w14:textId="77777777" w:rsidR="00894256" w:rsidRPr="005048B3" w:rsidRDefault="00F73D8B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 w:rsidRPr="00F73D8B">
        <w:rPr>
          <w:lang w:val="en-CA"/>
        </w:rPr>
        <w:t xml:space="preserve">In short, it is all a matter of context. I will therefore stop here since, once again, </w:t>
      </w:r>
      <w:r w:rsidR="002C5F98">
        <w:rPr>
          <w:lang w:val="en-CA"/>
        </w:rPr>
        <w:t>there is no need</w:t>
      </w:r>
      <w:r w:rsidRPr="00F73D8B">
        <w:rPr>
          <w:lang w:val="en-CA"/>
        </w:rPr>
        <w:t xml:space="preserve"> to </w:t>
      </w:r>
      <w:r w:rsidR="00922A55">
        <w:rPr>
          <w:lang w:val="en-CA"/>
        </w:rPr>
        <w:t xml:space="preserve">take an </w:t>
      </w:r>
      <w:r w:rsidRPr="00F73D8B">
        <w:rPr>
          <w:lang w:val="en-CA"/>
        </w:rPr>
        <w:t xml:space="preserve">exhaustive </w:t>
      </w:r>
      <w:r w:rsidR="00922A55">
        <w:rPr>
          <w:lang w:val="en-CA"/>
        </w:rPr>
        <w:t>look at</w:t>
      </w:r>
      <w:r w:rsidRPr="00F73D8B">
        <w:rPr>
          <w:lang w:val="en-CA"/>
        </w:rPr>
        <w:t xml:space="preserve"> the cases or to review the application of the maxim</w:t>
      </w:r>
      <w:r w:rsidR="001D2A36">
        <w:rPr>
          <w:lang w:val="en-CA"/>
        </w:rPr>
        <w:t>,</w:t>
      </w:r>
      <w:r w:rsidRPr="00F73D8B">
        <w:rPr>
          <w:lang w:val="en-CA"/>
        </w:rPr>
        <w:t xml:space="preserve"> which </w:t>
      </w:r>
      <w:r w:rsidR="00922A55">
        <w:rPr>
          <w:lang w:val="en-CA"/>
        </w:rPr>
        <w:t xml:space="preserve">still </w:t>
      </w:r>
      <w:r w:rsidR="00283F8F">
        <w:rPr>
          <w:lang w:val="en-CA"/>
        </w:rPr>
        <w:t xml:space="preserve">has </w:t>
      </w:r>
      <w:r w:rsidR="00922A55">
        <w:rPr>
          <w:lang w:val="en-CA"/>
        </w:rPr>
        <w:t>an</w:t>
      </w:r>
      <w:r w:rsidRPr="00F73D8B">
        <w:rPr>
          <w:lang w:val="en-CA"/>
        </w:rPr>
        <w:t xml:space="preserve"> active presence in the case law.</w:t>
      </w:r>
    </w:p>
    <w:p w14:paraId="1FBD3B56" w14:textId="77777777" w:rsidR="00894256" w:rsidRPr="005048B3" w:rsidRDefault="00922A55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>
        <w:rPr>
          <w:lang w:val="en-CA"/>
        </w:rPr>
        <w:lastRenderedPageBreak/>
        <w:t>I</w:t>
      </w:r>
      <w:r w:rsidRPr="00922A55">
        <w:rPr>
          <w:lang w:val="en-CA"/>
        </w:rPr>
        <w:t>n th</w:t>
      </w:r>
      <w:r w:rsidR="001D2A36">
        <w:rPr>
          <w:lang w:val="en-CA"/>
        </w:rPr>
        <w:t>e</w:t>
      </w:r>
      <w:r w:rsidRPr="00922A55">
        <w:rPr>
          <w:lang w:val="en-CA"/>
        </w:rPr>
        <w:t xml:space="preserve"> case</w:t>
      </w:r>
      <w:r w:rsidR="001D2A36">
        <w:rPr>
          <w:lang w:val="en-CA"/>
        </w:rPr>
        <w:t xml:space="preserve"> at bar</w:t>
      </w:r>
      <w:r w:rsidRPr="00922A55">
        <w:rPr>
          <w:lang w:val="en-CA"/>
        </w:rPr>
        <w:t xml:space="preserve">, the judge applied the criteria and concluded that this was not a case where the maxim could apply. </w:t>
      </w:r>
      <w:r>
        <w:rPr>
          <w:lang w:val="en-CA"/>
        </w:rPr>
        <w:t>On the basis of</w:t>
      </w:r>
      <w:r w:rsidRPr="00922A55">
        <w:rPr>
          <w:lang w:val="en-CA"/>
        </w:rPr>
        <w:t xml:space="preserve"> the video evidence and the victim</w:t>
      </w:r>
      <w:r>
        <w:rPr>
          <w:lang w:val="en-CA"/>
        </w:rPr>
        <w:t>’s reaction</w:t>
      </w:r>
      <w:r w:rsidRPr="00922A55">
        <w:rPr>
          <w:lang w:val="en-CA"/>
        </w:rPr>
        <w:t xml:space="preserve">, to the point of waiting for the next </w:t>
      </w:r>
      <w:r w:rsidR="00107A63">
        <w:rPr>
          <w:lang w:val="en-CA"/>
        </w:rPr>
        <w:t>metro</w:t>
      </w:r>
      <w:r>
        <w:rPr>
          <w:lang w:val="en-CA"/>
        </w:rPr>
        <w:t xml:space="preserve"> train</w:t>
      </w:r>
      <w:r w:rsidRPr="00922A55">
        <w:rPr>
          <w:lang w:val="en-CA"/>
        </w:rPr>
        <w:t xml:space="preserve">, she </w:t>
      </w:r>
      <w:r>
        <w:rPr>
          <w:lang w:val="en-CA"/>
        </w:rPr>
        <w:t>found</w:t>
      </w:r>
      <w:r w:rsidRPr="00922A55">
        <w:rPr>
          <w:lang w:val="en-CA"/>
        </w:rPr>
        <w:t xml:space="preserve"> that the blows were </w:t>
      </w:r>
      <w:r>
        <w:rPr>
          <w:lang w:val="en-CA"/>
        </w:rPr>
        <w:t>delivered</w:t>
      </w:r>
      <w:r w:rsidRPr="00922A55">
        <w:rPr>
          <w:lang w:val="en-CA"/>
        </w:rPr>
        <w:t xml:space="preserve"> during an unexpected attack, in a </w:t>
      </w:r>
      <w:r w:rsidR="00451358">
        <w:rPr>
          <w:lang w:val="en-CA"/>
        </w:rPr>
        <w:t xml:space="preserve">hostile and aggressive </w:t>
      </w:r>
      <w:r w:rsidRPr="00922A55">
        <w:rPr>
          <w:lang w:val="en-CA"/>
        </w:rPr>
        <w:t xml:space="preserve">context. </w:t>
      </w:r>
      <w:r w:rsidR="005359B5">
        <w:rPr>
          <w:lang w:val="en-CA"/>
        </w:rPr>
        <w:t>She emphasized</w:t>
      </w:r>
      <w:r w:rsidRPr="00922A55">
        <w:rPr>
          <w:lang w:val="en-CA"/>
        </w:rPr>
        <w:t xml:space="preserve"> the </w:t>
      </w:r>
      <w:r w:rsidR="005359B5" w:rsidRPr="005359B5">
        <w:rPr>
          <w:sz w:val="22"/>
          <w:szCs w:val="22"/>
          <w:lang w:val="en-CA"/>
        </w:rPr>
        <w:t>[</w:t>
      </w:r>
      <w:r w:rsidR="00451358" w:rsidRPr="00D853EA">
        <w:rPr>
          <w:smallCaps/>
          <w:lang w:val="en-CA"/>
        </w:rPr>
        <w:t>translation</w:t>
      </w:r>
      <w:r w:rsidR="005359B5" w:rsidRPr="005359B5">
        <w:rPr>
          <w:sz w:val="22"/>
          <w:szCs w:val="22"/>
          <w:lang w:val="en-CA"/>
        </w:rPr>
        <w:t>]</w:t>
      </w:r>
      <w:r w:rsidR="005359B5">
        <w:rPr>
          <w:lang w:val="en-CA"/>
        </w:rPr>
        <w:t xml:space="preserve"> </w:t>
      </w:r>
      <w:r w:rsidRPr="00922A55">
        <w:rPr>
          <w:lang w:val="en-CA"/>
        </w:rPr>
        <w:t xml:space="preserve">“character of the accused”, of course, </w:t>
      </w:r>
      <w:r w:rsidR="00451358">
        <w:rPr>
          <w:lang w:val="en-CA"/>
        </w:rPr>
        <w:t>but mostly</w:t>
      </w:r>
      <w:r w:rsidR="00451358" w:rsidRPr="00922A55">
        <w:rPr>
          <w:lang w:val="en-CA"/>
        </w:rPr>
        <w:t xml:space="preserve"> </w:t>
      </w:r>
      <w:r w:rsidRPr="00922A55">
        <w:rPr>
          <w:lang w:val="en-CA"/>
        </w:rPr>
        <w:t xml:space="preserve">to compare it to the case law </w:t>
      </w:r>
      <w:r w:rsidR="005359B5">
        <w:rPr>
          <w:lang w:val="en-CA"/>
        </w:rPr>
        <w:t xml:space="preserve">invoked </w:t>
      </w:r>
      <w:r w:rsidRPr="00922A55">
        <w:rPr>
          <w:lang w:val="en-CA"/>
        </w:rPr>
        <w:t xml:space="preserve">by the appellant. She also </w:t>
      </w:r>
      <w:r w:rsidR="005359B5">
        <w:rPr>
          <w:lang w:val="en-CA"/>
        </w:rPr>
        <w:t>found</w:t>
      </w:r>
      <w:r w:rsidRPr="00922A55">
        <w:rPr>
          <w:lang w:val="en-CA"/>
        </w:rPr>
        <w:t xml:space="preserve"> </w:t>
      </w:r>
      <w:r w:rsidR="005359B5">
        <w:rPr>
          <w:lang w:val="en-CA"/>
        </w:rPr>
        <w:t xml:space="preserve">that </w:t>
      </w:r>
      <w:r w:rsidRPr="00922A55">
        <w:rPr>
          <w:lang w:val="en-CA"/>
        </w:rPr>
        <w:t xml:space="preserve">it </w:t>
      </w:r>
      <w:r w:rsidR="005359B5">
        <w:rPr>
          <w:lang w:val="en-CA"/>
        </w:rPr>
        <w:t>was</w:t>
      </w:r>
      <w:r w:rsidRPr="00922A55">
        <w:rPr>
          <w:lang w:val="en-CA"/>
        </w:rPr>
        <w:t xml:space="preserve"> difficult to discern a motive for the appellant's actions and that the victim d</w:t>
      </w:r>
      <w:r w:rsidR="005359B5">
        <w:rPr>
          <w:lang w:val="en-CA"/>
        </w:rPr>
        <w:t>id</w:t>
      </w:r>
      <w:r w:rsidRPr="00922A55">
        <w:rPr>
          <w:lang w:val="en-CA"/>
        </w:rPr>
        <w:t xml:space="preserve"> not seem to be </w:t>
      </w:r>
      <w:r w:rsidR="00F2337A">
        <w:rPr>
          <w:lang w:val="en-CA"/>
        </w:rPr>
        <w:t>driven</w:t>
      </w:r>
      <w:r w:rsidRPr="00922A55">
        <w:rPr>
          <w:lang w:val="en-CA"/>
        </w:rPr>
        <w:t xml:space="preserve"> by an </w:t>
      </w:r>
      <w:r w:rsidR="007843A8" w:rsidRPr="005359B5">
        <w:rPr>
          <w:sz w:val="22"/>
          <w:szCs w:val="22"/>
          <w:lang w:val="en-CA"/>
        </w:rPr>
        <w:t>[</w:t>
      </w:r>
      <w:r w:rsidR="00451358" w:rsidRPr="00D853EA">
        <w:rPr>
          <w:smallCaps/>
          <w:lang w:val="en-CA"/>
        </w:rPr>
        <w:t>translation</w:t>
      </w:r>
      <w:r w:rsidR="007843A8" w:rsidRPr="005359B5">
        <w:rPr>
          <w:sz w:val="22"/>
          <w:szCs w:val="22"/>
          <w:lang w:val="en-CA"/>
        </w:rPr>
        <w:t>]</w:t>
      </w:r>
      <w:r w:rsidR="007843A8">
        <w:rPr>
          <w:lang w:val="en-CA"/>
        </w:rPr>
        <w:t xml:space="preserve"> </w:t>
      </w:r>
      <w:r w:rsidRPr="00922A55">
        <w:rPr>
          <w:lang w:val="en-CA"/>
        </w:rPr>
        <w:t>"</w:t>
      </w:r>
      <w:r w:rsidR="007843A8">
        <w:rPr>
          <w:lang w:val="en-CA"/>
        </w:rPr>
        <w:t>ulterior motive</w:t>
      </w:r>
      <w:r w:rsidRPr="00922A55">
        <w:rPr>
          <w:lang w:val="en-CA"/>
        </w:rPr>
        <w:t>". Ultimately, a contextual analysis le</w:t>
      </w:r>
      <w:r w:rsidR="005359B5">
        <w:rPr>
          <w:lang w:val="en-CA"/>
        </w:rPr>
        <w:t>d her</w:t>
      </w:r>
      <w:r w:rsidRPr="00922A55">
        <w:rPr>
          <w:lang w:val="en-CA"/>
        </w:rPr>
        <w:t xml:space="preserve"> to </w:t>
      </w:r>
      <w:r w:rsidR="00451358">
        <w:rPr>
          <w:lang w:val="en-CA"/>
        </w:rPr>
        <w:t>reject</w:t>
      </w:r>
      <w:r w:rsidRPr="00922A55">
        <w:rPr>
          <w:lang w:val="en-CA"/>
        </w:rPr>
        <w:t xml:space="preserve"> the maxim</w:t>
      </w:r>
      <w:r w:rsidR="00894256" w:rsidRPr="005048B3">
        <w:rPr>
          <w:lang w:val="en-CA"/>
        </w:rPr>
        <w:t xml:space="preserve">. </w:t>
      </w:r>
    </w:p>
    <w:p w14:paraId="399A15AE" w14:textId="77777777" w:rsidR="00894256" w:rsidRPr="005048B3" w:rsidRDefault="007843A8" w:rsidP="00894256">
      <w:pPr>
        <w:pStyle w:val="JgtParagraphe"/>
        <w:numPr>
          <w:ilvl w:val="0"/>
          <w:numId w:val="19"/>
        </w:numPr>
        <w:spacing w:line="280" w:lineRule="exact"/>
        <w:rPr>
          <w:lang w:val="en-CA"/>
        </w:rPr>
      </w:pPr>
      <w:r>
        <w:rPr>
          <w:lang w:val="en-CA"/>
        </w:rPr>
        <w:t>I do not see any error in this</w:t>
      </w:r>
      <w:r w:rsidR="00894256" w:rsidRPr="005048B3">
        <w:rPr>
          <w:lang w:val="en-CA"/>
        </w:rPr>
        <w:t xml:space="preserve"> conclusion. </w:t>
      </w:r>
      <w:r>
        <w:rPr>
          <w:lang w:val="en-CA"/>
        </w:rPr>
        <w:t xml:space="preserve">I would therefore </w:t>
      </w:r>
      <w:r w:rsidR="00F2337A">
        <w:rPr>
          <w:lang w:val="en-CA"/>
        </w:rPr>
        <w:t>grant</w:t>
      </w:r>
      <w:r w:rsidR="00996E8E">
        <w:rPr>
          <w:lang w:val="en-CA"/>
        </w:rPr>
        <w:t xml:space="preserve"> the application for leave to appeal</w:t>
      </w:r>
      <w:r w:rsidR="00894256" w:rsidRPr="005048B3">
        <w:rPr>
          <w:lang w:val="en-CA"/>
        </w:rPr>
        <w:t xml:space="preserve"> </w:t>
      </w:r>
      <w:r>
        <w:rPr>
          <w:lang w:val="en-CA"/>
        </w:rPr>
        <w:t>and dismiss the appeal</w:t>
      </w:r>
      <w:r w:rsidR="00894256" w:rsidRPr="005048B3">
        <w:rPr>
          <w:lang w:val="en-CA"/>
        </w:rPr>
        <w:t>.</w:t>
      </w:r>
    </w:p>
    <w:p w14:paraId="673E79F8" w14:textId="77777777" w:rsidR="00894256" w:rsidRPr="005048B3" w:rsidRDefault="00894256" w:rsidP="00894256">
      <w:pPr>
        <w:pStyle w:val="JgtParagraphe"/>
        <w:tabs>
          <w:tab w:val="clear" w:pos="720"/>
        </w:tabs>
        <w:spacing w:line="280" w:lineRule="exact"/>
        <w:rPr>
          <w:lang w:val="en-C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4625"/>
      </w:tblGrid>
      <w:tr w:rsidR="00894256" w:rsidRPr="005048B3" w14:paraId="5FCDD362" w14:textId="77777777">
        <w:trPr>
          <w:cantSplit/>
          <w:trHeight w:val="513"/>
        </w:trPr>
        <w:tc>
          <w:tcPr>
            <w:tcW w:w="9360" w:type="dxa"/>
            <w:gridSpan w:val="2"/>
          </w:tcPr>
          <w:p w14:paraId="62D9FD0D" w14:textId="77777777" w:rsidR="00894256" w:rsidRPr="005048B3" w:rsidRDefault="00894256">
            <w:pPr>
              <w:rPr>
                <w:lang w:val="en-CA"/>
              </w:rPr>
            </w:pPr>
          </w:p>
        </w:tc>
      </w:tr>
      <w:tr w:rsidR="00894256" w:rsidRPr="005048B3" w14:paraId="715EF830" w14:textId="77777777">
        <w:tblPrEx>
          <w:tblCellMar>
            <w:left w:w="0" w:type="dxa"/>
            <w:right w:w="0" w:type="dxa"/>
          </w:tblCellMar>
        </w:tblPrEx>
        <w:trPr>
          <w:cantSplit/>
          <w:trHeight w:val="277"/>
        </w:trPr>
        <w:tc>
          <w:tcPr>
            <w:tcW w:w="4735" w:type="dxa"/>
            <w:vMerge w:val="restart"/>
          </w:tcPr>
          <w:p w14:paraId="76333382" w14:textId="77777777" w:rsidR="00894256" w:rsidRPr="005048B3" w:rsidRDefault="00894256">
            <w:pPr>
              <w:rPr>
                <w:lang w:val="en-CA"/>
              </w:rPr>
            </w:pPr>
          </w:p>
        </w:tc>
        <w:tc>
          <w:tcPr>
            <w:tcW w:w="4625" w:type="dxa"/>
            <w:tcBorders>
              <w:bottom w:val="single" w:sz="8" w:space="0" w:color="auto"/>
            </w:tcBorders>
          </w:tcPr>
          <w:p w14:paraId="254C0B6C" w14:textId="77777777" w:rsidR="00894256" w:rsidRPr="005048B3" w:rsidRDefault="00894256">
            <w:pPr>
              <w:rPr>
                <w:lang w:val="en-CA"/>
              </w:rPr>
            </w:pPr>
          </w:p>
        </w:tc>
      </w:tr>
      <w:tr w:rsidR="00894256" w:rsidRPr="005048B3" w14:paraId="1BD390BB" w14:textId="77777777">
        <w:tblPrEx>
          <w:tblCellMar>
            <w:left w:w="0" w:type="dxa"/>
            <w:right w:w="0" w:type="dxa"/>
          </w:tblCellMar>
        </w:tblPrEx>
        <w:trPr>
          <w:cantSplit/>
          <w:trHeight w:val="276"/>
        </w:trPr>
        <w:tc>
          <w:tcPr>
            <w:tcW w:w="4735" w:type="dxa"/>
            <w:vMerge/>
          </w:tcPr>
          <w:p w14:paraId="63642DFD" w14:textId="77777777" w:rsidR="00894256" w:rsidRPr="005048B3" w:rsidRDefault="00894256">
            <w:pPr>
              <w:rPr>
                <w:lang w:val="en-CA"/>
              </w:rPr>
            </w:pPr>
          </w:p>
        </w:tc>
        <w:tc>
          <w:tcPr>
            <w:tcW w:w="4625" w:type="dxa"/>
          </w:tcPr>
          <w:p w14:paraId="15453A20" w14:textId="77777777" w:rsidR="00894256" w:rsidRPr="005048B3" w:rsidRDefault="00544ECD">
            <w:pPr>
              <w:rPr>
                <w:lang w:val="en-CA"/>
              </w:rPr>
            </w:pPr>
            <w:r w:rsidRPr="005048B3">
              <w:rPr>
                <w:lang w:val="en-CA"/>
              </w:rPr>
              <w:t>MARTIN VAUCLAIR, J.A.</w:t>
            </w:r>
          </w:p>
        </w:tc>
      </w:tr>
      <w:bookmarkEnd w:id="12"/>
    </w:tbl>
    <w:p w14:paraId="1E6404C4" w14:textId="77777777" w:rsidR="00740A17" w:rsidRPr="005048B3" w:rsidRDefault="00740A17" w:rsidP="00066990">
      <w:pPr>
        <w:rPr>
          <w:lang w:val="en-CA"/>
        </w:rPr>
      </w:pPr>
    </w:p>
    <w:sectPr w:rsidR="00740A17" w:rsidRPr="005048B3" w:rsidSect="00894256">
      <w:headerReference w:type="default" r:id="rId9"/>
      <w:pgSz w:w="12242" w:h="15842" w:code="1"/>
      <w:pgMar w:top="1440" w:right="1008" w:bottom="1440" w:left="1872" w:header="1440" w:footer="79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064A" w14:textId="77777777" w:rsidR="00DB281F" w:rsidRDefault="00DB281F">
      <w:r>
        <w:separator/>
      </w:r>
    </w:p>
  </w:endnote>
  <w:endnote w:type="continuationSeparator" w:id="0">
    <w:p w14:paraId="605B6FD8" w14:textId="77777777" w:rsidR="00DB281F" w:rsidRDefault="00DB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12C3" w14:textId="77777777" w:rsidR="00DB281F" w:rsidRDefault="00DB281F">
      <w:r>
        <w:separator/>
      </w:r>
    </w:p>
  </w:footnote>
  <w:footnote w:type="continuationSeparator" w:id="0">
    <w:p w14:paraId="69372E8E" w14:textId="77777777" w:rsidR="00DB281F" w:rsidRDefault="00DB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2E5D" w14:textId="77777777" w:rsidR="00894256" w:rsidRDefault="00894256" w:rsidP="00894256">
    <w:pPr>
      <w:tabs>
        <w:tab w:val="center" w:pos="4709"/>
        <w:tab w:val="right" w:pos="9360"/>
      </w:tabs>
      <w:spacing w:after="120" w:line="360" w:lineRule="auto"/>
      <w:ind w:right="524"/>
    </w:pPr>
    <w:r>
      <w:t>500-10-007423-203</w:t>
    </w:r>
    <w:r w:rsidRPr="007462D6">
      <w:t xml:space="preserve"> </w:t>
    </w:r>
    <w:r>
      <w:tab/>
    </w:r>
    <w:r>
      <w:tab/>
      <w:t xml:space="preserve">PAGE: </w:t>
    </w:r>
    <w:r>
      <w:fldChar w:fldCharType="begin"/>
    </w:r>
    <w:r>
      <w:instrText xml:space="preserve"> PAGE </w:instrText>
    </w:r>
    <w:r>
      <w:fldChar w:fldCharType="separate"/>
    </w:r>
    <w:r w:rsidR="0035597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9EF7" w14:textId="77777777" w:rsidR="007E33E4" w:rsidRDefault="00066990" w:rsidP="00894256">
    <w:pPr>
      <w:tabs>
        <w:tab w:val="center" w:pos="4709"/>
        <w:tab w:val="right" w:pos="9360"/>
      </w:tabs>
      <w:spacing w:after="120" w:line="360" w:lineRule="auto"/>
      <w:ind w:right="524"/>
    </w:pPr>
    <w:bookmarkStart w:id="13" w:name="EntDossier"/>
    <w:r>
      <w:t>500-10-007423-203</w:t>
    </w:r>
    <w:bookmarkEnd w:id="13"/>
    <w:r w:rsidR="007E33E4" w:rsidRPr="007462D6">
      <w:t xml:space="preserve"> </w:t>
    </w:r>
    <w:r w:rsidR="007E33E4">
      <w:tab/>
    </w:r>
    <w:r w:rsidR="007E33E4">
      <w:tab/>
      <w:t xml:space="preserve">PAGE: </w:t>
    </w:r>
    <w:r w:rsidR="007E33E4">
      <w:fldChar w:fldCharType="begin"/>
    </w:r>
    <w:r w:rsidR="007E33E4">
      <w:instrText xml:space="preserve"> PAGE </w:instrText>
    </w:r>
    <w:r w:rsidR="007E33E4">
      <w:fldChar w:fldCharType="separate"/>
    </w:r>
    <w:r w:rsidR="0035597E">
      <w:rPr>
        <w:noProof/>
      </w:rPr>
      <w:t>7</w:t>
    </w:r>
    <w:r w:rsidR="007E33E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1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12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264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C3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EAB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121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07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643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E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4A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BB52DE"/>
    <w:multiLevelType w:val="multilevel"/>
    <w:tmpl w:val="79E601F0"/>
    <w:lvl w:ilvl="0">
      <w:start w:val="1"/>
      <w:numFmt w:val="decimal"/>
      <w:pStyle w:val="Paragraphe"/>
      <w:lvlText w:val="[%1]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A9D1B84"/>
    <w:multiLevelType w:val="multilevel"/>
    <w:tmpl w:val="2766DEE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09C0DCC"/>
    <w:multiLevelType w:val="multilevel"/>
    <w:tmpl w:val="F11C8164"/>
    <w:lvl w:ilvl="0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939608667">
    <w:abstractNumId w:val="12"/>
  </w:num>
  <w:num w:numId="2" w16cid:durableId="1367682011">
    <w:abstractNumId w:val="12"/>
  </w:num>
  <w:num w:numId="3" w16cid:durableId="655886311">
    <w:abstractNumId w:val="12"/>
  </w:num>
  <w:num w:numId="4" w16cid:durableId="1805811246">
    <w:abstractNumId w:val="8"/>
  </w:num>
  <w:num w:numId="5" w16cid:durableId="1958365015">
    <w:abstractNumId w:val="3"/>
  </w:num>
  <w:num w:numId="6" w16cid:durableId="298191153">
    <w:abstractNumId w:val="2"/>
  </w:num>
  <w:num w:numId="7" w16cid:durableId="1300914963">
    <w:abstractNumId w:val="1"/>
  </w:num>
  <w:num w:numId="8" w16cid:durableId="230653601">
    <w:abstractNumId w:val="0"/>
  </w:num>
  <w:num w:numId="9" w16cid:durableId="1260721026">
    <w:abstractNumId w:val="9"/>
  </w:num>
  <w:num w:numId="10" w16cid:durableId="348875425">
    <w:abstractNumId w:val="7"/>
  </w:num>
  <w:num w:numId="11" w16cid:durableId="52240762">
    <w:abstractNumId w:val="6"/>
  </w:num>
  <w:num w:numId="12" w16cid:durableId="2102876540">
    <w:abstractNumId w:val="5"/>
  </w:num>
  <w:num w:numId="13" w16cid:durableId="687171484">
    <w:abstractNumId w:val="4"/>
  </w:num>
  <w:num w:numId="14" w16cid:durableId="133186846">
    <w:abstractNumId w:val="12"/>
  </w:num>
  <w:num w:numId="15" w16cid:durableId="1319308324">
    <w:abstractNumId w:val="12"/>
  </w:num>
  <w:num w:numId="16" w16cid:durableId="2096245533">
    <w:abstractNumId w:val="12"/>
  </w:num>
  <w:num w:numId="17" w16cid:durableId="562838021">
    <w:abstractNumId w:val="11"/>
  </w:num>
  <w:num w:numId="18" w16cid:durableId="188183337">
    <w:abstractNumId w:val="10"/>
  </w:num>
  <w:num w:numId="19" w16cid:durableId="1007560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NBChoix" w:val="3"/>
    <w:docVar w:name="MotifJuge1" w:val="MOTIFS DU JUGE"/>
    <w:docVar w:name="MotifJuge2" w:val="MOTIFS DU JUGE"/>
    <w:docVar w:name="MotifJuge3" w:val="MOTIFS DU JUGE"/>
    <w:docVar w:name="NomFamJuge1" w:val="VAUCLAIR"/>
    <w:docVar w:name="NomFamJuge2" w:val="HAMILTON"/>
    <w:docVar w:name="NomFamJuge3" w:val="COURNOYER"/>
    <w:docVar w:name="NomFamJuge4" w:val="MAILHOT"/>
    <w:docVar w:name="NomFamJuge5" w:val="BAUDOUIN"/>
    <w:docVar w:name="QteJuge1" w:val=", J.C.A."/>
    <w:docVar w:name="QteJuge2" w:val=", J.C.A."/>
    <w:docVar w:name="QteJuge3" w:val=", J.C.A."/>
    <w:docVar w:name="stPremiereFois" w:val="Non"/>
  </w:docVars>
  <w:rsids>
    <w:rsidRoot w:val="00066990"/>
    <w:rsid w:val="000131E1"/>
    <w:rsid w:val="00025ADA"/>
    <w:rsid w:val="0003230C"/>
    <w:rsid w:val="0004394C"/>
    <w:rsid w:val="00053691"/>
    <w:rsid w:val="00066990"/>
    <w:rsid w:val="000961A7"/>
    <w:rsid w:val="000A7516"/>
    <w:rsid w:val="000B0073"/>
    <w:rsid w:val="000B42AF"/>
    <w:rsid w:val="000E4DD2"/>
    <w:rsid w:val="000E6654"/>
    <w:rsid w:val="00107A63"/>
    <w:rsid w:val="00110B53"/>
    <w:rsid w:val="00112321"/>
    <w:rsid w:val="00117914"/>
    <w:rsid w:val="00123986"/>
    <w:rsid w:val="0013028C"/>
    <w:rsid w:val="00150731"/>
    <w:rsid w:val="00152C25"/>
    <w:rsid w:val="001535BA"/>
    <w:rsid w:val="0015610F"/>
    <w:rsid w:val="00160B31"/>
    <w:rsid w:val="00176AE9"/>
    <w:rsid w:val="00181F56"/>
    <w:rsid w:val="00190FA7"/>
    <w:rsid w:val="001921BF"/>
    <w:rsid w:val="001972F2"/>
    <w:rsid w:val="001B30F1"/>
    <w:rsid w:val="001C36A2"/>
    <w:rsid w:val="001D2A36"/>
    <w:rsid w:val="001E46E5"/>
    <w:rsid w:val="00205DC4"/>
    <w:rsid w:val="002077D8"/>
    <w:rsid w:val="0021548E"/>
    <w:rsid w:val="00216BE1"/>
    <w:rsid w:val="002273F5"/>
    <w:rsid w:val="002548A2"/>
    <w:rsid w:val="002630AD"/>
    <w:rsid w:val="00275334"/>
    <w:rsid w:val="0027554C"/>
    <w:rsid w:val="00276894"/>
    <w:rsid w:val="00283F8F"/>
    <w:rsid w:val="0029741C"/>
    <w:rsid w:val="002A11AE"/>
    <w:rsid w:val="002B148C"/>
    <w:rsid w:val="002B4A07"/>
    <w:rsid w:val="002B61AF"/>
    <w:rsid w:val="002C4107"/>
    <w:rsid w:val="002C5F98"/>
    <w:rsid w:val="002E1F0E"/>
    <w:rsid w:val="002E229C"/>
    <w:rsid w:val="002E51F1"/>
    <w:rsid w:val="002E5471"/>
    <w:rsid w:val="002F1350"/>
    <w:rsid w:val="002F336A"/>
    <w:rsid w:val="002F6136"/>
    <w:rsid w:val="003033AE"/>
    <w:rsid w:val="00305D2D"/>
    <w:rsid w:val="00315E92"/>
    <w:rsid w:val="00322DE0"/>
    <w:rsid w:val="0032363D"/>
    <w:rsid w:val="0032650E"/>
    <w:rsid w:val="00330D51"/>
    <w:rsid w:val="0033190E"/>
    <w:rsid w:val="00334760"/>
    <w:rsid w:val="003363D5"/>
    <w:rsid w:val="00353C04"/>
    <w:rsid w:val="0035597E"/>
    <w:rsid w:val="003579F7"/>
    <w:rsid w:val="00361325"/>
    <w:rsid w:val="00374888"/>
    <w:rsid w:val="00374E40"/>
    <w:rsid w:val="00385BF9"/>
    <w:rsid w:val="00393545"/>
    <w:rsid w:val="003A2D29"/>
    <w:rsid w:val="003B254B"/>
    <w:rsid w:val="003B6365"/>
    <w:rsid w:val="003D487D"/>
    <w:rsid w:val="003E3239"/>
    <w:rsid w:val="003E3E3C"/>
    <w:rsid w:val="003E7B64"/>
    <w:rsid w:val="00417C0C"/>
    <w:rsid w:val="00423DF1"/>
    <w:rsid w:val="00430C58"/>
    <w:rsid w:val="004331C4"/>
    <w:rsid w:val="0043564D"/>
    <w:rsid w:val="00441C25"/>
    <w:rsid w:val="004436F8"/>
    <w:rsid w:val="00446452"/>
    <w:rsid w:val="00451358"/>
    <w:rsid w:val="004666FC"/>
    <w:rsid w:val="00472DC8"/>
    <w:rsid w:val="004802EC"/>
    <w:rsid w:val="004A29F1"/>
    <w:rsid w:val="004A6641"/>
    <w:rsid w:val="004A6925"/>
    <w:rsid w:val="004B1E94"/>
    <w:rsid w:val="004B33FF"/>
    <w:rsid w:val="004D2F69"/>
    <w:rsid w:val="004E4FBA"/>
    <w:rsid w:val="00500021"/>
    <w:rsid w:val="005048B3"/>
    <w:rsid w:val="005131F1"/>
    <w:rsid w:val="00513707"/>
    <w:rsid w:val="0051484F"/>
    <w:rsid w:val="00516B3E"/>
    <w:rsid w:val="005262C9"/>
    <w:rsid w:val="00531D70"/>
    <w:rsid w:val="005359B5"/>
    <w:rsid w:val="00544ECD"/>
    <w:rsid w:val="005569EB"/>
    <w:rsid w:val="0056285F"/>
    <w:rsid w:val="005640A9"/>
    <w:rsid w:val="00566BF6"/>
    <w:rsid w:val="00583434"/>
    <w:rsid w:val="0058349F"/>
    <w:rsid w:val="00587CA0"/>
    <w:rsid w:val="005930AF"/>
    <w:rsid w:val="005A78BF"/>
    <w:rsid w:val="005B557C"/>
    <w:rsid w:val="005B6554"/>
    <w:rsid w:val="005B6B4C"/>
    <w:rsid w:val="005C6C8F"/>
    <w:rsid w:val="005C7516"/>
    <w:rsid w:val="005C7BE3"/>
    <w:rsid w:val="005D1522"/>
    <w:rsid w:val="005E2810"/>
    <w:rsid w:val="005E3260"/>
    <w:rsid w:val="005E3B60"/>
    <w:rsid w:val="005E4317"/>
    <w:rsid w:val="005E585F"/>
    <w:rsid w:val="005F3161"/>
    <w:rsid w:val="005F5F5F"/>
    <w:rsid w:val="00624770"/>
    <w:rsid w:val="0063685A"/>
    <w:rsid w:val="0064250B"/>
    <w:rsid w:val="00655A8A"/>
    <w:rsid w:val="006635F4"/>
    <w:rsid w:val="00680A2C"/>
    <w:rsid w:val="006826AA"/>
    <w:rsid w:val="0068356A"/>
    <w:rsid w:val="00685A92"/>
    <w:rsid w:val="006A0DB0"/>
    <w:rsid w:val="006A6629"/>
    <w:rsid w:val="006A7CCB"/>
    <w:rsid w:val="006C45E3"/>
    <w:rsid w:val="006C4D05"/>
    <w:rsid w:val="00713B32"/>
    <w:rsid w:val="00730F36"/>
    <w:rsid w:val="00740A17"/>
    <w:rsid w:val="007462D6"/>
    <w:rsid w:val="0074738B"/>
    <w:rsid w:val="0076062E"/>
    <w:rsid w:val="007737F2"/>
    <w:rsid w:val="0077458B"/>
    <w:rsid w:val="00784214"/>
    <w:rsid w:val="007843A8"/>
    <w:rsid w:val="007953F3"/>
    <w:rsid w:val="007A7803"/>
    <w:rsid w:val="007B061E"/>
    <w:rsid w:val="007B48D5"/>
    <w:rsid w:val="007C392C"/>
    <w:rsid w:val="007D087C"/>
    <w:rsid w:val="007E1A4F"/>
    <w:rsid w:val="007E33E4"/>
    <w:rsid w:val="007E4CC9"/>
    <w:rsid w:val="007E5C17"/>
    <w:rsid w:val="00800D23"/>
    <w:rsid w:val="00807966"/>
    <w:rsid w:val="00816273"/>
    <w:rsid w:val="0082717B"/>
    <w:rsid w:val="00827B04"/>
    <w:rsid w:val="00827DDD"/>
    <w:rsid w:val="0083032E"/>
    <w:rsid w:val="00834575"/>
    <w:rsid w:val="008364DC"/>
    <w:rsid w:val="00841907"/>
    <w:rsid w:val="0086036A"/>
    <w:rsid w:val="008653A3"/>
    <w:rsid w:val="008657A2"/>
    <w:rsid w:val="00866645"/>
    <w:rsid w:val="0087337D"/>
    <w:rsid w:val="00873820"/>
    <w:rsid w:val="00882210"/>
    <w:rsid w:val="00894256"/>
    <w:rsid w:val="008956A8"/>
    <w:rsid w:val="008A6185"/>
    <w:rsid w:val="008B6CC5"/>
    <w:rsid w:val="008C1FE9"/>
    <w:rsid w:val="008C7909"/>
    <w:rsid w:val="008C7DCE"/>
    <w:rsid w:val="008D18FC"/>
    <w:rsid w:val="008D398B"/>
    <w:rsid w:val="008D7E49"/>
    <w:rsid w:val="008F1297"/>
    <w:rsid w:val="008F364A"/>
    <w:rsid w:val="008F3F53"/>
    <w:rsid w:val="00900BE9"/>
    <w:rsid w:val="00913E03"/>
    <w:rsid w:val="009229E9"/>
    <w:rsid w:val="00922A55"/>
    <w:rsid w:val="00923202"/>
    <w:rsid w:val="00926953"/>
    <w:rsid w:val="00932703"/>
    <w:rsid w:val="00933908"/>
    <w:rsid w:val="00936469"/>
    <w:rsid w:val="009400B7"/>
    <w:rsid w:val="00954DC2"/>
    <w:rsid w:val="00957B92"/>
    <w:rsid w:val="00970966"/>
    <w:rsid w:val="00974442"/>
    <w:rsid w:val="009812E9"/>
    <w:rsid w:val="00986E89"/>
    <w:rsid w:val="00996E8E"/>
    <w:rsid w:val="009A7E16"/>
    <w:rsid w:val="009F1F69"/>
    <w:rsid w:val="00A23BF4"/>
    <w:rsid w:val="00A2593B"/>
    <w:rsid w:val="00A34E05"/>
    <w:rsid w:val="00A43D8B"/>
    <w:rsid w:val="00A454F1"/>
    <w:rsid w:val="00A543CC"/>
    <w:rsid w:val="00A55EB7"/>
    <w:rsid w:val="00A6314E"/>
    <w:rsid w:val="00A7567E"/>
    <w:rsid w:val="00A93CFF"/>
    <w:rsid w:val="00A94866"/>
    <w:rsid w:val="00AA5FFA"/>
    <w:rsid w:val="00AB35D0"/>
    <w:rsid w:val="00AB7DD2"/>
    <w:rsid w:val="00AD1EF9"/>
    <w:rsid w:val="00AE2EF7"/>
    <w:rsid w:val="00AE5655"/>
    <w:rsid w:val="00AF0C24"/>
    <w:rsid w:val="00AF0C7C"/>
    <w:rsid w:val="00AF10CD"/>
    <w:rsid w:val="00AF337C"/>
    <w:rsid w:val="00AF65FF"/>
    <w:rsid w:val="00B01D86"/>
    <w:rsid w:val="00B07E4E"/>
    <w:rsid w:val="00B11FD1"/>
    <w:rsid w:val="00B137E9"/>
    <w:rsid w:val="00B24493"/>
    <w:rsid w:val="00B30EA2"/>
    <w:rsid w:val="00B32602"/>
    <w:rsid w:val="00B32851"/>
    <w:rsid w:val="00B36ED3"/>
    <w:rsid w:val="00B42408"/>
    <w:rsid w:val="00B513C9"/>
    <w:rsid w:val="00B56EF4"/>
    <w:rsid w:val="00B65824"/>
    <w:rsid w:val="00B70485"/>
    <w:rsid w:val="00B75C19"/>
    <w:rsid w:val="00B82A13"/>
    <w:rsid w:val="00BA11A2"/>
    <w:rsid w:val="00BB7148"/>
    <w:rsid w:val="00BD4F06"/>
    <w:rsid w:val="00BF2E0F"/>
    <w:rsid w:val="00C02AF8"/>
    <w:rsid w:val="00C17E01"/>
    <w:rsid w:val="00C25FD9"/>
    <w:rsid w:val="00C30F90"/>
    <w:rsid w:val="00C31AC4"/>
    <w:rsid w:val="00C361FF"/>
    <w:rsid w:val="00C409BE"/>
    <w:rsid w:val="00C423CA"/>
    <w:rsid w:val="00C44BA6"/>
    <w:rsid w:val="00C652ED"/>
    <w:rsid w:val="00C6654B"/>
    <w:rsid w:val="00C7793C"/>
    <w:rsid w:val="00C850B8"/>
    <w:rsid w:val="00C939A8"/>
    <w:rsid w:val="00C97145"/>
    <w:rsid w:val="00CE0D9E"/>
    <w:rsid w:val="00CF6AF3"/>
    <w:rsid w:val="00D010FD"/>
    <w:rsid w:val="00D02812"/>
    <w:rsid w:val="00D05AF4"/>
    <w:rsid w:val="00D1298E"/>
    <w:rsid w:val="00D20056"/>
    <w:rsid w:val="00D272B1"/>
    <w:rsid w:val="00D312B6"/>
    <w:rsid w:val="00D8167E"/>
    <w:rsid w:val="00D82E13"/>
    <w:rsid w:val="00D853EA"/>
    <w:rsid w:val="00D94078"/>
    <w:rsid w:val="00DB2119"/>
    <w:rsid w:val="00DB281F"/>
    <w:rsid w:val="00DB704B"/>
    <w:rsid w:val="00DB78F8"/>
    <w:rsid w:val="00DC05BC"/>
    <w:rsid w:val="00DD3A24"/>
    <w:rsid w:val="00DF3516"/>
    <w:rsid w:val="00DF416D"/>
    <w:rsid w:val="00E03C07"/>
    <w:rsid w:val="00E20E3C"/>
    <w:rsid w:val="00E24954"/>
    <w:rsid w:val="00E36290"/>
    <w:rsid w:val="00E36759"/>
    <w:rsid w:val="00E513E5"/>
    <w:rsid w:val="00E51C29"/>
    <w:rsid w:val="00E72EFD"/>
    <w:rsid w:val="00E81E61"/>
    <w:rsid w:val="00E848B4"/>
    <w:rsid w:val="00E91417"/>
    <w:rsid w:val="00E94329"/>
    <w:rsid w:val="00EB1377"/>
    <w:rsid w:val="00EB7611"/>
    <w:rsid w:val="00EC1E33"/>
    <w:rsid w:val="00F07022"/>
    <w:rsid w:val="00F07C37"/>
    <w:rsid w:val="00F1119E"/>
    <w:rsid w:val="00F2337A"/>
    <w:rsid w:val="00F33E30"/>
    <w:rsid w:val="00F35A34"/>
    <w:rsid w:val="00F40882"/>
    <w:rsid w:val="00F43559"/>
    <w:rsid w:val="00F55158"/>
    <w:rsid w:val="00F5789B"/>
    <w:rsid w:val="00F73D8B"/>
    <w:rsid w:val="00F75AAB"/>
    <w:rsid w:val="00F75C76"/>
    <w:rsid w:val="00F82162"/>
    <w:rsid w:val="00F8719E"/>
    <w:rsid w:val="00F95A2A"/>
    <w:rsid w:val="00FB3DDB"/>
    <w:rsid w:val="00FC2173"/>
    <w:rsid w:val="00FC539D"/>
    <w:rsid w:val="00FC720B"/>
    <w:rsid w:val="00FE3FE9"/>
    <w:rsid w:val="00FE49CA"/>
    <w:rsid w:val="00FE6A10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56920"/>
  <w15:chartTrackingRefBased/>
  <w15:docId w15:val="{F2F2CA8A-DFC5-420C-8F00-E9F26206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0" w:lineRule="exact"/>
    </w:pPr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 w:line="500" w:lineRule="exact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pPr>
      <w:numPr>
        <w:numId w:val="18"/>
      </w:numPr>
      <w:spacing w:before="120" w:after="120" w:line="500" w:lineRule="exact"/>
      <w:jc w:val="both"/>
    </w:pPr>
    <w:rPr>
      <w:kern w:val="28"/>
    </w:rPr>
  </w:style>
  <w:style w:type="paragraph" w:customStyle="1" w:styleId="Citationenretrait">
    <w:name w:val="Citation en retrait"/>
    <w:basedOn w:val="Normal"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Pr>
      <w:rFonts w:ascii="Arial" w:hAnsi="Arial"/>
      <w:i/>
      <w:noProof w:val="0"/>
      <w:sz w:val="22"/>
      <w:lang w:val="fr-CA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Notedebasdepage">
    <w:name w:val="footnote text"/>
    <w:basedOn w:val="Normal"/>
    <w:semiHidden/>
    <w:pPr>
      <w:spacing w:line="240" w:lineRule="auto"/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pPr>
      <w:spacing w:line="500" w:lineRule="exact"/>
      <w:jc w:val="center"/>
    </w:pPr>
    <w:rPr>
      <w:b/>
      <w:sz w:val="36"/>
    </w:rPr>
  </w:style>
  <w:style w:type="paragraph" w:customStyle="1" w:styleId="zSoquijlblPays">
    <w:name w:val="zSoquij_lblPays"/>
    <w:basedOn w:val="Normal"/>
  </w:style>
  <w:style w:type="paragraph" w:customStyle="1" w:styleId="zSoquijlblProvince">
    <w:name w:val="zSoquij_lblProvince"/>
    <w:basedOn w:val="Normal"/>
  </w:style>
  <w:style w:type="paragraph" w:customStyle="1" w:styleId="zSoquijlblGreffe">
    <w:name w:val="zSoquij_lblGreffe"/>
    <w:basedOn w:val="Normal"/>
  </w:style>
  <w:style w:type="paragraph" w:customStyle="1" w:styleId="zSoquijdatGreffe">
    <w:name w:val="zSoquij_datGreffe"/>
    <w:basedOn w:val="Normal"/>
  </w:style>
  <w:style w:type="paragraph" w:customStyle="1" w:styleId="zSoquijdatDivision">
    <w:name w:val="zSoquij_datDivision"/>
    <w:basedOn w:val="Normal"/>
    <w:pPr>
      <w:jc w:val="center"/>
    </w:pPr>
    <w:rPr>
      <w:sz w:val="22"/>
    </w:rPr>
  </w:style>
  <w:style w:type="paragraph" w:customStyle="1" w:styleId="zSoquijlblNoDossier">
    <w:name w:val="zSoquij_lblNoDossier"/>
    <w:basedOn w:val="Normal"/>
  </w:style>
  <w:style w:type="paragraph" w:customStyle="1" w:styleId="zSoquijdatNoDossier">
    <w:name w:val="zSoquij_datNoDossier"/>
    <w:basedOn w:val="Normal"/>
  </w:style>
  <w:style w:type="paragraph" w:customStyle="1" w:styleId="zSoquijdatNoDossierAnt">
    <w:name w:val="zSoquij_datNoDossierAnt"/>
    <w:basedOn w:val="Normal"/>
    <w:pPr>
      <w:ind w:left="950"/>
    </w:pPr>
  </w:style>
  <w:style w:type="paragraph" w:customStyle="1" w:styleId="zSoquijdatDateJugement">
    <w:name w:val="zSoquij_datDateJugement"/>
    <w:basedOn w:val="Normal"/>
  </w:style>
  <w:style w:type="paragraph" w:customStyle="1" w:styleId="zSoquijlblDateJugement">
    <w:name w:val="zSoquij_lblDateJugement"/>
    <w:basedOn w:val="Normal"/>
  </w:style>
  <w:style w:type="paragraph" w:customStyle="1" w:styleId="zSoquijlblJuge">
    <w:name w:val="zSoquij_lblJuge"/>
    <w:basedOn w:val="Normal"/>
    <w:rPr>
      <w:b/>
    </w:rPr>
  </w:style>
  <w:style w:type="paragraph" w:customStyle="1" w:styleId="zSoquijdatQteJuge">
    <w:name w:val="zSoquij_datQteJuge"/>
    <w:basedOn w:val="Normal"/>
    <w:rPr>
      <w:b/>
    </w:rPr>
  </w:style>
  <w:style w:type="paragraph" w:customStyle="1" w:styleId="zSoquijdatJuge">
    <w:name w:val="zSoquij_datJuge"/>
    <w:basedOn w:val="Normal"/>
    <w:rPr>
      <w:b/>
    </w:rPr>
  </w:style>
  <w:style w:type="paragraph" w:customStyle="1" w:styleId="zSoquijdatNomPartieDem">
    <w:name w:val="zSoquij_datNomPartieDem"/>
    <w:basedOn w:val="Normal"/>
    <w:rPr>
      <w:b/>
      <w:bCs/>
    </w:rPr>
  </w:style>
  <w:style w:type="paragraph" w:customStyle="1" w:styleId="zSoquijdatQtePartieDem">
    <w:name w:val="zSoquij_datQtePartieDem"/>
    <w:basedOn w:val="Normal"/>
    <w:pPr>
      <w:ind w:left="708"/>
    </w:pPr>
  </w:style>
  <w:style w:type="paragraph" w:customStyle="1" w:styleId="zSoquijlblLienParties">
    <w:name w:val="zSoquij_lblLienParties"/>
    <w:basedOn w:val="Normal"/>
  </w:style>
  <w:style w:type="paragraph" w:customStyle="1" w:styleId="zSoquijdatNomPartieDef">
    <w:name w:val="zSoquij_datNomPartieDef"/>
    <w:basedOn w:val="Normal"/>
    <w:rPr>
      <w:b/>
      <w:bCs/>
    </w:rPr>
  </w:style>
  <w:style w:type="paragraph" w:customStyle="1" w:styleId="zSoquijdatQtePartieDef">
    <w:name w:val="zSoquij_datQtePartieDef"/>
    <w:basedOn w:val="Normal"/>
    <w:pPr>
      <w:ind w:left="708"/>
    </w:pPr>
  </w:style>
  <w:style w:type="paragraph" w:customStyle="1" w:styleId="zSoquijlblTypeDocument">
    <w:name w:val="zSoquij_lblTypeDocument"/>
    <w:basedOn w:val="Normal"/>
    <w:pPr>
      <w:jc w:val="center"/>
    </w:pPr>
  </w:style>
  <w:style w:type="paragraph" w:customStyle="1" w:styleId="zSoquijlblProcureurDem">
    <w:name w:val="zSoquij_lblProcureurDem"/>
    <w:basedOn w:val="Normal"/>
  </w:style>
  <w:style w:type="paragraph" w:customStyle="1" w:styleId="zSoquijlblProcureurDef">
    <w:name w:val="zSoquij_lblProcureurDef"/>
    <w:basedOn w:val="Normal"/>
  </w:style>
  <w:style w:type="paragraph" w:customStyle="1" w:styleId="zSoquijlblDateAudience">
    <w:name w:val="zSoquij_lblDateAudience"/>
    <w:basedOn w:val="Normal"/>
  </w:style>
  <w:style w:type="paragraph" w:customStyle="1" w:styleId="zSoquijdatDateAudience">
    <w:name w:val="zSoquij_datDateAudience"/>
    <w:basedOn w:val="Normal"/>
  </w:style>
  <w:style w:type="paragraph" w:customStyle="1" w:styleId="zSoquijlblNomChambre">
    <w:name w:val="zSoquij_lblNomChambre"/>
    <w:basedOn w:val="Normal"/>
  </w:style>
  <w:style w:type="paragraph" w:customStyle="1" w:styleId="zSoquijlblOpinionJuge">
    <w:name w:val="zSoquij_lblOpinionJuge"/>
    <w:basedOn w:val="Normal"/>
    <w:pPr>
      <w:jc w:val="center"/>
    </w:pPr>
  </w:style>
  <w:style w:type="character" w:customStyle="1" w:styleId="zSoquijlblEntNoDossier">
    <w:name w:val="zSoquij_lblEntNoDossier"/>
    <w:rPr>
      <w:noProof w:val="0"/>
      <w:lang w:val="fr-CA"/>
    </w:rPr>
  </w:style>
  <w:style w:type="paragraph" w:customStyle="1" w:styleId="zSoquijlblTitrePartie">
    <w:name w:val="zSoquij_lblTitrePartie"/>
    <w:basedOn w:val="Normal"/>
  </w:style>
  <w:style w:type="paragraph" w:customStyle="1" w:styleId="zSoquijdatIdJuge">
    <w:name w:val="zSoquij_datIdJuge"/>
    <w:basedOn w:val="Normal"/>
    <w:pPr>
      <w:jc w:val="right"/>
    </w:pPr>
  </w:style>
  <w:style w:type="paragraph" w:customStyle="1" w:styleId="Sous-paragraphe">
    <w:name w:val="Sous-paragraphe"/>
    <w:basedOn w:val="Normal"/>
    <w:pPr>
      <w:widowControl w:val="0"/>
      <w:numPr>
        <w:ilvl w:val="1"/>
        <w:numId w:val="18"/>
      </w:numPr>
      <w:spacing w:after="120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  <w:pPr>
      <w:keepNext/>
    </w:pPr>
  </w:style>
  <w:style w:type="paragraph" w:customStyle="1" w:styleId="zSoquijdatNomProcureurDef">
    <w:name w:val="zSoquij_datNomProcureurDef"/>
    <w:basedOn w:val="zSoquijlblProcureurDef"/>
    <w:pPr>
      <w:keepNext/>
    </w:pPr>
  </w:style>
  <w:style w:type="paragraph" w:customStyle="1" w:styleId="zSoquijdatCabinetProcureurDem">
    <w:name w:val="zSoquij_datCabinetProcureurDem"/>
    <w:basedOn w:val="Normal"/>
    <w:pPr>
      <w:keepNext/>
    </w:pPr>
  </w:style>
  <w:style w:type="paragraph" w:customStyle="1" w:styleId="zSoquijdatCabinetProcureurDef">
    <w:name w:val="zSoquij_datCabinetProcureurDef"/>
    <w:basedOn w:val="zSoquijlblProcureurDef"/>
    <w:pPr>
      <w:keepNext/>
    </w:p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audroiteanglais">
    <w:name w:val="Tableau droite anglais"/>
    <w:basedOn w:val="Tableaugauchefranais"/>
    <w:pPr>
      <w:ind w:left="144" w:right="720"/>
      <w:jc w:val="both"/>
    </w:pPr>
    <w:rPr>
      <w:lang w:val="en-CA"/>
    </w:rPr>
  </w:style>
  <w:style w:type="paragraph" w:customStyle="1" w:styleId="Tableaugauchefranais">
    <w:name w:val="Tableau gauche français"/>
    <w:basedOn w:val="Normal"/>
    <w:pPr>
      <w:ind w:left="720" w:right="144"/>
    </w:pPr>
    <w:rPr>
      <w:sz w:val="22"/>
    </w:rPr>
  </w:style>
  <w:style w:type="character" w:styleId="Appelnotedebasdep">
    <w:name w:val="footnote reference"/>
    <w:semiHidden/>
    <w:rPr>
      <w:noProof w:val="0"/>
      <w:vertAlign w:val="superscript"/>
      <w:lang w:val="fr-CA"/>
    </w:rPr>
  </w:style>
  <w:style w:type="paragraph" w:styleId="Corpsdetexte3">
    <w:name w:val="Body Text 3"/>
    <w:basedOn w:val="Normal"/>
    <w:semiHidden/>
    <w:pPr>
      <w:spacing w:after="120"/>
    </w:pPr>
    <w:rPr>
      <w:sz w:val="16"/>
    </w:rPr>
  </w:style>
  <w:style w:type="paragraph" w:customStyle="1" w:styleId="zSoquijdatRepertorie">
    <w:name w:val="zSoquij_datRepertorie"/>
    <w:basedOn w:val="zSoquijlblCour"/>
    <w:pPr>
      <w:spacing w:line="240" w:lineRule="auto"/>
      <w:jc w:val="left"/>
    </w:pPr>
    <w:rPr>
      <w:sz w:val="22"/>
    </w:rPr>
  </w:style>
  <w:style w:type="paragraph" w:customStyle="1" w:styleId="zSoquijdatRefNeutre">
    <w:name w:val="zSoquij_datRefNeutre"/>
    <w:basedOn w:val="zSoquijlblCour"/>
    <w:pPr>
      <w:spacing w:line="240" w:lineRule="auto"/>
      <w:jc w:val="left"/>
    </w:pPr>
    <w:rPr>
      <w:sz w:val="22"/>
    </w:rPr>
  </w:style>
  <w:style w:type="table" w:styleId="Grilledutableau">
    <w:name w:val="Table Grid"/>
    <w:basedOn w:val="TableauNormal"/>
    <w:uiPriority w:val="39"/>
    <w:rsid w:val="00E2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32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3239"/>
    <w:rPr>
      <w:rFonts w:ascii="Segoe UI" w:hAnsi="Segoe UI" w:cs="Segoe UI"/>
      <w:sz w:val="18"/>
      <w:szCs w:val="18"/>
      <w:lang w:eastAsia="fr-FR"/>
    </w:rPr>
  </w:style>
  <w:style w:type="paragraph" w:customStyle="1" w:styleId="JgtParagraphe">
    <w:name w:val="Jgt Paragraphe"/>
    <w:basedOn w:val="Normal"/>
    <w:qFormat/>
    <w:rsid w:val="005C7BE3"/>
    <w:pPr>
      <w:tabs>
        <w:tab w:val="num" w:pos="720"/>
      </w:tabs>
      <w:spacing w:before="120" w:after="120" w:line="500" w:lineRule="exact"/>
      <w:jc w:val="both"/>
    </w:pPr>
    <w:rPr>
      <w:kern w:val="28"/>
      <w:szCs w:val="24"/>
      <w:lang w:val="fr-FR" w:eastAsia="en-US"/>
    </w:rPr>
  </w:style>
  <w:style w:type="paragraph" w:customStyle="1" w:styleId="JgtCitation">
    <w:name w:val="Jgt Citation"/>
    <w:basedOn w:val="Normal"/>
    <w:qFormat/>
    <w:rsid w:val="00894256"/>
    <w:pPr>
      <w:spacing w:before="120" w:after="120" w:line="240" w:lineRule="auto"/>
      <w:ind w:left="720" w:right="720"/>
      <w:jc w:val="both"/>
    </w:pPr>
    <w:rPr>
      <w:kern w:val="24"/>
      <w:sz w:val="22"/>
      <w:szCs w:val="24"/>
      <w:lang w:val="fr-FR" w:eastAsia="en-US"/>
    </w:rPr>
  </w:style>
  <w:style w:type="character" w:styleId="Marquedecommentaire">
    <w:name w:val="annotation reference"/>
    <w:uiPriority w:val="99"/>
    <w:semiHidden/>
    <w:unhideWhenUsed/>
    <w:rsid w:val="006C45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5E3"/>
    <w:rPr>
      <w:sz w:val="20"/>
    </w:rPr>
  </w:style>
  <w:style w:type="character" w:customStyle="1" w:styleId="CommentaireCar">
    <w:name w:val="Commentaire Car"/>
    <w:link w:val="Commentaire"/>
    <w:uiPriority w:val="99"/>
    <w:rsid w:val="006C45E3"/>
    <w:rPr>
      <w:rFonts w:ascii="Arial" w:hAnsi="Arial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5E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C45E3"/>
    <w:rPr>
      <w:rFonts w:ascii="Arial" w:hAnsi="Arial"/>
      <w:b/>
      <w:bCs/>
      <w:lang w:val="fr-CA" w:eastAsia="fr-FR"/>
    </w:rPr>
  </w:style>
  <w:style w:type="paragraph" w:styleId="Rvision">
    <w:name w:val="Revision"/>
    <w:hidden/>
    <w:uiPriority w:val="99"/>
    <w:semiHidden/>
    <w:rsid w:val="005E4317"/>
    <w:rPr>
      <w:rFonts w:ascii="Arial" w:hAnsi="Arial"/>
      <w:sz w:val="24"/>
      <w:lang w:eastAsia="fr-FR"/>
    </w:rPr>
  </w:style>
  <w:style w:type="character" w:styleId="Hyperlien">
    <w:name w:val="Hyperlink"/>
    <w:uiPriority w:val="99"/>
    <w:semiHidden/>
    <w:unhideWhenUsed/>
    <w:rsid w:val="00834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barits_SOQUIJ\Gabarits_SOQUIJ%20CA\CAFra-VERSION%20aout.%202021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2528-5E49-44AB-A04D-F0F9CCE2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CAFra-VERSION aout. 2021.dotm</Template>
  <TotalTime>0</TotalTime>
  <Pages>7</Pages>
  <Words>1990</Words>
  <Characters>10945</Characters>
  <Application>Microsoft Office Word</Application>
  <DocSecurity>0</DocSecurity>
  <Lines>91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Gabarit de jugement pour la cour d'appel</vt:lpstr>
      <vt:lpstr>Gabarit de jugement pour la cour d'appel</vt:lpstr>
    </vt:vector>
  </TitlesOfParts>
  <Manager>Patrice Tardif</Manager>
  <Company>MJQ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 jugement pour la cour d'appel</dc:title>
  <dc:subject/>
  <dc:creator>Annie Morin</dc:creator>
  <cp:keywords/>
  <dc:description/>
  <cp:lastModifiedBy>Laprise, Andrée-Anne</cp:lastModifiedBy>
  <cp:revision>2</cp:revision>
  <cp:lastPrinted>2018-08-07T15:35:00Z</cp:lastPrinted>
  <dcterms:created xsi:type="dcterms:W3CDTF">2023-05-04T12:26:00Z</dcterms:created>
  <dcterms:modified xsi:type="dcterms:W3CDTF">2023-05-04T12:26:00Z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quij_DateModification">
    <vt:lpwstr>04-26-2001</vt:lpwstr>
  </property>
  <property fmtid="{D5CDD505-2E9C-101B-9397-08002B2CF9AE}" pid="3" name="Soquij_Version">
    <vt:lpwstr>1.6</vt:lpwstr>
  </property>
  <property fmtid="{D5CDD505-2E9C-101B-9397-08002B2CF9AE}" pid="4" name="Soquij_ModifiePar">
    <vt:lpwstr>renste</vt:lpwstr>
  </property>
  <property fmtid="{D5CDD505-2E9C-101B-9397-08002B2CF9AE}" pid="5" name="Soquij_Modele">
    <vt:lpwstr>Edj</vt:lpwstr>
  </property>
  <property fmtid="{D5CDD505-2E9C-101B-9397-08002B2CF9AE}" pid="6" name="Soquij_Cour">
    <vt:lpwstr>CA</vt:lpwstr>
  </property>
  <property fmtid="{D5CDD505-2E9C-101B-9397-08002B2CF9AE}" pid="7" name="Soquij_Langue">
    <vt:lpwstr>Fra</vt:lpwstr>
  </property>
</Properties>
</file>