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FEC02" w14:textId="45DEF8BA" w:rsidR="008F05E7" w:rsidRDefault="008F05E7">
      <w:r>
        <w:t>Unofficial English Translation of the Judgment of the Court</w:t>
      </w:r>
      <w:r w:rsidR="0002122F">
        <w:t>*</w:t>
      </w:r>
    </w:p>
    <w:p w14:paraId="30EAE2E5" w14:textId="77777777" w:rsidR="008F05E7" w:rsidRDefault="008F05E7"/>
    <w:tbl>
      <w:tblPr>
        <w:tblW w:w="9270" w:type="dxa"/>
        <w:tblInd w:w="8" w:type="dxa"/>
        <w:tblLayout w:type="fixed"/>
        <w:tblCellMar>
          <w:left w:w="0" w:type="dxa"/>
          <w:right w:w="0" w:type="dxa"/>
        </w:tblCellMar>
        <w:tblLook w:val="0000" w:firstRow="0" w:lastRow="0" w:firstColumn="0" w:lastColumn="0" w:noHBand="0" w:noVBand="0"/>
      </w:tblPr>
      <w:tblGrid>
        <w:gridCol w:w="1030"/>
        <w:gridCol w:w="50"/>
        <w:gridCol w:w="592"/>
        <w:gridCol w:w="1928"/>
        <w:gridCol w:w="3480"/>
        <w:gridCol w:w="2190"/>
      </w:tblGrid>
      <w:tr w:rsidR="00E201A8" w14:paraId="287CCADF" w14:textId="77777777">
        <w:trPr>
          <w:trHeight w:val="284"/>
        </w:trPr>
        <w:tc>
          <w:tcPr>
            <w:tcW w:w="7080" w:type="dxa"/>
            <w:gridSpan w:val="5"/>
          </w:tcPr>
          <w:p w14:paraId="7F22FCA2" w14:textId="0AB66BC1" w:rsidR="006B3E24" w:rsidRPr="00E8050B" w:rsidRDefault="0012174C" w:rsidP="00F046DD">
            <w:pPr>
              <w:pStyle w:val="zSoquijdatRepertorie"/>
              <w:rPr>
                <w:rFonts w:cs="Arial"/>
                <w:lang w:val="fr-CA"/>
              </w:rPr>
            </w:pPr>
            <w:r w:rsidRPr="00E8050B">
              <w:rPr>
                <w:rFonts w:cs="Arial"/>
                <w:lang w:val="fr-CA"/>
              </w:rPr>
              <w:t>Richer c. Sirois</w:t>
            </w:r>
          </w:p>
        </w:tc>
        <w:tc>
          <w:tcPr>
            <w:tcW w:w="2190" w:type="dxa"/>
          </w:tcPr>
          <w:p w14:paraId="7C42C497" w14:textId="7789A3A5" w:rsidR="006B3E24" w:rsidRPr="00E8050B" w:rsidRDefault="0012174C" w:rsidP="0018073B">
            <w:pPr>
              <w:pStyle w:val="zSoquijdatRefNeutre"/>
              <w:jc w:val="right"/>
              <w:rPr>
                <w:rFonts w:cs="Arial"/>
                <w:lang w:val="fr-CA"/>
              </w:rPr>
            </w:pPr>
            <w:r w:rsidRPr="00E8050B">
              <w:rPr>
                <w:rFonts w:cs="Arial"/>
                <w:lang w:val="fr-CA"/>
              </w:rPr>
              <w:t>2023 QCCA 693</w:t>
            </w:r>
          </w:p>
        </w:tc>
      </w:tr>
      <w:tr w:rsidR="00E201A8" w14:paraId="74EF8764" w14:textId="77777777">
        <w:trPr>
          <w:trHeight w:val="247"/>
        </w:trPr>
        <w:tc>
          <w:tcPr>
            <w:tcW w:w="9270" w:type="dxa"/>
            <w:gridSpan w:val="6"/>
          </w:tcPr>
          <w:p w14:paraId="567F83C9" w14:textId="60CF80C0" w:rsidR="006B3E24" w:rsidRPr="00E8050B" w:rsidRDefault="0012174C">
            <w:pPr>
              <w:pStyle w:val="zSoquijlblCour"/>
            </w:pPr>
            <w:r w:rsidRPr="00E8050B">
              <w:t>COURT OF APPEAL</w:t>
            </w:r>
          </w:p>
        </w:tc>
      </w:tr>
      <w:tr w:rsidR="00E201A8" w14:paraId="77312F09" w14:textId="77777777">
        <w:trPr>
          <w:trHeight w:val="540"/>
        </w:trPr>
        <w:tc>
          <w:tcPr>
            <w:tcW w:w="9270" w:type="dxa"/>
            <w:gridSpan w:val="6"/>
          </w:tcPr>
          <w:p w14:paraId="2429EB36" w14:textId="77777777" w:rsidR="006B3E24" w:rsidRPr="00A90F7A" w:rsidRDefault="006B3E24">
            <w:pPr>
              <w:pStyle w:val="zSoquijdatDivision"/>
            </w:pPr>
          </w:p>
        </w:tc>
      </w:tr>
      <w:tr w:rsidR="00E201A8" w14:paraId="05919E81" w14:textId="77777777">
        <w:tc>
          <w:tcPr>
            <w:tcW w:w="9270" w:type="dxa"/>
            <w:gridSpan w:val="6"/>
          </w:tcPr>
          <w:p w14:paraId="34E663DB" w14:textId="5B71857E" w:rsidR="006B3E24" w:rsidRPr="00E8050B" w:rsidRDefault="0012174C">
            <w:pPr>
              <w:pStyle w:val="zSoquijlblPays"/>
            </w:pPr>
            <w:r w:rsidRPr="00E8050B">
              <w:t>CANADA</w:t>
            </w:r>
          </w:p>
        </w:tc>
      </w:tr>
      <w:tr w:rsidR="00E201A8" w14:paraId="7BDEDAA4" w14:textId="77777777">
        <w:tc>
          <w:tcPr>
            <w:tcW w:w="9270" w:type="dxa"/>
            <w:gridSpan w:val="6"/>
          </w:tcPr>
          <w:p w14:paraId="3E7A7B74" w14:textId="40F303F5" w:rsidR="006B3E24" w:rsidRPr="00E8050B" w:rsidRDefault="0012174C">
            <w:pPr>
              <w:pStyle w:val="zSoquijlblProvince"/>
            </w:pPr>
            <w:r w:rsidRPr="00E8050B">
              <w:t>PROVINCE OF QUEBEC</w:t>
            </w:r>
          </w:p>
        </w:tc>
      </w:tr>
      <w:tr w:rsidR="00E201A8" w14:paraId="31C5BC53" w14:textId="77777777">
        <w:tc>
          <w:tcPr>
            <w:tcW w:w="1672" w:type="dxa"/>
            <w:gridSpan w:val="3"/>
          </w:tcPr>
          <w:p w14:paraId="2F76CD0D" w14:textId="43442A99" w:rsidR="006B3E24" w:rsidRPr="00E8050B" w:rsidRDefault="0012174C">
            <w:pPr>
              <w:pStyle w:val="zSoquijlblGreffe"/>
            </w:pPr>
            <w:r w:rsidRPr="00E8050B">
              <w:t>REGISTRY OF</w:t>
            </w:r>
          </w:p>
        </w:tc>
        <w:tc>
          <w:tcPr>
            <w:tcW w:w="7598" w:type="dxa"/>
            <w:gridSpan w:val="3"/>
          </w:tcPr>
          <w:p w14:paraId="7BA52EC8" w14:textId="7E051C91" w:rsidR="006B3E24" w:rsidRPr="00E8050B" w:rsidRDefault="0012174C">
            <w:pPr>
              <w:pStyle w:val="zSoquijdatGreffe"/>
            </w:pPr>
            <w:r w:rsidRPr="00E8050B">
              <w:t>MONTREAL</w:t>
            </w:r>
          </w:p>
          <w:p w14:paraId="0B009E4E" w14:textId="77777777" w:rsidR="006B3E24" w:rsidRPr="00A90F7A" w:rsidRDefault="006B3E24">
            <w:pPr>
              <w:pStyle w:val="zSoquijdatGreffe"/>
            </w:pPr>
          </w:p>
        </w:tc>
      </w:tr>
      <w:tr w:rsidR="00E201A8" w14:paraId="197C482B" w14:textId="77777777">
        <w:tc>
          <w:tcPr>
            <w:tcW w:w="1030" w:type="dxa"/>
          </w:tcPr>
          <w:p w14:paraId="09D69984" w14:textId="5F7EE934" w:rsidR="006B3E24" w:rsidRPr="00E8050B" w:rsidRDefault="0012174C">
            <w:pPr>
              <w:pStyle w:val="zSoquijlblNoDossier"/>
            </w:pPr>
            <w:r w:rsidRPr="00E8050B">
              <w:t>No.:</w:t>
            </w:r>
          </w:p>
        </w:tc>
        <w:tc>
          <w:tcPr>
            <w:tcW w:w="8240" w:type="dxa"/>
            <w:gridSpan w:val="5"/>
          </w:tcPr>
          <w:p w14:paraId="08CC1CDF" w14:textId="7A72C040" w:rsidR="006B3E24" w:rsidRPr="00A90F7A" w:rsidRDefault="0012174C">
            <w:pPr>
              <w:pStyle w:val="zSoquijdatNoDossier"/>
            </w:pPr>
            <w:r>
              <w:t>500-09-029445-210</w:t>
            </w:r>
          </w:p>
        </w:tc>
      </w:tr>
      <w:tr w:rsidR="00E201A8" w14:paraId="45257F68" w14:textId="77777777">
        <w:tc>
          <w:tcPr>
            <w:tcW w:w="9270" w:type="dxa"/>
            <w:gridSpan w:val="6"/>
          </w:tcPr>
          <w:p w14:paraId="4FE95317" w14:textId="5E51D3FC" w:rsidR="00532A41" w:rsidRPr="00A90F7A" w:rsidRDefault="0012174C" w:rsidP="00532A41">
            <w:pPr>
              <w:pStyle w:val="zSoquijdatNoDossierAnt"/>
            </w:pPr>
            <w:r>
              <w:t>(500-17-096324-168)</w:t>
            </w:r>
          </w:p>
        </w:tc>
      </w:tr>
      <w:tr w:rsidR="00E201A8" w14:paraId="696B554F" w14:textId="77777777">
        <w:tc>
          <w:tcPr>
            <w:tcW w:w="9270" w:type="dxa"/>
            <w:gridSpan w:val="6"/>
          </w:tcPr>
          <w:p w14:paraId="4A95A1C1" w14:textId="77777777" w:rsidR="006B3E24" w:rsidRPr="00A90F7A" w:rsidRDefault="006B3E24"/>
        </w:tc>
      </w:tr>
      <w:tr w:rsidR="00E201A8" w14:paraId="78B8EC0A" w14:textId="77777777">
        <w:tc>
          <w:tcPr>
            <w:tcW w:w="1030" w:type="dxa"/>
          </w:tcPr>
          <w:p w14:paraId="55B49CA0" w14:textId="1CC4D964" w:rsidR="006B3E24" w:rsidRPr="00E8050B" w:rsidRDefault="0012174C">
            <w:pPr>
              <w:pStyle w:val="zSoquijlblDateJugement"/>
            </w:pPr>
            <w:r w:rsidRPr="00E8050B">
              <w:t>DATE:</w:t>
            </w:r>
          </w:p>
        </w:tc>
        <w:tc>
          <w:tcPr>
            <w:tcW w:w="8240" w:type="dxa"/>
            <w:gridSpan w:val="5"/>
          </w:tcPr>
          <w:p w14:paraId="0CE999AB" w14:textId="2919C062" w:rsidR="006B3E24" w:rsidRPr="00E8050B" w:rsidRDefault="0012174C">
            <w:pPr>
              <w:pStyle w:val="zSoquijdatDateJugement"/>
            </w:pPr>
            <w:r w:rsidRPr="00E8050B">
              <w:t>May 31, 2023</w:t>
            </w:r>
          </w:p>
        </w:tc>
      </w:tr>
      <w:tr w:rsidR="00E201A8" w14:paraId="7A8A28F8" w14:textId="77777777">
        <w:tc>
          <w:tcPr>
            <w:tcW w:w="9270" w:type="dxa"/>
            <w:gridSpan w:val="6"/>
            <w:tcBorders>
              <w:bottom w:val="single" w:sz="8" w:space="0" w:color="auto"/>
            </w:tcBorders>
          </w:tcPr>
          <w:p w14:paraId="6944414D" w14:textId="77777777" w:rsidR="006B3E24" w:rsidRPr="00A90F7A" w:rsidRDefault="006B3E24"/>
        </w:tc>
      </w:tr>
      <w:tr w:rsidR="00E201A8" w14:paraId="7D6675BA" w14:textId="77777777">
        <w:tc>
          <w:tcPr>
            <w:tcW w:w="9270" w:type="dxa"/>
            <w:gridSpan w:val="6"/>
            <w:tcBorders>
              <w:top w:val="single" w:sz="8" w:space="0" w:color="auto"/>
            </w:tcBorders>
          </w:tcPr>
          <w:p w14:paraId="2152B7EB" w14:textId="77777777" w:rsidR="006B3E24" w:rsidRPr="00A90F7A" w:rsidRDefault="006B3E24"/>
        </w:tc>
      </w:tr>
      <w:tr w:rsidR="00E201A8" w14:paraId="4A4DEDB3" w14:textId="77777777">
        <w:tc>
          <w:tcPr>
            <w:tcW w:w="1080" w:type="dxa"/>
            <w:gridSpan w:val="2"/>
          </w:tcPr>
          <w:p w14:paraId="5EBF6C16" w14:textId="0D420137" w:rsidR="006B3E24" w:rsidRPr="00E8050B" w:rsidRDefault="0012174C">
            <w:pPr>
              <w:pStyle w:val="zSoquijlblJuge"/>
            </w:pPr>
            <w:r w:rsidRPr="00E8050B">
              <w:t>CORAM:</w:t>
            </w:r>
          </w:p>
        </w:tc>
        <w:tc>
          <w:tcPr>
            <w:tcW w:w="2520" w:type="dxa"/>
            <w:gridSpan w:val="2"/>
          </w:tcPr>
          <w:p w14:paraId="70A26A38" w14:textId="625AB5BA" w:rsidR="006B3E24" w:rsidRPr="00E8050B" w:rsidRDefault="0012174C">
            <w:pPr>
              <w:pStyle w:val="zSoquijdatQteJuge"/>
            </w:pPr>
            <w:r w:rsidRPr="00E8050B">
              <w:t>THE HONOURABLE</w:t>
            </w:r>
          </w:p>
        </w:tc>
        <w:tc>
          <w:tcPr>
            <w:tcW w:w="5670" w:type="dxa"/>
            <w:gridSpan w:val="2"/>
          </w:tcPr>
          <w:p w14:paraId="21D1EB92" w14:textId="4E43B588" w:rsidR="006B3E24" w:rsidRPr="00E8050B" w:rsidRDefault="0012174C">
            <w:pPr>
              <w:pStyle w:val="zSoquijdatJuge"/>
              <w:rPr>
                <w:lang w:val="fr-FR"/>
              </w:rPr>
            </w:pPr>
            <w:r w:rsidRPr="00E8050B">
              <w:rPr>
                <w:lang w:val="fr-CA"/>
              </w:rPr>
              <w:t>MARK SCHRAGER, J.A.</w:t>
            </w:r>
          </w:p>
          <w:p w14:paraId="0D46F205" w14:textId="49E4420F" w:rsidR="006B3E24" w:rsidRPr="00E8050B" w:rsidRDefault="0012174C">
            <w:pPr>
              <w:pStyle w:val="zSoquijdatJuge"/>
              <w:rPr>
                <w:lang w:val="fr-FR"/>
              </w:rPr>
            </w:pPr>
            <w:r w:rsidRPr="00E8050B">
              <w:rPr>
                <w:lang w:val="fr-CA"/>
              </w:rPr>
              <w:t>SOPHIE LAVALLÉE, J.A.</w:t>
            </w:r>
          </w:p>
          <w:p w14:paraId="75BF6335" w14:textId="63956B70" w:rsidR="00447B9B" w:rsidRPr="00E8050B" w:rsidRDefault="0012174C" w:rsidP="00532A41">
            <w:pPr>
              <w:pStyle w:val="zSoquijdatJuge"/>
            </w:pPr>
            <w:bookmarkStart w:id="0" w:name="_Hlt520513784"/>
            <w:bookmarkEnd w:id="0"/>
            <w:r w:rsidRPr="00E8050B">
              <w:t>FRÉDÉRIC BACHAND, J.A.</w:t>
            </w:r>
          </w:p>
        </w:tc>
      </w:tr>
      <w:tr w:rsidR="00E201A8" w14:paraId="112D45F5" w14:textId="77777777">
        <w:tc>
          <w:tcPr>
            <w:tcW w:w="9270" w:type="dxa"/>
            <w:gridSpan w:val="6"/>
            <w:tcBorders>
              <w:bottom w:val="single" w:sz="8" w:space="0" w:color="auto"/>
            </w:tcBorders>
          </w:tcPr>
          <w:p w14:paraId="2AA4D933" w14:textId="77777777" w:rsidR="006B3E24" w:rsidRPr="00A90F7A" w:rsidRDefault="006B3E24">
            <w:pPr>
              <w:rPr>
                <w:lang w:val="de-DE"/>
              </w:rPr>
            </w:pPr>
          </w:p>
        </w:tc>
      </w:tr>
      <w:tr w:rsidR="00E201A8" w14:paraId="36DD5D40" w14:textId="77777777">
        <w:tc>
          <w:tcPr>
            <w:tcW w:w="9270" w:type="dxa"/>
            <w:gridSpan w:val="6"/>
          </w:tcPr>
          <w:p w14:paraId="10E185F9" w14:textId="77777777" w:rsidR="006B3E24" w:rsidRPr="00A90F7A" w:rsidRDefault="006B3E24">
            <w:pPr>
              <w:pStyle w:val="zSoquijlblTitrePartie"/>
              <w:rPr>
                <w:lang w:val="de-DE"/>
              </w:rPr>
            </w:pPr>
          </w:p>
        </w:tc>
      </w:tr>
      <w:tr w:rsidR="00E201A8" w14:paraId="2B299964" w14:textId="77777777">
        <w:tc>
          <w:tcPr>
            <w:tcW w:w="9270" w:type="dxa"/>
            <w:gridSpan w:val="6"/>
          </w:tcPr>
          <w:p w14:paraId="654F3824" w14:textId="28F79B18" w:rsidR="006B3E24" w:rsidRPr="00E8050B" w:rsidRDefault="0012174C">
            <w:pPr>
              <w:pStyle w:val="zSoquijdatNomPartieDem"/>
              <w:rPr>
                <w:lang w:val="de-DE"/>
              </w:rPr>
            </w:pPr>
            <w:r w:rsidRPr="00E8050B">
              <w:t>KEVIN RICHER</w:t>
            </w:r>
          </w:p>
        </w:tc>
      </w:tr>
      <w:tr w:rsidR="00E201A8" w14:paraId="555030C7" w14:textId="77777777">
        <w:tc>
          <w:tcPr>
            <w:tcW w:w="9270" w:type="dxa"/>
            <w:gridSpan w:val="6"/>
          </w:tcPr>
          <w:p w14:paraId="75EE62C6" w14:textId="2B80E0E7" w:rsidR="006B3E24" w:rsidRPr="00E8050B" w:rsidRDefault="0012174C">
            <w:pPr>
              <w:pStyle w:val="zSoquijdatQtePartieDem"/>
              <w:rPr>
                <w:lang w:val="de-DE"/>
              </w:rPr>
            </w:pPr>
            <w:r w:rsidRPr="00E8050B">
              <w:t>APPELLANT – Defendant/Cross-Plaintiff</w:t>
            </w:r>
          </w:p>
        </w:tc>
      </w:tr>
      <w:tr w:rsidR="00E201A8" w14:paraId="4EA29479" w14:textId="77777777">
        <w:tc>
          <w:tcPr>
            <w:tcW w:w="9270" w:type="dxa"/>
            <w:gridSpan w:val="6"/>
          </w:tcPr>
          <w:p w14:paraId="006C1D09" w14:textId="5CA6F7E7" w:rsidR="006B3E24" w:rsidRPr="00E8050B" w:rsidRDefault="0012174C">
            <w:pPr>
              <w:pStyle w:val="zSoquijlblLienParties"/>
            </w:pPr>
            <w:r w:rsidRPr="00E8050B">
              <w:t>v.</w:t>
            </w:r>
          </w:p>
        </w:tc>
      </w:tr>
      <w:tr w:rsidR="00E201A8" w14:paraId="3DDE2629" w14:textId="77777777">
        <w:tc>
          <w:tcPr>
            <w:tcW w:w="9270" w:type="dxa"/>
            <w:gridSpan w:val="6"/>
          </w:tcPr>
          <w:p w14:paraId="4E26B442" w14:textId="77777777" w:rsidR="006B3E24" w:rsidRPr="00A90F7A" w:rsidRDefault="006B3E24"/>
        </w:tc>
      </w:tr>
      <w:tr w:rsidR="00E201A8" w14:paraId="341764A2" w14:textId="77777777">
        <w:tc>
          <w:tcPr>
            <w:tcW w:w="9270" w:type="dxa"/>
            <w:gridSpan w:val="6"/>
          </w:tcPr>
          <w:p w14:paraId="0E6AD91A" w14:textId="388106DD" w:rsidR="006B3E24" w:rsidRPr="00E8050B" w:rsidRDefault="00FD27DD">
            <w:pPr>
              <w:pStyle w:val="zSoquijdatNomPartieDef"/>
            </w:pPr>
            <w:r w:rsidRPr="00E8050B">
              <w:t>SÉBASTIEN SIROIS</w:t>
            </w:r>
          </w:p>
        </w:tc>
      </w:tr>
      <w:tr w:rsidR="00E201A8" w14:paraId="0F954D48" w14:textId="77777777">
        <w:tc>
          <w:tcPr>
            <w:tcW w:w="9270" w:type="dxa"/>
            <w:gridSpan w:val="6"/>
          </w:tcPr>
          <w:p w14:paraId="2159DD8E" w14:textId="1B890CE0" w:rsidR="00532A41" w:rsidRPr="00E8050B" w:rsidRDefault="0084114F">
            <w:pPr>
              <w:pStyle w:val="zSoquijdatNomPartieDef"/>
            </w:pPr>
            <w:r w:rsidRPr="00E8050B">
              <w:t>NEON BUDDHA LTD.</w:t>
            </w:r>
          </w:p>
        </w:tc>
      </w:tr>
      <w:tr w:rsidR="00E201A8" w14:paraId="3D59CCBB" w14:textId="77777777">
        <w:tc>
          <w:tcPr>
            <w:tcW w:w="9270" w:type="dxa"/>
            <w:gridSpan w:val="6"/>
          </w:tcPr>
          <w:p w14:paraId="007C5872" w14:textId="3CDB33AA" w:rsidR="006B3E24" w:rsidRPr="00E8050B" w:rsidRDefault="0084114F">
            <w:pPr>
              <w:pStyle w:val="zSoquijdatQtePartieDef"/>
            </w:pPr>
            <w:r w:rsidRPr="00E8050B">
              <w:t>RESPONDENTS – Plaintiffs/Cross-Defendants</w:t>
            </w:r>
          </w:p>
        </w:tc>
      </w:tr>
      <w:tr w:rsidR="00E201A8" w14:paraId="6699E089" w14:textId="77777777">
        <w:tc>
          <w:tcPr>
            <w:tcW w:w="9270" w:type="dxa"/>
            <w:gridSpan w:val="6"/>
          </w:tcPr>
          <w:p w14:paraId="578A1023" w14:textId="3C66917A" w:rsidR="00532A41" w:rsidRPr="00E8050B" w:rsidRDefault="0084114F" w:rsidP="00532A41">
            <w:r w:rsidRPr="00E8050B">
              <w:t>and</w:t>
            </w:r>
          </w:p>
        </w:tc>
      </w:tr>
      <w:tr w:rsidR="00E201A8" w14:paraId="35E0B811" w14:textId="77777777">
        <w:tc>
          <w:tcPr>
            <w:tcW w:w="9270" w:type="dxa"/>
            <w:gridSpan w:val="6"/>
          </w:tcPr>
          <w:p w14:paraId="3847CF19" w14:textId="6EAB7098" w:rsidR="00532A41" w:rsidRPr="00E8050B" w:rsidRDefault="0084114F" w:rsidP="00532A41">
            <w:pPr>
              <w:pStyle w:val="zSoquijdatNomPartieDef"/>
            </w:pPr>
            <w:r w:rsidRPr="00E8050B">
              <w:t>PURE &amp; CO USA LTD.</w:t>
            </w:r>
          </w:p>
        </w:tc>
      </w:tr>
      <w:tr w:rsidR="00E201A8" w14:paraId="22F0D85E" w14:textId="77777777">
        <w:tc>
          <w:tcPr>
            <w:tcW w:w="9270" w:type="dxa"/>
            <w:gridSpan w:val="6"/>
          </w:tcPr>
          <w:p w14:paraId="4A4DBA4C" w14:textId="14580B3C" w:rsidR="00532A41" w:rsidRPr="00E8050B" w:rsidRDefault="0084114F" w:rsidP="00532A41">
            <w:pPr>
              <w:pStyle w:val="zSoquijdatNomPartieDef"/>
            </w:pPr>
            <w:r w:rsidRPr="00E8050B">
              <w:t>PURE &amp; CO LTD.</w:t>
            </w:r>
          </w:p>
        </w:tc>
      </w:tr>
      <w:tr w:rsidR="00E201A8" w14:paraId="29D2D2BD" w14:textId="77777777">
        <w:tc>
          <w:tcPr>
            <w:tcW w:w="9270" w:type="dxa"/>
            <w:gridSpan w:val="6"/>
          </w:tcPr>
          <w:p w14:paraId="572B0E5C" w14:textId="2E39EFA1" w:rsidR="00532A41" w:rsidRPr="00E8050B" w:rsidRDefault="0084114F" w:rsidP="00532A41">
            <w:pPr>
              <w:pStyle w:val="zSoquijdatNomPartieDef"/>
            </w:pPr>
            <w:r w:rsidRPr="00E8050B">
              <w:t>BPO SOLUTIONS LTD.</w:t>
            </w:r>
          </w:p>
        </w:tc>
      </w:tr>
      <w:tr w:rsidR="00E201A8" w14:paraId="34124825" w14:textId="77777777">
        <w:tc>
          <w:tcPr>
            <w:tcW w:w="9270" w:type="dxa"/>
            <w:gridSpan w:val="6"/>
          </w:tcPr>
          <w:p w14:paraId="090230AE" w14:textId="0DA831EA" w:rsidR="00532A41" w:rsidRPr="00E8050B" w:rsidRDefault="0084114F" w:rsidP="00532A41">
            <w:pPr>
              <w:pStyle w:val="zSoquijdatQtePartieDef"/>
            </w:pPr>
            <w:r w:rsidRPr="00E8050B">
              <w:t>RESPONDENTS – Cross-Defendants</w:t>
            </w:r>
          </w:p>
        </w:tc>
      </w:tr>
      <w:tr w:rsidR="00E201A8" w14:paraId="5B335DB7" w14:textId="77777777">
        <w:tc>
          <w:tcPr>
            <w:tcW w:w="9270" w:type="dxa"/>
            <w:gridSpan w:val="6"/>
          </w:tcPr>
          <w:p w14:paraId="06573906" w14:textId="7019AEBA" w:rsidR="00532A41" w:rsidRPr="00E8050B" w:rsidRDefault="0084114F" w:rsidP="00532A41">
            <w:r w:rsidRPr="00E8050B">
              <w:t>and</w:t>
            </w:r>
          </w:p>
        </w:tc>
      </w:tr>
      <w:tr w:rsidR="00E201A8" w14:paraId="5ED07ACD" w14:textId="77777777">
        <w:tc>
          <w:tcPr>
            <w:tcW w:w="9270" w:type="dxa"/>
            <w:gridSpan w:val="6"/>
          </w:tcPr>
          <w:p w14:paraId="5C9F1AB5" w14:textId="5108B31E" w:rsidR="00532A41" w:rsidRPr="00E8050B" w:rsidRDefault="0084114F" w:rsidP="00532A41">
            <w:pPr>
              <w:pStyle w:val="zSoquijdatNomPartieDef"/>
            </w:pPr>
            <w:r w:rsidRPr="00E8050B">
              <w:t>BAA LTÉE</w:t>
            </w:r>
          </w:p>
        </w:tc>
      </w:tr>
      <w:tr w:rsidR="00E201A8" w14:paraId="71E4B0F5" w14:textId="77777777">
        <w:tc>
          <w:tcPr>
            <w:tcW w:w="9270" w:type="dxa"/>
            <w:gridSpan w:val="6"/>
          </w:tcPr>
          <w:p w14:paraId="1D5C1D81" w14:textId="62F1C149" w:rsidR="00532A41" w:rsidRPr="00E8050B" w:rsidRDefault="0084114F" w:rsidP="00532A41">
            <w:pPr>
              <w:pStyle w:val="zSoquijdatNomPartieDef"/>
            </w:pPr>
            <w:r w:rsidRPr="00E8050B">
              <w:t>NICOLAS BRABANT-ANGERS</w:t>
            </w:r>
          </w:p>
        </w:tc>
      </w:tr>
      <w:tr w:rsidR="00E201A8" w14:paraId="57263705" w14:textId="77777777">
        <w:tc>
          <w:tcPr>
            <w:tcW w:w="9270" w:type="dxa"/>
            <w:gridSpan w:val="6"/>
          </w:tcPr>
          <w:p w14:paraId="3BCE421F" w14:textId="77777777" w:rsidR="00532A41" w:rsidRPr="00E8050B" w:rsidRDefault="00EC07A1" w:rsidP="00532A41">
            <w:pPr>
              <w:pStyle w:val="zSoquijdatQtePartieDef"/>
            </w:pPr>
            <w:r w:rsidRPr="00E8050B">
              <w:t>IMPLEADED PARTIES – Impleaded parties</w:t>
            </w:r>
          </w:p>
          <w:p w14:paraId="7F03FDA2" w14:textId="065D13D3" w:rsidR="00CB70F8" w:rsidRPr="00A90F7A" w:rsidRDefault="00CB70F8" w:rsidP="00532A41">
            <w:pPr>
              <w:pStyle w:val="zSoquijdatQtePartieDef"/>
            </w:pPr>
          </w:p>
        </w:tc>
      </w:tr>
      <w:tr w:rsidR="00E201A8" w14:paraId="3246BA14" w14:textId="77777777">
        <w:tc>
          <w:tcPr>
            <w:tcW w:w="9270" w:type="dxa"/>
            <w:gridSpan w:val="6"/>
          </w:tcPr>
          <w:p w14:paraId="390FE812" w14:textId="77777777" w:rsidR="006B3E24" w:rsidRPr="00A90F7A" w:rsidRDefault="006B3E24"/>
        </w:tc>
      </w:tr>
      <w:tr w:rsidR="00E201A8" w14:paraId="4110BA69" w14:textId="77777777">
        <w:tc>
          <w:tcPr>
            <w:tcW w:w="9270" w:type="dxa"/>
            <w:gridSpan w:val="6"/>
            <w:tcBorders>
              <w:top w:val="single" w:sz="8" w:space="0" w:color="auto"/>
            </w:tcBorders>
          </w:tcPr>
          <w:p w14:paraId="5E5D6C4D" w14:textId="77777777" w:rsidR="006B3E24" w:rsidRPr="00A90F7A" w:rsidRDefault="006B3E24">
            <w:bookmarkStart w:id="1" w:name="Arret"/>
          </w:p>
        </w:tc>
      </w:tr>
      <w:tr w:rsidR="00E201A8" w14:paraId="69B36E5F" w14:textId="77777777">
        <w:tc>
          <w:tcPr>
            <w:tcW w:w="9270" w:type="dxa"/>
            <w:gridSpan w:val="6"/>
          </w:tcPr>
          <w:p w14:paraId="7C76C9CC" w14:textId="77777777" w:rsidR="001B2540" w:rsidRPr="00E8050B" w:rsidRDefault="0084114F">
            <w:pPr>
              <w:pStyle w:val="zSoquijlblTypeDocument"/>
            </w:pPr>
            <w:bookmarkStart w:id="2" w:name="TitreDocument"/>
            <w:r w:rsidRPr="00E8050B">
              <w:t>JUDGMENT</w:t>
            </w:r>
            <w:bookmarkEnd w:id="2"/>
            <w:r w:rsidR="00BE04B9" w:rsidRPr="00E8050B">
              <w:t xml:space="preserve"> RECTIFYING </w:t>
            </w:r>
          </w:p>
          <w:p w14:paraId="39CC3253" w14:textId="3A30C809" w:rsidR="006B3E24" w:rsidRPr="00E8050B" w:rsidRDefault="0084114F">
            <w:pPr>
              <w:pStyle w:val="zSoquijlblTypeDocument"/>
            </w:pPr>
            <w:r w:rsidRPr="00E8050B">
              <w:t>THE JUDGMENT OF MAY 23, 2023</w:t>
            </w:r>
          </w:p>
        </w:tc>
      </w:tr>
      <w:tr w:rsidR="00E201A8" w14:paraId="023E1F82" w14:textId="77777777">
        <w:tc>
          <w:tcPr>
            <w:tcW w:w="9270" w:type="dxa"/>
            <w:gridSpan w:val="6"/>
            <w:tcBorders>
              <w:bottom w:val="single" w:sz="8" w:space="0" w:color="auto"/>
            </w:tcBorders>
          </w:tcPr>
          <w:p w14:paraId="239E12A6" w14:textId="77777777" w:rsidR="006B3E24" w:rsidRPr="00A90F7A" w:rsidRDefault="006B3E24"/>
        </w:tc>
      </w:tr>
      <w:tr w:rsidR="00E201A8" w14:paraId="7D221A64" w14:textId="77777777">
        <w:tc>
          <w:tcPr>
            <w:tcW w:w="9270" w:type="dxa"/>
            <w:gridSpan w:val="6"/>
            <w:tcBorders>
              <w:top w:val="single" w:sz="8" w:space="0" w:color="auto"/>
            </w:tcBorders>
          </w:tcPr>
          <w:p w14:paraId="244B705B" w14:textId="77777777" w:rsidR="006B3E24" w:rsidRPr="00A90F7A" w:rsidRDefault="006B3E24"/>
        </w:tc>
      </w:tr>
    </w:tbl>
    <w:p w14:paraId="059A5017" w14:textId="77777777" w:rsidR="006B7B9F" w:rsidRDefault="006B7B9F" w:rsidP="006B7B9F">
      <w:pPr>
        <w:pStyle w:val="Paragraphe"/>
        <w:numPr>
          <w:ilvl w:val="0"/>
          <w:numId w:val="0"/>
        </w:numPr>
        <w:spacing w:line="240" w:lineRule="auto"/>
      </w:pPr>
    </w:p>
    <w:p w14:paraId="51897B19" w14:textId="0BFF3D67" w:rsidR="00963F9E" w:rsidRDefault="006B7B9F" w:rsidP="006B7B9F">
      <w:pPr>
        <w:pStyle w:val="Paragraphe"/>
        <w:spacing w:line="240" w:lineRule="auto"/>
      </w:pPr>
      <w:r>
        <w:t>The judgment rendered on May 23, 2023, is rectified by adding a note to the Annex to the reasons of Schrager, J.A., to address confidentiality of a key exhibit and it will read as follows:</w:t>
      </w:r>
    </w:p>
    <w:p w14:paraId="5FA16DA6" w14:textId="52746C44" w:rsidR="006B7B9F" w:rsidRPr="00E8050B" w:rsidRDefault="00E96534" w:rsidP="006B7B9F">
      <w:pPr>
        <w:pStyle w:val="Citationenretrait"/>
      </w:pPr>
      <w:r w:rsidRPr="00E8050B">
        <w:t>Despite the confidentiality clause 7.1, the parties made no claim to confidentiality before the Court and the terms of the clause (disclosure for enforcement purposes) would rule out any such claim.</w:t>
      </w:r>
    </w:p>
    <w:p w14:paraId="3FF97244" w14:textId="77777777" w:rsidR="006B7B9F" w:rsidRPr="00A90F7A" w:rsidRDefault="006B7B9F" w:rsidP="00251F4D">
      <w:pPr>
        <w:pStyle w:val="Citationenretrait"/>
      </w:pPr>
    </w:p>
    <w:tbl>
      <w:tblPr>
        <w:tblW w:w="9368" w:type="dxa"/>
        <w:tblLayout w:type="fixed"/>
        <w:tblCellMar>
          <w:left w:w="0" w:type="dxa"/>
          <w:right w:w="0" w:type="dxa"/>
        </w:tblCellMar>
        <w:tblLook w:val="0000" w:firstRow="0" w:lastRow="0" w:firstColumn="0" w:lastColumn="0" w:noHBand="0" w:noVBand="0"/>
      </w:tblPr>
      <w:tblGrid>
        <w:gridCol w:w="2005"/>
        <w:gridCol w:w="2685"/>
        <w:gridCol w:w="4678"/>
      </w:tblGrid>
      <w:tr w:rsidR="00E201A8" w14:paraId="5453262F" w14:textId="77777777" w:rsidTr="00742AF9">
        <w:trPr>
          <w:trHeight w:val="576"/>
        </w:trPr>
        <w:tc>
          <w:tcPr>
            <w:tcW w:w="9368" w:type="dxa"/>
            <w:gridSpan w:val="3"/>
          </w:tcPr>
          <w:p w14:paraId="6BEBE8E9" w14:textId="77777777" w:rsidR="006B3E24" w:rsidRPr="00A90F7A" w:rsidRDefault="006B3E24">
            <w:pPr>
              <w:keepNext/>
            </w:pPr>
          </w:p>
        </w:tc>
      </w:tr>
      <w:tr w:rsidR="00E201A8" w14:paraId="3F8DA35A" w14:textId="77777777" w:rsidTr="001C0D6C">
        <w:trPr>
          <w:trHeight w:val="283"/>
        </w:trPr>
        <w:tc>
          <w:tcPr>
            <w:tcW w:w="4690" w:type="dxa"/>
            <w:gridSpan w:val="2"/>
          </w:tcPr>
          <w:p w14:paraId="14ECB683" w14:textId="77777777" w:rsidR="006B3E24" w:rsidRPr="00A90F7A" w:rsidRDefault="006B3E24">
            <w:pPr>
              <w:keepNext/>
              <w:rPr>
                <w:rFonts w:cs="Arial"/>
                <w:szCs w:val="24"/>
              </w:rPr>
            </w:pPr>
          </w:p>
        </w:tc>
        <w:tc>
          <w:tcPr>
            <w:tcW w:w="4678" w:type="dxa"/>
            <w:tcBorders>
              <w:bottom w:val="single" w:sz="8" w:space="0" w:color="auto"/>
            </w:tcBorders>
          </w:tcPr>
          <w:p w14:paraId="58228679" w14:textId="77777777" w:rsidR="006B3E24" w:rsidRPr="00A90F7A" w:rsidRDefault="006B3E24">
            <w:pPr>
              <w:keepNext/>
              <w:rPr>
                <w:rFonts w:cs="Arial"/>
                <w:szCs w:val="24"/>
              </w:rPr>
            </w:pPr>
          </w:p>
        </w:tc>
      </w:tr>
      <w:tr w:rsidR="00E201A8" w14:paraId="2819FB26" w14:textId="77777777" w:rsidTr="001C0D6C">
        <w:trPr>
          <w:trHeight w:val="283"/>
        </w:trPr>
        <w:tc>
          <w:tcPr>
            <w:tcW w:w="4690" w:type="dxa"/>
            <w:gridSpan w:val="2"/>
          </w:tcPr>
          <w:p w14:paraId="37C093E7" w14:textId="77777777" w:rsidR="006B3E24" w:rsidRPr="00A90F7A" w:rsidRDefault="006B3E24">
            <w:pPr>
              <w:keepNext/>
              <w:rPr>
                <w:rFonts w:cs="Arial"/>
                <w:szCs w:val="24"/>
              </w:rPr>
            </w:pPr>
          </w:p>
        </w:tc>
        <w:tc>
          <w:tcPr>
            <w:tcW w:w="4678" w:type="dxa"/>
            <w:tcBorders>
              <w:top w:val="single" w:sz="8" w:space="0" w:color="auto"/>
            </w:tcBorders>
          </w:tcPr>
          <w:p w14:paraId="71F6E772" w14:textId="7D7C7482" w:rsidR="006B3E24" w:rsidRPr="00A90F7A" w:rsidRDefault="0084114F">
            <w:pPr>
              <w:rPr>
                <w:rFonts w:cs="Arial"/>
                <w:szCs w:val="24"/>
                <w:lang w:val="fr-FR"/>
              </w:rPr>
            </w:pPr>
            <w:r w:rsidRPr="00A90F7A">
              <w:rPr>
                <w:rFonts w:cs="Arial"/>
                <w:szCs w:val="24"/>
              </w:rPr>
              <w:fldChar w:fldCharType="begin"/>
            </w:r>
            <w:r w:rsidRPr="00A90F7A">
              <w:rPr>
                <w:rFonts w:cs="Arial"/>
                <w:szCs w:val="24"/>
                <w:lang w:val="fr-FR"/>
              </w:rPr>
              <w:instrText xml:space="preserve"> NomJuge1 </w:instrText>
            </w:r>
            <w:r w:rsidRPr="00A90F7A">
              <w:rPr>
                <w:rFonts w:cs="Arial"/>
                <w:szCs w:val="24"/>
              </w:rPr>
              <w:fldChar w:fldCharType="separate"/>
            </w:r>
            <w:r w:rsidR="00BE04B9" w:rsidRPr="00A90F7A">
              <w:rPr>
                <w:lang w:val="fr-CA"/>
              </w:rPr>
              <w:t>MARK SCHRAGER, J.A.</w:t>
            </w:r>
            <w:r w:rsidRPr="00A90F7A">
              <w:rPr>
                <w:rFonts w:cs="Arial"/>
                <w:szCs w:val="24"/>
              </w:rPr>
              <w:fldChar w:fldCharType="end"/>
            </w:r>
          </w:p>
        </w:tc>
      </w:tr>
      <w:tr w:rsidR="00E201A8" w14:paraId="452EA3AA" w14:textId="77777777" w:rsidTr="003C4610">
        <w:trPr>
          <w:trHeight w:val="283"/>
        </w:trPr>
        <w:tc>
          <w:tcPr>
            <w:tcW w:w="4690" w:type="dxa"/>
            <w:gridSpan w:val="2"/>
          </w:tcPr>
          <w:p w14:paraId="07C4A8AA" w14:textId="77777777" w:rsidR="006B3E24" w:rsidRPr="00A90F7A" w:rsidRDefault="006B3E24">
            <w:pPr>
              <w:keepNext/>
              <w:rPr>
                <w:rFonts w:cs="Arial"/>
                <w:szCs w:val="24"/>
                <w:lang w:val="fr-FR"/>
              </w:rPr>
            </w:pPr>
            <w:bookmarkStart w:id="3" w:name="Signature2"/>
          </w:p>
        </w:tc>
        <w:tc>
          <w:tcPr>
            <w:tcW w:w="4678" w:type="dxa"/>
          </w:tcPr>
          <w:p w14:paraId="1E873CA7" w14:textId="77777777" w:rsidR="006B3E24" w:rsidRPr="00A90F7A" w:rsidRDefault="006B3E24">
            <w:pPr>
              <w:keepNext/>
              <w:rPr>
                <w:rFonts w:cs="Arial"/>
                <w:szCs w:val="24"/>
                <w:lang w:val="fr-FR"/>
              </w:rPr>
            </w:pPr>
          </w:p>
        </w:tc>
      </w:tr>
      <w:tr w:rsidR="00E201A8" w14:paraId="68D53236" w14:textId="77777777" w:rsidTr="001C0D6C">
        <w:trPr>
          <w:trHeight w:val="283"/>
        </w:trPr>
        <w:tc>
          <w:tcPr>
            <w:tcW w:w="4690" w:type="dxa"/>
            <w:gridSpan w:val="2"/>
          </w:tcPr>
          <w:p w14:paraId="29499829" w14:textId="77777777" w:rsidR="006B3E24" w:rsidRPr="00A90F7A" w:rsidRDefault="006B3E24">
            <w:pPr>
              <w:keepNext/>
              <w:rPr>
                <w:rFonts w:cs="Arial"/>
                <w:szCs w:val="24"/>
                <w:lang w:val="fr-FR"/>
              </w:rPr>
            </w:pPr>
          </w:p>
        </w:tc>
        <w:tc>
          <w:tcPr>
            <w:tcW w:w="4678" w:type="dxa"/>
            <w:tcBorders>
              <w:bottom w:val="single" w:sz="8" w:space="0" w:color="auto"/>
            </w:tcBorders>
          </w:tcPr>
          <w:p w14:paraId="075F29DA" w14:textId="77777777" w:rsidR="006B3E24" w:rsidRPr="00A90F7A" w:rsidRDefault="006B3E24">
            <w:pPr>
              <w:keepNext/>
              <w:rPr>
                <w:rFonts w:cs="Arial"/>
                <w:szCs w:val="24"/>
                <w:lang w:val="fr-FR"/>
              </w:rPr>
            </w:pPr>
          </w:p>
        </w:tc>
      </w:tr>
      <w:tr w:rsidR="00E201A8" w14:paraId="5584EEB7" w14:textId="77777777" w:rsidTr="001C0D6C">
        <w:trPr>
          <w:trHeight w:val="283"/>
        </w:trPr>
        <w:tc>
          <w:tcPr>
            <w:tcW w:w="4690" w:type="dxa"/>
            <w:gridSpan w:val="2"/>
          </w:tcPr>
          <w:p w14:paraId="55F42D4A" w14:textId="77777777" w:rsidR="006B3E24" w:rsidRPr="00A90F7A" w:rsidRDefault="006B3E24">
            <w:pPr>
              <w:keepNext/>
              <w:rPr>
                <w:rFonts w:cs="Arial"/>
                <w:szCs w:val="24"/>
                <w:lang w:val="fr-FR"/>
              </w:rPr>
            </w:pPr>
          </w:p>
        </w:tc>
        <w:tc>
          <w:tcPr>
            <w:tcW w:w="4678" w:type="dxa"/>
            <w:tcBorders>
              <w:top w:val="single" w:sz="8" w:space="0" w:color="auto"/>
            </w:tcBorders>
          </w:tcPr>
          <w:p w14:paraId="137A4A66" w14:textId="316E1568" w:rsidR="006B3E24" w:rsidRPr="00A90F7A" w:rsidRDefault="0084114F">
            <w:pPr>
              <w:keepNext/>
              <w:rPr>
                <w:rFonts w:cs="Arial"/>
                <w:szCs w:val="24"/>
                <w:lang w:val="fr-FR"/>
              </w:rPr>
            </w:pPr>
            <w:r w:rsidRPr="00A90F7A">
              <w:rPr>
                <w:rFonts w:cs="Arial"/>
                <w:szCs w:val="24"/>
              </w:rPr>
              <w:fldChar w:fldCharType="begin"/>
            </w:r>
            <w:r w:rsidRPr="00A90F7A">
              <w:rPr>
                <w:rFonts w:cs="Arial"/>
                <w:szCs w:val="24"/>
                <w:lang w:val="fr-FR"/>
              </w:rPr>
              <w:instrText xml:space="preserve"> NomJuge2 </w:instrText>
            </w:r>
            <w:r w:rsidRPr="00A90F7A">
              <w:rPr>
                <w:rFonts w:cs="Arial"/>
                <w:szCs w:val="24"/>
              </w:rPr>
              <w:fldChar w:fldCharType="separate"/>
            </w:r>
            <w:r w:rsidR="00BE04B9" w:rsidRPr="00A90F7A">
              <w:rPr>
                <w:lang w:val="fr-CA"/>
              </w:rPr>
              <w:t>SOPHIE LAVALLÉE, J.A.</w:t>
            </w:r>
            <w:r w:rsidRPr="00A90F7A">
              <w:rPr>
                <w:rFonts w:cs="Arial"/>
                <w:szCs w:val="24"/>
              </w:rPr>
              <w:fldChar w:fldCharType="end"/>
            </w:r>
          </w:p>
        </w:tc>
      </w:tr>
      <w:tr w:rsidR="00E201A8" w14:paraId="621B800D" w14:textId="77777777" w:rsidTr="003C4610">
        <w:trPr>
          <w:trHeight w:val="283"/>
        </w:trPr>
        <w:tc>
          <w:tcPr>
            <w:tcW w:w="4690" w:type="dxa"/>
            <w:gridSpan w:val="2"/>
          </w:tcPr>
          <w:p w14:paraId="67C6BD24" w14:textId="77777777" w:rsidR="006B3E24" w:rsidRPr="00A90F7A" w:rsidRDefault="006B3E24">
            <w:pPr>
              <w:keepNext/>
              <w:rPr>
                <w:rFonts w:cs="Arial"/>
                <w:szCs w:val="24"/>
                <w:lang w:val="fr-FR"/>
              </w:rPr>
            </w:pPr>
            <w:bookmarkStart w:id="4" w:name="Signature3"/>
            <w:bookmarkEnd w:id="3"/>
          </w:p>
        </w:tc>
        <w:tc>
          <w:tcPr>
            <w:tcW w:w="4678" w:type="dxa"/>
          </w:tcPr>
          <w:p w14:paraId="4E53060A" w14:textId="77777777" w:rsidR="006B3E24" w:rsidRPr="00A90F7A" w:rsidRDefault="006B3E24">
            <w:pPr>
              <w:keepNext/>
              <w:rPr>
                <w:rFonts w:cs="Arial"/>
                <w:szCs w:val="24"/>
                <w:lang w:val="fr-FR"/>
              </w:rPr>
            </w:pPr>
          </w:p>
        </w:tc>
      </w:tr>
      <w:tr w:rsidR="00E201A8" w14:paraId="50C564E4" w14:textId="77777777" w:rsidTr="001C0D6C">
        <w:trPr>
          <w:trHeight w:val="283"/>
        </w:trPr>
        <w:tc>
          <w:tcPr>
            <w:tcW w:w="4690" w:type="dxa"/>
            <w:gridSpan w:val="2"/>
          </w:tcPr>
          <w:p w14:paraId="540C6B6E" w14:textId="77777777" w:rsidR="006B3E24" w:rsidRPr="00A90F7A" w:rsidRDefault="006B3E24">
            <w:pPr>
              <w:keepNext/>
              <w:rPr>
                <w:rFonts w:cs="Arial"/>
                <w:szCs w:val="24"/>
                <w:lang w:val="fr-FR"/>
              </w:rPr>
            </w:pPr>
          </w:p>
        </w:tc>
        <w:tc>
          <w:tcPr>
            <w:tcW w:w="4678" w:type="dxa"/>
            <w:tcBorders>
              <w:bottom w:val="single" w:sz="8" w:space="0" w:color="auto"/>
            </w:tcBorders>
          </w:tcPr>
          <w:p w14:paraId="7B824CB3" w14:textId="77777777" w:rsidR="006B3E24" w:rsidRPr="00A90F7A" w:rsidRDefault="006B3E24">
            <w:pPr>
              <w:keepNext/>
              <w:rPr>
                <w:rFonts w:cs="Arial"/>
                <w:szCs w:val="24"/>
                <w:lang w:val="fr-FR"/>
              </w:rPr>
            </w:pPr>
          </w:p>
        </w:tc>
      </w:tr>
      <w:tr w:rsidR="00E201A8" w14:paraId="41B2ADA9" w14:textId="77777777" w:rsidTr="001C0D6C">
        <w:trPr>
          <w:trHeight w:val="283"/>
        </w:trPr>
        <w:tc>
          <w:tcPr>
            <w:tcW w:w="4690" w:type="dxa"/>
            <w:gridSpan w:val="2"/>
          </w:tcPr>
          <w:p w14:paraId="3FBC4E07" w14:textId="77777777" w:rsidR="006B3E24" w:rsidRPr="00A90F7A" w:rsidRDefault="006B3E24">
            <w:pPr>
              <w:keepNext/>
              <w:rPr>
                <w:rFonts w:cs="Arial"/>
                <w:szCs w:val="24"/>
                <w:lang w:val="fr-FR"/>
              </w:rPr>
            </w:pPr>
          </w:p>
        </w:tc>
        <w:tc>
          <w:tcPr>
            <w:tcW w:w="4678" w:type="dxa"/>
            <w:tcBorders>
              <w:top w:val="single" w:sz="8" w:space="0" w:color="auto"/>
            </w:tcBorders>
          </w:tcPr>
          <w:p w14:paraId="360A3C28" w14:textId="1E6CF4CF" w:rsidR="006B3E24" w:rsidRPr="00A90F7A" w:rsidRDefault="0084114F">
            <w:pPr>
              <w:keepNext/>
              <w:rPr>
                <w:rFonts w:cs="Arial"/>
                <w:szCs w:val="24"/>
                <w:lang w:val="fr-FR"/>
              </w:rPr>
            </w:pPr>
            <w:r w:rsidRPr="00A90F7A">
              <w:rPr>
                <w:rFonts w:cs="Arial"/>
                <w:szCs w:val="24"/>
              </w:rPr>
              <w:fldChar w:fldCharType="begin"/>
            </w:r>
            <w:r w:rsidRPr="00A90F7A">
              <w:rPr>
                <w:rFonts w:cs="Arial"/>
                <w:szCs w:val="24"/>
                <w:lang w:val="fr-FR"/>
              </w:rPr>
              <w:instrText xml:space="preserve"> NomJuge3 </w:instrText>
            </w:r>
            <w:r w:rsidRPr="00A90F7A">
              <w:rPr>
                <w:rFonts w:cs="Arial"/>
                <w:szCs w:val="24"/>
              </w:rPr>
              <w:fldChar w:fldCharType="separate"/>
            </w:r>
            <w:r w:rsidR="00BE04B9" w:rsidRPr="00A90F7A">
              <w:t>FRÉDÉRIC BACHAND, J.A.</w:t>
            </w:r>
            <w:r w:rsidRPr="00A90F7A">
              <w:rPr>
                <w:rFonts w:cs="Arial"/>
                <w:szCs w:val="24"/>
              </w:rPr>
              <w:fldChar w:fldCharType="end"/>
            </w:r>
          </w:p>
        </w:tc>
      </w:tr>
      <w:bookmarkEnd w:id="4"/>
      <w:tr w:rsidR="00E201A8" w14:paraId="366E08E8" w14:textId="77777777" w:rsidTr="003C4610">
        <w:tc>
          <w:tcPr>
            <w:tcW w:w="9368" w:type="dxa"/>
            <w:gridSpan w:val="3"/>
          </w:tcPr>
          <w:p w14:paraId="7EBD1225" w14:textId="77777777" w:rsidR="00447B9B" w:rsidRPr="00A90F7A" w:rsidRDefault="00447B9B" w:rsidP="00447B9B">
            <w:pPr>
              <w:rPr>
                <w:lang w:val="fr-FR"/>
              </w:rPr>
            </w:pPr>
          </w:p>
        </w:tc>
      </w:tr>
      <w:tr w:rsidR="00E201A8" w14:paraId="7C99EAE1" w14:textId="77777777" w:rsidTr="003C4610">
        <w:tc>
          <w:tcPr>
            <w:tcW w:w="9368" w:type="dxa"/>
            <w:gridSpan w:val="3"/>
          </w:tcPr>
          <w:p w14:paraId="365882AD" w14:textId="1EF33991" w:rsidR="00447B9B" w:rsidRPr="00E8050B" w:rsidRDefault="0084114F" w:rsidP="00447B9B">
            <w:pPr>
              <w:pStyle w:val="zSoquijdatNomProcureurDem"/>
            </w:pPr>
            <w:r w:rsidRPr="00E8050B">
              <w:t>Mtre Vincent Thibeault</w:t>
            </w:r>
          </w:p>
        </w:tc>
      </w:tr>
      <w:tr w:rsidR="00E201A8" w14:paraId="065BB624" w14:textId="77777777" w:rsidTr="003C4610">
        <w:tc>
          <w:tcPr>
            <w:tcW w:w="9368" w:type="dxa"/>
            <w:gridSpan w:val="3"/>
          </w:tcPr>
          <w:p w14:paraId="78739D05" w14:textId="39192A15" w:rsidR="00532A41" w:rsidRPr="00E8050B" w:rsidRDefault="0084114F" w:rsidP="00447B9B">
            <w:pPr>
              <w:pStyle w:val="zSoquijdatNomProcureurDem"/>
            </w:pPr>
            <w:r w:rsidRPr="00E8050B">
              <w:t xml:space="preserve">Mtre </w:t>
            </w:r>
            <w:proofErr w:type="spellStart"/>
            <w:r w:rsidRPr="00E8050B">
              <w:t>Aurélie</w:t>
            </w:r>
            <w:proofErr w:type="spellEnd"/>
            <w:r w:rsidRPr="00E8050B">
              <w:t xml:space="preserve"> Gagné</w:t>
            </w:r>
          </w:p>
        </w:tc>
      </w:tr>
      <w:tr w:rsidR="00E201A8" w14:paraId="7686A8F3" w14:textId="77777777" w:rsidTr="003C4610">
        <w:tc>
          <w:tcPr>
            <w:tcW w:w="9368" w:type="dxa"/>
            <w:gridSpan w:val="3"/>
          </w:tcPr>
          <w:p w14:paraId="37D4B73E" w14:textId="55673949" w:rsidR="00447B9B" w:rsidRPr="00E8050B" w:rsidRDefault="0084114F" w:rsidP="00447B9B">
            <w:pPr>
              <w:pStyle w:val="zSoquijdatCabinetProcureurDem"/>
            </w:pPr>
            <w:r w:rsidRPr="00E8050B">
              <w:t>THIBEAULT JOYAL INC.</w:t>
            </w:r>
          </w:p>
        </w:tc>
      </w:tr>
      <w:tr w:rsidR="00E201A8" w14:paraId="23C7480D" w14:textId="77777777" w:rsidTr="003C4610">
        <w:tc>
          <w:tcPr>
            <w:tcW w:w="9368" w:type="dxa"/>
            <w:gridSpan w:val="3"/>
          </w:tcPr>
          <w:p w14:paraId="270C73E8" w14:textId="736F16E7" w:rsidR="00447B9B" w:rsidRPr="00E8050B" w:rsidRDefault="0084114F" w:rsidP="00447B9B">
            <w:pPr>
              <w:pStyle w:val="zSoquijlblProcureurDem"/>
            </w:pPr>
            <w:r w:rsidRPr="00E8050B">
              <w:t>For the Appellant</w:t>
            </w:r>
          </w:p>
        </w:tc>
      </w:tr>
      <w:tr w:rsidR="00E201A8" w14:paraId="0D7357A4" w14:textId="77777777" w:rsidTr="003C4610">
        <w:tc>
          <w:tcPr>
            <w:tcW w:w="9368" w:type="dxa"/>
            <w:gridSpan w:val="3"/>
          </w:tcPr>
          <w:p w14:paraId="2F23DA1D" w14:textId="77777777" w:rsidR="00447B9B" w:rsidRPr="00A90F7A" w:rsidRDefault="00447B9B" w:rsidP="00447B9B"/>
        </w:tc>
      </w:tr>
      <w:tr w:rsidR="00E201A8" w14:paraId="1F66EAD7" w14:textId="77777777" w:rsidTr="003C4610">
        <w:tc>
          <w:tcPr>
            <w:tcW w:w="9368" w:type="dxa"/>
            <w:gridSpan w:val="3"/>
          </w:tcPr>
          <w:p w14:paraId="1CF5DE89" w14:textId="224FFC68" w:rsidR="00447B9B" w:rsidRPr="00E8050B" w:rsidRDefault="0084114F" w:rsidP="00447B9B">
            <w:pPr>
              <w:pStyle w:val="zSoquijdatNomProcureurDef"/>
            </w:pPr>
            <w:r w:rsidRPr="00E8050B">
              <w:t>Mtre Hélène B. Tessier</w:t>
            </w:r>
          </w:p>
        </w:tc>
      </w:tr>
      <w:tr w:rsidR="00E201A8" w14:paraId="1F7DD6CF" w14:textId="77777777" w:rsidTr="003C4610">
        <w:tc>
          <w:tcPr>
            <w:tcW w:w="9368" w:type="dxa"/>
            <w:gridSpan w:val="3"/>
          </w:tcPr>
          <w:p w14:paraId="78097FEE" w14:textId="117E0D04" w:rsidR="00EC07A1" w:rsidRPr="00E8050B" w:rsidRDefault="0084114F" w:rsidP="00447B9B">
            <w:pPr>
              <w:pStyle w:val="zSoquijdatNomProcureurDef"/>
            </w:pPr>
            <w:r w:rsidRPr="00E8050B">
              <w:t>Mtre Stéphane Roy</w:t>
            </w:r>
          </w:p>
        </w:tc>
      </w:tr>
      <w:tr w:rsidR="00E201A8" w14:paraId="5E1CDC58" w14:textId="77777777" w:rsidTr="003C4610">
        <w:tc>
          <w:tcPr>
            <w:tcW w:w="9368" w:type="dxa"/>
            <w:gridSpan w:val="3"/>
          </w:tcPr>
          <w:p w14:paraId="4A4BEF01" w14:textId="29889F49" w:rsidR="00447B9B" w:rsidRPr="00E8050B" w:rsidRDefault="0084114F" w:rsidP="00447B9B">
            <w:pPr>
              <w:pStyle w:val="zSoquijdatCabinetProcureurDef"/>
            </w:pPr>
            <w:r w:rsidRPr="00E8050B">
              <w:t>LAPOINTE ROSENSTEIN MARCHAND MELANÇON</w:t>
            </w:r>
          </w:p>
        </w:tc>
      </w:tr>
      <w:tr w:rsidR="00E201A8" w14:paraId="27BE3B5D" w14:textId="77777777" w:rsidTr="003C4610">
        <w:tc>
          <w:tcPr>
            <w:tcW w:w="9368" w:type="dxa"/>
            <w:gridSpan w:val="3"/>
          </w:tcPr>
          <w:p w14:paraId="143DF3CA" w14:textId="42938723" w:rsidR="00447B9B" w:rsidRPr="00E8050B" w:rsidRDefault="0084114F" w:rsidP="00447B9B">
            <w:pPr>
              <w:pStyle w:val="zSoquijlblProcureurDef"/>
            </w:pPr>
            <w:r w:rsidRPr="00E8050B">
              <w:t>For the Respondents</w:t>
            </w:r>
          </w:p>
        </w:tc>
      </w:tr>
      <w:tr w:rsidR="00E201A8" w14:paraId="17FD4B2C" w14:textId="77777777" w:rsidTr="003C4610">
        <w:tc>
          <w:tcPr>
            <w:tcW w:w="9368" w:type="dxa"/>
            <w:gridSpan w:val="3"/>
          </w:tcPr>
          <w:p w14:paraId="47F8345A" w14:textId="77777777" w:rsidR="00447B9B" w:rsidRPr="00A90F7A" w:rsidRDefault="00447B9B" w:rsidP="00447B9B"/>
        </w:tc>
      </w:tr>
      <w:tr w:rsidR="00E201A8" w14:paraId="2AF2F55E" w14:textId="77777777" w:rsidTr="003C4610">
        <w:tc>
          <w:tcPr>
            <w:tcW w:w="2005" w:type="dxa"/>
          </w:tcPr>
          <w:p w14:paraId="6B398EBB" w14:textId="77777777" w:rsidR="00447B9B" w:rsidRPr="00E8050B" w:rsidRDefault="0084114F" w:rsidP="00447B9B">
            <w:pPr>
              <w:pStyle w:val="zSoquijlblDateAudience"/>
            </w:pPr>
            <w:r w:rsidRPr="00E8050B">
              <w:t>Date of hearing:</w:t>
            </w:r>
          </w:p>
        </w:tc>
        <w:tc>
          <w:tcPr>
            <w:tcW w:w="7363" w:type="dxa"/>
            <w:gridSpan w:val="2"/>
          </w:tcPr>
          <w:p w14:paraId="1A257B2C" w14:textId="7DCFEE71" w:rsidR="00447B9B" w:rsidRPr="00E8050B" w:rsidRDefault="0084114F" w:rsidP="00447B9B">
            <w:pPr>
              <w:pStyle w:val="zSoquijdatDateAudience"/>
            </w:pPr>
            <w:r w:rsidRPr="00E8050B">
              <w:t>February 8, 2023</w:t>
            </w:r>
          </w:p>
        </w:tc>
      </w:tr>
      <w:bookmarkEnd w:id="1"/>
    </w:tbl>
    <w:p w14:paraId="6CCE5ACF" w14:textId="77777777" w:rsidR="00844586" w:rsidRDefault="00844586" w:rsidP="00532A41">
      <w:pPr>
        <w:rPr>
          <w:lang w:val="fr-CA"/>
        </w:rPr>
        <w:sectPr w:rsidR="00844586" w:rsidSect="006B7B9F">
          <w:headerReference w:type="default" r:id="rId8"/>
          <w:footerReference w:type="first" r:id="rId9"/>
          <w:pgSz w:w="12242" w:h="15842" w:code="1"/>
          <w:pgMar w:top="1440" w:right="1008" w:bottom="1440" w:left="1872" w:header="1440" w:footer="792" w:gutter="0"/>
          <w:cols w:space="720"/>
          <w:formProt w:val="0"/>
          <w:titlePg/>
          <w:docGrid w:linePitch="326"/>
        </w:sectPr>
      </w:pPr>
    </w:p>
    <w:tbl>
      <w:tblPr>
        <w:tblW w:w="9270" w:type="dxa"/>
        <w:tblInd w:w="8" w:type="dxa"/>
        <w:tblLayout w:type="fixed"/>
        <w:tblCellMar>
          <w:left w:w="0" w:type="dxa"/>
          <w:right w:w="0" w:type="dxa"/>
        </w:tblCellMar>
        <w:tblLook w:val="0000" w:firstRow="0" w:lastRow="0" w:firstColumn="0" w:lastColumn="0" w:noHBand="0" w:noVBand="0"/>
      </w:tblPr>
      <w:tblGrid>
        <w:gridCol w:w="1030"/>
        <w:gridCol w:w="50"/>
        <w:gridCol w:w="592"/>
        <w:gridCol w:w="1928"/>
        <w:gridCol w:w="3480"/>
        <w:gridCol w:w="2190"/>
      </w:tblGrid>
      <w:tr w:rsidR="00E201A8" w14:paraId="3F575C17" w14:textId="77777777">
        <w:trPr>
          <w:trHeight w:val="284"/>
        </w:trPr>
        <w:tc>
          <w:tcPr>
            <w:tcW w:w="7080" w:type="dxa"/>
            <w:gridSpan w:val="5"/>
          </w:tcPr>
          <w:p w14:paraId="3045EEED" w14:textId="1279D401" w:rsidR="00844586" w:rsidRPr="00E8050B" w:rsidRDefault="0012174C">
            <w:pPr>
              <w:pStyle w:val="zSoquijdatRepertorie"/>
              <w:rPr>
                <w:lang w:val="fr-CA"/>
              </w:rPr>
            </w:pPr>
            <w:r w:rsidRPr="00E8050B">
              <w:rPr>
                <w:lang w:val="fr-CA"/>
              </w:rPr>
              <w:lastRenderedPageBreak/>
              <w:t>Richer c. Sirois</w:t>
            </w:r>
          </w:p>
        </w:tc>
        <w:tc>
          <w:tcPr>
            <w:tcW w:w="2190" w:type="dxa"/>
          </w:tcPr>
          <w:p w14:paraId="05EBBA51" w14:textId="237530AD" w:rsidR="00844586" w:rsidRPr="00E8050B" w:rsidRDefault="0012174C">
            <w:pPr>
              <w:pStyle w:val="zSoquijdatRefNeutre"/>
              <w:rPr>
                <w:lang w:val="fr-CA"/>
              </w:rPr>
            </w:pPr>
            <w:r w:rsidRPr="00E8050B">
              <w:rPr>
                <w:lang w:val="fr-CA"/>
              </w:rPr>
              <w:t>2023 QCCA 693</w:t>
            </w:r>
          </w:p>
        </w:tc>
      </w:tr>
      <w:tr w:rsidR="00E201A8" w14:paraId="3838B9F1" w14:textId="77777777">
        <w:trPr>
          <w:trHeight w:val="247"/>
        </w:trPr>
        <w:tc>
          <w:tcPr>
            <w:tcW w:w="9270" w:type="dxa"/>
            <w:gridSpan w:val="6"/>
          </w:tcPr>
          <w:p w14:paraId="1574ADB5" w14:textId="5FEDBFFC" w:rsidR="00844586" w:rsidRPr="00E8050B" w:rsidRDefault="0012174C">
            <w:pPr>
              <w:pStyle w:val="zSoquijlblCour"/>
            </w:pPr>
            <w:r w:rsidRPr="00E8050B">
              <w:t>COURT OF APPEAL</w:t>
            </w:r>
          </w:p>
        </w:tc>
      </w:tr>
      <w:tr w:rsidR="00E201A8" w14:paraId="4CD60830" w14:textId="77777777">
        <w:trPr>
          <w:trHeight w:val="540"/>
        </w:trPr>
        <w:tc>
          <w:tcPr>
            <w:tcW w:w="9270" w:type="dxa"/>
            <w:gridSpan w:val="6"/>
          </w:tcPr>
          <w:p w14:paraId="73422D70" w14:textId="77777777" w:rsidR="00844586" w:rsidRPr="00A90F7A" w:rsidRDefault="00844586">
            <w:pPr>
              <w:pStyle w:val="zSoquijdatDivision"/>
            </w:pPr>
          </w:p>
        </w:tc>
      </w:tr>
      <w:tr w:rsidR="00E201A8" w14:paraId="3DBE9C64" w14:textId="77777777">
        <w:tc>
          <w:tcPr>
            <w:tcW w:w="9270" w:type="dxa"/>
            <w:gridSpan w:val="6"/>
          </w:tcPr>
          <w:p w14:paraId="4A0505DC" w14:textId="055D4B11" w:rsidR="00844586" w:rsidRPr="00E8050B" w:rsidRDefault="0012174C">
            <w:pPr>
              <w:pStyle w:val="zSoquijlblPays"/>
            </w:pPr>
            <w:r w:rsidRPr="00E8050B">
              <w:t>CANADA</w:t>
            </w:r>
          </w:p>
        </w:tc>
      </w:tr>
      <w:tr w:rsidR="00E201A8" w14:paraId="2FC82646" w14:textId="77777777">
        <w:tc>
          <w:tcPr>
            <w:tcW w:w="9270" w:type="dxa"/>
            <w:gridSpan w:val="6"/>
          </w:tcPr>
          <w:p w14:paraId="54828F81" w14:textId="7D001639" w:rsidR="00844586" w:rsidRPr="00E8050B" w:rsidRDefault="0012174C">
            <w:pPr>
              <w:pStyle w:val="zSoquijlblProvince"/>
            </w:pPr>
            <w:r w:rsidRPr="00E8050B">
              <w:t>PROVINCE OF QUEBEC</w:t>
            </w:r>
          </w:p>
        </w:tc>
      </w:tr>
      <w:tr w:rsidR="00E201A8" w14:paraId="2D1A9029" w14:textId="77777777">
        <w:tc>
          <w:tcPr>
            <w:tcW w:w="1672" w:type="dxa"/>
            <w:gridSpan w:val="3"/>
          </w:tcPr>
          <w:p w14:paraId="2C71202D" w14:textId="420D504F" w:rsidR="00844586" w:rsidRPr="00E8050B" w:rsidRDefault="0012174C">
            <w:pPr>
              <w:pStyle w:val="zSoquijlblGreffe"/>
            </w:pPr>
            <w:r w:rsidRPr="00E8050B">
              <w:t>REGISTRY OF</w:t>
            </w:r>
          </w:p>
        </w:tc>
        <w:tc>
          <w:tcPr>
            <w:tcW w:w="7598" w:type="dxa"/>
            <w:gridSpan w:val="3"/>
          </w:tcPr>
          <w:p w14:paraId="0AEC2289" w14:textId="3BD4A384" w:rsidR="00844586" w:rsidRPr="00E8050B" w:rsidRDefault="0012174C">
            <w:pPr>
              <w:pStyle w:val="zSoquijdatGreffe"/>
            </w:pPr>
            <w:r w:rsidRPr="00E8050B">
              <w:t>MONTREAL</w:t>
            </w:r>
          </w:p>
          <w:p w14:paraId="1FF5A07D" w14:textId="77777777" w:rsidR="00844586" w:rsidRPr="00A90F7A" w:rsidRDefault="00844586">
            <w:pPr>
              <w:pStyle w:val="zSoquijdatGreffe"/>
            </w:pPr>
          </w:p>
        </w:tc>
      </w:tr>
      <w:tr w:rsidR="00E201A8" w14:paraId="187DB1A2" w14:textId="77777777">
        <w:tc>
          <w:tcPr>
            <w:tcW w:w="1030" w:type="dxa"/>
          </w:tcPr>
          <w:p w14:paraId="6F1949F0" w14:textId="081A208C" w:rsidR="00844586" w:rsidRPr="00E8050B" w:rsidRDefault="0012174C">
            <w:pPr>
              <w:pStyle w:val="zSoquijlblNoDossier"/>
            </w:pPr>
            <w:r w:rsidRPr="00E8050B">
              <w:t>No.:</w:t>
            </w:r>
          </w:p>
        </w:tc>
        <w:tc>
          <w:tcPr>
            <w:tcW w:w="8240" w:type="dxa"/>
            <w:gridSpan w:val="5"/>
          </w:tcPr>
          <w:p w14:paraId="38365C3F" w14:textId="0B690166" w:rsidR="00844586" w:rsidRPr="00A90F7A" w:rsidRDefault="0012174C">
            <w:pPr>
              <w:pStyle w:val="zSoquijdatNoDossier"/>
            </w:pPr>
            <w:r>
              <w:t>500-09-029445-210</w:t>
            </w:r>
          </w:p>
        </w:tc>
      </w:tr>
      <w:tr w:rsidR="00E201A8" w14:paraId="0C82365A" w14:textId="77777777">
        <w:tc>
          <w:tcPr>
            <w:tcW w:w="9270" w:type="dxa"/>
            <w:gridSpan w:val="6"/>
          </w:tcPr>
          <w:p w14:paraId="2914580A" w14:textId="6678BD1D" w:rsidR="00844586" w:rsidRPr="00A90F7A" w:rsidRDefault="0012174C" w:rsidP="00532A41">
            <w:pPr>
              <w:pStyle w:val="zSoquijdatNoDossierAnt"/>
            </w:pPr>
            <w:r>
              <w:t>(500-17-096324-168)</w:t>
            </w:r>
          </w:p>
        </w:tc>
      </w:tr>
      <w:tr w:rsidR="00E201A8" w14:paraId="15021D76" w14:textId="77777777">
        <w:tc>
          <w:tcPr>
            <w:tcW w:w="9270" w:type="dxa"/>
            <w:gridSpan w:val="6"/>
          </w:tcPr>
          <w:p w14:paraId="7A6BCF71" w14:textId="77777777" w:rsidR="00844586" w:rsidRPr="00A90F7A" w:rsidRDefault="00844586"/>
        </w:tc>
      </w:tr>
      <w:tr w:rsidR="00E201A8" w14:paraId="4CC00BC8" w14:textId="77777777">
        <w:tc>
          <w:tcPr>
            <w:tcW w:w="1030" w:type="dxa"/>
          </w:tcPr>
          <w:p w14:paraId="0D30F1A4" w14:textId="61C9A693" w:rsidR="00844586" w:rsidRPr="00E8050B" w:rsidRDefault="0012174C">
            <w:pPr>
              <w:pStyle w:val="zSoquijlblDateJugement"/>
            </w:pPr>
            <w:r w:rsidRPr="00E8050B">
              <w:t>DATE:</w:t>
            </w:r>
          </w:p>
        </w:tc>
        <w:tc>
          <w:tcPr>
            <w:tcW w:w="8240" w:type="dxa"/>
            <w:gridSpan w:val="5"/>
          </w:tcPr>
          <w:p w14:paraId="29B2D5C7" w14:textId="77777777" w:rsidR="00844586" w:rsidRPr="00E8050B" w:rsidRDefault="0084114F">
            <w:pPr>
              <w:pStyle w:val="zSoquijdatDateJugement"/>
            </w:pPr>
            <w:r w:rsidRPr="00E8050B">
              <w:t>May 23, 2023</w:t>
            </w:r>
          </w:p>
        </w:tc>
      </w:tr>
      <w:tr w:rsidR="00E201A8" w14:paraId="17BB848A" w14:textId="77777777">
        <w:tc>
          <w:tcPr>
            <w:tcW w:w="9270" w:type="dxa"/>
            <w:gridSpan w:val="6"/>
            <w:tcBorders>
              <w:bottom w:val="single" w:sz="8" w:space="0" w:color="auto"/>
            </w:tcBorders>
          </w:tcPr>
          <w:p w14:paraId="7E90E559" w14:textId="77777777" w:rsidR="00844586" w:rsidRPr="00A90F7A" w:rsidRDefault="00844586"/>
        </w:tc>
      </w:tr>
      <w:tr w:rsidR="00E201A8" w14:paraId="7C5B70AE" w14:textId="77777777">
        <w:tc>
          <w:tcPr>
            <w:tcW w:w="9270" w:type="dxa"/>
            <w:gridSpan w:val="6"/>
            <w:tcBorders>
              <w:top w:val="single" w:sz="8" w:space="0" w:color="auto"/>
            </w:tcBorders>
          </w:tcPr>
          <w:p w14:paraId="0FD869B1" w14:textId="77777777" w:rsidR="00844586" w:rsidRPr="00A90F7A" w:rsidRDefault="00844586"/>
        </w:tc>
      </w:tr>
      <w:tr w:rsidR="00E201A8" w14:paraId="4E24361D" w14:textId="77777777">
        <w:tc>
          <w:tcPr>
            <w:tcW w:w="1080" w:type="dxa"/>
            <w:gridSpan w:val="2"/>
          </w:tcPr>
          <w:p w14:paraId="5AFECB0E" w14:textId="725FD588" w:rsidR="00844586" w:rsidRPr="00E8050B" w:rsidRDefault="0012174C">
            <w:pPr>
              <w:pStyle w:val="zSoquijlblJuge"/>
            </w:pPr>
            <w:r w:rsidRPr="00E8050B">
              <w:t>CORAM:</w:t>
            </w:r>
          </w:p>
        </w:tc>
        <w:tc>
          <w:tcPr>
            <w:tcW w:w="2520" w:type="dxa"/>
            <w:gridSpan w:val="2"/>
          </w:tcPr>
          <w:p w14:paraId="7BC0BE0F" w14:textId="4569C3F0" w:rsidR="00844586" w:rsidRPr="00E8050B" w:rsidRDefault="0012174C">
            <w:pPr>
              <w:pStyle w:val="zSoquijdatQteJuge"/>
            </w:pPr>
            <w:r w:rsidRPr="00E8050B">
              <w:t>THE HONOURABLE</w:t>
            </w:r>
          </w:p>
        </w:tc>
        <w:tc>
          <w:tcPr>
            <w:tcW w:w="5670" w:type="dxa"/>
            <w:gridSpan w:val="2"/>
          </w:tcPr>
          <w:p w14:paraId="2C484DD2" w14:textId="607565E4" w:rsidR="00844586" w:rsidRPr="00E8050B" w:rsidRDefault="0012174C">
            <w:pPr>
              <w:pStyle w:val="zSoquijdatJuge"/>
              <w:rPr>
                <w:lang w:val="fr-FR"/>
              </w:rPr>
            </w:pPr>
            <w:r w:rsidRPr="00E8050B">
              <w:rPr>
                <w:lang w:val="fr-CA"/>
              </w:rPr>
              <w:t>MARK SCHRAGER, J.A.</w:t>
            </w:r>
          </w:p>
          <w:p w14:paraId="6CDE3B3E" w14:textId="76D9916B" w:rsidR="00844586" w:rsidRPr="00E8050B" w:rsidRDefault="0012174C">
            <w:pPr>
              <w:pStyle w:val="zSoquijdatJuge"/>
              <w:rPr>
                <w:lang w:val="fr-FR"/>
              </w:rPr>
            </w:pPr>
            <w:r w:rsidRPr="00E8050B">
              <w:rPr>
                <w:lang w:val="fr-CA"/>
              </w:rPr>
              <w:t>SOPHIE LAVALLÉE, J.A.</w:t>
            </w:r>
          </w:p>
          <w:p w14:paraId="24939E14" w14:textId="33BEE17F" w:rsidR="00844586" w:rsidRPr="00E8050B" w:rsidRDefault="0012174C" w:rsidP="00532A41">
            <w:pPr>
              <w:pStyle w:val="zSoquijdatJuge"/>
            </w:pPr>
            <w:r w:rsidRPr="00E8050B">
              <w:t>FRÉDÉRIC BACHAND, J.A.</w:t>
            </w:r>
          </w:p>
        </w:tc>
      </w:tr>
      <w:tr w:rsidR="00E201A8" w14:paraId="5E046531" w14:textId="77777777">
        <w:tc>
          <w:tcPr>
            <w:tcW w:w="9270" w:type="dxa"/>
            <w:gridSpan w:val="6"/>
            <w:tcBorders>
              <w:bottom w:val="single" w:sz="8" w:space="0" w:color="auto"/>
            </w:tcBorders>
          </w:tcPr>
          <w:p w14:paraId="5E3CCFFF" w14:textId="77777777" w:rsidR="00844586" w:rsidRPr="00A90F7A" w:rsidRDefault="00844586">
            <w:pPr>
              <w:rPr>
                <w:lang w:val="de-DE"/>
              </w:rPr>
            </w:pPr>
          </w:p>
        </w:tc>
      </w:tr>
      <w:tr w:rsidR="00E201A8" w14:paraId="5ECABC76" w14:textId="77777777">
        <w:tc>
          <w:tcPr>
            <w:tcW w:w="9270" w:type="dxa"/>
            <w:gridSpan w:val="6"/>
          </w:tcPr>
          <w:p w14:paraId="69AAF6CB" w14:textId="77777777" w:rsidR="00844586" w:rsidRPr="00A90F7A" w:rsidRDefault="00844586">
            <w:pPr>
              <w:pStyle w:val="zSoquijlblTitrePartie"/>
              <w:rPr>
                <w:lang w:val="de-DE"/>
              </w:rPr>
            </w:pPr>
          </w:p>
        </w:tc>
      </w:tr>
      <w:tr w:rsidR="00E201A8" w14:paraId="5BF00F59" w14:textId="77777777">
        <w:tc>
          <w:tcPr>
            <w:tcW w:w="9270" w:type="dxa"/>
            <w:gridSpan w:val="6"/>
          </w:tcPr>
          <w:p w14:paraId="22ACD83B" w14:textId="79B7CC78" w:rsidR="00844586" w:rsidRPr="00E8050B" w:rsidRDefault="0012174C">
            <w:pPr>
              <w:pStyle w:val="zSoquijdatNomPartieDem"/>
              <w:rPr>
                <w:lang w:val="de-DE"/>
              </w:rPr>
            </w:pPr>
            <w:r w:rsidRPr="00E8050B">
              <w:t>KEVIN RICHER</w:t>
            </w:r>
          </w:p>
        </w:tc>
      </w:tr>
      <w:tr w:rsidR="00E201A8" w14:paraId="71EC84AA" w14:textId="77777777">
        <w:tc>
          <w:tcPr>
            <w:tcW w:w="9270" w:type="dxa"/>
            <w:gridSpan w:val="6"/>
          </w:tcPr>
          <w:p w14:paraId="2389A0DA" w14:textId="6F9D18F4" w:rsidR="00844586" w:rsidRPr="00E8050B" w:rsidRDefault="0012174C">
            <w:pPr>
              <w:pStyle w:val="zSoquijdatQtePartieDem"/>
              <w:rPr>
                <w:lang w:val="de-DE"/>
              </w:rPr>
            </w:pPr>
            <w:r w:rsidRPr="00E8050B">
              <w:t>APPELLANT – Defendant/Cross-Plaintiff</w:t>
            </w:r>
          </w:p>
        </w:tc>
      </w:tr>
      <w:tr w:rsidR="00E201A8" w14:paraId="365E1553" w14:textId="77777777">
        <w:tc>
          <w:tcPr>
            <w:tcW w:w="9270" w:type="dxa"/>
            <w:gridSpan w:val="6"/>
          </w:tcPr>
          <w:p w14:paraId="19AA53D0" w14:textId="53B30C14" w:rsidR="00844586" w:rsidRPr="00E8050B" w:rsidRDefault="0012174C">
            <w:pPr>
              <w:pStyle w:val="zSoquijlblLienParties"/>
            </w:pPr>
            <w:r w:rsidRPr="00E8050B">
              <w:t>v.</w:t>
            </w:r>
          </w:p>
        </w:tc>
      </w:tr>
      <w:tr w:rsidR="00E201A8" w14:paraId="03AF0E6D" w14:textId="77777777">
        <w:tc>
          <w:tcPr>
            <w:tcW w:w="9270" w:type="dxa"/>
            <w:gridSpan w:val="6"/>
          </w:tcPr>
          <w:p w14:paraId="5264E4EC" w14:textId="77777777" w:rsidR="00844586" w:rsidRPr="00A90F7A" w:rsidRDefault="00844586"/>
        </w:tc>
      </w:tr>
      <w:tr w:rsidR="00E201A8" w14:paraId="55F0E223" w14:textId="77777777">
        <w:tc>
          <w:tcPr>
            <w:tcW w:w="9270" w:type="dxa"/>
            <w:gridSpan w:val="6"/>
          </w:tcPr>
          <w:p w14:paraId="6DC91328" w14:textId="5DF2B674" w:rsidR="00844586" w:rsidRPr="00E8050B" w:rsidRDefault="00FD27DD">
            <w:pPr>
              <w:pStyle w:val="zSoquijdatNomPartieDef"/>
            </w:pPr>
            <w:r w:rsidRPr="00E8050B">
              <w:t>SÉBASTIEN SIROIS</w:t>
            </w:r>
          </w:p>
        </w:tc>
      </w:tr>
      <w:tr w:rsidR="00E201A8" w14:paraId="0FA7BE9B" w14:textId="77777777">
        <w:tc>
          <w:tcPr>
            <w:tcW w:w="9270" w:type="dxa"/>
            <w:gridSpan w:val="6"/>
          </w:tcPr>
          <w:p w14:paraId="15203541" w14:textId="77777777" w:rsidR="00844586" w:rsidRPr="00E8050B" w:rsidRDefault="0084114F">
            <w:pPr>
              <w:pStyle w:val="zSoquijdatNomPartieDef"/>
            </w:pPr>
            <w:r w:rsidRPr="00E8050B">
              <w:t>NEON BUDDHA LTD.</w:t>
            </w:r>
          </w:p>
        </w:tc>
      </w:tr>
      <w:tr w:rsidR="00E201A8" w14:paraId="31126FAD" w14:textId="77777777">
        <w:tc>
          <w:tcPr>
            <w:tcW w:w="9270" w:type="dxa"/>
            <w:gridSpan w:val="6"/>
          </w:tcPr>
          <w:p w14:paraId="3147F86E" w14:textId="77777777" w:rsidR="00844586" w:rsidRPr="00E8050B" w:rsidRDefault="0084114F">
            <w:pPr>
              <w:pStyle w:val="zSoquijdatQtePartieDef"/>
            </w:pPr>
            <w:r w:rsidRPr="00E8050B">
              <w:t>RESPONDENTS – Plaintiffs/Cross-Defendants</w:t>
            </w:r>
          </w:p>
        </w:tc>
      </w:tr>
      <w:tr w:rsidR="00E201A8" w14:paraId="2A307319" w14:textId="77777777">
        <w:tc>
          <w:tcPr>
            <w:tcW w:w="9270" w:type="dxa"/>
            <w:gridSpan w:val="6"/>
          </w:tcPr>
          <w:p w14:paraId="2B52FFEA" w14:textId="77777777" w:rsidR="00844586" w:rsidRPr="00E8050B" w:rsidRDefault="0084114F" w:rsidP="00532A41">
            <w:r w:rsidRPr="00E8050B">
              <w:t>and</w:t>
            </w:r>
          </w:p>
        </w:tc>
      </w:tr>
      <w:tr w:rsidR="00E201A8" w14:paraId="1862764A" w14:textId="77777777">
        <w:tc>
          <w:tcPr>
            <w:tcW w:w="9270" w:type="dxa"/>
            <w:gridSpan w:val="6"/>
          </w:tcPr>
          <w:p w14:paraId="1FBC5DAD" w14:textId="77777777" w:rsidR="00844586" w:rsidRPr="00E8050B" w:rsidRDefault="0084114F" w:rsidP="00532A41">
            <w:pPr>
              <w:pStyle w:val="zSoquijdatNomPartieDef"/>
            </w:pPr>
            <w:r w:rsidRPr="00E8050B">
              <w:t>PURE &amp; CO USA LTD.</w:t>
            </w:r>
          </w:p>
        </w:tc>
      </w:tr>
      <w:tr w:rsidR="00E201A8" w14:paraId="5C5E1520" w14:textId="77777777">
        <w:tc>
          <w:tcPr>
            <w:tcW w:w="9270" w:type="dxa"/>
            <w:gridSpan w:val="6"/>
          </w:tcPr>
          <w:p w14:paraId="1460B074" w14:textId="77777777" w:rsidR="00844586" w:rsidRPr="00E8050B" w:rsidRDefault="0084114F" w:rsidP="00532A41">
            <w:pPr>
              <w:pStyle w:val="zSoquijdatNomPartieDef"/>
            </w:pPr>
            <w:r w:rsidRPr="00E8050B">
              <w:t>PURE &amp; CO LTD.</w:t>
            </w:r>
          </w:p>
        </w:tc>
      </w:tr>
      <w:tr w:rsidR="00E201A8" w14:paraId="379E3B4C" w14:textId="77777777">
        <w:tc>
          <w:tcPr>
            <w:tcW w:w="9270" w:type="dxa"/>
            <w:gridSpan w:val="6"/>
          </w:tcPr>
          <w:p w14:paraId="205D554D" w14:textId="77777777" w:rsidR="00844586" w:rsidRPr="00E8050B" w:rsidRDefault="0084114F" w:rsidP="00532A41">
            <w:pPr>
              <w:pStyle w:val="zSoquijdatNomPartieDef"/>
            </w:pPr>
            <w:r w:rsidRPr="00E8050B">
              <w:t>BPO SOLUTIONS LTD.</w:t>
            </w:r>
          </w:p>
        </w:tc>
      </w:tr>
      <w:tr w:rsidR="00E201A8" w14:paraId="0C279C13" w14:textId="77777777">
        <w:tc>
          <w:tcPr>
            <w:tcW w:w="9270" w:type="dxa"/>
            <w:gridSpan w:val="6"/>
          </w:tcPr>
          <w:p w14:paraId="4C55A1A9" w14:textId="77777777" w:rsidR="00844586" w:rsidRPr="00E8050B" w:rsidRDefault="0084114F" w:rsidP="00532A41">
            <w:pPr>
              <w:pStyle w:val="zSoquijdatQtePartieDef"/>
            </w:pPr>
            <w:r w:rsidRPr="00E8050B">
              <w:t>RESPONDENTS – Cross-Defendants</w:t>
            </w:r>
          </w:p>
        </w:tc>
      </w:tr>
      <w:tr w:rsidR="00E201A8" w14:paraId="6E6F54A5" w14:textId="77777777">
        <w:tc>
          <w:tcPr>
            <w:tcW w:w="9270" w:type="dxa"/>
            <w:gridSpan w:val="6"/>
          </w:tcPr>
          <w:p w14:paraId="669B49E9" w14:textId="77777777" w:rsidR="00844586" w:rsidRPr="00E8050B" w:rsidRDefault="0084114F" w:rsidP="00532A41">
            <w:r w:rsidRPr="00E8050B">
              <w:t>and</w:t>
            </w:r>
          </w:p>
        </w:tc>
      </w:tr>
      <w:tr w:rsidR="00E201A8" w14:paraId="22F56D05" w14:textId="77777777">
        <w:tc>
          <w:tcPr>
            <w:tcW w:w="9270" w:type="dxa"/>
            <w:gridSpan w:val="6"/>
          </w:tcPr>
          <w:p w14:paraId="400F3873" w14:textId="77777777" w:rsidR="00844586" w:rsidRPr="00E8050B" w:rsidRDefault="0084114F" w:rsidP="00532A41">
            <w:pPr>
              <w:pStyle w:val="zSoquijdatNomPartieDef"/>
            </w:pPr>
            <w:r w:rsidRPr="00E8050B">
              <w:t>BAA LTÉE</w:t>
            </w:r>
          </w:p>
        </w:tc>
      </w:tr>
      <w:tr w:rsidR="00E201A8" w14:paraId="6723F4CD" w14:textId="77777777">
        <w:tc>
          <w:tcPr>
            <w:tcW w:w="9270" w:type="dxa"/>
            <w:gridSpan w:val="6"/>
          </w:tcPr>
          <w:p w14:paraId="3C64191B" w14:textId="77777777" w:rsidR="00844586" w:rsidRPr="00E8050B" w:rsidRDefault="0084114F" w:rsidP="00532A41">
            <w:pPr>
              <w:pStyle w:val="zSoquijdatNomPartieDef"/>
            </w:pPr>
            <w:r w:rsidRPr="00E8050B">
              <w:t>NICOLAS BRABANT-ANGERS</w:t>
            </w:r>
          </w:p>
        </w:tc>
      </w:tr>
      <w:tr w:rsidR="00E201A8" w14:paraId="0786A3BE" w14:textId="77777777">
        <w:tc>
          <w:tcPr>
            <w:tcW w:w="9270" w:type="dxa"/>
            <w:gridSpan w:val="6"/>
          </w:tcPr>
          <w:p w14:paraId="69734E10" w14:textId="77777777" w:rsidR="00844586" w:rsidRPr="00E8050B" w:rsidRDefault="0084114F" w:rsidP="00532A41">
            <w:pPr>
              <w:pStyle w:val="zSoquijdatQtePartieDef"/>
            </w:pPr>
            <w:r w:rsidRPr="00E8050B">
              <w:t>IMPLEADED PARTIES – Impleaded parties</w:t>
            </w:r>
          </w:p>
        </w:tc>
      </w:tr>
      <w:tr w:rsidR="00E201A8" w14:paraId="014B1B72" w14:textId="77777777">
        <w:tc>
          <w:tcPr>
            <w:tcW w:w="9270" w:type="dxa"/>
            <w:gridSpan w:val="6"/>
          </w:tcPr>
          <w:p w14:paraId="53446107" w14:textId="77777777" w:rsidR="00844586" w:rsidRPr="00A90F7A" w:rsidRDefault="00844586"/>
        </w:tc>
      </w:tr>
      <w:tr w:rsidR="00E201A8" w14:paraId="79E8D668" w14:textId="77777777">
        <w:tc>
          <w:tcPr>
            <w:tcW w:w="9270" w:type="dxa"/>
            <w:gridSpan w:val="6"/>
            <w:tcBorders>
              <w:top w:val="single" w:sz="8" w:space="0" w:color="auto"/>
            </w:tcBorders>
          </w:tcPr>
          <w:p w14:paraId="396885FC" w14:textId="77777777" w:rsidR="00844586" w:rsidRPr="00A90F7A" w:rsidRDefault="00844586"/>
        </w:tc>
      </w:tr>
      <w:tr w:rsidR="00E201A8" w14:paraId="1A4423DE" w14:textId="77777777">
        <w:tc>
          <w:tcPr>
            <w:tcW w:w="9270" w:type="dxa"/>
            <w:gridSpan w:val="6"/>
          </w:tcPr>
          <w:p w14:paraId="7476527B" w14:textId="77777777" w:rsidR="00844586" w:rsidRPr="00E8050B" w:rsidRDefault="0084114F">
            <w:pPr>
              <w:pStyle w:val="zSoquijlblTypeDocument"/>
            </w:pPr>
            <w:r w:rsidRPr="00E8050B">
              <w:t>RECTIFIED JUDGMENT</w:t>
            </w:r>
          </w:p>
          <w:p w14:paraId="7A473EE0" w14:textId="77777777" w:rsidR="00844586" w:rsidRPr="00E8050B" w:rsidRDefault="0084114F">
            <w:pPr>
              <w:pStyle w:val="zSoquijlblTypeDocument"/>
            </w:pPr>
            <w:r w:rsidRPr="00E8050B">
              <w:t>(MAY 31, 2023)</w:t>
            </w:r>
          </w:p>
        </w:tc>
      </w:tr>
      <w:tr w:rsidR="00E201A8" w14:paraId="5B3E0A04" w14:textId="77777777">
        <w:tc>
          <w:tcPr>
            <w:tcW w:w="9270" w:type="dxa"/>
            <w:gridSpan w:val="6"/>
            <w:tcBorders>
              <w:bottom w:val="single" w:sz="8" w:space="0" w:color="auto"/>
            </w:tcBorders>
          </w:tcPr>
          <w:p w14:paraId="4320C54E" w14:textId="77777777" w:rsidR="00844586" w:rsidRPr="00A90F7A" w:rsidRDefault="00844586"/>
        </w:tc>
      </w:tr>
      <w:tr w:rsidR="00E201A8" w14:paraId="563E633E" w14:textId="77777777">
        <w:tc>
          <w:tcPr>
            <w:tcW w:w="9270" w:type="dxa"/>
            <w:gridSpan w:val="6"/>
            <w:tcBorders>
              <w:top w:val="single" w:sz="8" w:space="0" w:color="auto"/>
            </w:tcBorders>
          </w:tcPr>
          <w:p w14:paraId="76131CA2" w14:textId="77777777" w:rsidR="00844586" w:rsidRPr="00A90F7A" w:rsidRDefault="00844586"/>
        </w:tc>
      </w:tr>
    </w:tbl>
    <w:p w14:paraId="32722D0C" w14:textId="77777777" w:rsidR="00844586" w:rsidRPr="00A90F7A" w:rsidRDefault="0084114F" w:rsidP="00844586">
      <w:pPr>
        <w:pStyle w:val="Paragraphe"/>
        <w:numPr>
          <w:ilvl w:val="0"/>
          <w:numId w:val="24"/>
        </w:numPr>
        <w:spacing w:line="280" w:lineRule="exact"/>
      </w:pPr>
      <w:r w:rsidRPr="00A90F7A">
        <w:t xml:space="preserve">The Court is seized with an appeal from a judgment of the Superior Court, District of Montreal (the Honourable </w:t>
      </w:r>
      <w:proofErr w:type="spellStart"/>
      <w:r w:rsidRPr="00A90F7A">
        <w:t>Katheryne</w:t>
      </w:r>
      <w:proofErr w:type="spellEnd"/>
      <w:r w:rsidRPr="00A90F7A">
        <w:t xml:space="preserve"> A. </w:t>
      </w:r>
      <w:proofErr w:type="spellStart"/>
      <w:r w:rsidRPr="00A90F7A">
        <w:t>Desfossés</w:t>
      </w:r>
      <w:proofErr w:type="spellEnd"/>
      <w:r w:rsidRPr="00A90F7A">
        <w:t xml:space="preserve">), which granted in part the </w:t>
      </w:r>
      <w:r w:rsidRPr="00A90F7A">
        <w:lastRenderedPageBreak/>
        <w:t>“</w:t>
      </w:r>
      <w:proofErr w:type="spellStart"/>
      <w:r w:rsidRPr="00A90F7A">
        <w:t>Demande</w:t>
      </w:r>
      <w:proofErr w:type="spellEnd"/>
      <w:r w:rsidRPr="00A90F7A">
        <w:t xml:space="preserve"> introductive </w:t>
      </w:r>
      <w:proofErr w:type="spellStart"/>
      <w:r w:rsidRPr="00A90F7A">
        <w:t>d’instance</w:t>
      </w:r>
      <w:proofErr w:type="spellEnd"/>
      <w:r w:rsidRPr="00A90F7A">
        <w:t xml:space="preserve"> </w:t>
      </w:r>
      <w:proofErr w:type="spellStart"/>
      <w:r w:rsidRPr="00A90F7A">
        <w:t>modifiée</w:t>
      </w:r>
      <w:proofErr w:type="spellEnd"/>
      <w:r w:rsidRPr="00A90F7A">
        <w:t xml:space="preserve"> (2) en annulation </w:t>
      </w:r>
      <w:proofErr w:type="spellStart"/>
      <w:r w:rsidRPr="00A90F7A">
        <w:t>d’une</w:t>
      </w:r>
      <w:proofErr w:type="spellEnd"/>
      <w:r w:rsidRPr="00A90F7A">
        <w:t xml:space="preserve"> entente”; ordered the respondents, Me Nicolas Brabant-Angers and BAA </w:t>
      </w:r>
      <w:proofErr w:type="spellStart"/>
      <w:r w:rsidRPr="00A90F7A">
        <w:t>Ltée</w:t>
      </w:r>
      <w:proofErr w:type="spellEnd"/>
      <w:r w:rsidRPr="00A90F7A">
        <w:t xml:space="preserve"> to return to the plaintiff Neon Buddha Ltd. the sum of $1,050,000 held in trust within three business days of this judgment; granted in part the Summary of Defence and Amended Counterclaim; condemned Sébastien Sirois and Neon Buddha Ltd. solidarily to pay Kevin Richer the sum of $15,000 with interest at the legal rate and the additional indemnity from the date of the judgment; the whole with legal costs excluding the expert's fees.</w:t>
      </w:r>
    </w:p>
    <w:p w14:paraId="6136F1EF" w14:textId="77777777" w:rsidR="00844586" w:rsidRPr="00E8050B" w:rsidRDefault="0084114F" w:rsidP="00D70EEF">
      <w:pPr>
        <w:pStyle w:val="Paragraphe"/>
        <w:spacing w:line="280" w:lineRule="exact"/>
      </w:pPr>
      <w:r w:rsidRPr="00E8050B">
        <w:t xml:space="preserve">For the reasons of Schrager, J.A., with which </w:t>
      </w:r>
      <w:proofErr w:type="spellStart"/>
      <w:r w:rsidRPr="00E8050B">
        <w:t>Lavallée</w:t>
      </w:r>
      <w:proofErr w:type="spellEnd"/>
      <w:r w:rsidRPr="00E8050B">
        <w:t xml:space="preserve">, J.A., concurs, </w:t>
      </w:r>
      <w:r w:rsidRPr="00E8050B">
        <w:rPr>
          <w:b/>
          <w:bCs/>
        </w:rPr>
        <w:t>THE COURT</w:t>
      </w:r>
      <w:r w:rsidRPr="00E8050B">
        <w:t>:</w:t>
      </w:r>
    </w:p>
    <w:p w14:paraId="13EC5018" w14:textId="77777777" w:rsidR="00844586" w:rsidRPr="00E8050B" w:rsidRDefault="0084114F" w:rsidP="00D70EEF">
      <w:pPr>
        <w:pStyle w:val="Paragraphe"/>
        <w:spacing w:line="280" w:lineRule="exact"/>
      </w:pPr>
      <w:r w:rsidRPr="00E8050B">
        <w:rPr>
          <w:b/>
          <w:bCs/>
        </w:rPr>
        <w:t>GRANTS</w:t>
      </w:r>
      <w:r w:rsidRPr="00E8050B">
        <w:t xml:space="preserve"> the appeal in part;</w:t>
      </w:r>
    </w:p>
    <w:p w14:paraId="6BC95C44" w14:textId="77777777" w:rsidR="00844586" w:rsidRPr="00E8050B" w:rsidRDefault="0084114F" w:rsidP="00D70EEF">
      <w:pPr>
        <w:pStyle w:val="Paragraphe"/>
        <w:spacing w:line="280" w:lineRule="exact"/>
      </w:pPr>
      <w:r w:rsidRPr="00E8050B">
        <w:rPr>
          <w:b/>
          <w:bCs/>
        </w:rPr>
        <w:t>OVERTURNS</w:t>
      </w:r>
      <w:r w:rsidRPr="00E8050B">
        <w:t xml:space="preserve"> the judgment in part;</w:t>
      </w:r>
    </w:p>
    <w:p w14:paraId="26E59BB5" w14:textId="77777777" w:rsidR="00844586" w:rsidRPr="00E8050B" w:rsidRDefault="0084114F" w:rsidP="00D70EEF">
      <w:pPr>
        <w:pStyle w:val="Paragraphe"/>
        <w:spacing w:line="280" w:lineRule="exact"/>
      </w:pPr>
      <w:r w:rsidRPr="00E8050B">
        <w:rPr>
          <w:b/>
          <w:bCs/>
        </w:rPr>
        <w:t xml:space="preserve">STRIKES </w:t>
      </w:r>
      <w:r w:rsidRPr="00E8050B">
        <w:t>paragraph 331 of the judgment;</w:t>
      </w:r>
    </w:p>
    <w:p w14:paraId="51934419" w14:textId="77777777" w:rsidR="00844586" w:rsidRPr="00E8050B" w:rsidRDefault="0084114F" w:rsidP="00D70EEF">
      <w:pPr>
        <w:pStyle w:val="Paragraphe"/>
        <w:spacing w:line="280" w:lineRule="exact"/>
      </w:pPr>
      <w:r w:rsidRPr="00E8050B">
        <w:rPr>
          <w:b/>
          <w:bCs/>
        </w:rPr>
        <w:t>ADDS</w:t>
      </w:r>
      <w:r w:rsidRPr="00E8050B">
        <w:t xml:space="preserve"> the following conclusion to the judgment:</w:t>
      </w:r>
    </w:p>
    <w:p w14:paraId="19A848A7" w14:textId="77777777" w:rsidR="00844586" w:rsidRPr="00A90F7A" w:rsidRDefault="0084114F" w:rsidP="003D6A2E">
      <w:pPr>
        <w:pStyle w:val="Citationenretrait"/>
      </w:pPr>
      <w:r w:rsidRPr="00A90F7A">
        <w:rPr>
          <w:b/>
          <w:bCs/>
        </w:rPr>
        <w:t xml:space="preserve">CONDEMNS </w:t>
      </w:r>
      <w:r w:rsidRPr="00A90F7A">
        <w:t>Sébastien Sirois, Neon Buddha Ltd., Pure &amp; Co. Ltd. and BPO Solutions Ltd. solidarily to pay to Kevin Richer $4,850,000 with interest and the additional indemnity from January 1, 2017 plus legal costs (including expertise);</w:t>
      </w:r>
    </w:p>
    <w:p w14:paraId="67F7F2C7" w14:textId="77777777" w:rsidR="00844586" w:rsidRPr="00E8050B" w:rsidRDefault="0084114F" w:rsidP="00D70EEF">
      <w:pPr>
        <w:pStyle w:val="Paragraphe"/>
        <w:spacing w:line="280" w:lineRule="exact"/>
      </w:pPr>
      <w:r w:rsidRPr="00E8050B">
        <w:rPr>
          <w:b/>
          <w:bCs/>
        </w:rPr>
        <w:t>THE WHOLE</w:t>
      </w:r>
      <w:r w:rsidRPr="00E8050B">
        <w:t xml:space="preserve"> with legal costs in appeal against Respondents;</w:t>
      </w:r>
    </w:p>
    <w:p w14:paraId="2E299A68" w14:textId="77777777" w:rsidR="00844586" w:rsidRPr="00A90F7A" w:rsidRDefault="0084114F" w:rsidP="00D70EEF">
      <w:pPr>
        <w:pStyle w:val="Paragraphe"/>
        <w:spacing w:line="280" w:lineRule="exact"/>
      </w:pPr>
      <w:r w:rsidRPr="00E8050B">
        <w:t xml:space="preserve">For other reasons, Justice </w:t>
      </w:r>
      <w:proofErr w:type="spellStart"/>
      <w:r w:rsidRPr="00E8050B">
        <w:t>Bachand</w:t>
      </w:r>
      <w:proofErr w:type="spellEnd"/>
      <w:r w:rsidRPr="00E8050B">
        <w:t xml:space="preserve"> would have dismissed the appeal, with legal costs.</w:t>
      </w:r>
    </w:p>
    <w:tbl>
      <w:tblPr>
        <w:tblW w:w="9368" w:type="dxa"/>
        <w:tblLayout w:type="fixed"/>
        <w:tblCellMar>
          <w:left w:w="0" w:type="dxa"/>
          <w:right w:w="0" w:type="dxa"/>
        </w:tblCellMar>
        <w:tblLook w:val="0000" w:firstRow="0" w:lastRow="0" w:firstColumn="0" w:lastColumn="0" w:noHBand="0" w:noVBand="0"/>
      </w:tblPr>
      <w:tblGrid>
        <w:gridCol w:w="2005"/>
        <w:gridCol w:w="2685"/>
        <w:gridCol w:w="4678"/>
      </w:tblGrid>
      <w:tr w:rsidR="00E201A8" w14:paraId="035E1B57" w14:textId="77777777" w:rsidTr="00742AF9">
        <w:trPr>
          <w:trHeight w:val="576"/>
        </w:trPr>
        <w:tc>
          <w:tcPr>
            <w:tcW w:w="9368" w:type="dxa"/>
            <w:gridSpan w:val="3"/>
          </w:tcPr>
          <w:p w14:paraId="0D1540A8" w14:textId="77777777" w:rsidR="00844586" w:rsidRPr="00A90F7A" w:rsidRDefault="00844586">
            <w:pPr>
              <w:keepNext/>
            </w:pPr>
          </w:p>
        </w:tc>
      </w:tr>
      <w:tr w:rsidR="00E201A8" w14:paraId="6FFDD025" w14:textId="77777777" w:rsidTr="001C0D6C">
        <w:trPr>
          <w:trHeight w:val="283"/>
        </w:trPr>
        <w:tc>
          <w:tcPr>
            <w:tcW w:w="4690" w:type="dxa"/>
            <w:gridSpan w:val="2"/>
          </w:tcPr>
          <w:p w14:paraId="4C4B95D2" w14:textId="77777777" w:rsidR="00844586" w:rsidRPr="00A90F7A" w:rsidRDefault="00844586">
            <w:pPr>
              <w:keepNext/>
              <w:rPr>
                <w:rFonts w:cs="Arial"/>
                <w:szCs w:val="24"/>
              </w:rPr>
            </w:pPr>
          </w:p>
        </w:tc>
        <w:tc>
          <w:tcPr>
            <w:tcW w:w="4678" w:type="dxa"/>
            <w:tcBorders>
              <w:bottom w:val="single" w:sz="8" w:space="0" w:color="auto"/>
            </w:tcBorders>
          </w:tcPr>
          <w:p w14:paraId="0ABF827E" w14:textId="77777777" w:rsidR="00844586" w:rsidRPr="00A90F7A" w:rsidRDefault="00844586">
            <w:pPr>
              <w:keepNext/>
              <w:rPr>
                <w:rFonts w:cs="Arial"/>
                <w:szCs w:val="24"/>
              </w:rPr>
            </w:pPr>
          </w:p>
        </w:tc>
      </w:tr>
      <w:tr w:rsidR="00E201A8" w14:paraId="4965CA19" w14:textId="77777777" w:rsidTr="001C0D6C">
        <w:trPr>
          <w:trHeight w:val="283"/>
        </w:trPr>
        <w:tc>
          <w:tcPr>
            <w:tcW w:w="4690" w:type="dxa"/>
            <w:gridSpan w:val="2"/>
          </w:tcPr>
          <w:p w14:paraId="77271A5E" w14:textId="77777777" w:rsidR="00844586" w:rsidRPr="00A90F7A" w:rsidRDefault="00844586">
            <w:pPr>
              <w:keepNext/>
              <w:rPr>
                <w:rFonts w:cs="Arial"/>
                <w:szCs w:val="24"/>
              </w:rPr>
            </w:pPr>
          </w:p>
        </w:tc>
        <w:tc>
          <w:tcPr>
            <w:tcW w:w="4678" w:type="dxa"/>
            <w:tcBorders>
              <w:top w:val="single" w:sz="8" w:space="0" w:color="auto"/>
            </w:tcBorders>
          </w:tcPr>
          <w:p w14:paraId="322B7CF6" w14:textId="77777777" w:rsidR="00844586" w:rsidRPr="00A90F7A" w:rsidRDefault="0084114F">
            <w:pPr>
              <w:rPr>
                <w:rFonts w:cs="Arial"/>
                <w:szCs w:val="24"/>
                <w:lang w:val="fr-FR"/>
              </w:rPr>
            </w:pPr>
            <w:r w:rsidRPr="00A90F7A">
              <w:rPr>
                <w:rFonts w:cs="Arial"/>
                <w:szCs w:val="24"/>
              </w:rPr>
              <w:fldChar w:fldCharType="begin"/>
            </w:r>
            <w:r w:rsidRPr="00A90F7A">
              <w:rPr>
                <w:rFonts w:cs="Arial"/>
                <w:szCs w:val="24"/>
                <w:lang w:val="fr-FR"/>
              </w:rPr>
              <w:instrText xml:space="preserve"> NomJuge1 </w:instrText>
            </w:r>
            <w:r w:rsidRPr="00A90F7A">
              <w:rPr>
                <w:rFonts w:cs="Arial"/>
                <w:szCs w:val="24"/>
              </w:rPr>
              <w:fldChar w:fldCharType="separate"/>
            </w:r>
            <w:r w:rsidRPr="00A90F7A">
              <w:rPr>
                <w:lang w:val="fr-CA"/>
              </w:rPr>
              <w:t>MARK SCHRAGER, J.A.</w:t>
            </w:r>
            <w:r w:rsidRPr="00A90F7A">
              <w:rPr>
                <w:rFonts w:cs="Arial"/>
                <w:szCs w:val="24"/>
              </w:rPr>
              <w:fldChar w:fldCharType="end"/>
            </w:r>
          </w:p>
        </w:tc>
      </w:tr>
      <w:tr w:rsidR="00E201A8" w14:paraId="55C7464A" w14:textId="77777777" w:rsidTr="003C4610">
        <w:trPr>
          <w:trHeight w:val="283"/>
        </w:trPr>
        <w:tc>
          <w:tcPr>
            <w:tcW w:w="4690" w:type="dxa"/>
            <w:gridSpan w:val="2"/>
          </w:tcPr>
          <w:p w14:paraId="61070E07" w14:textId="77777777" w:rsidR="00844586" w:rsidRPr="00A90F7A" w:rsidRDefault="00844586">
            <w:pPr>
              <w:keepNext/>
              <w:rPr>
                <w:rFonts w:cs="Arial"/>
                <w:szCs w:val="24"/>
                <w:lang w:val="fr-FR"/>
              </w:rPr>
            </w:pPr>
          </w:p>
        </w:tc>
        <w:tc>
          <w:tcPr>
            <w:tcW w:w="4678" w:type="dxa"/>
          </w:tcPr>
          <w:p w14:paraId="66B2006D" w14:textId="77777777" w:rsidR="00844586" w:rsidRPr="00A90F7A" w:rsidRDefault="00844586">
            <w:pPr>
              <w:keepNext/>
              <w:rPr>
                <w:rFonts w:cs="Arial"/>
                <w:szCs w:val="24"/>
                <w:lang w:val="fr-FR"/>
              </w:rPr>
            </w:pPr>
          </w:p>
        </w:tc>
      </w:tr>
      <w:tr w:rsidR="00E201A8" w14:paraId="675C36A1" w14:textId="77777777" w:rsidTr="001C0D6C">
        <w:trPr>
          <w:trHeight w:val="283"/>
        </w:trPr>
        <w:tc>
          <w:tcPr>
            <w:tcW w:w="4690" w:type="dxa"/>
            <w:gridSpan w:val="2"/>
          </w:tcPr>
          <w:p w14:paraId="58E065EA" w14:textId="77777777" w:rsidR="00844586" w:rsidRPr="00A90F7A" w:rsidRDefault="00844586">
            <w:pPr>
              <w:keepNext/>
              <w:rPr>
                <w:rFonts w:cs="Arial"/>
                <w:szCs w:val="24"/>
                <w:lang w:val="fr-FR"/>
              </w:rPr>
            </w:pPr>
          </w:p>
        </w:tc>
        <w:tc>
          <w:tcPr>
            <w:tcW w:w="4678" w:type="dxa"/>
            <w:tcBorders>
              <w:bottom w:val="single" w:sz="8" w:space="0" w:color="auto"/>
            </w:tcBorders>
          </w:tcPr>
          <w:p w14:paraId="33B2A477" w14:textId="77777777" w:rsidR="00844586" w:rsidRPr="00A90F7A" w:rsidRDefault="00844586">
            <w:pPr>
              <w:keepNext/>
              <w:rPr>
                <w:rFonts w:cs="Arial"/>
                <w:szCs w:val="24"/>
                <w:lang w:val="fr-FR"/>
              </w:rPr>
            </w:pPr>
          </w:p>
        </w:tc>
      </w:tr>
      <w:tr w:rsidR="00E201A8" w14:paraId="6BBA994A" w14:textId="77777777" w:rsidTr="001C0D6C">
        <w:trPr>
          <w:trHeight w:val="283"/>
        </w:trPr>
        <w:tc>
          <w:tcPr>
            <w:tcW w:w="4690" w:type="dxa"/>
            <w:gridSpan w:val="2"/>
          </w:tcPr>
          <w:p w14:paraId="57A8B0AE" w14:textId="77777777" w:rsidR="00844586" w:rsidRPr="00A90F7A" w:rsidRDefault="00844586">
            <w:pPr>
              <w:keepNext/>
              <w:rPr>
                <w:rFonts w:cs="Arial"/>
                <w:szCs w:val="24"/>
                <w:lang w:val="fr-FR"/>
              </w:rPr>
            </w:pPr>
          </w:p>
        </w:tc>
        <w:tc>
          <w:tcPr>
            <w:tcW w:w="4678" w:type="dxa"/>
            <w:tcBorders>
              <w:top w:val="single" w:sz="8" w:space="0" w:color="auto"/>
            </w:tcBorders>
          </w:tcPr>
          <w:p w14:paraId="7D8ED627" w14:textId="77777777" w:rsidR="00844586" w:rsidRPr="00A90F7A" w:rsidRDefault="0084114F">
            <w:pPr>
              <w:keepNext/>
              <w:rPr>
                <w:rFonts w:cs="Arial"/>
                <w:szCs w:val="24"/>
                <w:lang w:val="fr-FR"/>
              </w:rPr>
            </w:pPr>
            <w:r w:rsidRPr="00A90F7A">
              <w:rPr>
                <w:rFonts w:cs="Arial"/>
                <w:szCs w:val="24"/>
              </w:rPr>
              <w:fldChar w:fldCharType="begin"/>
            </w:r>
            <w:r w:rsidRPr="00A90F7A">
              <w:rPr>
                <w:rFonts w:cs="Arial"/>
                <w:szCs w:val="24"/>
                <w:lang w:val="fr-FR"/>
              </w:rPr>
              <w:instrText xml:space="preserve"> NomJuge2 </w:instrText>
            </w:r>
            <w:r w:rsidRPr="00A90F7A">
              <w:rPr>
                <w:rFonts w:cs="Arial"/>
                <w:szCs w:val="24"/>
              </w:rPr>
              <w:fldChar w:fldCharType="separate"/>
            </w:r>
            <w:r w:rsidRPr="00A90F7A">
              <w:rPr>
                <w:lang w:val="fr-CA"/>
              </w:rPr>
              <w:t>SOPHIE LAVALLÉE, J.A.</w:t>
            </w:r>
            <w:r w:rsidRPr="00A90F7A">
              <w:rPr>
                <w:rFonts w:cs="Arial"/>
                <w:szCs w:val="24"/>
              </w:rPr>
              <w:fldChar w:fldCharType="end"/>
            </w:r>
          </w:p>
        </w:tc>
      </w:tr>
      <w:tr w:rsidR="00E201A8" w14:paraId="77C94F16" w14:textId="77777777" w:rsidTr="003C4610">
        <w:trPr>
          <w:trHeight w:val="283"/>
        </w:trPr>
        <w:tc>
          <w:tcPr>
            <w:tcW w:w="4690" w:type="dxa"/>
            <w:gridSpan w:val="2"/>
          </w:tcPr>
          <w:p w14:paraId="7097A749" w14:textId="77777777" w:rsidR="00844586" w:rsidRPr="00A90F7A" w:rsidRDefault="00844586">
            <w:pPr>
              <w:keepNext/>
              <w:rPr>
                <w:rFonts w:cs="Arial"/>
                <w:szCs w:val="24"/>
                <w:lang w:val="fr-FR"/>
              </w:rPr>
            </w:pPr>
          </w:p>
        </w:tc>
        <w:tc>
          <w:tcPr>
            <w:tcW w:w="4678" w:type="dxa"/>
          </w:tcPr>
          <w:p w14:paraId="04F9A205" w14:textId="77777777" w:rsidR="00844586" w:rsidRPr="00A90F7A" w:rsidRDefault="00844586">
            <w:pPr>
              <w:keepNext/>
              <w:rPr>
                <w:rFonts w:cs="Arial"/>
                <w:szCs w:val="24"/>
                <w:lang w:val="fr-FR"/>
              </w:rPr>
            </w:pPr>
          </w:p>
        </w:tc>
      </w:tr>
      <w:tr w:rsidR="00E201A8" w14:paraId="797C9AAC" w14:textId="77777777" w:rsidTr="001C0D6C">
        <w:trPr>
          <w:trHeight w:val="283"/>
        </w:trPr>
        <w:tc>
          <w:tcPr>
            <w:tcW w:w="4690" w:type="dxa"/>
            <w:gridSpan w:val="2"/>
          </w:tcPr>
          <w:p w14:paraId="00EC04D1" w14:textId="77777777" w:rsidR="00844586" w:rsidRPr="00A90F7A" w:rsidRDefault="00844586">
            <w:pPr>
              <w:keepNext/>
              <w:rPr>
                <w:rFonts w:cs="Arial"/>
                <w:szCs w:val="24"/>
                <w:lang w:val="fr-FR"/>
              </w:rPr>
            </w:pPr>
          </w:p>
        </w:tc>
        <w:tc>
          <w:tcPr>
            <w:tcW w:w="4678" w:type="dxa"/>
            <w:tcBorders>
              <w:bottom w:val="single" w:sz="8" w:space="0" w:color="auto"/>
            </w:tcBorders>
          </w:tcPr>
          <w:p w14:paraId="79818948" w14:textId="77777777" w:rsidR="00844586" w:rsidRPr="00A90F7A" w:rsidRDefault="00844586">
            <w:pPr>
              <w:keepNext/>
              <w:rPr>
                <w:rFonts w:cs="Arial"/>
                <w:szCs w:val="24"/>
                <w:lang w:val="fr-FR"/>
              </w:rPr>
            </w:pPr>
          </w:p>
        </w:tc>
      </w:tr>
      <w:tr w:rsidR="00E201A8" w14:paraId="46D1CA0C" w14:textId="77777777" w:rsidTr="001C0D6C">
        <w:trPr>
          <w:trHeight w:val="283"/>
        </w:trPr>
        <w:tc>
          <w:tcPr>
            <w:tcW w:w="4690" w:type="dxa"/>
            <w:gridSpan w:val="2"/>
          </w:tcPr>
          <w:p w14:paraId="3C46A61B" w14:textId="77777777" w:rsidR="00844586" w:rsidRPr="00A90F7A" w:rsidRDefault="00844586">
            <w:pPr>
              <w:keepNext/>
              <w:rPr>
                <w:rFonts w:cs="Arial"/>
                <w:szCs w:val="24"/>
                <w:lang w:val="fr-FR"/>
              </w:rPr>
            </w:pPr>
          </w:p>
        </w:tc>
        <w:tc>
          <w:tcPr>
            <w:tcW w:w="4678" w:type="dxa"/>
            <w:tcBorders>
              <w:top w:val="single" w:sz="8" w:space="0" w:color="auto"/>
            </w:tcBorders>
          </w:tcPr>
          <w:p w14:paraId="7D5F29C1" w14:textId="77777777" w:rsidR="00844586" w:rsidRPr="00A90F7A" w:rsidRDefault="0084114F">
            <w:pPr>
              <w:keepNext/>
              <w:rPr>
                <w:rFonts w:cs="Arial"/>
                <w:szCs w:val="24"/>
                <w:lang w:val="fr-FR"/>
              </w:rPr>
            </w:pPr>
            <w:r w:rsidRPr="00A90F7A">
              <w:rPr>
                <w:rFonts w:cs="Arial"/>
                <w:szCs w:val="24"/>
              </w:rPr>
              <w:fldChar w:fldCharType="begin"/>
            </w:r>
            <w:r w:rsidRPr="00A90F7A">
              <w:rPr>
                <w:rFonts w:cs="Arial"/>
                <w:szCs w:val="24"/>
                <w:lang w:val="fr-FR"/>
              </w:rPr>
              <w:instrText xml:space="preserve"> NomJuge3 </w:instrText>
            </w:r>
            <w:r w:rsidRPr="00A90F7A">
              <w:rPr>
                <w:rFonts w:cs="Arial"/>
                <w:szCs w:val="24"/>
              </w:rPr>
              <w:fldChar w:fldCharType="separate"/>
            </w:r>
            <w:r w:rsidRPr="00A90F7A">
              <w:t>FRÉDÉRIC BACHAND, J.A.</w:t>
            </w:r>
            <w:r w:rsidRPr="00A90F7A">
              <w:rPr>
                <w:rFonts w:cs="Arial"/>
                <w:szCs w:val="24"/>
              </w:rPr>
              <w:fldChar w:fldCharType="end"/>
            </w:r>
          </w:p>
        </w:tc>
      </w:tr>
      <w:tr w:rsidR="00E201A8" w14:paraId="4FE152D1" w14:textId="77777777" w:rsidTr="003C4610">
        <w:tc>
          <w:tcPr>
            <w:tcW w:w="9368" w:type="dxa"/>
            <w:gridSpan w:val="3"/>
          </w:tcPr>
          <w:p w14:paraId="79410ECA" w14:textId="77777777" w:rsidR="00844586" w:rsidRPr="00A90F7A" w:rsidRDefault="00844586" w:rsidP="00447B9B">
            <w:pPr>
              <w:rPr>
                <w:lang w:val="fr-FR"/>
              </w:rPr>
            </w:pPr>
          </w:p>
        </w:tc>
      </w:tr>
      <w:tr w:rsidR="00E201A8" w14:paraId="4B248E2E" w14:textId="77777777" w:rsidTr="003C4610">
        <w:tc>
          <w:tcPr>
            <w:tcW w:w="9368" w:type="dxa"/>
            <w:gridSpan w:val="3"/>
          </w:tcPr>
          <w:p w14:paraId="12330A73" w14:textId="77777777" w:rsidR="00844586" w:rsidRPr="00E8050B" w:rsidRDefault="0084114F" w:rsidP="00447B9B">
            <w:pPr>
              <w:pStyle w:val="zSoquijdatNomProcureurDem"/>
            </w:pPr>
            <w:r w:rsidRPr="00E8050B">
              <w:t>Mtre Vincent Thibeault</w:t>
            </w:r>
          </w:p>
        </w:tc>
      </w:tr>
      <w:tr w:rsidR="00E201A8" w14:paraId="4FFFA064" w14:textId="77777777" w:rsidTr="003C4610">
        <w:tc>
          <w:tcPr>
            <w:tcW w:w="9368" w:type="dxa"/>
            <w:gridSpan w:val="3"/>
          </w:tcPr>
          <w:p w14:paraId="546F6196" w14:textId="77777777" w:rsidR="00844586" w:rsidRPr="00E8050B" w:rsidRDefault="0084114F" w:rsidP="00447B9B">
            <w:pPr>
              <w:pStyle w:val="zSoquijdatNomProcureurDem"/>
            </w:pPr>
            <w:r w:rsidRPr="00E8050B">
              <w:t xml:space="preserve">Mtre </w:t>
            </w:r>
            <w:proofErr w:type="spellStart"/>
            <w:r w:rsidRPr="00E8050B">
              <w:t>Aurélie</w:t>
            </w:r>
            <w:proofErr w:type="spellEnd"/>
            <w:r w:rsidRPr="00E8050B">
              <w:t xml:space="preserve"> Gagné</w:t>
            </w:r>
          </w:p>
        </w:tc>
      </w:tr>
      <w:tr w:rsidR="00E201A8" w14:paraId="007D8DA4" w14:textId="77777777" w:rsidTr="003C4610">
        <w:tc>
          <w:tcPr>
            <w:tcW w:w="9368" w:type="dxa"/>
            <w:gridSpan w:val="3"/>
          </w:tcPr>
          <w:p w14:paraId="1CB9018F" w14:textId="77777777" w:rsidR="00844586" w:rsidRPr="00E8050B" w:rsidRDefault="0084114F" w:rsidP="00447B9B">
            <w:pPr>
              <w:pStyle w:val="zSoquijdatCabinetProcureurDem"/>
            </w:pPr>
            <w:r w:rsidRPr="00E8050B">
              <w:t>THIBEAULT JOYAL INC.</w:t>
            </w:r>
          </w:p>
        </w:tc>
      </w:tr>
      <w:tr w:rsidR="00E201A8" w14:paraId="44DC4143" w14:textId="77777777" w:rsidTr="003C4610">
        <w:tc>
          <w:tcPr>
            <w:tcW w:w="9368" w:type="dxa"/>
            <w:gridSpan w:val="3"/>
          </w:tcPr>
          <w:p w14:paraId="6BAF7304" w14:textId="77777777" w:rsidR="00844586" w:rsidRPr="00E8050B" w:rsidRDefault="0084114F" w:rsidP="00447B9B">
            <w:pPr>
              <w:pStyle w:val="zSoquijlblProcureurDem"/>
            </w:pPr>
            <w:r w:rsidRPr="00E8050B">
              <w:t>For the Appellant</w:t>
            </w:r>
          </w:p>
        </w:tc>
      </w:tr>
      <w:tr w:rsidR="00E201A8" w14:paraId="040BD4AE" w14:textId="77777777" w:rsidTr="003C4610">
        <w:tc>
          <w:tcPr>
            <w:tcW w:w="9368" w:type="dxa"/>
            <w:gridSpan w:val="3"/>
          </w:tcPr>
          <w:p w14:paraId="50C0806E" w14:textId="77777777" w:rsidR="00844586" w:rsidRPr="00A90F7A" w:rsidRDefault="00844586" w:rsidP="00447B9B"/>
        </w:tc>
      </w:tr>
      <w:tr w:rsidR="00E201A8" w14:paraId="4ECA8F78" w14:textId="77777777" w:rsidTr="003C4610">
        <w:tc>
          <w:tcPr>
            <w:tcW w:w="9368" w:type="dxa"/>
            <w:gridSpan w:val="3"/>
          </w:tcPr>
          <w:p w14:paraId="54EACD15" w14:textId="77777777" w:rsidR="00844586" w:rsidRPr="00E8050B" w:rsidRDefault="0084114F" w:rsidP="00447B9B">
            <w:pPr>
              <w:pStyle w:val="zSoquijdatNomProcureurDef"/>
            </w:pPr>
            <w:r w:rsidRPr="00E8050B">
              <w:lastRenderedPageBreak/>
              <w:t>Mtre Hélène B. Tessier</w:t>
            </w:r>
          </w:p>
        </w:tc>
      </w:tr>
      <w:tr w:rsidR="00E201A8" w14:paraId="25B6B787" w14:textId="77777777" w:rsidTr="003C4610">
        <w:tc>
          <w:tcPr>
            <w:tcW w:w="9368" w:type="dxa"/>
            <w:gridSpan w:val="3"/>
          </w:tcPr>
          <w:p w14:paraId="4BEEDD90" w14:textId="77777777" w:rsidR="00844586" w:rsidRPr="00E8050B" w:rsidRDefault="0084114F" w:rsidP="00447B9B">
            <w:pPr>
              <w:pStyle w:val="zSoquijdatNomProcureurDef"/>
            </w:pPr>
            <w:r w:rsidRPr="00E8050B">
              <w:t>Mtre Stéphane Roy</w:t>
            </w:r>
          </w:p>
        </w:tc>
      </w:tr>
      <w:tr w:rsidR="00E201A8" w14:paraId="67FB36F2" w14:textId="77777777" w:rsidTr="003C4610">
        <w:tc>
          <w:tcPr>
            <w:tcW w:w="9368" w:type="dxa"/>
            <w:gridSpan w:val="3"/>
          </w:tcPr>
          <w:p w14:paraId="6DAB8431" w14:textId="77777777" w:rsidR="00844586" w:rsidRPr="00E8050B" w:rsidRDefault="0084114F" w:rsidP="00447B9B">
            <w:pPr>
              <w:pStyle w:val="zSoquijdatCabinetProcureurDef"/>
            </w:pPr>
            <w:r w:rsidRPr="00E8050B">
              <w:t>LAPOINTE ROSENSTEIN MARCHAND MELANÇON</w:t>
            </w:r>
          </w:p>
        </w:tc>
      </w:tr>
      <w:tr w:rsidR="00E201A8" w14:paraId="2FBA7B20" w14:textId="77777777" w:rsidTr="003C4610">
        <w:tc>
          <w:tcPr>
            <w:tcW w:w="9368" w:type="dxa"/>
            <w:gridSpan w:val="3"/>
          </w:tcPr>
          <w:p w14:paraId="2B77D887" w14:textId="77777777" w:rsidR="00844586" w:rsidRPr="00E8050B" w:rsidRDefault="0084114F" w:rsidP="00447B9B">
            <w:pPr>
              <w:pStyle w:val="zSoquijlblProcureurDef"/>
            </w:pPr>
            <w:r w:rsidRPr="00E8050B">
              <w:t>For the Respondents</w:t>
            </w:r>
          </w:p>
        </w:tc>
      </w:tr>
      <w:tr w:rsidR="00E201A8" w14:paraId="78BDFC3B" w14:textId="77777777" w:rsidTr="003C4610">
        <w:tc>
          <w:tcPr>
            <w:tcW w:w="9368" w:type="dxa"/>
            <w:gridSpan w:val="3"/>
          </w:tcPr>
          <w:p w14:paraId="20124A6D" w14:textId="77777777" w:rsidR="00844586" w:rsidRPr="00A90F7A" w:rsidRDefault="00844586" w:rsidP="00447B9B"/>
        </w:tc>
      </w:tr>
      <w:tr w:rsidR="00E201A8" w14:paraId="29794947" w14:textId="77777777" w:rsidTr="003C4610">
        <w:tc>
          <w:tcPr>
            <w:tcW w:w="2005" w:type="dxa"/>
          </w:tcPr>
          <w:p w14:paraId="2B824BF6" w14:textId="77777777" w:rsidR="00844586" w:rsidRPr="00E8050B" w:rsidRDefault="0084114F" w:rsidP="00447B9B">
            <w:pPr>
              <w:pStyle w:val="zSoquijlblDateAudience"/>
            </w:pPr>
            <w:r w:rsidRPr="00E8050B">
              <w:t>Date of hearing:</w:t>
            </w:r>
          </w:p>
        </w:tc>
        <w:tc>
          <w:tcPr>
            <w:tcW w:w="7363" w:type="dxa"/>
            <w:gridSpan w:val="2"/>
          </w:tcPr>
          <w:p w14:paraId="40A8DED4" w14:textId="77777777" w:rsidR="00844586" w:rsidRPr="00E8050B" w:rsidRDefault="0084114F" w:rsidP="00447B9B">
            <w:pPr>
              <w:pStyle w:val="zSoquijdatDateAudience"/>
            </w:pPr>
            <w:r w:rsidRPr="00E8050B">
              <w:t>February 8, 2023</w:t>
            </w:r>
          </w:p>
        </w:tc>
      </w:tr>
    </w:tbl>
    <w:p w14:paraId="2CFCEF9A" w14:textId="77777777" w:rsidR="00844586" w:rsidRPr="00A90F7A" w:rsidRDefault="00844586" w:rsidP="00D70EEF">
      <w:pPr>
        <w:tabs>
          <w:tab w:val="left" w:pos="3473"/>
        </w:tabs>
        <w:sectPr w:rsidR="00844586" w:rsidRPr="00A90F7A" w:rsidSect="00844586">
          <w:headerReference w:type="even" r:id="rId10"/>
          <w:headerReference w:type="default" r:id="rId11"/>
          <w:footerReference w:type="even" r:id="rId12"/>
          <w:footerReference w:type="default" r:id="rId13"/>
          <w:headerReference w:type="first" r:id="rId14"/>
          <w:footerReference w:type="first" r:id="rId15"/>
          <w:pgSz w:w="12242" w:h="15842" w:code="1"/>
          <w:pgMar w:top="1440" w:right="1008" w:bottom="1440" w:left="1872" w:header="1440" w:footer="792" w:gutter="0"/>
          <w:pgNumType w:start="1"/>
          <w:cols w:space="720"/>
          <w:formProt w:val="0"/>
          <w:titlePg/>
          <w:docGrid w:linePitch="326"/>
        </w:sectPr>
      </w:pPr>
      <w:bookmarkStart w:id="5" w:name="Opinion"/>
    </w:p>
    <w:tbl>
      <w:tblPr>
        <w:tblW w:w="0" w:type="auto"/>
        <w:tblInd w:w="8" w:type="dxa"/>
        <w:tblLayout w:type="fixed"/>
        <w:tblCellMar>
          <w:left w:w="0" w:type="dxa"/>
          <w:right w:w="0" w:type="dxa"/>
        </w:tblCellMar>
        <w:tblLook w:val="0000" w:firstRow="0" w:lastRow="0" w:firstColumn="0" w:lastColumn="0" w:noHBand="0" w:noVBand="0"/>
      </w:tblPr>
      <w:tblGrid>
        <w:gridCol w:w="9360"/>
      </w:tblGrid>
      <w:tr w:rsidR="00E201A8" w14:paraId="2A6E27D8" w14:textId="77777777" w:rsidTr="00B220FA">
        <w:tc>
          <w:tcPr>
            <w:tcW w:w="9360" w:type="dxa"/>
            <w:tcBorders>
              <w:bottom w:val="single" w:sz="8" w:space="0" w:color="auto"/>
            </w:tcBorders>
          </w:tcPr>
          <w:p w14:paraId="7E80B35E" w14:textId="77777777" w:rsidR="00844586" w:rsidRPr="00A90F7A" w:rsidRDefault="0084114F" w:rsidP="00B220FA">
            <w:r w:rsidRPr="00A90F7A">
              <w:lastRenderedPageBreak/>
              <w:br w:type="page"/>
            </w:r>
          </w:p>
        </w:tc>
      </w:tr>
      <w:tr w:rsidR="00E201A8" w14:paraId="689FD319" w14:textId="77777777" w:rsidTr="00B220FA">
        <w:tc>
          <w:tcPr>
            <w:tcW w:w="9360" w:type="dxa"/>
            <w:tcBorders>
              <w:top w:val="single" w:sz="8" w:space="0" w:color="auto"/>
            </w:tcBorders>
          </w:tcPr>
          <w:p w14:paraId="5EFB4556" w14:textId="77777777" w:rsidR="00844586" w:rsidRPr="00A90F7A" w:rsidRDefault="00844586" w:rsidP="00B220FA"/>
        </w:tc>
      </w:tr>
      <w:bookmarkStart w:id="6" w:name="MotifJuge1"/>
      <w:tr w:rsidR="00E201A8" w14:paraId="7D8B9308" w14:textId="77777777" w:rsidTr="00B220FA">
        <w:tc>
          <w:tcPr>
            <w:tcW w:w="9360" w:type="dxa"/>
          </w:tcPr>
          <w:p w14:paraId="567264A3" w14:textId="77777777" w:rsidR="00844586" w:rsidRPr="00A90F7A" w:rsidRDefault="0084114F" w:rsidP="00B220FA">
            <w:pPr>
              <w:pStyle w:val="zSoquijlblOpinionJuge"/>
            </w:pPr>
            <w:r w:rsidRPr="00A90F7A">
              <w:fldChar w:fldCharType="begin"/>
            </w:r>
            <w:r w:rsidRPr="00A90F7A">
              <w:instrText xml:space="preserve"> DOCVARIABLE MotifJuge1 </w:instrText>
            </w:r>
            <w:r w:rsidRPr="00A90F7A">
              <w:fldChar w:fldCharType="separate"/>
            </w:r>
            <w:r>
              <w:t>REASONS OF</w:t>
            </w:r>
            <w:r w:rsidRPr="00A90F7A">
              <w:fldChar w:fldCharType="end"/>
            </w:r>
            <w:bookmarkEnd w:id="6"/>
            <w:r w:rsidRPr="00A90F7A">
              <w:t xml:space="preserve"> </w:t>
            </w:r>
            <w:r w:rsidRPr="00A90F7A">
              <w:fldChar w:fldCharType="begin"/>
            </w:r>
            <w:r w:rsidRPr="00A90F7A">
              <w:instrText xml:space="preserve"> DOCVARIABLE NomFamJuge1 </w:instrText>
            </w:r>
            <w:r w:rsidRPr="00A90F7A">
              <w:fldChar w:fldCharType="separate"/>
            </w:r>
            <w:r>
              <w:t>SCHRAGER</w:t>
            </w:r>
            <w:r w:rsidRPr="00A90F7A">
              <w:fldChar w:fldCharType="end"/>
            </w:r>
            <w:r w:rsidRPr="00A90F7A">
              <w:fldChar w:fldCharType="begin"/>
            </w:r>
            <w:r w:rsidRPr="00A90F7A">
              <w:instrText xml:space="preserve"> DOCVARIABLE QteJuge1 </w:instrText>
            </w:r>
            <w:r w:rsidRPr="00A90F7A">
              <w:fldChar w:fldCharType="separate"/>
            </w:r>
            <w:r>
              <w:t>, J.A.</w:t>
            </w:r>
            <w:r w:rsidRPr="00A90F7A">
              <w:fldChar w:fldCharType="end"/>
            </w:r>
          </w:p>
        </w:tc>
      </w:tr>
      <w:tr w:rsidR="00E201A8" w14:paraId="57EE5EA4" w14:textId="77777777" w:rsidTr="00B220FA">
        <w:tc>
          <w:tcPr>
            <w:tcW w:w="9360" w:type="dxa"/>
            <w:tcBorders>
              <w:bottom w:val="single" w:sz="8" w:space="0" w:color="auto"/>
            </w:tcBorders>
          </w:tcPr>
          <w:p w14:paraId="6E94A798" w14:textId="77777777" w:rsidR="00844586" w:rsidRPr="00A90F7A" w:rsidRDefault="00844586" w:rsidP="00B220FA"/>
        </w:tc>
      </w:tr>
      <w:tr w:rsidR="00E201A8" w14:paraId="2C7FCC68" w14:textId="77777777" w:rsidTr="00B220FA">
        <w:tc>
          <w:tcPr>
            <w:tcW w:w="9360" w:type="dxa"/>
            <w:tcBorders>
              <w:top w:val="single" w:sz="8" w:space="0" w:color="auto"/>
            </w:tcBorders>
          </w:tcPr>
          <w:p w14:paraId="6EB18D1F" w14:textId="77777777" w:rsidR="00844586" w:rsidRPr="00A90F7A" w:rsidRDefault="00844586" w:rsidP="00B220FA"/>
        </w:tc>
      </w:tr>
    </w:tbl>
    <w:p w14:paraId="3DD18C38" w14:textId="77777777" w:rsidR="00844586" w:rsidRPr="00E8050B" w:rsidRDefault="0084114F" w:rsidP="00D70EEF">
      <w:pPr>
        <w:pStyle w:val="Titre1"/>
      </w:pPr>
      <w:r w:rsidRPr="00E8050B">
        <w:t>FACTS</w:t>
      </w:r>
    </w:p>
    <w:p w14:paraId="2AFD2367" w14:textId="77777777" w:rsidR="00844586" w:rsidRPr="00A90F7A" w:rsidRDefault="0084114F" w:rsidP="00D70EEF">
      <w:pPr>
        <w:pStyle w:val="Paragraphe"/>
        <w:spacing w:line="280" w:lineRule="exact"/>
      </w:pPr>
      <w:r w:rsidRPr="00A90F7A">
        <w:t xml:space="preserve">The judge described, step by step and chronologically, the detailed facts giving rise to the dispute between the parties. Suffice it to say, for present purposes, that the toy company owned by the Appellant as sole shareholder, Divertissement </w:t>
      </w:r>
      <w:proofErr w:type="spellStart"/>
      <w:r w:rsidRPr="00A90F7A">
        <w:t>Wooky</w:t>
      </w:r>
      <w:proofErr w:type="spellEnd"/>
      <w:r w:rsidRPr="00A90F7A">
        <w:t xml:space="preserve"> Inc. (“</w:t>
      </w:r>
      <w:proofErr w:type="spellStart"/>
      <w:r w:rsidRPr="00A90F7A">
        <w:rPr>
          <w:b/>
          <w:bCs/>
        </w:rPr>
        <w:t>Wooky</w:t>
      </w:r>
      <w:proofErr w:type="spellEnd"/>
      <w:r w:rsidRPr="00A90F7A">
        <w:t>”), was in serious financial trouble in 2016. The operating losses as at May 2016 were between $3.7 and $4.2 million. The first-ranking secured creditor providing the operating loan facilities, Royal Bank of Canada (“</w:t>
      </w:r>
      <w:r w:rsidRPr="00A90F7A">
        <w:rPr>
          <w:b/>
          <w:bCs/>
        </w:rPr>
        <w:t>RBC</w:t>
      </w:r>
      <w:r w:rsidRPr="00A90F7A">
        <w:t xml:space="preserve">”), notified </w:t>
      </w:r>
      <w:proofErr w:type="spellStart"/>
      <w:r w:rsidRPr="00A90F7A">
        <w:t>Wooky</w:t>
      </w:r>
      <w:proofErr w:type="spellEnd"/>
      <w:r w:rsidRPr="00A90F7A">
        <w:t xml:space="preserve"> in February 2016 of various covenant defaults, stating that it would require repayment of the outstanding advances by the end June 2016.</w:t>
      </w:r>
    </w:p>
    <w:p w14:paraId="4C43DED7" w14:textId="77777777" w:rsidR="00844586" w:rsidRPr="00A90F7A" w:rsidRDefault="0084114F" w:rsidP="00D70EEF">
      <w:pPr>
        <w:pStyle w:val="Paragraphe"/>
        <w:spacing w:line="280" w:lineRule="exact"/>
      </w:pPr>
      <w:r w:rsidRPr="00A90F7A">
        <w:t>After unsuccessful attempts by the Appellant (“</w:t>
      </w:r>
      <w:r w:rsidRPr="00A90F7A">
        <w:rPr>
          <w:b/>
          <w:bCs/>
        </w:rPr>
        <w:t>Richer</w:t>
      </w:r>
      <w:r w:rsidRPr="00A90F7A">
        <w:t>” or the “</w:t>
      </w:r>
      <w:r w:rsidRPr="00A90F7A">
        <w:rPr>
          <w:b/>
          <w:bCs/>
        </w:rPr>
        <w:t>Appellant</w:t>
      </w:r>
      <w:r w:rsidRPr="00A90F7A">
        <w:t>”) to interest new investors or a purchaser, Mr. Sirois (“</w:t>
      </w:r>
      <w:r w:rsidRPr="00A90F7A">
        <w:rPr>
          <w:b/>
          <w:bCs/>
        </w:rPr>
        <w:t>Sirois</w:t>
      </w:r>
      <w:r w:rsidRPr="00A90F7A">
        <w:t xml:space="preserve">”) appeared on the scene on the weekend of June 11-12, 2016. After a cursory due diligence review, he agreed with Richer on a plan to salvage </w:t>
      </w:r>
      <w:proofErr w:type="spellStart"/>
      <w:r w:rsidRPr="00A90F7A">
        <w:t>Wooky’s</w:t>
      </w:r>
      <w:proofErr w:type="spellEnd"/>
      <w:r w:rsidRPr="00A90F7A">
        <w:t xml:space="preserve"> business. This plan was set down in a written agreement, which the evidence indicates was signed on June 27, 2016, (the “</w:t>
      </w:r>
      <w:r w:rsidRPr="00A90F7A">
        <w:rPr>
          <w:b/>
          <w:bCs/>
        </w:rPr>
        <w:t>Entente</w:t>
      </w:r>
      <w:r w:rsidRPr="00A90F7A">
        <w:t xml:space="preserve">”). </w:t>
      </w:r>
      <w:r w:rsidRPr="00E8050B">
        <w:t>The Entente is the cornerstone of the disputed issues.</w:t>
      </w:r>
      <w:r w:rsidRPr="00A90F7A">
        <w:t xml:space="preserve">  Its text is reproduced in a schedule to these reasons.</w:t>
      </w:r>
    </w:p>
    <w:p w14:paraId="62C8AF53" w14:textId="77777777" w:rsidR="00844586" w:rsidRPr="00A90F7A" w:rsidRDefault="0084114F" w:rsidP="00D70EEF">
      <w:pPr>
        <w:pStyle w:val="Paragraphe"/>
        <w:spacing w:line="280" w:lineRule="exact"/>
      </w:pPr>
      <w:r w:rsidRPr="00A90F7A">
        <w:t xml:space="preserve">Three of the four grounds of appeal deal with what Richer is entitled to under the Entente. The fourth ground deals with the disposition of funds held in trust by Sirois’ attorneys. </w:t>
      </w:r>
      <w:r w:rsidRPr="00E8050B">
        <w:t>I propose to address all of those grounds in these reasons.</w:t>
      </w:r>
    </w:p>
    <w:p w14:paraId="47FAFF75" w14:textId="77777777" w:rsidR="00844586" w:rsidRPr="00A90F7A" w:rsidRDefault="0084114F" w:rsidP="00D70EEF">
      <w:pPr>
        <w:pStyle w:val="Paragraphe"/>
        <w:spacing w:line="280" w:lineRule="exact"/>
      </w:pPr>
      <w:r w:rsidRPr="00A90F7A">
        <w:t xml:space="preserve">At the time that the Entente was signed (or more precisely, shortly thereafter, when Sirois paid </w:t>
      </w:r>
      <w:proofErr w:type="spellStart"/>
      <w:r w:rsidRPr="00A90F7A">
        <w:t>Wooky’s</w:t>
      </w:r>
      <w:proofErr w:type="spellEnd"/>
      <w:r w:rsidRPr="00A90F7A">
        <w:t xml:space="preserve"> three secured creditors), </w:t>
      </w:r>
      <w:proofErr w:type="spellStart"/>
      <w:r w:rsidRPr="00A90F7A">
        <w:t>Wooky</w:t>
      </w:r>
      <w:proofErr w:type="spellEnd"/>
      <w:r w:rsidRPr="00A90F7A">
        <w:t xml:space="preserve"> was indebted to its three secured creditors as follows, in order of rank and in round figures:</w:t>
      </w:r>
    </w:p>
    <w:tbl>
      <w:tblPr>
        <w:tblStyle w:val="Grilledutableau"/>
        <w:tblW w:w="0" w:type="auto"/>
        <w:tblLook w:val="04A0" w:firstRow="1" w:lastRow="0" w:firstColumn="1" w:lastColumn="0" w:noHBand="0" w:noVBand="1"/>
      </w:tblPr>
      <w:tblGrid>
        <w:gridCol w:w="7083"/>
        <w:gridCol w:w="1701"/>
      </w:tblGrid>
      <w:tr w:rsidR="00E201A8" w14:paraId="353419D6" w14:textId="77777777" w:rsidTr="00B220FA">
        <w:tc>
          <w:tcPr>
            <w:tcW w:w="7083" w:type="dxa"/>
          </w:tcPr>
          <w:p w14:paraId="03271276" w14:textId="77777777" w:rsidR="00844586" w:rsidRPr="00E8050B" w:rsidRDefault="0084114F" w:rsidP="00D70EEF">
            <w:pPr>
              <w:pStyle w:val="Paragraphe"/>
              <w:numPr>
                <w:ilvl w:val="0"/>
                <w:numId w:val="0"/>
              </w:numPr>
              <w:spacing w:before="0" w:after="0" w:line="280" w:lineRule="exact"/>
            </w:pPr>
            <w:r w:rsidRPr="00E8050B">
              <w:t>RBC</w:t>
            </w:r>
          </w:p>
        </w:tc>
        <w:tc>
          <w:tcPr>
            <w:tcW w:w="1701" w:type="dxa"/>
          </w:tcPr>
          <w:p w14:paraId="0CFBDC03" w14:textId="77777777" w:rsidR="00844586" w:rsidRPr="00A90F7A" w:rsidRDefault="0084114F" w:rsidP="00D70EEF">
            <w:pPr>
              <w:pStyle w:val="Paragraphe"/>
              <w:numPr>
                <w:ilvl w:val="0"/>
                <w:numId w:val="0"/>
              </w:numPr>
              <w:spacing w:before="0" w:after="0" w:line="280" w:lineRule="exact"/>
              <w:jc w:val="right"/>
            </w:pPr>
            <w:r w:rsidRPr="00A90F7A">
              <w:t>$1,000,000</w:t>
            </w:r>
          </w:p>
        </w:tc>
      </w:tr>
      <w:tr w:rsidR="00E201A8" w14:paraId="18C8CF49" w14:textId="77777777" w:rsidTr="00B220FA">
        <w:tc>
          <w:tcPr>
            <w:tcW w:w="7083" w:type="dxa"/>
          </w:tcPr>
          <w:p w14:paraId="2AD000CC" w14:textId="77777777" w:rsidR="00844586" w:rsidRPr="00E8050B" w:rsidRDefault="0084114F" w:rsidP="00D70EEF">
            <w:pPr>
              <w:pStyle w:val="Paragraphe"/>
              <w:numPr>
                <w:ilvl w:val="0"/>
                <w:numId w:val="0"/>
              </w:numPr>
              <w:spacing w:before="0" w:after="0" w:line="280" w:lineRule="exact"/>
            </w:pPr>
            <w:r w:rsidRPr="00E8050B">
              <w:t>INVESTISSEMENT QUÉBEC (“</w:t>
            </w:r>
            <w:r w:rsidRPr="00E8050B">
              <w:rPr>
                <w:b/>
                <w:bCs/>
              </w:rPr>
              <w:t>I.Q.</w:t>
            </w:r>
            <w:r w:rsidRPr="00E8050B">
              <w:t>”)</w:t>
            </w:r>
          </w:p>
        </w:tc>
        <w:tc>
          <w:tcPr>
            <w:tcW w:w="1701" w:type="dxa"/>
          </w:tcPr>
          <w:p w14:paraId="08BB6971" w14:textId="77777777" w:rsidR="00844586" w:rsidRPr="00A90F7A" w:rsidRDefault="0084114F" w:rsidP="00D70EEF">
            <w:pPr>
              <w:pStyle w:val="Paragraphe"/>
              <w:numPr>
                <w:ilvl w:val="0"/>
                <w:numId w:val="0"/>
              </w:numPr>
              <w:spacing w:before="0" w:after="0" w:line="280" w:lineRule="exact"/>
              <w:jc w:val="right"/>
            </w:pPr>
            <w:r w:rsidRPr="00A90F7A">
              <w:t>$300,000</w:t>
            </w:r>
          </w:p>
        </w:tc>
      </w:tr>
      <w:tr w:rsidR="00E201A8" w14:paraId="0B9A0657" w14:textId="77777777" w:rsidTr="00B220FA">
        <w:tc>
          <w:tcPr>
            <w:tcW w:w="7083" w:type="dxa"/>
          </w:tcPr>
          <w:p w14:paraId="6AC4DA54" w14:textId="77777777" w:rsidR="00844586" w:rsidRPr="00E8050B" w:rsidRDefault="0084114F" w:rsidP="00D70EEF">
            <w:pPr>
              <w:pStyle w:val="Paragraphe"/>
              <w:numPr>
                <w:ilvl w:val="0"/>
                <w:numId w:val="0"/>
              </w:numPr>
              <w:spacing w:before="0" w:after="0" w:line="280" w:lineRule="exact"/>
              <w:rPr>
                <w:lang w:val="fr-CA"/>
              </w:rPr>
            </w:pPr>
            <w:r w:rsidRPr="00E8050B">
              <w:rPr>
                <w:lang w:val="fr-CA"/>
              </w:rPr>
              <w:t>CAISSE DE DÉPÔT ET PLACEMENT DU QUÉBEC (“</w:t>
            </w:r>
            <w:r w:rsidRPr="00E8050B">
              <w:rPr>
                <w:b/>
                <w:bCs/>
                <w:lang w:val="fr-CA"/>
              </w:rPr>
              <w:t>CDPQ</w:t>
            </w:r>
            <w:r w:rsidRPr="00E8050B">
              <w:rPr>
                <w:lang w:val="fr-CA"/>
              </w:rPr>
              <w:t>”)</w:t>
            </w:r>
          </w:p>
        </w:tc>
        <w:tc>
          <w:tcPr>
            <w:tcW w:w="1701" w:type="dxa"/>
          </w:tcPr>
          <w:p w14:paraId="1CF8B08E" w14:textId="77777777" w:rsidR="00844586" w:rsidRPr="00A90F7A" w:rsidRDefault="0084114F" w:rsidP="00D70EEF">
            <w:pPr>
              <w:pStyle w:val="Paragraphe"/>
              <w:numPr>
                <w:ilvl w:val="0"/>
                <w:numId w:val="0"/>
              </w:numPr>
              <w:spacing w:before="0" w:after="0" w:line="280" w:lineRule="exact"/>
              <w:jc w:val="right"/>
            </w:pPr>
            <w:r w:rsidRPr="00A90F7A">
              <w:t>$11,000,000</w:t>
            </w:r>
          </w:p>
        </w:tc>
      </w:tr>
    </w:tbl>
    <w:p w14:paraId="2EF1E769" w14:textId="77777777" w:rsidR="00844586" w:rsidRPr="00A90F7A" w:rsidRDefault="0084114F" w:rsidP="00D70EEF">
      <w:pPr>
        <w:pStyle w:val="Paragraphe"/>
        <w:spacing w:line="280" w:lineRule="exact"/>
      </w:pPr>
      <w:proofErr w:type="spellStart"/>
      <w:r w:rsidRPr="00A90F7A">
        <w:t>Wooky</w:t>
      </w:r>
      <w:proofErr w:type="spellEnd"/>
      <w:r w:rsidRPr="00A90F7A">
        <w:t xml:space="preserve"> also owed its suppliers approximately $6,500,000 and Richer was owed $350,000 in consideration of a shareholder’s loan. Moreover, </w:t>
      </w:r>
      <w:proofErr w:type="spellStart"/>
      <w:r w:rsidRPr="00A90F7A">
        <w:t>Wooky</w:t>
      </w:r>
      <w:proofErr w:type="spellEnd"/>
      <w:r w:rsidRPr="00A90F7A">
        <w:t xml:space="preserve"> lost $6 million as at its 2015 financial year end.</w:t>
      </w:r>
    </w:p>
    <w:p w14:paraId="11477CA4" w14:textId="77777777" w:rsidR="00844586" w:rsidRPr="00A90F7A" w:rsidRDefault="0084114F" w:rsidP="00D70EEF">
      <w:pPr>
        <w:pStyle w:val="Paragraphe"/>
        <w:spacing w:line="280" w:lineRule="exact"/>
      </w:pPr>
      <w:r w:rsidRPr="00A90F7A">
        <w:t xml:space="preserve">RBC, which was still unpaid on July 11, 2016, sought and obtained the appointment of a receiver (Raymond Chabot Inc. </w:t>
      </w:r>
      <w:r w:rsidRPr="00E8050B">
        <w:t>(“</w:t>
      </w:r>
      <w:r w:rsidRPr="00E8050B">
        <w:rPr>
          <w:b/>
          <w:bCs/>
        </w:rPr>
        <w:t>Raymond Chabot</w:t>
      </w:r>
      <w:r w:rsidRPr="00E8050B">
        <w:t xml:space="preserve">”)) pursuant to </w:t>
      </w:r>
      <w:r w:rsidRPr="00E8050B">
        <w:lastRenderedPageBreak/>
        <w:t xml:space="preserve">s. 243 </w:t>
      </w:r>
      <w:r w:rsidRPr="00E8050B">
        <w:rPr>
          <w:i/>
          <w:iCs/>
        </w:rPr>
        <w:t>Bankruptcy and Insolvency Act</w:t>
      </w:r>
      <w:r w:rsidRPr="00E8050B">
        <w:t xml:space="preserve"> (“</w:t>
      </w:r>
      <w:r w:rsidRPr="00E8050B">
        <w:rPr>
          <w:b/>
          <w:bCs/>
          <w:i/>
          <w:iCs/>
        </w:rPr>
        <w:t>BIA</w:t>
      </w:r>
      <w:r w:rsidRPr="00E8050B">
        <w:t>”).</w:t>
      </w:r>
      <w:r>
        <w:rPr>
          <w:rStyle w:val="Appelnotedebasdep"/>
        </w:rPr>
        <w:footnoteReference w:id="1"/>
      </w:r>
      <w:r w:rsidRPr="00A90F7A">
        <w:t xml:space="preserve"> Raymond Chabot took possession of </w:t>
      </w:r>
      <w:proofErr w:type="spellStart"/>
      <w:r w:rsidRPr="00A90F7A">
        <w:t>Wooky’s</w:t>
      </w:r>
      <w:proofErr w:type="spellEnd"/>
      <w:r w:rsidRPr="00A90F7A">
        <w:t xml:space="preserve"> assets, terminated employees and collected accounts receivable.</w:t>
      </w:r>
    </w:p>
    <w:p w14:paraId="7E855CB7" w14:textId="77777777" w:rsidR="00844586" w:rsidRPr="00A90F7A" w:rsidRDefault="0084114F" w:rsidP="00D70EEF">
      <w:pPr>
        <w:pStyle w:val="Paragraphe"/>
        <w:spacing w:line="280" w:lineRule="exact"/>
      </w:pPr>
      <w:r w:rsidRPr="00A90F7A">
        <w:t xml:space="preserve">On July 20, 2016, Sirois made an offer to Raymond Chabot to purchase the inventory and intellectual property of </w:t>
      </w:r>
      <w:proofErr w:type="spellStart"/>
      <w:r w:rsidRPr="00A90F7A">
        <w:t>Wooky</w:t>
      </w:r>
      <w:proofErr w:type="spellEnd"/>
      <w:r w:rsidRPr="00A90F7A">
        <w:t xml:space="preserve"> for $500,000 or $1,000,000, subject to adjustments. In both cases, the purchase would be conditional on court approval and the discharge of all secured rights. </w:t>
      </w:r>
      <w:r w:rsidRPr="00E8050B">
        <w:t>The offer was refused.</w:t>
      </w:r>
    </w:p>
    <w:p w14:paraId="5D42E113" w14:textId="77777777" w:rsidR="00844586" w:rsidRPr="00A90F7A" w:rsidRDefault="0084114F" w:rsidP="00D70EEF">
      <w:pPr>
        <w:pStyle w:val="Paragraphe"/>
        <w:spacing w:line="280" w:lineRule="exact"/>
      </w:pPr>
      <w:r w:rsidRPr="00A90F7A">
        <w:t>During the same time period, Sirois paid CDPQ $1,000,000 with full subrogation in its security. He sought to pay RBC on a discounted basis, but ultimately paid the full amount of the balance due to it of just under $1,000,000 (including a $50,000 prepayment penalty and legal fees) in July 2016, also obtaining subrogation into RBC’s security. As well, Sirois paid I.Q. $292,000 and obtained subrogation to its secured rights.</w:t>
      </w:r>
    </w:p>
    <w:p w14:paraId="69C174D6" w14:textId="77777777" w:rsidR="00844586" w:rsidRPr="00A90F7A" w:rsidRDefault="0084114F" w:rsidP="00D70EEF">
      <w:pPr>
        <w:pStyle w:val="Paragraphe"/>
        <w:spacing w:line="280" w:lineRule="exact"/>
      </w:pPr>
      <w:r w:rsidRPr="00A90F7A">
        <w:t xml:space="preserve">Sirois now stood in the shoes of the three secured creditors. He successfully petitioned the Superior Court to have Raymond Chabot replaced by </w:t>
      </w:r>
      <w:proofErr w:type="spellStart"/>
      <w:r w:rsidRPr="00A90F7A">
        <w:t>PriceWaterhouseCoopers</w:t>
      </w:r>
      <w:proofErr w:type="spellEnd"/>
      <w:r w:rsidRPr="00A90F7A">
        <w:t xml:space="preserve"> Inc. (“</w:t>
      </w:r>
      <w:r w:rsidRPr="00A90F7A">
        <w:rPr>
          <w:b/>
          <w:bCs/>
        </w:rPr>
        <w:t>PWC</w:t>
      </w:r>
      <w:r w:rsidRPr="00A90F7A">
        <w:t xml:space="preserve">”) as receiver. The latter essentially ran </w:t>
      </w:r>
      <w:proofErr w:type="spellStart"/>
      <w:r w:rsidRPr="00A90F7A">
        <w:t>Wooky’s</w:t>
      </w:r>
      <w:proofErr w:type="spellEnd"/>
      <w:r w:rsidRPr="00A90F7A">
        <w:t xml:space="preserve"> business for Sirois until the end of December 2016. PWC advised suppliers that the business was continuing. During this period, Sirois rehired employees of </w:t>
      </w:r>
      <w:proofErr w:type="spellStart"/>
      <w:r w:rsidRPr="00A90F7A">
        <w:t>Wooky</w:t>
      </w:r>
      <w:proofErr w:type="spellEnd"/>
      <w:r w:rsidRPr="00A90F7A">
        <w:t xml:space="preserve">, through his company Neon Buddha Ltd., which was also a party to the Entente. He acquired inventory ready to be shipped to </w:t>
      </w:r>
      <w:proofErr w:type="spellStart"/>
      <w:r w:rsidRPr="00A90F7A">
        <w:t>Wooky</w:t>
      </w:r>
      <w:proofErr w:type="spellEnd"/>
      <w:r w:rsidRPr="00A90F7A">
        <w:t xml:space="preserve"> in the Orient through his company BPO Solutions Ltd. </w:t>
      </w:r>
    </w:p>
    <w:p w14:paraId="3DAC14E7" w14:textId="77777777" w:rsidR="00844586" w:rsidRPr="00A90F7A" w:rsidRDefault="0084114F" w:rsidP="00D70EEF">
      <w:pPr>
        <w:pStyle w:val="Paragraphe"/>
        <w:spacing w:line="280" w:lineRule="exact"/>
      </w:pPr>
      <w:r w:rsidRPr="00A90F7A">
        <w:t xml:space="preserve">Sirois told Richer not to show up at </w:t>
      </w:r>
      <w:proofErr w:type="spellStart"/>
      <w:r w:rsidRPr="00A90F7A">
        <w:t>Wooky’s</w:t>
      </w:r>
      <w:proofErr w:type="spellEnd"/>
      <w:r w:rsidRPr="00A90F7A">
        <w:t xml:space="preserve"> business premises and instructed PWC not to let Richer attend. PWC so notified Richer, adding that he was not to contact </w:t>
      </w:r>
      <w:proofErr w:type="spellStart"/>
      <w:r w:rsidRPr="00A90F7A">
        <w:t>Wooky’s</w:t>
      </w:r>
      <w:proofErr w:type="spellEnd"/>
      <w:r w:rsidRPr="00A90F7A">
        <w:t xml:space="preserve"> customers or suppliers.</w:t>
      </w:r>
    </w:p>
    <w:p w14:paraId="0DAAAF9F" w14:textId="77777777" w:rsidR="00844586" w:rsidRPr="00A90F7A" w:rsidRDefault="0084114F" w:rsidP="00D70EEF">
      <w:pPr>
        <w:pStyle w:val="Paragraphe"/>
        <w:spacing w:line="280" w:lineRule="exact"/>
      </w:pPr>
      <w:r w:rsidRPr="00A90F7A">
        <w:t xml:space="preserve">On July 22, 2016, Sirois emailed Richer to repudiate the Entente. </w:t>
      </w:r>
      <w:r w:rsidRPr="00E8050B">
        <w:t>Here is what he said:</w:t>
      </w:r>
    </w:p>
    <w:p w14:paraId="68202819" w14:textId="77777777" w:rsidR="00844586" w:rsidRPr="00A90F7A" w:rsidRDefault="0084114F" w:rsidP="00D70EEF">
      <w:pPr>
        <w:pStyle w:val="Citationenretrait"/>
      </w:pPr>
      <w:r w:rsidRPr="00A90F7A">
        <w:t>Bonjour Kevin et baa,</w:t>
      </w:r>
    </w:p>
    <w:p w14:paraId="34AF2FE8" w14:textId="77777777" w:rsidR="00844586" w:rsidRPr="00A90F7A" w:rsidRDefault="0084114F" w:rsidP="00D70EEF">
      <w:pPr>
        <w:pStyle w:val="Citationenretrait"/>
      </w:pPr>
      <w:r w:rsidRPr="00A90F7A">
        <w:t>As you know, the last few days have been quite eventful and it gave me the opportunity to evaluate what I am ‘buying’.</w:t>
      </w:r>
    </w:p>
    <w:p w14:paraId="3FCDB58B" w14:textId="77777777" w:rsidR="00844586" w:rsidRPr="00A90F7A" w:rsidRDefault="0084114F" w:rsidP="00D70EEF">
      <w:pPr>
        <w:pStyle w:val="Citationenretrait"/>
      </w:pPr>
      <w:r w:rsidRPr="00A90F7A">
        <w:t xml:space="preserve">When I first learned about </w:t>
      </w:r>
      <w:proofErr w:type="spellStart"/>
      <w:r w:rsidRPr="00A90F7A">
        <w:t>Wooky</w:t>
      </w:r>
      <w:proofErr w:type="spellEnd"/>
      <w:r w:rsidRPr="00A90F7A">
        <w:t>, I was most impressed with what it had accomplished and was told that it had money problems. I soon realized that more than money, it needed better operation. Because of the urgency of the situation, the due diligence was almost non existent. As I have been working with the project, I learned about new skeletons in the closet (see email attached) on a daily basis. I do not think that these ‘mistakes’ were intentional but they could easily be labelled as gross negligence and were definitely not disclosed before I signed our contract.</w:t>
      </w:r>
    </w:p>
    <w:p w14:paraId="51BA5C4D" w14:textId="77777777" w:rsidR="00844586" w:rsidRPr="00A90F7A" w:rsidRDefault="0084114F" w:rsidP="00D70EEF">
      <w:pPr>
        <w:pStyle w:val="Citationenretrait"/>
      </w:pPr>
      <w:r w:rsidRPr="00A90F7A">
        <w:lastRenderedPageBreak/>
        <w:t xml:space="preserve">Today, I am left with a Canadian team that was all dismissed, millions in order cancellations, an incompetent and dysfunctional junior team in China and hostile suppliers that were burned for much more than for unpaid bills. I have already invested a few millions and for a cool 2+ million (1m for bank and 1m for </w:t>
      </w:r>
      <w:proofErr w:type="spellStart"/>
      <w:r w:rsidRPr="00A90F7A">
        <w:t>kevin</w:t>
      </w:r>
      <w:proofErr w:type="spellEnd"/>
      <w:r w:rsidRPr="00A90F7A">
        <w:t xml:space="preserve">), I have the chance to buy this basket of joy. Eventually, one has to decide when to cut his losses and maybe learn from his mistakes. </w:t>
      </w:r>
    </w:p>
    <w:p w14:paraId="7573E8C3" w14:textId="77777777" w:rsidR="00844586" w:rsidRPr="00A90F7A" w:rsidRDefault="0084114F" w:rsidP="00D70EEF">
      <w:pPr>
        <w:pStyle w:val="Citationenretrait"/>
      </w:pPr>
      <w:r w:rsidRPr="00A90F7A">
        <w:t xml:space="preserve">ln hindsight, CDPQ got too much and Kevin's contract is much too generous for what one is buying (there is actually not much of anything 'free and clear'). After much reflections, I decided that it is no longer a fair deal for me. I know that we have a breakup clause in our contract and I am happy to trigger it today but the delays involved in it would make the whole deal worthless and I am sure that you would not be happy if I offered you $100 to buy my 'nothing'. </w:t>
      </w:r>
      <w:r w:rsidRPr="00E8050B">
        <w:t>Instead, I would like to propose the following compromise:</w:t>
      </w:r>
    </w:p>
    <w:p w14:paraId="7AB5652A" w14:textId="77777777" w:rsidR="00844586" w:rsidRPr="00A90F7A" w:rsidRDefault="0084114F" w:rsidP="00D70EEF">
      <w:pPr>
        <w:pStyle w:val="Citationenretrait"/>
      </w:pPr>
      <w:r w:rsidRPr="00A90F7A">
        <w:t xml:space="preserve">A-if we can sign an agreement between </w:t>
      </w:r>
      <w:proofErr w:type="spellStart"/>
      <w:r w:rsidRPr="00A90F7A">
        <w:t>kevin</w:t>
      </w:r>
      <w:proofErr w:type="spellEnd"/>
      <w:r w:rsidRPr="00A90F7A">
        <w:t xml:space="preserve"> and I today before 3pm to cancel our existing contract, I make a 100k payment to </w:t>
      </w:r>
      <w:proofErr w:type="spellStart"/>
      <w:r w:rsidRPr="00A90F7A">
        <w:t>kevin</w:t>
      </w:r>
      <w:proofErr w:type="spellEnd"/>
      <w:r w:rsidRPr="00A90F7A">
        <w:t xml:space="preserve"> and I guarantee that </w:t>
      </w:r>
      <w:proofErr w:type="spellStart"/>
      <w:r w:rsidRPr="00A90F7A">
        <w:t>rbc</w:t>
      </w:r>
      <w:proofErr w:type="spellEnd"/>
      <w:r w:rsidRPr="00A90F7A">
        <w:t xml:space="preserve"> and IQ release you of all liabilities (Free and clear of all hypothecs charges, liens and encumbrances whatsoever) </w:t>
      </w:r>
    </w:p>
    <w:p w14:paraId="1BF704DB" w14:textId="77777777" w:rsidR="00844586" w:rsidRPr="00A90F7A" w:rsidRDefault="0084114F" w:rsidP="00D70EEF">
      <w:pPr>
        <w:pStyle w:val="Citationenretrait"/>
      </w:pPr>
      <w:r w:rsidRPr="00A90F7A">
        <w:t xml:space="preserve">B- OR if we can sign an agreement between </w:t>
      </w:r>
      <w:proofErr w:type="spellStart"/>
      <w:r w:rsidRPr="00A90F7A">
        <w:t>kevin</w:t>
      </w:r>
      <w:proofErr w:type="spellEnd"/>
      <w:r w:rsidRPr="00A90F7A">
        <w:t xml:space="preserve"> and I by Monday </w:t>
      </w:r>
      <w:proofErr w:type="spellStart"/>
      <w:r w:rsidRPr="00A90F7A">
        <w:t>july</w:t>
      </w:r>
      <w:proofErr w:type="spellEnd"/>
      <w:r w:rsidRPr="00A90F7A">
        <w:t xml:space="preserve"> 25th  before 3pm to cancel our existing contract, I make a 50k payment to </w:t>
      </w:r>
      <w:proofErr w:type="spellStart"/>
      <w:r w:rsidRPr="00A90F7A">
        <w:t>kevin</w:t>
      </w:r>
      <w:proofErr w:type="spellEnd"/>
      <w:r w:rsidRPr="00A90F7A">
        <w:t xml:space="preserve"> and I guarantee that </w:t>
      </w:r>
      <w:proofErr w:type="spellStart"/>
      <w:r w:rsidRPr="00A90F7A">
        <w:t>rbc</w:t>
      </w:r>
      <w:proofErr w:type="spellEnd"/>
      <w:r w:rsidRPr="00A90F7A">
        <w:t xml:space="preserve"> and IQ release you of all liabilities (Free and clear of all hypothecs charges, liens and encumbrances whatsoever) </w:t>
      </w:r>
    </w:p>
    <w:p w14:paraId="6E81FE20" w14:textId="77777777" w:rsidR="00844586" w:rsidRPr="00A90F7A" w:rsidRDefault="0084114F" w:rsidP="00D70EEF">
      <w:pPr>
        <w:pStyle w:val="Citationenretrait"/>
      </w:pPr>
      <w:r w:rsidRPr="00A90F7A">
        <w:t>C-if we cannot agree by Monday, I simply stop digging myself deeper into this mess and move on.</w:t>
      </w:r>
    </w:p>
    <w:p w14:paraId="0BFF1727" w14:textId="77777777" w:rsidR="00844586" w:rsidRPr="00A90F7A" w:rsidRDefault="0084114F" w:rsidP="00D70EEF">
      <w:pPr>
        <w:pStyle w:val="Citationenretrait"/>
      </w:pPr>
      <w:r w:rsidRPr="00A90F7A">
        <w:t xml:space="preserve">I understand that you are caught at the eleventh hour with few options. I feel just as trapped! The 'brand' is definitely not worth 2m and is not even worth the 1m that I will have to pay </w:t>
      </w:r>
      <w:proofErr w:type="spellStart"/>
      <w:r w:rsidRPr="00A90F7A">
        <w:t>rbc</w:t>
      </w:r>
      <w:proofErr w:type="spellEnd"/>
      <w:r w:rsidRPr="00A90F7A">
        <w:t xml:space="preserve"> to get you a release from a personal bankruptcy. I can confirm that most of the company's AR is contested and most of its stock is seized and consist of older worthless stock. RBC knows that and they believe that they can get some value from your personal real estate or that I will give in to their pressure. Or somehow they think that someone would pay 1m for the </w:t>
      </w:r>
      <w:proofErr w:type="spellStart"/>
      <w:r w:rsidRPr="00A90F7A">
        <w:t>lloom</w:t>
      </w:r>
      <w:proofErr w:type="spellEnd"/>
      <w:r w:rsidRPr="00A90F7A">
        <w:t xml:space="preserve"> incomplete trademark filing with an partially completed Application.</w:t>
      </w:r>
    </w:p>
    <w:p w14:paraId="5427DAA7" w14:textId="77777777" w:rsidR="00844586" w:rsidRPr="00A90F7A" w:rsidRDefault="0084114F" w:rsidP="00D70EEF">
      <w:pPr>
        <w:pStyle w:val="Citationenretrait"/>
      </w:pPr>
      <w:r w:rsidRPr="00A90F7A">
        <w:t>We would of course need to release each other so that we don’t end up suing each other for misrepresentation.</w:t>
      </w:r>
    </w:p>
    <w:p w14:paraId="17FC2E4F" w14:textId="77777777" w:rsidR="00844586" w:rsidRPr="00A90F7A" w:rsidRDefault="0084114F" w:rsidP="00D70EEF">
      <w:pPr>
        <w:pStyle w:val="Citationenretrait"/>
      </w:pPr>
      <w:r w:rsidRPr="00A90F7A">
        <w:t xml:space="preserve">Because of the daily value destruction from </w:t>
      </w:r>
      <w:proofErr w:type="spellStart"/>
      <w:r w:rsidRPr="00A90F7A">
        <w:t>rbc</w:t>
      </w:r>
      <w:proofErr w:type="spellEnd"/>
      <w:r w:rsidRPr="00A90F7A">
        <w:t>, I will not be able to offer much after Tuesday next week.</w:t>
      </w:r>
    </w:p>
    <w:p w14:paraId="408946EB" w14:textId="77777777" w:rsidR="00844586" w:rsidRPr="00A90F7A" w:rsidRDefault="0084114F" w:rsidP="00D70EEF">
      <w:pPr>
        <w:pStyle w:val="Citationenretrait"/>
      </w:pPr>
      <w:r w:rsidRPr="00A90F7A">
        <w:lastRenderedPageBreak/>
        <w:t>I am sorry for the change of plan but at some point, one has to stop bleeding. You would not believe all the new liabilities that appear each time that I meet your business partners. It is a sad story.</w:t>
      </w:r>
    </w:p>
    <w:p w14:paraId="6D728461" w14:textId="77777777" w:rsidR="00844586" w:rsidRPr="00E8050B" w:rsidRDefault="0084114F" w:rsidP="00D70EEF">
      <w:pPr>
        <w:pStyle w:val="Citationenretrait"/>
      </w:pPr>
      <w:r w:rsidRPr="00E8050B">
        <w:t>Sorry,</w:t>
      </w:r>
    </w:p>
    <w:p w14:paraId="5D4D635D" w14:textId="2C495813" w:rsidR="00844586" w:rsidRPr="00E8050B" w:rsidRDefault="009A1217" w:rsidP="00D70EEF">
      <w:pPr>
        <w:pStyle w:val="Citationenretrait"/>
        <w:spacing w:before="0" w:after="0"/>
      </w:pPr>
      <w:r w:rsidRPr="00E8050B">
        <w:t>Sébastien Sirois</w:t>
      </w:r>
    </w:p>
    <w:p w14:paraId="7CE9D6CD" w14:textId="77777777" w:rsidR="00844586" w:rsidRPr="00A90F7A" w:rsidRDefault="0084114F" w:rsidP="00D70EEF">
      <w:pPr>
        <w:pStyle w:val="Citationenretrait"/>
        <w:spacing w:before="0" w:after="0"/>
      </w:pPr>
      <w:r w:rsidRPr="00A90F7A">
        <w:t>Direct line: +1-800-315-4408 Ext 58</w:t>
      </w:r>
    </w:p>
    <w:p w14:paraId="31E26585" w14:textId="77777777" w:rsidR="00844586" w:rsidRPr="00A90F7A" w:rsidRDefault="0084114F" w:rsidP="00D70EEF">
      <w:pPr>
        <w:pStyle w:val="Citationenretrait"/>
        <w:spacing w:before="0" w:after="0"/>
      </w:pPr>
      <w:r w:rsidRPr="00A90F7A">
        <w:t>Hong Kong Direct number: +852-8199-0171</w:t>
      </w:r>
    </w:p>
    <w:p w14:paraId="555D5A49" w14:textId="77777777" w:rsidR="00844586" w:rsidRPr="00A90F7A" w:rsidRDefault="0084114F" w:rsidP="00D70EEF">
      <w:pPr>
        <w:pStyle w:val="Citationenretrait"/>
        <w:spacing w:before="0" w:after="0"/>
      </w:pPr>
      <w:r w:rsidRPr="00A90F7A">
        <w:t xml:space="preserve">Skype: </w:t>
      </w:r>
      <w:proofErr w:type="spellStart"/>
      <w:r w:rsidRPr="00A90F7A">
        <w:t>pureandcosebastien</w:t>
      </w:r>
      <w:proofErr w:type="spellEnd"/>
    </w:p>
    <w:p w14:paraId="795D7A7B" w14:textId="77777777" w:rsidR="00844586" w:rsidRPr="00A90F7A" w:rsidRDefault="0084114F" w:rsidP="00D70EEF">
      <w:pPr>
        <w:pStyle w:val="Paragraphe"/>
        <w:spacing w:line="280" w:lineRule="exact"/>
      </w:pPr>
      <w:r w:rsidRPr="00A90F7A">
        <w:t xml:space="preserve">At the same time, he ordered staff to erase the exchange of emails between him and Richer, but this was not done. </w:t>
      </w:r>
    </w:p>
    <w:p w14:paraId="1230CA54" w14:textId="77777777" w:rsidR="00844586" w:rsidRPr="00A90F7A" w:rsidRDefault="0084114F" w:rsidP="00D70EEF">
      <w:pPr>
        <w:pStyle w:val="Paragraphe"/>
        <w:spacing w:line="280" w:lineRule="exact"/>
      </w:pPr>
      <w:r w:rsidRPr="00A90F7A">
        <w:t>Richer replied immediately to Sirois’ email as follows:</w:t>
      </w:r>
    </w:p>
    <w:p w14:paraId="74CEC5EA" w14:textId="77777777" w:rsidR="00844586" w:rsidRPr="00A90F7A" w:rsidRDefault="0084114F" w:rsidP="00D70EEF">
      <w:pPr>
        <w:pStyle w:val="Citationenretrait"/>
        <w:rPr>
          <w:lang w:val="fr-CA"/>
        </w:rPr>
      </w:pPr>
      <w:r w:rsidRPr="00A90F7A">
        <w:rPr>
          <w:lang w:val="fr-CA"/>
        </w:rPr>
        <w:t>Je comprends de tes emails et de nos récentes conversations que tu te désistes de tes obligations prévues à notre entente, bien qu’elle soit toujours valide et applicable. L’offre que tu m’as faite aujourd’hui ne peut pas être acceptée, et je considère qu’il s’agit ni plus ni moins d’un retrait unilatéral de ta part de notre entente.</w:t>
      </w:r>
    </w:p>
    <w:p w14:paraId="3B8B9433" w14:textId="77777777" w:rsidR="00844586" w:rsidRPr="00A90F7A" w:rsidRDefault="0084114F" w:rsidP="00D70EEF">
      <w:pPr>
        <w:pStyle w:val="Citationenretrait"/>
        <w:rPr>
          <w:lang w:val="fr-CA"/>
        </w:rPr>
      </w:pPr>
      <w:r w:rsidRPr="00A90F7A">
        <w:rPr>
          <w:lang w:val="fr-CA"/>
        </w:rPr>
        <w:t xml:space="preserve">J’ai demandé à BAA de ne plus agir sous tes instructions, et ils verront dorénavant à agir dans mon seul intérêt et celui de </w:t>
      </w:r>
      <w:proofErr w:type="spellStart"/>
      <w:r w:rsidRPr="00A90F7A">
        <w:rPr>
          <w:lang w:val="fr-CA"/>
        </w:rPr>
        <w:t>Wooky</w:t>
      </w:r>
      <w:proofErr w:type="spellEnd"/>
      <w:r w:rsidRPr="00A90F7A">
        <w:rPr>
          <w:lang w:val="fr-CA"/>
        </w:rPr>
        <w:t>.</w:t>
      </w:r>
    </w:p>
    <w:p w14:paraId="74C13B78" w14:textId="77777777" w:rsidR="00844586" w:rsidRPr="00E8050B" w:rsidRDefault="0084114F" w:rsidP="00D70EEF">
      <w:pPr>
        <w:pStyle w:val="Citationenretrait"/>
        <w:jc w:val="left"/>
      </w:pPr>
      <w:r w:rsidRPr="00E8050B">
        <w:t>Kevin</w:t>
      </w:r>
    </w:p>
    <w:p w14:paraId="34136DB8" w14:textId="77777777" w:rsidR="00844586" w:rsidRPr="00A90F7A" w:rsidRDefault="0084114F" w:rsidP="00D70EEF">
      <w:pPr>
        <w:pStyle w:val="Paragraphe"/>
        <w:spacing w:line="280" w:lineRule="exact"/>
      </w:pPr>
      <w:r w:rsidRPr="00A90F7A">
        <w:t xml:space="preserve">Richer attempted to regain control of </w:t>
      </w:r>
      <w:proofErr w:type="spellStart"/>
      <w:r w:rsidRPr="00A90F7A">
        <w:t>Wooky</w:t>
      </w:r>
      <w:proofErr w:type="spellEnd"/>
      <w:r w:rsidRPr="00A90F7A">
        <w:t xml:space="preserve"> by petitioning the Superior Court on three occasions, without success. His attorneys also sent a formal demand to Sirois on August 5, 2016, calling upon him to acquire the inventories contemplated by the Entente. </w:t>
      </w:r>
      <w:r w:rsidRPr="00E8050B">
        <w:t>This was all to no avail.</w:t>
      </w:r>
      <w:r w:rsidRPr="00A90F7A">
        <w:t xml:space="preserve"> Richer caused </w:t>
      </w:r>
      <w:proofErr w:type="spellStart"/>
      <w:r w:rsidRPr="00A90F7A">
        <w:t>Wooky</w:t>
      </w:r>
      <w:proofErr w:type="spellEnd"/>
      <w:r w:rsidRPr="00A90F7A">
        <w:t xml:space="preserve"> to file a notice of intention to make a proposal under the </w:t>
      </w:r>
      <w:r w:rsidRPr="00A90F7A">
        <w:rPr>
          <w:i/>
          <w:iCs/>
        </w:rPr>
        <w:t>BIA</w:t>
      </w:r>
      <w:r w:rsidRPr="00A90F7A">
        <w:t xml:space="preserve"> in November 2016, but given that no proposal was filed, </w:t>
      </w:r>
      <w:proofErr w:type="spellStart"/>
      <w:r w:rsidRPr="00A90F7A">
        <w:t>Wooky</w:t>
      </w:r>
      <w:proofErr w:type="spellEnd"/>
      <w:r w:rsidRPr="00A90F7A">
        <w:t xml:space="preserve"> was declared bankrupt on December 21, 2016. </w:t>
      </w:r>
    </w:p>
    <w:p w14:paraId="686500E3" w14:textId="77777777" w:rsidR="00844586" w:rsidRPr="00A90F7A" w:rsidRDefault="0084114F" w:rsidP="00D70EEF">
      <w:pPr>
        <w:pStyle w:val="Paragraphe"/>
        <w:spacing w:line="280" w:lineRule="exact"/>
      </w:pPr>
      <w:r w:rsidRPr="00A90F7A">
        <w:t xml:space="preserve">The next day (December 22, 2016), Sirois, who, as secured creditor of </w:t>
      </w:r>
      <w:proofErr w:type="spellStart"/>
      <w:r w:rsidRPr="00A90F7A">
        <w:t>Wooky</w:t>
      </w:r>
      <w:proofErr w:type="spellEnd"/>
      <w:r w:rsidRPr="00A90F7A">
        <w:t xml:space="preserve">, had submitted a credit bid (in an amount not directly disclosed by the evidence but which was presumably equal to his aggregate payment to the three secured creditors) to PWC for the assets, was declared owner of all the property of </w:t>
      </w:r>
      <w:proofErr w:type="spellStart"/>
      <w:r w:rsidRPr="00A90F7A">
        <w:t>Wooky</w:t>
      </w:r>
      <w:proofErr w:type="spellEnd"/>
      <w:r w:rsidRPr="00A90F7A">
        <w:t xml:space="preserve"> pursuant to the vesting order issued by the Superior Court.</w:t>
      </w:r>
    </w:p>
    <w:p w14:paraId="05DFE487" w14:textId="77777777" w:rsidR="00844586" w:rsidRPr="00E8050B" w:rsidRDefault="0084114F" w:rsidP="00D70EEF">
      <w:pPr>
        <w:pStyle w:val="Paragraphe"/>
        <w:spacing w:line="280" w:lineRule="exact"/>
      </w:pPr>
      <w:r w:rsidRPr="00E8050B">
        <w:t>These are all facts outlined by the judge.</w:t>
      </w:r>
    </w:p>
    <w:p w14:paraId="794EBD45" w14:textId="77777777" w:rsidR="00844586" w:rsidRPr="00E8050B" w:rsidRDefault="0084114F" w:rsidP="00D70EEF">
      <w:pPr>
        <w:pStyle w:val="Titre1"/>
        <w:spacing w:line="280" w:lineRule="exact"/>
      </w:pPr>
      <w:r w:rsidRPr="00E8050B">
        <w:t>DISCUSSION</w:t>
      </w:r>
    </w:p>
    <w:p w14:paraId="5CC0030A" w14:textId="77777777" w:rsidR="00844586" w:rsidRPr="00A90F7A" w:rsidRDefault="0084114F" w:rsidP="00D70EEF">
      <w:pPr>
        <w:pStyle w:val="Paragraphe"/>
        <w:spacing w:line="280" w:lineRule="exact"/>
      </w:pPr>
      <w:r w:rsidRPr="00A90F7A">
        <w:t xml:space="preserve">The judge dismissed the principal demand of Sirois, who sought the nullity of the Entente. She concluded that there was no error provoked by fraud and that if Sirois was </w:t>
      </w:r>
      <w:r w:rsidRPr="00A90F7A">
        <w:lastRenderedPageBreak/>
        <w:t xml:space="preserve">not fully cognizant of </w:t>
      </w:r>
      <w:proofErr w:type="spellStart"/>
      <w:r w:rsidRPr="00A90F7A">
        <w:t>Wooky’s</w:t>
      </w:r>
      <w:proofErr w:type="spellEnd"/>
      <w:r w:rsidRPr="00A90F7A">
        <w:t xml:space="preserve"> unhealthy financial situation in June 2016, it was because of his own inadequate due diligence.</w:t>
      </w:r>
      <w:bookmarkStart w:id="7" w:name="_Ref126575321"/>
      <w:r>
        <w:rPr>
          <w:rStyle w:val="Appelnotedebasdep"/>
        </w:rPr>
        <w:footnoteReference w:id="2"/>
      </w:r>
      <w:bookmarkEnd w:id="7"/>
      <w:r w:rsidRPr="00A90F7A">
        <w:t xml:space="preserve"> Sirois has not appealed that finding.</w:t>
      </w:r>
    </w:p>
    <w:p w14:paraId="4D4183F4" w14:textId="77777777" w:rsidR="00844586" w:rsidRPr="00A90F7A" w:rsidRDefault="0084114F" w:rsidP="00D70EEF">
      <w:pPr>
        <w:pStyle w:val="Paragraphe"/>
        <w:spacing w:line="280" w:lineRule="exact"/>
      </w:pPr>
      <w:r w:rsidRPr="00A90F7A">
        <w:t>On the cross-demand filed by Richer seeking to enforce the Entente, the judge concluded as follows:</w:t>
      </w:r>
    </w:p>
    <w:p w14:paraId="65700201" w14:textId="77777777" w:rsidR="00844586" w:rsidRPr="00A90F7A" w:rsidRDefault="0084114F" w:rsidP="00D70EEF">
      <w:pPr>
        <w:pStyle w:val="Citationenretrait"/>
        <w:rPr>
          <w:lang w:val="fr-CA"/>
        </w:rPr>
      </w:pPr>
      <w:r w:rsidRPr="00A90F7A">
        <w:rPr>
          <w:lang w:val="fr-CA"/>
        </w:rPr>
        <w:t xml:space="preserve">[246] </w:t>
      </w:r>
      <w:r w:rsidRPr="00A90F7A">
        <w:rPr>
          <w:lang w:val="fr-CA"/>
        </w:rPr>
        <w:tab/>
      </w:r>
      <w:r w:rsidRPr="00E8050B">
        <w:rPr>
          <w:lang w:val="fr-CA"/>
        </w:rPr>
        <w:t>Puisque la Transaction projetée ne s'est pas réalisée et que le paiement des montants prévus à l’Entente est conditionnel à la réalisation de la Transaction projetée, monsieur Richer n'a pas droit aux sommes additionnelles réclamées en vertu de l’Entente.</w:t>
      </w:r>
    </w:p>
    <w:p w14:paraId="1509BC74" w14:textId="77777777" w:rsidR="00844586" w:rsidRPr="00A90F7A" w:rsidRDefault="0084114F" w:rsidP="00D70EEF">
      <w:pPr>
        <w:pStyle w:val="Paragraphe"/>
        <w:numPr>
          <w:ilvl w:val="0"/>
          <w:numId w:val="0"/>
        </w:numPr>
        <w:spacing w:line="280" w:lineRule="exact"/>
      </w:pPr>
      <w:r w:rsidRPr="00E8050B">
        <w:t>This does not appear to have been pleaded by Sirois.</w:t>
      </w:r>
      <w:r w:rsidRPr="00A90F7A">
        <w:t xml:space="preserve"> Indeed, the fact he sought the nullity of the Entente and his attempt to repudiate it in July indicate that, in his mind, he was bound by the obligations arising from the Entente.</w:t>
      </w:r>
    </w:p>
    <w:p w14:paraId="318F6AAF" w14:textId="77777777" w:rsidR="00844586" w:rsidRPr="00A90F7A" w:rsidRDefault="0084114F" w:rsidP="00D70EEF">
      <w:pPr>
        <w:pStyle w:val="Paragraphe"/>
        <w:spacing w:line="280" w:lineRule="exact"/>
      </w:pPr>
      <w:r w:rsidRPr="00A90F7A">
        <w:t xml:space="preserve">I believe the judge committed palpable and overriding errors in her interpretation of the Entente by way of her appreciation (or rather misunderstanding) of the facts (testimonial and documentary) proved before her. Contrary to the judge’s conclusion, I believe that the condition referred to in the Entente – namely the occurrence of a “Transaction </w:t>
      </w:r>
      <w:proofErr w:type="spellStart"/>
      <w:r w:rsidRPr="00A90F7A">
        <w:t>projetée</w:t>
      </w:r>
      <w:proofErr w:type="spellEnd"/>
      <w:r w:rsidRPr="00A90F7A">
        <w:t xml:space="preserve">” – was satisfied by Sirois’ acquisition of the assets on December 22, 2016. That is what the document provides – i.e., that Sirois will acquire all or substantially all the </w:t>
      </w:r>
      <w:proofErr w:type="spellStart"/>
      <w:r w:rsidRPr="00A90F7A">
        <w:t>Wooky</w:t>
      </w:r>
      <w:proofErr w:type="spellEnd"/>
      <w:r w:rsidRPr="00A90F7A">
        <w:t xml:space="preserve"> assets. The manner of acquisition is not spelled out and it is certainly not stipulated that the acquisition would occur through a private sale agreement between </w:t>
      </w:r>
      <w:proofErr w:type="spellStart"/>
      <w:r w:rsidRPr="00A90F7A">
        <w:t>Wooky</w:t>
      </w:r>
      <w:proofErr w:type="spellEnd"/>
      <w:r w:rsidRPr="00A90F7A">
        <w:t xml:space="preserve"> and Sirois, contrary to what the judge wrote, as explained in more detail below.</w:t>
      </w:r>
    </w:p>
    <w:p w14:paraId="65FC8C6B" w14:textId="77777777" w:rsidR="00844586" w:rsidRPr="00A90F7A" w:rsidRDefault="0084114F" w:rsidP="00D70EEF">
      <w:pPr>
        <w:pStyle w:val="Paragraphe"/>
        <w:spacing w:line="280" w:lineRule="exact"/>
      </w:pPr>
      <w:r w:rsidRPr="00A90F7A">
        <w:t>From the outset, the judge took the following view of the Entente:</w:t>
      </w:r>
    </w:p>
    <w:p w14:paraId="24A3E4B3" w14:textId="77777777" w:rsidR="00844586" w:rsidRPr="00A90F7A" w:rsidRDefault="0084114F" w:rsidP="00D70EEF">
      <w:pPr>
        <w:pStyle w:val="Citationenretrait"/>
        <w:rPr>
          <w:lang w:val="fr-CA"/>
        </w:rPr>
      </w:pPr>
      <w:r w:rsidRPr="00A90F7A">
        <w:rPr>
          <w:lang w:val="fr-CA"/>
        </w:rPr>
        <w:t xml:space="preserve">[1] </w:t>
      </w:r>
      <w:r w:rsidRPr="00A90F7A">
        <w:rPr>
          <w:lang w:val="fr-CA"/>
        </w:rPr>
        <w:tab/>
        <w:t xml:space="preserve">Au cours de l'été 2016, Sébastien Sirois et sa société </w:t>
      </w:r>
      <w:proofErr w:type="spellStart"/>
      <w:r w:rsidRPr="00A90F7A">
        <w:rPr>
          <w:lang w:val="fr-CA"/>
        </w:rPr>
        <w:t>Neon</w:t>
      </w:r>
      <w:proofErr w:type="spellEnd"/>
      <w:r w:rsidRPr="00A90F7A">
        <w:rPr>
          <w:lang w:val="fr-CA"/>
        </w:rPr>
        <w:t xml:space="preserve"> Buddha Ltd (« </w:t>
      </w:r>
      <w:proofErr w:type="spellStart"/>
      <w:r w:rsidRPr="00A90F7A">
        <w:rPr>
          <w:lang w:val="fr-CA"/>
        </w:rPr>
        <w:t>Neon</w:t>
      </w:r>
      <w:proofErr w:type="spellEnd"/>
      <w:r w:rsidRPr="00A90F7A">
        <w:rPr>
          <w:lang w:val="fr-CA"/>
        </w:rPr>
        <w:t xml:space="preserve"> ») concluent une entente avec Kevin Richer en vue de laquelle monsieur Sirois, </w:t>
      </w:r>
      <w:proofErr w:type="spellStart"/>
      <w:r w:rsidRPr="00A90F7A">
        <w:rPr>
          <w:lang w:val="fr-CA"/>
        </w:rPr>
        <w:t>Neon</w:t>
      </w:r>
      <w:proofErr w:type="spellEnd"/>
      <w:r w:rsidRPr="00A90F7A">
        <w:rPr>
          <w:lang w:val="fr-CA"/>
        </w:rPr>
        <w:t xml:space="preserve"> et d'autres sociétés contrôlées par monsieur Sirois injectent plusieurs millions de dollars dans Divertissement </w:t>
      </w:r>
      <w:proofErr w:type="spellStart"/>
      <w:r w:rsidRPr="00A90F7A">
        <w:rPr>
          <w:lang w:val="fr-CA"/>
        </w:rPr>
        <w:t>Wooky</w:t>
      </w:r>
      <w:proofErr w:type="spellEnd"/>
      <w:r w:rsidRPr="00A90F7A">
        <w:rPr>
          <w:lang w:val="fr-CA"/>
        </w:rPr>
        <w:t xml:space="preserve"> inc. (« </w:t>
      </w:r>
      <w:proofErr w:type="spellStart"/>
      <w:r w:rsidRPr="00A90F7A">
        <w:rPr>
          <w:lang w:val="fr-CA"/>
        </w:rPr>
        <w:t>Wooky</w:t>
      </w:r>
      <w:proofErr w:type="spellEnd"/>
      <w:r w:rsidRPr="00A90F7A">
        <w:rPr>
          <w:lang w:val="fr-CA"/>
        </w:rPr>
        <w:t xml:space="preserve"> »), société contrôlée par monsieur Richer. </w:t>
      </w:r>
      <w:r w:rsidRPr="00A90F7A">
        <w:rPr>
          <w:u w:val="single"/>
          <w:lang w:val="fr-CA"/>
        </w:rPr>
        <w:t xml:space="preserve">Si les parties réussissent à sortir </w:t>
      </w:r>
      <w:proofErr w:type="spellStart"/>
      <w:r w:rsidRPr="00A90F7A">
        <w:rPr>
          <w:u w:val="single"/>
          <w:lang w:val="fr-CA"/>
        </w:rPr>
        <w:t>Wooky</w:t>
      </w:r>
      <w:proofErr w:type="spellEnd"/>
      <w:r w:rsidRPr="00A90F7A">
        <w:rPr>
          <w:u w:val="single"/>
          <w:lang w:val="fr-CA"/>
        </w:rPr>
        <w:t xml:space="preserve"> de sa situation d'insolvabilité à l'aide des fonds de monsieur Sirois et de </w:t>
      </w:r>
      <w:proofErr w:type="spellStart"/>
      <w:r w:rsidRPr="00A90F7A">
        <w:rPr>
          <w:u w:val="single"/>
          <w:lang w:val="fr-CA"/>
        </w:rPr>
        <w:t>Neon</w:t>
      </w:r>
      <w:proofErr w:type="spellEnd"/>
      <w:r w:rsidRPr="00A90F7A">
        <w:rPr>
          <w:u w:val="single"/>
          <w:lang w:val="fr-CA"/>
        </w:rPr>
        <w:t xml:space="preserve">, l'entente détermine les termes du partenariat entre messieurs Sirois et Richer pour la suite des activités de </w:t>
      </w:r>
      <w:proofErr w:type="spellStart"/>
      <w:r w:rsidRPr="00A90F7A">
        <w:rPr>
          <w:u w:val="single"/>
          <w:lang w:val="fr-CA"/>
        </w:rPr>
        <w:t>Wooky</w:t>
      </w:r>
      <w:proofErr w:type="spellEnd"/>
      <w:r w:rsidRPr="00A90F7A">
        <w:rPr>
          <w:u w:val="single"/>
          <w:lang w:val="fr-CA"/>
        </w:rPr>
        <w:t xml:space="preserve"> (I'« Entente »)</w:t>
      </w:r>
      <w:r w:rsidRPr="00A90F7A">
        <w:rPr>
          <w:lang w:val="fr-CA"/>
        </w:rPr>
        <w:t>.</w:t>
      </w:r>
    </w:p>
    <w:p w14:paraId="3E897C39" w14:textId="77777777" w:rsidR="00844586" w:rsidRPr="00E8050B" w:rsidRDefault="0084114F" w:rsidP="00D70EEF">
      <w:pPr>
        <w:pStyle w:val="Citationenretrait"/>
        <w:jc w:val="right"/>
      </w:pPr>
      <w:r w:rsidRPr="00E8050B">
        <w:t>(Emphasis added)</w:t>
      </w:r>
    </w:p>
    <w:p w14:paraId="3B6F5E57" w14:textId="77777777" w:rsidR="00844586" w:rsidRPr="00A90F7A" w:rsidRDefault="0084114F" w:rsidP="00D70EEF">
      <w:pPr>
        <w:pStyle w:val="Paragraphe"/>
        <w:spacing w:line="280" w:lineRule="exact"/>
      </w:pPr>
      <w:r w:rsidRPr="00A90F7A">
        <w:t xml:space="preserve">The Entente makes no reference to </w:t>
      </w:r>
      <w:proofErr w:type="spellStart"/>
      <w:r w:rsidRPr="00A90F7A">
        <w:t>Wooky</w:t>
      </w:r>
      <w:proofErr w:type="spellEnd"/>
      <w:r w:rsidRPr="00A90F7A">
        <w:t xml:space="preserve"> somehow exiting its state of insolvency. The indebtedness and accumulated losses made this virtually impossible. Sirois recognized this when he testified that a bankruptcy scenario was likely. In his testimony, the former Chief Financial Officer of </w:t>
      </w:r>
      <w:proofErr w:type="spellStart"/>
      <w:r w:rsidRPr="00A90F7A">
        <w:t>Wooky</w:t>
      </w:r>
      <w:proofErr w:type="spellEnd"/>
      <w:r w:rsidRPr="00A90F7A">
        <w:t xml:space="preserve"> referred to it “hitting the wall” and Sirois </w:t>
      </w:r>
      <w:r w:rsidRPr="00A90F7A">
        <w:lastRenderedPageBreak/>
        <w:t>“picking up the pieces”, yet the judge observed that Richer and Sirois never discussed their association in the context of a financial crisis:</w:t>
      </w:r>
    </w:p>
    <w:p w14:paraId="3A82FBF5" w14:textId="77777777" w:rsidR="00844586" w:rsidRPr="00A90F7A" w:rsidRDefault="0084114F" w:rsidP="00D70EEF">
      <w:pPr>
        <w:pStyle w:val="Citationenretrait"/>
        <w:rPr>
          <w:lang w:val="fr-CA"/>
        </w:rPr>
      </w:pPr>
      <w:r w:rsidRPr="00A90F7A">
        <w:rPr>
          <w:lang w:val="fr-CA"/>
        </w:rPr>
        <w:t xml:space="preserve">[45] </w:t>
      </w:r>
      <w:r w:rsidRPr="00A90F7A">
        <w:rPr>
          <w:lang w:val="fr-CA"/>
        </w:rPr>
        <w:tab/>
        <w:t xml:space="preserve">Également, dans le cadre des discussions entre les parties, il n'est jamais question que </w:t>
      </w:r>
      <w:proofErr w:type="spellStart"/>
      <w:r w:rsidRPr="00A90F7A">
        <w:rPr>
          <w:lang w:val="fr-CA"/>
        </w:rPr>
        <w:t>Wooky</w:t>
      </w:r>
      <w:proofErr w:type="spellEnd"/>
      <w:r w:rsidRPr="00A90F7A">
        <w:rPr>
          <w:lang w:val="fr-CA"/>
        </w:rPr>
        <w:t xml:space="preserve"> soit en détresse financière ou dans une situation de crise. La société est insolvable en juin 2016, mais monsieur Richer lui explique cette insolvabilité comme étant dû [sic] au caractère saisonnier des ventes. Puisque la majeure partie des ventes se font à l'automne en vue de la période des fêtes, la société est déficitaire au printemps, mais profitable à l'automne.</w:t>
      </w:r>
    </w:p>
    <w:p w14:paraId="4E08C35D" w14:textId="77777777" w:rsidR="00844586" w:rsidRPr="00A90F7A" w:rsidRDefault="0084114F" w:rsidP="00D70EEF">
      <w:pPr>
        <w:pStyle w:val="Paragraphe"/>
        <w:spacing w:line="280" w:lineRule="exact"/>
      </w:pPr>
      <w:r w:rsidRPr="00A90F7A">
        <w:t xml:space="preserve">Moreover, s. 2.3 of the Entente as well as the fourth and sixth recitals of its preamble refer to the business of </w:t>
      </w:r>
      <w:proofErr w:type="spellStart"/>
      <w:r w:rsidRPr="00A90F7A">
        <w:t>Wooky</w:t>
      </w:r>
      <w:proofErr w:type="spellEnd"/>
      <w:r w:rsidRPr="00A90F7A">
        <w:t xml:space="preserve"> to be carried on through a new entity, </w:t>
      </w:r>
      <w:proofErr w:type="spellStart"/>
      <w:r w:rsidRPr="00A90F7A">
        <w:t>SiroisCo</w:t>
      </w:r>
      <w:proofErr w:type="spellEnd"/>
      <w:r w:rsidRPr="00A90F7A">
        <w:t xml:space="preserve">, which Sirois contemplated in his testimony might be a Hong Kong company. Nevertheless, despite the direct evidence and the millions owed to unsecured creditors, including suppliers, the judge thought the Entente contemplated that </w:t>
      </w:r>
      <w:proofErr w:type="spellStart"/>
      <w:r w:rsidRPr="00A90F7A">
        <w:t>Wooky</w:t>
      </w:r>
      <w:proofErr w:type="spellEnd"/>
      <w:r w:rsidRPr="00A90F7A">
        <w:t xml:space="preserve"> would continue to carry on business, in the normal course. </w:t>
      </w:r>
      <w:r w:rsidRPr="00E8050B">
        <w:t>Such a conclusion is erroneous and not supported by the evidence.</w:t>
      </w:r>
    </w:p>
    <w:p w14:paraId="413BAD10" w14:textId="77777777" w:rsidR="00844586" w:rsidRPr="00A90F7A" w:rsidRDefault="0084114F" w:rsidP="00D70EEF">
      <w:pPr>
        <w:pStyle w:val="Paragraphe"/>
        <w:spacing w:line="280" w:lineRule="exact"/>
      </w:pPr>
      <w:r w:rsidRPr="00A90F7A">
        <w:t>Section 2.4 of the Entente clearly confirms Sirois’ intention to pay the secured creditors with subrogation, since he renounces any recourse against Richer under a personal guarantee that could accrue to Sirois by subrogation.</w:t>
      </w:r>
    </w:p>
    <w:p w14:paraId="296B1655" w14:textId="77777777" w:rsidR="00844586" w:rsidRPr="00A90F7A" w:rsidRDefault="0084114F" w:rsidP="00D70EEF">
      <w:pPr>
        <w:pStyle w:val="Paragraphe"/>
        <w:spacing w:line="280" w:lineRule="exact"/>
      </w:pPr>
      <w:r w:rsidRPr="00A90F7A">
        <w:t xml:space="preserve">Later, in adjudicating </w:t>
      </w:r>
      <w:proofErr w:type="spellStart"/>
      <w:r w:rsidRPr="00A90F7A">
        <w:t>Richer’s</w:t>
      </w:r>
      <w:proofErr w:type="spellEnd"/>
      <w:r w:rsidRPr="00A90F7A">
        <w:t xml:space="preserve"> cross-demand, the judge stated the following:</w:t>
      </w:r>
    </w:p>
    <w:p w14:paraId="0C44745A" w14:textId="77777777" w:rsidR="00844586" w:rsidRPr="00A90F7A" w:rsidRDefault="0084114F" w:rsidP="00D70EEF">
      <w:pPr>
        <w:pStyle w:val="Citationenretrait"/>
        <w:rPr>
          <w:lang w:val="fr-CA"/>
        </w:rPr>
      </w:pPr>
      <w:r w:rsidRPr="00A90F7A">
        <w:rPr>
          <w:lang w:val="fr-CA"/>
        </w:rPr>
        <w:t xml:space="preserve">[227] </w:t>
      </w:r>
      <w:r w:rsidRPr="00A90F7A">
        <w:rPr>
          <w:lang w:val="fr-CA"/>
        </w:rPr>
        <w:tab/>
      </w:r>
      <w:r w:rsidRPr="00E8050B">
        <w:rPr>
          <w:lang w:val="fr-CA"/>
        </w:rPr>
        <w:t xml:space="preserve">L'Entente prévoit que monsieur Sirois « procédera éventuellement à </w:t>
      </w:r>
      <w:r w:rsidRPr="00E8050B">
        <w:rPr>
          <w:u w:val="single"/>
          <w:lang w:val="fr-CA"/>
        </w:rPr>
        <w:t>l'acquisition de la totalité ou d'une partie substantielle</w:t>
      </w:r>
      <w:r w:rsidRPr="00E8050B">
        <w:rPr>
          <w:lang w:val="fr-CA"/>
        </w:rPr>
        <w:t xml:space="preserve"> des actifs » de </w:t>
      </w:r>
      <w:proofErr w:type="spellStart"/>
      <w:r w:rsidRPr="00E8050B">
        <w:rPr>
          <w:lang w:val="fr-CA"/>
        </w:rPr>
        <w:t>Wooky</w:t>
      </w:r>
      <w:proofErr w:type="spellEnd"/>
      <w:r w:rsidRPr="00E8050B">
        <w:rPr>
          <w:lang w:val="fr-CA"/>
        </w:rPr>
        <w:t>, dont sa propriété intellectuelle.</w:t>
      </w:r>
    </w:p>
    <w:p w14:paraId="39306063" w14:textId="77777777" w:rsidR="00844586" w:rsidRPr="00A90F7A" w:rsidRDefault="0084114F" w:rsidP="00D70EEF">
      <w:pPr>
        <w:pStyle w:val="Citationenretrait"/>
        <w:rPr>
          <w:lang w:val="fr-CA"/>
        </w:rPr>
      </w:pPr>
      <w:r w:rsidRPr="00A90F7A">
        <w:rPr>
          <w:lang w:val="fr-CA"/>
        </w:rPr>
        <w:t xml:space="preserve">[228] </w:t>
      </w:r>
      <w:r w:rsidRPr="00A90F7A">
        <w:rPr>
          <w:lang w:val="fr-CA"/>
        </w:rPr>
        <w:tab/>
        <w:t>L'Entente précise les actifs acquis lors de la Transaction projetée et qui donnent lieu à l'application de l'Entente :</w:t>
      </w:r>
    </w:p>
    <w:p w14:paraId="0FEE7894" w14:textId="341FA52A" w:rsidR="00844586" w:rsidRPr="00A90F7A" w:rsidRDefault="0084114F" w:rsidP="00D70EEF">
      <w:pPr>
        <w:pStyle w:val="Citationenretrait"/>
        <w:ind w:left="1440"/>
        <w:rPr>
          <w:sz w:val="20"/>
          <w:lang w:val="fr-CA"/>
        </w:rPr>
      </w:pPr>
      <w:r w:rsidRPr="00A90F7A">
        <w:rPr>
          <w:sz w:val="20"/>
          <w:lang w:val="fr-CA"/>
        </w:rPr>
        <w:t xml:space="preserve">( </w:t>
      </w:r>
      <w:r w:rsidR="003A6212">
        <w:rPr>
          <w:sz w:val="20"/>
          <w:lang w:val="fr-CA"/>
        </w:rPr>
        <w:t>...</w:t>
      </w:r>
      <w:r w:rsidRPr="00A90F7A">
        <w:rPr>
          <w:sz w:val="20"/>
          <w:lang w:val="fr-CA"/>
        </w:rPr>
        <w:t xml:space="preserve"> ) (i) les gammes de produits telles qu'exploitées par la [</w:t>
      </w:r>
      <w:proofErr w:type="spellStart"/>
      <w:r w:rsidRPr="00A90F7A">
        <w:rPr>
          <w:sz w:val="20"/>
          <w:lang w:val="fr-CA"/>
        </w:rPr>
        <w:t>Wooky</w:t>
      </w:r>
      <w:proofErr w:type="spellEnd"/>
      <w:r w:rsidRPr="00A90F7A">
        <w:rPr>
          <w:sz w:val="20"/>
          <w:lang w:val="fr-CA"/>
        </w:rPr>
        <w:t xml:space="preserve">] au montant de la réalisation de la Transaction projetée, incluant toute propriété intellectuelle y afférente, et (ii) toute gamme de produits, projet ou activité exploités par Sirois (par l'entreprise de </w:t>
      </w:r>
      <w:proofErr w:type="spellStart"/>
      <w:r w:rsidRPr="00A90F7A">
        <w:rPr>
          <w:sz w:val="20"/>
          <w:lang w:val="fr-CA"/>
        </w:rPr>
        <w:t>SiroisCo</w:t>
      </w:r>
      <w:proofErr w:type="spellEnd"/>
      <w:r w:rsidRPr="00A90F7A">
        <w:rPr>
          <w:sz w:val="20"/>
          <w:lang w:val="fr-CA"/>
        </w:rPr>
        <w:t xml:space="preserve"> ou de toute autre entité contrôlée par Sirois) dans laquelle Richer a ou a été impliqué, incluant toute propriété intellectuelle y afférente, mais excluant pour plus de certitude toute propriété intellectuelle en relation avec laquelle Richer n'a pas été impliqué.</w:t>
      </w:r>
    </w:p>
    <w:p w14:paraId="4A948B99" w14:textId="77777777" w:rsidR="00844586" w:rsidRPr="00A90F7A" w:rsidRDefault="0084114F" w:rsidP="00D70EEF">
      <w:pPr>
        <w:pStyle w:val="Citationenretrait"/>
        <w:rPr>
          <w:lang w:val="fr-CA"/>
        </w:rPr>
      </w:pPr>
      <w:r w:rsidRPr="00A90F7A">
        <w:rPr>
          <w:lang w:val="fr-CA"/>
        </w:rPr>
        <w:t>[229]</w:t>
      </w:r>
      <w:r w:rsidRPr="00A90F7A">
        <w:rPr>
          <w:lang w:val="fr-CA"/>
        </w:rPr>
        <w:tab/>
        <w:t xml:space="preserve">La preuve est sans équivoque : </w:t>
      </w:r>
      <w:r w:rsidRPr="00A90F7A">
        <w:rPr>
          <w:u w:val="single"/>
          <w:lang w:val="fr-CA"/>
        </w:rPr>
        <w:t xml:space="preserve">la Transaction projetée ne se produit que si l'opération visant à exclure les créanciers garantis de </w:t>
      </w:r>
      <w:proofErr w:type="spellStart"/>
      <w:r w:rsidRPr="00A90F7A">
        <w:rPr>
          <w:u w:val="single"/>
          <w:lang w:val="fr-CA"/>
        </w:rPr>
        <w:t>Wooky</w:t>
      </w:r>
      <w:proofErr w:type="spellEnd"/>
      <w:r w:rsidRPr="00A90F7A">
        <w:rPr>
          <w:u w:val="single"/>
          <w:lang w:val="fr-CA"/>
        </w:rPr>
        <w:t xml:space="preserve"> réussit et que messieurs Richer et Sirois sont en mesure de poursuivre ensemble les activités normales de </w:t>
      </w:r>
      <w:proofErr w:type="spellStart"/>
      <w:r w:rsidRPr="00A90F7A">
        <w:rPr>
          <w:u w:val="single"/>
          <w:lang w:val="fr-CA"/>
        </w:rPr>
        <w:t>Wooky</w:t>
      </w:r>
      <w:proofErr w:type="spellEnd"/>
      <w:r w:rsidRPr="00A90F7A">
        <w:rPr>
          <w:lang w:val="fr-CA"/>
        </w:rPr>
        <w:t>. C'est d'ailleurs pour cette raison que l'Entente prévoit un salaire annuel de 200 000 $ payable à monsieur Richer pour la suite si la Transaction projetée se réalise.</w:t>
      </w:r>
    </w:p>
    <w:p w14:paraId="3FBC5183" w14:textId="77777777" w:rsidR="00844586" w:rsidRPr="00A90F7A" w:rsidRDefault="0084114F" w:rsidP="00D70EEF">
      <w:pPr>
        <w:pStyle w:val="Citationenretrait"/>
        <w:rPr>
          <w:lang w:val="fr-CA"/>
        </w:rPr>
      </w:pPr>
      <w:r w:rsidRPr="00A90F7A">
        <w:rPr>
          <w:lang w:val="fr-CA"/>
        </w:rPr>
        <w:lastRenderedPageBreak/>
        <w:t xml:space="preserve">[230] </w:t>
      </w:r>
      <w:r w:rsidRPr="00A90F7A">
        <w:rPr>
          <w:lang w:val="fr-CA"/>
        </w:rPr>
        <w:tab/>
        <w:t xml:space="preserve">La dévolution des actifs de </w:t>
      </w:r>
      <w:proofErr w:type="spellStart"/>
      <w:r w:rsidRPr="00A90F7A">
        <w:rPr>
          <w:lang w:val="fr-CA"/>
        </w:rPr>
        <w:t>Wooky</w:t>
      </w:r>
      <w:proofErr w:type="spellEnd"/>
      <w:r w:rsidRPr="00A90F7A">
        <w:rPr>
          <w:lang w:val="fr-CA"/>
        </w:rPr>
        <w:t xml:space="preserve"> à </w:t>
      </w:r>
      <w:proofErr w:type="spellStart"/>
      <w:r w:rsidRPr="00A90F7A">
        <w:rPr>
          <w:lang w:val="fr-CA"/>
        </w:rPr>
        <w:t>Neon</w:t>
      </w:r>
      <w:proofErr w:type="spellEnd"/>
      <w:r w:rsidRPr="00A90F7A">
        <w:rPr>
          <w:lang w:val="fr-CA"/>
        </w:rPr>
        <w:t xml:space="preserve"> par PWC inc. dans un contexte de liquidation de la société après que les agissements de la RBC et du séquestre </w:t>
      </w:r>
      <w:r w:rsidRPr="00A90F7A">
        <w:rPr>
          <w:u w:val="single"/>
          <w:lang w:val="fr-CA"/>
        </w:rPr>
        <w:t xml:space="preserve">Raymond Chabot aient enrayé toute possibilité de reprise normale des activités de </w:t>
      </w:r>
      <w:proofErr w:type="spellStart"/>
      <w:r w:rsidRPr="00A90F7A">
        <w:rPr>
          <w:u w:val="single"/>
          <w:lang w:val="fr-CA"/>
        </w:rPr>
        <w:t>Wooky</w:t>
      </w:r>
      <w:proofErr w:type="spellEnd"/>
      <w:r w:rsidRPr="00A90F7A">
        <w:rPr>
          <w:u w:val="single"/>
          <w:lang w:val="fr-CA"/>
        </w:rPr>
        <w:t xml:space="preserve"> ne constitue pas la Transaction projetée envisagée par les parties au moment de la signature de l’Entente</w:t>
      </w:r>
      <w:r w:rsidRPr="00A90F7A">
        <w:rPr>
          <w:lang w:val="fr-CA"/>
        </w:rPr>
        <w:t>.</w:t>
      </w:r>
    </w:p>
    <w:p w14:paraId="368FDBC4" w14:textId="77777777" w:rsidR="00844586" w:rsidRPr="00A90F7A" w:rsidRDefault="0084114F" w:rsidP="00D70EEF">
      <w:pPr>
        <w:pStyle w:val="Citationenretrait"/>
        <w:rPr>
          <w:lang w:val="fr-CA"/>
        </w:rPr>
      </w:pPr>
      <w:r w:rsidRPr="00A90F7A">
        <w:rPr>
          <w:lang w:val="fr-CA"/>
        </w:rPr>
        <w:t>[231]</w:t>
      </w:r>
      <w:r w:rsidRPr="00A90F7A">
        <w:rPr>
          <w:lang w:val="fr-CA"/>
        </w:rPr>
        <w:tab/>
        <w:t xml:space="preserve">S'il est vrai que messieurs Richer et Sirois devaient devenir des associés dans la suite de </w:t>
      </w:r>
      <w:proofErr w:type="spellStart"/>
      <w:r w:rsidRPr="00A90F7A">
        <w:rPr>
          <w:lang w:val="fr-CA"/>
        </w:rPr>
        <w:t>Wooky</w:t>
      </w:r>
      <w:proofErr w:type="spellEnd"/>
      <w:r w:rsidRPr="00A90F7A">
        <w:rPr>
          <w:lang w:val="fr-CA"/>
        </w:rPr>
        <w:t xml:space="preserve"> si une telle suite survenait, il ne faut pas perdre de vue que </w:t>
      </w:r>
      <w:r w:rsidRPr="00A90F7A">
        <w:rPr>
          <w:u w:val="single"/>
          <w:lang w:val="fr-CA"/>
        </w:rPr>
        <w:t xml:space="preserve">monsieur Sirois est d'abord et avant tout un créancier de </w:t>
      </w:r>
      <w:proofErr w:type="spellStart"/>
      <w:r w:rsidRPr="00A90F7A">
        <w:rPr>
          <w:u w:val="single"/>
          <w:lang w:val="fr-CA"/>
        </w:rPr>
        <w:t>Wooky</w:t>
      </w:r>
      <w:proofErr w:type="spellEnd"/>
      <w:r w:rsidRPr="00A90F7A">
        <w:rPr>
          <w:lang w:val="fr-CA"/>
        </w:rPr>
        <w:t xml:space="preserve">. </w:t>
      </w:r>
      <w:r w:rsidRPr="00E8050B">
        <w:rPr>
          <w:lang w:val="fr-CA"/>
        </w:rPr>
        <w:t>Monsieur Richer le reconnaît d'ailleurs.</w:t>
      </w:r>
    </w:p>
    <w:p w14:paraId="47EECB7D" w14:textId="77777777" w:rsidR="00844586" w:rsidRPr="00A90F7A" w:rsidRDefault="0084114F" w:rsidP="00D70EEF">
      <w:pPr>
        <w:pStyle w:val="Citationenretrait"/>
        <w:rPr>
          <w:lang w:val="fr-CA"/>
        </w:rPr>
      </w:pPr>
      <w:r w:rsidRPr="00A90F7A">
        <w:rPr>
          <w:lang w:val="fr-CA"/>
        </w:rPr>
        <w:t>[232]</w:t>
      </w:r>
      <w:r w:rsidRPr="00A90F7A">
        <w:rPr>
          <w:lang w:val="fr-CA"/>
        </w:rPr>
        <w:tab/>
      </w:r>
      <w:r w:rsidRPr="00A90F7A">
        <w:rPr>
          <w:u w:val="single"/>
          <w:lang w:val="fr-CA"/>
        </w:rPr>
        <w:t>Lorsque l'attitude intransigeante de la RBC empêche monsieur Sirois de désintéresser cette dernière sans payer les frais importants</w:t>
      </w:r>
      <w:r w:rsidRPr="00A90F7A">
        <w:rPr>
          <w:lang w:val="fr-CA"/>
        </w:rPr>
        <w:t xml:space="preserve"> et inattendus de prépaiement, lui demander de poursuivre en ce sens serait lui imposer plus que ce que l’Entente ou les engagements verbaux entre les parties prévoient.</w:t>
      </w:r>
    </w:p>
    <w:p w14:paraId="2F0159B8" w14:textId="77777777" w:rsidR="00844586" w:rsidRPr="00A90F7A" w:rsidRDefault="0084114F" w:rsidP="00D70EEF">
      <w:pPr>
        <w:pStyle w:val="Citationenretrait"/>
        <w:rPr>
          <w:lang w:val="fr-CA"/>
        </w:rPr>
      </w:pPr>
      <w:r w:rsidRPr="00A90F7A">
        <w:rPr>
          <w:lang w:val="fr-CA"/>
        </w:rPr>
        <w:t xml:space="preserve">[233] </w:t>
      </w:r>
      <w:r w:rsidRPr="00A90F7A">
        <w:rPr>
          <w:lang w:val="fr-CA"/>
        </w:rPr>
        <w:tab/>
        <w:t>Monsieur Sirois doit toutefois agir de bonne foi et le Tribunal est convaincu que c'est ce qu'il a fait.</w:t>
      </w:r>
    </w:p>
    <w:p w14:paraId="61DBC37B" w14:textId="77777777" w:rsidR="00844586" w:rsidRPr="00A90F7A" w:rsidRDefault="0084114F" w:rsidP="00D70EEF">
      <w:pPr>
        <w:pStyle w:val="Citationenretrait"/>
        <w:rPr>
          <w:lang w:val="fr-CA"/>
        </w:rPr>
      </w:pPr>
      <w:r w:rsidRPr="00A90F7A">
        <w:rPr>
          <w:lang w:val="fr-CA"/>
        </w:rPr>
        <w:t xml:space="preserve">[234] </w:t>
      </w:r>
      <w:r w:rsidRPr="00A90F7A">
        <w:rPr>
          <w:lang w:val="fr-CA"/>
        </w:rPr>
        <w:tab/>
        <w:t xml:space="preserve">Malgré ses efforts, </w:t>
      </w:r>
      <w:r w:rsidRPr="00A90F7A">
        <w:rPr>
          <w:u w:val="single"/>
          <w:lang w:val="fr-CA"/>
        </w:rPr>
        <w:t xml:space="preserve">monsieur Sirois n'arrive pas à désintéresser simplement la RBC alors que la stratégie </w:t>
      </w:r>
      <w:r w:rsidRPr="00A90F7A">
        <w:rPr>
          <w:lang w:val="fr-CA"/>
        </w:rPr>
        <w:t xml:space="preserve">du séquestre Raymond Chabot est en train d'enrayer toute possibilité de reprise normale des activités de </w:t>
      </w:r>
      <w:proofErr w:type="spellStart"/>
      <w:r w:rsidRPr="00A90F7A">
        <w:rPr>
          <w:lang w:val="fr-CA"/>
        </w:rPr>
        <w:t>Wooky</w:t>
      </w:r>
      <w:proofErr w:type="spellEnd"/>
      <w:r w:rsidRPr="00A90F7A">
        <w:rPr>
          <w:lang w:val="fr-CA"/>
        </w:rPr>
        <w:t>.</w:t>
      </w:r>
    </w:p>
    <w:p w14:paraId="46E72524" w14:textId="77777777" w:rsidR="00844586" w:rsidRPr="00A90F7A" w:rsidRDefault="0084114F" w:rsidP="00D70EEF">
      <w:pPr>
        <w:pStyle w:val="Citationenretrait"/>
        <w:rPr>
          <w:lang w:val="fr-CA"/>
        </w:rPr>
      </w:pPr>
      <w:r w:rsidRPr="00A90F7A">
        <w:rPr>
          <w:lang w:val="fr-CA"/>
        </w:rPr>
        <w:t xml:space="preserve">[235] </w:t>
      </w:r>
      <w:r w:rsidRPr="00A90F7A">
        <w:rPr>
          <w:lang w:val="fr-CA"/>
        </w:rPr>
        <w:tab/>
        <w:t>Même s'il est perçu comme le chevalier blanc, monsieur Sirois n'est pas tenu à l'impossible.</w:t>
      </w:r>
    </w:p>
    <w:p w14:paraId="2C88BFA7" w14:textId="77777777" w:rsidR="00844586" w:rsidRPr="00A90F7A" w:rsidRDefault="0084114F" w:rsidP="00D70EEF">
      <w:pPr>
        <w:pStyle w:val="Citationenretrait"/>
        <w:rPr>
          <w:lang w:val="fr-CA"/>
        </w:rPr>
      </w:pPr>
      <w:r w:rsidRPr="00A90F7A">
        <w:rPr>
          <w:lang w:val="fr-CA"/>
        </w:rPr>
        <w:t xml:space="preserve">[236] </w:t>
      </w:r>
      <w:r w:rsidRPr="00A90F7A">
        <w:rPr>
          <w:lang w:val="fr-CA"/>
        </w:rPr>
        <w:tab/>
        <w:t xml:space="preserve">À partir du moment où la reprise normale des activités de </w:t>
      </w:r>
      <w:proofErr w:type="spellStart"/>
      <w:r w:rsidRPr="00A90F7A">
        <w:rPr>
          <w:lang w:val="fr-CA"/>
        </w:rPr>
        <w:t>Wooky</w:t>
      </w:r>
      <w:proofErr w:type="spellEnd"/>
      <w:r w:rsidRPr="00A90F7A">
        <w:rPr>
          <w:lang w:val="fr-CA"/>
        </w:rPr>
        <w:t xml:space="preserve"> n'est plus envisageable, la Transaction projetée ne fait plus partie de l'équation. De là, monsieur Sirois est en droit d’exercer ses droits à titre de créancier garanti, ce qu'il a fait.</w:t>
      </w:r>
    </w:p>
    <w:p w14:paraId="152D40E3" w14:textId="77777777" w:rsidR="00844586" w:rsidRPr="00A90F7A" w:rsidRDefault="0084114F" w:rsidP="00D70EEF">
      <w:pPr>
        <w:pStyle w:val="Citationenretrait"/>
        <w:jc w:val="right"/>
      </w:pPr>
      <w:r w:rsidRPr="00A90F7A">
        <w:t>(References omitted; emphasis added)</w:t>
      </w:r>
    </w:p>
    <w:p w14:paraId="041F086E" w14:textId="77777777" w:rsidR="00844586" w:rsidRPr="00A90F7A" w:rsidRDefault="0084114F" w:rsidP="00D70EEF">
      <w:pPr>
        <w:pStyle w:val="Paragraphe"/>
        <w:spacing w:line="280" w:lineRule="exact"/>
      </w:pPr>
      <w:r w:rsidRPr="00A90F7A">
        <w:t>The judge insisted that the evidence unequivocally shows that the agreement was conditional on satisfying the claims of the secured creditors – “</w:t>
      </w:r>
      <w:proofErr w:type="spellStart"/>
      <w:r w:rsidRPr="00A90F7A">
        <w:rPr>
          <w:i/>
          <w:iCs/>
        </w:rPr>
        <w:t>désintéresser</w:t>
      </w:r>
      <w:proofErr w:type="spellEnd"/>
      <w:r w:rsidRPr="00A90F7A">
        <w:t xml:space="preserve">”, or “excluding” the secured creditors as she also referred to it – and on the continuity of </w:t>
      </w:r>
      <w:proofErr w:type="spellStart"/>
      <w:r w:rsidRPr="00A90F7A">
        <w:t>Wooky’s</w:t>
      </w:r>
      <w:proofErr w:type="spellEnd"/>
      <w:r w:rsidRPr="00A90F7A">
        <w:t xml:space="preserve"> business. There is no mention of this in the Entente, but, of course, the assets could not be freed up without satisfying the secured creditors. In paragraph 230, she confused the effects of insolvency (i.e., RBC demanding payment of loans and appointing a receiver) with its causes. </w:t>
      </w:r>
      <w:r w:rsidRPr="00E8050B">
        <w:t>She appears to have thought (para.</w:t>
      </w:r>
      <w:r w:rsidRPr="00A90F7A">
        <w:t xml:space="preserve"> 234) that somehow RBC’s claim could be satisfied without payment. It is inconceivable that the first-ranking secured creditor would agree to a discount given the face value of the accounts receivable and inventory, amounting to approximately $6 million as at May 2016, charged by its hypothec. In any event, the judge’s view here is not supported by any evidence, including the Entente and the testimony of Sirois himself.</w:t>
      </w:r>
    </w:p>
    <w:p w14:paraId="35930DC6" w14:textId="77777777" w:rsidR="00844586" w:rsidRPr="00A90F7A" w:rsidRDefault="0084114F" w:rsidP="00D70EEF">
      <w:pPr>
        <w:pStyle w:val="Paragraphe"/>
        <w:spacing w:line="280" w:lineRule="exact"/>
      </w:pPr>
      <w:r w:rsidRPr="00A90F7A">
        <w:lastRenderedPageBreak/>
        <w:t xml:space="preserve">Sirois disclosed that he knew he had to pay the secured creditors and tried to obtain agreements for such payments on a discounted basis. He knew he had to free up the assets from the hypothecary charges held by the secured creditors. Even in a private sale, the debts of the secured creditors would have to be paid because the security would follow the assets into the possession of any purchaser (art. </w:t>
      </w:r>
      <w:r w:rsidRPr="00E8050B">
        <w:t xml:space="preserve">2733 </w:t>
      </w:r>
      <w:r w:rsidRPr="00E8050B">
        <w:rPr>
          <w:i/>
          <w:iCs/>
        </w:rPr>
        <w:t>C.C.Q.</w:t>
      </w:r>
      <w:r w:rsidRPr="00E8050B">
        <w:t>).</w:t>
      </w:r>
      <w:r w:rsidRPr="00A90F7A">
        <w:t xml:space="preserve"> Moreover, a private sale could be subject to attack by creditors</w:t>
      </w:r>
      <w:r>
        <w:rPr>
          <w:rStyle w:val="Appelnotedebasdep"/>
        </w:rPr>
        <w:footnoteReference w:id="3"/>
      </w:r>
      <w:r w:rsidRPr="00A90F7A">
        <w:t xml:space="preserve"> or a bankruptcy trustee</w:t>
      </w:r>
      <w:r>
        <w:rPr>
          <w:rStyle w:val="Appelnotedebasdep"/>
        </w:rPr>
        <w:footnoteReference w:id="4"/>
      </w:r>
      <w:r w:rsidRPr="00A90F7A">
        <w:t xml:space="preserve"> given, </w:t>
      </w:r>
      <w:r w:rsidRPr="00A90F7A">
        <w:rPr>
          <w:i/>
          <w:iCs/>
        </w:rPr>
        <w:t>inter alia</w:t>
      </w:r>
      <w:r w:rsidRPr="00A90F7A">
        <w:t xml:space="preserve">, </w:t>
      </w:r>
      <w:proofErr w:type="spellStart"/>
      <w:r w:rsidRPr="00A90F7A">
        <w:t>Wooky’s</w:t>
      </w:r>
      <w:proofErr w:type="spellEnd"/>
      <w:r w:rsidRPr="00A90F7A">
        <w:t xml:space="preserve"> insolvency.</w:t>
      </w:r>
    </w:p>
    <w:p w14:paraId="6584260A" w14:textId="77777777" w:rsidR="00844586" w:rsidRPr="00A90F7A" w:rsidRDefault="0084114F" w:rsidP="00D70EEF">
      <w:pPr>
        <w:pStyle w:val="Paragraphe"/>
        <w:spacing w:line="280" w:lineRule="exact"/>
      </w:pPr>
      <w:r w:rsidRPr="00A90F7A">
        <w:t xml:space="preserve">The judge wrote that the transfer of assets by PWC pursuant to the vesting order excluded the possibility of continuing </w:t>
      </w:r>
      <w:proofErr w:type="spellStart"/>
      <w:r w:rsidRPr="00A90F7A">
        <w:t>Wooky’s</w:t>
      </w:r>
      <w:proofErr w:type="spellEnd"/>
      <w:r w:rsidRPr="00A90F7A">
        <w:t xml:space="preserve"> business. The judge obviously confused the continuity of </w:t>
      </w:r>
      <w:proofErr w:type="spellStart"/>
      <w:r w:rsidRPr="00A90F7A">
        <w:t>Wooky</w:t>
      </w:r>
      <w:proofErr w:type="spellEnd"/>
      <w:r w:rsidRPr="00A90F7A">
        <w:t xml:space="preserve"> as a corporate entity and the continuity of its business enterprise. The uncontradicted evidence, including Sirois’ testimony, indicates that he carried on that business (perhaps on a reduced level) through his companies for several years after 2016. Indeed, the judge referred to the continuing sale of </w:t>
      </w:r>
      <w:proofErr w:type="spellStart"/>
      <w:r w:rsidRPr="00A90F7A">
        <w:t>Wooky</w:t>
      </w:r>
      <w:proofErr w:type="spellEnd"/>
      <w:r w:rsidRPr="00A90F7A">
        <w:t xml:space="preserve"> products until 2019.</w:t>
      </w:r>
      <w:r>
        <w:rPr>
          <w:rStyle w:val="Appelnotedebasdep"/>
        </w:rPr>
        <w:footnoteReference w:id="5"/>
      </w:r>
    </w:p>
    <w:p w14:paraId="19B447EB" w14:textId="77777777" w:rsidR="00844586" w:rsidRPr="00A90F7A" w:rsidRDefault="0084114F" w:rsidP="00D70EEF">
      <w:pPr>
        <w:pStyle w:val="Paragraphe"/>
        <w:spacing w:line="280" w:lineRule="exact"/>
      </w:pPr>
      <w:r w:rsidRPr="00A90F7A">
        <w:t xml:space="preserve">Moreover, in Sirois’ discovery testimony, he confirmed that the original plan was an organized bankruptcy: to ship the orders, collect the accounts receivable, and close down </w:t>
      </w:r>
      <w:proofErr w:type="spellStart"/>
      <w:r w:rsidRPr="00A90F7A">
        <w:t>Wooky</w:t>
      </w:r>
      <w:proofErr w:type="spellEnd"/>
      <w:r w:rsidRPr="00A90F7A">
        <w:t xml:space="preserve"> and probably bankrupt it:</w:t>
      </w:r>
    </w:p>
    <w:p w14:paraId="3437C6A2" w14:textId="77777777" w:rsidR="00844586" w:rsidRPr="00A90F7A" w:rsidRDefault="0084114F" w:rsidP="00D70EEF">
      <w:pPr>
        <w:pStyle w:val="Citationenretrait"/>
      </w:pPr>
      <w:r w:rsidRPr="00E8050B">
        <w:t>(...) To be honest, we</w:t>
      </w:r>
      <w:r w:rsidRPr="00A90F7A">
        <w:t xml:space="preserve"> </w:t>
      </w:r>
      <w:r w:rsidRPr="00E8050B">
        <w:t>... we</w:t>
      </w:r>
      <w:r w:rsidRPr="00A90F7A">
        <w:t xml:space="preserve"> ... what we planned to do originally was to have an organized bankruptcy, meaning that we…we knew that the company would eventually have to fold because it has too many liabilities. But we wanted, the most important things is first to ship the orders and after the orders are done, then collect the AR and close the company.</w:t>
      </w:r>
    </w:p>
    <w:p w14:paraId="5ACBFA89" w14:textId="77777777" w:rsidR="00844586" w:rsidRPr="00A90F7A" w:rsidRDefault="0084114F" w:rsidP="00D70EEF">
      <w:pPr>
        <w:pStyle w:val="Citationenretrait"/>
      </w:pPr>
      <w:r w:rsidRPr="00A90F7A">
        <w:t xml:space="preserve">(…) </w:t>
      </w:r>
    </w:p>
    <w:p w14:paraId="5E5730C2" w14:textId="77777777" w:rsidR="00844586" w:rsidRPr="00A90F7A" w:rsidRDefault="0084114F" w:rsidP="00D70EEF">
      <w:pPr>
        <w:pStyle w:val="Citationenretrait"/>
      </w:pPr>
      <w:r w:rsidRPr="00A90F7A">
        <w:t xml:space="preserve">The main plan was to do an organized bankruptcy. </w:t>
      </w:r>
      <w:r w:rsidRPr="00E8050B">
        <w:t>(...) Yeah.</w:t>
      </w:r>
      <w:r w:rsidRPr="00A90F7A">
        <w:t xml:space="preserve"> So, on an organized bankruptcy, I have paid off the banks, I fund the purchase orders, the money comes in, we pay off the creditors, and then we liquidate whatever is left and the company close [sic]. We sell the IP and people keep their jobs, the suppliers get more orders. Everyone is happy.</w:t>
      </w:r>
    </w:p>
    <w:p w14:paraId="51F67E42" w14:textId="77777777" w:rsidR="00844586" w:rsidRPr="00A90F7A" w:rsidRDefault="0084114F" w:rsidP="00D70EEF">
      <w:pPr>
        <w:pStyle w:val="Paragraphe"/>
        <w:spacing w:line="280" w:lineRule="exact"/>
      </w:pPr>
      <w:r w:rsidRPr="00A90F7A">
        <w:t xml:space="preserve">Mtre Beaupré, who drafted the Entente, indicated that at the time the agreement was committed to writing in the Entente, the manner of transferring the assets had yet to be decided. This dovetails with Sirois’ testimony that the possibility of </w:t>
      </w:r>
      <w:proofErr w:type="spellStart"/>
      <w:r w:rsidRPr="00A90F7A">
        <w:t>Wooky’s</w:t>
      </w:r>
      <w:proofErr w:type="spellEnd"/>
      <w:r w:rsidRPr="00A90F7A">
        <w:t xml:space="preserve"> bankruptcy was contemplated. He certainly (and understandably) made no commitment to assume any amounts payable to creditors other than the three secured creditors. </w:t>
      </w:r>
      <w:r w:rsidRPr="00E8050B">
        <w:t>Mr.</w:t>
      </w:r>
      <w:r w:rsidRPr="00A90F7A">
        <w:t xml:space="preserve"> </w:t>
      </w:r>
      <w:proofErr w:type="spellStart"/>
      <w:r w:rsidRPr="00A90F7A">
        <w:t>Tahmazian</w:t>
      </w:r>
      <w:proofErr w:type="spellEnd"/>
      <w:r w:rsidRPr="00A90F7A">
        <w:t xml:space="preserve">, </w:t>
      </w:r>
      <w:proofErr w:type="spellStart"/>
      <w:r w:rsidRPr="00A90F7A">
        <w:t>Wooky’s</w:t>
      </w:r>
      <w:proofErr w:type="spellEnd"/>
      <w:r w:rsidRPr="00A90F7A">
        <w:t xml:space="preserve"> Chief Financial Officer, when called to the stand by the Respondents, confirmed this and added that the taking of possession by the receiver appointed by RBC was seen </w:t>
      </w:r>
      <w:r w:rsidRPr="00A90F7A">
        <w:lastRenderedPageBreak/>
        <w:t>as part of this bankruptcy scenario. Sirois would control the assets while having no obligation to pay unsecured creditors.</w:t>
      </w:r>
    </w:p>
    <w:p w14:paraId="78568683" w14:textId="77777777" w:rsidR="00844586" w:rsidRPr="00A90F7A" w:rsidRDefault="0084114F" w:rsidP="00D70EEF">
      <w:pPr>
        <w:pStyle w:val="Paragraphe"/>
        <w:spacing w:line="280" w:lineRule="exact"/>
      </w:pPr>
      <w:r w:rsidRPr="00A90F7A">
        <w:t xml:space="preserve">The judge, however, stated that </w:t>
      </w:r>
      <w:proofErr w:type="spellStart"/>
      <w:r w:rsidRPr="00A90F7A">
        <w:t>Wooky</w:t>
      </w:r>
      <w:proofErr w:type="spellEnd"/>
      <w:r w:rsidRPr="00A90F7A">
        <w:t xml:space="preserve"> needed to resume normal operations in order for Richer to have a claim under the Entente:</w:t>
      </w:r>
    </w:p>
    <w:p w14:paraId="2A7335F2" w14:textId="77777777" w:rsidR="00844586" w:rsidRPr="00A90F7A" w:rsidRDefault="0084114F" w:rsidP="00D70EEF">
      <w:pPr>
        <w:pStyle w:val="Citationenretrait"/>
        <w:rPr>
          <w:lang w:val="fr-CA"/>
        </w:rPr>
      </w:pPr>
      <w:r w:rsidRPr="00A90F7A">
        <w:rPr>
          <w:lang w:val="fr-CA"/>
        </w:rPr>
        <w:t xml:space="preserve">[229] </w:t>
      </w:r>
      <w:r w:rsidRPr="00A90F7A">
        <w:rPr>
          <w:lang w:val="fr-CA"/>
        </w:rPr>
        <w:tab/>
        <w:t xml:space="preserve">La preuve est sans équivoque : la Transaction projetée ne se produit que si l'opération visant à exclure les créanciers garantis de </w:t>
      </w:r>
      <w:proofErr w:type="spellStart"/>
      <w:r w:rsidRPr="00A90F7A">
        <w:rPr>
          <w:lang w:val="fr-CA"/>
        </w:rPr>
        <w:t>Wooky</w:t>
      </w:r>
      <w:proofErr w:type="spellEnd"/>
      <w:r w:rsidRPr="00A90F7A">
        <w:rPr>
          <w:lang w:val="fr-CA"/>
        </w:rPr>
        <w:t xml:space="preserve"> réussit et que messieurs Richer et Sirois sont en mesure de poursuivre ensemble les activités normales de </w:t>
      </w:r>
      <w:proofErr w:type="spellStart"/>
      <w:r w:rsidRPr="00A90F7A">
        <w:rPr>
          <w:lang w:val="fr-CA"/>
        </w:rPr>
        <w:t>Wooky</w:t>
      </w:r>
      <w:proofErr w:type="spellEnd"/>
      <w:r w:rsidRPr="00A90F7A">
        <w:rPr>
          <w:lang w:val="fr-CA"/>
        </w:rPr>
        <w:t>. C'est d'ailleurs pour cette raison que l'Entente prévoit un salaire annuel de 200 000 $ payable à monsieur Richer pour la suite si la Transaction projetée se réalise.</w:t>
      </w:r>
    </w:p>
    <w:p w14:paraId="20E93D30" w14:textId="77777777" w:rsidR="00844586" w:rsidRPr="00A90F7A" w:rsidRDefault="0084114F" w:rsidP="00D70EEF">
      <w:pPr>
        <w:pStyle w:val="Paragraphe"/>
        <w:spacing w:line="280" w:lineRule="exact"/>
      </w:pPr>
      <w:r w:rsidRPr="00A90F7A">
        <w:t xml:space="preserve">Sirois also testified that he had agreed to pay $1,000,000 to Richer in December 2016 (as provided for in s. 2.1 ii) of the Entente), because he thought this would be funded by collecting </w:t>
      </w:r>
      <w:proofErr w:type="spellStart"/>
      <w:r w:rsidRPr="00A90F7A">
        <w:t>Wooky’s</w:t>
      </w:r>
      <w:proofErr w:type="spellEnd"/>
      <w:r w:rsidRPr="00A90F7A">
        <w:t xml:space="preserve"> accounts receivable. He testified: “Once the fall [accounts receivable] come in, the company is cash rich, it makes a profit, Kevin gets a million ($1,000,000) and then, we create a new corporation.” He would not be paying unsecured debtors or continuing the business operations through the </w:t>
      </w:r>
      <w:proofErr w:type="spellStart"/>
      <w:r w:rsidRPr="00A90F7A">
        <w:t>Wooky</w:t>
      </w:r>
      <w:proofErr w:type="spellEnd"/>
      <w:r w:rsidRPr="00A90F7A">
        <w:t xml:space="preserve"> corporate entity.</w:t>
      </w:r>
    </w:p>
    <w:p w14:paraId="2EDD1DB9" w14:textId="77777777" w:rsidR="00844586" w:rsidRPr="00A90F7A" w:rsidRDefault="0084114F" w:rsidP="00D70EEF">
      <w:pPr>
        <w:pStyle w:val="Paragraphe"/>
        <w:spacing w:line="280" w:lineRule="exact"/>
      </w:pPr>
      <w:r w:rsidRPr="00A90F7A">
        <w:t xml:space="preserve">In paragraph 236 of the judgment, the judge stated that the resumption of </w:t>
      </w:r>
      <w:proofErr w:type="spellStart"/>
      <w:r w:rsidRPr="00A90F7A">
        <w:t>Wooky’s</w:t>
      </w:r>
      <w:proofErr w:type="spellEnd"/>
      <w:r w:rsidRPr="00A90F7A">
        <w:t xml:space="preserve"> normal operations (“</w:t>
      </w:r>
      <w:r w:rsidRPr="00A90F7A">
        <w:rPr>
          <w:i/>
          <w:iCs/>
        </w:rPr>
        <w:t xml:space="preserve">la reprise </w:t>
      </w:r>
      <w:proofErr w:type="spellStart"/>
      <w:r w:rsidRPr="00A90F7A">
        <w:rPr>
          <w:i/>
          <w:iCs/>
        </w:rPr>
        <w:t>normale</w:t>
      </w:r>
      <w:proofErr w:type="spellEnd"/>
      <w:r w:rsidRPr="00A90F7A">
        <w:rPr>
          <w:i/>
          <w:iCs/>
        </w:rPr>
        <w:t xml:space="preserve"> des </w:t>
      </w:r>
      <w:proofErr w:type="spellStart"/>
      <w:r w:rsidRPr="00A90F7A">
        <w:rPr>
          <w:i/>
          <w:iCs/>
        </w:rPr>
        <w:t>activités</w:t>
      </w:r>
      <w:proofErr w:type="spellEnd"/>
      <w:r w:rsidRPr="00A90F7A">
        <w:rPr>
          <w:i/>
          <w:iCs/>
        </w:rPr>
        <w:t xml:space="preserve"> de </w:t>
      </w:r>
      <w:proofErr w:type="spellStart"/>
      <w:r w:rsidRPr="00A90F7A">
        <w:rPr>
          <w:i/>
          <w:iCs/>
        </w:rPr>
        <w:t>Wooky</w:t>
      </w:r>
      <w:proofErr w:type="spellEnd"/>
      <w:r w:rsidRPr="00A90F7A">
        <w:t xml:space="preserve">”) was not possible, such that the “Transaction </w:t>
      </w:r>
      <w:proofErr w:type="spellStart"/>
      <w:r w:rsidRPr="00A90F7A">
        <w:t>projetée</w:t>
      </w:r>
      <w:proofErr w:type="spellEnd"/>
      <w:r w:rsidRPr="00A90F7A">
        <w:t>” was no longer part of the equation. She thus went beyond the wording of the Entente and contradicted Sirois’ view of “an organized bankruptcy</w:t>
      </w:r>
      <w:bookmarkStart w:id="8" w:name="_Hlk126305164"/>
      <w:r w:rsidRPr="00A90F7A">
        <w:t>”</w:t>
      </w:r>
      <w:bookmarkEnd w:id="8"/>
      <w:r w:rsidRPr="00A90F7A">
        <w:t xml:space="preserve">. As mentioned above, in his testimony, Sirois even ventured to say that he thought they might continue </w:t>
      </w:r>
      <w:proofErr w:type="spellStart"/>
      <w:r w:rsidRPr="00A90F7A">
        <w:t>Wooky’s</w:t>
      </w:r>
      <w:proofErr w:type="spellEnd"/>
      <w:r w:rsidRPr="00A90F7A">
        <w:t xml:space="preserve"> business through a Hong Kong company because of the tax advantage. Again, the judge confused the business enterprise of </w:t>
      </w:r>
      <w:proofErr w:type="spellStart"/>
      <w:r w:rsidRPr="00A90F7A">
        <w:t>Wooky</w:t>
      </w:r>
      <w:proofErr w:type="spellEnd"/>
      <w:r w:rsidRPr="00A90F7A">
        <w:t xml:space="preserve"> with the corporate entity.</w:t>
      </w:r>
    </w:p>
    <w:p w14:paraId="73CA2064" w14:textId="77777777" w:rsidR="00844586" w:rsidRPr="00A90F7A" w:rsidRDefault="0084114F" w:rsidP="00D70EEF">
      <w:pPr>
        <w:pStyle w:val="Paragraphe"/>
        <w:spacing w:line="280" w:lineRule="exact"/>
      </w:pPr>
      <w:r w:rsidRPr="00A90F7A">
        <w:t xml:space="preserve">The judge even recognized that from July to December 2016, Sirois was carrying on </w:t>
      </w:r>
      <w:proofErr w:type="spellStart"/>
      <w:r w:rsidRPr="00A90F7A">
        <w:t>Wooky’s</w:t>
      </w:r>
      <w:proofErr w:type="spellEnd"/>
      <w:r w:rsidRPr="00A90F7A">
        <w:t xml:space="preserve"> business through PWC, the receiver appointed by him.</w:t>
      </w:r>
      <w:r>
        <w:rPr>
          <w:rStyle w:val="Appelnotedebasdep"/>
        </w:rPr>
        <w:footnoteReference w:id="6"/>
      </w:r>
    </w:p>
    <w:p w14:paraId="2C498288" w14:textId="77777777" w:rsidR="00844586" w:rsidRPr="00A90F7A" w:rsidRDefault="0084114F" w:rsidP="00D70EEF">
      <w:pPr>
        <w:pStyle w:val="Paragraphe"/>
        <w:spacing w:line="280" w:lineRule="exact"/>
      </w:pPr>
      <w:r w:rsidRPr="00A90F7A">
        <w:t xml:space="preserve">Sirois admitted that he continued selling </w:t>
      </w:r>
      <w:proofErr w:type="spellStart"/>
      <w:r w:rsidRPr="00A90F7A">
        <w:t>Wooky</w:t>
      </w:r>
      <w:proofErr w:type="spellEnd"/>
      <w:r w:rsidRPr="00A90F7A">
        <w:t xml:space="preserve"> products through two of his companies and, indeed, the documentary evidence discloses that from January 2017 until February 2020, Sirois carried on </w:t>
      </w:r>
      <w:proofErr w:type="spellStart"/>
      <w:r w:rsidRPr="00A90F7A">
        <w:t>Wooky’s</w:t>
      </w:r>
      <w:proofErr w:type="spellEnd"/>
      <w:r w:rsidRPr="00A90F7A">
        <w:t xml:space="preserve"> business by selling its inventory, as well as new inventory acquired by him under the </w:t>
      </w:r>
      <w:proofErr w:type="spellStart"/>
      <w:r w:rsidRPr="00A90F7A">
        <w:t>Wooky</w:t>
      </w:r>
      <w:proofErr w:type="spellEnd"/>
      <w:r w:rsidRPr="00A90F7A">
        <w:t xml:space="preserve"> trade names, through at least two of his companies – Neon Buddha Ltd. and Pure &amp; Co. </w:t>
      </w:r>
      <w:r w:rsidRPr="00E8050B">
        <w:t>Ltd.</w:t>
      </w:r>
      <w:r w:rsidRPr="00A90F7A">
        <w:t xml:space="preserve"> This is specifically contemplated in the sixth recital of the Entente’s preamble. He appears to have ceased carrying on that business in 2021, when he sold </w:t>
      </w:r>
      <w:proofErr w:type="spellStart"/>
      <w:r w:rsidRPr="00A90F7A">
        <w:t>Wooky’s</w:t>
      </w:r>
      <w:proofErr w:type="spellEnd"/>
      <w:r w:rsidRPr="00A90F7A">
        <w:t xml:space="preserve"> intellectual property for $250,000.</w:t>
      </w:r>
    </w:p>
    <w:p w14:paraId="1B216BF5" w14:textId="77777777" w:rsidR="00844586" w:rsidRPr="00A90F7A" w:rsidRDefault="0084114F" w:rsidP="00D70EEF">
      <w:pPr>
        <w:pStyle w:val="Paragraphe"/>
        <w:spacing w:line="280" w:lineRule="exact"/>
      </w:pPr>
      <w:r w:rsidRPr="00A90F7A">
        <w:t xml:space="preserve">The Entente contemplated the acquisition by Sirois (or a company controlled by him) of </w:t>
      </w:r>
      <w:proofErr w:type="spellStart"/>
      <w:r w:rsidRPr="00A90F7A">
        <w:t>Wooky’s</w:t>
      </w:r>
      <w:proofErr w:type="spellEnd"/>
      <w:r w:rsidRPr="00A90F7A">
        <w:t xml:space="preserve"> assets: </w:t>
      </w:r>
    </w:p>
    <w:p w14:paraId="6C375398" w14:textId="77777777" w:rsidR="00844586" w:rsidRPr="00E8050B" w:rsidRDefault="0084114F" w:rsidP="00D70EEF">
      <w:pPr>
        <w:pStyle w:val="Citationenretrait"/>
        <w:rPr>
          <w:lang w:val="fr-CA"/>
        </w:rPr>
      </w:pPr>
      <w:r w:rsidRPr="00E8050B">
        <w:rPr>
          <w:b/>
          <w:bCs/>
          <w:lang w:val="fr-CA"/>
        </w:rPr>
        <w:lastRenderedPageBreak/>
        <w:t>ATTENDU QUE</w:t>
      </w:r>
      <w:r w:rsidRPr="00E8050B">
        <w:rPr>
          <w:lang w:val="fr-CA"/>
        </w:rPr>
        <w:t xml:space="preserve"> Sirois procédera éventuellement à l’acquisition de la totalité ou d’une partie substantielle des actifs de la Société (la « </w:t>
      </w:r>
      <w:r w:rsidRPr="00E8050B">
        <w:rPr>
          <w:b/>
          <w:bCs/>
          <w:lang w:val="fr-CA"/>
        </w:rPr>
        <w:t>Transaction Projetée</w:t>
      </w:r>
      <w:r w:rsidRPr="00E8050B">
        <w:rPr>
          <w:lang w:val="fr-CA"/>
        </w:rPr>
        <w:t xml:space="preserve"> »), dont notamment sa propriété intellectuelle, par l’entremise de l’une ou l’autre des sociétés dont il détient le contrôle (« </w:t>
      </w:r>
      <w:proofErr w:type="spellStart"/>
      <w:r w:rsidRPr="00E8050B">
        <w:rPr>
          <w:b/>
          <w:bCs/>
          <w:lang w:val="fr-CA"/>
        </w:rPr>
        <w:t>SiroisCo</w:t>
      </w:r>
      <w:proofErr w:type="spellEnd"/>
      <w:r w:rsidRPr="00E8050B">
        <w:rPr>
          <w:lang w:val="fr-CA"/>
        </w:rPr>
        <w:t> »).</w:t>
      </w:r>
    </w:p>
    <w:p w14:paraId="218ED3E6" w14:textId="77777777" w:rsidR="00844586" w:rsidRPr="00A90F7A" w:rsidRDefault="0084114F" w:rsidP="00D70EEF">
      <w:pPr>
        <w:pStyle w:val="Paragraphe"/>
        <w:spacing w:line="280" w:lineRule="exact"/>
      </w:pPr>
      <w:r w:rsidRPr="00A90F7A">
        <w:t xml:space="preserve">It is evident from Sirois’ July 22, 2016 email that once he realized that </w:t>
      </w:r>
      <w:proofErr w:type="spellStart"/>
      <w:r w:rsidRPr="00A90F7A">
        <w:t>Wooky’s</w:t>
      </w:r>
      <w:proofErr w:type="spellEnd"/>
      <w:r w:rsidRPr="00A90F7A">
        <w:t xml:space="preserve"> financial condition was perhaps even worse than he had contemplated in June and that he would not need Richer to help him sell the products, he sought to repudiate the Entente. The sending of a formal demand by </w:t>
      </w:r>
      <w:proofErr w:type="spellStart"/>
      <w:r w:rsidRPr="00A90F7A">
        <w:t>Richer’s</w:t>
      </w:r>
      <w:proofErr w:type="spellEnd"/>
      <w:r w:rsidRPr="00A90F7A">
        <w:t xml:space="preserve"> lawyer in August, calling upon Sirois to give effect to the Entente, is an obvious reaction to such repudiation and does not change the fact that the condition of acquiring the assets was fulfilled in December, when Sirois acquired the assets through the vesting order pursuant to his credit bid.</w:t>
      </w:r>
      <w:bookmarkStart w:id="9" w:name="_Hlk130542522"/>
    </w:p>
    <w:p w14:paraId="7F63E4C2" w14:textId="77777777" w:rsidR="00844586" w:rsidRPr="00A90F7A" w:rsidRDefault="0084114F" w:rsidP="00D70EEF">
      <w:pPr>
        <w:pStyle w:val="Paragraphe"/>
        <w:numPr>
          <w:ilvl w:val="0"/>
          <w:numId w:val="0"/>
        </w:numPr>
        <w:spacing w:line="280" w:lineRule="exact"/>
        <w:jc w:val="center"/>
      </w:pPr>
      <w:r w:rsidRPr="00A90F7A">
        <w:t>* * *</w:t>
      </w:r>
    </w:p>
    <w:bookmarkEnd w:id="9"/>
    <w:p w14:paraId="364BEE3F" w14:textId="77777777" w:rsidR="00844586" w:rsidRPr="00A90F7A" w:rsidRDefault="0084114F" w:rsidP="00D70EEF">
      <w:pPr>
        <w:pStyle w:val="Paragraphe"/>
        <w:spacing w:line="280" w:lineRule="exact"/>
      </w:pPr>
      <w:r w:rsidRPr="00A90F7A">
        <w:t xml:space="preserve">In </w:t>
      </w:r>
      <w:r w:rsidRPr="00A90F7A">
        <w:rPr>
          <w:i/>
          <w:iCs/>
        </w:rPr>
        <w:t>Uniprix v. Gestion Gosselin et Bérubé inc.</w:t>
      </w:r>
      <w:r w:rsidRPr="00A90F7A">
        <w:t>, the Supreme Court established that courts of appeal should not intervene in matters of contractual interpretation absent a palpable and overriding error. Similarly, the determination of whether a contract is clear or ambiguous is subject to the same standard of intervention.</w:t>
      </w:r>
      <w:bookmarkStart w:id="10" w:name="_Ref130364585"/>
      <w:r>
        <w:rPr>
          <w:rStyle w:val="Appelnotedebasdep"/>
        </w:rPr>
        <w:footnoteReference w:id="7"/>
      </w:r>
      <w:bookmarkEnd w:id="10"/>
      <w:r w:rsidRPr="00A90F7A">
        <w:t xml:space="preserve"> Where the words of a contract are clear or unambiguous, judges should give effect to its terms and apply them to the facts of the case.</w:t>
      </w:r>
      <w:r>
        <w:rPr>
          <w:rStyle w:val="Appelnotedebasdep"/>
        </w:rPr>
        <w:footnoteReference w:id="8"/>
      </w:r>
      <w:r w:rsidRPr="00A90F7A">
        <w:t xml:space="preserve"> Where, however, a court finds ambiguity in the words, it should interpret the contract (i.e., what the parties intended) by considering the evidence.</w:t>
      </w:r>
      <w:r>
        <w:rPr>
          <w:rStyle w:val="Appelnotedebasdep"/>
        </w:rPr>
        <w:footnoteReference w:id="9"/>
      </w:r>
    </w:p>
    <w:p w14:paraId="19FFC5D3" w14:textId="77777777" w:rsidR="00844586" w:rsidRPr="00A90F7A" w:rsidRDefault="0084114F" w:rsidP="00D70EEF">
      <w:pPr>
        <w:pStyle w:val="Paragraphe"/>
        <w:spacing w:line="280" w:lineRule="exact"/>
      </w:pPr>
      <w:r w:rsidRPr="00A90F7A">
        <w:t xml:space="preserve">I believe that in interpreting the Entente, the judge went beyond its clear wording to find an ambiguity and resolve same with the evidence. This is contrary to the teachings of the Supreme Court in </w:t>
      </w:r>
      <w:r w:rsidRPr="00A90F7A">
        <w:rPr>
          <w:i/>
          <w:iCs/>
        </w:rPr>
        <w:t xml:space="preserve">Uniprix </w:t>
      </w:r>
      <w:r w:rsidRPr="00A90F7A">
        <w:t>and constitutes a palpable and overriding error.</w:t>
      </w:r>
      <w:bookmarkStart w:id="11" w:name="_Ref129347457"/>
      <w:r>
        <w:rPr>
          <w:rStyle w:val="Appelnotedebasdep"/>
        </w:rPr>
        <w:footnoteReference w:id="10"/>
      </w:r>
      <w:bookmarkEnd w:id="11"/>
      <w:r w:rsidRPr="00A90F7A">
        <w:t xml:space="preserve"> Faced with a clear clause, a court should apply, and not interpret, a contract.</w:t>
      </w:r>
      <w:r>
        <w:rPr>
          <w:rStyle w:val="Appelnotedebasdep"/>
        </w:rPr>
        <w:footnoteReference w:id="11"/>
      </w:r>
      <w:r w:rsidRPr="00A90F7A">
        <w:t xml:space="preserve"> </w:t>
      </w:r>
    </w:p>
    <w:p w14:paraId="0454E874" w14:textId="77777777" w:rsidR="00844586" w:rsidRPr="00A90F7A" w:rsidRDefault="0084114F" w:rsidP="00D70EEF">
      <w:pPr>
        <w:pStyle w:val="Paragraphe"/>
        <w:spacing w:line="280" w:lineRule="exact"/>
      </w:pPr>
      <w:r w:rsidRPr="00A90F7A">
        <w:t xml:space="preserve">The Entente is clear that an acquisition of the assets by Sirois or one of his companies satisfies the condition that there be a “Transaction </w:t>
      </w:r>
      <w:proofErr w:type="spellStart"/>
      <w:r w:rsidRPr="00A90F7A">
        <w:t>projetée</w:t>
      </w:r>
      <w:proofErr w:type="spellEnd"/>
      <w:r w:rsidRPr="00A90F7A">
        <w:t>”. The parties did not specify in the Entente how the assets would be acquired, and the testimony indicates that this had not yet been determined. The judge should not have added to the Entente by specifying conditions for the acquisition of the assets which the parties themselves chose not to spell out. They did not specify the manner of the transfer because, as Mtre Beaupré testified, at the time of signing, they did not yet know how the transfer would be effected. Sirois distinctly foresaw a transfer through a bankruptcy, as he testified.</w:t>
      </w:r>
    </w:p>
    <w:p w14:paraId="4866517A" w14:textId="77777777" w:rsidR="00844586" w:rsidRPr="00A90F7A" w:rsidRDefault="0084114F" w:rsidP="00D70EEF">
      <w:pPr>
        <w:pStyle w:val="Paragraphe"/>
        <w:spacing w:line="280" w:lineRule="exact"/>
      </w:pPr>
      <w:bookmarkStart w:id="12" w:name="_Ref135722338"/>
      <w:r w:rsidRPr="00A90F7A">
        <w:t xml:space="preserve">The judge need not have gone beyond the terms of the Entente. If, however, such an exercise was justified, then, the uncontradicted evidence indicates that the parties, </w:t>
      </w:r>
      <w:r w:rsidRPr="00A90F7A">
        <w:lastRenderedPageBreak/>
        <w:t xml:space="preserve">particularly Sirois, foresaw an acquisition of assets in a bankruptcy as a possible scenario and that the “Transaction </w:t>
      </w:r>
      <w:proofErr w:type="spellStart"/>
      <w:r w:rsidRPr="00A90F7A">
        <w:t>projetée</w:t>
      </w:r>
      <w:proofErr w:type="spellEnd"/>
      <w:r w:rsidRPr="00A90F7A">
        <w:t>” condition was fulfilled by the transfer of assets pursuant to the December 2016 vesting order. Accordingly, the sums payable to Richer under the Entente are due. The judge’s interpretation of the Entente is tainted by a palpable error given that it disregards this uncontradicted evidence that was provided by Sirois himself and was confirmed by Mtre Beaupré, who also testified to the possibility of acquiring the assets through a bankruptcy. The error is overriding as it completely changes the result.</w:t>
      </w:r>
      <w:bookmarkEnd w:id="12"/>
    </w:p>
    <w:p w14:paraId="18509D06" w14:textId="77777777" w:rsidR="00844586" w:rsidRPr="00A90F7A" w:rsidRDefault="0084114F" w:rsidP="00D70EEF">
      <w:pPr>
        <w:pStyle w:val="Paragraphe"/>
        <w:spacing w:line="280" w:lineRule="exact"/>
      </w:pPr>
      <w:bookmarkStart w:id="13" w:name="_Ref135723693"/>
      <w:r w:rsidRPr="00A90F7A">
        <w:t xml:space="preserve">I believe the judge misconstrued the evidence, which led her to conclude that the Entente did not obligate Sirois because the “Transaction </w:t>
      </w:r>
      <w:proofErr w:type="spellStart"/>
      <w:r w:rsidRPr="00A90F7A">
        <w:t>projetée</w:t>
      </w:r>
      <w:proofErr w:type="spellEnd"/>
      <w:r w:rsidRPr="00A90F7A">
        <w:t>” had not occurred. A different conclusion drawn from the proven facts, where credibility is not in issue, is a mixed question of fact and law, in respect of which an appeal court may intervene in the presence of a palpable and overriding error.</w:t>
      </w:r>
      <w:r>
        <w:rPr>
          <w:rStyle w:val="Appelnotedebasdep"/>
        </w:rPr>
        <w:footnoteReference w:id="12"/>
      </w:r>
      <w:r w:rsidRPr="00A90F7A">
        <w:t xml:space="preserve"> </w:t>
      </w:r>
      <w:r w:rsidRPr="00E8050B">
        <w:t>This process is not a retrying of the case.</w:t>
      </w:r>
      <w:r w:rsidRPr="00A90F7A">
        <w:t xml:space="preserve"> There is no assessment of credibility or new fact-finding. All the facts I refer to herein are either those ascertained by the judge or uncontradicted facts found in documents and testimony, in many instances the testimony of Sirois himself. </w:t>
      </w:r>
      <w:r w:rsidRPr="00E8050B">
        <w:t>Such intervention on mixed questions of fact and law is part of the appellate mandate.</w:t>
      </w:r>
      <w:r>
        <w:rPr>
          <w:rStyle w:val="Appelnotedebasdep"/>
        </w:rPr>
        <w:footnoteReference w:id="13"/>
      </w:r>
      <w:r w:rsidRPr="00A90F7A">
        <w:t xml:space="preserve"> As the Supreme Court has said: “(…) The issue in this appeal is not so much what happened as the legal characterization and effects of the events. (…).”</w:t>
      </w:r>
      <w:r>
        <w:rPr>
          <w:rStyle w:val="Appelnotedebasdep"/>
        </w:rPr>
        <w:footnoteReference w:id="14"/>
      </w:r>
      <w:bookmarkEnd w:id="13"/>
    </w:p>
    <w:p w14:paraId="67A4B1A4" w14:textId="77777777" w:rsidR="00844586" w:rsidRPr="00A90F7A" w:rsidRDefault="0084114F" w:rsidP="00D70EEF">
      <w:pPr>
        <w:pStyle w:val="Paragraphe"/>
        <w:spacing w:line="280" w:lineRule="exact"/>
      </w:pPr>
      <w:r w:rsidRPr="00A90F7A">
        <w:t>If I have described numerous errors, it is because of the quantity of errors made by the judge: the number of errors mentioned speak to their overriding nature and not, I repeat, to any effort to retry the case.</w:t>
      </w:r>
    </w:p>
    <w:p w14:paraId="343FBED7" w14:textId="77777777" w:rsidR="00844586" w:rsidRPr="00A90F7A" w:rsidRDefault="0084114F" w:rsidP="00D70EEF">
      <w:pPr>
        <w:pStyle w:val="Paragraphe"/>
        <w:spacing w:line="280" w:lineRule="exact"/>
      </w:pPr>
      <w:r w:rsidRPr="00A90F7A">
        <w:t xml:space="preserve">I hesitate to state that the judge viewed the evidence through a “distorting lens” given the comments of the Supreme Court in </w:t>
      </w:r>
      <w:r w:rsidRPr="00A90F7A">
        <w:rPr>
          <w:i/>
          <w:iCs/>
        </w:rPr>
        <w:t>Salomon v. Matte</w:t>
      </w:r>
      <w:r w:rsidRPr="00A90F7A">
        <w:rPr>
          <w:rFonts w:ascii="Cambria Math" w:hAnsi="Cambria Math" w:cs="Cambria Math"/>
          <w:i/>
          <w:iCs/>
        </w:rPr>
        <w:t>‑</w:t>
      </w:r>
      <w:r w:rsidRPr="00A90F7A">
        <w:rPr>
          <w:i/>
          <w:iCs/>
        </w:rPr>
        <w:t>Thompson</w:t>
      </w:r>
      <w:r>
        <w:rPr>
          <w:rStyle w:val="Appelnotedebasdep"/>
        </w:rPr>
        <w:footnoteReference w:id="15"/>
      </w:r>
      <w:r w:rsidRPr="00A90F7A">
        <w:t xml:space="preserve"> to the effect that the standard of manifest error is not somehow supplanted by that metaphor. Nevertheless, a trial judge’s misreading or misunderstanding of a contract leading to the trial judge’s distorted view of the evidence has been held to constitute a palpable and overriding error.</w:t>
      </w:r>
      <w:r>
        <w:rPr>
          <w:rStyle w:val="Appelnotedebasdep"/>
        </w:rPr>
        <w:footnoteReference w:id="16"/>
      </w:r>
      <w:r w:rsidRPr="00A90F7A">
        <w:t xml:space="preserve"> For that matter, a misapprehension of the evidence as a whole will </w:t>
      </w:r>
      <w:r w:rsidRPr="00A90F7A">
        <w:lastRenderedPageBreak/>
        <w:t>meet the threshold of palpable error justifying appellate review.</w:t>
      </w:r>
      <w:r>
        <w:rPr>
          <w:rStyle w:val="Appelnotedebasdep"/>
        </w:rPr>
        <w:footnoteReference w:id="17"/>
      </w:r>
      <w:r w:rsidRPr="00A90F7A">
        <w:t xml:space="preserve"> The result is nothing less than unreasonable and should not be allowed to stand.</w:t>
      </w:r>
    </w:p>
    <w:p w14:paraId="0C8904EB" w14:textId="77777777" w:rsidR="00844586" w:rsidRPr="00A90F7A" w:rsidRDefault="0084114F" w:rsidP="00D70EEF">
      <w:pPr>
        <w:pStyle w:val="Paragraphe"/>
        <w:spacing w:line="280" w:lineRule="exact"/>
      </w:pPr>
      <w:r w:rsidRPr="00A90F7A">
        <w:t>By way of example comparable to the present case, the Court has intervened where it observed that the trial judge’s finding that the contract between the parties was subject to a condition which was not substantiated by the evidence.</w:t>
      </w:r>
      <w:r>
        <w:rPr>
          <w:rStyle w:val="Appelnotedebasdep"/>
        </w:rPr>
        <w:footnoteReference w:id="18"/>
      </w:r>
      <w:r w:rsidRPr="00A90F7A">
        <w:t xml:space="preserve"> Here, the evidence does not substantiate the judge’s finding that the realization of the “Transaction </w:t>
      </w:r>
      <w:proofErr w:type="spellStart"/>
      <w:r w:rsidRPr="00A90F7A">
        <w:t>projetée</w:t>
      </w:r>
      <w:proofErr w:type="spellEnd"/>
      <w:r w:rsidRPr="00A90F7A">
        <w:t xml:space="preserve">” was conditional upon the consummation of some additional consensual contract between Sirois and Richer. Mtre Beaupré, who drafted the Entente, confirmed that the manner in which </w:t>
      </w:r>
      <w:proofErr w:type="spellStart"/>
      <w:r w:rsidRPr="00A90F7A">
        <w:t>Wooky’s</w:t>
      </w:r>
      <w:proofErr w:type="spellEnd"/>
      <w:r w:rsidRPr="00A90F7A">
        <w:t xml:space="preserve"> assets would be acquired had not yet been determined at the end of June (when the Entente was signed) and a bankruptcy was one possibility: “</w:t>
      </w:r>
      <w:proofErr w:type="spellStart"/>
      <w:r w:rsidRPr="00A90F7A">
        <w:t>Ç’aurait</w:t>
      </w:r>
      <w:proofErr w:type="spellEnd"/>
      <w:r w:rsidRPr="00A90F7A">
        <w:t xml:space="preserve"> </w:t>
      </w:r>
      <w:proofErr w:type="spellStart"/>
      <w:r w:rsidRPr="00A90F7A">
        <w:t>pu</w:t>
      </w:r>
      <w:proofErr w:type="spellEnd"/>
      <w:r w:rsidRPr="00A90F7A">
        <w:t xml:space="preserve"> </w:t>
      </w:r>
      <w:proofErr w:type="spellStart"/>
      <w:r w:rsidRPr="00A90F7A">
        <w:t>aussi</w:t>
      </w:r>
      <w:proofErr w:type="spellEnd"/>
      <w:r w:rsidRPr="00A90F7A">
        <w:t xml:space="preserve"> se faire via un </w:t>
      </w:r>
      <w:proofErr w:type="spellStart"/>
      <w:r w:rsidRPr="00A90F7A">
        <w:t>processus</w:t>
      </w:r>
      <w:proofErr w:type="spellEnd"/>
      <w:r w:rsidRPr="00A90F7A">
        <w:t xml:space="preserve"> de </w:t>
      </w:r>
      <w:proofErr w:type="spellStart"/>
      <w:r w:rsidRPr="00A90F7A">
        <w:t>faillite</w:t>
      </w:r>
      <w:proofErr w:type="spellEnd"/>
      <w:r w:rsidRPr="00A90F7A">
        <w:t>.” This dovetails with Sirois’ discovery testimony quoted above.</w:t>
      </w:r>
    </w:p>
    <w:p w14:paraId="7F8E516E" w14:textId="77777777" w:rsidR="00844586" w:rsidRPr="00A90F7A" w:rsidRDefault="0084114F" w:rsidP="00D70EEF">
      <w:pPr>
        <w:pStyle w:val="Paragraphe"/>
        <w:spacing w:line="280" w:lineRule="exact"/>
      </w:pPr>
      <w:r w:rsidRPr="00A90F7A">
        <w:t xml:space="preserve">I conclude that the judgment is affected by palpable errors and, at the risk of repeating myself, I would summarize as follows. The judge erred in finding that the “Transaction </w:t>
      </w:r>
      <w:proofErr w:type="spellStart"/>
      <w:r w:rsidRPr="00A90F7A">
        <w:t>projetée</w:t>
      </w:r>
      <w:proofErr w:type="spellEnd"/>
      <w:r w:rsidRPr="00A90F7A">
        <w:t xml:space="preserve">” set forth in the Entente had not occurred, because she disregarded Sirois’ own testimony that an “organized bankruptcy” was planned. It was through the vesting order issued by the bankruptcy court that he acquired </w:t>
      </w:r>
      <w:proofErr w:type="spellStart"/>
      <w:r w:rsidRPr="00A90F7A">
        <w:t>Wooky’s</w:t>
      </w:r>
      <w:proofErr w:type="spellEnd"/>
      <w:r w:rsidRPr="00A90F7A">
        <w:t xml:space="preserve"> assets. Rather than finding that this acquisition satisfied the condition set out in the Entente, the judge found that this transfer of assets excluded the possibility of </w:t>
      </w:r>
      <w:proofErr w:type="spellStart"/>
      <w:r w:rsidRPr="00A90F7A">
        <w:t>Wooky</w:t>
      </w:r>
      <w:proofErr w:type="spellEnd"/>
      <w:r w:rsidRPr="00A90F7A">
        <w:t xml:space="preserve"> continuing to do business, which she found to be a further precondition. She thus erred by confusing the corporate entity with the business enterprise, the latter having been continued by Sirois for three years, again according to his own testimony. The sixth recital of the Entente’s preamble specifically refers to the business being continued by a Sirois company. The judge’s insistence on the need to satisfy the secured creditors compounds the error, since they were paid by Sirois, who was subrogated to them (as contemplated in s. 2.4 of the Entente), and thus “excluded”. The subrogation allowed him to cause the sale of the assets to his company (Neon Buddha Ltd.) via his credit bid and the vesting order. The erroneous inferences the judge drew from the proven facts led her to err in concluding that the “Transaction </w:t>
      </w:r>
      <w:proofErr w:type="spellStart"/>
      <w:r w:rsidRPr="00A90F7A">
        <w:t>projetée</w:t>
      </w:r>
      <w:proofErr w:type="spellEnd"/>
      <w:r w:rsidRPr="00A90F7A">
        <w:t xml:space="preserve">”, referred to in the Entente as the acquisition of </w:t>
      </w:r>
      <w:proofErr w:type="spellStart"/>
      <w:r w:rsidRPr="00A90F7A">
        <w:t>Wooky’s</w:t>
      </w:r>
      <w:proofErr w:type="spellEnd"/>
      <w:r w:rsidRPr="00A90F7A">
        <w:t xml:space="preserve"> assets by a company controlled by Sirois, had not occurred. Such error is overriding as it completely changes the outcome of the case – i.e., that the Entente did not produce binding obligations for Sirois.</w:t>
      </w:r>
    </w:p>
    <w:p w14:paraId="11D6F3A8" w14:textId="77777777" w:rsidR="00844586" w:rsidRPr="00A90F7A" w:rsidRDefault="0084114F" w:rsidP="00D70EEF">
      <w:pPr>
        <w:pStyle w:val="Paragraphe"/>
        <w:numPr>
          <w:ilvl w:val="0"/>
          <w:numId w:val="0"/>
        </w:numPr>
        <w:spacing w:line="280" w:lineRule="exact"/>
        <w:jc w:val="center"/>
      </w:pPr>
      <w:r w:rsidRPr="00A90F7A">
        <w:t>* * *</w:t>
      </w:r>
    </w:p>
    <w:p w14:paraId="7E4E2FE5" w14:textId="77777777" w:rsidR="00844586" w:rsidRPr="00A90F7A" w:rsidRDefault="0084114F" w:rsidP="00D70EEF">
      <w:pPr>
        <w:pStyle w:val="Paragraphe"/>
        <w:spacing w:line="280" w:lineRule="exact"/>
      </w:pPr>
      <w:bookmarkStart w:id="14" w:name="_Ref135723855"/>
      <w:r w:rsidRPr="00A90F7A">
        <w:t xml:space="preserve">At the hearing before the Court, the Respondents’ attorney was asked whether Sirois’ conduct could be construed so as to render absolute the obligations under the Entente. In other words, if the judge and the Respondents are correct that some consensual transaction between Sirois and Richer had to occur for the condition of the “Transaction </w:t>
      </w:r>
      <w:proofErr w:type="spellStart"/>
      <w:r w:rsidRPr="00A90F7A">
        <w:t>projetée</w:t>
      </w:r>
      <w:proofErr w:type="spellEnd"/>
      <w:r w:rsidRPr="00A90F7A">
        <w:t xml:space="preserve">” to be fulfilled, then would it not be the case that Sirois prevented </w:t>
      </w:r>
      <w:r w:rsidRPr="00A90F7A">
        <w:lastRenderedPageBreak/>
        <w:t xml:space="preserve">the condition from being fulfilled? He repudiated the Entente in his email of July 22, 2016, he did not consummate any kind of transaction in August when called upon to do so by </w:t>
      </w:r>
      <w:proofErr w:type="spellStart"/>
      <w:r w:rsidRPr="00A90F7A">
        <w:t>Richer’s</w:t>
      </w:r>
      <w:proofErr w:type="spellEnd"/>
      <w:r w:rsidRPr="00A90F7A">
        <w:t xml:space="preserve"> attorneys, and he had Richer physically excluded from </w:t>
      </w:r>
      <w:proofErr w:type="spellStart"/>
      <w:r w:rsidRPr="00A90F7A">
        <w:t>Wooky’s</w:t>
      </w:r>
      <w:proofErr w:type="spellEnd"/>
      <w:r w:rsidRPr="00A90F7A">
        <w:t xml:space="preserve"> premises by the PWC team and, indeed, locked him out of the business. This evidence is not contradicted and constitutes a fault since Sirois was bound by the Entente (as the judge decided in dismissing his action in nullity) and deliberately prevented the “Transaction </w:t>
      </w:r>
      <w:proofErr w:type="spellStart"/>
      <w:r w:rsidRPr="00A90F7A">
        <w:t>projetée</w:t>
      </w:r>
      <w:proofErr w:type="spellEnd"/>
      <w:r w:rsidRPr="00A90F7A">
        <w:t xml:space="preserve">” from occurring. Therefore, as a matter of law pursuant to Article 1503 </w:t>
      </w:r>
      <w:r w:rsidRPr="00A90F7A">
        <w:rPr>
          <w:i/>
          <w:iCs/>
        </w:rPr>
        <w:t>C.C.Q.</w:t>
      </w:r>
      <w:r w:rsidRPr="00A90F7A">
        <w:t>, Sirois’ obligations under the Entente would no longer be conditional on the occurrence of a second contract, as the judge and the Respondents would have it:</w:t>
      </w:r>
      <w:bookmarkEnd w:id="14"/>
    </w:p>
    <w:tbl>
      <w:tblPr>
        <w:tblW w:w="0" w:type="auto"/>
        <w:tblLayout w:type="fixed"/>
        <w:tblCellMar>
          <w:left w:w="70" w:type="dxa"/>
          <w:right w:w="70" w:type="dxa"/>
        </w:tblCellMar>
        <w:tblLook w:val="0000" w:firstRow="0" w:lastRow="0" w:firstColumn="0" w:lastColumn="0" w:noHBand="0" w:noVBand="0"/>
      </w:tblPr>
      <w:tblGrid>
        <w:gridCol w:w="4681"/>
        <w:gridCol w:w="4681"/>
      </w:tblGrid>
      <w:tr w:rsidR="00E201A8" w:rsidRPr="00611FA9" w14:paraId="76206796" w14:textId="77777777" w:rsidTr="00B220FA">
        <w:tc>
          <w:tcPr>
            <w:tcW w:w="4681" w:type="dxa"/>
            <w:shd w:val="clear" w:color="auto" w:fill="auto"/>
          </w:tcPr>
          <w:p w14:paraId="1890696B" w14:textId="77777777" w:rsidR="00844586" w:rsidRPr="00A90F7A" w:rsidRDefault="0084114F" w:rsidP="00D70EEF">
            <w:pPr>
              <w:pStyle w:val="Tableaugauchefranais"/>
              <w:rPr>
                <w:lang w:val="en-CA"/>
              </w:rPr>
            </w:pPr>
            <w:r w:rsidRPr="00A90F7A">
              <w:rPr>
                <w:b/>
                <w:bCs/>
                <w:lang w:val="en-CA"/>
              </w:rPr>
              <w:t>1503.</w:t>
            </w:r>
            <w:r w:rsidRPr="00A90F7A">
              <w:rPr>
                <w:lang w:val="en-CA"/>
              </w:rPr>
              <w:t xml:space="preserve"> A conditional obligation becomes absolute when the debtor whose obligation is subject to the condition prevents it from being fulfilled.</w:t>
            </w:r>
          </w:p>
        </w:tc>
        <w:tc>
          <w:tcPr>
            <w:tcW w:w="4681" w:type="dxa"/>
            <w:shd w:val="clear" w:color="auto" w:fill="auto"/>
          </w:tcPr>
          <w:p w14:paraId="7728DFD8" w14:textId="77777777" w:rsidR="00844586" w:rsidRPr="00A90F7A" w:rsidRDefault="0084114F" w:rsidP="00D70EEF">
            <w:pPr>
              <w:pStyle w:val="Tableaudroiteanglais"/>
              <w:rPr>
                <w:lang w:val="fr-CA"/>
              </w:rPr>
            </w:pPr>
            <w:r w:rsidRPr="00A90F7A">
              <w:rPr>
                <w:b/>
                <w:bCs/>
                <w:lang w:val="fr-CA"/>
              </w:rPr>
              <w:t>1503</w:t>
            </w:r>
            <w:r w:rsidRPr="00A90F7A">
              <w:rPr>
                <w:lang w:val="fr-CA"/>
              </w:rPr>
              <w:t xml:space="preserve">. </w:t>
            </w:r>
            <w:r w:rsidRPr="00E8050B">
              <w:rPr>
                <w:lang w:val="fr-CA"/>
              </w:rPr>
              <w:t>L’obligation conditionnelle a tout son effet lorsque le débiteur obligé sous telle condition en empêche l’accomplissement.</w:t>
            </w:r>
          </w:p>
        </w:tc>
      </w:tr>
    </w:tbl>
    <w:p w14:paraId="5432EB17" w14:textId="77777777" w:rsidR="00844586" w:rsidRPr="00A90F7A" w:rsidRDefault="0084114F" w:rsidP="00D70EEF">
      <w:pPr>
        <w:pStyle w:val="Paragraphe"/>
        <w:numPr>
          <w:ilvl w:val="0"/>
          <w:numId w:val="0"/>
        </w:numPr>
        <w:spacing w:line="280" w:lineRule="exact"/>
      </w:pPr>
      <w:r w:rsidRPr="00A90F7A">
        <w:t xml:space="preserve">Though this point was not argued in the court below, it arises as a point of law from the proven facts and the parties had the opportunity to address it during oral argument. </w:t>
      </w:r>
      <w:r w:rsidRPr="00E8050B">
        <w:t>As such, it is properly considered by the Court.</w:t>
      </w:r>
      <w:r>
        <w:rPr>
          <w:rStyle w:val="Appelnotedebasdep"/>
        </w:rPr>
        <w:footnoteReference w:id="19"/>
      </w:r>
      <w:r w:rsidRPr="00A90F7A">
        <w:rPr>
          <w:lang w:val="fr-CA"/>
        </w:rPr>
        <w:t xml:space="preserve"> </w:t>
      </w:r>
    </w:p>
    <w:p w14:paraId="4071A61A" w14:textId="77777777" w:rsidR="00844586" w:rsidRPr="00A90F7A" w:rsidRDefault="0084114F" w:rsidP="00D70EEF">
      <w:pPr>
        <w:pStyle w:val="Paragraphe"/>
        <w:numPr>
          <w:ilvl w:val="0"/>
          <w:numId w:val="0"/>
        </w:numPr>
        <w:spacing w:line="280" w:lineRule="exact"/>
        <w:jc w:val="center"/>
      </w:pPr>
      <w:r w:rsidRPr="00A90F7A">
        <w:t>* * *</w:t>
      </w:r>
    </w:p>
    <w:p w14:paraId="62FDF7A1" w14:textId="77777777" w:rsidR="00844586" w:rsidRPr="00A90F7A" w:rsidRDefault="0084114F" w:rsidP="00D70EEF">
      <w:pPr>
        <w:pStyle w:val="Paragraphe"/>
        <w:spacing w:line="280" w:lineRule="exact"/>
      </w:pPr>
      <w:r w:rsidRPr="00A90F7A">
        <w:t>Given my view that the judge erred and that the sums are due to Richer, it is now a matter of determining the quantum. The amount of $1,000,000 under s. 2.1 ii) is clearly due to Richer.</w:t>
      </w:r>
    </w:p>
    <w:p w14:paraId="4411C091" w14:textId="77777777" w:rsidR="00844586" w:rsidRPr="00A90F7A" w:rsidRDefault="0084114F" w:rsidP="00D70EEF">
      <w:pPr>
        <w:pStyle w:val="Paragraphe"/>
        <w:spacing w:line="280" w:lineRule="exact"/>
      </w:pPr>
      <w:r w:rsidRPr="00A90F7A">
        <w:t>With respect to s. 2.3, which deals with the salary to be paid to Richer pursuant to an employment agreement to be entered into with a “</w:t>
      </w:r>
      <w:proofErr w:type="spellStart"/>
      <w:r w:rsidRPr="00A90F7A">
        <w:t>SiroisCo</w:t>
      </w:r>
      <w:proofErr w:type="spellEnd"/>
      <w:r w:rsidRPr="00A90F7A">
        <w:t>”, such agreement could be terminated by the employer upon payment of an indemnity in lieu of notice, so that, in the circumstances, I would arbitrate the amount due under s. 2.3  at $200,000, being the equivalent of severance pay of one year’s salary.</w:t>
      </w:r>
    </w:p>
    <w:p w14:paraId="781555C9" w14:textId="77777777" w:rsidR="00844586" w:rsidRPr="00A90F7A" w:rsidRDefault="0084114F" w:rsidP="00D70EEF">
      <w:pPr>
        <w:pStyle w:val="Paragraphe"/>
        <w:spacing w:line="280" w:lineRule="exact"/>
      </w:pPr>
      <w:r w:rsidRPr="00A90F7A">
        <w:t>As to the sharing of profits of the new business, which is contemplated in s. 3 of the Entente, s. 3.1 provides that the proceeds arising from the use of the “</w:t>
      </w:r>
      <w:proofErr w:type="spellStart"/>
      <w:r w:rsidRPr="00A90F7A">
        <w:t>Actifs</w:t>
      </w:r>
      <w:proofErr w:type="spellEnd"/>
      <w:r w:rsidRPr="00A90F7A">
        <w:t xml:space="preserve"> Richer” (as defined in the Entente) would be applied to Sirois’ advances. </w:t>
      </w:r>
      <w:r w:rsidRPr="00E8050B">
        <w:t>Then, $3,650,000 would be paid to Richer from those proceeds.</w:t>
      </w:r>
      <w:r w:rsidRPr="00A90F7A">
        <w:t xml:space="preserve"> Thereafter, Richer and Sirois would share those proceeds on a 50/50 basis. Sirois is shown to have operated </w:t>
      </w:r>
      <w:proofErr w:type="spellStart"/>
      <w:r w:rsidRPr="00A90F7A">
        <w:t>Wooky’s</w:t>
      </w:r>
      <w:proofErr w:type="spellEnd"/>
      <w:r w:rsidRPr="00A90F7A">
        <w:t xml:space="preserve"> business through his other corporations until at least 2020. He did not respect his obligation to keep a separate accounting for </w:t>
      </w:r>
      <w:proofErr w:type="spellStart"/>
      <w:r w:rsidRPr="00A90F7A">
        <w:t>Wooky’s</w:t>
      </w:r>
      <w:proofErr w:type="spellEnd"/>
      <w:r w:rsidRPr="00A90F7A">
        <w:t xml:space="preserve"> business, as required by s. 3.2 of the Entente. Sirois testified that it was a losing proposition, albeit without any probative documentary evidence in support of such verbal assertion.</w:t>
      </w:r>
    </w:p>
    <w:p w14:paraId="6588FB6D" w14:textId="77777777" w:rsidR="00844586" w:rsidRPr="00A90F7A" w:rsidRDefault="0084114F" w:rsidP="00D70EEF">
      <w:pPr>
        <w:pStyle w:val="Paragraphe"/>
        <w:spacing w:line="280" w:lineRule="exact"/>
      </w:pPr>
      <w:r w:rsidRPr="00A90F7A">
        <w:lastRenderedPageBreak/>
        <w:t xml:space="preserve">The evidence does not allow for any cogent calculation of what the profits might have been. The in-house accounting sheets of Sirois’ operation during 2017, 2018 and 2019 are not substantiated in any manner. They are self-serving calculations with no probative value. In such regard, </w:t>
      </w:r>
      <w:proofErr w:type="spellStart"/>
      <w:r w:rsidRPr="00A90F7A">
        <w:t>Richer’s</w:t>
      </w:r>
      <w:proofErr w:type="spellEnd"/>
      <w:r w:rsidRPr="00A90F7A">
        <w:t xml:space="preserve"> expert concluded that the profits could not be calculated because Sirois did not keep a separate accounting and did not provide decipherable information on the sales or cost of sales of </w:t>
      </w:r>
      <w:proofErr w:type="spellStart"/>
      <w:r w:rsidRPr="00A90F7A">
        <w:t>Wooky</w:t>
      </w:r>
      <w:proofErr w:type="spellEnd"/>
      <w:r w:rsidRPr="00A90F7A">
        <w:t xml:space="preserve"> products in his companies. Consequently, the expert worked with the known data. The Respondents did not produce an expert report regarding the calculation of profits that would be owed to Richer pursuant to the Entente.</w:t>
      </w:r>
    </w:p>
    <w:p w14:paraId="532264BB" w14:textId="77777777" w:rsidR="00844586" w:rsidRPr="00A90F7A" w:rsidRDefault="0084114F" w:rsidP="00D70EEF">
      <w:pPr>
        <w:pStyle w:val="Paragraphe"/>
        <w:spacing w:line="280" w:lineRule="exact"/>
      </w:pPr>
      <w:r w:rsidRPr="00A90F7A">
        <w:t xml:space="preserve">To establish the cost, </w:t>
      </w:r>
      <w:proofErr w:type="spellStart"/>
      <w:r w:rsidRPr="00A90F7A">
        <w:t>Richer’s</w:t>
      </w:r>
      <w:proofErr w:type="spellEnd"/>
      <w:r w:rsidRPr="00A90F7A">
        <w:t xml:space="preserve"> expert took the total paid by Sirois to secured creditors ($927,091 to RBC, $1,000,000 to CDPQ and $292,000 to I.Q.) plus the initial payment of $350,000 to Richer, for a total of $2,569,091. He subtracted this from the value of the assets other than intangibles</w:t>
      </w:r>
      <w:r>
        <w:rPr>
          <w:rStyle w:val="Appelnotedebasdep"/>
        </w:rPr>
        <w:footnoteReference w:id="20"/>
      </w:r>
      <w:r w:rsidRPr="00A90F7A">
        <w:t xml:space="preserve"> ($10,263,176) taken from the PWC reports. This left a surplus value of $7,694,085 as at the end of July 2016. Thus, he concluded that in addition to the $1 million due in virtue of s. 2.1 (ii) of the Entente, $3,650,000 was due to Richer under s. 3.1(ii). Also, 50% of the balance, or $1,522,043, accrues to Richer pursuant to s. 3.1 (iii). </w:t>
      </w:r>
    </w:p>
    <w:p w14:paraId="697F357E" w14:textId="77777777" w:rsidR="00844586" w:rsidRPr="00A90F7A" w:rsidRDefault="0084114F" w:rsidP="00D70EEF">
      <w:pPr>
        <w:pStyle w:val="Paragraphe"/>
        <w:spacing w:line="280" w:lineRule="exact"/>
      </w:pPr>
      <w:r w:rsidRPr="00A90F7A">
        <w:t xml:space="preserve">The expert’s calculations are validated in part by PWC’s final report as </w:t>
      </w:r>
      <w:proofErr w:type="spellStart"/>
      <w:r w:rsidRPr="00A90F7A">
        <w:t>Wooky’s</w:t>
      </w:r>
      <w:proofErr w:type="spellEnd"/>
      <w:r w:rsidRPr="00A90F7A">
        <w:t xml:space="preserve"> receiver as at April 30, 2017. It remitted to Neon Buddha Ltd. </w:t>
      </w:r>
      <w:r w:rsidRPr="00E8050B">
        <w:t>$3,426,057 as the net proceeds, after expenses, of the receivership.</w:t>
      </w:r>
      <w:r w:rsidRPr="00A90F7A">
        <w:t xml:space="preserve"> This figure exceeds Sirois’ payment to the three secured creditors by $1,206,966. Such sum would be due to Richer pursuant to s. 3.1(ii) in the absence of any other proof, but we know that Sirois continued to carry on </w:t>
      </w:r>
      <w:proofErr w:type="spellStart"/>
      <w:r w:rsidRPr="00A90F7A">
        <w:t>Wooky’s</w:t>
      </w:r>
      <w:proofErr w:type="spellEnd"/>
      <w:r w:rsidRPr="00A90F7A">
        <w:t xml:space="preserve"> business beyond the receiver’s activities. The judge confirmed that he continued selling </w:t>
      </w:r>
      <w:proofErr w:type="spellStart"/>
      <w:r w:rsidRPr="00A90F7A">
        <w:t>Wooky</w:t>
      </w:r>
      <w:proofErr w:type="spellEnd"/>
      <w:r w:rsidRPr="00A90F7A">
        <w:t xml:space="preserve"> products until the end of 2019 and then sold the intellectual property for $250,000 in February 2020. The above-mentioned $3,426,057 remitted by the receiver to Neon Buddha Ltd. does not take into account these other </w:t>
      </w:r>
      <w:proofErr w:type="spellStart"/>
      <w:r w:rsidRPr="00A90F7A">
        <w:t>Wooky</w:t>
      </w:r>
      <w:proofErr w:type="spellEnd"/>
      <w:r w:rsidRPr="00A90F7A">
        <w:t xml:space="preserve"> business activities – i.e., the sales of inventory acquired by Sirois through his company BPO Solutions Ltd. in Asia, or sales in the United States through Pure &amp; Co. </w:t>
      </w:r>
      <w:r w:rsidRPr="00E8050B">
        <w:t>Ltd.</w:t>
      </w:r>
      <w:r w:rsidRPr="00A90F7A">
        <w:t xml:space="preserve"> </w:t>
      </w:r>
      <w:r w:rsidRPr="00E8050B">
        <w:t>– nor the sale of the intellectual property.</w:t>
      </w:r>
      <w:r w:rsidRPr="00A90F7A">
        <w:t xml:space="preserve">  </w:t>
      </w:r>
    </w:p>
    <w:p w14:paraId="503421A0" w14:textId="77777777" w:rsidR="00844586" w:rsidRPr="00E8050B" w:rsidRDefault="0084114F" w:rsidP="00D70EEF">
      <w:pPr>
        <w:pStyle w:val="Paragraphe"/>
        <w:spacing w:line="280" w:lineRule="exact"/>
      </w:pPr>
      <w:r w:rsidRPr="00E8050B">
        <w:t>The judge said:</w:t>
      </w:r>
    </w:p>
    <w:p w14:paraId="7AFAE4D1" w14:textId="77777777" w:rsidR="00844586" w:rsidRPr="00A90F7A" w:rsidRDefault="0084114F" w:rsidP="00D70EEF">
      <w:pPr>
        <w:pStyle w:val="Citationenretrait"/>
        <w:rPr>
          <w:lang w:val="fr-CA"/>
        </w:rPr>
      </w:pPr>
      <w:r w:rsidRPr="00A90F7A">
        <w:rPr>
          <w:lang w:val="fr-CA"/>
        </w:rPr>
        <w:t xml:space="preserve">[251] </w:t>
      </w:r>
      <w:r w:rsidRPr="00A90F7A">
        <w:rPr>
          <w:lang w:val="fr-CA"/>
        </w:rPr>
        <w:tab/>
        <w:t>Le rapport et témoignage de l'expert Michel Thibault ne permettent pas d'établir les gains et bénéfices générés, le cas échéant.</w:t>
      </w:r>
    </w:p>
    <w:p w14:paraId="06292323" w14:textId="77777777" w:rsidR="00844586" w:rsidRPr="00A90F7A" w:rsidRDefault="0084114F" w:rsidP="00D70EEF">
      <w:pPr>
        <w:pStyle w:val="Citationenretrait"/>
        <w:rPr>
          <w:lang w:val="fr-CA"/>
        </w:rPr>
      </w:pPr>
      <w:r w:rsidRPr="00A90F7A">
        <w:rPr>
          <w:lang w:val="fr-CA"/>
        </w:rPr>
        <w:t xml:space="preserve">[252] </w:t>
      </w:r>
      <w:r w:rsidRPr="00A90F7A">
        <w:rPr>
          <w:lang w:val="fr-CA"/>
        </w:rPr>
        <w:tab/>
        <w:t xml:space="preserve">Le Tribunal comprend que cette impossibilité résulte en partie du fait que les informations financières transmises par monsieur Sirois et ses sociétés sont incomplètes ou erronées et qu'ils n'ont pas tenu une comptabilité distincte pour l'exploitation des actifs de </w:t>
      </w:r>
      <w:proofErr w:type="spellStart"/>
      <w:r w:rsidRPr="00A90F7A">
        <w:rPr>
          <w:lang w:val="fr-CA"/>
        </w:rPr>
        <w:t>Wooky</w:t>
      </w:r>
      <w:proofErr w:type="spellEnd"/>
      <w:r w:rsidRPr="00A90F7A">
        <w:rPr>
          <w:lang w:val="fr-CA"/>
        </w:rPr>
        <w:t>.</w:t>
      </w:r>
    </w:p>
    <w:p w14:paraId="733596E8" w14:textId="7DB9F622" w:rsidR="00844586" w:rsidRPr="00A90F7A" w:rsidRDefault="006751C0" w:rsidP="00D70EEF">
      <w:pPr>
        <w:pStyle w:val="Citationenretrait"/>
        <w:rPr>
          <w:lang w:val="fr-CA"/>
        </w:rPr>
      </w:pPr>
      <w:r>
        <w:rPr>
          <w:lang w:val="fr-CA"/>
        </w:rPr>
        <w:t>...</w:t>
      </w:r>
    </w:p>
    <w:p w14:paraId="69EB2E07" w14:textId="77777777" w:rsidR="00844586" w:rsidRPr="00A90F7A" w:rsidRDefault="0084114F" w:rsidP="00D70EEF">
      <w:pPr>
        <w:pStyle w:val="Citationenretrait"/>
        <w:rPr>
          <w:lang w:val="fr-CA"/>
        </w:rPr>
      </w:pPr>
      <w:r w:rsidRPr="00A90F7A">
        <w:rPr>
          <w:lang w:val="fr-CA"/>
        </w:rPr>
        <w:lastRenderedPageBreak/>
        <w:t>[254]</w:t>
      </w:r>
      <w:r w:rsidRPr="00A90F7A">
        <w:rPr>
          <w:lang w:val="fr-CA"/>
        </w:rPr>
        <w:tab/>
        <w:t>Toutefois, considérant la conclusion du Tribunal quant à l'absence de Transaction projetée, il est difficile de reprocher à monsieur Sirois de ne pas avoir tenu une comptabilité distincte.</w:t>
      </w:r>
    </w:p>
    <w:p w14:paraId="7E51A42C" w14:textId="77777777" w:rsidR="00844586" w:rsidRPr="00A90F7A" w:rsidRDefault="0084114F" w:rsidP="00D70EEF">
      <w:pPr>
        <w:pStyle w:val="Citationenretrait"/>
        <w:rPr>
          <w:lang w:val="fr-CA"/>
        </w:rPr>
      </w:pPr>
      <w:r w:rsidRPr="00A90F7A">
        <w:rPr>
          <w:lang w:val="fr-CA"/>
        </w:rPr>
        <w:t>[255]</w:t>
      </w:r>
      <w:r w:rsidRPr="00A90F7A">
        <w:rPr>
          <w:lang w:val="fr-CA"/>
        </w:rPr>
        <w:tab/>
        <w:t>Au surplus, la force probante de l'évaluation des gains et bénéfices générés par l'exploitation des actifs proposée par l'expert Thibault est faible.</w:t>
      </w:r>
    </w:p>
    <w:p w14:paraId="1D141FD3" w14:textId="77777777" w:rsidR="00844586" w:rsidRPr="00A90F7A" w:rsidRDefault="0084114F" w:rsidP="00D70EEF">
      <w:pPr>
        <w:pStyle w:val="Citationenretrait"/>
        <w:rPr>
          <w:lang w:val="fr-CA"/>
        </w:rPr>
      </w:pPr>
      <w:r w:rsidRPr="00A90F7A">
        <w:rPr>
          <w:lang w:val="fr-CA"/>
        </w:rPr>
        <w:t>[256]</w:t>
      </w:r>
      <w:r w:rsidRPr="00A90F7A">
        <w:rPr>
          <w:lang w:val="fr-CA"/>
        </w:rPr>
        <w:tab/>
        <w:t>D'une part, la qualité d'expert en comptabilité de monsieur Thibault est établie, mais il n'est expert ni en juricomptabilité ni en évaluation ou en quantification de dommages.</w:t>
      </w:r>
    </w:p>
    <w:p w14:paraId="2815B49A" w14:textId="77777777" w:rsidR="00844586" w:rsidRPr="00A90F7A" w:rsidRDefault="0084114F" w:rsidP="00D70EEF">
      <w:pPr>
        <w:pStyle w:val="Citationenretrait"/>
        <w:rPr>
          <w:lang w:val="fr-CA"/>
        </w:rPr>
      </w:pPr>
      <w:r w:rsidRPr="00A90F7A">
        <w:rPr>
          <w:lang w:val="fr-CA"/>
        </w:rPr>
        <w:t>[257]</w:t>
      </w:r>
      <w:r w:rsidRPr="00A90F7A">
        <w:rPr>
          <w:lang w:val="fr-CA"/>
        </w:rPr>
        <w:tab/>
        <w:t>Son expertise établie aux fins du présent dossier se limite à l’explication et à l’interprétation de données comptables, ce qu’il fait lorsqu’il explique au Tribunal en quoi les informations financières transmises par monsieur Sirois et ses sociétés sont incomplètes ou erronées.</w:t>
      </w:r>
    </w:p>
    <w:p w14:paraId="63BE2E57" w14:textId="77777777" w:rsidR="00844586" w:rsidRPr="00A90F7A" w:rsidRDefault="0084114F" w:rsidP="00D70EEF">
      <w:pPr>
        <w:pStyle w:val="Citationenretrait"/>
        <w:rPr>
          <w:lang w:val="fr-CA"/>
        </w:rPr>
      </w:pPr>
      <w:r w:rsidRPr="00A90F7A">
        <w:rPr>
          <w:lang w:val="fr-CA"/>
        </w:rPr>
        <w:t>[258]</w:t>
      </w:r>
      <w:r w:rsidRPr="00A90F7A">
        <w:rPr>
          <w:lang w:val="fr-CA"/>
        </w:rPr>
        <w:tab/>
        <w:t>Au-delà de l'opinion de monsieur Thibault à cet égard, son expertise est limitée.</w:t>
      </w:r>
    </w:p>
    <w:p w14:paraId="1204BADE" w14:textId="21C5328B" w:rsidR="00844586" w:rsidRPr="00A90F7A" w:rsidRDefault="006751C0" w:rsidP="00D70EEF">
      <w:pPr>
        <w:pStyle w:val="Citationenretrait"/>
        <w:rPr>
          <w:lang w:val="fr-CA"/>
        </w:rPr>
      </w:pPr>
      <w:r>
        <w:rPr>
          <w:lang w:val="fr-CA"/>
        </w:rPr>
        <w:t>...</w:t>
      </w:r>
    </w:p>
    <w:p w14:paraId="5A818268" w14:textId="77777777" w:rsidR="00844586" w:rsidRPr="00A90F7A" w:rsidRDefault="0084114F" w:rsidP="00D70EEF">
      <w:pPr>
        <w:pStyle w:val="Citationenretrait"/>
        <w:rPr>
          <w:lang w:val="fr-CA"/>
        </w:rPr>
      </w:pPr>
      <w:r w:rsidRPr="00A90F7A">
        <w:rPr>
          <w:lang w:val="fr-CA"/>
        </w:rPr>
        <w:t>[261]</w:t>
      </w:r>
      <w:r w:rsidRPr="00A90F7A">
        <w:rPr>
          <w:lang w:val="fr-CA"/>
        </w:rPr>
        <w:tab/>
        <w:t xml:space="preserve">Enfin, monsieur Thibault reconnait [sic] qu’il n’a effectué aucune analyse ni ajustement pour établir les données et calculs qu'il propose. Il reconnaît également que les importantes avances effectuées par monsieur Sirois et ses sociétés n'ont pas été considérées ni l'impact sur le marché des compétiteurs </w:t>
      </w:r>
      <w:proofErr w:type="spellStart"/>
      <w:r w:rsidRPr="00A90F7A">
        <w:rPr>
          <w:i/>
          <w:iCs/>
          <w:lang w:val="fr-CA"/>
        </w:rPr>
        <w:t>Make</w:t>
      </w:r>
      <w:proofErr w:type="spellEnd"/>
      <w:r w:rsidRPr="00A90F7A">
        <w:rPr>
          <w:i/>
          <w:iCs/>
          <w:lang w:val="fr-CA"/>
        </w:rPr>
        <w:t xml:space="preserve"> </w:t>
      </w:r>
      <w:proofErr w:type="spellStart"/>
      <w:r w:rsidRPr="00A90F7A">
        <w:rPr>
          <w:i/>
          <w:iCs/>
          <w:lang w:val="fr-CA"/>
        </w:rPr>
        <w:t>lt</w:t>
      </w:r>
      <w:proofErr w:type="spellEnd"/>
      <w:r w:rsidRPr="00A90F7A">
        <w:rPr>
          <w:i/>
          <w:iCs/>
          <w:lang w:val="fr-CA"/>
        </w:rPr>
        <w:t xml:space="preserve"> Real et Tween Team</w:t>
      </w:r>
      <w:r w:rsidRPr="00A90F7A">
        <w:rPr>
          <w:lang w:val="fr-CA"/>
        </w:rPr>
        <w:t>.</w:t>
      </w:r>
    </w:p>
    <w:p w14:paraId="3574AC9E" w14:textId="77777777" w:rsidR="00844586" w:rsidRPr="00A90F7A" w:rsidRDefault="0084114F" w:rsidP="00D70EEF">
      <w:pPr>
        <w:pStyle w:val="Paragraphe"/>
        <w:spacing w:line="280" w:lineRule="exact"/>
      </w:pPr>
      <w:r w:rsidRPr="00A90F7A">
        <w:t>There is no analysis of the exercise that the expert Thibault executed as described above based on the data available in the Court record.</w:t>
      </w:r>
    </w:p>
    <w:p w14:paraId="580F0542" w14:textId="77777777" w:rsidR="00844586" w:rsidRPr="00A90F7A" w:rsidRDefault="0084114F" w:rsidP="00D70EEF">
      <w:pPr>
        <w:pStyle w:val="Paragraphe"/>
        <w:spacing w:line="280" w:lineRule="exact"/>
      </w:pPr>
      <w:r w:rsidRPr="00A90F7A">
        <w:t xml:space="preserve">To award nothing where Sirois did not keep a separate accounting for </w:t>
      </w:r>
      <w:proofErr w:type="spellStart"/>
      <w:r w:rsidRPr="00A90F7A">
        <w:t>Wooky’s</w:t>
      </w:r>
      <w:proofErr w:type="spellEnd"/>
      <w:r w:rsidRPr="00A90F7A">
        <w:t xml:space="preserve"> business would be to reward Sirois for not respecting his obligation under the Entente:</w:t>
      </w:r>
    </w:p>
    <w:p w14:paraId="5349A957" w14:textId="77777777" w:rsidR="00844586" w:rsidRPr="00A90F7A" w:rsidRDefault="0084114F" w:rsidP="00D70EEF">
      <w:pPr>
        <w:pStyle w:val="Citationenretrait"/>
      </w:pPr>
      <w:r w:rsidRPr="00A90F7A">
        <w:t>(…) the perpetrator of a wrongful act should not profit thereby, as that would encourage wrong doing.</w:t>
      </w:r>
      <w:r>
        <w:rPr>
          <w:rStyle w:val="Appelnotedebasdep"/>
        </w:rPr>
        <w:footnoteReference w:id="21"/>
      </w:r>
    </w:p>
    <w:p w14:paraId="4BF24BD1" w14:textId="77777777" w:rsidR="00844586" w:rsidRPr="00A90F7A" w:rsidRDefault="0084114F" w:rsidP="00D70EEF">
      <w:pPr>
        <w:pStyle w:val="Paragraphe"/>
        <w:spacing w:line="280" w:lineRule="exact"/>
      </w:pPr>
      <w:r w:rsidRPr="00A90F7A">
        <w:t>In application of that principle, the Court has awarded damages where a commercial party who was the victim of a breach of contract failed to prove its loss.</w:t>
      </w:r>
      <w:r>
        <w:rPr>
          <w:rStyle w:val="Appelnotedebasdep"/>
        </w:rPr>
        <w:footnoteReference w:id="22"/>
      </w:r>
      <w:r w:rsidRPr="00A90F7A">
        <w:t xml:space="preserve"> </w:t>
      </w:r>
    </w:p>
    <w:p w14:paraId="29536945" w14:textId="77777777" w:rsidR="00844586" w:rsidRPr="00A90F7A" w:rsidRDefault="0084114F" w:rsidP="00D70EEF">
      <w:pPr>
        <w:pStyle w:val="Paragraphe"/>
        <w:spacing w:line="280" w:lineRule="exact"/>
      </w:pPr>
      <w:r w:rsidRPr="00A90F7A">
        <w:t>Here, one cannot accurately calculate the profit derived by Sirois, but the Court, based on the available evidence and based on the expert’s opinion, can arbitrate to determine that, at the very least and on balance, the first threshold amount of $3,650,000 is due to Richer by Sirois.</w:t>
      </w:r>
    </w:p>
    <w:p w14:paraId="7FFA3575" w14:textId="77777777" w:rsidR="00844586" w:rsidRPr="00A90F7A" w:rsidRDefault="0084114F" w:rsidP="00D70EEF">
      <w:pPr>
        <w:pStyle w:val="Paragraphe"/>
        <w:spacing w:line="280" w:lineRule="exact"/>
      </w:pPr>
      <w:r w:rsidRPr="00A90F7A">
        <w:lastRenderedPageBreak/>
        <w:t xml:space="preserve">Accordingly, I would overturn the judgment and replace it with a condemnation of Sirois, Neon Buddha Ltd., Pure &amp; Co. Ltd. and BPO Solutions Ltd., solidarily, to pay Richer $4,850,000 with interest plus costs (including expert fees) in first instance and in appeal. The Cross-Defendants other than Sirois and Neon Buddha Ltd. were not signatories of the Entente. However, the evidence reveals that Sirois used BPO Solutions Ltd. to purchase </w:t>
      </w:r>
      <w:proofErr w:type="spellStart"/>
      <w:r w:rsidRPr="00A90F7A">
        <w:t>Wooky</w:t>
      </w:r>
      <w:proofErr w:type="spellEnd"/>
      <w:r w:rsidRPr="00A90F7A">
        <w:t xml:space="preserve"> products for resale. He filed profit and loss statements of Pure &amp; Co. Ltd. in evidence and testified that all sales of </w:t>
      </w:r>
      <w:proofErr w:type="spellStart"/>
      <w:r w:rsidRPr="00A90F7A">
        <w:t>Wooky</w:t>
      </w:r>
      <w:proofErr w:type="spellEnd"/>
      <w:r w:rsidRPr="00A90F7A">
        <w:t xml:space="preserve"> products in the United States were made through it. It thus appears that these companies, through their actions (as instruments of Sirois), adhered to the Entente and should be liable for the amounts due to Richer thereunder.</w:t>
      </w:r>
    </w:p>
    <w:p w14:paraId="3CE1CEF4" w14:textId="77777777" w:rsidR="00844586" w:rsidRPr="00A90F7A" w:rsidRDefault="0084114F" w:rsidP="00D70EEF">
      <w:pPr>
        <w:pStyle w:val="Paragraphe"/>
        <w:spacing w:line="280" w:lineRule="exact"/>
      </w:pPr>
      <w:r w:rsidRPr="00A90F7A">
        <w:t xml:space="preserve">Interest and the additional indemnity should run from January 1, 2017 because though Sirois was put in default by </w:t>
      </w:r>
      <w:proofErr w:type="spellStart"/>
      <w:r w:rsidRPr="00A90F7A">
        <w:t>Richer’s</w:t>
      </w:r>
      <w:proofErr w:type="spellEnd"/>
      <w:r w:rsidRPr="00A90F7A">
        <w:t xml:space="preserve"> lawyer’s letter of August 5, 2016, the first payment of $1 million under the Entente became due on December 31, 2016.</w:t>
      </w:r>
    </w:p>
    <w:p w14:paraId="3DCD2D73" w14:textId="77777777" w:rsidR="00844586" w:rsidRPr="00A90F7A" w:rsidRDefault="0084114F" w:rsidP="00D70EEF">
      <w:pPr>
        <w:pStyle w:val="Paragraphe"/>
        <w:spacing w:line="280" w:lineRule="exact"/>
      </w:pPr>
      <w:r w:rsidRPr="00A90F7A">
        <w:t xml:space="preserve">Lastly, I fail to see how Sirois’ attorneys can be ordered to remit the $1 million plus held in their trust account to Richer in satisfaction of the judgment I propose. The funds were supposedly the “war chest” to pay </w:t>
      </w:r>
      <w:proofErr w:type="spellStart"/>
      <w:r w:rsidRPr="00A90F7A">
        <w:t>Wooky’s</w:t>
      </w:r>
      <w:proofErr w:type="spellEnd"/>
      <w:r w:rsidRPr="00A90F7A">
        <w:t xml:space="preserve"> secured creditors and perhaps others as the events in the late spring of 2016 unfolded. These funds, however, were not deposited to secure sums to become due under the Entente – and thus not the condemnation which I propose for the sums due to Richer under the Entente. The Court cannot invent novel means to provide for the execution of its judgments even if they might appear equitable in the circumstances.</w:t>
      </w:r>
    </w:p>
    <w:tbl>
      <w:tblPr>
        <w:tblW w:w="0" w:type="auto"/>
        <w:tblInd w:w="70" w:type="dxa"/>
        <w:tblLayout w:type="fixed"/>
        <w:tblCellMar>
          <w:left w:w="70" w:type="dxa"/>
          <w:right w:w="70" w:type="dxa"/>
        </w:tblCellMar>
        <w:tblLook w:val="0000" w:firstRow="0" w:lastRow="0" w:firstColumn="0" w:lastColumn="0" w:noHBand="0" w:noVBand="0"/>
      </w:tblPr>
      <w:tblGrid>
        <w:gridCol w:w="4735"/>
        <w:gridCol w:w="4625"/>
      </w:tblGrid>
      <w:tr w:rsidR="00E201A8" w14:paraId="7D7EEC37" w14:textId="77777777" w:rsidTr="00B220FA">
        <w:trPr>
          <w:cantSplit/>
          <w:trHeight w:val="513"/>
        </w:trPr>
        <w:tc>
          <w:tcPr>
            <w:tcW w:w="9360" w:type="dxa"/>
            <w:gridSpan w:val="2"/>
          </w:tcPr>
          <w:p w14:paraId="03556135" w14:textId="77777777" w:rsidR="00844586" w:rsidRPr="00A90F7A" w:rsidRDefault="00844586" w:rsidP="00B220FA"/>
        </w:tc>
      </w:tr>
      <w:tr w:rsidR="00E201A8" w14:paraId="0C53F0D0" w14:textId="77777777" w:rsidTr="00B220FA">
        <w:tblPrEx>
          <w:tblCellMar>
            <w:left w:w="0" w:type="dxa"/>
            <w:right w:w="0" w:type="dxa"/>
          </w:tblCellMar>
        </w:tblPrEx>
        <w:trPr>
          <w:cantSplit/>
          <w:trHeight w:val="277"/>
        </w:trPr>
        <w:tc>
          <w:tcPr>
            <w:tcW w:w="4735" w:type="dxa"/>
            <w:vMerge w:val="restart"/>
          </w:tcPr>
          <w:p w14:paraId="09390281" w14:textId="77777777" w:rsidR="00844586" w:rsidRPr="00A90F7A" w:rsidRDefault="00844586" w:rsidP="00B220FA"/>
        </w:tc>
        <w:tc>
          <w:tcPr>
            <w:tcW w:w="4625" w:type="dxa"/>
            <w:tcBorders>
              <w:bottom w:val="single" w:sz="8" w:space="0" w:color="auto"/>
            </w:tcBorders>
          </w:tcPr>
          <w:p w14:paraId="6B21D777" w14:textId="77777777" w:rsidR="00844586" w:rsidRPr="00A90F7A" w:rsidRDefault="00844586" w:rsidP="00B220FA"/>
        </w:tc>
      </w:tr>
      <w:tr w:rsidR="00E201A8" w14:paraId="17A236C9" w14:textId="77777777" w:rsidTr="00B220FA">
        <w:tblPrEx>
          <w:tblCellMar>
            <w:left w:w="0" w:type="dxa"/>
            <w:right w:w="0" w:type="dxa"/>
          </w:tblCellMar>
        </w:tblPrEx>
        <w:trPr>
          <w:cantSplit/>
          <w:trHeight w:val="276"/>
        </w:trPr>
        <w:tc>
          <w:tcPr>
            <w:tcW w:w="4735" w:type="dxa"/>
            <w:vMerge/>
          </w:tcPr>
          <w:p w14:paraId="0B4A035A" w14:textId="77777777" w:rsidR="00844586" w:rsidRPr="00A90F7A" w:rsidRDefault="00844586" w:rsidP="00B220FA"/>
        </w:tc>
        <w:tc>
          <w:tcPr>
            <w:tcW w:w="4625" w:type="dxa"/>
          </w:tcPr>
          <w:p w14:paraId="316F587B" w14:textId="3D1C5E6B" w:rsidR="00844586" w:rsidRPr="00E8050B" w:rsidRDefault="0084114F" w:rsidP="00B220FA">
            <w:r w:rsidRPr="00E8050B">
              <w:fldChar w:fldCharType="begin"/>
            </w:r>
            <w:r>
              <w:instrText xml:space="preserve"> REF NomJuge1  \* MERGEFORMAT </w:instrText>
            </w:r>
            <w:r w:rsidRPr="00E8050B">
              <w:fldChar w:fldCharType="separate"/>
            </w:r>
            <w:r w:rsidR="0012174C" w:rsidRPr="00E8050B">
              <w:rPr>
                <w:lang w:val="fr-CA"/>
              </w:rPr>
              <w:t>MARK SCHRAGER, J.A.</w:t>
            </w:r>
            <w:r w:rsidRPr="00E8050B">
              <w:rPr>
                <w:lang w:val="fr-CA"/>
              </w:rPr>
              <w:fldChar w:fldCharType="end"/>
            </w:r>
          </w:p>
        </w:tc>
      </w:tr>
      <w:bookmarkEnd w:id="5"/>
    </w:tbl>
    <w:p w14:paraId="451C772A" w14:textId="77777777" w:rsidR="00844586" w:rsidRPr="00A90F7A" w:rsidRDefault="00844586" w:rsidP="00532A41"/>
    <w:p w14:paraId="70145E4C" w14:textId="77777777" w:rsidR="00844586" w:rsidRPr="00A90F7A" w:rsidRDefault="0084114F">
      <w:pPr>
        <w:spacing w:line="240" w:lineRule="auto"/>
      </w:pPr>
      <w:r w:rsidRPr="00A90F7A">
        <w:br w:type="page"/>
      </w:r>
    </w:p>
    <w:p w14:paraId="587273DB" w14:textId="4853E7F1" w:rsidR="00844586" w:rsidRPr="00E8050B" w:rsidRDefault="00ED1DD6" w:rsidP="00635DC3">
      <w:pPr>
        <w:jc w:val="center"/>
        <w:rPr>
          <w:b/>
          <w:bCs/>
          <w:u w:val="single"/>
        </w:rPr>
      </w:pPr>
      <w:r>
        <w:rPr>
          <w:b/>
          <w:bCs/>
          <w:u w:val="single"/>
        </w:rPr>
        <w:lastRenderedPageBreak/>
        <w:t>ANNEX</w:t>
      </w:r>
      <w:r w:rsidR="00E96534" w:rsidRPr="00E8050B">
        <w:rPr>
          <w:b/>
          <w:bCs/>
          <w:u w:val="single"/>
        </w:rPr>
        <w:t xml:space="preserve"> TO THE REASONS OF SCHRAGER, J.A.</w:t>
      </w:r>
    </w:p>
    <w:p w14:paraId="39D38847" w14:textId="245315B1" w:rsidR="00844586" w:rsidRPr="00E8050B" w:rsidRDefault="00E96534" w:rsidP="008B697D">
      <w:pPr>
        <w:jc w:val="both"/>
        <w:rPr>
          <w:i/>
          <w:iCs/>
          <w:sz w:val="22"/>
          <w:szCs w:val="22"/>
          <w:u w:val="single"/>
        </w:rPr>
      </w:pPr>
      <w:r w:rsidRPr="00E8050B">
        <w:rPr>
          <w:i/>
          <w:iCs/>
          <w:sz w:val="22"/>
          <w:szCs w:val="22"/>
          <w:u w:val="single"/>
        </w:rPr>
        <w:t>Despite the confidentiality clause 7.1, the parties made no claim to confidentiality before the Court and the terms of the clause (disclosure for enforcement purposes) would rule out any such claim.</w:t>
      </w:r>
    </w:p>
    <w:p w14:paraId="031FDEF8" w14:textId="77777777" w:rsidR="00844586" w:rsidRPr="00594595" w:rsidRDefault="00844586" w:rsidP="008B697D">
      <w:pPr>
        <w:spacing w:line="240" w:lineRule="auto"/>
        <w:jc w:val="center"/>
        <w:rPr>
          <w:rFonts w:cs="Arial"/>
          <w:b/>
          <w:bCs/>
          <w:sz w:val="22"/>
          <w:szCs w:val="22"/>
        </w:rPr>
      </w:pPr>
    </w:p>
    <w:p w14:paraId="37705AF9" w14:textId="5F584318" w:rsidR="00ED1DD6" w:rsidRPr="00ED1DD6" w:rsidRDefault="00ED1DD6" w:rsidP="00D92BBE">
      <w:pPr>
        <w:spacing w:line="240" w:lineRule="auto"/>
        <w:rPr>
          <w:rFonts w:cs="Arial"/>
          <w:b/>
          <w:bCs/>
          <w:sz w:val="22"/>
          <w:szCs w:val="22"/>
        </w:rPr>
      </w:pPr>
      <w:r>
        <w:rPr>
          <w:rFonts w:cs="Arial"/>
          <w:b/>
          <w:bCs/>
          <w:sz w:val="22"/>
          <w:szCs w:val="22"/>
        </w:rPr>
        <w:t>[</w:t>
      </w:r>
      <w:r>
        <w:rPr>
          <w:rFonts w:cs="Arial"/>
          <w:b/>
          <w:bCs/>
          <w:smallCaps/>
          <w:sz w:val="22"/>
          <w:szCs w:val="22"/>
        </w:rPr>
        <w:t>translation</w:t>
      </w:r>
      <w:r>
        <w:rPr>
          <w:rFonts w:cs="Arial"/>
          <w:b/>
          <w:bCs/>
          <w:sz w:val="22"/>
          <w:szCs w:val="22"/>
        </w:rPr>
        <w:t>]</w:t>
      </w:r>
    </w:p>
    <w:p w14:paraId="1FAD4BF1" w14:textId="77777777" w:rsidR="00ED1DD6" w:rsidRDefault="00ED1DD6" w:rsidP="008B697D">
      <w:pPr>
        <w:spacing w:line="240" w:lineRule="auto"/>
        <w:jc w:val="center"/>
        <w:rPr>
          <w:rFonts w:cs="Arial"/>
          <w:b/>
          <w:bCs/>
          <w:sz w:val="22"/>
          <w:szCs w:val="22"/>
        </w:rPr>
      </w:pPr>
    </w:p>
    <w:p w14:paraId="78B97508" w14:textId="5BBB93A0" w:rsidR="00844586" w:rsidRPr="00E96534" w:rsidRDefault="00E96534" w:rsidP="008B697D">
      <w:pPr>
        <w:spacing w:line="240" w:lineRule="auto"/>
        <w:jc w:val="center"/>
        <w:rPr>
          <w:rFonts w:cs="Arial"/>
          <w:b/>
          <w:bCs/>
          <w:sz w:val="22"/>
          <w:szCs w:val="22"/>
        </w:rPr>
      </w:pPr>
      <w:r w:rsidRPr="00E96534">
        <w:rPr>
          <w:rFonts w:cs="Arial"/>
          <w:b/>
          <w:bCs/>
          <w:sz w:val="22"/>
          <w:szCs w:val="22"/>
        </w:rPr>
        <w:t xml:space="preserve">AGREEMENT ON </w:t>
      </w:r>
      <w:r w:rsidR="0018671A">
        <w:rPr>
          <w:rFonts w:cs="Arial"/>
          <w:b/>
          <w:bCs/>
          <w:sz w:val="22"/>
          <w:szCs w:val="22"/>
        </w:rPr>
        <w:t>EARNINGS</w:t>
      </w:r>
      <w:r w:rsidRPr="00E96534">
        <w:rPr>
          <w:rFonts w:cs="Arial"/>
          <w:b/>
          <w:bCs/>
          <w:sz w:val="22"/>
          <w:szCs w:val="22"/>
        </w:rPr>
        <w:t xml:space="preserve"> AND PROFIT SHARING</w:t>
      </w:r>
    </w:p>
    <w:p w14:paraId="7DCBA2CD" w14:textId="77777777" w:rsidR="00844586" w:rsidRPr="00E96534" w:rsidRDefault="00844586" w:rsidP="008B697D">
      <w:pPr>
        <w:spacing w:line="240" w:lineRule="auto"/>
        <w:jc w:val="center"/>
        <w:rPr>
          <w:rFonts w:cs="Arial"/>
          <w:b/>
          <w:bCs/>
          <w:sz w:val="22"/>
          <w:szCs w:val="22"/>
        </w:rPr>
      </w:pPr>
    </w:p>
    <w:p w14:paraId="08317CCD" w14:textId="24E5967E" w:rsidR="00844586" w:rsidRPr="00E96534" w:rsidRDefault="00E96534" w:rsidP="008B697D">
      <w:pPr>
        <w:spacing w:line="240" w:lineRule="auto"/>
        <w:ind w:left="1416" w:hanging="1416"/>
        <w:jc w:val="both"/>
        <w:rPr>
          <w:rFonts w:cs="Arial"/>
          <w:sz w:val="22"/>
          <w:szCs w:val="22"/>
        </w:rPr>
      </w:pPr>
      <w:r w:rsidRPr="00E8050B">
        <w:rPr>
          <w:rFonts w:cs="Arial"/>
          <w:b/>
          <w:bCs/>
          <w:sz w:val="22"/>
          <w:szCs w:val="22"/>
        </w:rPr>
        <w:t>BETWEEN:</w:t>
      </w:r>
      <w:r w:rsidR="0084114F" w:rsidRPr="00E96534">
        <w:rPr>
          <w:rFonts w:cs="Arial"/>
          <w:sz w:val="22"/>
          <w:szCs w:val="22"/>
        </w:rPr>
        <w:tab/>
      </w:r>
      <w:r w:rsidRPr="00E96534">
        <w:rPr>
          <w:rFonts w:cs="Arial"/>
          <w:b/>
          <w:bCs/>
          <w:sz w:val="22"/>
          <w:szCs w:val="22"/>
        </w:rPr>
        <w:t>KEVIN RICHER</w:t>
      </w:r>
      <w:r w:rsidRPr="00E96534">
        <w:rPr>
          <w:rFonts w:cs="Arial"/>
          <w:bCs/>
          <w:sz w:val="22"/>
          <w:szCs w:val="22"/>
        </w:rPr>
        <w:t>, businessman, domiciled and residing at 3685 du Tamaris Street, Saint-Bruno-de-Montarville, Quebec  J3V 089;</w:t>
      </w:r>
    </w:p>
    <w:p w14:paraId="6D8D6E5B" w14:textId="77777777" w:rsidR="00844586" w:rsidRPr="00E96534" w:rsidRDefault="00844586" w:rsidP="008B697D">
      <w:pPr>
        <w:spacing w:line="240" w:lineRule="auto"/>
        <w:ind w:left="1416" w:hanging="1416"/>
        <w:jc w:val="both"/>
        <w:rPr>
          <w:rFonts w:cs="Arial"/>
          <w:sz w:val="22"/>
          <w:szCs w:val="22"/>
        </w:rPr>
      </w:pPr>
    </w:p>
    <w:p w14:paraId="65CF8780" w14:textId="084C68D0" w:rsidR="00844586" w:rsidRPr="00E96534" w:rsidRDefault="00E96534" w:rsidP="008B697D">
      <w:pPr>
        <w:spacing w:line="240" w:lineRule="auto"/>
        <w:jc w:val="right"/>
        <w:rPr>
          <w:rFonts w:cs="Arial"/>
          <w:sz w:val="22"/>
          <w:szCs w:val="22"/>
        </w:rPr>
      </w:pPr>
      <w:r w:rsidRPr="00E96534">
        <w:rPr>
          <w:rFonts w:cs="Arial"/>
          <w:b/>
          <w:bCs/>
          <w:sz w:val="22"/>
          <w:szCs w:val="22"/>
        </w:rPr>
        <w:t>Hereinafter referred to as “Richer”;</w:t>
      </w:r>
    </w:p>
    <w:p w14:paraId="658E2FCF" w14:textId="77777777" w:rsidR="00844586" w:rsidRPr="00E96534" w:rsidRDefault="00844586" w:rsidP="008B697D">
      <w:pPr>
        <w:spacing w:line="240" w:lineRule="auto"/>
        <w:jc w:val="right"/>
        <w:rPr>
          <w:rFonts w:cs="Arial"/>
          <w:sz w:val="22"/>
          <w:szCs w:val="22"/>
        </w:rPr>
      </w:pPr>
    </w:p>
    <w:p w14:paraId="1ACD1123" w14:textId="4D808A90" w:rsidR="00844586" w:rsidRPr="00E96534" w:rsidRDefault="0018671A" w:rsidP="008B697D">
      <w:pPr>
        <w:spacing w:line="240" w:lineRule="auto"/>
        <w:ind w:left="1416" w:hanging="1416"/>
        <w:jc w:val="both"/>
        <w:rPr>
          <w:rFonts w:cs="Arial"/>
          <w:sz w:val="22"/>
          <w:szCs w:val="22"/>
        </w:rPr>
      </w:pPr>
      <w:r>
        <w:rPr>
          <w:rFonts w:cs="Arial"/>
          <w:b/>
          <w:bCs/>
          <w:sz w:val="22"/>
          <w:szCs w:val="22"/>
        </w:rPr>
        <w:t>AND</w:t>
      </w:r>
      <w:r w:rsidR="00E96534" w:rsidRPr="00E8050B">
        <w:rPr>
          <w:rFonts w:cs="Arial"/>
          <w:b/>
          <w:bCs/>
          <w:sz w:val="22"/>
          <w:szCs w:val="22"/>
        </w:rPr>
        <w:t>:</w:t>
      </w:r>
      <w:r w:rsidR="0084114F" w:rsidRPr="00E96534">
        <w:rPr>
          <w:rFonts w:cs="Arial"/>
          <w:b/>
          <w:bCs/>
          <w:sz w:val="22"/>
          <w:szCs w:val="22"/>
        </w:rPr>
        <w:tab/>
      </w:r>
      <w:r w:rsidR="00E96534" w:rsidRPr="00E96534">
        <w:rPr>
          <w:rFonts w:cs="Arial"/>
          <w:b/>
          <w:bCs/>
          <w:sz w:val="22"/>
          <w:szCs w:val="22"/>
        </w:rPr>
        <w:t>SÉBASTIEN SIROIS</w:t>
      </w:r>
      <w:r w:rsidR="00E96534" w:rsidRPr="00E96534">
        <w:rPr>
          <w:rFonts w:cs="Arial"/>
          <w:bCs/>
          <w:sz w:val="22"/>
          <w:szCs w:val="22"/>
        </w:rPr>
        <w:t xml:space="preserve">, businessman, domiciled and residing at 99/3 T. </w:t>
      </w:r>
      <w:proofErr w:type="spellStart"/>
      <w:r w:rsidR="00E96534" w:rsidRPr="00E96534">
        <w:rPr>
          <w:rFonts w:cs="Arial"/>
          <w:bCs/>
          <w:sz w:val="22"/>
          <w:szCs w:val="22"/>
        </w:rPr>
        <w:t>Thawangtaan</w:t>
      </w:r>
      <w:proofErr w:type="spellEnd"/>
      <w:r w:rsidR="00E96534" w:rsidRPr="00E96534">
        <w:rPr>
          <w:rFonts w:cs="Arial"/>
          <w:bCs/>
          <w:sz w:val="22"/>
          <w:szCs w:val="22"/>
        </w:rPr>
        <w:t xml:space="preserve">, A. </w:t>
      </w:r>
      <w:proofErr w:type="spellStart"/>
      <w:r w:rsidR="00E96534" w:rsidRPr="00E96534">
        <w:rPr>
          <w:rFonts w:cs="Arial"/>
          <w:bCs/>
          <w:sz w:val="22"/>
          <w:szCs w:val="22"/>
        </w:rPr>
        <w:t>Saraphi</w:t>
      </w:r>
      <w:proofErr w:type="spellEnd"/>
      <w:r w:rsidR="00E96534" w:rsidRPr="00E96534">
        <w:rPr>
          <w:rFonts w:cs="Arial"/>
          <w:bCs/>
          <w:sz w:val="22"/>
          <w:szCs w:val="22"/>
        </w:rPr>
        <w:t>, Chiangmai, Thailand;</w:t>
      </w:r>
    </w:p>
    <w:p w14:paraId="481725A2" w14:textId="77777777" w:rsidR="00844586" w:rsidRPr="00E96534" w:rsidRDefault="00844586" w:rsidP="008B697D">
      <w:pPr>
        <w:spacing w:line="240" w:lineRule="auto"/>
        <w:ind w:left="1416" w:hanging="1416"/>
        <w:jc w:val="both"/>
        <w:rPr>
          <w:rFonts w:cs="Arial"/>
          <w:sz w:val="22"/>
          <w:szCs w:val="22"/>
        </w:rPr>
      </w:pPr>
    </w:p>
    <w:p w14:paraId="3B0BA15A" w14:textId="25E8C5E9" w:rsidR="00844586" w:rsidRPr="00E96534" w:rsidRDefault="00E96534" w:rsidP="008B697D">
      <w:pPr>
        <w:spacing w:line="240" w:lineRule="auto"/>
        <w:jc w:val="right"/>
        <w:rPr>
          <w:rFonts w:cs="Arial"/>
          <w:sz w:val="22"/>
          <w:szCs w:val="22"/>
        </w:rPr>
      </w:pPr>
      <w:r w:rsidRPr="00E96534">
        <w:rPr>
          <w:rFonts w:cs="Arial"/>
          <w:b/>
          <w:bCs/>
          <w:sz w:val="22"/>
          <w:szCs w:val="22"/>
        </w:rPr>
        <w:t>Hereinafter referred to as “Sirois”</w:t>
      </w:r>
      <w:r w:rsidR="0018671A">
        <w:rPr>
          <w:rFonts w:cs="Arial"/>
          <w:b/>
          <w:bCs/>
          <w:sz w:val="22"/>
          <w:szCs w:val="22"/>
        </w:rPr>
        <w:t>,</w:t>
      </w:r>
      <w:r w:rsidRPr="00E96534">
        <w:rPr>
          <w:rFonts w:cs="Arial"/>
          <w:b/>
          <w:bCs/>
          <w:sz w:val="22"/>
          <w:szCs w:val="22"/>
        </w:rPr>
        <w:t xml:space="preserve"> and together with Richer as the “Parties”;</w:t>
      </w:r>
    </w:p>
    <w:p w14:paraId="4839C9F1" w14:textId="77777777" w:rsidR="00844586" w:rsidRPr="00E96534" w:rsidRDefault="00844586" w:rsidP="008B697D">
      <w:pPr>
        <w:spacing w:line="240" w:lineRule="auto"/>
        <w:jc w:val="right"/>
        <w:rPr>
          <w:rFonts w:cs="Arial"/>
          <w:sz w:val="22"/>
          <w:szCs w:val="22"/>
        </w:rPr>
      </w:pPr>
    </w:p>
    <w:p w14:paraId="6C0510FE" w14:textId="0313C8FE" w:rsidR="00844586" w:rsidRPr="00E8050B" w:rsidRDefault="00E96534" w:rsidP="008B697D">
      <w:pPr>
        <w:spacing w:line="240" w:lineRule="auto"/>
        <w:jc w:val="both"/>
        <w:rPr>
          <w:rFonts w:cs="Arial"/>
          <w:b/>
          <w:bCs/>
          <w:sz w:val="22"/>
          <w:szCs w:val="22"/>
        </w:rPr>
      </w:pPr>
      <w:r w:rsidRPr="00E8050B">
        <w:rPr>
          <w:rFonts w:cs="Arial"/>
          <w:b/>
          <w:bCs/>
          <w:sz w:val="22"/>
          <w:szCs w:val="22"/>
        </w:rPr>
        <w:t>TO WHICH INTERVENES:</w:t>
      </w:r>
    </w:p>
    <w:p w14:paraId="1969D670" w14:textId="77777777" w:rsidR="00844586" w:rsidRPr="00E96534" w:rsidRDefault="00844586" w:rsidP="00635DC3">
      <w:pPr>
        <w:jc w:val="both"/>
        <w:rPr>
          <w:rFonts w:cs="Arial"/>
          <w:b/>
          <w:bCs/>
          <w:sz w:val="22"/>
          <w:szCs w:val="22"/>
        </w:rPr>
      </w:pPr>
    </w:p>
    <w:p w14:paraId="0C544B66" w14:textId="59CFECC5" w:rsidR="00844586" w:rsidRPr="00E96534" w:rsidRDefault="00E96534" w:rsidP="00635DC3">
      <w:pPr>
        <w:ind w:left="1416"/>
        <w:jc w:val="both"/>
        <w:rPr>
          <w:rFonts w:cs="Arial"/>
          <w:sz w:val="22"/>
          <w:szCs w:val="22"/>
        </w:rPr>
      </w:pPr>
      <w:r w:rsidRPr="00E96534">
        <w:rPr>
          <w:rFonts w:cs="Arial"/>
          <w:b/>
          <w:bCs/>
          <w:sz w:val="22"/>
          <w:szCs w:val="22"/>
        </w:rPr>
        <w:t>NEON BUDDHA LTD</w:t>
      </w:r>
      <w:r w:rsidRPr="00E96534">
        <w:rPr>
          <w:rFonts w:cs="Arial"/>
          <w:bCs/>
          <w:sz w:val="22"/>
          <w:szCs w:val="22"/>
        </w:rPr>
        <w:t>, a corporation governed by the statutes of Ontario, having a place of business at 7 Fairhaven Drive, St.</w:t>
      </w:r>
      <w:r w:rsidR="00593D61">
        <w:rPr>
          <w:rFonts w:cs="Arial"/>
          <w:bCs/>
          <w:sz w:val="22"/>
          <w:szCs w:val="22"/>
        </w:rPr>
        <w:t xml:space="preserve"> </w:t>
      </w:r>
      <w:r w:rsidRPr="00E96534">
        <w:rPr>
          <w:rFonts w:cs="Arial"/>
          <w:bCs/>
          <w:sz w:val="22"/>
          <w:szCs w:val="22"/>
        </w:rPr>
        <w:t>Catharines, Ontario  L2S 3N4, represented by Sébastien Sirois, its president, duly authorized as he so declares;</w:t>
      </w:r>
    </w:p>
    <w:p w14:paraId="18DD5130" w14:textId="5236C305" w:rsidR="00844586" w:rsidRPr="00E96534" w:rsidRDefault="00E96534" w:rsidP="00635DC3">
      <w:pPr>
        <w:jc w:val="right"/>
        <w:rPr>
          <w:rFonts w:cs="Arial"/>
          <w:sz w:val="22"/>
          <w:szCs w:val="22"/>
        </w:rPr>
      </w:pPr>
      <w:r w:rsidRPr="00E96534">
        <w:rPr>
          <w:rFonts w:cs="Arial"/>
          <w:b/>
          <w:bCs/>
          <w:sz w:val="22"/>
          <w:szCs w:val="22"/>
        </w:rPr>
        <w:t xml:space="preserve">Hereinafter </w:t>
      </w:r>
      <w:r w:rsidR="004D3E91" w:rsidRPr="00E96534">
        <w:rPr>
          <w:rFonts w:cs="Arial"/>
          <w:b/>
          <w:bCs/>
          <w:sz w:val="22"/>
          <w:szCs w:val="22"/>
        </w:rPr>
        <w:t>referred</w:t>
      </w:r>
      <w:r w:rsidRPr="00E96534">
        <w:rPr>
          <w:rFonts w:cs="Arial"/>
          <w:b/>
          <w:bCs/>
          <w:sz w:val="22"/>
          <w:szCs w:val="22"/>
        </w:rPr>
        <w:t xml:space="preserve"> to as “Neon Buddha”</w:t>
      </w:r>
    </w:p>
    <w:p w14:paraId="7D805CB3" w14:textId="215F9E91" w:rsidR="00844586" w:rsidRPr="00E96534" w:rsidRDefault="00E96534" w:rsidP="00635DC3">
      <w:pPr>
        <w:jc w:val="both"/>
        <w:rPr>
          <w:rFonts w:cs="Arial"/>
          <w:b/>
          <w:bCs/>
          <w:sz w:val="22"/>
          <w:szCs w:val="22"/>
        </w:rPr>
      </w:pPr>
      <w:r w:rsidRPr="00E96534">
        <w:rPr>
          <w:rFonts w:cs="Arial"/>
          <w:b/>
          <w:bCs/>
          <w:sz w:val="22"/>
          <w:szCs w:val="22"/>
        </w:rPr>
        <w:t>______________________________________________________________________</w:t>
      </w:r>
    </w:p>
    <w:p w14:paraId="40713D0F" w14:textId="77777777" w:rsidR="00844586" w:rsidRPr="00E96534" w:rsidRDefault="00844586" w:rsidP="00635DC3">
      <w:pPr>
        <w:jc w:val="both"/>
        <w:rPr>
          <w:rFonts w:cs="Arial"/>
          <w:b/>
          <w:bCs/>
          <w:sz w:val="22"/>
          <w:szCs w:val="22"/>
        </w:rPr>
      </w:pPr>
    </w:p>
    <w:p w14:paraId="53403001" w14:textId="4DF18259" w:rsidR="00844586" w:rsidRPr="00E96534" w:rsidRDefault="00E96534" w:rsidP="00635DC3">
      <w:pPr>
        <w:jc w:val="both"/>
        <w:rPr>
          <w:rFonts w:cs="Arial"/>
          <w:sz w:val="22"/>
          <w:szCs w:val="22"/>
        </w:rPr>
      </w:pPr>
      <w:r w:rsidRPr="00E96534">
        <w:rPr>
          <w:rFonts w:cs="Arial"/>
          <w:b/>
          <w:bCs/>
          <w:sz w:val="22"/>
          <w:szCs w:val="22"/>
        </w:rPr>
        <w:t xml:space="preserve">WHEREAS </w:t>
      </w:r>
      <w:r w:rsidRPr="001D5632">
        <w:rPr>
          <w:rFonts w:cs="Arial"/>
          <w:sz w:val="22"/>
          <w:szCs w:val="22"/>
        </w:rPr>
        <w:t xml:space="preserve">Richer Kevin is currently </w:t>
      </w:r>
      <w:r w:rsidR="0018671A">
        <w:rPr>
          <w:rFonts w:cs="Arial"/>
          <w:sz w:val="22"/>
          <w:szCs w:val="22"/>
        </w:rPr>
        <w:t>the</w:t>
      </w:r>
      <w:r w:rsidRPr="001D5632">
        <w:rPr>
          <w:rFonts w:cs="Arial"/>
          <w:sz w:val="22"/>
          <w:szCs w:val="22"/>
        </w:rPr>
        <w:t xml:space="preserve"> president and sole director of Divertissement </w:t>
      </w:r>
      <w:proofErr w:type="spellStart"/>
      <w:r w:rsidRPr="001D5632">
        <w:rPr>
          <w:rFonts w:cs="Arial"/>
          <w:sz w:val="22"/>
          <w:szCs w:val="22"/>
        </w:rPr>
        <w:t>Wooky</w:t>
      </w:r>
      <w:proofErr w:type="spellEnd"/>
      <w:r w:rsidRPr="001D5632">
        <w:rPr>
          <w:rFonts w:cs="Arial"/>
          <w:sz w:val="22"/>
          <w:szCs w:val="22"/>
        </w:rPr>
        <w:t xml:space="preserve"> Inc.</w:t>
      </w:r>
      <w:r w:rsidR="0084114F" w:rsidRPr="00E96534">
        <w:rPr>
          <w:rFonts w:cs="Arial"/>
          <w:sz w:val="22"/>
          <w:szCs w:val="22"/>
        </w:rPr>
        <w:t xml:space="preserve"> </w:t>
      </w:r>
      <w:r w:rsidRPr="00E96534">
        <w:rPr>
          <w:rFonts w:cs="Arial"/>
          <w:sz w:val="22"/>
          <w:szCs w:val="22"/>
        </w:rPr>
        <w:t>(the “</w:t>
      </w:r>
      <w:r w:rsidRPr="00D92BBE">
        <w:rPr>
          <w:rFonts w:cs="Arial"/>
          <w:b/>
          <w:bCs/>
          <w:sz w:val="22"/>
          <w:szCs w:val="22"/>
        </w:rPr>
        <w:t>Corporation</w:t>
      </w:r>
      <w:r w:rsidRPr="00E96534">
        <w:rPr>
          <w:rFonts w:cs="Arial"/>
          <w:sz w:val="22"/>
          <w:szCs w:val="22"/>
        </w:rPr>
        <w:t xml:space="preserve">”), a business operating principally in the areas of </w:t>
      </w:r>
      <w:r w:rsidR="0018671A">
        <w:rPr>
          <w:rFonts w:cs="Arial"/>
          <w:sz w:val="22"/>
          <w:szCs w:val="22"/>
        </w:rPr>
        <w:t xml:space="preserve">the </w:t>
      </w:r>
      <w:r w:rsidRPr="00E96534">
        <w:rPr>
          <w:rFonts w:cs="Arial"/>
          <w:sz w:val="22"/>
          <w:szCs w:val="22"/>
        </w:rPr>
        <w:t>design, manufacture, distribution</w:t>
      </w:r>
      <w:r w:rsidR="00C3747E">
        <w:rPr>
          <w:rFonts w:cs="Arial"/>
          <w:sz w:val="22"/>
          <w:szCs w:val="22"/>
        </w:rPr>
        <w:t>,</w:t>
      </w:r>
      <w:r w:rsidRPr="00E96534">
        <w:rPr>
          <w:rFonts w:cs="Arial"/>
          <w:sz w:val="22"/>
          <w:szCs w:val="22"/>
        </w:rPr>
        <w:t xml:space="preserve"> and sale of games </w:t>
      </w:r>
      <w:r w:rsidR="001D5632" w:rsidRPr="00E96534">
        <w:rPr>
          <w:rFonts w:cs="Arial"/>
          <w:sz w:val="22"/>
          <w:szCs w:val="22"/>
        </w:rPr>
        <w:t>and</w:t>
      </w:r>
      <w:r w:rsidRPr="00E96534">
        <w:rPr>
          <w:rFonts w:cs="Arial"/>
          <w:sz w:val="22"/>
          <w:szCs w:val="22"/>
        </w:rPr>
        <w:t xml:space="preserve"> toys </w:t>
      </w:r>
      <w:r w:rsidR="0018671A">
        <w:rPr>
          <w:rFonts w:cs="Arial"/>
          <w:sz w:val="22"/>
          <w:szCs w:val="22"/>
        </w:rPr>
        <w:t>intended for</w:t>
      </w:r>
      <w:r w:rsidRPr="00E96534">
        <w:rPr>
          <w:rFonts w:cs="Arial"/>
          <w:sz w:val="22"/>
          <w:szCs w:val="22"/>
        </w:rPr>
        <w:t xml:space="preserve"> children and adolescents;</w:t>
      </w:r>
    </w:p>
    <w:p w14:paraId="6D9F57A7" w14:textId="77777777" w:rsidR="00D92BBE" w:rsidRDefault="00D92BBE" w:rsidP="00635DC3">
      <w:pPr>
        <w:jc w:val="both"/>
        <w:rPr>
          <w:rFonts w:cs="Arial"/>
          <w:b/>
          <w:bCs/>
          <w:sz w:val="22"/>
          <w:szCs w:val="22"/>
        </w:rPr>
      </w:pPr>
    </w:p>
    <w:p w14:paraId="70524DA7" w14:textId="4AA66C8E" w:rsidR="00844586" w:rsidRPr="00E96534" w:rsidRDefault="00E96534" w:rsidP="00635DC3">
      <w:pPr>
        <w:jc w:val="both"/>
        <w:rPr>
          <w:rFonts w:cs="Arial"/>
          <w:sz w:val="22"/>
          <w:szCs w:val="22"/>
        </w:rPr>
      </w:pPr>
      <w:r w:rsidRPr="00E96534">
        <w:rPr>
          <w:rFonts w:cs="Arial"/>
          <w:b/>
          <w:bCs/>
          <w:sz w:val="22"/>
          <w:szCs w:val="22"/>
        </w:rPr>
        <w:t>WHEREAS</w:t>
      </w:r>
      <w:r w:rsidRPr="001D5632">
        <w:rPr>
          <w:rFonts w:cs="Arial"/>
          <w:sz w:val="22"/>
          <w:szCs w:val="22"/>
        </w:rPr>
        <w:t xml:space="preserve"> to date, </w:t>
      </w:r>
      <w:r w:rsidR="00EA08D9" w:rsidRPr="001D5632">
        <w:rPr>
          <w:rFonts w:cs="Arial"/>
          <w:sz w:val="22"/>
          <w:szCs w:val="22"/>
        </w:rPr>
        <w:t xml:space="preserve">Richer </w:t>
      </w:r>
      <w:r w:rsidRPr="001D5632">
        <w:rPr>
          <w:rFonts w:cs="Arial"/>
          <w:sz w:val="22"/>
          <w:szCs w:val="22"/>
        </w:rPr>
        <w:t xml:space="preserve">holds all of the voting and participating shares </w:t>
      </w:r>
      <w:r w:rsidR="00C3747E">
        <w:rPr>
          <w:rFonts w:cs="Arial"/>
          <w:sz w:val="22"/>
          <w:szCs w:val="22"/>
        </w:rPr>
        <w:t>in</w:t>
      </w:r>
      <w:r w:rsidRPr="001D5632">
        <w:rPr>
          <w:rFonts w:cs="Arial"/>
          <w:sz w:val="22"/>
          <w:szCs w:val="22"/>
        </w:rPr>
        <w:t xml:space="preserve"> the Corporation through management companies and a trust;</w:t>
      </w:r>
    </w:p>
    <w:p w14:paraId="2079E593" w14:textId="77777777" w:rsidR="00844586" w:rsidRPr="00E96534" w:rsidRDefault="00844586" w:rsidP="00635DC3">
      <w:pPr>
        <w:jc w:val="both"/>
        <w:rPr>
          <w:rFonts w:cs="Arial"/>
          <w:b/>
          <w:bCs/>
          <w:sz w:val="22"/>
          <w:szCs w:val="22"/>
        </w:rPr>
      </w:pPr>
    </w:p>
    <w:p w14:paraId="7F68ED13" w14:textId="4F2DF4B6" w:rsidR="00844586" w:rsidRPr="00E96534" w:rsidRDefault="00E96534" w:rsidP="00635DC3">
      <w:pPr>
        <w:jc w:val="both"/>
        <w:rPr>
          <w:rFonts w:cs="Arial"/>
          <w:sz w:val="22"/>
          <w:szCs w:val="22"/>
        </w:rPr>
      </w:pPr>
      <w:r w:rsidRPr="00E96534">
        <w:rPr>
          <w:rFonts w:cs="Arial"/>
          <w:b/>
          <w:bCs/>
          <w:sz w:val="22"/>
          <w:szCs w:val="22"/>
        </w:rPr>
        <w:t>WHEREAS</w:t>
      </w:r>
      <w:r w:rsidRPr="001D5632">
        <w:rPr>
          <w:rFonts w:cs="Arial"/>
          <w:sz w:val="22"/>
          <w:szCs w:val="22"/>
        </w:rPr>
        <w:t xml:space="preserve"> as at this date, </w:t>
      </w:r>
      <w:r w:rsidR="00EA08D9" w:rsidRPr="001D5632">
        <w:rPr>
          <w:rFonts w:cs="Arial"/>
          <w:sz w:val="22"/>
          <w:szCs w:val="22"/>
        </w:rPr>
        <w:t xml:space="preserve">Richer </w:t>
      </w:r>
      <w:r w:rsidRPr="001D5632">
        <w:rPr>
          <w:rFonts w:cs="Arial"/>
          <w:sz w:val="22"/>
          <w:szCs w:val="22"/>
        </w:rPr>
        <w:t xml:space="preserve">has given </w:t>
      </w:r>
      <w:r w:rsidR="00111C1D" w:rsidRPr="001D5632">
        <w:rPr>
          <w:rFonts w:cs="Arial"/>
          <w:sz w:val="22"/>
          <w:szCs w:val="22"/>
        </w:rPr>
        <w:t xml:space="preserve">the Corporation </w:t>
      </w:r>
      <w:r w:rsidR="00E02D2D">
        <w:rPr>
          <w:rFonts w:cs="Arial"/>
          <w:sz w:val="22"/>
          <w:szCs w:val="22"/>
        </w:rPr>
        <w:t>interest</w:t>
      </w:r>
      <w:r w:rsidR="00611FA9">
        <w:rPr>
          <w:rFonts w:cs="Arial"/>
          <w:sz w:val="22"/>
          <w:szCs w:val="22"/>
        </w:rPr>
        <w:t>-</w:t>
      </w:r>
      <w:r w:rsidR="00E02D2D">
        <w:rPr>
          <w:rFonts w:cs="Arial"/>
          <w:sz w:val="22"/>
          <w:szCs w:val="22"/>
        </w:rPr>
        <w:t xml:space="preserve">free </w:t>
      </w:r>
      <w:r w:rsidRPr="001D5632">
        <w:rPr>
          <w:rFonts w:cs="Arial"/>
          <w:sz w:val="22"/>
          <w:szCs w:val="22"/>
        </w:rPr>
        <w:t>advances totalling $270,000 (the “</w:t>
      </w:r>
      <w:r w:rsidRPr="001D5632">
        <w:rPr>
          <w:rFonts w:cs="Arial"/>
          <w:b/>
          <w:bCs/>
          <w:sz w:val="22"/>
          <w:szCs w:val="22"/>
        </w:rPr>
        <w:t>Advances</w:t>
      </w:r>
      <w:r w:rsidRPr="001D5632">
        <w:rPr>
          <w:rFonts w:cs="Arial"/>
          <w:sz w:val="22"/>
          <w:szCs w:val="22"/>
        </w:rPr>
        <w:t>”);</w:t>
      </w:r>
    </w:p>
    <w:p w14:paraId="775BE656" w14:textId="77777777" w:rsidR="00844586" w:rsidRPr="00E96534" w:rsidRDefault="00844586" w:rsidP="00635DC3">
      <w:pPr>
        <w:jc w:val="both"/>
        <w:rPr>
          <w:rFonts w:cs="Arial"/>
          <w:b/>
          <w:bCs/>
          <w:sz w:val="22"/>
          <w:szCs w:val="22"/>
        </w:rPr>
      </w:pPr>
    </w:p>
    <w:p w14:paraId="1BA07BF0" w14:textId="79AB89F1" w:rsidR="00844586" w:rsidRPr="00E96534" w:rsidRDefault="00E96534" w:rsidP="00635DC3">
      <w:pPr>
        <w:jc w:val="both"/>
        <w:rPr>
          <w:rFonts w:cs="Arial"/>
          <w:sz w:val="22"/>
          <w:szCs w:val="22"/>
        </w:rPr>
      </w:pPr>
      <w:r w:rsidRPr="00E96534">
        <w:rPr>
          <w:rFonts w:cs="Arial"/>
          <w:b/>
          <w:bCs/>
          <w:sz w:val="22"/>
          <w:szCs w:val="22"/>
        </w:rPr>
        <w:t xml:space="preserve">WHEREAS </w:t>
      </w:r>
      <w:r w:rsidRPr="001D5632">
        <w:rPr>
          <w:rFonts w:cs="Arial"/>
          <w:sz w:val="22"/>
          <w:szCs w:val="22"/>
        </w:rPr>
        <w:t>Sirois will eventually purchase all or substantial</w:t>
      </w:r>
      <w:r w:rsidR="006E7EBD">
        <w:rPr>
          <w:rFonts w:cs="Arial"/>
          <w:sz w:val="22"/>
          <w:szCs w:val="22"/>
        </w:rPr>
        <w:t>ly all</w:t>
      </w:r>
      <w:r w:rsidRPr="001D5632">
        <w:rPr>
          <w:rFonts w:cs="Arial"/>
          <w:sz w:val="22"/>
          <w:szCs w:val="22"/>
        </w:rPr>
        <w:t xml:space="preserve"> of the Corporation’s assets (</w:t>
      </w:r>
      <w:r w:rsidR="006E7EBD">
        <w:rPr>
          <w:rFonts w:cs="Arial"/>
          <w:sz w:val="22"/>
          <w:szCs w:val="22"/>
        </w:rPr>
        <w:t xml:space="preserve">the </w:t>
      </w:r>
      <w:r w:rsidR="001D5632">
        <w:rPr>
          <w:rFonts w:cs="Arial"/>
          <w:sz w:val="22"/>
          <w:szCs w:val="22"/>
        </w:rPr>
        <w:t>“</w:t>
      </w:r>
      <w:r w:rsidRPr="001D5632">
        <w:rPr>
          <w:rFonts w:cs="Arial"/>
          <w:b/>
          <w:bCs/>
          <w:sz w:val="22"/>
          <w:szCs w:val="22"/>
        </w:rPr>
        <w:t xml:space="preserve">Planned </w:t>
      </w:r>
      <w:r w:rsidR="006E7EBD">
        <w:rPr>
          <w:rFonts w:cs="Arial"/>
          <w:b/>
          <w:bCs/>
          <w:sz w:val="22"/>
          <w:szCs w:val="22"/>
        </w:rPr>
        <w:t>T</w:t>
      </w:r>
      <w:r w:rsidRPr="001D5632">
        <w:rPr>
          <w:rFonts w:cs="Arial"/>
          <w:b/>
          <w:bCs/>
          <w:sz w:val="22"/>
          <w:szCs w:val="22"/>
        </w:rPr>
        <w:t>ransaction</w:t>
      </w:r>
      <w:r w:rsidRPr="001D5632">
        <w:rPr>
          <w:rFonts w:cs="Arial"/>
          <w:sz w:val="22"/>
          <w:szCs w:val="22"/>
        </w:rPr>
        <w:t>”), including its intellectual property, through one of the companies he controls (</w:t>
      </w:r>
      <w:r w:rsidR="001D5632">
        <w:rPr>
          <w:rFonts w:cs="Arial"/>
          <w:sz w:val="22"/>
          <w:szCs w:val="22"/>
        </w:rPr>
        <w:t>“</w:t>
      </w:r>
      <w:proofErr w:type="spellStart"/>
      <w:r w:rsidRPr="001D5632">
        <w:rPr>
          <w:rFonts w:cs="Arial"/>
          <w:b/>
          <w:bCs/>
          <w:sz w:val="22"/>
          <w:szCs w:val="22"/>
        </w:rPr>
        <w:t>SiroisCo</w:t>
      </w:r>
      <w:proofErr w:type="spellEnd"/>
      <w:r w:rsidRPr="001D5632">
        <w:rPr>
          <w:rFonts w:cs="Arial"/>
          <w:sz w:val="22"/>
          <w:szCs w:val="22"/>
        </w:rPr>
        <w:t>”);</w:t>
      </w:r>
    </w:p>
    <w:p w14:paraId="76BF620D" w14:textId="77777777" w:rsidR="00844586" w:rsidRPr="00E96534" w:rsidRDefault="00844586" w:rsidP="00635DC3">
      <w:pPr>
        <w:jc w:val="both"/>
        <w:rPr>
          <w:rFonts w:cs="Arial"/>
          <w:b/>
          <w:bCs/>
          <w:sz w:val="22"/>
          <w:szCs w:val="22"/>
        </w:rPr>
      </w:pPr>
    </w:p>
    <w:p w14:paraId="272191F2" w14:textId="081049D6" w:rsidR="00844586" w:rsidRDefault="00E96534" w:rsidP="00635DC3">
      <w:pPr>
        <w:jc w:val="both"/>
        <w:rPr>
          <w:rFonts w:cs="Arial"/>
          <w:sz w:val="22"/>
          <w:szCs w:val="22"/>
        </w:rPr>
      </w:pPr>
      <w:r w:rsidRPr="00E96534">
        <w:rPr>
          <w:rFonts w:cs="Arial"/>
          <w:b/>
          <w:bCs/>
          <w:sz w:val="22"/>
          <w:szCs w:val="22"/>
        </w:rPr>
        <w:t xml:space="preserve">WHEREAS </w:t>
      </w:r>
      <w:r w:rsidRPr="001D5632">
        <w:rPr>
          <w:rFonts w:cs="Arial"/>
          <w:sz w:val="22"/>
          <w:szCs w:val="22"/>
        </w:rPr>
        <w:t xml:space="preserve">Sirois recognizes the value added </w:t>
      </w:r>
      <w:r w:rsidR="00F15659">
        <w:rPr>
          <w:rFonts w:cs="Arial"/>
          <w:sz w:val="22"/>
          <w:szCs w:val="22"/>
        </w:rPr>
        <w:t>by</w:t>
      </w:r>
      <w:r w:rsidRPr="001D5632">
        <w:rPr>
          <w:rFonts w:cs="Arial"/>
          <w:sz w:val="22"/>
          <w:szCs w:val="22"/>
        </w:rPr>
        <w:t xml:space="preserve"> the ideas and creative spirit of Richer and accordingly wishes to retain his services as Chief Creative Officer for Richer</w:t>
      </w:r>
      <w:r w:rsidR="001D5632">
        <w:rPr>
          <w:rFonts w:cs="Arial"/>
          <w:sz w:val="22"/>
          <w:szCs w:val="22"/>
        </w:rPr>
        <w:t xml:space="preserve"> Assets</w:t>
      </w:r>
      <w:r w:rsidRPr="001D5632">
        <w:rPr>
          <w:rFonts w:cs="Arial"/>
          <w:sz w:val="22"/>
          <w:szCs w:val="22"/>
        </w:rPr>
        <w:t xml:space="preserve"> (as this term is defined below) in the event </w:t>
      </w:r>
      <w:r w:rsidR="005E5094">
        <w:rPr>
          <w:rFonts w:cs="Arial"/>
          <w:sz w:val="22"/>
          <w:szCs w:val="22"/>
        </w:rPr>
        <w:t xml:space="preserve">of the occurrence of </w:t>
      </w:r>
      <w:r w:rsidRPr="001D5632">
        <w:rPr>
          <w:rFonts w:cs="Arial"/>
          <w:sz w:val="22"/>
          <w:szCs w:val="22"/>
        </w:rPr>
        <w:t xml:space="preserve">the Planned </w:t>
      </w:r>
      <w:r w:rsidR="006E7EBD">
        <w:rPr>
          <w:rFonts w:cs="Arial"/>
          <w:sz w:val="22"/>
          <w:szCs w:val="22"/>
        </w:rPr>
        <w:t>T</w:t>
      </w:r>
      <w:r w:rsidRPr="001D5632">
        <w:rPr>
          <w:rFonts w:cs="Arial"/>
          <w:sz w:val="22"/>
          <w:szCs w:val="22"/>
        </w:rPr>
        <w:t>ransaction;</w:t>
      </w:r>
    </w:p>
    <w:p w14:paraId="14CB3B9D" w14:textId="77777777" w:rsidR="001D5632" w:rsidRPr="001D5632" w:rsidRDefault="001D5632" w:rsidP="00635DC3">
      <w:pPr>
        <w:jc w:val="both"/>
        <w:rPr>
          <w:rFonts w:cs="Arial"/>
          <w:sz w:val="22"/>
          <w:szCs w:val="22"/>
        </w:rPr>
      </w:pPr>
    </w:p>
    <w:p w14:paraId="4DE8C941" w14:textId="0952E37F" w:rsidR="00844586" w:rsidRPr="001D5632" w:rsidRDefault="00E96534" w:rsidP="00635DC3">
      <w:pPr>
        <w:jc w:val="both"/>
        <w:rPr>
          <w:rFonts w:cs="Arial"/>
          <w:sz w:val="22"/>
          <w:szCs w:val="22"/>
        </w:rPr>
      </w:pPr>
      <w:r w:rsidRPr="001D5632">
        <w:rPr>
          <w:rFonts w:cs="Arial"/>
          <w:b/>
          <w:bCs/>
          <w:sz w:val="22"/>
          <w:szCs w:val="22"/>
        </w:rPr>
        <w:lastRenderedPageBreak/>
        <w:t>WHEREAS</w:t>
      </w:r>
      <w:r w:rsidRPr="001D5632">
        <w:rPr>
          <w:rFonts w:cs="Arial"/>
          <w:sz w:val="22"/>
          <w:szCs w:val="22"/>
        </w:rPr>
        <w:t xml:space="preserve"> the Parties verbally agreed to compensation payable by Sirois to Richer </w:t>
      </w:r>
      <w:r w:rsidR="006E7EBD">
        <w:rPr>
          <w:rFonts w:cs="Arial"/>
          <w:sz w:val="22"/>
          <w:szCs w:val="22"/>
        </w:rPr>
        <w:t xml:space="preserve">in </w:t>
      </w:r>
      <w:r w:rsidRPr="001D5632">
        <w:rPr>
          <w:rFonts w:cs="Arial"/>
          <w:sz w:val="22"/>
          <w:szCs w:val="22"/>
        </w:rPr>
        <w:t>relat</w:t>
      </w:r>
      <w:r w:rsidR="006E7EBD">
        <w:rPr>
          <w:rFonts w:cs="Arial"/>
          <w:sz w:val="22"/>
          <w:szCs w:val="22"/>
        </w:rPr>
        <w:t>ion</w:t>
      </w:r>
      <w:r w:rsidRPr="001D5632">
        <w:rPr>
          <w:rFonts w:cs="Arial"/>
          <w:sz w:val="22"/>
          <w:szCs w:val="22"/>
        </w:rPr>
        <w:t xml:space="preserve"> to </w:t>
      </w:r>
      <w:r w:rsidR="001D5632" w:rsidRPr="001D5632">
        <w:rPr>
          <w:rFonts w:cs="Arial"/>
          <w:sz w:val="22"/>
          <w:szCs w:val="22"/>
        </w:rPr>
        <w:t>the</w:t>
      </w:r>
      <w:r w:rsidRPr="001D5632">
        <w:rPr>
          <w:rFonts w:cs="Arial"/>
          <w:sz w:val="22"/>
          <w:szCs w:val="22"/>
        </w:rPr>
        <w:t xml:space="preserve"> Planned </w:t>
      </w:r>
      <w:r w:rsidR="006E7EBD">
        <w:rPr>
          <w:rFonts w:cs="Arial"/>
          <w:sz w:val="22"/>
          <w:szCs w:val="22"/>
        </w:rPr>
        <w:t>T</w:t>
      </w:r>
      <w:r w:rsidRPr="001D5632">
        <w:rPr>
          <w:rFonts w:cs="Arial"/>
          <w:sz w:val="22"/>
          <w:szCs w:val="22"/>
        </w:rPr>
        <w:t xml:space="preserve">ransaction and </w:t>
      </w:r>
      <w:r w:rsidR="008F4AEC">
        <w:rPr>
          <w:rFonts w:cs="Arial"/>
          <w:sz w:val="22"/>
          <w:szCs w:val="22"/>
        </w:rPr>
        <w:t>an earnings</w:t>
      </w:r>
      <w:r w:rsidRPr="001D5632">
        <w:rPr>
          <w:rFonts w:cs="Arial"/>
          <w:sz w:val="22"/>
          <w:szCs w:val="22"/>
        </w:rPr>
        <w:t xml:space="preserve"> and profit</w:t>
      </w:r>
      <w:r w:rsidR="005E5094">
        <w:rPr>
          <w:rFonts w:cs="Arial"/>
          <w:sz w:val="22"/>
          <w:szCs w:val="22"/>
        </w:rPr>
        <w:t>-</w:t>
      </w:r>
      <w:r w:rsidRPr="001D5632">
        <w:rPr>
          <w:rFonts w:cs="Arial"/>
          <w:sz w:val="22"/>
          <w:szCs w:val="22"/>
        </w:rPr>
        <w:t xml:space="preserve">sharing method </w:t>
      </w:r>
      <w:r w:rsidR="008F4AEC">
        <w:rPr>
          <w:rFonts w:cs="Arial"/>
          <w:sz w:val="22"/>
          <w:szCs w:val="22"/>
        </w:rPr>
        <w:t>arising</w:t>
      </w:r>
      <w:r w:rsidRPr="001D5632">
        <w:rPr>
          <w:rFonts w:cs="Arial"/>
          <w:sz w:val="22"/>
          <w:szCs w:val="22"/>
        </w:rPr>
        <w:t xml:space="preserve"> from the future </w:t>
      </w:r>
      <w:r w:rsidR="005E5094">
        <w:rPr>
          <w:rFonts w:cs="Arial"/>
          <w:sz w:val="22"/>
          <w:szCs w:val="22"/>
        </w:rPr>
        <w:t>operation</w:t>
      </w:r>
      <w:r w:rsidRPr="001D5632">
        <w:rPr>
          <w:rFonts w:cs="Arial"/>
          <w:sz w:val="22"/>
          <w:szCs w:val="22"/>
        </w:rPr>
        <w:t xml:space="preserve"> of </w:t>
      </w:r>
      <w:r w:rsidR="00A017CF">
        <w:rPr>
          <w:rFonts w:cs="Arial"/>
          <w:sz w:val="22"/>
          <w:szCs w:val="22"/>
        </w:rPr>
        <w:t xml:space="preserve">the </w:t>
      </w:r>
      <w:r w:rsidRPr="001D5632">
        <w:rPr>
          <w:rFonts w:cs="Arial"/>
          <w:sz w:val="22"/>
          <w:szCs w:val="22"/>
        </w:rPr>
        <w:t>Richer</w:t>
      </w:r>
      <w:r w:rsidR="001D5632">
        <w:rPr>
          <w:rFonts w:cs="Arial"/>
          <w:sz w:val="22"/>
          <w:szCs w:val="22"/>
        </w:rPr>
        <w:t xml:space="preserve"> Assets</w:t>
      </w:r>
      <w:r w:rsidRPr="001D5632">
        <w:rPr>
          <w:rFonts w:cs="Arial"/>
          <w:sz w:val="22"/>
          <w:szCs w:val="22"/>
        </w:rPr>
        <w:t xml:space="preserve"> by </w:t>
      </w:r>
      <w:proofErr w:type="spellStart"/>
      <w:r w:rsidRPr="001D5632">
        <w:rPr>
          <w:rFonts w:cs="Arial"/>
          <w:sz w:val="22"/>
          <w:szCs w:val="22"/>
        </w:rPr>
        <w:t>SiroisCo</w:t>
      </w:r>
      <w:proofErr w:type="spellEnd"/>
      <w:r w:rsidRPr="001D5632">
        <w:rPr>
          <w:rFonts w:cs="Arial"/>
          <w:sz w:val="22"/>
          <w:szCs w:val="22"/>
        </w:rPr>
        <w:t xml:space="preserve">; </w:t>
      </w:r>
    </w:p>
    <w:p w14:paraId="767DA25E" w14:textId="77777777" w:rsidR="00844586" w:rsidRPr="00E96534" w:rsidRDefault="00844586" w:rsidP="00635DC3">
      <w:pPr>
        <w:jc w:val="both"/>
        <w:rPr>
          <w:rFonts w:cs="Arial"/>
          <w:b/>
          <w:bCs/>
          <w:sz w:val="22"/>
          <w:szCs w:val="22"/>
        </w:rPr>
      </w:pPr>
    </w:p>
    <w:p w14:paraId="4CCAF598" w14:textId="52EDBE0D" w:rsidR="00844586" w:rsidRPr="00E96534" w:rsidRDefault="00E96534" w:rsidP="00635DC3">
      <w:pPr>
        <w:jc w:val="both"/>
        <w:rPr>
          <w:rFonts w:cs="Arial"/>
          <w:sz w:val="22"/>
          <w:szCs w:val="22"/>
        </w:rPr>
      </w:pPr>
      <w:r w:rsidRPr="00E96534">
        <w:rPr>
          <w:rFonts w:cs="Arial"/>
          <w:b/>
          <w:bCs/>
          <w:sz w:val="22"/>
          <w:szCs w:val="22"/>
        </w:rPr>
        <w:t xml:space="preserve">WHEREAS </w:t>
      </w:r>
      <w:r w:rsidRPr="001D5632">
        <w:rPr>
          <w:rFonts w:cs="Arial"/>
          <w:sz w:val="22"/>
          <w:szCs w:val="22"/>
        </w:rPr>
        <w:t xml:space="preserve">the Parties wish to </w:t>
      </w:r>
      <w:r w:rsidR="00A017CF">
        <w:rPr>
          <w:rFonts w:cs="Arial"/>
          <w:sz w:val="22"/>
          <w:szCs w:val="22"/>
        </w:rPr>
        <w:t>record</w:t>
      </w:r>
      <w:r w:rsidRPr="001D5632">
        <w:rPr>
          <w:rFonts w:cs="Arial"/>
          <w:sz w:val="22"/>
          <w:szCs w:val="22"/>
        </w:rPr>
        <w:t xml:space="preserve"> and </w:t>
      </w:r>
      <w:r w:rsidR="001D5632" w:rsidRPr="001D5632">
        <w:rPr>
          <w:rFonts w:cs="Arial"/>
          <w:sz w:val="22"/>
          <w:szCs w:val="22"/>
        </w:rPr>
        <w:t>confirm</w:t>
      </w:r>
      <w:r w:rsidRPr="001D5632">
        <w:rPr>
          <w:rFonts w:cs="Arial"/>
          <w:sz w:val="22"/>
          <w:szCs w:val="22"/>
        </w:rPr>
        <w:t xml:space="preserve"> these verbal agreements </w:t>
      </w:r>
      <w:r w:rsidR="00F15659" w:rsidRPr="001D5632">
        <w:rPr>
          <w:rFonts w:cs="Arial"/>
          <w:sz w:val="22"/>
          <w:szCs w:val="22"/>
        </w:rPr>
        <w:t xml:space="preserve">in writing </w:t>
      </w:r>
      <w:r w:rsidRPr="001D5632">
        <w:rPr>
          <w:rFonts w:cs="Arial"/>
          <w:sz w:val="22"/>
          <w:szCs w:val="22"/>
        </w:rPr>
        <w:t xml:space="preserve">and detail their respective rights and </w:t>
      </w:r>
      <w:r w:rsidR="001D5632" w:rsidRPr="001D5632">
        <w:rPr>
          <w:rFonts w:cs="Arial"/>
          <w:sz w:val="22"/>
          <w:szCs w:val="22"/>
        </w:rPr>
        <w:t>obligations</w:t>
      </w:r>
      <w:r w:rsidRPr="001D5632">
        <w:rPr>
          <w:rFonts w:cs="Arial"/>
          <w:sz w:val="22"/>
          <w:szCs w:val="22"/>
        </w:rPr>
        <w:t xml:space="preserve"> toward</w:t>
      </w:r>
      <w:r w:rsidR="00A017CF">
        <w:rPr>
          <w:rFonts w:cs="Arial"/>
          <w:sz w:val="22"/>
          <w:szCs w:val="22"/>
        </w:rPr>
        <w:t>s</w:t>
      </w:r>
      <w:r w:rsidRPr="001D5632">
        <w:rPr>
          <w:rFonts w:cs="Arial"/>
          <w:sz w:val="22"/>
          <w:szCs w:val="22"/>
        </w:rPr>
        <w:t xml:space="preserve"> the Richer Assets </w:t>
      </w:r>
      <w:r w:rsidR="001D5632" w:rsidRPr="001D5632">
        <w:rPr>
          <w:rFonts w:cs="Arial"/>
          <w:sz w:val="22"/>
          <w:szCs w:val="22"/>
        </w:rPr>
        <w:t>and</w:t>
      </w:r>
      <w:r w:rsidR="00F15659">
        <w:rPr>
          <w:rFonts w:cs="Arial"/>
          <w:sz w:val="22"/>
          <w:szCs w:val="22"/>
        </w:rPr>
        <w:t xml:space="preserve"> </w:t>
      </w:r>
      <w:r w:rsidRPr="001D5632">
        <w:rPr>
          <w:rFonts w:cs="Arial"/>
          <w:sz w:val="22"/>
          <w:szCs w:val="22"/>
        </w:rPr>
        <w:t xml:space="preserve">their operation in the event the Planned </w:t>
      </w:r>
      <w:r w:rsidR="00A017CF">
        <w:rPr>
          <w:rFonts w:cs="Arial"/>
          <w:sz w:val="22"/>
          <w:szCs w:val="22"/>
        </w:rPr>
        <w:t>T</w:t>
      </w:r>
      <w:r w:rsidRPr="001D5632">
        <w:rPr>
          <w:rFonts w:cs="Arial"/>
          <w:sz w:val="22"/>
          <w:szCs w:val="22"/>
        </w:rPr>
        <w:t>ransaction</w:t>
      </w:r>
      <w:r w:rsidR="00E02D2D">
        <w:rPr>
          <w:rFonts w:cs="Arial"/>
          <w:sz w:val="22"/>
          <w:szCs w:val="22"/>
        </w:rPr>
        <w:t xml:space="preserve"> occurs</w:t>
      </w:r>
      <w:r w:rsidRPr="001D5632">
        <w:rPr>
          <w:rFonts w:cs="Arial"/>
          <w:sz w:val="22"/>
          <w:szCs w:val="22"/>
        </w:rPr>
        <w:t>;</w:t>
      </w:r>
    </w:p>
    <w:p w14:paraId="213CB564" w14:textId="77777777" w:rsidR="00844586" w:rsidRPr="00E96534" w:rsidRDefault="00844586" w:rsidP="00635DC3">
      <w:pPr>
        <w:jc w:val="both"/>
        <w:rPr>
          <w:rFonts w:cs="Arial"/>
          <w:b/>
          <w:bCs/>
          <w:sz w:val="22"/>
          <w:szCs w:val="22"/>
        </w:rPr>
      </w:pPr>
    </w:p>
    <w:p w14:paraId="310789C2" w14:textId="03FEF3FB" w:rsidR="00844586" w:rsidRPr="00E96534" w:rsidRDefault="00E96534" w:rsidP="00635DC3">
      <w:pPr>
        <w:jc w:val="both"/>
        <w:rPr>
          <w:rFonts w:cs="Arial"/>
          <w:sz w:val="22"/>
          <w:szCs w:val="22"/>
        </w:rPr>
      </w:pPr>
      <w:r w:rsidRPr="00E96534">
        <w:rPr>
          <w:rFonts w:cs="Arial"/>
          <w:b/>
          <w:bCs/>
          <w:sz w:val="22"/>
          <w:szCs w:val="22"/>
        </w:rPr>
        <w:t xml:space="preserve">WHEREAS </w:t>
      </w:r>
      <w:r w:rsidRPr="001D5632">
        <w:rPr>
          <w:rFonts w:cs="Arial"/>
          <w:sz w:val="22"/>
          <w:szCs w:val="22"/>
        </w:rPr>
        <w:t xml:space="preserve">this agreement is and must remain confidential and may not be disclosed by either </w:t>
      </w:r>
      <w:r w:rsidR="006E2C8E">
        <w:rPr>
          <w:rFonts w:cs="Arial"/>
          <w:sz w:val="22"/>
          <w:szCs w:val="22"/>
        </w:rPr>
        <w:t>o</w:t>
      </w:r>
      <w:r w:rsidRPr="001D5632">
        <w:rPr>
          <w:rFonts w:cs="Arial"/>
          <w:sz w:val="22"/>
          <w:szCs w:val="22"/>
        </w:rPr>
        <w:t>f the Parties;</w:t>
      </w:r>
    </w:p>
    <w:p w14:paraId="093C9572" w14:textId="77777777" w:rsidR="00844586" w:rsidRPr="00E96534" w:rsidRDefault="00844586" w:rsidP="00635DC3">
      <w:pPr>
        <w:jc w:val="both"/>
        <w:rPr>
          <w:rFonts w:cs="Arial"/>
          <w:sz w:val="22"/>
          <w:szCs w:val="22"/>
        </w:rPr>
      </w:pPr>
    </w:p>
    <w:p w14:paraId="743DF234" w14:textId="488F159D" w:rsidR="00844586" w:rsidRPr="00676FD9" w:rsidRDefault="00E96534" w:rsidP="00635DC3">
      <w:pPr>
        <w:jc w:val="both"/>
        <w:rPr>
          <w:rFonts w:cs="Arial"/>
          <w:sz w:val="22"/>
          <w:szCs w:val="22"/>
        </w:rPr>
      </w:pPr>
      <w:r w:rsidRPr="00676FD9">
        <w:rPr>
          <w:rFonts w:cs="Arial"/>
          <w:sz w:val="22"/>
          <w:szCs w:val="22"/>
        </w:rPr>
        <w:t>TO THIS END, THE PARTIES AGREE AS FOLLOWS:</w:t>
      </w:r>
    </w:p>
    <w:p w14:paraId="0781B326" w14:textId="77777777" w:rsidR="00844586" w:rsidRPr="00E96534" w:rsidRDefault="00844586" w:rsidP="00635DC3">
      <w:pPr>
        <w:jc w:val="both"/>
        <w:rPr>
          <w:rFonts w:cs="Arial"/>
          <w:b/>
          <w:bCs/>
          <w:sz w:val="22"/>
          <w:szCs w:val="22"/>
        </w:rPr>
      </w:pPr>
    </w:p>
    <w:p w14:paraId="15C26ED5" w14:textId="3ECCE07A" w:rsidR="00844586" w:rsidRPr="00E96534" w:rsidRDefault="00E96534" w:rsidP="00635DC3">
      <w:pPr>
        <w:jc w:val="both"/>
        <w:rPr>
          <w:rFonts w:cs="Arial"/>
          <w:b/>
          <w:bCs/>
          <w:sz w:val="22"/>
          <w:szCs w:val="22"/>
        </w:rPr>
      </w:pPr>
      <w:r w:rsidRPr="00E96534">
        <w:rPr>
          <w:rFonts w:cs="Arial"/>
          <w:b/>
          <w:bCs/>
          <w:sz w:val="22"/>
          <w:szCs w:val="22"/>
        </w:rPr>
        <w:t>(1)</w:t>
      </w:r>
      <w:r w:rsidR="0084114F" w:rsidRPr="00E96534">
        <w:rPr>
          <w:rFonts w:cs="Arial"/>
          <w:b/>
          <w:bCs/>
          <w:sz w:val="22"/>
          <w:szCs w:val="22"/>
        </w:rPr>
        <w:t xml:space="preserve"> </w:t>
      </w:r>
      <w:r w:rsidRPr="00E8050B">
        <w:rPr>
          <w:rFonts w:cs="Arial"/>
          <w:b/>
          <w:bCs/>
          <w:sz w:val="22"/>
          <w:szCs w:val="22"/>
        </w:rPr>
        <w:t>INTERPRETATION</w:t>
      </w:r>
    </w:p>
    <w:p w14:paraId="5F22936E" w14:textId="77777777" w:rsidR="00844586" w:rsidRPr="00E96534" w:rsidRDefault="00844586" w:rsidP="00635DC3">
      <w:pPr>
        <w:jc w:val="both"/>
        <w:rPr>
          <w:rFonts w:cs="Arial"/>
          <w:b/>
          <w:bCs/>
          <w:sz w:val="22"/>
          <w:szCs w:val="22"/>
        </w:rPr>
      </w:pPr>
    </w:p>
    <w:p w14:paraId="4C7EC9B0" w14:textId="3A9002A9" w:rsidR="00844586" w:rsidRPr="00E96534" w:rsidRDefault="00E96534" w:rsidP="00635DC3">
      <w:pPr>
        <w:jc w:val="both"/>
        <w:rPr>
          <w:rFonts w:cs="Arial"/>
          <w:b/>
          <w:bCs/>
          <w:sz w:val="22"/>
          <w:szCs w:val="22"/>
        </w:rPr>
      </w:pPr>
      <w:r w:rsidRPr="00E96534">
        <w:rPr>
          <w:rFonts w:cs="Arial"/>
          <w:b/>
          <w:bCs/>
          <w:sz w:val="22"/>
          <w:szCs w:val="22"/>
        </w:rPr>
        <w:t>1.1</w:t>
      </w:r>
      <w:r w:rsidR="0084114F" w:rsidRPr="00E96534">
        <w:rPr>
          <w:rFonts w:cs="Arial"/>
          <w:b/>
          <w:bCs/>
          <w:sz w:val="22"/>
          <w:szCs w:val="22"/>
        </w:rPr>
        <w:t xml:space="preserve"> </w:t>
      </w:r>
      <w:r w:rsidR="0084114F" w:rsidRPr="00E96534">
        <w:rPr>
          <w:rFonts w:cs="Arial"/>
          <w:b/>
          <w:bCs/>
          <w:sz w:val="22"/>
          <w:szCs w:val="22"/>
        </w:rPr>
        <w:tab/>
      </w:r>
      <w:r w:rsidR="001D5632" w:rsidRPr="00E8050B">
        <w:rPr>
          <w:rFonts w:cs="Arial"/>
          <w:b/>
          <w:bCs/>
          <w:sz w:val="22"/>
          <w:szCs w:val="22"/>
        </w:rPr>
        <w:t>Terminology</w:t>
      </w:r>
    </w:p>
    <w:p w14:paraId="370C3FE7" w14:textId="77777777" w:rsidR="00844586" w:rsidRPr="00E96534" w:rsidRDefault="00844586" w:rsidP="00635DC3">
      <w:pPr>
        <w:jc w:val="both"/>
        <w:rPr>
          <w:rFonts w:cs="Arial"/>
          <w:sz w:val="22"/>
          <w:szCs w:val="22"/>
        </w:rPr>
      </w:pPr>
    </w:p>
    <w:p w14:paraId="6BFC4806" w14:textId="25D22233" w:rsidR="00844586" w:rsidRPr="00E96534" w:rsidRDefault="00E96534" w:rsidP="00635DC3">
      <w:pPr>
        <w:jc w:val="both"/>
        <w:rPr>
          <w:rFonts w:cs="Arial"/>
          <w:sz w:val="22"/>
          <w:szCs w:val="22"/>
        </w:rPr>
      </w:pPr>
      <w:r>
        <w:rPr>
          <w:rFonts w:cs="Arial"/>
          <w:sz w:val="22"/>
          <w:szCs w:val="22"/>
        </w:rPr>
        <w:t xml:space="preserve">The following words and expressions, when they appear in this Agreement or </w:t>
      </w:r>
      <w:r w:rsidR="00FC4811">
        <w:rPr>
          <w:rFonts w:cs="Arial"/>
          <w:sz w:val="22"/>
          <w:szCs w:val="22"/>
        </w:rPr>
        <w:t xml:space="preserve">in </w:t>
      </w:r>
      <w:r>
        <w:rPr>
          <w:rFonts w:cs="Arial"/>
          <w:sz w:val="22"/>
          <w:szCs w:val="22"/>
        </w:rPr>
        <w:t>any supporting documentation</w:t>
      </w:r>
      <w:r w:rsidR="006E2C8E">
        <w:rPr>
          <w:rFonts w:cs="Arial"/>
          <w:sz w:val="22"/>
          <w:szCs w:val="22"/>
        </w:rPr>
        <w:t>,</w:t>
      </w:r>
      <w:r>
        <w:rPr>
          <w:rFonts w:cs="Arial"/>
          <w:sz w:val="22"/>
          <w:szCs w:val="22"/>
        </w:rPr>
        <w:t xml:space="preserve"> are interpreted</w:t>
      </w:r>
      <w:r w:rsidR="006E2C8E">
        <w:rPr>
          <w:rFonts w:cs="Arial"/>
          <w:sz w:val="22"/>
          <w:szCs w:val="22"/>
        </w:rPr>
        <w:t xml:space="preserve"> </w:t>
      </w:r>
      <w:r>
        <w:rPr>
          <w:rFonts w:cs="Arial"/>
          <w:sz w:val="22"/>
          <w:szCs w:val="22"/>
        </w:rPr>
        <w:t xml:space="preserve">according to the definitions </w:t>
      </w:r>
      <w:r w:rsidR="006E2C8E">
        <w:rPr>
          <w:rFonts w:cs="Arial"/>
          <w:sz w:val="22"/>
          <w:szCs w:val="22"/>
        </w:rPr>
        <w:t xml:space="preserve">hereunder, subject to an implicit or explicit </w:t>
      </w:r>
      <w:r w:rsidR="008F22E3">
        <w:rPr>
          <w:rFonts w:cs="Arial"/>
          <w:sz w:val="22"/>
          <w:szCs w:val="22"/>
        </w:rPr>
        <w:t>exception</w:t>
      </w:r>
      <w:r w:rsidR="006E2C8E">
        <w:rPr>
          <w:rFonts w:cs="Arial"/>
          <w:sz w:val="22"/>
          <w:szCs w:val="22"/>
        </w:rPr>
        <w:t xml:space="preserve"> in the language of the text</w:t>
      </w:r>
      <w:r>
        <w:rPr>
          <w:rFonts w:cs="Arial"/>
          <w:sz w:val="22"/>
          <w:szCs w:val="22"/>
        </w:rPr>
        <w:t xml:space="preserve">: </w:t>
      </w:r>
    </w:p>
    <w:p w14:paraId="4863F67B" w14:textId="77777777" w:rsidR="00844586" w:rsidRPr="00E96534" w:rsidRDefault="00844586" w:rsidP="00635DC3">
      <w:pPr>
        <w:jc w:val="both"/>
        <w:rPr>
          <w:rFonts w:cs="Arial"/>
          <w:sz w:val="22"/>
          <w:szCs w:val="22"/>
        </w:rPr>
      </w:pPr>
    </w:p>
    <w:p w14:paraId="3DF3A087" w14:textId="1615F81A" w:rsidR="00844586" w:rsidRPr="00E96534" w:rsidRDefault="00E96534" w:rsidP="00635DC3">
      <w:pPr>
        <w:jc w:val="both"/>
        <w:rPr>
          <w:rFonts w:cs="Arial"/>
          <w:sz w:val="22"/>
          <w:szCs w:val="22"/>
          <w:u w:val="single"/>
        </w:rPr>
      </w:pPr>
      <w:r w:rsidRPr="00E96534">
        <w:rPr>
          <w:rFonts w:cs="Arial"/>
          <w:sz w:val="22"/>
          <w:szCs w:val="22"/>
        </w:rPr>
        <w:t>(1.1.1)</w:t>
      </w:r>
      <w:r w:rsidR="0084114F" w:rsidRPr="00E96534">
        <w:rPr>
          <w:rFonts w:cs="Arial"/>
          <w:b/>
          <w:bCs/>
          <w:sz w:val="22"/>
          <w:szCs w:val="22"/>
        </w:rPr>
        <w:t xml:space="preserve"> </w:t>
      </w:r>
      <w:r w:rsidR="0084114F" w:rsidRPr="00E96534">
        <w:rPr>
          <w:rFonts w:cs="Arial"/>
          <w:b/>
          <w:bCs/>
          <w:sz w:val="22"/>
          <w:szCs w:val="22"/>
        </w:rPr>
        <w:tab/>
      </w:r>
      <w:r w:rsidRPr="00E8050B">
        <w:rPr>
          <w:rFonts w:cs="Arial"/>
          <w:sz w:val="22"/>
          <w:szCs w:val="22"/>
          <w:u w:val="single"/>
        </w:rPr>
        <w:t>Richer Assets</w:t>
      </w:r>
    </w:p>
    <w:p w14:paraId="46623EB3" w14:textId="77777777" w:rsidR="00844586" w:rsidRPr="00E96534" w:rsidRDefault="00844586" w:rsidP="00635DC3">
      <w:pPr>
        <w:jc w:val="both"/>
        <w:rPr>
          <w:rFonts w:cs="Arial"/>
          <w:sz w:val="22"/>
          <w:szCs w:val="22"/>
        </w:rPr>
      </w:pPr>
    </w:p>
    <w:p w14:paraId="420C22D5" w14:textId="19C21AF0" w:rsidR="00844586" w:rsidRPr="00E96534" w:rsidRDefault="00E96534" w:rsidP="00635DC3">
      <w:pPr>
        <w:jc w:val="both"/>
        <w:rPr>
          <w:rFonts w:cs="Arial"/>
          <w:sz w:val="22"/>
          <w:szCs w:val="22"/>
        </w:rPr>
      </w:pPr>
      <w:r w:rsidRPr="00E96534">
        <w:rPr>
          <w:rFonts w:cs="Arial"/>
          <w:sz w:val="22"/>
          <w:szCs w:val="22"/>
        </w:rPr>
        <w:t xml:space="preserve">means, collectively and exclusively, (i) the product lines as operated by the Corporation </w:t>
      </w:r>
      <w:r w:rsidR="00E44179">
        <w:rPr>
          <w:rFonts w:cs="Arial"/>
          <w:sz w:val="22"/>
          <w:szCs w:val="22"/>
        </w:rPr>
        <w:t>upon the occurrence of</w:t>
      </w:r>
      <w:r w:rsidRPr="00E96534">
        <w:rPr>
          <w:rFonts w:cs="Arial"/>
          <w:sz w:val="22"/>
          <w:szCs w:val="22"/>
        </w:rPr>
        <w:t xml:space="preserve"> the Planned </w:t>
      </w:r>
      <w:r w:rsidR="00FC4811">
        <w:rPr>
          <w:rFonts w:cs="Arial"/>
          <w:sz w:val="22"/>
          <w:szCs w:val="22"/>
        </w:rPr>
        <w:t>T</w:t>
      </w:r>
      <w:r w:rsidRPr="00E96534">
        <w:rPr>
          <w:rFonts w:cs="Arial"/>
          <w:sz w:val="22"/>
          <w:szCs w:val="22"/>
        </w:rPr>
        <w:t>ransaction, including any related intellectual property, and (ii) any product line, project</w:t>
      </w:r>
      <w:r w:rsidR="00FC4811">
        <w:rPr>
          <w:rFonts w:cs="Arial"/>
          <w:sz w:val="22"/>
          <w:szCs w:val="22"/>
        </w:rPr>
        <w:t>,</w:t>
      </w:r>
      <w:r w:rsidRPr="00E96534">
        <w:rPr>
          <w:rFonts w:cs="Arial"/>
          <w:sz w:val="22"/>
          <w:szCs w:val="22"/>
        </w:rPr>
        <w:t xml:space="preserve"> or </w:t>
      </w:r>
      <w:r w:rsidR="003B348D" w:rsidRPr="00E96534">
        <w:rPr>
          <w:rFonts w:cs="Arial"/>
          <w:sz w:val="22"/>
          <w:szCs w:val="22"/>
        </w:rPr>
        <w:t>activity</w:t>
      </w:r>
      <w:r w:rsidRPr="00E96534">
        <w:rPr>
          <w:rFonts w:cs="Arial"/>
          <w:sz w:val="22"/>
          <w:szCs w:val="22"/>
        </w:rPr>
        <w:t xml:space="preserve"> operated by Sirois (through </w:t>
      </w:r>
      <w:proofErr w:type="spellStart"/>
      <w:r w:rsidRPr="00E96534">
        <w:rPr>
          <w:rFonts w:cs="Arial"/>
          <w:sz w:val="22"/>
          <w:szCs w:val="22"/>
        </w:rPr>
        <w:t>SiroisCo</w:t>
      </w:r>
      <w:proofErr w:type="spellEnd"/>
      <w:r w:rsidRPr="00E96534">
        <w:rPr>
          <w:rFonts w:cs="Arial"/>
          <w:sz w:val="22"/>
          <w:szCs w:val="22"/>
        </w:rPr>
        <w:t xml:space="preserve"> or any other entity Controlled by Sirois) in which Richer is or was involved, including any related intellectual property, but </w:t>
      </w:r>
      <w:r w:rsidR="00BA69ED" w:rsidRPr="00E96534">
        <w:rPr>
          <w:rFonts w:cs="Arial"/>
          <w:sz w:val="22"/>
          <w:szCs w:val="22"/>
        </w:rPr>
        <w:t>for greater certainty</w:t>
      </w:r>
      <w:r w:rsidR="00BA69ED">
        <w:rPr>
          <w:rFonts w:cs="Arial"/>
          <w:sz w:val="22"/>
          <w:szCs w:val="22"/>
        </w:rPr>
        <w:t>,</w:t>
      </w:r>
      <w:r w:rsidR="00BA69ED" w:rsidRPr="00E96534">
        <w:rPr>
          <w:rFonts w:cs="Arial"/>
          <w:sz w:val="22"/>
          <w:szCs w:val="22"/>
        </w:rPr>
        <w:t xml:space="preserve"> </w:t>
      </w:r>
      <w:r w:rsidRPr="00E96534">
        <w:rPr>
          <w:rFonts w:cs="Arial"/>
          <w:sz w:val="22"/>
          <w:szCs w:val="22"/>
        </w:rPr>
        <w:t xml:space="preserve">excluding any intellectual property with which Richer was not involved; </w:t>
      </w:r>
    </w:p>
    <w:p w14:paraId="66A11BFE" w14:textId="77777777" w:rsidR="00844586" w:rsidRPr="00E96534" w:rsidRDefault="00844586" w:rsidP="00635DC3">
      <w:pPr>
        <w:jc w:val="both"/>
        <w:rPr>
          <w:rFonts w:cs="Arial"/>
          <w:sz w:val="22"/>
          <w:szCs w:val="22"/>
        </w:rPr>
      </w:pPr>
    </w:p>
    <w:p w14:paraId="4DBBDE93" w14:textId="266404FF" w:rsidR="00844586" w:rsidRPr="00E96534" w:rsidRDefault="00E96534" w:rsidP="00635DC3">
      <w:pPr>
        <w:jc w:val="both"/>
        <w:rPr>
          <w:rFonts w:cs="Arial"/>
          <w:sz w:val="22"/>
          <w:szCs w:val="22"/>
        </w:rPr>
      </w:pPr>
      <w:r w:rsidRPr="00E96534">
        <w:rPr>
          <w:rFonts w:cs="Arial"/>
          <w:sz w:val="22"/>
          <w:szCs w:val="22"/>
        </w:rPr>
        <w:t>(1.1.2)</w:t>
      </w:r>
      <w:r w:rsidR="0084114F" w:rsidRPr="00E96534">
        <w:rPr>
          <w:rFonts w:cs="Arial"/>
          <w:sz w:val="22"/>
          <w:szCs w:val="22"/>
        </w:rPr>
        <w:t xml:space="preserve"> </w:t>
      </w:r>
      <w:r w:rsidR="0084114F" w:rsidRPr="00E96534">
        <w:rPr>
          <w:rFonts w:cs="Arial"/>
          <w:sz w:val="22"/>
          <w:szCs w:val="22"/>
        </w:rPr>
        <w:tab/>
      </w:r>
      <w:r w:rsidRPr="00E8050B">
        <w:rPr>
          <w:rFonts w:cs="Arial"/>
          <w:sz w:val="22"/>
          <w:szCs w:val="22"/>
          <w:u w:val="single"/>
        </w:rPr>
        <w:t>Control</w:t>
      </w:r>
    </w:p>
    <w:p w14:paraId="3B569E8B" w14:textId="77777777" w:rsidR="00844586" w:rsidRPr="00E96534" w:rsidRDefault="00844586" w:rsidP="00635DC3">
      <w:pPr>
        <w:jc w:val="both"/>
        <w:rPr>
          <w:rFonts w:cs="Arial"/>
          <w:sz w:val="22"/>
          <w:szCs w:val="22"/>
        </w:rPr>
      </w:pPr>
    </w:p>
    <w:p w14:paraId="050D1EFB" w14:textId="5104932B" w:rsidR="00844586" w:rsidRPr="00E96534" w:rsidRDefault="00E96534" w:rsidP="00635DC3">
      <w:pPr>
        <w:jc w:val="both"/>
        <w:rPr>
          <w:rFonts w:cs="Arial"/>
          <w:sz w:val="22"/>
          <w:szCs w:val="22"/>
        </w:rPr>
      </w:pPr>
      <w:r w:rsidRPr="00E96534">
        <w:rPr>
          <w:rFonts w:cs="Arial"/>
          <w:sz w:val="22"/>
          <w:szCs w:val="22"/>
        </w:rPr>
        <w:t xml:space="preserve">means (i) with regard to a corporation, at a given date, the fact that a natural or a legal person is the </w:t>
      </w:r>
      <w:r w:rsidR="009358F5">
        <w:rPr>
          <w:rFonts w:cs="Arial"/>
          <w:sz w:val="22"/>
          <w:szCs w:val="22"/>
        </w:rPr>
        <w:t>beneficial</w:t>
      </w:r>
      <w:r w:rsidRPr="00E96534">
        <w:rPr>
          <w:rFonts w:cs="Arial"/>
          <w:sz w:val="22"/>
          <w:szCs w:val="22"/>
        </w:rPr>
        <w:t xml:space="preserve"> owner, directly or indirectly, in any </w:t>
      </w:r>
      <w:r w:rsidR="009358F5">
        <w:rPr>
          <w:rFonts w:cs="Arial"/>
          <w:sz w:val="22"/>
          <w:szCs w:val="22"/>
        </w:rPr>
        <w:t>manner</w:t>
      </w:r>
      <w:r w:rsidRPr="00E96534">
        <w:rPr>
          <w:rFonts w:cs="Arial"/>
          <w:sz w:val="22"/>
          <w:szCs w:val="22"/>
        </w:rPr>
        <w:t xml:space="preserve"> whatsoever (in particular through one or more trusts, corporations, or other entities</w:t>
      </w:r>
      <w:r w:rsidR="00BA69ED">
        <w:rPr>
          <w:rFonts w:cs="Arial"/>
          <w:sz w:val="22"/>
          <w:szCs w:val="22"/>
        </w:rPr>
        <w:t xml:space="preserve"> that </w:t>
      </w:r>
      <w:r w:rsidR="008958F2">
        <w:rPr>
          <w:rFonts w:cs="Arial"/>
          <w:sz w:val="22"/>
          <w:szCs w:val="22"/>
        </w:rPr>
        <w:t xml:space="preserve">the </w:t>
      </w:r>
      <w:r w:rsidR="00BA69ED">
        <w:rPr>
          <w:rFonts w:cs="Arial"/>
          <w:sz w:val="22"/>
          <w:szCs w:val="22"/>
        </w:rPr>
        <w:t>person</w:t>
      </w:r>
      <w:r w:rsidRPr="00E96534">
        <w:rPr>
          <w:rFonts w:cs="Arial"/>
          <w:sz w:val="22"/>
          <w:szCs w:val="22"/>
        </w:rPr>
        <w:t xml:space="preserve"> Controls), other than as a creditor, of a number of outstanding </w:t>
      </w:r>
      <w:r w:rsidR="00BA69ED">
        <w:rPr>
          <w:rFonts w:cs="Arial"/>
          <w:sz w:val="22"/>
          <w:szCs w:val="22"/>
        </w:rPr>
        <w:t>shares</w:t>
      </w:r>
      <w:r w:rsidRPr="00E96534">
        <w:rPr>
          <w:rFonts w:cs="Arial"/>
          <w:sz w:val="22"/>
          <w:szCs w:val="22"/>
        </w:rPr>
        <w:t xml:space="preserve"> of </w:t>
      </w:r>
      <w:r w:rsidR="00BA69ED">
        <w:rPr>
          <w:rFonts w:cs="Arial"/>
          <w:sz w:val="22"/>
          <w:szCs w:val="22"/>
        </w:rPr>
        <w:t>that corporation’s</w:t>
      </w:r>
      <w:r w:rsidRPr="00E96534">
        <w:rPr>
          <w:rFonts w:cs="Arial"/>
          <w:sz w:val="22"/>
          <w:szCs w:val="22"/>
        </w:rPr>
        <w:t xml:space="preserve"> share capital allowing that person to exercise, on that date, more than fifty per cent (50%) of the voting rights </w:t>
      </w:r>
      <w:r w:rsidR="004874C1">
        <w:rPr>
          <w:rFonts w:cs="Arial"/>
          <w:sz w:val="22"/>
          <w:szCs w:val="22"/>
        </w:rPr>
        <w:t>attach</w:t>
      </w:r>
      <w:r w:rsidR="00AB027E">
        <w:rPr>
          <w:rFonts w:cs="Arial"/>
          <w:sz w:val="22"/>
          <w:szCs w:val="22"/>
        </w:rPr>
        <w:t>ing</w:t>
      </w:r>
      <w:r w:rsidR="004874C1">
        <w:rPr>
          <w:rFonts w:cs="Arial"/>
          <w:sz w:val="22"/>
          <w:szCs w:val="22"/>
        </w:rPr>
        <w:t xml:space="preserve"> to</w:t>
      </w:r>
      <w:r w:rsidRPr="00E96534">
        <w:rPr>
          <w:rFonts w:cs="Arial"/>
          <w:sz w:val="22"/>
          <w:szCs w:val="22"/>
        </w:rPr>
        <w:t xml:space="preserve"> the outstanding shares </w:t>
      </w:r>
      <w:r w:rsidR="004874C1">
        <w:rPr>
          <w:rFonts w:cs="Arial"/>
          <w:sz w:val="22"/>
          <w:szCs w:val="22"/>
        </w:rPr>
        <w:t xml:space="preserve">of </w:t>
      </w:r>
      <w:r w:rsidR="00AB027E">
        <w:rPr>
          <w:rFonts w:cs="Arial"/>
          <w:sz w:val="22"/>
          <w:szCs w:val="22"/>
        </w:rPr>
        <w:t xml:space="preserve">each </w:t>
      </w:r>
      <w:r w:rsidR="004874C1">
        <w:rPr>
          <w:rFonts w:cs="Arial"/>
          <w:sz w:val="22"/>
          <w:szCs w:val="22"/>
        </w:rPr>
        <w:t xml:space="preserve">class </w:t>
      </w:r>
      <w:r w:rsidRPr="00E96534">
        <w:rPr>
          <w:rFonts w:cs="Arial"/>
          <w:sz w:val="22"/>
          <w:szCs w:val="22"/>
        </w:rPr>
        <w:t xml:space="preserve">of </w:t>
      </w:r>
      <w:r w:rsidR="00AB027E">
        <w:rPr>
          <w:rFonts w:cs="Arial"/>
          <w:sz w:val="22"/>
          <w:szCs w:val="22"/>
        </w:rPr>
        <w:t>that</w:t>
      </w:r>
      <w:r w:rsidRPr="00E96534">
        <w:rPr>
          <w:rFonts w:cs="Arial"/>
          <w:sz w:val="22"/>
          <w:szCs w:val="22"/>
        </w:rPr>
        <w:t xml:space="preserve"> corporation, </w:t>
      </w:r>
      <w:r w:rsidR="0051636C">
        <w:rPr>
          <w:rFonts w:cs="Arial"/>
          <w:sz w:val="22"/>
          <w:szCs w:val="22"/>
        </w:rPr>
        <w:t>carrying</w:t>
      </w:r>
      <w:r w:rsidR="0051636C" w:rsidRPr="00E96534">
        <w:rPr>
          <w:rFonts w:cs="Arial"/>
          <w:sz w:val="22"/>
          <w:szCs w:val="22"/>
        </w:rPr>
        <w:t xml:space="preserve"> </w:t>
      </w:r>
      <w:r w:rsidRPr="00E96534">
        <w:rPr>
          <w:rFonts w:cs="Arial"/>
          <w:sz w:val="22"/>
          <w:szCs w:val="22"/>
        </w:rPr>
        <w:t xml:space="preserve">on </w:t>
      </w:r>
      <w:r w:rsidR="003B348D" w:rsidRPr="00E96534">
        <w:rPr>
          <w:rFonts w:cs="Arial"/>
          <w:sz w:val="22"/>
          <w:szCs w:val="22"/>
        </w:rPr>
        <w:t>that</w:t>
      </w:r>
      <w:r w:rsidRPr="00E96534">
        <w:rPr>
          <w:rFonts w:cs="Arial"/>
          <w:sz w:val="22"/>
          <w:szCs w:val="22"/>
        </w:rPr>
        <w:t xml:space="preserve"> date the right to vote in any circumstances or including the right to vote in particular circumstances or conditions that, on that given date, apply and make it possible to vote, and (ii) with respect to a trust, </w:t>
      </w:r>
      <w:r w:rsidR="003B348D" w:rsidRPr="00E96534">
        <w:rPr>
          <w:rFonts w:cs="Arial"/>
          <w:sz w:val="22"/>
          <w:szCs w:val="22"/>
        </w:rPr>
        <w:t>partnership</w:t>
      </w:r>
      <w:r w:rsidR="00AB027E">
        <w:rPr>
          <w:rFonts w:cs="Arial"/>
          <w:sz w:val="22"/>
          <w:szCs w:val="22"/>
        </w:rPr>
        <w:t>,</w:t>
      </w:r>
      <w:r w:rsidRPr="00E96534">
        <w:rPr>
          <w:rFonts w:cs="Arial"/>
          <w:sz w:val="22"/>
          <w:szCs w:val="22"/>
        </w:rPr>
        <w:t xml:space="preserve"> or entity other than a corporation, the fact </w:t>
      </w:r>
      <w:r w:rsidR="00AB027E">
        <w:rPr>
          <w:rFonts w:cs="Arial"/>
          <w:sz w:val="22"/>
          <w:szCs w:val="22"/>
        </w:rPr>
        <w:t>that</w:t>
      </w:r>
      <w:r w:rsidRPr="00E96534">
        <w:rPr>
          <w:rFonts w:cs="Arial"/>
          <w:sz w:val="22"/>
          <w:szCs w:val="22"/>
        </w:rPr>
        <w:t xml:space="preserve"> a person hold</w:t>
      </w:r>
      <w:r w:rsidR="00AB027E">
        <w:rPr>
          <w:rFonts w:cs="Arial"/>
          <w:sz w:val="22"/>
          <w:szCs w:val="22"/>
        </w:rPr>
        <w:t>s</w:t>
      </w:r>
      <w:r w:rsidRPr="00E96534">
        <w:rPr>
          <w:rFonts w:cs="Arial"/>
          <w:sz w:val="22"/>
          <w:szCs w:val="22"/>
        </w:rPr>
        <w:t xml:space="preserve"> the power to administer and direct the affairs of that entity;</w:t>
      </w:r>
    </w:p>
    <w:p w14:paraId="636A268C" w14:textId="77777777" w:rsidR="00844586" w:rsidRPr="00E96534" w:rsidRDefault="00844586" w:rsidP="00635DC3">
      <w:pPr>
        <w:jc w:val="both"/>
        <w:rPr>
          <w:rFonts w:cs="Arial"/>
          <w:sz w:val="22"/>
          <w:szCs w:val="22"/>
        </w:rPr>
      </w:pPr>
    </w:p>
    <w:p w14:paraId="7A55BEDE" w14:textId="296EDE4F" w:rsidR="00844586" w:rsidRPr="00E96534" w:rsidRDefault="00E96534" w:rsidP="008F22E3">
      <w:pPr>
        <w:keepNext/>
        <w:jc w:val="both"/>
        <w:rPr>
          <w:rFonts w:cs="Arial"/>
          <w:sz w:val="22"/>
          <w:szCs w:val="22"/>
        </w:rPr>
      </w:pPr>
      <w:r w:rsidRPr="00E96534">
        <w:rPr>
          <w:rFonts w:cs="Arial"/>
          <w:sz w:val="22"/>
          <w:szCs w:val="22"/>
        </w:rPr>
        <w:lastRenderedPageBreak/>
        <w:t>(1.1.3)</w:t>
      </w:r>
      <w:r w:rsidR="0084114F" w:rsidRPr="00E96534">
        <w:rPr>
          <w:rFonts w:cs="Arial"/>
          <w:sz w:val="22"/>
          <w:szCs w:val="22"/>
        </w:rPr>
        <w:t xml:space="preserve"> </w:t>
      </w:r>
      <w:r w:rsidR="0084114F" w:rsidRPr="00E96534">
        <w:rPr>
          <w:rFonts w:cs="Arial"/>
          <w:sz w:val="22"/>
          <w:szCs w:val="22"/>
        </w:rPr>
        <w:tab/>
      </w:r>
      <w:r w:rsidRPr="00E8050B">
        <w:rPr>
          <w:rFonts w:cs="Arial"/>
          <w:sz w:val="22"/>
          <w:szCs w:val="22"/>
          <w:u w:val="single"/>
        </w:rPr>
        <w:t>Agreement</w:t>
      </w:r>
    </w:p>
    <w:p w14:paraId="46884E13" w14:textId="77777777" w:rsidR="00844586" w:rsidRPr="00E96534" w:rsidRDefault="00844586" w:rsidP="008F22E3">
      <w:pPr>
        <w:keepNext/>
        <w:jc w:val="both"/>
        <w:rPr>
          <w:rFonts w:cs="Arial"/>
          <w:sz w:val="22"/>
          <w:szCs w:val="22"/>
        </w:rPr>
      </w:pPr>
    </w:p>
    <w:p w14:paraId="7627F974" w14:textId="5633FEDD" w:rsidR="00844586" w:rsidRPr="00E96534" w:rsidRDefault="00E96534" w:rsidP="008F22E3">
      <w:pPr>
        <w:keepNext/>
        <w:jc w:val="both"/>
        <w:rPr>
          <w:rFonts w:cs="Arial"/>
          <w:sz w:val="22"/>
          <w:szCs w:val="22"/>
        </w:rPr>
      </w:pPr>
      <w:r w:rsidRPr="00E96534">
        <w:rPr>
          <w:rFonts w:cs="Arial"/>
          <w:sz w:val="22"/>
          <w:szCs w:val="22"/>
        </w:rPr>
        <w:t xml:space="preserve">means this agreement including the preamble and its schedules, any supporting documentation, and any amendments that may be made from time to time by the </w:t>
      </w:r>
      <w:r w:rsidR="00FA42BC">
        <w:rPr>
          <w:rFonts w:cs="Arial"/>
          <w:sz w:val="22"/>
          <w:szCs w:val="22"/>
        </w:rPr>
        <w:t>P</w:t>
      </w:r>
      <w:r w:rsidRPr="00E96534">
        <w:rPr>
          <w:rFonts w:cs="Arial"/>
          <w:sz w:val="22"/>
          <w:szCs w:val="22"/>
        </w:rPr>
        <w:t>arties; the expressions “herein”, “in this agreement”, “under this agreement”</w:t>
      </w:r>
      <w:r w:rsidR="00ED1DD6">
        <w:rPr>
          <w:rFonts w:cs="Arial"/>
          <w:sz w:val="22"/>
          <w:szCs w:val="22"/>
        </w:rPr>
        <w:t>,</w:t>
      </w:r>
      <w:r w:rsidRPr="00E96534">
        <w:rPr>
          <w:rFonts w:cs="Arial"/>
          <w:sz w:val="22"/>
          <w:szCs w:val="22"/>
        </w:rPr>
        <w:t xml:space="preserve"> and “pursuant to this agreement”, or any other similar expression, when used in this </w:t>
      </w:r>
      <w:r w:rsidR="003B348D" w:rsidRPr="00E96534">
        <w:rPr>
          <w:rFonts w:cs="Arial"/>
          <w:sz w:val="22"/>
          <w:szCs w:val="22"/>
        </w:rPr>
        <w:t>contract</w:t>
      </w:r>
      <w:r w:rsidRPr="00E96534">
        <w:rPr>
          <w:rFonts w:cs="Arial"/>
          <w:sz w:val="22"/>
          <w:szCs w:val="22"/>
        </w:rPr>
        <w:t xml:space="preserve">, </w:t>
      </w:r>
      <w:r w:rsidR="003B348D" w:rsidRPr="00E96534">
        <w:rPr>
          <w:rFonts w:cs="Arial"/>
          <w:sz w:val="22"/>
          <w:szCs w:val="22"/>
        </w:rPr>
        <w:t>generally</w:t>
      </w:r>
      <w:r w:rsidRPr="00E96534">
        <w:rPr>
          <w:rFonts w:cs="Arial"/>
          <w:sz w:val="22"/>
          <w:szCs w:val="22"/>
        </w:rPr>
        <w:t xml:space="preserve"> refer to the contract as a whole rather than a part of it, unless otherwise indicated in </w:t>
      </w:r>
      <w:r w:rsidR="00ED1DD6">
        <w:rPr>
          <w:rFonts w:cs="Arial"/>
          <w:sz w:val="22"/>
          <w:szCs w:val="22"/>
        </w:rPr>
        <w:t>t</w:t>
      </w:r>
      <w:r w:rsidRPr="00E96534">
        <w:rPr>
          <w:rFonts w:cs="Arial"/>
          <w:sz w:val="22"/>
          <w:szCs w:val="22"/>
        </w:rPr>
        <w:t>he text.</w:t>
      </w:r>
    </w:p>
    <w:p w14:paraId="7699CD13" w14:textId="77777777" w:rsidR="00844586" w:rsidRPr="00E96534" w:rsidRDefault="00844586" w:rsidP="00635DC3">
      <w:pPr>
        <w:jc w:val="both"/>
        <w:rPr>
          <w:rFonts w:cs="Arial"/>
          <w:sz w:val="22"/>
          <w:szCs w:val="22"/>
        </w:rPr>
      </w:pPr>
    </w:p>
    <w:p w14:paraId="055D4E83" w14:textId="6F7B95FA" w:rsidR="00844586" w:rsidRPr="00E96534" w:rsidRDefault="00E96534" w:rsidP="00635DC3">
      <w:pPr>
        <w:jc w:val="both"/>
        <w:rPr>
          <w:rFonts w:cs="Arial"/>
          <w:sz w:val="22"/>
          <w:szCs w:val="22"/>
        </w:rPr>
      </w:pPr>
      <w:r w:rsidRPr="00E96534">
        <w:rPr>
          <w:rFonts w:cs="Arial"/>
          <w:sz w:val="22"/>
          <w:szCs w:val="22"/>
        </w:rPr>
        <w:t>(1.1.4)</w:t>
      </w:r>
      <w:r w:rsidR="0084114F" w:rsidRPr="00E96534">
        <w:rPr>
          <w:rFonts w:cs="Arial"/>
          <w:sz w:val="22"/>
          <w:szCs w:val="22"/>
        </w:rPr>
        <w:t xml:space="preserve"> </w:t>
      </w:r>
      <w:r w:rsidR="0084114F" w:rsidRPr="00E96534">
        <w:rPr>
          <w:rFonts w:cs="Arial"/>
          <w:sz w:val="22"/>
          <w:szCs w:val="22"/>
        </w:rPr>
        <w:tab/>
      </w:r>
      <w:r w:rsidRPr="00E8050B">
        <w:rPr>
          <w:rFonts w:cs="Arial"/>
          <w:sz w:val="22"/>
          <w:szCs w:val="22"/>
          <w:u w:val="single"/>
        </w:rPr>
        <w:t xml:space="preserve">Legal </w:t>
      </w:r>
      <w:r w:rsidR="00ED1DD6">
        <w:rPr>
          <w:rFonts w:cs="Arial"/>
          <w:sz w:val="22"/>
          <w:szCs w:val="22"/>
          <w:u w:val="single"/>
        </w:rPr>
        <w:t>R</w:t>
      </w:r>
      <w:r w:rsidRPr="00E8050B">
        <w:rPr>
          <w:rFonts w:cs="Arial"/>
          <w:sz w:val="22"/>
          <w:szCs w:val="22"/>
          <w:u w:val="single"/>
        </w:rPr>
        <w:t>epresentatives</w:t>
      </w:r>
    </w:p>
    <w:p w14:paraId="6799ADC3" w14:textId="77777777" w:rsidR="00844586" w:rsidRPr="00E96534" w:rsidRDefault="00844586" w:rsidP="00635DC3">
      <w:pPr>
        <w:jc w:val="both"/>
        <w:rPr>
          <w:rFonts w:cs="Arial"/>
          <w:sz w:val="22"/>
          <w:szCs w:val="22"/>
        </w:rPr>
      </w:pPr>
    </w:p>
    <w:p w14:paraId="0DABF832" w14:textId="5DDC19DD" w:rsidR="00844586" w:rsidRPr="00E96534" w:rsidRDefault="00E96534" w:rsidP="00635DC3">
      <w:pPr>
        <w:jc w:val="both"/>
        <w:rPr>
          <w:rFonts w:cs="Arial"/>
          <w:sz w:val="22"/>
          <w:szCs w:val="22"/>
        </w:rPr>
      </w:pPr>
      <w:r w:rsidRPr="00E96534">
        <w:rPr>
          <w:rFonts w:cs="Arial"/>
          <w:sz w:val="22"/>
          <w:szCs w:val="22"/>
        </w:rPr>
        <w:t>means, as the case may be, the liquidators of the succession, heirs, legatees, successors, mandataries, officers, or directors of a party.</w:t>
      </w:r>
    </w:p>
    <w:p w14:paraId="195D4E4A" w14:textId="77777777" w:rsidR="00844586" w:rsidRPr="00E96534" w:rsidRDefault="00844586" w:rsidP="00635DC3">
      <w:pPr>
        <w:jc w:val="both"/>
        <w:rPr>
          <w:rFonts w:cs="Arial"/>
          <w:b/>
          <w:bCs/>
          <w:sz w:val="22"/>
          <w:szCs w:val="22"/>
        </w:rPr>
      </w:pPr>
    </w:p>
    <w:p w14:paraId="2B91223C" w14:textId="3643D8CF" w:rsidR="00844586" w:rsidRPr="00B2392A" w:rsidRDefault="00E96534" w:rsidP="00635DC3">
      <w:pPr>
        <w:jc w:val="both"/>
        <w:rPr>
          <w:rFonts w:cs="Arial"/>
          <w:b/>
          <w:bCs/>
          <w:sz w:val="22"/>
          <w:szCs w:val="22"/>
        </w:rPr>
      </w:pPr>
      <w:r w:rsidRPr="00B2392A">
        <w:rPr>
          <w:rFonts w:cs="Arial"/>
          <w:b/>
          <w:bCs/>
          <w:sz w:val="22"/>
          <w:szCs w:val="22"/>
        </w:rPr>
        <w:t>1.2</w:t>
      </w:r>
      <w:r w:rsidR="0084114F" w:rsidRPr="00B2392A">
        <w:rPr>
          <w:rFonts w:cs="Arial"/>
          <w:sz w:val="22"/>
          <w:szCs w:val="22"/>
        </w:rPr>
        <w:t xml:space="preserve"> </w:t>
      </w:r>
      <w:r w:rsidR="0084114F" w:rsidRPr="00B2392A">
        <w:rPr>
          <w:rFonts w:cs="Arial"/>
          <w:sz w:val="22"/>
          <w:szCs w:val="22"/>
        </w:rPr>
        <w:tab/>
      </w:r>
      <w:r w:rsidRPr="00E8050B">
        <w:rPr>
          <w:rFonts w:cs="Arial"/>
          <w:b/>
          <w:bCs/>
          <w:sz w:val="22"/>
          <w:szCs w:val="22"/>
        </w:rPr>
        <w:t>Precedence</w:t>
      </w:r>
    </w:p>
    <w:p w14:paraId="79DB17DB" w14:textId="77777777" w:rsidR="00844586" w:rsidRPr="00B2392A" w:rsidRDefault="00844586" w:rsidP="00635DC3">
      <w:pPr>
        <w:jc w:val="both"/>
        <w:rPr>
          <w:rFonts w:cs="Arial"/>
          <w:sz w:val="22"/>
          <w:szCs w:val="22"/>
        </w:rPr>
      </w:pPr>
    </w:p>
    <w:p w14:paraId="652F385F" w14:textId="67A9DAC7" w:rsidR="00844586" w:rsidRPr="00B2392A" w:rsidRDefault="00B2392A" w:rsidP="00635DC3">
      <w:pPr>
        <w:jc w:val="both"/>
        <w:rPr>
          <w:rFonts w:cs="Arial"/>
          <w:sz w:val="22"/>
          <w:szCs w:val="22"/>
        </w:rPr>
      </w:pPr>
      <w:r w:rsidRPr="00B2392A">
        <w:rPr>
          <w:rFonts w:cs="Arial"/>
          <w:sz w:val="22"/>
          <w:szCs w:val="22"/>
        </w:rPr>
        <w:t xml:space="preserve">The Agreement constitutes the entire agreement between the parties on the subjects addressed herein, to the exclusion of any other document, contract, or any prior or contemporaneous verbal promise that may have been made in the context of negotiations leading up to the complete performance of the Agreement, that the parties declare inadmissible as evidence to amend or affect in any way whatsoever any of </w:t>
      </w:r>
      <w:r w:rsidR="003B348D" w:rsidRPr="00B2392A">
        <w:rPr>
          <w:rFonts w:cs="Arial"/>
          <w:sz w:val="22"/>
          <w:szCs w:val="22"/>
        </w:rPr>
        <w:t>the</w:t>
      </w:r>
      <w:r w:rsidRPr="00B2392A">
        <w:rPr>
          <w:rFonts w:cs="Arial"/>
          <w:sz w:val="22"/>
          <w:szCs w:val="22"/>
        </w:rPr>
        <w:t xml:space="preserve"> provisions of th</w:t>
      </w:r>
      <w:r w:rsidR="00BA69ED">
        <w:rPr>
          <w:rFonts w:cs="Arial"/>
          <w:sz w:val="22"/>
          <w:szCs w:val="22"/>
        </w:rPr>
        <w:t>is</w:t>
      </w:r>
      <w:r w:rsidRPr="00B2392A">
        <w:rPr>
          <w:rFonts w:cs="Arial"/>
          <w:sz w:val="22"/>
          <w:szCs w:val="22"/>
        </w:rPr>
        <w:t xml:space="preserve"> Agreement.</w:t>
      </w:r>
    </w:p>
    <w:p w14:paraId="5F92929D" w14:textId="42B8EF44" w:rsidR="00844586" w:rsidRPr="00B2392A" w:rsidRDefault="008F22E3" w:rsidP="008F22E3">
      <w:pPr>
        <w:tabs>
          <w:tab w:val="left" w:pos="7080"/>
        </w:tabs>
        <w:jc w:val="both"/>
        <w:rPr>
          <w:rFonts w:cs="Arial"/>
          <w:b/>
          <w:bCs/>
          <w:sz w:val="22"/>
          <w:szCs w:val="22"/>
        </w:rPr>
      </w:pPr>
      <w:r>
        <w:rPr>
          <w:rFonts w:cs="Arial"/>
          <w:b/>
          <w:bCs/>
          <w:sz w:val="22"/>
          <w:szCs w:val="22"/>
        </w:rPr>
        <w:tab/>
      </w:r>
    </w:p>
    <w:p w14:paraId="150F85C7" w14:textId="03067053" w:rsidR="00844586" w:rsidRPr="00B2392A" w:rsidRDefault="00B2392A" w:rsidP="00635DC3">
      <w:pPr>
        <w:jc w:val="both"/>
        <w:rPr>
          <w:rFonts w:cs="Arial"/>
          <w:b/>
          <w:bCs/>
          <w:sz w:val="22"/>
          <w:szCs w:val="22"/>
        </w:rPr>
      </w:pPr>
      <w:r w:rsidRPr="00B2392A">
        <w:rPr>
          <w:rFonts w:cs="Arial"/>
          <w:b/>
          <w:bCs/>
          <w:sz w:val="22"/>
          <w:szCs w:val="22"/>
        </w:rPr>
        <w:t>1.3</w:t>
      </w:r>
      <w:r w:rsidR="0084114F" w:rsidRPr="00B2392A">
        <w:rPr>
          <w:rFonts w:cs="Arial"/>
          <w:b/>
          <w:bCs/>
          <w:sz w:val="22"/>
          <w:szCs w:val="22"/>
        </w:rPr>
        <w:t xml:space="preserve"> </w:t>
      </w:r>
      <w:r w:rsidR="0084114F" w:rsidRPr="00B2392A">
        <w:rPr>
          <w:rFonts w:cs="Arial"/>
          <w:b/>
          <w:bCs/>
          <w:sz w:val="22"/>
          <w:szCs w:val="22"/>
        </w:rPr>
        <w:tab/>
      </w:r>
      <w:r w:rsidRPr="00E8050B">
        <w:rPr>
          <w:rFonts w:cs="Arial"/>
          <w:b/>
          <w:bCs/>
          <w:sz w:val="22"/>
          <w:szCs w:val="22"/>
        </w:rPr>
        <w:t>Jurisdiction</w:t>
      </w:r>
    </w:p>
    <w:p w14:paraId="0F8BD69F" w14:textId="77777777" w:rsidR="00844586" w:rsidRPr="00B2392A" w:rsidRDefault="00844586" w:rsidP="00635DC3">
      <w:pPr>
        <w:jc w:val="both"/>
        <w:rPr>
          <w:rFonts w:cs="Arial"/>
          <w:sz w:val="22"/>
          <w:szCs w:val="22"/>
        </w:rPr>
      </w:pPr>
    </w:p>
    <w:p w14:paraId="02B55580" w14:textId="69DC05B5" w:rsidR="00844586" w:rsidRPr="00B2392A" w:rsidRDefault="00B2392A" w:rsidP="00635DC3">
      <w:pPr>
        <w:jc w:val="both"/>
        <w:rPr>
          <w:rFonts w:cs="Arial"/>
          <w:sz w:val="22"/>
          <w:szCs w:val="22"/>
        </w:rPr>
      </w:pPr>
      <w:r w:rsidRPr="00B2392A">
        <w:rPr>
          <w:rFonts w:cs="Arial"/>
          <w:sz w:val="22"/>
          <w:szCs w:val="22"/>
        </w:rPr>
        <w:t>The Agreement, its interpretation, performance, application, validity, and effect</w:t>
      </w:r>
      <w:r w:rsidR="002F5B4D">
        <w:rPr>
          <w:rFonts w:cs="Arial"/>
          <w:sz w:val="22"/>
          <w:szCs w:val="22"/>
        </w:rPr>
        <w:t>s</w:t>
      </w:r>
      <w:r w:rsidRPr="00B2392A">
        <w:rPr>
          <w:rFonts w:cs="Arial"/>
          <w:sz w:val="22"/>
          <w:szCs w:val="22"/>
        </w:rPr>
        <w:t xml:space="preserve"> are subject to</w:t>
      </w:r>
      <w:r w:rsidR="003B348D">
        <w:rPr>
          <w:rFonts w:cs="Arial"/>
          <w:sz w:val="22"/>
          <w:szCs w:val="22"/>
        </w:rPr>
        <w:t xml:space="preserve"> </w:t>
      </w:r>
      <w:r w:rsidRPr="00B2392A">
        <w:rPr>
          <w:rFonts w:cs="Arial"/>
          <w:sz w:val="22"/>
          <w:szCs w:val="22"/>
        </w:rPr>
        <w:t>the applicable laws in force in the province of Quebec.</w:t>
      </w:r>
      <w:r w:rsidR="0084114F" w:rsidRPr="00B2392A">
        <w:rPr>
          <w:rFonts w:cs="Arial"/>
          <w:sz w:val="22"/>
          <w:szCs w:val="22"/>
        </w:rPr>
        <w:t xml:space="preserve"> </w:t>
      </w:r>
      <w:r w:rsidRPr="00B2392A">
        <w:rPr>
          <w:rFonts w:cs="Arial"/>
          <w:sz w:val="22"/>
          <w:szCs w:val="22"/>
        </w:rPr>
        <w:t xml:space="preserve">Any provision of the Agreement that does not comply with the applicable laws is presumed to be </w:t>
      </w:r>
      <w:r w:rsidR="00BA69ED">
        <w:rPr>
          <w:rFonts w:cs="Arial"/>
          <w:sz w:val="22"/>
          <w:szCs w:val="22"/>
        </w:rPr>
        <w:t xml:space="preserve">of no </w:t>
      </w:r>
      <w:r w:rsidRPr="00B2392A">
        <w:rPr>
          <w:rFonts w:cs="Arial"/>
          <w:sz w:val="22"/>
          <w:szCs w:val="22"/>
        </w:rPr>
        <w:t>effect insofar as it is prohibited by one of the said laws.</w:t>
      </w:r>
      <w:r w:rsidR="0084114F" w:rsidRPr="00B2392A">
        <w:rPr>
          <w:rFonts w:cs="Arial"/>
          <w:sz w:val="22"/>
          <w:szCs w:val="22"/>
        </w:rPr>
        <w:t xml:space="preserve"> </w:t>
      </w:r>
      <w:r w:rsidRPr="00B2392A">
        <w:rPr>
          <w:rFonts w:cs="Arial"/>
          <w:sz w:val="22"/>
          <w:szCs w:val="22"/>
        </w:rPr>
        <w:t xml:space="preserve">If one of the provisions </w:t>
      </w:r>
      <w:r w:rsidR="002F5B4D">
        <w:rPr>
          <w:rFonts w:cs="Arial"/>
          <w:sz w:val="22"/>
          <w:szCs w:val="22"/>
        </w:rPr>
        <w:t>contravenes</w:t>
      </w:r>
      <w:r w:rsidRPr="00B2392A">
        <w:rPr>
          <w:rFonts w:cs="Arial"/>
          <w:sz w:val="22"/>
          <w:szCs w:val="22"/>
        </w:rPr>
        <w:t xml:space="preserve"> an applicable law, it must be interpreted, as the case may be, in such a way as to render it compliant with the applicable law or, failing that, in the way most likely to respect the </w:t>
      </w:r>
      <w:r w:rsidR="002F5B4D">
        <w:rPr>
          <w:rFonts w:cs="Arial"/>
          <w:sz w:val="22"/>
          <w:szCs w:val="22"/>
        </w:rPr>
        <w:t xml:space="preserve">intention of the </w:t>
      </w:r>
      <w:r w:rsidRPr="00B2392A">
        <w:rPr>
          <w:rFonts w:cs="Arial"/>
          <w:sz w:val="22"/>
          <w:szCs w:val="22"/>
        </w:rPr>
        <w:t xml:space="preserve">parties without </w:t>
      </w:r>
      <w:r w:rsidR="002F5B4D">
        <w:rPr>
          <w:rFonts w:cs="Arial"/>
          <w:sz w:val="22"/>
          <w:szCs w:val="22"/>
        </w:rPr>
        <w:t>derogating from</w:t>
      </w:r>
      <w:r w:rsidRPr="00B2392A">
        <w:rPr>
          <w:rFonts w:cs="Arial"/>
          <w:sz w:val="22"/>
          <w:szCs w:val="22"/>
        </w:rPr>
        <w:t xml:space="preserve"> the prescriptions of the applicable laws the parties do not wish to contravene.</w:t>
      </w:r>
    </w:p>
    <w:p w14:paraId="019DCAC6" w14:textId="77777777" w:rsidR="00844586" w:rsidRPr="00B2392A" w:rsidRDefault="00844586" w:rsidP="00635DC3">
      <w:pPr>
        <w:jc w:val="both"/>
        <w:rPr>
          <w:rFonts w:cs="Arial"/>
          <w:b/>
          <w:bCs/>
          <w:sz w:val="22"/>
          <w:szCs w:val="22"/>
        </w:rPr>
      </w:pPr>
    </w:p>
    <w:p w14:paraId="1D78B50C" w14:textId="2D116A7F" w:rsidR="00844586" w:rsidRPr="00B2392A" w:rsidRDefault="00B2392A" w:rsidP="00635DC3">
      <w:pPr>
        <w:jc w:val="both"/>
        <w:rPr>
          <w:rFonts w:cs="Arial"/>
          <w:sz w:val="22"/>
          <w:szCs w:val="22"/>
        </w:rPr>
      </w:pPr>
      <w:r w:rsidRPr="00B2392A">
        <w:rPr>
          <w:rFonts w:cs="Arial"/>
          <w:b/>
          <w:bCs/>
          <w:sz w:val="22"/>
          <w:szCs w:val="22"/>
        </w:rPr>
        <w:t>1.4</w:t>
      </w:r>
      <w:r w:rsidR="0084114F" w:rsidRPr="00B2392A">
        <w:rPr>
          <w:rFonts w:cs="Arial"/>
          <w:b/>
          <w:bCs/>
          <w:sz w:val="22"/>
          <w:szCs w:val="22"/>
        </w:rPr>
        <w:t xml:space="preserve"> </w:t>
      </w:r>
      <w:r w:rsidR="0084114F" w:rsidRPr="00B2392A">
        <w:rPr>
          <w:rFonts w:cs="Arial"/>
          <w:b/>
          <w:bCs/>
          <w:sz w:val="22"/>
          <w:szCs w:val="22"/>
        </w:rPr>
        <w:tab/>
      </w:r>
      <w:r w:rsidRPr="00E8050B">
        <w:rPr>
          <w:rFonts w:cs="Arial"/>
          <w:b/>
          <w:bCs/>
          <w:sz w:val="22"/>
          <w:szCs w:val="22"/>
        </w:rPr>
        <w:t>Cumulation</w:t>
      </w:r>
    </w:p>
    <w:p w14:paraId="3AC650CA" w14:textId="77777777" w:rsidR="00844586" w:rsidRPr="00B2392A" w:rsidRDefault="00844586" w:rsidP="00635DC3">
      <w:pPr>
        <w:jc w:val="both"/>
        <w:rPr>
          <w:rFonts w:cs="Arial"/>
          <w:sz w:val="22"/>
          <w:szCs w:val="22"/>
        </w:rPr>
      </w:pPr>
    </w:p>
    <w:p w14:paraId="65162E5C" w14:textId="2E1B6574" w:rsidR="00844586" w:rsidRPr="00B2392A" w:rsidRDefault="00B2392A" w:rsidP="00635DC3">
      <w:pPr>
        <w:jc w:val="both"/>
        <w:rPr>
          <w:rFonts w:cs="Arial"/>
          <w:sz w:val="22"/>
          <w:szCs w:val="22"/>
        </w:rPr>
      </w:pPr>
      <w:r w:rsidRPr="00B2392A">
        <w:rPr>
          <w:rFonts w:cs="Arial"/>
          <w:sz w:val="22"/>
          <w:szCs w:val="22"/>
        </w:rPr>
        <w:t>All the rights stated in the Agreement are cumulative, not alternative.</w:t>
      </w:r>
      <w:r w:rsidR="0084114F" w:rsidRPr="00B2392A">
        <w:rPr>
          <w:rFonts w:cs="Arial"/>
          <w:sz w:val="22"/>
          <w:szCs w:val="22"/>
        </w:rPr>
        <w:t xml:space="preserve"> </w:t>
      </w:r>
      <w:r w:rsidRPr="00B2392A">
        <w:rPr>
          <w:rFonts w:cs="Arial"/>
          <w:sz w:val="22"/>
          <w:szCs w:val="22"/>
        </w:rPr>
        <w:t xml:space="preserve">Renouncing </w:t>
      </w:r>
      <w:r w:rsidR="00F0451E">
        <w:rPr>
          <w:rFonts w:cs="Arial"/>
          <w:sz w:val="22"/>
          <w:szCs w:val="22"/>
        </w:rPr>
        <w:t>the</w:t>
      </w:r>
      <w:r w:rsidRPr="00B2392A">
        <w:rPr>
          <w:rFonts w:cs="Arial"/>
          <w:sz w:val="22"/>
          <w:szCs w:val="22"/>
        </w:rPr>
        <w:t xml:space="preserve"> exercise </w:t>
      </w:r>
      <w:r w:rsidR="00F0451E">
        <w:rPr>
          <w:rFonts w:cs="Arial"/>
          <w:sz w:val="22"/>
          <w:szCs w:val="22"/>
        </w:rPr>
        <w:t>of</w:t>
      </w:r>
      <w:r w:rsidRPr="00B2392A">
        <w:rPr>
          <w:rFonts w:cs="Arial"/>
          <w:sz w:val="22"/>
          <w:szCs w:val="22"/>
        </w:rPr>
        <w:t xml:space="preserve"> right granted by one of the Parties to the other Party to the Agreement must never be interpreted as a renunciation of the exercise of any other right</w:t>
      </w:r>
      <w:r w:rsidR="003406E6">
        <w:rPr>
          <w:rFonts w:cs="Arial"/>
          <w:sz w:val="22"/>
          <w:szCs w:val="22"/>
        </w:rPr>
        <w:t>,</w:t>
      </w:r>
      <w:r w:rsidRPr="00B2392A">
        <w:rPr>
          <w:rFonts w:cs="Arial"/>
          <w:sz w:val="22"/>
          <w:szCs w:val="22"/>
        </w:rPr>
        <w:t xml:space="preserve"> granted herein, unless the wording of a provision of the Agreement exceptionally </w:t>
      </w:r>
      <w:r w:rsidR="00F0451E" w:rsidRPr="00B2392A">
        <w:rPr>
          <w:rFonts w:cs="Arial"/>
          <w:sz w:val="22"/>
          <w:szCs w:val="22"/>
        </w:rPr>
        <w:t xml:space="preserve">indicates </w:t>
      </w:r>
      <w:r w:rsidRPr="00B2392A">
        <w:rPr>
          <w:rFonts w:cs="Arial"/>
          <w:sz w:val="22"/>
          <w:szCs w:val="22"/>
        </w:rPr>
        <w:t>the need for such a choice.</w:t>
      </w:r>
    </w:p>
    <w:p w14:paraId="6230F689" w14:textId="77777777" w:rsidR="00844586" w:rsidRPr="00B2392A" w:rsidRDefault="00844586" w:rsidP="00635DC3">
      <w:pPr>
        <w:jc w:val="both"/>
        <w:rPr>
          <w:rFonts w:cs="Arial"/>
          <w:b/>
          <w:bCs/>
          <w:sz w:val="22"/>
          <w:szCs w:val="22"/>
        </w:rPr>
      </w:pPr>
    </w:p>
    <w:p w14:paraId="0B6EDB69" w14:textId="51FFF3B7" w:rsidR="00844586" w:rsidRPr="00BC2DFC" w:rsidRDefault="00B2392A" w:rsidP="00635DC3">
      <w:pPr>
        <w:jc w:val="both"/>
        <w:rPr>
          <w:rFonts w:cs="Arial"/>
          <w:b/>
          <w:bCs/>
          <w:sz w:val="22"/>
          <w:szCs w:val="22"/>
        </w:rPr>
      </w:pPr>
      <w:r w:rsidRPr="00BC2DFC">
        <w:rPr>
          <w:rFonts w:cs="Arial"/>
          <w:b/>
          <w:bCs/>
          <w:sz w:val="22"/>
          <w:szCs w:val="22"/>
        </w:rPr>
        <w:t>(2)</w:t>
      </w:r>
      <w:r w:rsidR="0084114F" w:rsidRPr="00BC2DFC">
        <w:rPr>
          <w:rFonts w:cs="Arial"/>
          <w:b/>
          <w:bCs/>
          <w:sz w:val="22"/>
          <w:szCs w:val="22"/>
        </w:rPr>
        <w:t xml:space="preserve"> </w:t>
      </w:r>
      <w:r w:rsidRPr="00BC2DFC">
        <w:rPr>
          <w:rFonts w:cs="Arial"/>
          <w:b/>
          <w:bCs/>
          <w:sz w:val="22"/>
          <w:szCs w:val="22"/>
        </w:rPr>
        <w:t>COMPENSATION FOR RICHER</w:t>
      </w:r>
    </w:p>
    <w:p w14:paraId="36E4055D" w14:textId="77777777" w:rsidR="00844586" w:rsidRPr="00BC2DFC" w:rsidRDefault="00844586" w:rsidP="00635DC3">
      <w:pPr>
        <w:ind w:left="708" w:hanging="708"/>
        <w:jc w:val="both"/>
        <w:rPr>
          <w:rFonts w:cs="Arial"/>
          <w:sz w:val="22"/>
          <w:szCs w:val="22"/>
        </w:rPr>
      </w:pPr>
    </w:p>
    <w:p w14:paraId="64AE9FCB" w14:textId="425A877F" w:rsidR="00844586" w:rsidRPr="000B0795" w:rsidRDefault="00B2392A" w:rsidP="00635DC3">
      <w:pPr>
        <w:ind w:left="708" w:hanging="708"/>
        <w:jc w:val="both"/>
        <w:rPr>
          <w:rFonts w:cs="Arial"/>
          <w:sz w:val="22"/>
          <w:szCs w:val="22"/>
        </w:rPr>
      </w:pPr>
      <w:r w:rsidRPr="000B0795">
        <w:rPr>
          <w:rFonts w:cs="Arial"/>
          <w:sz w:val="22"/>
          <w:szCs w:val="22"/>
        </w:rPr>
        <w:t>2.1</w:t>
      </w:r>
      <w:r w:rsidR="0084114F" w:rsidRPr="000B0795">
        <w:rPr>
          <w:rFonts w:cs="Arial"/>
          <w:sz w:val="22"/>
          <w:szCs w:val="22"/>
        </w:rPr>
        <w:t xml:space="preserve"> </w:t>
      </w:r>
      <w:r w:rsidR="0084114F" w:rsidRPr="000B0795">
        <w:rPr>
          <w:rFonts w:cs="Arial"/>
          <w:sz w:val="22"/>
          <w:szCs w:val="22"/>
        </w:rPr>
        <w:tab/>
      </w:r>
      <w:r w:rsidR="000B0795" w:rsidRPr="000B0795">
        <w:rPr>
          <w:rFonts w:cs="Arial"/>
          <w:sz w:val="22"/>
          <w:szCs w:val="22"/>
        </w:rPr>
        <w:t>Sirois undertakes to pay Richer compensation (</w:t>
      </w:r>
      <w:r w:rsidR="00624A70">
        <w:rPr>
          <w:rFonts w:cs="Arial"/>
          <w:sz w:val="22"/>
          <w:szCs w:val="22"/>
        </w:rPr>
        <w:t>the “</w:t>
      </w:r>
      <w:r w:rsidR="000B0795" w:rsidRPr="00BC2DFC">
        <w:rPr>
          <w:rFonts w:cs="Arial"/>
          <w:b/>
          <w:bCs/>
          <w:sz w:val="22"/>
          <w:szCs w:val="22"/>
        </w:rPr>
        <w:t>Compensation</w:t>
      </w:r>
      <w:r w:rsidR="000B0795" w:rsidRPr="000B0795">
        <w:rPr>
          <w:rFonts w:cs="Arial"/>
          <w:sz w:val="22"/>
          <w:szCs w:val="22"/>
        </w:rPr>
        <w:t>”) according to the following terms:</w:t>
      </w:r>
    </w:p>
    <w:p w14:paraId="1A3514E0" w14:textId="77777777" w:rsidR="00844586" w:rsidRPr="000B0795" w:rsidRDefault="00844586" w:rsidP="00635DC3">
      <w:pPr>
        <w:ind w:left="1416" w:hanging="708"/>
        <w:jc w:val="both"/>
        <w:rPr>
          <w:rFonts w:cs="Arial"/>
          <w:sz w:val="22"/>
          <w:szCs w:val="22"/>
        </w:rPr>
      </w:pPr>
    </w:p>
    <w:p w14:paraId="016E9EF5" w14:textId="68190157" w:rsidR="00844586" w:rsidRPr="003C4B84" w:rsidRDefault="000B0795" w:rsidP="00635DC3">
      <w:pPr>
        <w:ind w:left="1416" w:hanging="708"/>
        <w:jc w:val="both"/>
        <w:rPr>
          <w:rFonts w:cs="Arial"/>
          <w:sz w:val="22"/>
          <w:szCs w:val="22"/>
        </w:rPr>
      </w:pPr>
      <w:r w:rsidRPr="00E8050B">
        <w:rPr>
          <w:rFonts w:cs="Arial"/>
          <w:sz w:val="22"/>
          <w:szCs w:val="22"/>
        </w:rPr>
        <w:lastRenderedPageBreak/>
        <w:t>(i)</w:t>
      </w:r>
      <w:r w:rsidR="0084114F" w:rsidRPr="008C365C">
        <w:rPr>
          <w:rFonts w:cs="Arial"/>
          <w:sz w:val="22"/>
          <w:szCs w:val="22"/>
        </w:rPr>
        <w:t xml:space="preserve"> </w:t>
      </w:r>
      <w:r w:rsidR="0084114F" w:rsidRPr="008C365C">
        <w:rPr>
          <w:rFonts w:cs="Arial"/>
          <w:sz w:val="22"/>
          <w:szCs w:val="22"/>
        </w:rPr>
        <w:tab/>
      </w:r>
      <w:r w:rsidR="008C365C" w:rsidRPr="008C365C">
        <w:rPr>
          <w:rFonts w:cs="Arial"/>
          <w:sz w:val="22"/>
          <w:szCs w:val="22"/>
          <w:u w:val="single"/>
        </w:rPr>
        <w:t>Initial compensation</w:t>
      </w:r>
      <w:r w:rsidR="008C365C" w:rsidRPr="008C365C">
        <w:rPr>
          <w:rFonts w:cs="Arial"/>
          <w:sz w:val="22"/>
          <w:szCs w:val="22"/>
        </w:rPr>
        <w:t xml:space="preserve">: Sirois </w:t>
      </w:r>
      <w:r w:rsidR="003C4B84" w:rsidRPr="008C365C">
        <w:rPr>
          <w:rFonts w:cs="Arial"/>
          <w:sz w:val="22"/>
          <w:szCs w:val="22"/>
        </w:rPr>
        <w:t>(through Neon Buddha)</w:t>
      </w:r>
      <w:r w:rsidR="003C4B84">
        <w:rPr>
          <w:rFonts w:cs="Arial"/>
          <w:sz w:val="22"/>
          <w:szCs w:val="22"/>
        </w:rPr>
        <w:t xml:space="preserve"> </w:t>
      </w:r>
      <w:r w:rsidR="008C365C" w:rsidRPr="008C365C">
        <w:rPr>
          <w:rFonts w:cs="Arial"/>
          <w:sz w:val="22"/>
          <w:szCs w:val="22"/>
        </w:rPr>
        <w:t>undertakes to pay Richer</w:t>
      </w:r>
      <w:r w:rsidR="003C4B84">
        <w:rPr>
          <w:rFonts w:cs="Arial"/>
          <w:sz w:val="22"/>
          <w:szCs w:val="22"/>
        </w:rPr>
        <w:t>,</w:t>
      </w:r>
      <w:r w:rsidR="008C365C" w:rsidRPr="008C365C">
        <w:rPr>
          <w:rFonts w:cs="Arial"/>
          <w:sz w:val="22"/>
          <w:szCs w:val="22"/>
        </w:rPr>
        <w:t xml:space="preserve"> no later than June 30, 2016, initial compensation of $350,000, which will be used to buy back the Advances made by Richer </w:t>
      </w:r>
      <w:r w:rsidR="003C4B84">
        <w:rPr>
          <w:rFonts w:cs="Arial"/>
          <w:sz w:val="22"/>
          <w:szCs w:val="22"/>
        </w:rPr>
        <w:t>to</w:t>
      </w:r>
      <w:r w:rsidR="008C365C" w:rsidRPr="008C365C">
        <w:rPr>
          <w:rFonts w:cs="Arial"/>
          <w:sz w:val="22"/>
          <w:szCs w:val="22"/>
        </w:rPr>
        <w:t xml:space="preserve"> the Corporation, </w:t>
      </w:r>
      <w:r w:rsidR="00624A70">
        <w:rPr>
          <w:rFonts w:cs="Arial"/>
          <w:sz w:val="22"/>
          <w:szCs w:val="22"/>
        </w:rPr>
        <w:t xml:space="preserve">with </w:t>
      </w:r>
      <w:r w:rsidR="008C365C" w:rsidRPr="008C365C">
        <w:rPr>
          <w:rFonts w:cs="Arial"/>
          <w:sz w:val="22"/>
          <w:szCs w:val="22"/>
        </w:rPr>
        <w:t xml:space="preserve">the balance of $80,000 being paid into the trust account </w:t>
      </w:r>
      <w:r w:rsidR="008C365C" w:rsidRPr="003C4B84">
        <w:rPr>
          <w:rFonts w:cs="Arial"/>
          <w:sz w:val="22"/>
          <w:szCs w:val="22"/>
        </w:rPr>
        <w:t xml:space="preserve">of </w:t>
      </w:r>
      <w:proofErr w:type="spellStart"/>
      <w:r w:rsidR="008C365C" w:rsidRPr="003C4B84">
        <w:rPr>
          <w:rFonts w:cs="Arial"/>
          <w:sz w:val="22"/>
          <w:szCs w:val="22"/>
        </w:rPr>
        <w:t>Richer’s</w:t>
      </w:r>
      <w:proofErr w:type="spellEnd"/>
      <w:r w:rsidR="008C365C" w:rsidRPr="003C4B84">
        <w:rPr>
          <w:rFonts w:cs="Arial"/>
          <w:sz w:val="22"/>
          <w:szCs w:val="22"/>
        </w:rPr>
        <w:t xml:space="preserve"> legal counsel, for </w:t>
      </w:r>
      <w:proofErr w:type="spellStart"/>
      <w:r w:rsidR="008C365C" w:rsidRPr="003C4B84">
        <w:rPr>
          <w:rFonts w:cs="Arial"/>
          <w:sz w:val="22"/>
          <w:szCs w:val="22"/>
        </w:rPr>
        <w:t>Richer’s</w:t>
      </w:r>
      <w:proofErr w:type="spellEnd"/>
      <w:r w:rsidR="008C365C" w:rsidRPr="003C4B84">
        <w:rPr>
          <w:rFonts w:cs="Arial"/>
          <w:sz w:val="22"/>
          <w:szCs w:val="22"/>
        </w:rPr>
        <w:t xml:space="preserve"> benefit.</w:t>
      </w:r>
      <w:r w:rsidR="0084114F" w:rsidRPr="003C4B84">
        <w:rPr>
          <w:rFonts w:cs="Arial"/>
          <w:sz w:val="22"/>
          <w:szCs w:val="22"/>
        </w:rPr>
        <w:t xml:space="preserve"> The Parties undertake to sign any document and perform any action </w:t>
      </w:r>
      <w:r w:rsidR="003C4B84" w:rsidRPr="003C4B84">
        <w:rPr>
          <w:rFonts w:cs="Arial"/>
          <w:sz w:val="22"/>
          <w:szCs w:val="22"/>
        </w:rPr>
        <w:t>to</w:t>
      </w:r>
      <w:r w:rsidR="0084114F" w:rsidRPr="003C4B84">
        <w:rPr>
          <w:rFonts w:cs="Arial"/>
          <w:sz w:val="22"/>
          <w:szCs w:val="22"/>
        </w:rPr>
        <w:t xml:space="preserve"> </w:t>
      </w:r>
      <w:r w:rsidR="003C4B84" w:rsidRPr="003C4B84">
        <w:rPr>
          <w:rFonts w:cs="Arial"/>
          <w:sz w:val="22"/>
          <w:szCs w:val="22"/>
        </w:rPr>
        <w:t>assign</w:t>
      </w:r>
      <w:r w:rsidR="0084114F" w:rsidRPr="003C4B84">
        <w:rPr>
          <w:rFonts w:cs="Arial"/>
          <w:sz w:val="22"/>
          <w:szCs w:val="22"/>
        </w:rPr>
        <w:t xml:space="preserve"> the debt recording the Advances to Neon Buddha, and Richer undertakes to ensure that the Corporation grants Neon Buddha a movable hypothec on the universality of its movable property to guarantee the payment of </w:t>
      </w:r>
      <w:r w:rsidR="003C4B84" w:rsidRPr="003C4B84">
        <w:rPr>
          <w:rFonts w:cs="Arial"/>
          <w:sz w:val="22"/>
          <w:szCs w:val="22"/>
        </w:rPr>
        <w:t>the</w:t>
      </w:r>
      <w:r w:rsidR="0084114F" w:rsidRPr="003C4B84">
        <w:rPr>
          <w:rFonts w:cs="Arial"/>
          <w:sz w:val="22"/>
          <w:szCs w:val="22"/>
        </w:rPr>
        <w:t xml:space="preserve"> Advances; and</w:t>
      </w:r>
    </w:p>
    <w:p w14:paraId="0BD4DEB8" w14:textId="77777777" w:rsidR="00844586" w:rsidRPr="003C4B84" w:rsidRDefault="00844586" w:rsidP="00635DC3">
      <w:pPr>
        <w:ind w:left="1416" w:hanging="708"/>
        <w:jc w:val="both"/>
        <w:rPr>
          <w:rFonts w:cs="Arial"/>
          <w:sz w:val="22"/>
          <w:szCs w:val="22"/>
        </w:rPr>
      </w:pPr>
    </w:p>
    <w:p w14:paraId="0070F7CA" w14:textId="19EA542C" w:rsidR="00844586" w:rsidRPr="0084114F" w:rsidRDefault="0084114F" w:rsidP="00635DC3">
      <w:pPr>
        <w:ind w:left="1416" w:hanging="708"/>
        <w:jc w:val="both"/>
        <w:rPr>
          <w:rFonts w:cs="Arial"/>
          <w:sz w:val="22"/>
          <w:szCs w:val="22"/>
        </w:rPr>
      </w:pPr>
      <w:r w:rsidRPr="00E8050B">
        <w:rPr>
          <w:rFonts w:cs="Arial"/>
          <w:sz w:val="22"/>
          <w:szCs w:val="22"/>
        </w:rPr>
        <w:t>(ii)</w:t>
      </w:r>
      <w:r w:rsidRPr="0084114F">
        <w:rPr>
          <w:rFonts w:cs="Arial"/>
          <w:sz w:val="22"/>
          <w:szCs w:val="22"/>
        </w:rPr>
        <w:t xml:space="preserve"> </w:t>
      </w:r>
      <w:r w:rsidRPr="0084114F">
        <w:rPr>
          <w:rFonts w:cs="Arial"/>
          <w:sz w:val="22"/>
          <w:szCs w:val="22"/>
        </w:rPr>
        <w:tab/>
      </w:r>
      <w:r w:rsidRPr="0084114F">
        <w:rPr>
          <w:rFonts w:cs="Arial"/>
          <w:sz w:val="22"/>
          <w:szCs w:val="22"/>
          <w:u w:val="single"/>
        </w:rPr>
        <w:t>Additional compensation</w:t>
      </w:r>
      <w:r w:rsidRPr="003C4B84">
        <w:rPr>
          <w:rFonts w:cs="Arial"/>
          <w:sz w:val="22"/>
          <w:szCs w:val="22"/>
        </w:rPr>
        <w:t xml:space="preserve">: subject to the </w:t>
      </w:r>
      <w:r w:rsidR="00E44179">
        <w:rPr>
          <w:rFonts w:cs="Arial"/>
          <w:sz w:val="22"/>
          <w:szCs w:val="22"/>
        </w:rPr>
        <w:t>occurrence of the</w:t>
      </w:r>
      <w:r w:rsidR="00E44179" w:rsidRPr="003C4B84">
        <w:rPr>
          <w:rFonts w:cs="Arial"/>
          <w:sz w:val="22"/>
          <w:szCs w:val="22"/>
        </w:rPr>
        <w:t xml:space="preserve"> </w:t>
      </w:r>
      <w:r w:rsidRPr="003C4B84">
        <w:rPr>
          <w:rFonts w:cs="Arial"/>
          <w:sz w:val="22"/>
          <w:szCs w:val="22"/>
        </w:rPr>
        <w:t xml:space="preserve">Planned </w:t>
      </w:r>
      <w:r w:rsidR="00624A70">
        <w:rPr>
          <w:rFonts w:cs="Arial"/>
          <w:sz w:val="22"/>
          <w:szCs w:val="22"/>
        </w:rPr>
        <w:t>T</w:t>
      </w:r>
      <w:r w:rsidRPr="003C4B84">
        <w:rPr>
          <w:rFonts w:cs="Arial"/>
          <w:sz w:val="22"/>
          <w:szCs w:val="22"/>
        </w:rPr>
        <w:t xml:space="preserve">ransaction, Sirois undertakes to pay Richer or any person designated by him (through Neon Buddha or any </w:t>
      </w:r>
      <w:r w:rsidR="00624A70">
        <w:rPr>
          <w:rFonts w:cs="Arial"/>
          <w:sz w:val="22"/>
          <w:szCs w:val="22"/>
        </w:rPr>
        <w:t>corporation</w:t>
      </w:r>
      <w:r w:rsidRPr="003C4B84">
        <w:rPr>
          <w:rFonts w:cs="Arial"/>
          <w:sz w:val="22"/>
          <w:szCs w:val="22"/>
        </w:rPr>
        <w:t xml:space="preserve"> he Controls), additional compensation of $1,000,000 no later than December 31, 2016. </w:t>
      </w:r>
      <w:r w:rsidRPr="0084114F">
        <w:rPr>
          <w:rFonts w:cs="Arial"/>
          <w:sz w:val="22"/>
          <w:szCs w:val="22"/>
        </w:rPr>
        <w:t>Sirois further undertakes to guarantee the payment of this additional compensation by ensuring that his spouse</w:t>
      </w:r>
      <w:r w:rsidR="00624A70">
        <w:rPr>
          <w:rFonts w:cs="Arial"/>
          <w:sz w:val="22"/>
          <w:szCs w:val="22"/>
        </w:rPr>
        <w:t>,</w:t>
      </w:r>
      <w:r w:rsidRPr="0084114F">
        <w:rPr>
          <w:rFonts w:cs="Arial"/>
          <w:sz w:val="22"/>
          <w:szCs w:val="22"/>
        </w:rPr>
        <w:t xml:space="preserve"> </w:t>
      </w:r>
      <w:proofErr w:type="spellStart"/>
      <w:r w:rsidRPr="0084114F">
        <w:rPr>
          <w:rFonts w:cs="Arial"/>
          <w:sz w:val="22"/>
          <w:szCs w:val="22"/>
        </w:rPr>
        <w:t>Mayuree</w:t>
      </w:r>
      <w:proofErr w:type="spellEnd"/>
      <w:r w:rsidRPr="0084114F">
        <w:rPr>
          <w:rFonts w:cs="Arial"/>
          <w:sz w:val="22"/>
          <w:szCs w:val="22"/>
        </w:rPr>
        <w:t xml:space="preserve"> Sirois, grants Richer a second rank</w:t>
      </w:r>
      <w:r w:rsidR="00624A70">
        <w:rPr>
          <w:rFonts w:cs="Arial"/>
          <w:sz w:val="22"/>
          <w:szCs w:val="22"/>
        </w:rPr>
        <w:t>ing</w:t>
      </w:r>
      <w:r w:rsidRPr="0084114F">
        <w:rPr>
          <w:rFonts w:cs="Arial"/>
          <w:sz w:val="22"/>
          <w:szCs w:val="22"/>
        </w:rPr>
        <w:t xml:space="preserve"> hypothec </w:t>
      </w:r>
      <w:r w:rsidR="00624A70">
        <w:rPr>
          <w:rFonts w:cs="Arial"/>
          <w:sz w:val="22"/>
          <w:szCs w:val="22"/>
        </w:rPr>
        <w:t xml:space="preserve">(mortgage) </w:t>
      </w:r>
      <w:r w:rsidRPr="0084114F">
        <w:rPr>
          <w:rFonts w:cs="Arial"/>
          <w:sz w:val="22"/>
          <w:szCs w:val="22"/>
        </w:rPr>
        <w:t>on the condo unit located at PH100-3462 Ross Drive, Vancouver, British Columbia, V6S 0H6</w:t>
      </w:r>
      <w:r w:rsidR="00330A4A">
        <w:rPr>
          <w:rFonts w:cs="Arial"/>
          <w:sz w:val="22"/>
          <w:szCs w:val="22"/>
        </w:rPr>
        <w:t>,</w:t>
      </w:r>
      <w:r w:rsidRPr="0084114F">
        <w:rPr>
          <w:rFonts w:cs="Arial"/>
          <w:sz w:val="22"/>
          <w:szCs w:val="22"/>
        </w:rPr>
        <w:t xml:space="preserve"> and </w:t>
      </w:r>
      <w:r w:rsidR="00330A4A">
        <w:rPr>
          <w:rFonts w:cs="Arial"/>
          <w:sz w:val="22"/>
          <w:szCs w:val="22"/>
        </w:rPr>
        <w:t>will</w:t>
      </w:r>
      <w:r w:rsidRPr="0084114F">
        <w:rPr>
          <w:rFonts w:cs="Arial"/>
          <w:sz w:val="22"/>
          <w:szCs w:val="22"/>
        </w:rPr>
        <w:t xml:space="preserve"> ensure that any document </w:t>
      </w:r>
      <w:r w:rsidR="003C4B84">
        <w:rPr>
          <w:rFonts w:cs="Arial"/>
          <w:sz w:val="22"/>
          <w:szCs w:val="22"/>
        </w:rPr>
        <w:t>giving</w:t>
      </w:r>
      <w:r w:rsidRPr="0084114F">
        <w:rPr>
          <w:rFonts w:cs="Arial"/>
          <w:sz w:val="22"/>
          <w:szCs w:val="22"/>
        </w:rPr>
        <w:t xml:space="preserve"> effect to this undertaking </w:t>
      </w:r>
      <w:r w:rsidR="003C4B84">
        <w:rPr>
          <w:rFonts w:cs="Arial"/>
          <w:sz w:val="22"/>
          <w:szCs w:val="22"/>
        </w:rPr>
        <w:t>is</w:t>
      </w:r>
      <w:r w:rsidRPr="0084114F">
        <w:rPr>
          <w:rFonts w:cs="Arial"/>
          <w:sz w:val="22"/>
          <w:szCs w:val="22"/>
        </w:rPr>
        <w:t xml:space="preserve"> promptly signed.</w:t>
      </w:r>
    </w:p>
    <w:p w14:paraId="08DEAF2E" w14:textId="77777777" w:rsidR="00844586" w:rsidRPr="0084114F" w:rsidRDefault="00844586" w:rsidP="00635DC3">
      <w:pPr>
        <w:ind w:left="708" w:hanging="708"/>
        <w:jc w:val="both"/>
        <w:rPr>
          <w:rFonts w:cs="Arial"/>
          <w:sz w:val="22"/>
          <w:szCs w:val="22"/>
        </w:rPr>
      </w:pPr>
    </w:p>
    <w:p w14:paraId="61F328AD" w14:textId="26AFCA33" w:rsidR="00844586" w:rsidRPr="0084114F" w:rsidRDefault="0084114F" w:rsidP="00635DC3">
      <w:pPr>
        <w:ind w:left="708" w:hanging="708"/>
        <w:jc w:val="both"/>
        <w:rPr>
          <w:rFonts w:cs="Arial"/>
          <w:sz w:val="22"/>
          <w:szCs w:val="22"/>
        </w:rPr>
      </w:pPr>
      <w:r w:rsidRPr="0084114F">
        <w:rPr>
          <w:rFonts w:cs="Arial"/>
          <w:sz w:val="22"/>
          <w:szCs w:val="22"/>
        </w:rPr>
        <w:t xml:space="preserve">2.2 </w:t>
      </w:r>
      <w:r w:rsidRPr="0084114F">
        <w:rPr>
          <w:rFonts w:cs="Arial"/>
          <w:sz w:val="22"/>
          <w:szCs w:val="22"/>
        </w:rPr>
        <w:tab/>
        <w:t xml:space="preserve">Should Richer be compelled to </w:t>
      </w:r>
      <w:r w:rsidR="003C4B84" w:rsidRPr="0084114F">
        <w:rPr>
          <w:rFonts w:cs="Arial"/>
          <w:sz w:val="22"/>
          <w:szCs w:val="22"/>
        </w:rPr>
        <w:t>disburse</w:t>
      </w:r>
      <w:r w:rsidRPr="0084114F">
        <w:rPr>
          <w:rFonts w:cs="Arial"/>
          <w:sz w:val="22"/>
          <w:szCs w:val="22"/>
        </w:rPr>
        <w:t xml:space="preserve"> any </w:t>
      </w:r>
      <w:r w:rsidR="003C4B84" w:rsidRPr="0084114F">
        <w:rPr>
          <w:rFonts w:cs="Arial"/>
          <w:sz w:val="22"/>
          <w:szCs w:val="22"/>
        </w:rPr>
        <w:t>amounts</w:t>
      </w:r>
      <w:r w:rsidRPr="0084114F">
        <w:rPr>
          <w:rFonts w:cs="Arial"/>
          <w:sz w:val="22"/>
          <w:szCs w:val="22"/>
        </w:rPr>
        <w:t xml:space="preserve"> regarding the obligations of the Corporation secured by Richer or for which Richer is persona</w:t>
      </w:r>
      <w:r w:rsidR="003C4B84">
        <w:rPr>
          <w:rFonts w:cs="Arial"/>
          <w:sz w:val="22"/>
          <w:szCs w:val="22"/>
        </w:rPr>
        <w:t>lly</w:t>
      </w:r>
      <w:r w:rsidRPr="0084114F">
        <w:rPr>
          <w:rFonts w:cs="Arial"/>
          <w:sz w:val="22"/>
          <w:szCs w:val="22"/>
        </w:rPr>
        <w:t xml:space="preserve"> responsible or liable under the law, Sirois may, at his sole discretion </w:t>
      </w:r>
      <w:r w:rsidR="003C4B84" w:rsidRPr="0084114F">
        <w:rPr>
          <w:rFonts w:cs="Arial"/>
          <w:sz w:val="22"/>
          <w:szCs w:val="22"/>
        </w:rPr>
        <w:t>and</w:t>
      </w:r>
      <w:r w:rsidRPr="0084114F">
        <w:rPr>
          <w:rFonts w:cs="Arial"/>
          <w:sz w:val="22"/>
          <w:szCs w:val="22"/>
        </w:rPr>
        <w:t xml:space="preserve"> </w:t>
      </w:r>
      <w:r w:rsidR="00102BF5">
        <w:rPr>
          <w:rFonts w:cs="Arial"/>
          <w:sz w:val="22"/>
          <w:szCs w:val="22"/>
        </w:rPr>
        <w:t>further to</w:t>
      </w:r>
      <w:r w:rsidRPr="0084114F">
        <w:rPr>
          <w:rFonts w:cs="Arial"/>
          <w:sz w:val="22"/>
          <w:szCs w:val="22"/>
        </w:rPr>
        <w:t xml:space="preserve"> a request to this effect from Richer, pay such obligations for and on behalf of Richer and deduct the </w:t>
      </w:r>
      <w:r w:rsidR="00102BF5">
        <w:rPr>
          <w:rFonts w:cs="Arial"/>
          <w:sz w:val="22"/>
          <w:szCs w:val="22"/>
        </w:rPr>
        <w:t>amounts</w:t>
      </w:r>
      <w:r w:rsidRPr="0084114F">
        <w:rPr>
          <w:rFonts w:cs="Arial"/>
          <w:sz w:val="22"/>
          <w:szCs w:val="22"/>
        </w:rPr>
        <w:t xml:space="preserve"> thus paid from the Compensation </w:t>
      </w:r>
      <w:r w:rsidR="00FD3DAD">
        <w:rPr>
          <w:rFonts w:cs="Arial"/>
          <w:sz w:val="22"/>
          <w:szCs w:val="22"/>
        </w:rPr>
        <w:t>payable</w:t>
      </w:r>
      <w:r w:rsidRPr="0084114F">
        <w:rPr>
          <w:rFonts w:cs="Arial"/>
          <w:sz w:val="22"/>
          <w:szCs w:val="22"/>
        </w:rPr>
        <w:t xml:space="preserve"> to Richer under </w:t>
      </w:r>
      <w:r w:rsidR="00BC059C">
        <w:rPr>
          <w:rFonts w:cs="Arial"/>
          <w:sz w:val="22"/>
          <w:szCs w:val="22"/>
        </w:rPr>
        <w:t>subsection</w:t>
      </w:r>
      <w:r w:rsidRPr="0084114F">
        <w:rPr>
          <w:rFonts w:cs="Arial"/>
          <w:sz w:val="22"/>
          <w:szCs w:val="22"/>
        </w:rPr>
        <w:t xml:space="preserve"> 2.1. </w:t>
      </w:r>
    </w:p>
    <w:p w14:paraId="486C61F1" w14:textId="77777777" w:rsidR="00844586" w:rsidRPr="0084114F" w:rsidRDefault="00844586" w:rsidP="00635DC3">
      <w:pPr>
        <w:ind w:left="708" w:hanging="708"/>
        <w:jc w:val="both"/>
        <w:rPr>
          <w:rFonts w:cs="Arial"/>
          <w:sz w:val="22"/>
          <w:szCs w:val="22"/>
        </w:rPr>
      </w:pPr>
    </w:p>
    <w:p w14:paraId="00F64660" w14:textId="51EABC01" w:rsidR="00844586" w:rsidRPr="0084114F" w:rsidRDefault="0084114F" w:rsidP="00635DC3">
      <w:pPr>
        <w:ind w:left="708" w:hanging="708"/>
        <w:jc w:val="both"/>
        <w:rPr>
          <w:rFonts w:cs="Arial"/>
          <w:sz w:val="22"/>
          <w:szCs w:val="22"/>
        </w:rPr>
      </w:pPr>
      <w:r w:rsidRPr="0084114F">
        <w:rPr>
          <w:rFonts w:cs="Arial"/>
          <w:sz w:val="22"/>
          <w:szCs w:val="22"/>
        </w:rPr>
        <w:t xml:space="preserve">2.3 </w:t>
      </w:r>
      <w:r w:rsidRPr="0084114F">
        <w:rPr>
          <w:rFonts w:cs="Arial"/>
          <w:sz w:val="22"/>
          <w:szCs w:val="22"/>
        </w:rPr>
        <w:tab/>
        <w:t xml:space="preserve">In addition to the Compensation set out under </w:t>
      </w:r>
      <w:r w:rsidR="00BC059C">
        <w:rPr>
          <w:rFonts w:cs="Arial"/>
          <w:sz w:val="22"/>
          <w:szCs w:val="22"/>
        </w:rPr>
        <w:t>subsection</w:t>
      </w:r>
      <w:r w:rsidRPr="0084114F">
        <w:rPr>
          <w:rFonts w:cs="Arial"/>
          <w:sz w:val="22"/>
          <w:szCs w:val="22"/>
        </w:rPr>
        <w:t xml:space="preserve"> 2.1, but subject to the</w:t>
      </w:r>
      <w:r w:rsidR="00E44179">
        <w:rPr>
          <w:rFonts w:cs="Arial"/>
          <w:sz w:val="22"/>
          <w:szCs w:val="22"/>
        </w:rPr>
        <w:t xml:space="preserve"> occurrence of the</w:t>
      </w:r>
      <w:r w:rsidRPr="0084114F">
        <w:rPr>
          <w:rFonts w:cs="Arial"/>
          <w:sz w:val="22"/>
          <w:szCs w:val="22"/>
        </w:rPr>
        <w:t xml:space="preserve"> Planned </w:t>
      </w:r>
      <w:r w:rsidR="00102BF5">
        <w:rPr>
          <w:rFonts w:cs="Arial"/>
          <w:sz w:val="22"/>
          <w:szCs w:val="22"/>
        </w:rPr>
        <w:t>T</w:t>
      </w:r>
      <w:r w:rsidRPr="0084114F">
        <w:rPr>
          <w:rFonts w:cs="Arial"/>
          <w:sz w:val="22"/>
          <w:szCs w:val="22"/>
        </w:rPr>
        <w:t xml:space="preserve">ransaction, Sirois undertakes to hire Richer as CCO (Chief Creative Officer) in connection with the operation of </w:t>
      </w:r>
      <w:r w:rsidR="00C232A4">
        <w:rPr>
          <w:rFonts w:cs="Arial"/>
          <w:sz w:val="22"/>
          <w:szCs w:val="22"/>
        </w:rPr>
        <w:t xml:space="preserve">the </w:t>
      </w:r>
      <w:r w:rsidRPr="0084114F">
        <w:rPr>
          <w:rFonts w:cs="Arial"/>
          <w:sz w:val="22"/>
          <w:szCs w:val="22"/>
        </w:rPr>
        <w:t xml:space="preserve">Richer Assets within </w:t>
      </w:r>
      <w:proofErr w:type="spellStart"/>
      <w:r w:rsidRPr="0084114F">
        <w:rPr>
          <w:rFonts w:cs="Arial"/>
          <w:sz w:val="22"/>
          <w:szCs w:val="22"/>
        </w:rPr>
        <w:t>SiroisCo</w:t>
      </w:r>
      <w:proofErr w:type="spellEnd"/>
      <w:r w:rsidRPr="0084114F">
        <w:rPr>
          <w:rFonts w:cs="Arial"/>
          <w:sz w:val="22"/>
          <w:szCs w:val="22"/>
        </w:rPr>
        <w:t xml:space="preserve"> or any other</w:t>
      </w:r>
      <w:r w:rsidR="008B4F0F">
        <w:rPr>
          <w:rFonts w:cs="Arial"/>
          <w:sz w:val="22"/>
          <w:szCs w:val="22"/>
        </w:rPr>
        <w:t xml:space="preserve"> </w:t>
      </w:r>
      <w:r w:rsidRPr="0084114F">
        <w:rPr>
          <w:rFonts w:cs="Arial"/>
          <w:sz w:val="22"/>
          <w:szCs w:val="22"/>
        </w:rPr>
        <w:t xml:space="preserve">entity that is Controlled directly or indirectly by Sirois, at an annual salary of $200,000. The </w:t>
      </w:r>
      <w:r w:rsidR="008954D0" w:rsidRPr="0084114F">
        <w:rPr>
          <w:rFonts w:cs="Arial"/>
          <w:sz w:val="22"/>
          <w:szCs w:val="22"/>
        </w:rPr>
        <w:t>Parties</w:t>
      </w:r>
      <w:r w:rsidRPr="0084114F">
        <w:rPr>
          <w:rFonts w:cs="Arial"/>
          <w:sz w:val="22"/>
          <w:szCs w:val="22"/>
        </w:rPr>
        <w:t xml:space="preserve"> undertake to sign an employment contract to this effect </w:t>
      </w:r>
      <w:r w:rsidR="00750186" w:rsidRPr="00750186">
        <w:rPr>
          <w:rFonts w:cs="Arial"/>
          <w:sz w:val="22"/>
          <w:szCs w:val="22"/>
        </w:rPr>
        <w:t>concurrent with the closing of</w:t>
      </w:r>
      <w:r w:rsidRPr="0084114F">
        <w:rPr>
          <w:rFonts w:cs="Arial"/>
          <w:sz w:val="22"/>
          <w:szCs w:val="22"/>
        </w:rPr>
        <w:t xml:space="preserve"> the Planned </w:t>
      </w:r>
      <w:r w:rsidR="00C232A4">
        <w:rPr>
          <w:rFonts w:cs="Arial"/>
          <w:sz w:val="22"/>
          <w:szCs w:val="22"/>
        </w:rPr>
        <w:t>T</w:t>
      </w:r>
      <w:r w:rsidRPr="0084114F">
        <w:rPr>
          <w:rFonts w:cs="Arial"/>
          <w:sz w:val="22"/>
          <w:szCs w:val="22"/>
        </w:rPr>
        <w:t>ransaction (</w:t>
      </w:r>
      <w:r w:rsidR="00C232A4">
        <w:rPr>
          <w:rFonts w:cs="Arial"/>
          <w:sz w:val="22"/>
          <w:szCs w:val="22"/>
        </w:rPr>
        <w:t>the “</w:t>
      </w:r>
      <w:r w:rsidRPr="0084114F">
        <w:rPr>
          <w:rFonts w:cs="Arial"/>
          <w:b/>
          <w:sz w:val="22"/>
          <w:szCs w:val="22"/>
        </w:rPr>
        <w:t xml:space="preserve">Employment </w:t>
      </w:r>
      <w:r w:rsidR="00FD3DAD">
        <w:rPr>
          <w:rFonts w:cs="Arial"/>
          <w:b/>
          <w:sz w:val="22"/>
          <w:szCs w:val="22"/>
        </w:rPr>
        <w:t>C</w:t>
      </w:r>
      <w:r w:rsidRPr="0084114F">
        <w:rPr>
          <w:rFonts w:cs="Arial"/>
          <w:b/>
          <w:sz w:val="22"/>
          <w:szCs w:val="22"/>
        </w:rPr>
        <w:t>ontract</w:t>
      </w:r>
      <w:r w:rsidRPr="0084114F">
        <w:rPr>
          <w:rFonts w:cs="Arial"/>
          <w:sz w:val="22"/>
          <w:szCs w:val="22"/>
        </w:rPr>
        <w:t>”).</w:t>
      </w:r>
    </w:p>
    <w:p w14:paraId="02F692F7" w14:textId="77777777" w:rsidR="00844586" w:rsidRPr="0084114F" w:rsidRDefault="00844586" w:rsidP="00635DC3">
      <w:pPr>
        <w:ind w:left="708" w:hanging="708"/>
        <w:jc w:val="both"/>
        <w:rPr>
          <w:rFonts w:cs="Arial"/>
          <w:sz w:val="22"/>
          <w:szCs w:val="22"/>
        </w:rPr>
      </w:pPr>
    </w:p>
    <w:p w14:paraId="4870C926" w14:textId="3D76BE3D" w:rsidR="00844586" w:rsidRPr="0084114F" w:rsidRDefault="0084114F" w:rsidP="00635DC3">
      <w:pPr>
        <w:ind w:left="708" w:hanging="708"/>
        <w:jc w:val="both"/>
        <w:rPr>
          <w:rFonts w:cs="Arial"/>
          <w:sz w:val="22"/>
          <w:szCs w:val="22"/>
        </w:rPr>
      </w:pPr>
      <w:r w:rsidRPr="0084114F">
        <w:rPr>
          <w:rFonts w:cs="Arial"/>
          <w:sz w:val="22"/>
          <w:szCs w:val="22"/>
        </w:rPr>
        <w:t xml:space="preserve">2.4 </w:t>
      </w:r>
      <w:r w:rsidRPr="0084114F">
        <w:rPr>
          <w:rFonts w:cs="Arial"/>
          <w:sz w:val="22"/>
          <w:szCs w:val="22"/>
        </w:rPr>
        <w:tab/>
        <w:t xml:space="preserve">Sirois </w:t>
      </w:r>
      <w:r w:rsidR="00310061">
        <w:rPr>
          <w:rFonts w:cs="Arial"/>
          <w:sz w:val="22"/>
          <w:szCs w:val="22"/>
        </w:rPr>
        <w:t xml:space="preserve">hereby </w:t>
      </w:r>
      <w:r w:rsidRPr="0084114F">
        <w:rPr>
          <w:rFonts w:cs="Arial"/>
          <w:sz w:val="22"/>
          <w:szCs w:val="22"/>
        </w:rPr>
        <w:t xml:space="preserve">expressly renounces </w:t>
      </w:r>
      <w:r w:rsidR="008954D0">
        <w:rPr>
          <w:rFonts w:cs="Arial"/>
          <w:sz w:val="22"/>
          <w:szCs w:val="22"/>
        </w:rPr>
        <w:t>his right to</w:t>
      </w:r>
      <w:r w:rsidRPr="0084114F">
        <w:rPr>
          <w:rFonts w:cs="Arial"/>
          <w:sz w:val="22"/>
          <w:szCs w:val="22"/>
        </w:rPr>
        <w:t xml:space="preserve"> directly or indirectly </w:t>
      </w:r>
      <w:r w:rsidR="008954D0">
        <w:rPr>
          <w:rFonts w:cs="Arial"/>
          <w:sz w:val="22"/>
          <w:szCs w:val="22"/>
        </w:rPr>
        <w:t xml:space="preserve">exercise </w:t>
      </w:r>
      <w:r w:rsidRPr="0084114F">
        <w:rPr>
          <w:rFonts w:cs="Arial"/>
          <w:sz w:val="22"/>
          <w:szCs w:val="22"/>
        </w:rPr>
        <w:t xml:space="preserve">any recourses against Richer that arise or could arise from </w:t>
      </w:r>
      <w:r w:rsidR="00310061">
        <w:rPr>
          <w:rFonts w:cs="Arial"/>
          <w:sz w:val="22"/>
          <w:szCs w:val="22"/>
        </w:rPr>
        <w:t>a</w:t>
      </w:r>
      <w:r w:rsidRPr="0084114F">
        <w:rPr>
          <w:rFonts w:cs="Arial"/>
          <w:sz w:val="22"/>
          <w:szCs w:val="22"/>
        </w:rPr>
        <w:t xml:space="preserve"> personal guarant</w:t>
      </w:r>
      <w:r w:rsidR="00310061">
        <w:rPr>
          <w:rFonts w:cs="Arial"/>
          <w:sz w:val="22"/>
          <w:szCs w:val="22"/>
        </w:rPr>
        <w:t>e</w:t>
      </w:r>
      <w:r w:rsidRPr="0084114F">
        <w:rPr>
          <w:rFonts w:cs="Arial"/>
          <w:sz w:val="22"/>
          <w:szCs w:val="22"/>
        </w:rPr>
        <w:t>e or securit</w:t>
      </w:r>
      <w:r w:rsidR="00310061">
        <w:rPr>
          <w:rFonts w:cs="Arial"/>
          <w:sz w:val="22"/>
          <w:szCs w:val="22"/>
        </w:rPr>
        <w:t>y</w:t>
      </w:r>
      <w:r w:rsidRPr="0084114F">
        <w:rPr>
          <w:rFonts w:cs="Arial"/>
          <w:sz w:val="22"/>
          <w:szCs w:val="22"/>
        </w:rPr>
        <w:t xml:space="preserve"> granted by </w:t>
      </w:r>
      <w:r w:rsidR="008954D0" w:rsidRPr="0084114F">
        <w:rPr>
          <w:rFonts w:cs="Arial"/>
          <w:sz w:val="22"/>
          <w:szCs w:val="22"/>
        </w:rPr>
        <w:t>Richer</w:t>
      </w:r>
      <w:r w:rsidRPr="0084114F">
        <w:rPr>
          <w:rFonts w:cs="Arial"/>
          <w:sz w:val="22"/>
          <w:szCs w:val="22"/>
        </w:rPr>
        <w:t xml:space="preserve"> to creditors of the Corporation</w:t>
      </w:r>
      <w:r w:rsidR="00310061">
        <w:rPr>
          <w:rFonts w:cs="Arial"/>
          <w:sz w:val="22"/>
          <w:szCs w:val="22"/>
        </w:rPr>
        <w:t>,</w:t>
      </w:r>
      <w:r w:rsidRPr="0084114F">
        <w:rPr>
          <w:rFonts w:cs="Arial"/>
          <w:sz w:val="22"/>
          <w:szCs w:val="22"/>
        </w:rPr>
        <w:t xml:space="preserve"> and </w:t>
      </w:r>
      <w:r w:rsidR="008954D0">
        <w:rPr>
          <w:rFonts w:cs="Arial"/>
          <w:sz w:val="22"/>
          <w:szCs w:val="22"/>
        </w:rPr>
        <w:t>in respect of</w:t>
      </w:r>
      <w:r w:rsidRPr="0084114F">
        <w:rPr>
          <w:rFonts w:cs="Arial"/>
          <w:sz w:val="22"/>
          <w:szCs w:val="22"/>
        </w:rPr>
        <w:t xml:space="preserve"> which Sirois (or any entity Controlled by him) could </w:t>
      </w:r>
      <w:r w:rsidR="008954D0">
        <w:rPr>
          <w:rFonts w:cs="Arial"/>
          <w:sz w:val="22"/>
          <w:szCs w:val="22"/>
        </w:rPr>
        <w:t>become the holder</w:t>
      </w:r>
      <w:r w:rsidRPr="0084114F">
        <w:rPr>
          <w:rFonts w:cs="Arial"/>
          <w:sz w:val="22"/>
          <w:szCs w:val="22"/>
        </w:rPr>
        <w:t xml:space="preserve"> through assignment, subrogation</w:t>
      </w:r>
      <w:r w:rsidR="00310061">
        <w:rPr>
          <w:rFonts w:cs="Arial"/>
          <w:sz w:val="22"/>
          <w:szCs w:val="22"/>
        </w:rPr>
        <w:t>,</w:t>
      </w:r>
      <w:r w:rsidRPr="0084114F">
        <w:rPr>
          <w:rFonts w:cs="Arial"/>
          <w:sz w:val="22"/>
          <w:szCs w:val="22"/>
        </w:rPr>
        <w:t xml:space="preserve"> or otherwise.</w:t>
      </w:r>
    </w:p>
    <w:p w14:paraId="29E19DB8" w14:textId="77777777" w:rsidR="00844586" w:rsidRPr="0084114F" w:rsidRDefault="00844586" w:rsidP="00635DC3">
      <w:pPr>
        <w:ind w:left="708" w:hanging="708"/>
        <w:jc w:val="both"/>
        <w:rPr>
          <w:rFonts w:cs="Arial"/>
          <w:b/>
          <w:bCs/>
          <w:sz w:val="22"/>
          <w:szCs w:val="22"/>
        </w:rPr>
      </w:pPr>
    </w:p>
    <w:p w14:paraId="4F6C5E14" w14:textId="6412F200" w:rsidR="00844586" w:rsidRPr="00F81021" w:rsidRDefault="0084114F" w:rsidP="00635DC3">
      <w:pPr>
        <w:ind w:left="708" w:hanging="708"/>
        <w:jc w:val="both"/>
        <w:rPr>
          <w:rFonts w:cs="Arial"/>
          <w:b/>
          <w:bCs/>
          <w:sz w:val="22"/>
          <w:szCs w:val="22"/>
        </w:rPr>
      </w:pPr>
      <w:r w:rsidRPr="00F81021">
        <w:rPr>
          <w:rFonts w:cs="Arial"/>
          <w:b/>
          <w:bCs/>
          <w:sz w:val="22"/>
          <w:szCs w:val="22"/>
        </w:rPr>
        <w:t xml:space="preserve">(3) </w:t>
      </w:r>
      <w:r w:rsidRPr="00F81021">
        <w:rPr>
          <w:rFonts w:cs="Arial"/>
          <w:b/>
          <w:bCs/>
          <w:sz w:val="22"/>
          <w:szCs w:val="22"/>
        </w:rPr>
        <w:tab/>
      </w:r>
      <w:r w:rsidR="00E21A07">
        <w:rPr>
          <w:rFonts w:cs="Arial"/>
          <w:b/>
          <w:bCs/>
          <w:sz w:val="22"/>
          <w:szCs w:val="22"/>
        </w:rPr>
        <w:t>EARNINGS</w:t>
      </w:r>
      <w:r w:rsidR="00F81021" w:rsidRPr="00F81021">
        <w:rPr>
          <w:rFonts w:cs="Arial"/>
          <w:b/>
          <w:bCs/>
          <w:sz w:val="22"/>
          <w:szCs w:val="22"/>
        </w:rPr>
        <w:t xml:space="preserve"> AND PROFIT</w:t>
      </w:r>
      <w:r w:rsidR="00A459B0">
        <w:rPr>
          <w:rFonts w:cs="Arial"/>
          <w:b/>
          <w:bCs/>
          <w:sz w:val="22"/>
          <w:szCs w:val="22"/>
        </w:rPr>
        <w:t xml:space="preserve"> </w:t>
      </w:r>
      <w:r w:rsidR="00F81021" w:rsidRPr="00F81021">
        <w:rPr>
          <w:rFonts w:cs="Arial"/>
          <w:b/>
          <w:bCs/>
          <w:sz w:val="22"/>
          <w:szCs w:val="22"/>
        </w:rPr>
        <w:t>SHARING RESPECTING ASSET OPERATIONS</w:t>
      </w:r>
    </w:p>
    <w:p w14:paraId="0B6214FD" w14:textId="77777777" w:rsidR="00844586" w:rsidRPr="00F81021" w:rsidRDefault="00844586" w:rsidP="00635DC3">
      <w:pPr>
        <w:ind w:left="708" w:hanging="708"/>
        <w:jc w:val="both"/>
        <w:rPr>
          <w:rFonts w:cs="Arial"/>
          <w:sz w:val="22"/>
          <w:szCs w:val="22"/>
        </w:rPr>
      </w:pPr>
    </w:p>
    <w:p w14:paraId="4CCBDAB8" w14:textId="0E83EE36" w:rsidR="00844586" w:rsidRPr="00F81021" w:rsidRDefault="00F81021" w:rsidP="00635DC3">
      <w:pPr>
        <w:ind w:left="708" w:hanging="708"/>
        <w:jc w:val="both"/>
        <w:rPr>
          <w:rFonts w:cs="Arial"/>
          <w:sz w:val="22"/>
          <w:szCs w:val="22"/>
        </w:rPr>
      </w:pPr>
      <w:r w:rsidRPr="00F81021">
        <w:rPr>
          <w:rFonts w:cs="Arial"/>
          <w:sz w:val="22"/>
          <w:szCs w:val="22"/>
        </w:rPr>
        <w:t>3.1</w:t>
      </w:r>
      <w:r w:rsidR="0084114F" w:rsidRPr="00F81021">
        <w:rPr>
          <w:rFonts w:cs="Arial"/>
          <w:sz w:val="22"/>
          <w:szCs w:val="22"/>
        </w:rPr>
        <w:t xml:space="preserve"> </w:t>
      </w:r>
      <w:r w:rsidR="0084114F" w:rsidRPr="00F81021">
        <w:rPr>
          <w:rFonts w:cs="Arial"/>
          <w:sz w:val="22"/>
          <w:szCs w:val="22"/>
        </w:rPr>
        <w:tab/>
      </w:r>
      <w:r w:rsidR="00E44179">
        <w:rPr>
          <w:rFonts w:cs="Arial"/>
          <w:sz w:val="22"/>
          <w:szCs w:val="22"/>
        </w:rPr>
        <w:t>Following the occurrence of</w:t>
      </w:r>
      <w:r w:rsidRPr="00F81021">
        <w:rPr>
          <w:rFonts w:cs="Arial"/>
          <w:sz w:val="22"/>
          <w:szCs w:val="22"/>
        </w:rPr>
        <w:t xml:space="preserve"> the Planned </w:t>
      </w:r>
      <w:r w:rsidR="00E21A07">
        <w:rPr>
          <w:rFonts w:cs="Arial"/>
          <w:sz w:val="22"/>
          <w:szCs w:val="22"/>
        </w:rPr>
        <w:t>T</w:t>
      </w:r>
      <w:r w:rsidRPr="00F81021">
        <w:rPr>
          <w:rFonts w:cs="Arial"/>
          <w:sz w:val="22"/>
          <w:szCs w:val="22"/>
        </w:rPr>
        <w:t xml:space="preserve">ransaction, the Parties agree to share the </w:t>
      </w:r>
      <w:r w:rsidR="00E21A07">
        <w:rPr>
          <w:rFonts w:cs="Arial"/>
          <w:sz w:val="22"/>
          <w:szCs w:val="22"/>
        </w:rPr>
        <w:t>earnings</w:t>
      </w:r>
      <w:r w:rsidRPr="00F81021">
        <w:rPr>
          <w:rFonts w:cs="Arial"/>
          <w:sz w:val="22"/>
          <w:szCs w:val="22"/>
        </w:rPr>
        <w:t xml:space="preserve"> and profits arising strictly from the operation of the Richer Assets, according to the following </w:t>
      </w:r>
      <w:r w:rsidR="008954D0" w:rsidRPr="00F81021">
        <w:rPr>
          <w:rFonts w:cs="Arial"/>
          <w:sz w:val="22"/>
          <w:szCs w:val="22"/>
        </w:rPr>
        <w:t>terms</w:t>
      </w:r>
      <w:r w:rsidRPr="00F81021">
        <w:rPr>
          <w:rFonts w:cs="Arial"/>
          <w:sz w:val="22"/>
          <w:szCs w:val="22"/>
        </w:rPr>
        <w:t>:</w:t>
      </w:r>
    </w:p>
    <w:p w14:paraId="43929026" w14:textId="77777777" w:rsidR="00844586" w:rsidRPr="00F81021" w:rsidRDefault="00844586" w:rsidP="00635DC3">
      <w:pPr>
        <w:ind w:left="1416" w:hanging="708"/>
        <w:jc w:val="both"/>
        <w:rPr>
          <w:rFonts w:cs="Arial"/>
          <w:sz w:val="22"/>
          <w:szCs w:val="22"/>
        </w:rPr>
      </w:pPr>
    </w:p>
    <w:p w14:paraId="68B0CA55" w14:textId="207249E7" w:rsidR="00844586" w:rsidRPr="00F81021" w:rsidRDefault="000B0795" w:rsidP="00635DC3">
      <w:pPr>
        <w:ind w:left="1416" w:hanging="708"/>
        <w:jc w:val="both"/>
        <w:rPr>
          <w:rFonts w:cs="Arial"/>
          <w:sz w:val="22"/>
          <w:szCs w:val="22"/>
        </w:rPr>
      </w:pPr>
      <w:r w:rsidRPr="00E8050B">
        <w:rPr>
          <w:rFonts w:cs="Arial"/>
          <w:sz w:val="22"/>
          <w:szCs w:val="22"/>
        </w:rPr>
        <w:lastRenderedPageBreak/>
        <w:t>(i)</w:t>
      </w:r>
      <w:r w:rsidR="0084114F" w:rsidRPr="00F81021">
        <w:rPr>
          <w:rFonts w:cs="Arial"/>
          <w:sz w:val="22"/>
          <w:szCs w:val="22"/>
        </w:rPr>
        <w:t xml:space="preserve"> </w:t>
      </w:r>
      <w:r w:rsidR="0084114F" w:rsidRPr="00F81021">
        <w:rPr>
          <w:rFonts w:cs="Arial"/>
          <w:sz w:val="22"/>
          <w:szCs w:val="22"/>
        </w:rPr>
        <w:tab/>
      </w:r>
      <w:r w:rsidR="00F81021" w:rsidRPr="00F81021">
        <w:rPr>
          <w:rFonts w:cs="Arial"/>
          <w:sz w:val="22"/>
          <w:szCs w:val="22"/>
        </w:rPr>
        <w:t xml:space="preserve">All of the positive liquidities </w:t>
      </w:r>
      <w:r w:rsidR="00A67D00">
        <w:rPr>
          <w:rFonts w:cs="Arial"/>
          <w:sz w:val="22"/>
          <w:szCs w:val="22"/>
        </w:rPr>
        <w:t>arising</w:t>
      </w:r>
      <w:r w:rsidR="00F81021" w:rsidRPr="00F81021">
        <w:rPr>
          <w:rFonts w:cs="Arial"/>
          <w:sz w:val="22"/>
          <w:szCs w:val="22"/>
        </w:rPr>
        <w:t xml:space="preserve"> from the operation of the Richer Assets will in priority and exclusively be paid to Sirois (or </w:t>
      </w:r>
      <w:r w:rsidR="00A67D00">
        <w:rPr>
          <w:rFonts w:cs="Arial"/>
          <w:sz w:val="22"/>
          <w:szCs w:val="22"/>
        </w:rPr>
        <w:t xml:space="preserve">to </w:t>
      </w:r>
      <w:r w:rsidR="00F81021" w:rsidRPr="00F81021">
        <w:rPr>
          <w:rFonts w:cs="Arial"/>
          <w:sz w:val="22"/>
          <w:szCs w:val="22"/>
        </w:rPr>
        <w:t xml:space="preserve">a corporation he Controls) until the amounts loaned or advanced by him (or one of his corporations) to the Corporation and the </w:t>
      </w:r>
      <w:r w:rsidR="008954D0" w:rsidRPr="00F81021">
        <w:rPr>
          <w:rFonts w:cs="Arial"/>
          <w:sz w:val="22"/>
          <w:szCs w:val="22"/>
        </w:rPr>
        <w:t>amounts</w:t>
      </w:r>
      <w:r w:rsidR="00F81021" w:rsidRPr="00F81021">
        <w:rPr>
          <w:rFonts w:cs="Arial"/>
          <w:sz w:val="22"/>
          <w:szCs w:val="22"/>
        </w:rPr>
        <w:t xml:space="preserve"> incurred or disbursed to </w:t>
      </w:r>
      <w:r w:rsidR="00E67431">
        <w:rPr>
          <w:rFonts w:cs="Arial"/>
          <w:sz w:val="22"/>
          <w:szCs w:val="22"/>
        </w:rPr>
        <w:t>carry out</w:t>
      </w:r>
      <w:r w:rsidR="00F81021" w:rsidRPr="00F81021">
        <w:rPr>
          <w:rFonts w:cs="Arial"/>
          <w:sz w:val="22"/>
          <w:szCs w:val="22"/>
        </w:rPr>
        <w:t xml:space="preserve"> the </w:t>
      </w:r>
      <w:r w:rsidR="008954D0" w:rsidRPr="00F81021">
        <w:rPr>
          <w:rFonts w:cs="Arial"/>
          <w:sz w:val="22"/>
          <w:szCs w:val="22"/>
        </w:rPr>
        <w:t>Planned</w:t>
      </w:r>
      <w:r w:rsidR="00F81021" w:rsidRPr="00F81021">
        <w:rPr>
          <w:rFonts w:cs="Arial"/>
          <w:sz w:val="22"/>
          <w:szCs w:val="22"/>
        </w:rPr>
        <w:t xml:space="preserve"> </w:t>
      </w:r>
      <w:r w:rsidR="00A67D00">
        <w:rPr>
          <w:rFonts w:cs="Arial"/>
          <w:sz w:val="22"/>
          <w:szCs w:val="22"/>
        </w:rPr>
        <w:t>T</w:t>
      </w:r>
      <w:r w:rsidR="00F81021" w:rsidRPr="00F81021">
        <w:rPr>
          <w:rFonts w:cs="Arial"/>
          <w:sz w:val="22"/>
          <w:szCs w:val="22"/>
        </w:rPr>
        <w:t xml:space="preserve">ransaction, if any, in capital, </w:t>
      </w:r>
      <w:r w:rsidR="00A67D00">
        <w:rPr>
          <w:rFonts w:cs="Arial"/>
          <w:sz w:val="22"/>
          <w:szCs w:val="22"/>
        </w:rPr>
        <w:t>costs,</w:t>
      </w:r>
      <w:r w:rsidR="00F81021" w:rsidRPr="00F81021">
        <w:rPr>
          <w:rFonts w:cs="Arial"/>
          <w:sz w:val="22"/>
          <w:szCs w:val="22"/>
        </w:rPr>
        <w:t xml:space="preserve"> and interest (collectively, the “</w:t>
      </w:r>
      <w:r w:rsidR="00F81021" w:rsidRPr="00F81021">
        <w:rPr>
          <w:rFonts w:cs="Arial"/>
          <w:b/>
          <w:sz w:val="22"/>
          <w:szCs w:val="22"/>
        </w:rPr>
        <w:t>Investments</w:t>
      </w:r>
      <w:r w:rsidR="00F81021" w:rsidRPr="00F81021">
        <w:rPr>
          <w:rFonts w:cs="Arial"/>
          <w:sz w:val="22"/>
          <w:szCs w:val="22"/>
        </w:rPr>
        <w:t>”)</w:t>
      </w:r>
      <w:r w:rsidR="008954D0">
        <w:rPr>
          <w:rFonts w:cs="Arial"/>
          <w:sz w:val="22"/>
          <w:szCs w:val="22"/>
        </w:rPr>
        <w:t xml:space="preserve"> are </w:t>
      </w:r>
      <w:r w:rsidR="00E67431">
        <w:rPr>
          <w:rFonts w:cs="Arial"/>
          <w:sz w:val="22"/>
          <w:szCs w:val="22"/>
        </w:rPr>
        <w:t>fully paid</w:t>
      </w:r>
      <w:r w:rsidR="00F81021" w:rsidRPr="00F81021">
        <w:rPr>
          <w:rFonts w:cs="Arial"/>
          <w:sz w:val="22"/>
          <w:szCs w:val="22"/>
        </w:rPr>
        <w:t>.</w:t>
      </w:r>
      <w:r w:rsidR="0084114F" w:rsidRPr="00F81021">
        <w:rPr>
          <w:rFonts w:cs="Arial"/>
          <w:sz w:val="22"/>
          <w:szCs w:val="22"/>
        </w:rPr>
        <w:t xml:space="preserve"> </w:t>
      </w:r>
      <w:r w:rsidR="00F81021" w:rsidRPr="00F81021">
        <w:rPr>
          <w:rFonts w:cs="Arial"/>
          <w:sz w:val="22"/>
          <w:szCs w:val="22"/>
        </w:rPr>
        <w:t xml:space="preserve">Failing </w:t>
      </w:r>
      <w:r w:rsidR="00A67D00">
        <w:rPr>
          <w:rFonts w:cs="Arial"/>
          <w:sz w:val="22"/>
          <w:szCs w:val="22"/>
        </w:rPr>
        <w:t>a statement to this effect</w:t>
      </w:r>
      <w:r w:rsidR="00F81021" w:rsidRPr="00F81021">
        <w:rPr>
          <w:rFonts w:cs="Arial"/>
          <w:sz w:val="22"/>
          <w:szCs w:val="22"/>
        </w:rPr>
        <w:t xml:space="preserve"> in the loan documents, the amount in capital and </w:t>
      </w:r>
      <w:r w:rsidR="00A67D00">
        <w:rPr>
          <w:rFonts w:cs="Arial"/>
          <w:sz w:val="22"/>
          <w:szCs w:val="22"/>
        </w:rPr>
        <w:t>costs</w:t>
      </w:r>
      <w:r w:rsidR="00F81021" w:rsidRPr="00F81021">
        <w:rPr>
          <w:rFonts w:cs="Arial"/>
          <w:sz w:val="22"/>
          <w:szCs w:val="22"/>
        </w:rPr>
        <w:t xml:space="preserve"> thus incurred will bear interest at an annual rate of twelve per cent (12%).</w:t>
      </w:r>
    </w:p>
    <w:p w14:paraId="614F187C" w14:textId="77777777" w:rsidR="00844586" w:rsidRPr="00F81021" w:rsidRDefault="00844586" w:rsidP="00635DC3">
      <w:pPr>
        <w:ind w:left="1416" w:hanging="708"/>
        <w:jc w:val="both"/>
        <w:rPr>
          <w:rFonts w:cs="Arial"/>
          <w:sz w:val="22"/>
          <w:szCs w:val="22"/>
        </w:rPr>
      </w:pPr>
    </w:p>
    <w:p w14:paraId="326B45AF" w14:textId="311B505D" w:rsidR="00844586" w:rsidRPr="00F81021" w:rsidRDefault="0084114F" w:rsidP="00635DC3">
      <w:pPr>
        <w:ind w:left="1416" w:hanging="708"/>
        <w:jc w:val="both"/>
        <w:rPr>
          <w:rFonts w:cs="Arial"/>
          <w:sz w:val="22"/>
          <w:szCs w:val="22"/>
        </w:rPr>
      </w:pPr>
      <w:r w:rsidRPr="00E8050B">
        <w:rPr>
          <w:rFonts w:cs="Arial"/>
          <w:sz w:val="22"/>
          <w:szCs w:val="22"/>
        </w:rPr>
        <w:t>(ii)</w:t>
      </w:r>
      <w:r w:rsidRPr="00F81021">
        <w:rPr>
          <w:rFonts w:cs="Arial"/>
          <w:sz w:val="22"/>
          <w:szCs w:val="22"/>
        </w:rPr>
        <w:tab/>
      </w:r>
      <w:r w:rsidR="00F81021" w:rsidRPr="00F81021">
        <w:rPr>
          <w:rFonts w:cs="Arial"/>
          <w:sz w:val="22"/>
          <w:szCs w:val="22"/>
        </w:rPr>
        <w:t xml:space="preserve">Once the Investments are entirely repaid, all the positive liquidities </w:t>
      </w:r>
      <w:r w:rsidR="00085273">
        <w:rPr>
          <w:rFonts w:cs="Arial"/>
          <w:sz w:val="22"/>
          <w:szCs w:val="22"/>
        </w:rPr>
        <w:t>arising</w:t>
      </w:r>
      <w:r w:rsidR="00F81021" w:rsidRPr="00F81021">
        <w:rPr>
          <w:rFonts w:cs="Arial"/>
          <w:sz w:val="22"/>
          <w:szCs w:val="22"/>
        </w:rPr>
        <w:t xml:space="preserve"> from the operation of the Richer Assets will in priority and exclusively be paid to Richer (or any other person he may appoint) up to a maximum of $3,650,000;</w:t>
      </w:r>
    </w:p>
    <w:p w14:paraId="585D0EFC" w14:textId="77777777" w:rsidR="00844586" w:rsidRPr="00F81021" w:rsidRDefault="00844586" w:rsidP="00635DC3">
      <w:pPr>
        <w:ind w:left="1416" w:hanging="708"/>
        <w:jc w:val="both"/>
        <w:rPr>
          <w:rFonts w:cs="Arial"/>
          <w:sz w:val="22"/>
          <w:szCs w:val="22"/>
        </w:rPr>
      </w:pPr>
    </w:p>
    <w:p w14:paraId="0514AD2C" w14:textId="6DBD33C3" w:rsidR="00844586" w:rsidRPr="00F81021" w:rsidRDefault="00F81021" w:rsidP="00635DC3">
      <w:pPr>
        <w:ind w:left="1416" w:hanging="708"/>
        <w:jc w:val="both"/>
        <w:rPr>
          <w:rFonts w:cs="Arial"/>
          <w:sz w:val="22"/>
          <w:szCs w:val="22"/>
        </w:rPr>
      </w:pPr>
      <w:r w:rsidRPr="00E8050B">
        <w:rPr>
          <w:rFonts w:cs="Arial"/>
          <w:sz w:val="22"/>
          <w:szCs w:val="22"/>
        </w:rPr>
        <w:t>(iii)</w:t>
      </w:r>
      <w:r w:rsidR="0084114F" w:rsidRPr="00F81021">
        <w:rPr>
          <w:rFonts w:cs="Arial"/>
          <w:sz w:val="22"/>
          <w:szCs w:val="22"/>
        </w:rPr>
        <w:t xml:space="preserve"> </w:t>
      </w:r>
      <w:r w:rsidR="0084114F" w:rsidRPr="00F81021">
        <w:rPr>
          <w:rFonts w:cs="Arial"/>
          <w:sz w:val="22"/>
          <w:szCs w:val="22"/>
        </w:rPr>
        <w:tab/>
      </w:r>
      <w:r w:rsidRPr="00F81021">
        <w:rPr>
          <w:rFonts w:cs="Arial"/>
          <w:sz w:val="22"/>
          <w:szCs w:val="22"/>
        </w:rPr>
        <w:t xml:space="preserve">Once the amount of $3,650,000 has been paid </w:t>
      </w:r>
      <w:r w:rsidR="00085273">
        <w:rPr>
          <w:rFonts w:cs="Arial"/>
          <w:sz w:val="22"/>
          <w:szCs w:val="22"/>
        </w:rPr>
        <w:t xml:space="preserve">in full </w:t>
      </w:r>
      <w:r w:rsidRPr="00F81021">
        <w:rPr>
          <w:rFonts w:cs="Arial"/>
          <w:sz w:val="22"/>
          <w:szCs w:val="22"/>
        </w:rPr>
        <w:t xml:space="preserve">to Richer, the profits </w:t>
      </w:r>
      <w:r w:rsidR="00085273">
        <w:rPr>
          <w:rFonts w:cs="Arial"/>
          <w:sz w:val="22"/>
          <w:szCs w:val="22"/>
        </w:rPr>
        <w:t>arising</w:t>
      </w:r>
      <w:r w:rsidRPr="00F81021">
        <w:rPr>
          <w:rFonts w:cs="Arial"/>
          <w:sz w:val="22"/>
          <w:szCs w:val="22"/>
        </w:rPr>
        <w:t xml:space="preserve"> from the operation of </w:t>
      </w:r>
      <w:r w:rsidR="00E67431" w:rsidRPr="00F81021">
        <w:rPr>
          <w:rFonts w:cs="Arial"/>
          <w:sz w:val="22"/>
          <w:szCs w:val="22"/>
        </w:rPr>
        <w:t>the</w:t>
      </w:r>
      <w:r w:rsidRPr="00F81021">
        <w:rPr>
          <w:rFonts w:cs="Arial"/>
          <w:sz w:val="22"/>
          <w:szCs w:val="22"/>
        </w:rPr>
        <w:t xml:space="preserve"> Richer Assets will be </w:t>
      </w:r>
      <w:r w:rsidR="00085273">
        <w:rPr>
          <w:rFonts w:cs="Arial"/>
          <w:sz w:val="22"/>
          <w:szCs w:val="22"/>
        </w:rPr>
        <w:t>divided</w:t>
      </w:r>
      <w:r w:rsidRPr="00F81021">
        <w:rPr>
          <w:rFonts w:cs="Arial"/>
          <w:sz w:val="22"/>
          <w:szCs w:val="22"/>
        </w:rPr>
        <w:t xml:space="preserve"> equal</w:t>
      </w:r>
      <w:r w:rsidR="00085273">
        <w:rPr>
          <w:rFonts w:cs="Arial"/>
          <w:sz w:val="22"/>
          <w:szCs w:val="22"/>
        </w:rPr>
        <w:t>ly</w:t>
      </w:r>
      <w:r w:rsidRPr="00F81021">
        <w:rPr>
          <w:rFonts w:cs="Arial"/>
          <w:sz w:val="22"/>
          <w:szCs w:val="22"/>
        </w:rPr>
        <w:t xml:space="preserve"> between Sirois and Richer.</w:t>
      </w:r>
    </w:p>
    <w:p w14:paraId="05441960" w14:textId="77777777" w:rsidR="00844586" w:rsidRPr="00F81021" w:rsidRDefault="00844586" w:rsidP="00635DC3">
      <w:pPr>
        <w:ind w:left="708" w:hanging="708"/>
        <w:jc w:val="both"/>
        <w:rPr>
          <w:rFonts w:cs="Arial"/>
          <w:sz w:val="22"/>
          <w:szCs w:val="22"/>
        </w:rPr>
      </w:pPr>
    </w:p>
    <w:p w14:paraId="208E27AE" w14:textId="330A4EBA" w:rsidR="00844586" w:rsidRPr="00F81021" w:rsidRDefault="00F81021" w:rsidP="00635DC3">
      <w:pPr>
        <w:ind w:left="708" w:hanging="708"/>
        <w:jc w:val="both"/>
        <w:rPr>
          <w:rFonts w:cs="Arial"/>
          <w:sz w:val="22"/>
          <w:szCs w:val="22"/>
        </w:rPr>
      </w:pPr>
      <w:r w:rsidRPr="00F81021">
        <w:rPr>
          <w:rFonts w:cs="Arial"/>
          <w:sz w:val="22"/>
          <w:szCs w:val="22"/>
        </w:rPr>
        <w:t>3.2</w:t>
      </w:r>
      <w:r w:rsidR="0084114F" w:rsidRPr="00F81021">
        <w:rPr>
          <w:rFonts w:cs="Arial"/>
          <w:sz w:val="22"/>
          <w:szCs w:val="22"/>
        </w:rPr>
        <w:t xml:space="preserve"> </w:t>
      </w:r>
      <w:r w:rsidR="0084114F" w:rsidRPr="00F81021">
        <w:rPr>
          <w:rFonts w:cs="Arial"/>
          <w:sz w:val="22"/>
          <w:szCs w:val="22"/>
        </w:rPr>
        <w:tab/>
      </w:r>
      <w:r w:rsidRPr="00F81021">
        <w:rPr>
          <w:rFonts w:cs="Arial"/>
          <w:sz w:val="22"/>
          <w:szCs w:val="22"/>
        </w:rPr>
        <w:t>Sirois must ensure that separate accounting records are set up to make</w:t>
      </w:r>
      <w:r w:rsidR="00E67431">
        <w:rPr>
          <w:rFonts w:cs="Arial"/>
          <w:sz w:val="22"/>
          <w:szCs w:val="22"/>
        </w:rPr>
        <w:t xml:space="preserve"> it</w:t>
      </w:r>
      <w:r w:rsidRPr="00F81021">
        <w:rPr>
          <w:rFonts w:cs="Arial"/>
          <w:sz w:val="22"/>
          <w:szCs w:val="22"/>
        </w:rPr>
        <w:t xml:space="preserve"> possible to determine the </w:t>
      </w:r>
      <w:r w:rsidR="00085273">
        <w:rPr>
          <w:rFonts w:cs="Arial"/>
          <w:sz w:val="22"/>
          <w:szCs w:val="22"/>
        </w:rPr>
        <w:t>earnings</w:t>
      </w:r>
      <w:r w:rsidRPr="00F81021">
        <w:rPr>
          <w:rFonts w:cs="Arial"/>
          <w:sz w:val="22"/>
          <w:szCs w:val="22"/>
        </w:rPr>
        <w:t xml:space="preserve"> and profits </w:t>
      </w:r>
      <w:r w:rsidR="00BC059C">
        <w:rPr>
          <w:rFonts w:cs="Arial"/>
          <w:sz w:val="22"/>
          <w:szCs w:val="22"/>
        </w:rPr>
        <w:t>arising</w:t>
      </w:r>
      <w:r w:rsidRPr="00F81021">
        <w:rPr>
          <w:rFonts w:cs="Arial"/>
          <w:sz w:val="22"/>
          <w:szCs w:val="22"/>
        </w:rPr>
        <w:t xml:space="preserve"> directly from the operation of the Richer Assets.</w:t>
      </w:r>
      <w:r w:rsidR="0084114F" w:rsidRPr="00F81021">
        <w:rPr>
          <w:rFonts w:cs="Arial"/>
          <w:sz w:val="22"/>
          <w:szCs w:val="22"/>
        </w:rPr>
        <w:t xml:space="preserve"> </w:t>
      </w:r>
      <w:r>
        <w:rPr>
          <w:rFonts w:cs="Arial"/>
          <w:sz w:val="22"/>
          <w:szCs w:val="22"/>
        </w:rPr>
        <w:t xml:space="preserve">Sirois must send Richer a copy of </w:t>
      </w:r>
      <w:r w:rsidR="00E67431">
        <w:rPr>
          <w:rFonts w:cs="Arial"/>
          <w:sz w:val="22"/>
          <w:szCs w:val="22"/>
        </w:rPr>
        <w:t>the</w:t>
      </w:r>
      <w:r>
        <w:rPr>
          <w:rFonts w:cs="Arial"/>
          <w:sz w:val="22"/>
          <w:szCs w:val="22"/>
        </w:rPr>
        <w:t xml:space="preserve"> financial statements of </w:t>
      </w:r>
      <w:proofErr w:type="spellStart"/>
      <w:r>
        <w:rPr>
          <w:rFonts w:cs="Arial"/>
          <w:sz w:val="22"/>
          <w:szCs w:val="22"/>
        </w:rPr>
        <w:t>SiroisCo</w:t>
      </w:r>
      <w:proofErr w:type="spellEnd"/>
      <w:r>
        <w:rPr>
          <w:rFonts w:cs="Arial"/>
          <w:sz w:val="22"/>
          <w:szCs w:val="22"/>
        </w:rPr>
        <w:t xml:space="preserve"> or any other </w:t>
      </w:r>
      <w:r w:rsidR="00E67431">
        <w:rPr>
          <w:rFonts w:cs="Arial"/>
          <w:sz w:val="22"/>
          <w:szCs w:val="22"/>
        </w:rPr>
        <w:t>corporations</w:t>
      </w:r>
      <w:r>
        <w:rPr>
          <w:rFonts w:cs="Arial"/>
          <w:sz w:val="22"/>
          <w:szCs w:val="22"/>
        </w:rPr>
        <w:t xml:space="preserve"> operating the Richer Assets within ninety (90) days of the end of each</w:t>
      </w:r>
      <w:r w:rsidR="00E67431">
        <w:rPr>
          <w:rFonts w:cs="Arial"/>
          <w:sz w:val="22"/>
          <w:szCs w:val="22"/>
        </w:rPr>
        <w:t xml:space="preserve"> of</w:t>
      </w:r>
      <w:r>
        <w:rPr>
          <w:rFonts w:cs="Arial"/>
          <w:sz w:val="22"/>
          <w:szCs w:val="22"/>
        </w:rPr>
        <w:t xml:space="preserve"> their fiscal years, and Richer will also have </w:t>
      </w:r>
      <w:r w:rsidR="00E67431">
        <w:rPr>
          <w:rFonts w:cs="Arial"/>
          <w:sz w:val="22"/>
          <w:szCs w:val="22"/>
        </w:rPr>
        <w:t>the</w:t>
      </w:r>
      <w:r>
        <w:rPr>
          <w:rFonts w:cs="Arial"/>
          <w:sz w:val="22"/>
          <w:szCs w:val="22"/>
        </w:rPr>
        <w:t xml:space="preserve"> right </w:t>
      </w:r>
      <w:r w:rsidR="00E67431">
        <w:rPr>
          <w:rFonts w:cs="Arial"/>
          <w:sz w:val="22"/>
          <w:szCs w:val="22"/>
        </w:rPr>
        <w:t>to</w:t>
      </w:r>
      <w:r>
        <w:rPr>
          <w:rFonts w:cs="Arial"/>
          <w:sz w:val="22"/>
          <w:szCs w:val="22"/>
        </w:rPr>
        <w:t xml:space="preserve"> access, during normal business hours, internal financial statements, operating result</w:t>
      </w:r>
      <w:r w:rsidR="00E67431">
        <w:rPr>
          <w:rFonts w:cs="Arial"/>
          <w:sz w:val="22"/>
          <w:szCs w:val="22"/>
        </w:rPr>
        <w:t>s</w:t>
      </w:r>
      <w:r>
        <w:rPr>
          <w:rFonts w:cs="Arial"/>
          <w:sz w:val="22"/>
          <w:szCs w:val="22"/>
        </w:rPr>
        <w:t>, and accounting data relating to the operation of</w:t>
      </w:r>
      <w:r w:rsidR="00E67431">
        <w:rPr>
          <w:rFonts w:cs="Arial"/>
          <w:sz w:val="22"/>
          <w:szCs w:val="22"/>
        </w:rPr>
        <w:t xml:space="preserve"> the</w:t>
      </w:r>
      <w:r>
        <w:rPr>
          <w:rFonts w:cs="Arial"/>
          <w:sz w:val="22"/>
          <w:szCs w:val="22"/>
        </w:rPr>
        <w:t xml:space="preserve"> Richer Assets. </w:t>
      </w:r>
    </w:p>
    <w:p w14:paraId="089513B5" w14:textId="77777777" w:rsidR="00844586" w:rsidRPr="00F81021" w:rsidRDefault="00844586" w:rsidP="00635DC3">
      <w:pPr>
        <w:ind w:left="708" w:hanging="708"/>
        <w:jc w:val="both"/>
        <w:rPr>
          <w:rFonts w:cs="Arial"/>
          <w:sz w:val="22"/>
          <w:szCs w:val="22"/>
        </w:rPr>
      </w:pPr>
    </w:p>
    <w:p w14:paraId="5A21C3E5" w14:textId="1BEEED93" w:rsidR="00844586" w:rsidRPr="00F81021" w:rsidRDefault="00F81021" w:rsidP="00635DC3">
      <w:pPr>
        <w:ind w:left="708" w:hanging="708"/>
        <w:jc w:val="both"/>
        <w:rPr>
          <w:rFonts w:cs="Arial"/>
          <w:sz w:val="22"/>
          <w:szCs w:val="22"/>
        </w:rPr>
      </w:pPr>
      <w:r w:rsidRPr="00F81021">
        <w:rPr>
          <w:rFonts w:cs="Arial"/>
          <w:sz w:val="22"/>
          <w:szCs w:val="22"/>
        </w:rPr>
        <w:t>3.3</w:t>
      </w:r>
      <w:r w:rsidR="0084114F" w:rsidRPr="00F81021">
        <w:rPr>
          <w:rFonts w:cs="Arial"/>
          <w:sz w:val="22"/>
          <w:szCs w:val="22"/>
        </w:rPr>
        <w:t xml:space="preserve"> </w:t>
      </w:r>
      <w:r w:rsidR="0084114F" w:rsidRPr="00F81021">
        <w:rPr>
          <w:rFonts w:cs="Arial"/>
          <w:sz w:val="22"/>
          <w:szCs w:val="22"/>
        </w:rPr>
        <w:tab/>
      </w:r>
      <w:r w:rsidRPr="00F81021">
        <w:rPr>
          <w:rFonts w:cs="Arial"/>
          <w:sz w:val="22"/>
          <w:szCs w:val="22"/>
        </w:rPr>
        <w:t xml:space="preserve">Should Sirois decide to sell the Richer Assets to a third party, in whole or in part (subject to </w:t>
      </w:r>
      <w:r w:rsidR="00A459B0">
        <w:rPr>
          <w:rFonts w:cs="Arial"/>
          <w:sz w:val="22"/>
          <w:szCs w:val="22"/>
        </w:rPr>
        <w:t>the application of</w:t>
      </w:r>
      <w:r w:rsidRPr="00F81021">
        <w:rPr>
          <w:rFonts w:cs="Arial"/>
          <w:sz w:val="22"/>
          <w:szCs w:val="22"/>
        </w:rPr>
        <w:t xml:space="preserve"> the provisions </w:t>
      </w:r>
      <w:r w:rsidR="00BC059C">
        <w:rPr>
          <w:rFonts w:cs="Arial"/>
          <w:sz w:val="22"/>
          <w:szCs w:val="22"/>
        </w:rPr>
        <w:t>of</w:t>
      </w:r>
      <w:r w:rsidRPr="00F81021">
        <w:rPr>
          <w:rFonts w:cs="Arial"/>
          <w:sz w:val="22"/>
          <w:szCs w:val="22"/>
        </w:rPr>
        <w:t xml:space="preserve"> section 4), the proceeds of the sale will </w:t>
      </w:r>
      <w:r w:rsidR="00E67431" w:rsidRPr="00F81021">
        <w:rPr>
          <w:rFonts w:cs="Arial"/>
          <w:sz w:val="22"/>
          <w:szCs w:val="22"/>
        </w:rPr>
        <w:t>have</w:t>
      </w:r>
      <w:r w:rsidRPr="00F81021">
        <w:rPr>
          <w:rFonts w:cs="Arial"/>
          <w:sz w:val="22"/>
          <w:szCs w:val="22"/>
        </w:rPr>
        <w:t xml:space="preserve"> to be shared between Sirois and Richer in accordance with the terms set out </w:t>
      </w:r>
      <w:r w:rsidR="00BC059C">
        <w:rPr>
          <w:rFonts w:cs="Arial"/>
          <w:sz w:val="22"/>
          <w:szCs w:val="22"/>
        </w:rPr>
        <w:t>in</w:t>
      </w:r>
      <w:r w:rsidRPr="00F81021">
        <w:rPr>
          <w:rFonts w:cs="Arial"/>
          <w:sz w:val="22"/>
          <w:szCs w:val="22"/>
        </w:rPr>
        <w:t xml:space="preserve"> </w:t>
      </w:r>
      <w:r w:rsidR="00BC059C">
        <w:rPr>
          <w:rFonts w:cs="Arial"/>
          <w:sz w:val="22"/>
          <w:szCs w:val="22"/>
        </w:rPr>
        <w:t>subsection</w:t>
      </w:r>
      <w:r w:rsidRPr="00F81021">
        <w:rPr>
          <w:rFonts w:cs="Arial"/>
          <w:sz w:val="22"/>
          <w:szCs w:val="22"/>
        </w:rPr>
        <w:t xml:space="preserve"> 3.1.</w:t>
      </w:r>
    </w:p>
    <w:p w14:paraId="5C650A6C" w14:textId="77777777" w:rsidR="00844586" w:rsidRPr="00F81021" w:rsidRDefault="00844586" w:rsidP="00635DC3">
      <w:pPr>
        <w:jc w:val="both"/>
        <w:rPr>
          <w:rFonts w:cs="Arial"/>
          <w:b/>
          <w:bCs/>
          <w:sz w:val="22"/>
          <w:szCs w:val="22"/>
        </w:rPr>
      </w:pPr>
    </w:p>
    <w:p w14:paraId="2B4DB018" w14:textId="1FF21E7D" w:rsidR="00844586" w:rsidRPr="00F81021" w:rsidRDefault="00F81021" w:rsidP="00635DC3">
      <w:pPr>
        <w:jc w:val="both"/>
        <w:rPr>
          <w:rFonts w:cs="Arial"/>
          <w:b/>
          <w:bCs/>
          <w:sz w:val="22"/>
          <w:szCs w:val="22"/>
        </w:rPr>
      </w:pPr>
      <w:r w:rsidRPr="00F81021">
        <w:rPr>
          <w:rFonts w:cs="Arial"/>
          <w:b/>
          <w:bCs/>
          <w:sz w:val="22"/>
          <w:szCs w:val="22"/>
        </w:rPr>
        <w:t>(4)</w:t>
      </w:r>
      <w:r w:rsidR="0084114F" w:rsidRPr="00F81021">
        <w:rPr>
          <w:rFonts w:cs="Arial"/>
          <w:b/>
          <w:bCs/>
          <w:sz w:val="22"/>
          <w:szCs w:val="22"/>
        </w:rPr>
        <w:t xml:space="preserve"> </w:t>
      </w:r>
      <w:r w:rsidR="0084114F" w:rsidRPr="00F81021">
        <w:rPr>
          <w:rFonts w:cs="Arial"/>
          <w:b/>
          <w:bCs/>
          <w:sz w:val="22"/>
          <w:szCs w:val="22"/>
        </w:rPr>
        <w:tab/>
      </w:r>
      <w:r w:rsidRPr="00F81021">
        <w:rPr>
          <w:rFonts w:cs="Arial"/>
          <w:b/>
          <w:bCs/>
          <w:sz w:val="22"/>
          <w:szCs w:val="22"/>
        </w:rPr>
        <w:t>RIGHT OF FIRST REFUSAL OVER THE RICHER ASSETS</w:t>
      </w:r>
    </w:p>
    <w:p w14:paraId="5E6960E8" w14:textId="77777777" w:rsidR="00844586" w:rsidRPr="00F81021" w:rsidRDefault="00844586" w:rsidP="00635DC3">
      <w:pPr>
        <w:ind w:left="708" w:hanging="708"/>
        <w:jc w:val="both"/>
        <w:rPr>
          <w:rFonts w:cs="Arial"/>
          <w:sz w:val="22"/>
          <w:szCs w:val="22"/>
        </w:rPr>
      </w:pPr>
    </w:p>
    <w:p w14:paraId="0BB79C78" w14:textId="3AD92C3A" w:rsidR="00844586" w:rsidRPr="00F81021" w:rsidRDefault="00F81021" w:rsidP="00635DC3">
      <w:pPr>
        <w:ind w:left="708" w:hanging="708"/>
        <w:jc w:val="both"/>
        <w:rPr>
          <w:rFonts w:cs="Arial"/>
          <w:sz w:val="22"/>
          <w:szCs w:val="22"/>
        </w:rPr>
      </w:pPr>
      <w:r w:rsidRPr="00F81021">
        <w:rPr>
          <w:rFonts w:cs="Arial"/>
          <w:sz w:val="22"/>
          <w:szCs w:val="22"/>
        </w:rPr>
        <w:t>4.1</w:t>
      </w:r>
      <w:r w:rsidR="0084114F" w:rsidRPr="00F81021">
        <w:rPr>
          <w:rFonts w:cs="Arial"/>
          <w:sz w:val="22"/>
          <w:szCs w:val="22"/>
        </w:rPr>
        <w:t xml:space="preserve"> </w:t>
      </w:r>
      <w:r w:rsidR="0084114F" w:rsidRPr="00F81021">
        <w:rPr>
          <w:rFonts w:cs="Arial"/>
          <w:sz w:val="22"/>
          <w:szCs w:val="22"/>
        </w:rPr>
        <w:tab/>
      </w:r>
      <w:r w:rsidRPr="00F81021">
        <w:rPr>
          <w:rFonts w:cs="Arial"/>
          <w:sz w:val="22"/>
          <w:szCs w:val="22"/>
        </w:rPr>
        <w:t xml:space="preserve">Insofar as Sirois (or </w:t>
      </w:r>
      <w:proofErr w:type="spellStart"/>
      <w:r w:rsidRPr="00F81021">
        <w:rPr>
          <w:rFonts w:cs="Arial"/>
          <w:sz w:val="22"/>
          <w:szCs w:val="22"/>
        </w:rPr>
        <w:t>SiroisCo</w:t>
      </w:r>
      <w:proofErr w:type="spellEnd"/>
      <w:r w:rsidRPr="00F81021">
        <w:rPr>
          <w:rFonts w:cs="Arial"/>
          <w:sz w:val="22"/>
          <w:szCs w:val="22"/>
        </w:rPr>
        <w:t xml:space="preserve"> or any other corporation Controlled by Sirois) receives a good faith offer for all or part of the Richer Assets, and he wants to accept it, he must, before accepting the offer received, offer to sell all, </w:t>
      </w:r>
      <w:r w:rsidR="00690759">
        <w:rPr>
          <w:rFonts w:cs="Arial"/>
          <w:sz w:val="22"/>
          <w:szCs w:val="22"/>
        </w:rPr>
        <w:t xml:space="preserve">and </w:t>
      </w:r>
      <w:r w:rsidRPr="00F81021">
        <w:rPr>
          <w:rFonts w:cs="Arial"/>
          <w:sz w:val="22"/>
          <w:szCs w:val="22"/>
        </w:rPr>
        <w:t>not less than</w:t>
      </w:r>
      <w:r w:rsidR="00690759">
        <w:rPr>
          <w:rFonts w:cs="Arial"/>
          <w:sz w:val="22"/>
          <w:szCs w:val="22"/>
        </w:rPr>
        <w:t xml:space="preserve"> all</w:t>
      </w:r>
      <w:r w:rsidRPr="00F81021">
        <w:rPr>
          <w:rFonts w:cs="Arial"/>
          <w:sz w:val="22"/>
          <w:szCs w:val="22"/>
        </w:rPr>
        <w:t xml:space="preserve">, the Richer Assets included in such offer to Richer, at the same price and </w:t>
      </w:r>
      <w:r w:rsidR="00A459B0">
        <w:rPr>
          <w:rFonts w:cs="Arial"/>
          <w:sz w:val="22"/>
          <w:szCs w:val="22"/>
        </w:rPr>
        <w:t xml:space="preserve">on the same </w:t>
      </w:r>
      <w:r w:rsidRPr="00F81021">
        <w:rPr>
          <w:rFonts w:cs="Arial"/>
          <w:sz w:val="22"/>
          <w:szCs w:val="22"/>
        </w:rPr>
        <w:t>terms and conditions as those appearing in the third party’s offer.</w:t>
      </w:r>
      <w:r w:rsidR="0084114F" w:rsidRPr="00F81021">
        <w:rPr>
          <w:rFonts w:cs="Arial"/>
          <w:sz w:val="22"/>
          <w:szCs w:val="22"/>
        </w:rPr>
        <w:t xml:space="preserve"> </w:t>
      </w:r>
      <w:r w:rsidRPr="00F81021">
        <w:rPr>
          <w:rFonts w:cs="Arial"/>
          <w:sz w:val="22"/>
          <w:szCs w:val="22"/>
        </w:rPr>
        <w:t xml:space="preserve">In </w:t>
      </w:r>
      <w:r w:rsidR="00BE3E0E">
        <w:rPr>
          <w:rFonts w:cs="Arial"/>
          <w:sz w:val="22"/>
          <w:szCs w:val="22"/>
        </w:rPr>
        <w:t>such</w:t>
      </w:r>
      <w:r w:rsidR="00BE3E0E" w:rsidRPr="00F81021">
        <w:rPr>
          <w:rFonts w:cs="Arial"/>
          <w:sz w:val="22"/>
          <w:szCs w:val="22"/>
        </w:rPr>
        <w:t xml:space="preserve"> </w:t>
      </w:r>
      <w:r w:rsidRPr="00F81021">
        <w:rPr>
          <w:rFonts w:cs="Arial"/>
          <w:sz w:val="22"/>
          <w:szCs w:val="22"/>
        </w:rPr>
        <w:t xml:space="preserve">case, Sirois must send Richer a written notice with a copy of the offer received from the third party, giving Richer thirty (30) days from the date on which the notice </w:t>
      </w:r>
      <w:r w:rsidR="00BE3E0E">
        <w:rPr>
          <w:rFonts w:cs="Arial"/>
          <w:sz w:val="22"/>
          <w:szCs w:val="22"/>
        </w:rPr>
        <w:t>is</w:t>
      </w:r>
      <w:r w:rsidRPr="00F81021">
        <w:rPr>
          <w:rFonts w:cs="Arial"/>
          <w:sz w:val="22"/>
          <w:szCs w:val="22"/>
        </w:rPr>
        <w:t xml:space="preserve"> sent to avail himself of his preferential right to </w:t>
      </w:r>
      <w:r w:rsidR="00BE3E0E">
        <w:rPr>
          <w:rFonts w:cs="Arial"/>
          <w:sz w:val="22"/>
          <w:szCs w:val="22"/>
        </w:rPr>
        <w:t>acquire</w:t>
      </w:r>
      <w:r w:rsidRPr="00F81021">
        <w:rPr>
          <w:rFonts w:cs="Arial"/>
          <w:sz w:val="22"/>
          <w:szCs w:val="22"/>
        </w:rPr>
        <w:t xml:space="preserve"> the Richer Assets included in this offer.</w:t>
      </w:r>
      <w:r w:rsidR="0084114F" w:rsidRPr="00F81021">
        <w:rPr>
          <w:rFonts w:cs="Arial"/>
          <w:sz w:val="22"/>
          <w:szCs w:val="22"/>
        </w:rPr>
        <w:t xml:space="preserve"> </w:t>
      </w:r>
      <w:r w:rsidRPr="00F81021">
        <w:rPr>
          <w:rFonts w:cs="Arial"/>
          <w:sz w:val="22"/>
          <w:szCs w:val="22"/>
        </w:rPr>
        <w:t>Richer must</w:t>
      </w:r>
      <w:r w:rsidR="00105314">
        <w:rPr>
          <w:rFonts w:cs="Arial"/>
          <w:sz w:val="22"/>
          <w:szCs w:val="22"/>
        </w:rPr>
        <w:t xml:space="preserve"> inform Sirois</w:t>
      </w:r>
      <w:r w:rsidRPr="00F81021">
        <w:rPr>
          <w:rFonts w:cs="Arial"/>
          <w:sz w:val="22"/>
          <w:szCs w:val="22"/>
        </w:rPr>
        <w:t xml:space="preserve"> within </w:t>
      </w:r>
      <w:r w:rsidR="00695EC4">
        <w:rPr>
          <w:rFonts w:cs="Arial"/>
          <w:sz w:val="22"/>
          <w:szCs w:val="22"/>
        </w:rPr>
        <w:t>this</w:t>
      </w:r>
      <w:r w:rsidRPr="00F81021">
        <w:rPr>
          <w:rFonts w:cs="Arial"/>
          <w:sz w:val="22"/>
          <w:szCs w:val="22"/>
        </w:rPr>
        <w:t xml:space="preserve"> thirty (30) day</w:t>
      </w:r>
      <w:r w:rsidR="00695EC4">
        <w:rPr>
          <w:rFonts w:cs="Arial"/>
          <w:sz w:val="22"/>
          <w:szCs w:val="22"/>
        </w:rPr>
        <w:t xml:space="preserve"> period</w:t>
      </w:r>
      <w:r w:rsidRPr="00F81021">
        <w:rPr>
          <w:rFonts w:cs="Arial"/>
          <w:sz w:val="22"/>
          <w:szCs w:val="22"/>
        </w:rPr>
        <w:t xml:space="preserve">, with copy to the third party concerned, whether he intends to purchase the Richer Assets included in the offer, failing which he will be deemed to have refused to exercise his preferential right to </w:t>
      </w:r>
      <w:r w:rsidR="00695EC4">
        <w:rPr>
          <w:rFonts w:cs="Arial"/>
          <w:sz w:val="22"/>
          <w:szCs w:val="22"/>
        </w:rPr>
        <w:t>acquire</w:t>
      </w:r>
      <w:r w:rsidRPr="00F81021">
        <w:rPr>
          <w:rFonts w:cs="Arial"/>
          <w:sz w:val="22"/>
          <w:szCs w:val="22"/>
        </w:rPr>
        <w:t>.</w:t>
      </w:r>
    </w:p>
    <w:p w14:paraId="1DFA688F" w14:textId="77777777" w:rsidR="00844586" w:rsidRPr="00F81021" w:rsidRDefault="00844586" w:rsidP="00635DC3">
      <w:pPr>
        <w:ind w:left="708" w:hanging="708"/>
        <w:jc w:val="both"/>
        <w:rPr>
          <w:rFonts w:cs="Arial"/>
          <w:sz w:val="22"/>
          <w:szCs w:val="22"/>
        </w:rPr>
      </w:pPr>
    </w:p>
    <w:p w14:paraId="2A89FBEF" w14:textId="28EEB51C" w:rsidR="00844586" w:rsidRPr="00C61989" w:rsidRDefault="00F81021" w:rsidP="00635DC3">
      <w:pPr>
        <w:ind w:left="708" w:hanging="708"/>
        <w:jc w:val="both"/>
        <w:rPr>
          <w:rFonts w:cs="Arial"/>
          <w:sz w:val="22"/>
          <w:szCs w:val="22"/>
        </w:rPr>
      </w:pPr>
      <w:r w:rsidRPr="00C61989">
        <w:rPr>
          <w:rFonts w:cs="Arial"/>
          <w:sz w:val="22"/>
          <w:szCs w:val="22"/>
        </w:rPr>
        <w:t>4.2</w:t>
      </w:r>
      <w:r w:rsidR="0084114F" w:rsidRPr="00C61989">
        <w:rPr>
          <w:rFonts w:cs="Arial"/>
          <w:sz w:val="22"/>
          <w:szCs w:val="22"/>
        </w:rPr>
        <w:t xml:space="preserve"> </w:t>
      </w:r>
      <w:r w:rsidR="0084114F" w:rsidRPr="00C61989">
        <w:rPr>
          <w:rFonts w:cs="Arial"/>
          <w:sz w:val="22"/>
          <w:szCs w:val="22"/>
        </w:rPr>
        <w:tab/>
      </w:r>
      <w:r w:rsidR="00C61989" w:rsidRPr="00C61989">
        <w:rPr>
          <w:rFonts w:cs="Arial"/>
          <w:sz w:val="22"/>
          <w:szCs w:val="22"/>
        </w:rPr>
        <w:t xml:space="preserve">If Richer does not exercise his preferential right to </w:t>
      </w:r>
      <w:r w:rsidR="00695EC4">
        <w:rPr>
          <w:rFonts w:cs="Arial"/>
          <w:sz w:val="22"/>
          <w:szCs w:val="22"/>
        </w:rPr>
        <w:t>acquire</w:t>
      </w:r>
      <w:r w:rsidR="00C61989" w:rsidRPr="00C61989">
        <w:rPr>
          <w:rFonts w:cs="Arial"/>
          <w:sz w:val="22"/>
          <w:szCs w:val="22"/>
        </w:rPr>
        <w:t xml:space="preserve">, or is deemed to have refused to exercise it, the right of first refusal </w:t>
      </w:r>
      <w:r w:rsidR="00695EC4">
        <w:rPr>
          <w:rFonts w:cs="Arial"/>
          <w:sz w:val="22"/>
          <w:szCs w:val="22"/>
        </w:rPr>
        <w:t>set out</w:t>
      </w:r>
      <w:r w:rsidR="00C61989" w:rsidRPr="00C61989">
        <w:rPr>
          <w:rFonts w:cs="Arial"/>
          <w:sz w:val="22"/>
          <w:szCs w:val="22"/>
        </w:rPr>
        <w:t xml:space="preserve"> in </w:t>
      </w:r>
      <w:r w:rsidR="00695EC4">
        <w:rPr>
          <w:rFonts w:cs="Arial"/>
          <w:sz w:val="22"/>
          <w:szCs w:val="22"/>
        </w:rPr>
        <w:t>section</w:t>
      </w:r>
      <w:r w:rsidR="00C61989" w:rsidRPr="00C61989">
        <w:rPr>
          <w:rFonts w:cs="Arial"/>
          <w:sz w:val="22"/>
          <w:szCs w:val="22"/>
        </w:rPr>
        <w:t xml:space="preserve"> 4 </w:t>
      </w:r>
      <w:r w:rsidR="00692174">
        <w:rPr>
          <w:rFonts w:cs="Arial"/>
          <w:sz w:val="22"/>
          <w:szCs w:val="22"/>
        </w:rPr>
        <w:t xml:space="preserve">may be set up </w:t>
      </w:r>
      <w:r w:rsidR="00C61989" w:rsidRPr="00C61989">
        <w:rPr>
          <w:rFonts w:cs="Arial"/>
          <w:sz w:val="22"/>
          <w:szCs w:val="22"/>
        </w:rPr>
        <w:t xml:space="preserve">against Richer, </w:t>
      </w:r>
      <w:r w:rsidR="00695EC4">
        <w:rPr>
          <w:rFonts w:cs="Arial"/>
          <w:sz w:val="22"/>
          <w:szCs w:val="22"/>
        </w:rPr>
        <w:lastRenderedPageBreak/>
        <w:t xml:space="preserve">and Sirois may then sell the Richer Assets in question to the third party in accordance with the terms and conditions set out in the offer presented to Richer, </w:t>
      </w:r>
      <w:r w:rsidR="00C61989" w:rsidRPr="00C61989">
        <w:rPr>
          <w:rFonts w:cs="Arial"/>
          <w:sz w:val="22"/>
          <w:szCs w:val="22"/>
        </w:rPr>
        <w:t xml:space="preserve">subject to the provisions of </w:t>
      </w:r>
      <w:r w:rsidR="00695EC4">
        <w:rPr>
          <w:rFonts w:cs="Arial"/>
          <w:sz w:val="22"/>
          <w:szCs w:val="22"/>
        </w:rPr>
        <w:t>subsection</w:t>
      </w:r>
      <w:r w:rsidR="00C61989" w:rsidRPr="00C61989">
        <w:rPr>
          <w:rFonts w:cs="Arial"/>
          <w:sz w:val="22"/>
          <w:szCs w:val="22"/>
        </w:rPr>
        <w:t xml:space="preserve"> 3.3.</w:t>
      </w:r>
      <w:r w:rsidR="0084114F" w:rsidRPr="00C61989">
        <w:rPr>
          <w:rFonts w:cs="Arial"/>
          <w:sz w:val="22"/>
          <w:szCs w:val="22"/>
        </w:rPr>
        <w:t xml:space="preserve"> </w:t>
      </w:r>
      <w:r w:rsidR="00C61989" w:rsidRPr="00C61989">
        <w:rPr>
          <w:rFonts w:cs="Arial"/>
          <w:sz w:val="22"/>
          <w:szCs w:val="22"/>
        </w:rPr>
        <w:t xml:space="preserve">This transfer must be completed within a maximum of ninety (90) days from the end of the applicable </w:t>
      </w:r>
      <w:r w:rsidR="00243028">
        <w:rPr>
          <w:rFonts w:cs="Arial"/>
          <w:sz w:val="22"/>
          <w:szCs w:val="22"/>
        </w:rPr>
        <w:t xml:space="preserve">time </w:t>
      </w:r>
      <w:r w:rsidR="00695EC4">
        <w:rPr>
          <w:rFonts w:cs="Arial"/>
          <w:sz w:val="22"/>
          <w:szCs w:val="22"/>
        </w:rPr>
        <w:t>period</w:t>
      </w:r>
      <w:r w:rsidR="00C61989" w:rsidRPr="00C61989">
        <w:rPr>
          <w:rFonts w:cs="Arial"/>
          <w:sz w:val="22"/>
          <w:szCs w:val="22"/>
        </w:rPr>
        <w:t xml:space="preserve"> referred to in </w:t>
      </w:r>
      <w:r w:rsidR="00695EC4">
        <w:rPr>
          <w:rFonts w:cs="Arial"/>
          <w:sz w:val="22"/>
          <w:szCs w:val="22"/>
        </w:rPr>
        <w:t>subsection</w:t>
      </w:r>
      <w:r w:rsidR="00C61989" w:rsidRPr="00C61989">
        <w:rPr>
          <w:rFonts w:cs="Arial"/>
          <w:sz w:val="22"/>
          <w:szCs w:val="22"/>
        </w:rPr>
        <w:t xml:space="preserve"> 4.1. </w:t>
      </w:r>
    </w:p>
    <w:p w14:paraId="0A92CC54" w14:textId="77777777" w:rsidR="00844586" w:rsidRPr="00C61989" w:rsidRDefault="00844586" w:rsidP="00635DC3">
      <w:pPr>
        <w:ind w:left="708" w:hanging="708"/>
        <w:jc w:val="both"/>
        <w:rPr>
          <w:rFonts w:cs="Arial"/>
          <w:sz w:val="22"/>
          <w:szCs w:val="22"/>
        </w:rPr>
      </w:pPr>
    </w:p>
    <w:p w14:paraId="3CB57773" w14:textId="2856C5EA" w:rsidR="00844586" w:rsidRPr="00C61989" w:rsidRDefault="00C61989" w:rsidP="00635DC3">
      <w:pPr>
        <w:ind w:left="708" w:hanging="708"/>
        <w:jc w:val="both"/>
        <w:rPr>
          <w:rFonts w:cs="Arial"/>
          <w:sz w:val="22"/>
          <w:szCs w:val="22"/>
        </w:rPr>
      </w:pPr>
      <w:r w:rsidRPr="00C61989">
        <w:rPr>
          <w:rFonts w:cs="Arial"/>
          <w:sz w:val="22"/>
          <w:szCs w:val="22"/>
        </w:rPr>
        <w:t>4.3</w:t>
      </w:r>
      <w:r w:rsidR="0084114F" w:rsidRPr="00C61989">
        <w:rPr>
          <w:rFonts w:cs="Arial"/>
          <w:sz w:val="22"/>
          <w:szCs w:val="22"/>
        </w:rPr>
        <w:t xml:space="preserve"> </w:t>
      </w:r>
      <w:r w:rsidR="0084114F" w:rsidRPr="00C61989">
        <w:rPr>
          <w:rFonts w:cs="Arial"/>
          <w:sz w:val="22"/>
          <w:szCs w:val="22"/>
        </w:rPr>
        <w:tab/>
      </w:r>
      <w:r w:rsidRPr="00C61989">
        <w:rPr>
          <w:rFonts w:cs="Arial"/>
          <w:sz w:val="22"/>
          <w:szCs w:val="22"/>
        </w:rPr>
        <w:t xml:space="preserve">Should Sirois wish to assign the Richer Assets </w:t>
      </w:r>
      <w:r w:rsidR="006B02E9">
        <w:rPr>
          <w:rFonts w:cs="Arial"/>
          <w:sz w:val="22"/>
          <w:szCs w:val="22"/>
        </w:rPr>
        <w:t>in question</w:t>
      </w:r>
      <w:r w:rsidRPr="00C61989">
        <w:rPr>
          <w:rFonts w:cs="Arial"/>
          <w:sz w:val="22"/>
          <w:szCs w:val="22"/>
        </w:rPr>
        <w:t xml:space="preserve"> at a price and on terms and conditions that are less onerous than those stipulated in the offer presented to Richer, or if the sale of the Richer Assets </w:t>
      </w:r>
      <w:r w:rsidR="006B02E9">
        <w:rPr>
          <w:rFonts w:cs="Arial"/>
          <w:sz w:val="22"/>
          <w:szCs w:val="22"/>
        </w:rPr>
        <w:t xml:space="preserve">in question </w:t>
      </w:r>
      <w:r w:rsidRPr="00C61989">
        <w:rPr>
          <w:rFonts w:cs="Arial"/>
          <w:sz w:val="22"/>
          <w:szCs w:val="22"/>
        </w:rPr>
        <w:t xml:space="preserve">to a third party is not completed within the time </w:t>
      </w:r>
      <w:r w:rsidR="00243028">
        <w:rPr>
          <w:rFonts w:cs="Arial"/>
          <w:sz w:val="22"/>
          <w:szCs w:val="22"/>
        </w:rPr>
        <w:t xml:space="preserve">period </w:t>
      </w:r>
      <w:r w:rsidRPr="00C61989">
        <w:rPr>
          <w:rFonts w:cs="Arial"/>
          <w:sz w:val="22"/>
          <w:szCs w:val="22"/>
        </w:rPr>
        <w:t xml:space="preserve">stipulated </w:t>
      </w:r>
      <w:r w:rsidR="00243028">
        <w:rPr>
          <w:rFonts w:cs="Arial"/>
          <w:sz w:val="22"/>
          <w:szCs w:val="22"/>
        </w:rPr>
        <w:t>in</w:t>
      </w:r>
      <w:r w:rsidRPr="00C61989">
        <w:rPr>
          <w:rFonts w:cs="Arial"/>
          <w:sz w:val="22"/>
          <w:szCs w:val="22"/>
        </w:rPr>
        <w:t xml:space="preserve"> </w:t>
      </w:r>
      <w:r w:rsidR="00B20A17">
        <w:rPr>
          <w:rFonts w:cs="Arial"/>
          <w:sz w:val="22"/>
          <w:szCs w:val="22"/>
        </w:rPr>
        <w:t>sub</w:t>
      </w:r>
      <w:r w:rsidR="00243028">
        <w:rPr>
          <w:rFonts w:cs="Arial"/>
          <w:sz w:val="22"/>
          <w:szCs w:val="22"/>
        </w:rPr>
        <w:t>section</w:t>
      </w:r>
      <w:r w:rsidRPr="00C61989">
        <w:rPr>
          <w:rFonts w:cs="Arial"/>
          <w:sz w:val="22"/>
          <w:szCs w:val="22"/>
        </w:rPr>
        <w:t xml:space="preserve"> 4.2, </w:t>
      </w:r>
      <w:r w:rsidR="00692174">
        <w:rPr>
          <w:rFonts w:cs="Arial"/>
          <w:sz w:val="22"/>
          <w:szCs w:val="22"/>
        </w:rPr>
        <w:t>Sirois</w:t>
      </w:r>
      <w:r w:rsidRPr="00C61989">
        <w:rPr>
          <w:rFonts w:cs="Arial"/>
          <w:sz w:val="22"/>
          <w:szCs w:val="22"/>
        </w:rPr>
        <w:t xml:space="preserve"> will have to offer them again, every time, to Richer in accordance with the terms of </w:t>
      </w:r>
      <w:r w:rsidR="00243028">
        <w:rPr>
          <w:rFonts w:cs="Arial"/>
          <w:sz w:val="22"/>
          <w:szCs w:val="22"/>
        </w:rPr>
        <w:t>section</w:t>
      </w:r>
      <w:r w:rsidRPr="00C61989">
        <w:rPr>
          <w:rFonts w:cs="Arial"/>
          <w:sz w:val="22"/>
          <w:szCs w:val="22"/>
        </w:rPr>
        <w:t xml:space="preserve"> 4 before selling them to a third party, unless otherwise agreed by the Parties.</w:t>
      </w:r>
    </w:p>
    <w:p w14:paraId="18B454D1" w14:textId="77777777" w:rsidR="00844586" w:rsidRPr="00C61989" w:rsidRDefault="00844586" w:rsidP="00635DC3">
      <w:pPr>
        <w:jc w:val="both"/>
        <w:rPr>
          <w:rFonts w:cs="Arial"/>
          <w:b/>
          <w:bCs/>
          <w:sz w:val="22"/>
          <w:szCs w:val="22"/>
        </w:rPr>
      </w:pPr>
    </w:p>
    <w:p w14:paraId="592687D4" w14:textId="339D0C94" w:rsidR="00844586" w:rsidRPr="00B20A17" w:rsidRDefault="00C61989" w:rsidP="00635DC3">
      <w:pPr>
        <w:jc w:val="both"/>
        <w:rPr>
          <w:rFonts w:cs="Arial"/>
          <w:b/>
          <w:bCs/>
          <w:sz w:val="22"/>
          <w:szCs w:val="22"/>
        </w:rPr>
      </w:pPr>
      <w:r w:rsidRPr="00B20A17">
        <w:rPr>
          <w:rFonts w:cs="Arial"/>
          <w:b/>
          <w:bCs/>
          <w:sz w:val="22"/>
          <w:szCs w:val="22"/>
        </w:rPr>
        <w:t>(5)</w:t>
      </w:r>
      <w:r w:rsidR="0084114F" w:rsidRPr="00B20A17">
        <w:rPr>
          <w:rFonts w:cs="Arial"/>
          <w:b/>
          <w:bCs/>
          <w:sz w:val="22"/>
          <w:szCs w:val="22"/>
        </w:rPr>
        <w:t xml:space="preserve"> </w:t>
      </w:r>
      <w:r w:rsidR="0084114F" w:rsidRPr="00B20A17">
        <w:rPr>
          <w:rFonts w:cs="Arial"/>
          <w:b/>
          <w:bCs/>
          <w:sz w:val="22"/>
          <w:szCs w:val="22"/>
        </w:rPr>
        <w:tab/>
      </w:r>
      <w:r w:rsidRPr="00B20A17">
        <w:rPr>
          <w:rFonts w:cs="Arial"/>
          <w:b/>
          <w:bCs/>
          <w:sz w:val="22"/>
          <w:szCs w:val="22"/>
        </w:rPr>
        <w:t>RESILIATION OF THE AGREEMENT</w:t>
      </w:r>
    </w:p>
    <w:p w14:paraId="3635A8CE" w14:textId="77777777" w:rsidR="00844586" w:rsidRPr="00B20A17" w:rsidRDefault="00844586" w:rsidP="00635DC3">
      <w:pPr>
        <w:ind w:left="708" w:hanging="708"/>
        <w:jc w:val="both"/>
        <w:rPr>
          <w:rFonts w:cs="Arial"/>
          <w:sz w:val="22"/>
          <w:szCs w:val="22"/>
        </w:rPr>
      </w:pPr>
    </w:p>
    <w:p w14:paraId="4399CA0B" w14:textId="54219E16" w:rsidR="00844586" w:rsidRPr="0061618C" w:rsidRDefault="00C61989" w:rsidP="00635DC3">
      <w:pPr>
        <w:ind w:left="708" w:hanging="708"/>
        <w:jc w:val="both"/>
        <w:rPr>
          <w:rFonts w:cs="Arial"/>
          <w:sz w:val="22"/>
          <w:szCs w:val="22"/>
        </w:rPr>
      </w:pPr>
      <w:r w:rsidRPr="0061618C">
        <w:rPr>
          <w:rFonts w:cs="Arial"/>
          <w:sz w:val="22"/>
          <w:szCs w:val="22"/>
        </w:rPr>
        <w:t>5.1</w:t>
      </w:r>
      <w:r w:rsidR="0084114F" w:rsidRPr="0061618C">
        <w:rPr>
          <w:rFonts w:cs="Arial"/>
          <w:sz w:val="22"/>
          <w:szCs w:val="22"/>
        </w:rPr>
        <w:t xml:space="preserve"> </w:t>
      </w:r>
      <w:r w:rsidR="0084114F" w:rsidRPr="0061618C">
        <w:rPr>
          <w:rFonts w:cs="Arial"/>
          <w:sz w:val="22"/>
          <w:szCs w:val="22"/>
        </w:rPr>
        <w:tab/>
      </w:r>
      <w:r w:rsidR="0061618C" w:rsidRPr="0061618C">
        <w:rPr>
          <w:rFonts w:cs="Arial"/>
          <w:sz w:val="22"/>
          <w:szCs w:val="22"/>
        </w:rPr>
        <w:t xml:space="preserve">This </w:t>
      </w:r>
      <w:r w:rsidR="00051A3C">
        <w:rPr>
          <w:rFonts w:cs="Arial"/>
          <w:sz w:val="22"/>
          <w:szCs w:val="22"/>
        </w:rPr>
        <w:t>A</w:t>
      </w:r>
      <w:r w:rsidR="0061618C" w:rsidRPr="0061618C">
        <w:rPr>
          <w:rFonts w:cs="Arial"/>
          <w:sz w:val="22"/>
          <w:szCs w:val="22"/>
        </w:rPr>
        <w:t>greement may be resiliated by either of the Parties, in the following circumstances and according to these terms:</w:t>
      </w:r>
    </w:p>
    <w:p w14:paraId="7DE8CE5A" w14:textId="77777777" w:rsidR="00844586" w:rsidRPr="0061618C" w:rsidRDefault="00844586" w:rsidP="00635DC3">
      <w:pPr>
        <w:ind w:left="1416" w:hanging="708"/>
        <w:jc w:val="both"/>
        <w:rPr>
          <w:rFonts w:cs="Arial"/>
          <w:sz w:val="22"/>
          <w:szCs w:val="22"/>
        </w:rPr>
      </w:pPr>
    </w:p>
    <w:p w14:paraId="67414209" w14:textId="0E3B0263" w:rsidR="00844586" w:rsidRPr="0061618C" w:rsidRDefault="000B0795" w:rsidP="00635DC3">
      <w:pPr>
        <w:ind w:left="1416" w:hanging="708"/>
        <w:jc w:val="both"/>
        <w:rPr>
          <w:rFonts w:cs="Arial"/>
          <w:sz w:val="22"/>
          <w:szCs w:val="22"/>
        </w:rPr>
      </w:pPr>
      <w:r w:rsidRPr="00E8050B">
        <w:rPr>
          <w:rFonts w:cs="Arial"/>
          <w:sz w:val="22"/>
          <w:szCs w:val="22"/>
        </w:rPr>
        <w:t>(i)</w:t>
      </w:r>
      <w:r w:rsidR="0084114F" w:rsidRPr="0061618C">
        <w:rPr>
          <w:rFonts w:cs="Arial"/>
          <w:sz w:val="22"/>
          <w:szCs w:val="22"/>
        </w:rPr>
        <w:t xml:space="preserve"> </w:t>
      </w:r>
      <w:r w:rsidR="0084114F" w:rsidRPr="0061618C">
        <w:rPr>
          <w:rFonts w:cs="Arial"/>
          <w:sz w:val="22"/>
          <w:szCs w:val="22"/>
        </w:rPr>
        <w:tab/>
      </w:r>
      <w:r w:rsidR="0061618C" w:rsidRPr="0061618C">
        <w:rPr>
          <w:rFonts w:cs="Arial"/>
          <w:sz w:val="22"/>
          <w:szCs w:val="22"/>
        </w:rPr>
        <w:t xml:space="preserve">By Richer, between the date of this </w:t>
      </w:r>
      <w:r w:rsidR="00051A3C">
        <w:rPr>
          <w:rFonts w:cs="Arial"/>
          <w:sz w:val="22"/>
          <w:szCs w:val="22"/>
        </w:rPr>
        <w:t>A</w:t>
      </w:r>
      <w:r w:rsidR="0061618C" w:rsidRPr="0061618C">
        <w:rPr>
          <w:rFonts w:cs="Arial"/>
          <w:sz w:val="22"/>
          <w:szCs w:val="22"/>
        </w:rPr>
        <w:t xml:space="preserve">greement </w:t>
      </w:r>
      <w:r w:rsidR="00692174" w:rsidRPr="0061618C">
        <w:rPr>
          <w:rFonts w:cs="Arial"/>
          <w:sz w:val="22"/>
          <w:szCs w:val="22"/>
        </w:rPr>
        <w:t>and</w:t>
      </w:r>
      <w:r w:rsidR="0061618C" w:rsidRPr="0061618C">
        <w:rPr>
          <w:rFonts w:cs="Arial"/>
          <w:sz w:val="22"/>
          <w:szCs w:val="22"/>
        </w:rPr>
        <w:t xml:space="preserve"> the moment when the </w:t>
      </w:r>
      <w:r w:rsidR="00692174" w:rsidRPr="0061618C">
        <w:rPr>
          <w:rFonts w:cs="Arial"/>
          <w:sz w:val="22"/>
          <w:szCs w:val="22"/>
        </w:rPr>
        <w:t>Compensation</w:t>
      </w:r>
      <w:r w:rsidR="0061618C" w:rsidRPr="0061618C">
        <w:rPr>
          <w:rFonts w:cs="Arial"/>
          <w:sz w:val="22"/>
          <w:szCs w:val="22"/>
        </w:rPr>
        <w:t xml:space="preserve"> has been paid to him in full or December 31, 2016, whichever</w:t>
      </w:r>
      <w:r w:rsidR="00015133">
        <w:rPr>
          <w:rFonts w:cs="Arial"/>
          <w:sz w:val="22"/>
          <w:szCs w:val="22"/>
        </w:rPr>
        <w:t xml:space="preserve"> occurs first</w:t>
      </w:r>
      <w:r w:rsidR="0061618C" w:rsidRPr="0061618C">
        <w:rPr>
          <w:rFonts w:cs="Arial"/>
          <w:sz w:val="22"/>
          <w:szCs w:val="22"/>
        </w:rPr>
        <w:t xml:space="preserve">, in which case Richer will be obliged to purchase the Richer Assets from </w:t>
      </w:r>
      <w:proofErr w:type="spellStart"/>
      <w:r w:rsidR="0061618C" w:rsidRPr="0061618C">
        <w:rPr>
          <w:rFonts w:cs="Arial"/>
          <w:sz w:val="22"/>
          <w:szCs w:val="22"/>
        </w:rPr>
        <w:t>SiroisCo</w:t>
      </w:r>
      <w:proofErr w:type="spellEnd"/>
      <w:r w:rsidR="0061618C" w:rsidRPr="0061618C">
        <w:rPr>
          <w:rFonts w:cs="Arial"/>
          <w:sz w:val="22"/>
          <w:szCs w:val="22"/>
        </w:rPr>
        <w:t xml:space="preserve"> for an amount equal to the Investments </w:t>
      </w:r>
      <w:r w:rsidR="00015133">
        <w:rPr>
          <w:rFonts w:cs="Arial"/>
          <w:sz w:val="22"/>
          <w:szCs w:val="22"/>
        </w:rPr>
        <w:t>plus</w:t>
      </w:r>
      <w:r w:rsidR="0061618C" w:rsidRPr="0061618C">
        <w:rPr>
          <w:rFonts w:cs="Arial"/>
          <w:sz w:val="22"/>
          <w:szCs w:val="22"/>
        </w:rPr>
        <w:t xml:space="preserve"> a premium </w:t>
      </w:r>
      <w:r w:rsidR="00015133">
        <w:rPr>
          <w:rFonts w:cs="Arial"/>
          <w:sz w:val="22"/>
          <w:szCs w:val="22"/>
        </w:rPr>
        <w:t>of</w:t>
      </w:r>
      <w:r w:rsidR="0061618C" w:rsidRPr="0061618C">
        <w:rPr>
          <w:rFonts w:cs="Arial"/>
          <w:sz w:val="22"/>
          <w:szCs w:val="22"/>
        </w:rPr>
        <w:t xml:space="preserve"> ten per cent (10%) of </w:t>
      </w:r>
      <w:r w:rsidR="00015133">
        <w:rPr>
          <w:rFonts w:cs="Arial"/>
          <w:sz w:val="22"/>
          <w:szCs w:val="22"/>
        </w:rPr>
        <w:t>that</w:t>
      </w:r>
      <w:r w:rsidR="0061618C" w:rsidRPr="0061618C">
        <w:rPr>
          <w:rFonts w:cs="Arial"/>
          <w:sz w:val="22"/>
          <w:szCs w:val="22"/>
        </w:rPr>
        <w:t xml:space="preserve"> amount; or</w:t>
      </w:r>
    </w:p>
    <w:p w14:paraId="4D8F5079" w14:textId="77777777" w:rsidR="00844586" w:rsidRPr="0061618C" w:rsidRDefault="00844586" w:rsidP="00635DC3">
      <w:pPr>
        <w:ind w:left="1416" w:hanging="708"/>
        <w:jc w:val="both"/>
        <w:rPr>
          <w:rFonts w:cs="Arial"/>
          <w:sz w:val="22"/>
          <w:szCs w:val="22"/>
        </w:rPr>
      </w:pPr>
    </w:p>
    <w:p w14:paraId="0E0F1FCE" w14:textId="14155653" w:rsidR="00844586" w:rsidRPr="0061618C" w:rsidRDefault="0084114F" w:rsidP="00635DC3">
      <w:pPr>
        <w:ind w:left="1416" w:hanging="708"/>
        <w:jc w:val="both"/>
        <w:rPr>
          <w:rFonts w:cs="Arial"/>
          <w:sz w:val="22"/>
          <w:szCs w:val="22"/>
        </w:rPr>
      </w:pPr>
      <w:r w:rsidRPr="00E8050B">
        <w:rPr>
          <w:rFonts w:cs="Arial"/>
          <w:sz w:val="22"/>
          <w:szCs w:val="22"/>
        </w:rPr>
        <w:t>(ii)</w:t>
      </w:r>
      <w:r w:rsidRPr="0061618C">
        <w:rPr>
          <w:rFonts w:cs="Arial"/>
          <w:sz w:val="22"/>
          <w:szCs w:val="22"/>
        </w:rPr>
        <w:t xml:space="preserve"> </w:t>
      </w:r>
      <w:r w:rsidRPr="0061618C">
        <w:rPr>
          <w:rFonts w:cs="Arial"/>
          <w:sz w:val="22"/>
          <w:szCs w:val="22"/>
        </w:rPr>
        <w:tab/>
      </w:r>
      <w:r w:rsidR="0061618C" w:rsidRPr="0061618C">
        <w:rPr>
          <w:rFonts w:cs="Arial"/>
          <w:sz w:val="22"/>
          <w:szCs w:val="22"/>
        </w:rPr>
        <w:t xml:space="preserve">By either of the Parties, at any time after the </w:t>
      </w:r>
      <w:r w:rsidR="00E44179">
        <w:rPr>
          <w:rFonts w:cs="Arial"/>
          <w:sz w:val="22"/>
          <w:szCs w:val="22"/>
        </w:rPr>
        <w:t xml:space="preserve">occurrence of the </w:t>
      </w:r>
      <w:r w:rsidR="0061618C" w:rsidRPr="0061618C">
        <w:rPr>
          <w:rFonts w:cs="Arial"/>
          <w:sz w:val="22"/>
          <w:szCs w:val="22"/>
        </w:rPr>
        <w:t xml:space="preserve">Planned </w:t>
      </w:r>
      <w:r w:rsidR="00015133">
        <w:rPr>
          <w:rFonts w:cs="Arial"/>
          <w:sz w:val="22"/>
          <w:szCs w:val="22"/>
        </w:rPr>
        <w:t>T</w:t>
      </w:r>
      <w:r w:rsidR="0061618C" w:rsidRPr="0061618C">
        <w:rPr>
          <w:rFonts w:cs="Arial"/>
          <w:sz w:val="22"/>
          <w:szCs w:val="22"/>
        </w:rPr>
        <w:t xml:space="preserve">ransaction, in which case the provisions of </w:t>
      </w:r>
      <w:r w:rsidR="00015133">
        <w:rPr>
          <w:rFonts w:cs="Arial"/>
          <w:sz w:val="22"/>
          <w:szCs w:val="22"/>
        </w:rPr>
        <w:t>section</w:t>
      </w:r>
      <w:r w:rsidR="0061618C" w:rsidRPr="0061618C">
        <w:rPr>
          <w:rFonts w:cs="Arial"/>
          <w:sz w:val="22"/>
          <w:szCs w:val="22"/>
        </w:rPr>
        <w:t xml:space="preserve"> 6 will apply.</w:t>
      </w:r>
    </w:p>
    <w:p w14:paraId="7543E040" w14:textId="77777777" w:rsidR="00844586" w:rsidRPr="0061618C" w:rsidRDefault="00844586" w:rsidP="00635DC3">
      <w:pPr>
        <w:ind w:left="708" w:hanging="708"/>
        <w:jc w:val="both"/>
        <w:rPr>
          <w:rFonts w:cs="Arial"/>
          <w:sz w:val="22"/>
          <w:szCs w:val="22"/>
        </w:rPr>
      </w:pPr>
    </w:p>
    <w:p w14:paraId="47FEDCDA" w14:textId="6E40387F" w:rsidR="00844586" w:rsidRPr="0061618C" w:rsidRDefault="0061618C" w:rsidP="00635DC3">
      <w:pPr>
        <w:ind w:left="708" w:hanging="708"/>
        <w:jc w:val="both"/>
        <w:rPr>
          <w:rFonts w:cs="Arial"/>
          <w:sz w:val="22"/>
          <w:szCs w:val="22"/>
        </w:rPr>
      </w:pPr>
      <w:r w:rsidRPr="0061618C">
        <w:rPr>
          <w:rFonts w:cs="Arial"/>
          <w:sz w:val="22"/>
          <w:szCs w:val="22"/>
        </w:rPr>
        <w:t>5.2</w:t>
      </w:r>
      <w:r w:rsidR="0084114F" w:rsidRPr="0061618C">
        <w:rPr>
          <w:rFonts w:cs="Arial"/>
          <w:sz w:val="22"/>
          <w:szCs w:val="22"/>
        </w:rPr>
        <w:t xml:space="preserve"> </w:t>
      </w:r>
      <w:r w:rsidR="0084114F" w:rsidRPr="0061618C">
        <w:rPr>
          <w:rFonts w:cs="Arial"/>
          <w:sz w:val="22"/>
          <w:szCs w:val="22"/>
        </w:rPr>
        <w:tab/>
      </w:r>
      <w:r w:rsidRPr="0061618C">
        <w:rPr>
          <w:rFonts w:cs="Arial"/>
          <w:sz w:val="22"/>
          <w:szCs w:val="22"/>
        </w:rPr>
        <w:t xml:space="preserve">As long as the Agreement is not resiliated </w:t>
      </w:r>
      <w:r w:rsidR="00015133">
        <w:rPr>
          <w:rFonts w:cs="Arial"/>
          <w:sz w:val="22"/>
          <w:szCs w:val="22"/>
        </w:rPr>
        <w:t>in accordance with these terms</w:t>
      </w:r>
      <w:r w:rsidRPr="0061618C">
        <w:rPr>
          <w:rFonts w:cs="Arial"/>
          <w:sz w:val="22"/>
          <w:szCs w:val="22"/>
        </w:rPr>
        <w:t xml:space="preserve">, the </w:t>
      </w:r>
      <w:r w:rsidR="00692174" w:rsidRPr="0061618C">
        <w:rPr>
          <w:rFonts w:cs="Arial"/>
          <w:sz w:val="22"/>
          <w:szCs w:val="22"/>
        </w:rPr>
        <w:t>Compensation</w:t>
      </w:r>
      <w:r w:rsidRPr="0061618C">
        <w:rPr>
          <w:rFonts w:cs="Arial"/>
          <w:sz w:val="22"/>
          <w:szCs w:val="22"/>
        </w:rPr>
        <w:t xml:space="preserve"> </w:t>
      </w:r>
      <w:r w:rsidR="00015133">
        <w:rPr>
          <w:rFonts w:cs="Arial"/>
          <w:sz w:val="22"/>
          <w:szCs w:val="22"/>
        </w:rPr>
        <w:t>set out in</w:t>
      </w:r>
      <w:r w:rsidRPr="0061618C">
        <w:rPr>
          <w:rFonts w:cs="Arial"/>
          <w:sz w:val="22"/>
          <w:szCs w:val="22"/>
        </w:rPr>
        <w:t xml:space="preserve"> </w:t>
      </w:r>
      <w:r w:rsidR="00015133">
        <w:rPr>
          <w:rFonts w:cs="Arial"/>
          <w:sz w:val="22"/>
          <w:szCs w:val="22"/>
        </w:rPr>
        <w:t>subsection</w:t>
      </w:r>
      <w:r w:rsidRPr="0061618C">
        <w:rPr>
          <w:rFonts w:cs="Arial"/>
          <w:sz w:val="22"/>
          <w:szCs w:val="22"/>
        </w:rPr>
        <w:t xml:space="preserve"> 2.1 and the </w:t>
      </w:r>
      <w:r w:rsidR="00015133">
        <w:rPr>
          <w:rFonts w:cs="Arial"/>
          <w:sz w:val="22"/>
          <w:szCs w:val="22"/>
        </w:rPr>
        <w:t>earnings</w:t>
      </w:r>
      <w:r w:rsidRPr="0061618C">
        <w:rPr>
          <w:rFonts w:cs="Arial"/>
          <w:sz w:val="22"/>
          <w:szCs w:val="22"/>
        </w:rPr>
        <w:t xml:space="preserve"> and profits </w:t>
      </w:r>
      <w:r w:rsidR="00FD3DAD">
        <w:rPr>
          <w:rFonts w:cs="Arial"/>
          <w:sz w:val="22"/>
          <w:szCs w:val="22"/>
        </w:rPr>
        <w:t>payable to</w:t>
      </w:r>
      <w:r w:rsidRPr="0061618C">
        <w:rPr>
          <w:rFonts w:cs="Arial"/>
          <w:sz w:val="22"/>
          <w:szCs w:val="22"/>
        </w:rPr>
        <w:t xml:space="preserve"> Richer according to the terms and conditions </w:t>
      </w:r>
      <w:r w:rsidR="00FD3DAD">
        <w:rPr>
          <w:rFonts w:cs="Arial"/>
          <w:sz w:val="22"/>
          <w:szCs w:val="22"/>
        </w:rPr>
        <w:t>of</w:t>
      </w:r>
      <w:r w:rsidRPr="0061618C">
        <w:rPr>
          <w:rFonts w:cs="Arial"/>
          <w:sz w:val="22"/>
          <w:szCs w:val="22"/>
        </w:rPr>
        <w:t xml:space="preserve"> </w:t>
      </w:r>
      <w:r w:rsidR="00FD3DAD">
        <w:rPr>
          <w:rFonts w:cs="Arial"/>
          <w:sz w:val="22"/>
          <w:szCs w:val="22"/>
        </w:rPr>
        <w:t>subsection</w:t>
      </w:r>
      <w:r w:rsidRPr="0061618C">
        <w:rPr>
          <w:rFonts w:cs="Arial"/>
          <w:sz w:val="22"/>
          <w:szCs w:val="22"/>
        </w:rPr>
        <w:t xml:space="preserve"> 3.1 remain payable to him </w:t>
      </w:r>
      <w:r w:rsidR="00FD3DAD">
        <w:rPr>
          <w:rFonts w:cs="Arial"/>
          <w:sz w:val="22"/>
          <w:szCs w:val="22"/>
        </w:rPr>
        <w:t>de</w:t>
      </w:r>
      <w:r w:rsidRPr="0061618C">
        <w:rPr>
          <w:rFonts w:cs="Arial"/>
          <w:sz w:val="22"/>
          <w:szCs w:val="22"/>
        </w:rPr>
        <w:t xml:space="preserve">spite the </w:t>
      </w:r>
      <w:r w:rsidR="00FD3DAD">
        <w:rPr>
          <w:rFonts w:cs="Arial"/>
          <w:sz w:val="22"/>
          <w:szCs w:val="22"/>
        </w:rPr>
        <w:t xml:space="preserve">resiliation of the </w:t>
      </w:r>
      <w:r w:rsidRPr="0061618C">
        <w:rPr>
          <w:rFonts w:cs="Arial"/>
          <w:sz w:val="22"/>
          <w:szCs w:val="22"/>
        </w:rPr>
        <w:t xml:space="preserve">Employment </w:t>
      </w:r>
      <w:r w:rsidR="00FD3DAD">
        <w:rPr>
          <w:rFonts w:cs="Arial"/>
          <w:sz w:val="22"/>
          <w:szCs w:val="22"/>
        </w:rPr>
        <w:t>C</w:t>
      </w:r>
      <w:r w:rsidRPr="0061618C">
        <w:rPr>
          <w:rFonts w:cs="Arial"/>
          <w:sz w:val="22"/>
          <w:szCs w:val="22"/>
        </w:rPr>
        <w:t>ontract.</w:t>
      </w:r>
    </w:p>
    <w:p w14:paraId="176B7CBA" w14:textId="77777777" w:rsidR="00844586" w:rsidRPr="0061618C" w:rsidRDefault="00844586" w:rsidP="00635DC3">
      <w:pPr>
        <w:jc w:val="both"/>
        <w:rPr>
          <w:rFonts w:cs="Arial"/>
          <w:b/>
          <w:bCs/>
          <w:sz w:val="22"/>
          <w:szCs w:val="22"/>
        </w:rPr>
      </w:pPr>
    </w:p>
    <w:p w14:paraId="119CA3C5" w14:textId="5EE5FCF7" w:rsidR="00844586" w:rsidRPr="00A22A6F" w:rsidRDefault="0061618C" w:rsidP="00635DC3">
      <w:pPr>
        <w:jc w:val="both"/>
        <w:rPr>
          <w:rFonts w:cs="Arial"/>
          <w:b/>
          <w:bCs/>
          <w:sz w:val="22"/>
          <w:szCs w:val="22"/>
        </w:rPr>
      </w:pPr>
      <w:r w:rsidRPr="00A22A6F">
        <w:rPr>
          <w:rFonts w:cs="Arial"/>
          <w:b/>
          <w:bCs/>
          <w:sz w:val="22"/>
          <w:szCs w:val="22"/>
        </w:rPr>
        <w:t>(6)</w:t>
      </w:r>
      <w:r w:rsidR="0084114F" w:rsidRPr="00A22A6F">
        <w:rPr>
          <w:rFonts w:cs="Arial"/>
          <w:b/>
          <w:bCs/>
          <w:sz w:val="22"/>
          <w:szCs w:val="22"/>
        </w:rPr>
        <w:t xml:space="preserve"> </w:t>
      </w:r>
      <w:r w:rsidR="0084114F" w:rsidRPr="00A22A6F">
        <w:rPr>
          <w:rFonts w:cs="Arial"/>
          <w:b/>
          <w:bCs/>
          <w:sz w:val="22"/>
          <w:szCs w:val="22"/>
        </w:rPr>
        <w:tab/>
      </w:r>
      <w:r w:rsidRPr="00A22A6F">
        <w:rPr>
          <w:rFonts w:cs="Arial"/>
          <w:b/>
          <w:bCs/>
          <w:sz w:val="22"/>
          <w:szCs w:val="22"/>
        </w:rPr>
        <w:t>HIGHEST BID CLAUSE</w:t>
      </w:r>
    </w:p>
    <w:p w14:paraId="414378E2" w14:textId="77777777" w:rsidR="00844586" w:rsidRPr="00A22A6F" w:rsidRDefault="00844586" w:rsidP="00635DC3">
      <w:pPr>
        <w:jc w:val="both"/>
        <w:rPr>
          <w:rFonts w:cs="Arial"/>
          <w:sz w:val="22"/>
          <w:szCs w:val="22"/>
        </w:rPr>
      </w:pPr>
    </w:p>
    <w:p w14:paraId="54815868" w14:textId="18C12383" w:rsidR="00844586" w:rsidRPr="00A22A6F" w:rsidRDefault="00A22A6F" w:rsidP="00635DC3">
      <w:pPr>
        <w:jc w:val="both"/>
        <w:rPr>
          <w:rFonts w:cs="Arial"/>
          <w:sz w:val="22"/>
          <w:szCs w:val="22"/>
        </w:rPr>
      </w:pPr>
      <w:r w:rsidRPr="00A22A6F">
        <w:rPr>
          <w:rFonts w:cs="Arial"/>
          <w:sz w:val="22"/>
          <w:szCs w:val="22"/>
        </w:rPr>
        <w:t xml:space="preserve">Should one Party wish, for any reason whatsoever, </w:t>
      </w:r>
      <w:r w:rsidR="00692174">
        <w:rPr>
          <w:rFonts w:cs="Arial"/>
          <w:sz w:val="22"/>
          <w:szCs w:val="22"/>
        </w:rPr>
        <w:t xml:space="preserve">to </w:t>
      </w:r>
      <w:r w:rsidRPr="00A22A6F">
        <w:rPr>
          <w:rFonts w:cs="Arial"/>
          <w:sz w:val="22"/>
          <w:szCs w:val="22"/>
        </w:rPr>
        <w:t xml:space="preserve">resiliate this Agreement in accordance with </w:t>
      </w:r>
      <w:r w:rsidR="00984522">
        <w:rPr>
          <w:rFonts w:cs="Arial"/>
          <w:sz w:val="22"/>
          <w:szCs w:val="22"/>
        </w:rPr>
        <w:t>subsection</w:t>
      </w:r>
      <w:r w:rsidRPr="00A22A6F">
        <w:rPr>
          <w:rFonts w:cs="Arial"/>
          <w:sz w:val="22"/>
          <w:szCs w:val="22"/>
        </w:rPr>
        <w:t xml:space="preserve"> 5.1(ii), </w:t>
      </w:r>
      <w:r w:rsidR="00984522">
        <w:rPr>
          <w:rFonts w:cs="Arial"/>
          <w:sz w:val="22"/>
          <w:szCs w:val="22"/>
        </w:rPr>
        <w:t>that</w:t>
      </w:r>
      <w:r w:rsidRPr="00A22A6F">
        <w:rPr>
          <w:rFonts w:cs="Arial"/>
          <w:sz w:val="22"/>
          <w:szCs w:val="22"/>
        </w:rPr>
        <w:t xml:space="preserve"> Party may notify the other Party in writing (the “Notice”)</w:t>
      </w:r>
      <w:r w:rsidR="00984522">
        <w:rPr>
          <w:rFonts w:cs="Arial"/>
          <w:sz w:val="22"/>
          <w:szCs w:val="22"/>
        </w:rPr>
        <w:t>,</w:t>
      </w:r>
      <w:r w:rsidRPr="00A22A6F">
        <w:rPr>
          <w:rFonts w:cs="Arial"/>
          <w:sz w:val="22"/>
          <w:szCs w:val="22"/>
        </w:rPr>
        <w:t xml:space="preserve"> and the following provisions will then apply.</w:t>
      </w:r>
    </w:p>
    <w:p w14:paraId="0129739D" w14:textId="77777777" w:rsidR="00844586" w:rsidRPr="00A22A6F" w:rsidRDefault="00844586" w:rsidP="00635DC3">
      <w:pPr>
        <w:ind w:left="708" w:hanging="708"/>
        <w:jc w:val="both"/>
        <w:rPr>
          <w:rFonts w:cs="Arial"/>
          <w:sz w:val="22"/>
          <w:szCs w:val="22"/>
        </w:rPr>
      </w:pPr>
    </w:p>
    <w:p w14:paraId="2E44FBBE" w14:textId="077E8A93" w:rsidR="00844586" w:rsidRPr="00A22A6F" w:rsidRDefault="00A22A6F" w:rsidP="00635DC3">
      <w:pPr>
        <w:ind w:left="708" w:hanging="708"/>
        <w:jc w:val="both"/>
        <w:rPr>
          <w:rFonts w:cs="Arial"/>
          <w:sz w:val="22"/>
          <w:szCs w:val="22"/>
        </w:rPr>
      </w:pPr>
      <w:r w:rsidRPr="00A22A6F">
        <w:rPr>
          <w:rFonts w:cs="Arial"/>
          <w:sz w:val="22"/>
          <w:szCs w:val="22"/>
        </w:rPr>
        <w:t>6.1</w:t>
      </w:r>
      <w:r w:rsidR="0084114F" w:rsidRPr="00A22A6F">
        <w:rPr>
          <w:rFonts w:cs="Arial"/>
          <w:sz w:val="22"/>
          <w:szCs w:val="22"/>
        </w:rPr>
        <w:tab/>
      </w:r>
      <w:r w:rsidRPr="00A22A6F">
        <w:rPr>
          <w:rFonts w:cs="Arial"/>
          <w:sz w:val="22"/>
          <w:szCs w:val="22"/>
        </w:rPr>
        <w:t>Each Party will, within ninety (90) days of the date of the Notice (the “</w:t>
      </w:r>
      <w:r w:rsidRPr="00A22A6F">
        <w:rPr>
          <w:rFonts w:cs="Arial"/>
          <w:b/>
          <w:sz w:val="22"/>
          <w:szCs w:val="22"/>
        </w:rPr>
        <w:t xml:space="preserve">Preparation </w:t>
      </w:r>
      <w:r w:rsidR="00E63401">
        <w:rPr>
          <w:rFonts w:cs="Arial"/>
          <w:b/>
          <w:sz w:val="22"/>
          <w:szCs w:val="22"/>
        </w:rPr>
        <w:t>P</w:t>
      </w:r>
      <w:r w:rsidRPr="00A22A6F">
        <w:rPr>
          <w:rFonts w:cs="Arial"/>
          <w:b/>
          <w:sz w:val="22"/>
          <w:szCs w:val="22"/>
        </w:rPr>
        <w:t>eriod</w:t>
      </w:r>
      <w:r w:rsidRPr="00A22A6F">
        <w:rPr>
          <w:rFonts w:cs="Arial"/>
          <w:sz w:val="22"/>
          <w:szCs w:val="22"/>
        </w:rPr>
        <w:t xml:space="preserve">”), prepare a formal and </w:t>
      </w:r>
      <w:r w:rsidR="005C5C1E" w:rsidRPr="00A22A6F">
        <w:rPr>
          <w:rFonts w:cs="Arial"/>
          <w:sz w:val="22"/>
          <w:szCs w:val="22"/>
        </w:rPr>
        <w:t>irrevocable</w:t>
      </w:r>
      <w:r w:rsidRPr="00A22A6F">
        <w:rPr>
          <w:rFonts w:cs="Arial"/>
          <w:sz w:val="22"/>
          <w:szCs w:val="22"/>
        </w:rPr>
        <w:t xml:space="preserve"> offer </w:t>
      </w:r>
      <w:r w:rsidR="00E63401">
        <w:rPr>
          <w:rFonts w:cs="Arial"/>
          <w:sz w:val="22"/>
          <w:szCs w:val="22"/>
        </w:rPr>
        <w:t xml:space="preserve">addressed </w:t>
      </w:r>
      <w:r w:rsidRPr="00A22A6F">
        <w:rPr>
          <w:rFonts w:cs="Arial"/>
          <w:sz w:val="22"/>
          <w:szCs w:val="22"/>
        </w:rPr>
        <w:t xml:space="preserve">to the other Party to </w:t>
      </w:r>
      <w:r w:rsidR="001E344A">
        <w:rPr>
          <w:rFonts w:cs="Arial"/>
          <w:sz w:val="22"/>
          <w:szCs w:val="22"/>
        </w:rPr>
        <w:t>re</w:t>
      </w:r>
      <w:r w:rsidR="00BB2DA3">
        <w:rPr>
          <w:rFonts w:cs="Arial"/>
          <w:sz w:val="22"/>
          <w:szCs w:val="22"/>
        </w:rPr>
        <w:t>purchase</w:t>
      </w:r>
      <w:r w:rsidRPr="00A22A6F">
        <w:rPr>
          <w:rFonts w:cs="Arial"/>
          <w:sz w:val="22"/>
          <w:szCs w:val="22"/>
        </w:rPr>
        <w:t xml:space="preserve"> the other Party’s rights in the Agreement, at the price indicated in his offer.</w:t>
      </w:r>
      <w:r w:rsidR="0084114F" w:rsidRPr="00A22A6F">
        <w:rPr>
          <w:rFonts w:cs="Arial"/>
          <w:sz w:val="22"/>
          <w:szCs w:val="22"/>
        </w:rPr>
        <w:t xml:space="preserve"> </w:t>
      </w:r>
      <w:r w:rsidRPr="00A22A6F">
        <w:rPr>
          <w:rFonts w:cs="Arial"/>
          <w:sz w:val="22"/>
          <w:szCs w:val="22"/>
        </w:rPr>
        <w:t xml:space="preserve">The Parties must, within the first thirty (30) days of the Preparation </w:t>
      </w:r>
      <w:r w:rsidR="00E63401">
        <w:rPr>
          <w:rFonts w:cs="Arial"/>
          <w:sz w:val="22"/>
          <w:szCs w:val="22"/>
        </w:rPr>
        <w:t>P</w:t>
      </w:r>
      <w:r w:rsidRPr="00A22A6F">
        <w:rPr>
          <w:rFonts w:cs="Arial"/>
          <w:sz w:val="22"/>
          <w:szCs w:val="22"/>
        </w:rPr>
        <w:t xml:space="preserve">eriod, agree in writing on (1) the scope and extent of the rights included in the </w:t>
      </w:r>
      <w:r w:rsidR="001E344A">
        <w:rPr>
          <w:rFonts w:cs="Arial"/>
          <w:sz w:val="22"/>
          <w:szCs w:val="22"/>
        </w:rPr>
        <w:t>re</w:t>
      </w:r>
      <w:r w:rsidR="009E32F8">
        <w:rPr>
          <w:rFonts w:cs="Arial"/>
          <w:sz w:val="22"/>
          <w:szCs w:val="22"/>
        </w:rPr>
        <w:t>purchase</w:t>
      </w:r>
      <w:r w:rsidRPr="00A22A6F">
        <w:rPr>
          <w:rFonts w:cs="Arial"/>
          <w:sz w:val="22"/>
          <w:szCs w:val="22"/>
        </w:rPr>
        <w:t xml:space="preserve"> procedure, and (ii) the identity of the person in charge of managing the </w:t>
      </w:r>
      <w:r w:rsidR="005C5C1E" w:rsidRPr="00A22A6F">
        <w:rPr>
          <w:rFonts w:cs="Arial"/>
          <w:sz w:val="22"/>
          <w:szCs w:val="22"/>
        </w:rPr>
        <w:t>process</w:t>
      </w:r>
      <w:r w:rsidRPr="00A22A6F">
        <w:rPr>
          <w:rFonts w:cs="Arial"/>
          <w:sz w:val="22"/>
          <w:szCs w:val="22"/>
        </w:rPr>
        <w:t xml:space="preserve"> and opening the offers (the “</w:t>
      </w:r>
      <w:r w:rsidRPr="00A22A6F">
        <w:rPr>
          <w:rFonts w:cs="Arial"/>
          <w:b/>
          <w:sz w:val="22"/>
          <w:szCs w:val="22"/>
        </w:rPr>
        <w:t>Agent</w:t>
      </w:r>
      <w:r w:rsidRPr="00A22A6F">
        <w:rPr>
          <w:rFonts w:cs="Arial"/>
          <w:sz w:val="22"/>
          <w:szCs w:val="22"/>
        </w:rPr>
        <w:t>”), it being understood that the Agent must be a neutral and impartial person.</w:t>
      </w:r>
      <w:r w:rsidR="0084114F" w:rsidRPr="00A22A6F">
        <w:rPr>
          <w:rFonts w:cs="Arial"/>
          <w:sz w:val="22"/>
          <w:szCs w:val="22"/>
        </w:rPr>
        <w:t xml:space="preserve"> </w:t>
      </w:r>
      <w:r w:rsidRPr="00A22A6F">
        <w:rPr>
          <w:rFonts w:cs="Arial"/>
          <w:sz w:val="22"/>
          <w:szCs w:val="22"/>
        </w:rPr>
        <w:t xml:space="preserve">The </w:t>
      </w:r>
      <w:r w:rsidRPr="00A22A6F">
        <w:rPr>
          <w:rFonts w:cs="Arial"/>
          <w:sz w:val="22"/>
          <w:szCs w:val="22"/>
        </w:rPr>
        <w:lastRenderedPageBreak/>
        <w:t>fees and expenses of the Agent will be assumed in equal parts by the Parties.</w:t>
      </w:r>
      <w:r w:rsidR="0084114F" w:rsidRPr="00A22A6F">
        <w:rPr>
          <w:rFonts w:cs="Arial"/>
          <w:sz w:val="22"/>
          <w:szCs w:val="22"/>
        </w:rPr>
        <w:t xml:space="preserve"> </w:t>
      </w:r>
      <w:r w:rsidRPr="00A22A6F">
        <w:rPr>
          <w:rFonts w:cs="Arial"/>
          <w:sz w:val="22"/>
          <w:szCs w:val="22"/>
        </w:rPr>
        <w:t xml:space="preserve">The Parties may, as the case may be, </w:t>
      </w:r>
      <w:r w:rsidR="005C5C1E" w:rsidRPr="00A22A6F">
        <w:rPr>
          <w:rFonts w:cs="Arial"/>
          <w:sz w:val="22"/>
          <w:szCs w:val="22"/>
        </w:rPr>
        <w:t>mandate</w:t>
      </w:r>
      <w:r w:rsidRPr="00A22A6F">
        <w:rPr>
          <w:rFonts w:cs="Arial"/>
          <w:sz w:val="22"/>
          <w:szCs w:val="22"/>
        </w:rPr>
        <w:t xml:space="preserve"> the Agent to assist them in determining the rights included in the </w:t>
      </w:r>
      <w:r w:rsidR="001E344A">
        <w:rPr>
          <w:rFonts w:cs="Arial"/>
          <w:sz w:val="22"/>
          <w:szCs w:val="22"/>
        </w:rPr>
        <w:t>re</w:t>
      </w:r>
      <w:r w:rsidR="009E32F8">
        <w:rPr>
          <w:rFonts w:cs="Arial"/>
          <w:sz w:val="22"/>
          <w:szCs w:val="22"/>
        </w:rPr>
        <w:t>purchase</w:t>
      </w:r>
      <w:r w:rsidRPr="00A22A6F">
        <w:rPr>
          <w:rFonts w:cs="Arial"/>
          <w:sz w:val="22"/>
          <w:szCs w:val="22"/>
        </w:rPr>
        <w:t xml:space="preserve"> procedure.</w:t>
      </w:r>
      <w:r w:rsidR="0084114F" w:rsidRPr="00A22A6F">
        <w:rPr>
          <w:rFonts w:cs="Arial"/>
          <w:sz w:val="22"/>
          <w:szCs w:val="22"/>
        </w:rPr>
        <w:t xml:space="preserve"> </w:t>
      </w:r>
      <w:r w:rsidR="005C5C1E">
        <w:rPr>
          <w:rFonts w:cs="Arial"/>
          <w:sz w:val="22"/>
          <w:szCs w:val="22"/>
        </w:rPr>
        <w:t xml:space="preserve">Until </w:t>
      </w:r>
      <w:r w:rsidRPr="00A22A6F">
        <w:rPr>
          <w:rFonts w:cs="Arial"/>
          <w:sz w:val="22"/>
          <w:szCs w:val="22"/>
        </w:rPr>
        <w:t>the Parties</w:t>
      </w:r>
      <w:r w:rsidR="005C5C1E">
        <w:rPr>
          <w:rFonts w:cs="Arial"/>
          <w:sz w:val="22"/>
          <w:szCs w:val="22"/>
        </w:rPr>
        <w:t xml:space="preserve"> </w:t>
      </w:r>
      <w:r w:rsidR="001E344A">
        <w:rPr>
          <w:rFonts w:cs="Arial"/>
          <w:sz w:val="22"/>
          <w:szCs w:val="22"/>
        </w:rPr>
        <w:t>reach an agreement in this regard</w:t>
      </w:r>
      <w:r w:rsidRPr="00A22A6F">
        <w:rPr>
          <w:rFonts w:cs="Arial"/>
          <w:sz w:val="22"/>
          <w:szCs w:val="22"/>
        </w:rPr>
        <w:t xml:space="preserve">, the Preparation </w:t>
      </w:r>
      <w:r w:rsidR="001E344A">
        <w:rPr>
          <w:rFonts w:cs="Arial"/>
          <w:sz w:val="22"/>
          <w:szCs w:val="22"/>
        </w:rPr>
        <w:t>P</w:t>
      </w:r>
      <w:r w:rsidRPr="00A22A6F">
        <w:rPr>
          <w:rFonts w:cs="Arial"/>
          <w:sz w:val="22"/>
          <w:szCs w:val="22"/>
        </w:rPr>
        <w:t xml:space="preserve">eriod will be extended to allow </w:t>
      </w:r>
      <w:r w:rsidR="005C5C1E">
        <w:rPr>
          <w:rFonts w:cs="Arial"/>
          <w:sz w:val="22"/>
          <w:szCs w:val="22"/>
        </w:rPr>
        <w:t>t</w:t>
      </w:r>
      <w:r w:rsidRPr="00A22A6F">
        <w:rPr>
          <w:rFonts w:cs="Arial"/>
          <w:sz w:val="22"/>
          <w:szCs w:val="22"/>
        </w:rPr>
        <w:t xml:space="preserve">he Parties to each benefit from a minimum period of sixty (60) days </w:t>
      </w:r>
      <w:r w:rsidR="005C5C1E" w:rsidRPr="00A22A6F">
        <w:rPr>
          <w:rFonts w:cs="Arial"/>
          <w:sz w:val="22"/>
          <w:szCs w:val="22"/>
        </w:rPr>
        <w:t>following</w:t>
      </w:r>
      <w:r w:rsidRPr="00A22A6F">
        <w:rPr>
          <w:rFonts w:cs="Arial"/>
          <w:sz w:val="22"/>
          <w:szCs w:val="22"/>
        </w:rPr>
        <w:t xml:space="preserve"> </w:t>
      </w:r>
      <w:r w:rsidR="001E344A">
        <w:rPr>
          <w:rFonts w:cs="Arial"/>
          <w:sz w:val="22"/>
          <w:szCs w:val="22"/>
        </w:rPr>
        <w:t>such</w:t>
      </w:r>
      <w:r w:rsidRPr="00A22A6F">
        <w:rPr>
          <w:rFonts w:cs="Arial"/>
          <w:sz w:val="22"/>
          <w:szCs w:val="22"/>
        </w:rPr>
        <w:t xml:space="preserve"> agreement to prepare their offer.</w:t>
      </w:r>
      <w:r w:rsidR="0084114F" w:rsidRPr="00A22A6F">
        <w:rPr>
          <w:rFonts w:cs="Arial"/>
          <w:sz w:val="22"/>
          <w:szCs w:val="22"/>
        </w:rPr>
        <w:t xml:space="preserve"> </w:t>
      </w:r>
      <w:r w:rsidRPr="00A22A6F">
        <w:rPr>
          <w:rFonts w:cs="Arial"/>
          <w:sz w:val="22"/>
          <w:szCs w:val="22"/>
        </w:rPr>
        <w:t xml:space="preserve">Failure by one Party to submit an offer prior to the end of the Preparation </w:t>
      </w:r>
      <w:r w:rsidR="001E344A">
        <w:rPr>
          <w:rFonts w:cs="Arial"/>
          <w:sz w:val="22"/>
          <w:szCs w:val="22"/>
        </w:rPr>
        <w:t>P</w:t>
      </w:r>
      <w:r w:rsidRPr="00A22A6F">
        <w:rPr>
          <w:rFonts w:cs="Arial"/>
          <w:sz w:val="22"/>
          <w:szCs w:val="22"/>
        </w:rPr>
        <w:t xml:space="preserve">eriod will be deemed to constitute a renunciation on their part to make such an offer to the other Party. </w:t>
      </w:r>
    </w:p>
    <w:p w14:paraId="277A7A39" w14:textId="77777777" w:rsidR="00844586" w:rsidRPr="00A22A6F" w:rsidRDefault="00844586" w:rsidP="00635DC3">
      <w:pPr>
        <w:jc w:val="both"/>
        <w:rPr>
          <w:rFonts w:cs="Arial"/>
          <w:sz w:val="22"/>
          <w:szCs w:val="22"/>
        </w:rPr>
      </w:pPr>
    </w:p>
    <w:p w14:paraId="20AFA5A7" w14:textId="227D591E" w:rsidR="00844586" w:rsidRPr="00A22A6F" w:rsidRDefault="00A22A6F" w:rsidP="00635DC3">
      <w:pPr>
        <w:jc w:val="both"/>
        <w:rPr>
          <w:rFonts w:cs="Arial"/>
          <w:sz w:val="22"/>
          <w:szCs w:val="22"/>
        </w:rPr>
      </w:pPr>
      <w:r w:rsidRPr="00A22A6F">
        <w:rPr>
          <w:rFonts w:cs="Arial"/>
          <w:sz w:val="22"/>
          <w:szCs w:val="22"/>
        </w:rPr>
        <w:t>6.2</w:t>
      </w:r>
      <w:r w:rsidR="0084114F" w:rsidRPr="00A22A6F">
        <w:rPr>
          <w:rFonts w:cs="Arial"/>
          <w:sz w:val="22"/>
          <w:szCs w:val="22"/>
        </w:rPr>
        <w:tab/>
      </w:r>
      <w:r w:rsidRPr="00A22A6F">
        <w:rPr>
          <w:rFonts w:cs="Arial"/>
          <w:sz w:val="22"/>
          <w:szCs w:val="22"/>
        </w:rPr>
        <w:t>To be valid, each offer must meet the following criteria</w:t>
      </w:r>
      <w:r w:rsidR="003B4940">
        <w:rPr>
          <w:rFonts w:cs="Arial"/>
          <w:sz w:val="22"/>
          <w:szCs w:val="22"/>
        </w:rPr>
        <w:t>. I</w:t>
      </w:r>
      <w:r w:rsidR="0023104B">
        <w:rPr>
          <w:rFonts w:cs="Arial"/>
          <w:sz w:val="22"/>
          <w:szCs w:val="22"/>
        </w:rPr>
        <w:t>t must</w:t>
      </w:r>
      <w:r w:rsidRPr="00A22A6F">
        <w:rPr>
          <w:rFonts w:cs="Arial"/>
          <w:sz w:val="22"/>
          <w:szCs w:val="22"/>
        </w:rPr>
        <w:t>:</w:t>
      </w:r>
    </w:p>
    <w:p w14:paraId="0D72B7B3" w14:textId="77777777" w:rsidR="00844586" w:rsidRPr="00A22A6F" w:rsidRDefault="00844586" w:rsidP="00635DC3">
      <w:pPr>
        <w:ind w:left="1416" w:hanging="708"/>
        <w:jc w:val="both"/>
        <w:rPr>
          <w:rFonts w:cs="Arial"/>
          <w:sz w:val="22"/>
          <w:szCs w:val="22"/>
        </w:rPr>
      </w:pPr>
    </w:p>
    <w:p w14:paraId="04FDF675" w14:textId="1B8D09FC" w:rsidR="00844586" w:rsidRPr="00A22A6F" w:rsidRDefault="00A22A6F" w:rsidP="00635DC3">
      <w:pPr>
        <w:ind w:left="1416" w:hanging="708"/>
        <w:jc w:val="both"/>
        <w:rPr>
          <w:rFonts w:cs="Arial"/>
          <w:sz w:val="22"/>
          <w:szCs w:val="22"/>
        </w:rPr>
      </w:pPr>
      <w:r w:rsidRPr="00A22A6F">
        <w:rPr>
          <w:rFonts w:cs="Arial"/>
          <w:sz w:val="22"/>
          <w:szCs w:val="22"/>
        </w:rPr>
        <w:t>6.2.1</w:t>
      </w:r>
      <w:r w:rsidR="0084114F" w:rsidRPr="00A22A6F">
        <w:rPr>
          <w:rFonts w:cs="Arial"/>
          <w:sz w:val="22"/>
          <w:szCs w:val="22"/>
        </w:rPr>
        <w:t xml:space="preserve"> </w:t>
      </w:r>
      <w:r w:rsidR="0084114F" w:rsidRPr="00A22A6F">
        <w:rPr>
          <w:rFonts w:cs="Arial"/>
          <w:sz w:val="22"/>
          <w:szCs w:val="22"/>
        </w:rPr>
        <w:tab/>
      </w:r>
      <w:r w:rsidR="0023104B">
        <w:rPr>
          <w:rFonts w:cs="Arial"/>
          <w:sz w:val="22"/>
          <w:szCs w:val="22"/>
        </w:rPr>
        <w:t>B</w:t>
      </w:r>
      <w:r w:rsidRPr="00A22A6F">
        <w:rPr>
          <w:rFonts w:cs="Arial"/>
          <w:sz w:val="22"/>
          <w:szCs w:val="22"/>
        </w:rPr>
        <w:t xml:space="preserve">e addressed to </w:t>
      </w:r>
      <w:r w:rsidR="0023104B" w:rsidRPr="00A22A6F">
        <w:rPr>
          <w:rFonts w:cs="Arial"/>
          <w:sz w:val="22"/>
          <w:szCs w:val="22"/>
        </w:rPr>
        <w:t>the</w:t>
      </w:r>
      <w:r w:rsidRPr="00A22A6F">
        <w:rPr>
          <w:rFonts w:cs="Arial"/>
          <w:sz w:val="22"/>
          <w:szCs w:val="22"/>
        </w:rPr>
        <w:t xml:space="preserve"> other Party, sealed, and given to the Agent no later than 5:00</w:t>
      </w:r>
      <w:r w:rsidR="00C46DEE">
        <w:rPr>
          <w:rFonts w:cs="Arial"/>
          <w:sz w:val="22"/>
          <w:szCs w:val="22"/>
        </w:rPr>
        <w:t> </w:t>
      </w:r>
      <w:r w:rsidRPr="00A22A6F">
        <w:rPr>
          <w:rFonts w:cs="Arial"/>
          <w:sz w:val="22"/>
          <w:szCs w:val="22"/>
        </w:rPr>
        <w:t xml:space="preserve">p.m. (Montreal time), on the last day of the Preparation </w:t>
      </w:r>
      <w:r w:rsidR="00C46DEE">
        <w:rPr>
          <w:rFonts w:cs="Arial"/>
          <w:sz w:val="22"/>
          <w:szCs w:val="22"/>
        </w:rPr>
        <w:t>P</w:t>
      </w:r>
      <w:r w:rsidRPr="00A22A6F">
        <w:rPr>
          <w:rFonts w:cs="Arial"/>
          <w:sz w:val="22"/>
          <w:szCs w:val="22"/>
        </w:rPr>
        <w:t>eriod;</w:t>
      </w:r>
    </w:p>
    <w:p w14:paraId="1DE4869D" w14:textId="77777777" w:rsidR="00844586" w:rsidRPr="00A22A6F" w:rsidRDefault="00844586" w:rsidP="00635DC3">
      <w:pPr>
        <w:ind w:left="1416" w:hanging="708"/>
        <w:jc w:val="both"/>
        <w:rPr>
          <w:rFonts w:cs="Arial"/>
          <w:sz w:val="22"/>
          <w:szCs w:val="22"/>
        </w:rPr>
      </w:pPr>
    </w:p>
    <w:p w14:paraId="630CF549" w14:textId="3CA6E1B0" w:rsidR="00844586" w:rsidRPr="00A22A6F" w:rsidRDefault="00A22A6F" w:rsidP="00635DC3">
      <w:pPr>
        <w:ind w:left="1416" w:hanging="708"/>
        <w:jc w:val="both"/>
        <w:rPr>
          <w:rFonts w:cs="Arial"/>
          <w:sz w:val="22"/>
          <w:szCs w:val="22"/>
        </w:rPr>
      </w:pPr>
      <w:r w:rsidRPr="00A22A6F">
        <w:rPr>
          <w:rFonts w:cs="Arial"/>
          <w:sz w:val="22"/>
          <w:szCs w:val="22"/>
        </w:rPr>
        <w:t>6.2.2</w:t>
      </w:r>
      <w:r w:rsidR="0084114F" w:rsidRPr="00A22A6F">
        <w:rPr>
          <w:rFonts w:cs="Arial"/>
          <w:sz w:val="22"/>
          <w:szCs w:val="22"/>
        </w:rPr>
        <w:t xml:space="preserve"> </w:t>
      </w:r>
      <w:r w:rsidR="0084114F" w:rsidRPr="00A22A6F">
        <w:rPr>
          <w:rFonts w:cs="Arial"/>
          <w:sz w:val="22"/>
          <w:szCs w:val="22"/>
        </w:rPr>
        <w:tab/>
      </w:r>
      <w:r w:rsidR="0023104B">
        <w:rPr>
          <w:rFonts w:cs="Arial"/>
          <w:sz w:val="22"/>
          <w:szCs w:val="22"/>
        </w:rPr>
        <w:t>Include s</w:t>
      </w:r>
      <w:r w:rsidRPr="00A22A6F">
        <w:rPr>
          <w:rFonts w:cs="Arial"/>
          <w:sz w:val="22"/>
          <w:szCs w:val="22"/>
        </w:rPr>
        <w:t xml:space="preserve">atisfactory proof (bank certification or other) that the Party has the necessary </w:t>
      </w:r>
      <w:r w:rsidR="00C46DEE">
        <w:rPr>
          <w:rFonts w:cs="Arial"/>
          <w:sz w:val="22"/>
          <w:szCs w:val="22"/>
        </w:rPr>
        <w:t>liquidity</w:t>
      </w:r>
      <w:r w:rsidRPr="00A22A6F">
        <w:rPr>
          <w:rFonts w:cs="Arial"/>
          <w:sz w:val="22"/>
          <w:szCs w:val="22"/>
        </w:rPr>
        <w:t xml:space="preserve"> or financing to pay the price offered in his offer;</w:t>
      </w:r>
    </w:p>
    <w:p w14:paraId="032AD537" w14:textId="77777777" w:rsidR="00844586" w:rsidRPr="00A22A6F" w:rsidRDefault="00844586" w:rsidP="00635DC3">
      <w:pPr>
        <w:ind w:left="1416" w:hanging="708"/>
        <w:jc w:val="both"/>
        <w:rPr>
          <w:rFonts w:cs="Arial"/>
          <w:sz w:val="22"/>
          <w:szCs w:val="22"/>
        </w:rPr>
      </w:pPr>
    </w:p>
    <w:p w14:paraId="1D425921" w14:textId="0E9AB23C" w:rsidR="00844586" w:rsidRPr="00A22A6F" w:rsidRDefault="00A22A6F" w:rsidP="00635DC3">
      <w:pPr>
        <w:ind w:left="1416" w:hanging="708"/>
        <w:jc w:val="both"/>
        <w:rPr>
          <w:rFonts w:cs="Arial"/>
          <w:sz w:val="22"/>
          <w:szCs w:val="22"/>
        </w:rPr>
      </w:pPr>
      <w:r w:rsidRPr="00A22A6F">
        <w:rPr>
          <w:rFonts w:cs="Arial"/>
          <w:sz w:val="22"/>
          <w:szCs w:val="22"/>
        </w:rPr>
        <w:t>6.2.3</w:t>
      </w:r>
      <w:r w:rsidR="0084114F" w:rsidRPr="00A22A6F">
        <w:rPr>
          <w:rFonts w:cs="Arial"/>
          <w:sz w:val="22"/>
          <w:szCs w:val="22"/>
        </w:rPr>
        <w:tab/>
      </w:r>
      <w:r w:rsidR="0023104B">
        <w:rPr>
          <w:rFonts w:cs="Arial"/>
          <w:sz w:val="22"/>
          <w:szCs w:val="22"/>
        </w:rPr>
        <w:t>I</w:t>
      </w:r>
      <w:r w:rsidRPr="00A22A6F">
        <w:rPr>
          <w:rFonts w:cs="Arial"/>
          <w:sz w:val="22"/>
          <w:szCs w:val="22"/>
        </w:rPr>
        <w:t>nclude all the other Party’s rights in the Agreement, as first determined by mutual agreement between the Parties; and</w:t>
      </w:r>
    </w:p>
    <w:p w14:paraId="1561F8AC" w14:textId="77777777" w:rsidR="00844586" w:rsidRPr="00A22A6F" w:rsidRDefault="00844586" w:rsidP="00635DC3">
      <w:pPr>
        <w:ind w:left="1416" w:hanging="708"/>
        <w:jc w:val="both"/>
        <w:rPr>
          <w:rFonts w:cs="Arial"/>
          <w:sz w:val="22"/>
          <w:szCs w:val="22"/>
        </w:rPr>
      </w:pPr>
    </w:p>
    <w:p w14:paraId="6A8D9302" w14:textId="623778A8" w:rsidR="00844586" w:rsidRPr="00A22A6F" w:rsidRDefault="00A22A6F" w:rsidP="00635DC3">
      <w:pPr>
        <w:ind w:left="1416" w:hanging="708"/>
        <w:jc w:val="both"/>
        <w:rPr>
          <w:rFonts w:cs="Arial"/>
          <w:sz w:val="22"/>
          <w:szCs w:val="22"/>
        </w:rPr>
      </w:pPr>
      <w:r w:rsidRPr="00A22A6F">
        <w:rPr>
          <w:rFonts w:cs="Arial"/>
          <w:sz w:val="22"/>
          <w:szCs w:val="22"/>
        </w:rPr>
        <w:t>6.2.4</w:t>
      </w:r>
      <w:r w:rsidR="0084114F" w:rsidRPr="00A22A6F">
        <w:rPr>
          <w:rFonts w:cs="Arial"/>
          <w:sz w:val="22"/>
          <w:szCs w:val="22"/>
        </w:rPr>
        <w:tab/>
      </w:r>
      <w:r w:rsidR="0023104B">
        <w:rPr>
          <w:rFonts w:cs="Arial"/>
          <w:sz w:val="22"/>
          <w:szCs w:val="22"/>
        </w:rPr>
        <w:t>B</w:t>
      </w:r>
      <w:r w:rsidRPr="00A22A6F">
        <w:rPr>
          <w:rFonts w:cs="Arial"/>
          <w:sz w:val="22"/>
          <w:szCs w:val="22"/>
        </w:rPr>
        <w:t>e made for a cash amount, excluding any other method of payment (property exchanges, etc.)</w:t>
      </w:r>
    </w:p>
    <w:p w14:paraId="544D9A3A" w14:textId="77777777" w:rsidR="00844586" w:rsidRPr="00A22A6F" w:rsidRDefault="00844586" w:rsidP="00635DC3">
      <w:pPr>
        <w:ind w:left="708" w:hanging="708"/>
        <w:jc w:val="both"/>
        <w:rPr>
          <w:rFonts w:cs="Arial"/>
          <w:sz w:val="22"/>
          <w:szCs w:val="22"/>
        </w:rPr>
      </w:pPr>
    </w:p>
    <w:p w14:paraId="40228F7E" w14:textId="6BCC1C35" w:rsidR="00844586" w:rsidRPr="00A22A6F" w:rsidRDefault="00A22A6F" w:rsidP="00635DC3">
      <w:pPr>
        <w:ind w:left="708" w:hanging="708"/>
        <w:jc w:val="both"/>
        <w:rPr>
          <w:rFonts w:cs="Arial"/>
          <w:sz w:val="22"/>
          <w:szCs w:val="22"/>
        </w:rPr>
      </w:pPr>
      <w:r w:rsidRPr="00A22A6F">
        <w:rPr>
          <w:rFonts w:cs="Arial"/>
          <w:sz w:val="22"/>
          <w:szCs w:val="22"/>
        </w:rPr>
        <w:t>6.3</w:t>
      </w:r>
      <w:r w:rsidR="0084114F" w:rsidRPr="00A22A6F">
        <w:rPr>
          <w:rFonts w:cs="Arial"/>
          <w:sz w:val="22"/>
          <w:szCs w:val="22"/>
        </w:rPr>
        <w:t xml:space="preserve"> </w:t>
      </w:r>
      <w:r w:rsidR="0084114F" w:rsidRPr="00A22A6F">
        <w:rPr>
          <w:rFonts w:cs="Arial"/>
          <w:sz w:val="22"/>
          <w:szCs w:val="22"/>
        </w:rPr>
        <w:tab/>
      </w:r>
      <w:r w:rsidRPr="00A22A6F">
        <w:rPr>
          <w:rFonts w:cs="Arial"/>
          <w:sz w:val="22"/>
          <w:szCs w:val="22"/>
        </w:rPr>
        <w:t xml:space="preserve">Once the Preparation </w:t>
      </w:r>
      <w:r w:rsidR="008E20EA">
        <w:rPr>
          <w:rFonts w:cs="Arial"/>
          <w:sz w:val="22"/>
          <w:szCs w:val="22"/>
        </w:rPr>
        <w:t>P</w:t>
      </w:r>
      <w:r w:rsidRPr="00A22A6F">
        <w:rPr>
          <w:rFonts w:cs="Arial"/>
          <w:sz w:val="22"/>
          <w:szCs w:val="22"/>
        </w:rPr>
        <w:t xml:space="preserve">eriod </w:t>
      </w:r>
      <w:r w:rsidR="008E20EA">
        <w:rPr>
          <w:rFonts w:cs="Arial"/>
          <w:sz w:val="22"/>
          <w:szCs w:val="22"/>
        </w:rPr>
        <w:t>has</w:t>
      </w:r>
      <w:r w:rsidRPr="00A22A6F">
        <w:rPr>
          <w:rFonts w:cs="Arial"/>
          <w:sz w:val="22"/>
          <w:szCs w:val="22"/>
        </w:rPr>
        <w:t xml:space="preserve"> expired, the sealed offers will be opened by the Agent, in the Parties’ presence.</w:t>
      </w:r>
      <w:r w:rsidR="0084114F" w:rsidRPr="00A22A6F">
        <w:rPr>
          <w:rFonts w:cs="Arial"/>
          <w:sz w:val="22"/>
          <w:szCs w:val="22"/>
        </w:rPr>
        <w:t xml:space="preserve"> </w:t>
      </w:r>
      <w:r w:rsidRPr="00A22A6F">
        <w:rPr>
          <w:rFonts w:cs="Arial"/>
          <w:sz w:val="22"/>
          <w:szCs w:val="22"/>
        </w:rPr>
        <w:t xml:space="preserve">Subject to the offer complying with the conditions set out in this Agreement, the Party offering the highest amount to </w:t>
      </w:r>
      <w:r w:rsidR="009C55EB">
        <w:rPr>
          <w:rFonts w:cs="Arial"/>
          <w:sz w:val="22"/>
          <w:szCs w:val="22"/>
        </w:rPr>
        <w:t>repurchase</w:t>
      </w:r>
      <w:r w:rsidRPr="00A22A6F">
        <w:rPr>
          <w:rFonts w:cs="Arial"/>
          <w:sz w:val="22"/>
          <w:szCs w:val="22"/>
        </w:rPr>
        <w:t xml:space="preserve"> the rights of the other Party </w:t>
      </w:r>
      <w:r w:rsidR="009C55EB">
        <w:rPr>
          <w:rFonts w:cs="Arial"/>
          <w:sz w:val="22"/>
          <w:szCs w:val="22"/>
        </w:rPr>
        <w:t>in</w:t>
      </w:r>
      <w:r w:rsidRPr="00A22A6F">
        <w:rPr>
          <w:rFonts w:cs="Arial"/>
          <w:sz w:val="22"/>
          <w:szCs w:val="22"/>
        </w:rPr>
        <w:t xml:space="preserve"> the Agreement will win the bidding process</w:t>
      </w:r>
      <w:r w:rsidR="001E2B38">
        <w:rPr>
          <w:rFonts w:cs="Arial"/>
          <w:sz w:val="22"/>
          <w:szCs w:val="22"/>
        </w:rPr>
        <w:t>.</w:t>
      </w:r>
      <w:r w:rsidRPr="00A22A6F">
        <w:rPr>
          <w:rFonts w:cs="Arial"/>
          <w:sz w:val="22"/>
          <w:szCs w:val="22"/>
        </w:rPr>
        <w:t xml:space="preserve"> </w:t>
      </w:r>
      <w:r w:rsidR="001E2B38">
        <w:rPr>
          <w:rFonts w:cs="Arial"/>
          <w:sz w:val="22"/>
          <w:szCs w:val="22"/>
        </w:rPr>
        <w:t>T</w:t>
      </w:r>
      <w:r w:rsidRPr="00A22A6F">
        <w:rPr>
          <w:rFonts w:cs="Arial"/>
          <w:sz w:val="22"/>
          <w:szCs w:val="22"/>
        </w:rPr>
        <w:t xml:space="preserve">hat Party </w:t>
      </w:r>
      <w:r w:rsidR="009C55EB">
        <w:rPr>
          <w:rFonts w:cs="Arial"/>
          <w:sz w:val="22"/>
          <w:szCs w:val="22"/>
        </w:rPr>
        <w:t xml:space="preserve">undertakes to </w:t>
      </w:r>
      <w:r w:rsidRPr="00A22A6F">
        <w:rPr>
          <w:rFonts w:cs="Arial"/>
          <w:sz w:val="22"/>
          <w:szCs w:val="22"/>
        </w:rPr>
        <w:t xml:space="preserve">then immediately </w:t>
      </w:r>
      <w:r w:rsidR="009C55EB">
        <w:rPr>
          <w:rFonts w:cs="Arial"/>
          <w:sz w:val="22"/>
          <w:szCs w:val="22"/>
        </w:rPr>
        <w:t>repurchase</w:t>
      </w:r>
      <w:r w:rsidRPr="00A22A6F">
        <w:rPr>
          <w:rFonts w:cs="Arial"/>
          <w:sz w:val="22"/>
          <w:szCs w:val="22"/>
        </w:rPr>
        <w:t xml:space="preserve"> </w:t>
      </w:r>
      <w:r w:rsidR="009C55EB">
        <w:rPr>
          <w:rFonts w:cs="Arial"/>
          <w:sz w:val="22"/>
          <w:szCs w:val="22"/>
        </w:rPr>
        <w:t>those</w:t>
      </w:r>
      <w:r w:rsidRPr="00A22A6F">
        <w:rPr>
          <w:rFonts w:cs="Arial"/>
          <w:sz w:val="22"/>
          <w:szCs w:val="22"/>
        </w:rPr>
        <w:t xml:space="preserve"> rights for the amount indicated in his offer.</w:t>
      </w:r>
      <w:r w:rsidR="0084114F" w:rsidRPr="00A22A6F">
        <w:rPr>
          <w:rFonts w:cs="Arial"/>
          <w:sz w:val="22"/>
          <w:szCs w:val="22"/>
        </w:rPr>
        <w:t xml:space="preserve"> </w:t>
      </w:r>
      <w:r w:rsidRPr="00A22A6F">
        <w:rPr>
          <w:rFonts w:cs="Arial"/>
          <w:sz w:val="22"/>
          <w:szCs w:val="22"/>
        </w:rPr>
        <w:t xml:space="preserve">The transaction must take place within thirty (30) days of the date on which the offers were </w:t>
      </w:r>
      <w:r w:rsidR="001E2B38" w:rsidRPr="00A22A6F">
        <w:rPr>
          <w:rFonts w:cs="Arial"/>
          <w:sz w:val="22"/>
          <w:szCs w:val="22"/>
        </w:rPr>
        <w:t>opened,</w:t>
      </w:r>
      <w:r w:rsidRPr="00A22A6F">
        <w:rPr>
          <w:rFonts w:cs="Arial"/>
          <w:sz w:val="22"/>
          <w:szCs w:val="22"/>
        </w:rPr>
        <w:t xml:space="preserve"> </w:t>
      </w:r>
      <w:r w:rsidR="00B70773" w:rsidRPr="00A22A6F">
        <w:rPr>
          <w:rFonts w:cs="Arial"/>
          <w:sz w:val="22"/>
          <w:szCs w:val="22"/>
        </w:rPr>
        <w:t>and</w:t>
      </w:r>
      <w:r w:rsidRPr="00A22A6F">
        <w:rPr>
          <w:rFonts w:cs="Arial"/>
          <w:sz w:val="22"/>
          <w:szCs w:val="22"/>
        </w:rPr>
        <w:t xml:space="preserve"> the amount must be paid in full on the day of the transaction.</w:t>
      </w:r>
    </w:p>
    <w:p w14:paraId="08E7A83F" w14:textId="77777777" w:rsidR="00844586" w:rsidRPr="00A22A6F" w:rsidRDefault="00844586" w:rsidP="00635DC3">
      <w:pPr>
        <w:ind w:left="708" w:hanging="708"/>
        <w:jc w:val="both"/>
        <w:rPr>
          <w:rFonts w:cs="Arial"/>
          <w:sz w:val="22"/>
          <w:szCs w:val="22"/>
        </w:rPr>
      </w:pPr>
    </w:p>
    <w:p w14:paraId="3A2E39B3" w14:textId="5B243070" w:rsidR="00844586" w:rsidRPr="00A22A6F" w:rsidRDefault="00A22A6F" w:rsidP="00635DC3">
      <w:pPr>
        <w:ind w:left="708" w:hanging="708"/>
        <w:jc w:val="both"/>
        <w:rPr>
          <w:rFonts w:cs="Arial"/>
          <w:sz w:val="22"/>
          <w:szCs w:val="22"/>
        </w:rPr>
      </w:pPr>
      <w:r w:rsidRPr="00A22A6F">
        <w:rPr>
          <w:rFonts w:cs="Arial"/>
          <w:sz w:val="22"/>
          <w:szCs w:val="22"/>
        </w:rPr>
        <w:t>6.4</w:t>
      </w:r>
      <w:r w:rsidR="0084114F" w:rsidRPr="00A22A6F">
        <w:rPr>
          <w:rFonts w:cs="Arial"/>
          <w:sz w:val="22"/>
          <w:szCs w:val="22"/>
        </w:rPr>
        <w:t xml:space="preserve"> </w:t>
      </w:r>
      <w:r w:rsidR="0084114F" w:rsidRPr="00A22A6F">
        <w:rPr>
          <w:rFonts w:cs="Arial"/>
          <w:sz w:val="22"/>
          <w:szCs w:val="22"/>
        </w:rPr>
        <w:tab/>
      </w:r>
      <w:r w:rsidRPr="00A22A6F">
        <w:rPr>
          <w:rFonts w:cs="Arial"/>
          <w:sz w:val="22"/>
          <w:szCs w:val="22"/>
        </w:rPr>
        <w:t xml:space="preserve">If the Party </w:t>
      </w:r>
      <w:r w:rsidR="00C93F6C">
        <w:rPr>
          <w:rFonts w:cs="Arial"/>
          <w:sz w:val="22"/>
          <w:szCs w:val="22"/>
        </w:rPr>
        <w:t>repurchasing</w:t>
      </w:r>
      <w:r w:rsidRPr="00A22A6F">
        <w:rPr>
          <w:rFonts w:cs="Arial"/>
          <w:sz w:val="22"/>
          <w:szCs w:val="22"/>
        </w:rPr>
        <w:t xml:space="preserve"> the other Party’s rights in the Agreement under the process set out in this </w:t>
      </w:r>
      <w:r w:rsidR="00BC3100">
        <w:rPr>
          <w:rFonts w:cs="Arial"/>
          <w:sz w:val="22"/>
          <w:szCs w:val="22"/>
        </w:rPr>
        <w:t>section</w:t>
      </w:r>
      <w:r w:rsidRPr="00A22A6F">
        <w:rPr>
          <w:rFonts w:cs="Arial"/>
          <w:sz w:val="22"/>
          <w:szCs w:val="22"/>
        </w:rPr>
        <w:t xml:space="preserve"> is Richer, the amount paid </w:t>
      </w:r>
      <w:r w:rsidR="00BC3100">
        <w:rPr>
          <w:rFonts w:cs="Arial"/>
          <w:sz w:val="22"/>
          <w:szCs w:val="22"/>
        </w:rPr>
        <w:t>for the repurchase</w:t>
      </w:r>
      <w:r w:rsidRPr="00A22A6F">
        <w:rPr>
          <w:rFonts w:cs="Arial"/>
          <w:sz w:val="22"/>
          <w:szCs w:val="22"/>
        </w:rPr>
        <w:t xml:space="preserve"> will be deemed to include the value of the Richer Assets, which will have to be transferred to Richer (or any other entity he Controls) in the context of the transaction, and the Parties undertake to sign any document and perform any act to give effect to </w:t>
      </w:r>
      <w:r w:rsidR="00BC3100">
        <w:rPr>
          <w:rFonts w:cs="Arial"/>
          <w:sz w:val="22"/>
          <w:szCs w:val="22"/>
        </w:rPr>
        <w:t>such</w:t>
      </w:r>
      <w:r w:rsidRPr="00A22A6F">
        <w:rPr>
          <w:rFonts w:cs="Arial"/>
          <w:sz w:val="22"/>
          <w:szCs w:val="22"/>
        </w:rPr>
        <w:t xml:space="preserve"> transfers.</w:t>
      </w:r>
    </w:p>
    <w:p w14:paraId="1A686671" w14:textId="77777777" w:rsidR="00844586" w:rsidRPr="00A22A6F" w:rsidRDefault="00844586" w:rsidP="00635DC3">
      <w:pPr>
        <w:jc w:val="both"/>
        <w:rPr>
          <w:rFonts w:cs="Arial"/>
          <w:b/>
          <w:bCs/>
          <w:sz w:val="22"/>
          <w:szCs w:val="22"/>
        </w:rPr>
      </w:pPr>
    </w:p>
    <w:p w14:paraId="322EAB6F" w14:textId="52553ED3" w:rsidR="00844586" w:rsidRPr="00B754AB" w:rsidRDefault="00A22A6F" w:rsidP="00635DC3">
      <w:pPr>
        <w:jc w:val="both"/>
        <w:rPr>
          <w:rFonts w:cs="Arial"/>
          <w:b/>
          <w:bCs/>
          <w:sz w:val="22"/>
          <w:szCs w:val="22"/>
        </w:rPr>
      </w:pPr>
      <w:r w:rsidRPr="00B754AB">
        <w:rPr>
          <w:rFonts w:cs="Arial"/>
          <w:b/>
          <w:bCs/>
          <w:sz w:val="22"/>
          <w:szCs w:val="22"/>
        </w:rPr>
        <w:t>(7)</w:t>
      </w:r>
      <w:r w:rsidR="0084114F" w:rsidRPr="00B754AB">
        <w:rPr>
          <w:rFonts w:cs="Arial"/>
          <w:b/>
          <w:bCs/>
          <w:sz w:val="22"/>
          <w:szCs w:val="22"/>
        </w:rPr>
        <w:t xml:space="preserve"> </w:t>
      </w:r>
      <w:r w:rsidR="0084114F" w:rsidRPr="00B754AB">
        <w:rPr>
          <w:rFonts w:cs="Arial"/>
          <w:b/>
          <w:bCs/>
          <w:sz w:val="22"/>
          <w:szCs w:val="22"/>
        </w:rPr>
        <w:tab/>
      </w:r>
      <w:r w:rsidRPr="00E8050B">
        <w:rPr>
          <w:rFonts w:cs="Arial"/>
          <w:b/>
          <w:bCs/>
          <w:sz w:val="22"/>
          <w:szCs w:val="22"/>
        </w:rPr>
        <w:t>GENERAL PROVISIONS</w:t>
      </w:r>
    </w:p>
    <w:p w14:paraId="43738582" w14:textId="77777777" w:rsidR="00844586" w:rsidRPr="00B754AB" w:rsidRDefault="00844586" w:rsidP="00635DC3">
      <w:pPr>
        <w:jc w:val="both"/>
        <w:rPr>
          <w:rFonts w:cs="Arial"/>
          <w:sz w:val="22"/>
          <w:szCs w:val="22"/>
        </w:rPr>
      </w:pPr>
    </w:p>
    <w:p w14:paraId="41D5B14E" w14:textId="74134D96" w:rsidR="00844586" w:rsidRPr="00E8050B" w:rsidRDefault="00B754AB" w:rsidP="00B20A17">
      <w:pPr>
        <w:keepNext/>
        <w:jc w:val="both"/>
        <w:rPr>
          <w:rFonts w:cs="Arial"/>
          <w:sz w:val="22"/>
          <w:szCs w:val="22"/>
        </w:rPr>
      </w:pPr>
      <w:r w:rsidRPr="00B754AB">
        <w:rPr>
          <w:rFonts w:cs="Arial"/>
          <w:sz w:val="22"/>
          <w:szCs w:val="22"/>
        </w:rPr>
        <w:t>7.1</w:t>
      </w:r>
      <w:r w:rsidR="0084114F" w:rsidRPr="00B754AB">
        <w:rPr>
          <w:rFonts w:cs="Arial"/>
          <w:sz w:val="22"/>
          <w:szCs w:val="22"/>
        </w:rPr>
        <w:t xml:space="preserve"> </w:t>
      </w:r>
      <w:r w:rsidR="0084114F" w:rsidRPr="00B754AB">
        <w:rPr>
          <w:rFonts w:cs="Arial"/>
          <w:sz w:val="22"/>
          <w:szCs w:val="22"/>
        </w:rPr>
        <w:tab/>
      </w:r>
      <w:r w:rsidRPr="00E8050B">
        <w:rPr>
          <w:rFonts w:cs="Arial"/>
          <w:sz w:val="22"/>
          <w:szCs w:val="22"/>
          <w:u w:val="single"/>
        </w:rPr>
        <w:t>Confidentiality</w:t>
      </w:r>
    </w:p>
    <w:p w14:paraId="3DFFD873" w14:textId="77777777" w:rsidR="00844586" w:rsidRPr="00B754AB" w:rsidRDefault="00844586" w:rsidP="00B20A17">
      <w:pPr>
        <w:keepNext/>
        <w:jc w:val="both"/>
        <w:rPr>
          <w:rFonts w:cs="Arial"/>
          <w:sz w:val="22"/>
          <w:szCs w:val="22"/>
        </w:rPr>
      </w:pPr>
    </w:p>
    <w:p w14:paraId="1B1F88D3" w14:textId="50F0BEF8" w:rsidR="00844586" w:rsidRPr="00B754AB" w:rsidRDefault="00B754AB" w:rsidP="00B20A17">
      <w:pPr>
        <w:keepNext/>
        <w:jc w:val="both"/>
        <w:rPr>
          <w:rFonts w:cs="Arial"/>
          <w:sz w:val="22"/>
          <w:szCs w:val="22"/>
        </w:rPr>
      </w:pPr>
      <w:r w:rsidRPr="00B754AB">
        <w:rPr>
          <w:rFonts w:cs="Arial"/>
          <w:sz w:val="22"/>
          <w:szCs w:val="22"/>
        </w:rPr>
        <w:t xml:space="preserve">The Parties understand that this Agreement must remain strictly confidential. To this end, they undertake never to disclose its existence, unless disclosure becomes necessary to protect or assert a Party’s rights following the other Party’s failure to comply </w:t>
      </w:r>
      <w:r w:rsidR="001E2B38">
        <w:rPr>
          <w:rFonts w:cs="Arial"/>
          <w:sz w:val="22"/>
          <w:szCs w:val="22"/>
        </w:rPr>
        <w:t>with</w:t>
      </w:r>
      <w:r w:rsidRPr="00B754AB">
        <w:rPr>
          <w:rFonts w:cs="Arial"/>
          <w:sz w:val="22"/>
          <w:szCs w:val="22"/>
        </w:rPr>
        <w:t xml:space="preserve"> this Agreement.</w:t>
      </w:r>
      <w:r w:rsidR="0084114F" w:rsidRPr="00B754AB">
        <w:rPr>
          <w:rFonts w:cs="Arial"/>
          <w:sz w:val="22"/>
          <w:szCs w:val="22"/>
        </w:rPr>
        <w:t xml:space="preserve"> </w:t>
      </w:r>
      <w:r w:rsidRPr="00B754AB">
        <w:rPr>
          <w:rFonts w:cs="Arial"/>
          <w:sz w:val="22"/>
          <w:szCs w:val="22"/>
        </w:rPr>
        <w:t xml:space="preserve">Any </w:t>
      </w:r>
      <w:r w:rsidRPr="00B754AB">
        <w:rPr>
          <w:rFonts w:cs="Arial"/>
          <w:sz w:val="22"/>
          <w:szCs w:val="22"/>
        </w:rPr>
        <w:lastRenderedPageBreak/>
        <w:t xml:space="preserve">violation of this </w:t>
      </w:r>
      <w:r w:rsidR="00BC3100">
        <w:rPr>
          <w:rFonts w:cs="Arial"/>
          <w:sz w:val="22"/>
          <w:szCs w:val="22"/>
        </w:rPr>
        <w:t>section</w:t>
      </w:r>
      <w:r w:rsidRPr="00B754AB">
        <w:rPr>
          <w:rFonts w:cs="Arial"/>
          <w:sz w:val="22"/>
          <w:szCs w:val="22"/>
        </w:rPr>
        <w:t xml:space="preserve"> will result in the </w:t>
      </w:r>
      <w:r w:rsidR="00BC3100">
        <w:rPr>
          <w:rFonts w:cs="Arial"/>
          <w:sz w:val="22"/>
          <w:szCs w:val="22"/>
        </w:rPr>
        <w:t>defaulting</w:t>
      </w:r>
      <w:r w:rsidRPr="00B754AB">
        <w:rPr>
          <w:rFonts w:cs="Arial"/>
          <w:sz w:val="22"/>
          <w:szCs w:val="22"/>
        </w:rPr>
        <w:t xml:space="preserve"> Party’s obligation to indemnify the other Party </w:t>
      </w:r>
      <w:r w:rsidR="00BC3100">
        <w:rPr>
          <w:rFonts w:cs="Arial"/>
          <w:sz w:val="22"/>
          <w:szCs w:val="22"/>
        </w:rPr>
        <w:t>for</w:t>
      </w:r>
      <w:r w:rsidRPr="00B754AB">
        <w:rPr>
          <w:rFonts w:cs="Arial"/>
          <w:sz w:val="22"/>
          <w:szCs w:val="22"/>
        </w:rPr>
        <w:t xml:space="preserve"> any damage he has suffered as a result of this unauthorized disclosure. </w:t>
      </w:r>
    </w:p>
    <w:p w14:paraId="23D0C059" w14:textId="77777777" w:rsidR="00844586" w:rsidRPr="00B754AB" w:rsidRDefault="00844586" w:rsidP="00635DC3">
      <w:pPr>
        <w:jc w:val="both"/>
        <w:rPr>
          <w:rFonts w:cs="Arial"/>
          <w:sz w:val="22"/>
          <w:szCs w:val="22"/>
        </w:rPr>
      </w:pPr>
    </w:p>
    <w:p w14:paraId="1A6FEAEE" w14:textId="41AA7A48" w:rsidR="00844586" w:rsidRPr="00B754AB" w:rsidRDefault="00B754AB" w:rsidP="00635DC3">
      <w:pPr>
        <w:jc w:val="both"/>
        <w:rPr>
          <w:rFonts w:cs="Arial"/>
          <w:sz w:val="22"/>
          <w:szCs w:val="22"/>
        </w:rPr>
      </w:pPr>
      <w:r w:rsidRPr="00B754AB">
        <w:rPr>
          <w:rFonts w:cs="Arial"/>
          <w:sz w:val="22"/>
          <w:szCs w:val="22"/>
        </w:rPr>
        <w:t>7.2</w:t>
      </w:r>
      <w:r w:rsidR="0084114F" w:rsidRPr="00B754AB">
        <w:rPr>
          <w:rFonts w:cs="Arial"/>
          <w:sz w:val="22"/>
          <w:szCs w:val="22"/>
        </w:rPr>
        <w:t xml:space="preserve"> </w:t>
      </w:r>
      <w:r w:rsidR="0084114F" w:rsidRPr="00B754AB">
        <w:rPr>
          <w:rFonts w:cs="Arial"/>
          <w:sz w:val="22"/>
          <w:szCs w:val="22"/>
        </w:rPr>
        <w:tab/>
      </w:r>
      <w:proofErr w:type="spellStart"/>
      <w:r w:rsidRPr="00E8050B">
        <w:rPr>
          <w:rFonts w:cs="Arial"/>
          <w:sz w:val="22"/>
          <w:szCs w:val="22"/>
          <w:u w:val="single"/>
        </w:rPr>
        <w:t>Unassignability</w:t>
      </w:r>
      <w:proofErr w:type="spellEnd"/>
    </w:p>
    <w:p w14:paraId="529462B5" w14:textId="77777777" w:rsidR="00844586" w:rsidRPr="00B754AB" w:rsidRDefault="00844586" w:rsidP="00635DC3">
      <w:pPr>
        <w:jc w:val="both"/>
        <w:rPr>
          <w:rFonts w:cs="Arial"/>
          <w:sz w:val="22"/>
          <w:szCs w:val="22"/>
        </w:rPr>
      </w:pPr>
    </w:p>
    <w:p w14:paraId="219BA714" w14:textId="3DD08E45" w:rsidR="00844586" w:rsidRPr="00B754AB" w:rsidRDefault="00B754AB" w:rsidP="00635DC3">
      <w:pPr>
        <w:jc w:val="both"/>
        <w:rPr>
          <w:rFonts w:cs="Arial"/>
          <w:sz w:val="22"/>
          <w:szCs w:val="22"/>
        </w:rPr>
      </w:pPr>
      <w:r w:rsidRPr="00B754AB">
        <w:rPr>
          <w:rFonts w:cs="Arial"/>
          <w:sz w:val="22"/>
          <w:szCs w:val="22"/>
        </w:rPr>
        <w:t>Except as expressly provided herein, the Agreement is unassignable. No rights, duties</w:t>
      </w:r>
      <w:r w:rsidR="00FF3E66">
        <w:rPr>
          <w:rFonts w:cs="Arial"/>
          <w:sz w:val="22"/>
          <w:szCs w:val="22"/>
        </w:rPr>
        <w:t>,</w:t>
      </w:r>
      <w:r w:rsidRPr="00B754AB">
        <w:rPr>
          <w:rFonts w:cs="Arial"/>
          <w:sz w:val="22"/>
          <w:szCs w:val="22"/>
        </w:rPr>
        <w:t xml:space="preserve"> or obligations </w:t>
      </w:r>
      <w:r w:rsidR="00FF3E66">
        <w:rPr>
          <w:rFonts w:cs="Arial"/>
          <w:sz w:val="22"/>
          <w:szCs w:val="22"/>
        </w:rPr>
        <w:t>set out</w:t>
      </w:r>
      <w:r w:rsidRPr="00B754AB">
        <w:rPr>
          <w:rFonts w:cs="Arial"/>
          <w:sz w:val="22"/>
          <w:szCs w:val="22"/>
        </w:rPr>
        <w:t xml:space="preserve"> herein may be subleased, assigned, or otherwise alienated by either of the Parties without the prior written authorization of the other Party.</w:t>
      </w:r>
      <w:r w:rsidR="0084114F" w:rsidRPr="00B754AB">
        <w:rPr>
          <w:rFonts w:cs="Arial"/>
          <w:sz w:val="22"/>
          <w:szCs w:val="22"/>
        </w:rPr>
        <w:t xml:space="preserve"> </w:t>
      </w:r>
      <w:r w:rsidRPr="00B754AB">
        <w:rPr>
          <w:rFonts w:cs="Arial"/>
          <w:sz w:val="22"/>
          <w:szCs w:val="22"/>
        </w:rPr>
        <w:t>Any attempt to sublease, assign, transfer</w:t>
      </w:r>
      <w:r w:rsidR="00FF3E66">
        <w:rPr>
          <w:rFonts w:cs="Arial"/>
          <w:sz w:val="22"/>
          <w:szCs w:val="22"/>
        </w:rPr>
        <w:t>,</w:t>
      </w:r>
      <w:r w:rsidRPr="00B754AB">
        <w:rPr>
          <w:rFonts w:cs="Arial"/>
          <w:sz w:val="22"/>
          <w:szCs w:val="22"/>
        </w:rPr>
        <w:t xml:space="preserve"> or alienate, without the above authorization, of any right, duty, or obligation </w:t>
      </w:r>
      <w:r w:rsidR="001E2B38">
        <w:rPr>
          <w:rFonts w:cs="Arial"/>
          <w:sz w:val="22"/>
          <w:szCs w:val="22"/>
        </w:rPr>
        <w:t xml:space="preserve">under </w:t>
      </w:r>
      <w:r w:rsidR="00FF3E66">
        <w:rPr>
          <w:rFonts w:cs="Arial"/>
          <w:sz w:val="22"/>
          <w:szCs w:val="22"/>
        </w:rPr>
        <w:t>the</w:t>
      </w:r>
      <w:r w:rsidRPr="00B754AB">
        <w:rPr>
          <w:rFonts w:cs="Arial"/>
          <w:sz w:val="22"/>
          <w:szCs w:val="22"/>
        </w:rPr>
        <w:t xml:space="preserve"> Agreement is </w:t>
      </w:r>
      <w:r w:rsidR="001E2B38" w:rsidRPr="00B754AB">
        <w:rPr>
          <w:rFonts w:cs="Arial"/>
          <w:sz w:val="22"/>
          <w:szCs w:val="22"/>
        </w:rPr>
        <w:t>null</w:t>
      </w:r>
      <w:r w:rsidRPr="00B754AB">
        <w:rPr>
          <w:rFonts w:cs="Arial"/>
          <w:sz w:val="22"/>
          <w:szCs w:val="22"/>
        </w:rPr>
        <w:t xml:space="preserve"> and void.</w:t>
      </w:r>
    </w:p>
    <w:p w14:paraId="6B655E43" w14:textId="77777777" w:rsidR="00844586" w:rsidRPr="00B754AB" w:rsidRDefault="00844586" w:rsidP="00635DC3">
      <w:pPr>
        <w:jc w:val="both"/>
        <w:rPr>
          <w:rFonts w:cs="Arial"/>
          <w:sz w:val="22"/>
          <w:szCs w:val="22"/>
        </w:rPr>
      </w:pPr>
    </w:p>
    <w:p w14:paraId="2ADE32CB" w14:textId="7EAD20F3" w:rsidR="00844586" w:rsidRPr="00B754AB" w:rsidRDefault="00B754AB" w:rsidP="00635DC3">
      <w:pPr>
        <w:jc w:val="both"/>
        <w:rPr>
          <w:rFonts w:cs="Arial"/>
          <w:sz w:val="22"/>
          <w:szCs w:val="22"/>
        </w:rPr>
      </w:pPr>
      <w:r w:rsidRPr="00B754AB">
        <w:rPr>
          <w:rFonts w:cs="Arial"/>
          <w:sz w:val="22"/>
          <w:szCs w:val="22"/>
        </w:rPr>
        <w:t>7.3</w:t>
      </w:r>
      <w:r w:rsidR="0084114F" w:rsidRPr="00B754AB">
        <w:rPr>
          <w:rFonts w:cs="Arial"/>
          <w:sz w:val="22"/>
          <w:szCs w:val="22"/>
        </w:rPr>
        <w:t xml:space="preserve"> </w:t>
      </w:r>
      <w:r w:rsidR="0084114F" w:rsidRPr="00B754AB">
        <w:rPr>
          <w:rFonts w:cs="Arial"/>
          <w:sz w:val="22"/>
          <w:szCs w:val="22"/>
        </w:rPr>
        <w:tab/>
      </w:r>
      <w:r w:rsidRPr="00E8050B">
        <w:rPr>
          <w:rFonts w:cs="Arial"/>
          <w:sz w:val="22"/>
          <w:szCs w:val="22"/>
          <w:u w:val="single"/>
        </w:rPr>
        <w:t>Amendments</w:t>
      </w:r>
    </w:p>
    <w:p w14:paraId="294F525D" w14:textId="77777777" w:rsidR="00844586" w:rsidRPr="00B754AB" w:rsidRDefault="00844586" w:rsidP="00635DC3">
      <w:pPr>
        <w:jc w:val="both"/>
        <w:rPr>
          <w:rFonts w:cs="Arial"/>
          <w:sz w:val="22"/>
          <w:szCs w:val="22"/>
        </w:rPr>
      </w:pPr>
    </w:p>
    <w:p w14:paraId="63179199" w14:textId="72F97B64" w:rsidR="00844586" w:rsidRPr="00B754AB" w:rsidRDefault="00B754AB" w:rsidP="00635DC3">
      <w:pPr>
        <w:jc w:val="both"/>
        <w:rPr>
          <w:rFonts w:cs="Arial"/>
          <w:sz w:val="22"/>
          <w:szCs w:val="22"/>
        </w:rPr>
      </w:pPr>
      <w:r w:rsidRPr="00E8050B">
        <w:rPr>
          <w:rFonts w:cs="Arial"/>
          <w:sz w:val="22"/>
          <w:szCs w:val="22"/>
        </w:rPr>
        <w:t xml:space="preserve">This Agreement may be amended in whole or in part, </w:t>
      </w:r>
      <w:r w:rsidR="00C00209">
        <w:rPr>
          <w:rFonts w:cs="Arial"/>
          <w:sz w:val="22"/>
          <w:szCs w:val="22"/>
        </w:rPr>
        <w:t>as the Parties wish</w:t>
      </w:r>
      <w:r w:rsidRPr="00E8050B">
        <w:rPr>
          <w:rFonts w:cs="Arial"/>
          <w:sz w:val="22"/>
          <w:szCs w:val="22"/>
        </w:rPr>
        <w:t>.</w:t>
      </w:r>
      <w:r w:rsidR="0084114F" w:rsidRPr="00B754AB">
        <w:rPr>
          <w:rFonts w:cs="Arial"/>
          <w:sz w:val="22"/>
          <w:szCs w:val="22"/>
        </w:rPr>
        <w:t xml:space="preserve"> </w:t>
      </w:r>
      <w:r w:rsidR="00C00209">
        <w:rPr>
          <w:rFonts w:cs="Arial"/>
          <w:sz w:val="22"/>
          <w:szCs w:val="22"/>
        </w:rPr>
        <w:t>In such case</w:t>
      </w:r>
      <w:r w:rsidRPr="00B754AB">
        <w:rPr>
          <w:rFonts w:cs="Arial"/>
          <w:sz w:val="22"/>
          <w:szCs w:val="22"/>
        </w:rPr>
        <w:t xml:space="preserve">, any amendment thus made will </w:t>
      </w:r>
      <w:r w:rsidR="00C00209">
        <w:rPr>
          <w:rFonts w:cs="Arial"/>
          <w:sz w:val="22"/>
          <w:szCs w:val="22"/>
        </w:rPr>
        <w:t>take</w:t>
      </w:r>
      <w:r w:rsidRPr="00B754AB">
        <w:rPr>
          <w:rFonts w:cs="Arial"/>
          <w:sz w:val="22"/>
          <w:szCs w:val="22"/>
        </w:rPr>
        <w:t xml:space="preserve"> effect only </w:t>
      </w:r>
      <w:r w:rsidR="00C00209">
        <w:rPr>
          <w:rFonts w:cs="Arial"/>
          <w:sz w:val="22"/>
          <w:szCs w:val="22"/>
        </w:rPr>
        <w:t>once</w:t>
      </w:r>
      <w:r w:rsidRPr="00B754AB">
        <w:rPr>
          <w:rFonts w:cs="Arial"/>
          <w:sz w:val="22"/>
          <w:szCs w:val="22"/>
        </w:rPr>
        <w:t xml:space="preserve"> it has been put in writing and duly signed by the Parties.</w:t>
      </w:r>
    </w:p>
    <w:p w14:paraId="1A39964B" w14:textId="77777777" w:rsidR="00844586" w:rsidRPr="00B754AB" w:rsidRDefault="00844586" w:rsidP="00635DC3">
      <w:pPr>
        <w:jc w:val="both"/>
        <w:rPr>
          <w:rFonts w:cs="Arial"/>
          <w:sz w:val="22"/>
          <w:szCs w:val="22"/>
        </w:rPr>
      </w:pPr>
    </w:p>
    <w:p w14:paraId="2E476A74" w14:textId="75918E69" w:rsidR="00844586" w:rsidRPr="00FD27DD" w:rsidRDefault="00B754AB" w:rsidP="00635DC3">
      <w:pPr>
        <w:jc w:val="both"/>
        <w:rPr>
          <w:rFonts w:cs="Arial"/>
          <w:sz w:val="22"/>
          <w:szCs w:val="22"/>
        </w:rPr>
      </w:pPr>
      <w:r w:rsidRPr="00FD27DD">
        <w:rPr>
          <w:rFonts w:cs="Arial"/>
          <w:sz w:val="22"/>
          <w:szCs w:val="22"/>
        </w:rPr>
        <w:t>7.4</w:t>
      </w:r>
      <w:r w:rsidR="0084114F" w:rsidRPr="00FD27DD">
        <w:rPr>
          <w:rFonts w:cs="Arial"/>
          <w:sz w:val="22"/>
          <w:szCs w:val="22"/>
        </w:rPr>
        <w:t xml:space="preserve"> </w:t>
      </w:r>
      <w:r w:rsidR="0084114F" w:rsidRPr="00FD27DD">
        <w:rPr>
          <w:rFonts w:cs="Arial"/>
          <w:sz w:val="22"/>
          <w:szCs w:val="22"/>
        </w:rPr>
        <w:tab/>
      </w:r>
      <w:r w:rsidRPr="00E8050B">
        <w:rPr>
          <w:rFonts w:cs="Arial"/>
          <w:sz w:val="22"/>
          <w:szCs w:val="22"/>
          <w:u w:val="single"/>
        </w:rPr>
        <w:t>Scope</w:t>
      </w:r>
    </w:p>
    <w:p w14:paraId="04CBA841" w14:textId="77777777" w:rsidR="00844586" w:rsidRPr="00FD27DD" w:rsidRDefault="00844586" w:rsidP="00635DC3">
      <w:pPr>
        <w:jc w:val="both"/>
        <w:rPr>
          <w:rFonts w:cs="Arial"/>
          <w:sz w:val="22"/>
          <w:szCs w:val="22"/>
        </w:rPr>
      </w:pPr>
    </w:p>
    <w:p w14:paraId="14027D5D" w14:textId="6CC79FA6" w:rsidR="00844586" w:rsidRPr="00FD27DD" w:rsidRDefault="00FD27DD" w:rsidP="00635DC3">
      <w:pPr>
        <w:jc w:val="both"/>
        <w:rPr>
          <w:rFonts w:cs="Arial"/>
          <w:sz w:val="22"/>
          <w:szCs w:val="22"/>
        </w:rPr>
      </w:pPr>
      <w:r w:rsidRPr="00FD27DD">
        <w:rPr>
          <w:rFonts w:cs="Arial"/>
          <w:sz w:val="22"/>
          <w:szCs w:val="22"/>
        </w:rPr>
        <w:t xml:space="preserve">The Parties </w:t>
      </w:r>
      <w:r w:rsidR="001E2B38" w:rsidRPr="00FD27DD">
        <w:rPr>
          <w:rFonts w:cs="Arial"/>
          <w:sz w:val="22"/>
          <w:szCs w:val="22"/>
        </w:rPr>
        <w:t>and</w:t>
      </w:r>
      <w:r w:rsidRPr="00FD27DD">
        <w:rPr>
          <w:rFonts w:cs="Arial"/>
          <w:sz w:val="22"/>
          <w:szCs w:val="22"/>
        </w:rPr>
        <w:t xml:space="preserve"> their Legal Representatives are bound by this agreement, which is enforceable against them and concluded for their benefit.</w:t>
      </w:r>
    </w:p>
    <w:p w14:paraId="3E9011A8" w14:textId="77777777" w:rsidR="00844586" w:rsidRPr="00FD27DD" w:rsidRDefault="00844586" w:rsidP="00635DC3">
      <w:pPr>
        <w:jc w:val="both"/>
        <w:rPr>
          <w:rFonts w:cs="Arial"/>
          <w:sz w:val="22"/>
          <w:szCs w:val="22"/>
        </w:rPr>
      </w:pPr>
    </w:p>
    <w:p w14:paraId="38022EB3" w14:textId="6412C816" w:rsidR="00844586" w:rsidRPr="00FD27DD" w:rsidRDefault="00FD27DD" w:rsidP="00635DC3">
      <w:pPr>
        <w:jc w:val="both"/>
        <w:rPr>
          <w:rFonts w:cs="Arial"/>
          <w:sz w:val="22"/>
          <w:szCs w:val="22"/>
        </w:rPr>
      </w:pPr>
      <w:r w:rsidRPr="00FD27DD">
        <w:rPr>
          <w:rFonts w:cs="Arial"/>
          <w:sz w:val="22"/>
          <w:szCs w:val="22"/>
        </w:rPr>
        <w:t>7.5</w:t>
      </w:r>
      <w:r w:rsidR="0084114F" w:rsidRPr="00FD27DD">
        <w:rPr>
          <w:rFonts w:cs="Arial"/>
          <w:sz w:val="22"/>
          <w:szCs w:val="22"/>
        </w:rPr>
        <w:t xml:space="preserve"> </w:t>
      </w:r>
      <w:r w:rsidR="0084114F" w:rsidRPr="00FD27DD">
        <w:rPr>
          <w:rFonts w:cs="Arial"/>
          <w:sz w:val="22"/>
          <w:szCs w:val="22"/>
        </w:rPr>
        <w:tab/>
      </w:r>
      <w:r w:rsidRPr="00E8050B">
        <w:rPr>
          <w:rFonts w:cs="Arial"/>
          <w:sz w:val="22"/>
          <w:szCs w:val="22"/>
          <w:u w:val="single"/>
        </w:rPr>
        <w:t>Election</w:t>
      </w:r>
    </w:p>
    <w:p w14:paraId="46C66C9B" w14:textId="77777777" w:rsidR="00844586" w:rsidRPr="00FD27DD" w:rsidRDefault="00844586" w:rsidP="00635DC3">
      <w:pPr>
        <w:jc w:val="both"/>
        <w:rPr>
          <w:rFonts w:cs="Arial"/>
          <w:sz w:val="22"/>
          <w:szCs w:val="22"/>
        </w:rPr>
      </w:pPr>
    </w:p>
    <w:p w14:paraId="45415F82" w14:textId="4613492E" w:rsidR="00844586" w:rsidRPr="00FD27DD" w:rsidRDefault="00FD27DD" w:rsidP="00635DC3">
      <w:pPr>
        <w:jc w:val="both"/>
        <w:rPr>
          <w:rFonts w:cs="Arial"/>
          <w:sz w:val="22"/>
          <w:szCs w:val="22"/>
        </w:rPr>
      </w:pPr>
      <w:r w:rsidRPr="00FD27DD">
        <w:rPr>
          <w:rFonts w:cs="Arial"/>
          <w:sz w:val="22"/>
          <w:szCs w:val="22"/>
        </w:rPr>
        <w:t>The Parties agree</w:t>
      </w:r>
      <w:r w:rsidR="001E2B38">
        <w:rPr>
          <w:rFonts w:cs="Arial"/>
          <w:sz w:val="22"/>
          <w:szCs w:val="22"/>
        </w:rPr>
        <w:t xml:space="preserve"> that</w:t>
      </w:r>
      <w:r w:rsidRPr="00FD27DD">
        <w:rPr>
          <w:rFonts w:cs="Arial"/>
          <w:sz w:val="22"/>
          <w:szCs w:val="22"/>
        </w:rPr>
        <w:t xml:space="preserve"> for any claim or legal action, for any reason whatsoever relating to </w:t>
      </w:r>
      <w:r w:rsidR="001E2B38" w:rsidRPr="00FD27DD">
        <w:rPr>
          <w:rFonts w:cs="Arial"/>
          <w:sz w:val="22"/>
          <w:szCs w:val="22"/>
        </w:rPr>
        <w:t>the</w:t>
      </w:r>
      <w:r w:rsidRPr="00FD27DD">
        <w:rPr>
          <w:rFonts w:cs="Arial"/>
          <w:sz w:val="22"/>
          <w:szCs w:val="22"/>
        </w:rPr>
        <w:t xml:space="preserve"> Agreement, the judicial district of Montreal, Province of Quebec, Canada</w:t>
      </w:r>
      <w:r w:rsidR="00F4012E">
        <w:rPr>
          <w:rFonts w:cs="Arial"/>
          <w:sz w:val="22"/>
          <w:szCs w:val="22"/>
        </w:rPr>
        <w:t>,</w:t>
      </w:r>
      <w:r w:rsidRPr="00FD27DD">
        <w:rPr>
          <w:rFonts w:cs="Arial"/>
          <w:sz w:val="22"/>
          <w:szCs w:val="22"/>
        </w:rPr>
        <w:t xml:space="preserve"> </w:t>
      </w:r>
      <w:r w:rsidR="001E2B38">
        <w:rPr>
          <w:rFonts w:cs="Arial"/>
          <w:sz w:val="22"/>
          <w:szCs w:val="22"/>
        </w:rPr>
        <w:t>is</w:t>
      </w:r>
      <w:r w:rsidRPr="00FD27DD">
        <w:rPr>
          <w:rFonts w:cs="Arial"/>
          <w:sz w:val="22"/>
          <w:szCs w:val="22"/>
        </w:rPr>
        <w:t xml:space="preserve"> the appropriate forum for a hearing on these claims or legal actions, </w:t>
      </w:r>
      <w:r w:rsidR="00F4012E">
        <w:rPr>
          <w:rFonts w:cs="Arial"/>
          <w:sz w:val="22"/>
          <w:szCs w:val="22"/>
        </w:rPr>
        <w:t>to the exclusion of</w:t>
      </w:r>
      <w:r w:rsidRPr="00FD27DD">
        <w:rPr>
          <w:rFonts w:cs="Arial"/>
          <w:sz w:val="22"/>
          <w:szCs w:val="22"/>
        </w:rPr>
        <w:t xml:space="preserve"> any other jurisdiction or judicial district that may have jurisdiction over such dispute in accordance with the law.</w:t>
      </w:r>
    </w:p>
    <w:p w14:paraId="77F9D8F6" w14:textId="77777777" w:rsidR="00844586" w:rsidRPr="00FD27DD" w:rsidRDefault="00844586" w:rsidP="00635DC3">
      <w:pPr>
        <w:rPr>
          <w:rFonts w:cs="Arial"/>
          <w:sz w:val="22"/>
          <w:szCs w:val="22"/>
        </w:rPr>
      </w:pPr>
    </w:p>
    <w:p w14:paraId="4705544C" w14:textId="09259634" w:rsidR="00844586" w:rsidRPr="00E8050B" w:rsidRDefault="00FD27DD" w:rsidP="00635DC3">
      <w:pPr>
        <w:rPr>
          <w:rFonts w:cs="Arial"/>
          <w:sz w:val="22"/>
          <w:szCs w:val="22"/>
        </w:rPr>
      </w:pPr>
      <w:r w:rsidRPr="00E8050B">
        <w:rPr>
          <w:rFonts w:cs="Arial"/>
          <w:sz w:val="22"/>
          <w:szCs w:val="22"/>
        </w:rPr>
        <w:t>IN WITNESS WHEREOF, THE PARTIES HAVE SIGNED IN MONTREAL ON JUNE      , 2016.</w:t>
      </w:r>
    </w:p>
    <w:p w14:paraId="327FB60F" w14:textId="77777777" w:rsidR="00844586" w:rsidRPr="00FD27DD" w:rsidRDefault="00844586" w:rsidP="00635DC3">
      <w:pPr>
        <w:rPr>
          <w:rFonts w:cs="Arial"/>
          <w:sz w:val="22"/>
          <w:szCs w:val="22"/>
        </w:rPr>
      </w:pPr>
    </w:p>
    <w:p w14:paraId="68783E1B" w14:textId="7F90A8C1" w:rsidR="00844586" w:rsidRPr="00A90F7A" w:rsidRDefault="00FD27DD" w:rsidP="00635DC3">
      <w:pPr>
        <w:rPr>
          <w:rFonts w:cs="Arial"/>
          <w:sz w:val="22"/>
          <w:szCs w:val="22"/>
        </w:rPr>
      </w:pPr>
      <w:r w:rsidRPr="00E8050B">
        <w:rPr>
          <w:rFonts w:cs="Arial"/>
          <w:sz w:val="22"/>
          <w:szCs w:val="22"/>
        </w:rPr>
        <w:t>[s]</w:t>
      </w:r>
      <w:r w:rsidR="0084114F" w:rsidRPr="00A90F7A">
        <w:rPr>
          <w:rFonts w:cs="Arial"/>
          <w:sz w:val="22"/>
          <w:szCs w:val="22"/>
        </w:rPr>
        <w:t xml:space="preserve"> </w:t>
      </w:r>
      <w:r w:rsidRPr="00E8050B">
        <w:rPr>
          <w:rFonts w:cs="Arial"/>
          <w:sz w:val="22"/>
          <w:szCs w:val="22"/>
        </w:rPr>
        <w:t>Kevin Richer</w:t>
      </w:r>
      <w:r w:rsidR="0084114F" w:rsidRPr="00A90F7A">
        <w:rPr>
          <w:rFonts w:cs="Arial"/>
          <w:sz w:val="22"/>
          <w:szCs w:val="22"/>
        </w:rPr>
        <w:tab/>
      </w:r>
      <w:r w:rsidR="0084114F" w:rsidRPr="00A90F7A">
        <w:rPr>
          <w:rFonts w:cs="Arial"/>
          <w:sz w:val="22"/>
          <w:szCs w:val="22"/>
        </w:rPr>
        <w:tab/>
      </w:r>
      <w:r w:rsidR="0084114F" w:rsidRPr="00A90F7A">
        <w:rPr>
          <w:rFonts w:cs="Arial"/>
          <w:sz w:val="22"/>
          <w:szCs w:val="22"/>
        </w:rPr>
        <w:tab/>
      </w:r>
      <w:r w:rsidR="0084114F" w:rsidRPr="00A90F7A">
        <w:rPr>
          <w:rFonts w:cs="Arial"/>
          <w:sz w:val="22"/>
          <w:szCs w:val="22"/>
        </w:rPr>
        <w:tab/>
      </w:r>
      <w:r w:rsidRPr="00FD27DD">
        <w:rPr>
          <w:rFonts w:cs="Arial"/>
          <w:sz w:val="22"/>
          <w:szCs w:val="22"/>
        </w:rPr>
        <w:t>[s] Sébastien Sirois</w:t>
      </w:r>
    </w:p>
    <w:p w14:paraId="67F377C9" w14:textId="65DD9C57" w:rsidR="00844586" w:rsidRPr="00B20A17" w:rsidRDefault="00FD27DD" w:rsidP="00635DC3">
      <w:pPr>
        <w:rPr>
          <w:rFonts w:cs="Arial"/>
          <w:sz w:val="22"/>
          <w:szCs w:val="22"/>
        </w:rPr>
      </w:pPr>
      <w:r w:rsidRPr="00B20A17">
        <w:rPr>
          <w:rFonts w:cs="Arial"/>
          <w:sz w:val="22"/>
          <w:szCs w:val="22"/>
        </w:rPr>
        <w:t>__________________________</w:t>
      </w:r>
      <w:r w:rsidR="0084114F" w:rsidRPr="00B20A17">
        <w:rPr>
          <w:rFonts w:cs="Arial"/>
          <w:sz w:val="22"/>
          <w:szCs w:val="22"/>
        </w:rPr>
        <w:t xml:space="preserve"> </w:t>
      </w:r>
      <w:r w:rsidR="0084114F" w:rsidRPr="00B20A17">
        <w:rPr>
          <w:rFonts w:cs="Arial"/>
          <w:sz w:val="22"/>
          <w:szCs w:val="22"/>
        </w:rPr>
        <w:tab/>
      </w:r>
      <w:r w:rsidR="0084114F" w:rsidRPr="00B20A17">
        <w:rPr>
          <w:rFonts w:cs="Arial"/>
          <w:sz w:val="22"/>
          <w:szCs w:val="22"/>
        </w:rPr>
        <w:tab/>
      </w:r>
      <w:r w:rsidRPr="00B20A17">
        <w:rPr>
          <w:rFonts w:cs="Arial"/>
          <w:sz w:val="22"/>
          <w:szCs w:val="22"/>
        </w:rPr>
        <w:t>____________________________</w:t>
      </w:r>
    </w:p>
    <w:p w14:paraId="02473C08" w14:textId="2F9B857A" w:rsidR="00844586" w:rsidRPr="00B20A17" w:rsidRDefault="0012174C" w:rsidP="00635DC3">
      <w:pPr>
        <w:rPr>
          <w:rFonts w:cs="Arial"/>
          <w:b/>
          <w:bCs/>
          <w:sz w:val="22"/>
          <w:szCs w:val="22"/>
        </w:rPr>
      </w:pPr>
      <w:r w:rsidRPr="00B20A17">
        <w:rPr>
          <w:rFonts w:cs="Arial"/>
          <w:b/>
          <w:bCs/>
          <w:sz w:val="22"/>
          <w:szCs w:val="22"/>
        </w:rPr>
        <w:t>KEVIN RICHER</w:t>
      </w:r>
      <w:r w:rsidR="0084114F" w:rsidRPr="00B20A17">
        <w:rPr>
          <w:rFonts w:cs="Arial"/>
          <w:b/>
          <w:bCs/>
          <w:sz w:val="22"/>
          <w:szCs w:val="22"/>
        </w:rPr>
        <w:tab/>
      </w:r>
      <w:r w:rsidR="0084114F" w:rsidRPr="00B20A17">
        <w:rPr>
          <w:rFonts w:cs="Arial"/>
          <w:b/>
          <w:bCs/>
          <w:sz w:val="22"/>
          <w:szCs w:val="22"/>
        </w:rPr>
        <w:tab/>
      </w:r>
      <w:r w:rsidR="0084114F" w:rsidRPr="00B20A17">
        <w:rPr>
          <w:rFonts w:cs="Arial"/>
          <w:b/>
          <w:bCs/>
          <w:sz w:val="22"/>
          <w:szCs w:val="22"/>
        </w:rPr>
        <w:tab/>
      </w:r>
      <w:r w:rsidR="0084114F" w:rsidRPr="00B20A17">
        <w:rPr>
          <w:rFonts w:cs="Arial"/>
          <w:b/>
          <w:bCs/>
          <w:sz w:val="22"/>
          <w:szCs w:val="22"/>
        </w:rPr>
        <w:tab/>
      </w:r>
      <w:r w:rsidR="00FD27DD" w:rsidRPr="00B20A17">
        <w:rPr>
          <w:rFonts w:cs="Arial"/>
          <w:b/>
          <w:bCs/>
          <w:sz w:val="22"/>
          <w:szCs w:val="22"/>
        </w:rPr>
        <w:t>SÉBASTIEN SIROIS</w:t>
      </w:r>
      <w:r w:rsidR="0084114F" w:rsidRPr="00B20A17">
        <w:rPr>
          <w:rFonts w:cs="Arial"/>
          <w:b/>
          <w:bCs/>
          <w:sz w:val="22"/>
          <w:szCs w:val="22"/>
        </w:rPr>
        <w:br/>
      </w:r>
    </w:p>
    <w:p w14:paraId="01D6A280" w14:textId="04EEB3A7" w:rsidR="003B4940" w:rsidRDefault="003B4940">
      <w:pPr>
        <w:spacing w:line="240" w:lineRule="auto"/>
        <w:rPr>
          <w:rFonts w:cs="Arial"/>
          <w:b/>
          <w:bCs/>
          <w:sz w:val="22"/>
          <w:szCs w:val="22"/>
        </w:rPr>
      </w:pPr>
      <w:r>
        <w:rPr>
          <w:rFonts w:cs="Arial"/>
          <w:b/>
          <w:bCs/>
          <w:sz w:val="22"/>
          <w:szCs w:val="22"/>
        </w:rPr>
        <w:br w:type="page"/>
      </w:r>
    </w:p>
    <w:p w14:paraId="546EC530" w14:textId="77777777" w:rsidR="00844586" w:rsidRPr="00B20A17" w:rsidRDefault="00844586" w:rsidP="00635DC3">
      <w:pPr>
        <w:rPr>
          <w:rFonts w:cs="Arial"/>
          <w:b/>
          <w:bCs/>
          <w:sz w:val="22"/>
          <w:szCs w:val="22"/>
        </w:rPr>
      </w:pPr>
    </w:p>
    <w:p w14:paraId="2224C6B2" w14:textId="1A551BE2" w:rsidR="00844586" w:rsidRPr="00B20A17" w:rsidRDefault="00FD27DD" w:rsidP="00B20A17">
      <w:pPr>
        <w:keepNext/>
        <w:jc w:val="center"/>
        <w:rPr>
          <w:rFonts w:cs="Arial"/>
          <w:b/>
          <w:bCs/>
          <w:sz w:val="22"/>
          <w:szCs w:val="22"/>
          <w:u w:val="single"/>
        </w:rPr>
      </w:pPr>
      <w:r w:rsidRPr="00B20A17">
        <w:rPr>
          <w:rFonts w:cs="Arial"/>
          <w:b/>
          <w:bCs/>
          <w:sz w:val="22"/>
          <w:szCs w:val="22"/>
          <w:u w:val="single"/>
        </w:rPr>
        <w:t>INTERVENTION</w:t>
      </w:r>
    </w:p>
    <w:p w14:paraId="77E75BFE" w14:textId="77777777" w:rsidR="00844586" w:rsidRPr="00B20A17" w:rsidRDefault="00844586" w:rsidP="00B20A17">
      <w:pPr>
        <w:keepNext/>
        <w:jc w:val="both"/>
        <w:rPr>
          <w:rFonts w:cs="Arial"/>
          <w:sz w:val="22"/>
          <w:szCs w:val="22"/>
        </w:rPr>
      </w:pPr>
    </w:p>
    <w:p w14:paraId="01C126D3" w14:textId="6FFD9470" w:rsidR="00844586" w:rsidRPr="009A1217" w:rsidRDefault="009A1217" w:rsidP="00B20A17">
      <w:pPr>
        <w:keepNext/>
        <w:jc w:val="both"/>
        <w:rPr>
          <w:rFonts w:cs="Arial"/>
          <w:sz w:val="22"/>
          <w:szCs w:val="22"/>
        </w:rPr>
      </w:pPr>
      <w:r>
        <w:rPr>
          <w:rFonts w:cs="Arial"/>
          <w:sz w:val="22"/>
          <w:szCs w:val="22"/>
        </w:rPr>
        <w:t xml:space="preserve">The undersigned, represented for the purposes of this Agreement by its duly authorized president, and after having read the Agreement on this day, undertakes and covenants to comply with </w:t>
      </w:r>
      <w:r w:rsidR="00855D6F">
        <w:rPr>
          <w:rFonts w:cs="Arial"/>
          <w:sz w:val="22"/>
          <w:szCs w:val="22"/>
        </w:rPr>
        <w:t>each and every</w:t>
      </w:r>
      <w:r>
        <w:rPr>
          <w:rFonts w:cs="Arial"/>
          <w:sz w:val="22"/>
          <w:szCs w:val="22"/>
        </w:rPr>
        <w:t xml:space="preserve"> obligation </w:t>
      </w:r>
      <w:r w:rsidR="00855D6F">
        <w:rPr>
          <w:rFonts w:cs="Arial"/>
          <w:sz w:val="22"/>
          <w:szCs w:val="22"/>
        </w:rPr>
        <w:t>stipulated</w:t>
      </w:r>
      <w:r>
        <w:rPr>
          <w:rFonts w:cs="Arial"/>
          <w:sz w:val="22"/>
          <w:szCs w:val="22"/>
        </w:rPr>
        <w:t xml:space="preserve"> on its behalf within the said Agreement</w:t>
      </w:r>
      <w:r w:rsidR="001E2B38">
        <w:rPr>
          <w:rFonts w:cs="Arial"/>
          <w:sz w:val="22"/>
          <w:szCs w:val="22"/>
        </w:rPr>
        <w:t>.</w:t>
      </w:r>
      <w:r w:rsidRPr="009A1217">
        <w:rPr>
          <w:rFonts w:cs="Arial"/>
          <w:sz w:val="22"/>
          <w:szCs w:val="22"/>
        </w:rPr>
        <w:t xml:space="preserve"> </w:t>
      </w:r>
    </w:p>
    <w:p w14:paraId="69FB1064" w14:textId="77777777" w:rsidR="00844586" w:rsidRPr="009A1217" w:rsidRDefault="00844586" w:rsidP="00635DC3">
      <w:pPr>
        <w:rPr>
          <w:rFonts w:cs="Arial"/>
          <w:b/>
          <w:bCs/>
          <w:sz w:val="22"/>
          <w:szCs w:val="22"/>
        </w:rPr>
      </w:pPr>
    </w:p>
    <w:p w14:paraId="5FB0BED2" w14:textId="388FB321" w:rsidR="00844586" w:rsidRPr="00E8050B" w:rsidRDefault="009A1217" w:rsidP="00635DC3">
      <w:pPr>
        <w:rPr>
          <w:rFonts w:cs="Arial"/>
          <w:b/>
          <w:bCs/>
          <w:sz w:val="22"/>
          <w:szCs w:val="22"/>
        </w:rPr>
      </w:pPr>
      <w:r w:rsidRPr="00E8050B">
        <w:rPr>
          <w:rFonts w:cs="Arial"/>
          <w:b/>
          <w:bCs/>
          <w:sz w:val="22"/>
          <w:szCs w:val="22"/>
        </w:rPr>
        <w:t xml:space="preserve">SIGNED IN MONTREAL ON JUNE    </w:t>
      </w:r>
      <w:r w:rsidR="003B4940">
        <w:rPr>
          <w:rFonts w:cs="Arial"/>
          <w:b/>
          <w:bCs/>
          <w:sz w:val="22"/>
          <w:szCs w:val="22"/>
        </w:rPr>
        <w:t>,</w:t>
      </w:r>
      <w:r w:rsidRPr="00E8050B">
        <w:rPr>
          <w:rFonts w:cs="Arial"/>
          <w:b/>
          <w:bCs/>
          <w:sz w:val="22"/>
          <w:szCs w:val="22"/>
        </w:rPr>
        <w:t xml:space="preserve"> 2016.</w:t>
      </w:r>
    </w:p>
    <w:p w14:paraId="1A955DC0" w14:textId="77777777" w:rsidR="00844586" w:rsidRPr="009A1217" w:rsidRDefault="00844586" w:rsidP="00635DC3">
      <w:pPr>
        <w:rPr>
          <w:rFonts w:cs="Arial"/>
          <w:b/>
          <w:bCs/>
          <w:sz w:val="22"/>
          <w:szCs w:val="22"/>
        </w:rPr>
      </w:pPr>
    </w:p>
    <w:p w14:paraId="6F3A51F5" w14:textId="6C007322" w:rsidR="00844586" w:rsidRPr="009A1217" w:rsidRDefault="009A1217" w:rsidP="00635DC3">
      <w:pPr>
        <w:rPr>
          <w:rFonts w:cs="Arial"/>
          <w:b/>
          <w:bCs/>
          <w:sz w:val="22"/>
          <w:szCs w:val="22"/>
        </w:rPr>
      </w:pPr>
      <w:r w:rsidRPr="009A1217">
        <w:rPr>
          <w:rFonts w:cs="Arial"/>
          <w:b/>
          <w:bCs/>
          <w:sz w:val="22"/>
          <w:szCs w:val="22"/>
        </w:rPr>
        <w:t>NEON BUDDHA LTD</w:t>
      </w:r>
    </w:p>
    <w:p w14:paraId="2B672196" w14:textId="77777777" w:rsidR="00844586" w:rsidRPr="009A1217" w:rsidRDefault="00844586" w:rsidP="00635DC3">
      <w:pPr>
        <w:rPr>
          <w:rFonts w:cs="Arial"/>
          <w:b/>
          <w:bCs/>
          <w:sz w:val="22"/>
          <w:szCs w:val="22"/>
        </w:rPr>
      </w:pPr>
    </w:p>
    <w:p w14:paraId="2E803B74" w14:textId="45E44D14" w:rsidR="00844586" w:rsidRPr="009A1217" w:rsidRDefault="00FD27DD" w:rsidP="00635DC3">
      <w:pPr>
        <w:rPr>
          <w:rFonts w:cs="Arial"/>
          <w:sz w:val="22"/>
          <w:szCs w:val="22"/>
        </w:rPr>
      </w:pPr>
      <w:r w:rsidRPr="00E8050B">
        <w:rPr>
          <w:rFonts w:cs="Arial"/>
          <w:sz w:val="22"/>
          <w:szCs w:val="22"/>
        </w:rPr>
        <w:t>[s]</w:t>
      </w:r>
      <w:r w:rsidR="0084114F" w:rsidRPr="009A1217">
        <w:rPr>
          <w:rFonts w:cs="Arial"/>
          <w:sz w:val="22"/>
          <w:szCs w:val="22"/>
        </w:rPr>
        <w:t xml:space="preserve"> </w:t>
      </w:r>
      <w:r w:rsidR="009A1217" w:rsidRPr="00E8050B">
        <w:rPr>
          <w:rFonts w:cs="Arial"/>
          <w:sz w:val="22"/>
          <w:szCs w:val="22"/>
        </w:rPr>
        <w:t>Sébastien Sirois</w:t>
      </w:r>
    </w:p>
    <w:p w14:paraId="0875A151" w14:textId="67B52892" w:rsidR="00844586" w:rsidRPr="009A1217" w:rsidRDefault="00FD27DD" w:rsidP="00635DC3">
      <w:pPr>
        <w:rPr>
          <w:rFonts w:cs="Arial"/>
          <w:sz w:val="22"/>
          <w:szCs w:val="22"/>
        </w:rPr>
      </w:pPr>
      <w:r w:rsidRPr="009A1217">
        <w:rPr>
          <w:rFonts w:cs="Arial"/>
          <w:sz w:val="22"/>
          <w:szCs w:val="22"/>
        </w:rPr>
        <w:t>__________________________</w:t>
      </w:r>
    </w:p>
    <w:p w14:paraId="23BA618A" w14:textId="1511AC12" w:rsidR="00844586" w:rsidRPr="009A1217" w:rsidRDefault="009A1217" w:rsidP="00635DC3">
      <w:pPr>
        <w:rPr>
          <w:rFonts w:cs="Arial"/>
          <w:sz w:val="22"/>
          <w:szCs w:val="22"/>
        </w:rPr>
      </w:pPr>
      <w:r w:rsidRPr="009A1217">
        <w:rPr>
          <w:rFonts w:cs="Arial"/>
          <w:sz w:val="22"/>
          <w:szCs w:val="22"/>
        </w:rPr>
        <w:t>By: Sébastien Sirois</w:t>
      </w:r>
    </w:p>
    <w:p w14:paraId="403CBF0E" w14:textId="77777777" w:rsidR="00844586" w:rsidRPr="009A1217" w:rsidRDefault="0084114F">
      <w:pPr>
        <w:spacing w:line="240" w:lineRule="auto"/>
      </w:pPr>
      <w:r w:rsidRPr="009A1217">
        <w:br w:type="page"/>
      </w:r>
    </w:p>
    <w:p w14:paraId="757A4058" w14:textId="77777777" w:rsidR="00844586" w:rsidRPr="009A1217" w:rsidRDefault="00844586" w:rsidP="00A90F7A">
      <w:pPr>
        <w:sectPr w:rsidR="00844586" w:rsidRPr="009A1217" w:rsidSect="00A90F7A">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2242" w:h="15842" w:code="1"/>
          <w:pgMar w:top="1440" w:right="1008" w:bottom="1440" w:left="1872" w:header="1440" w:footer="792" w:gutter="0"/>
          <w:cols w:space="720"/>
          <w:formProt w:val="0"/>
          <w:docGrid w:linePitch="326"/>
        </w:sectPr>
      </w:pPr>
    </w:p>
    <w:tbl>
      <w:tblPr>
        <w:tblW w:w="0" w:type="auto"/>
        <w:tblLayout w:type="fixed"/>
        <w:tblCellMar>
          <w:left w:w="0" w:type="dxa"/>
          <w:right w:w="0" w:type="dxa"/>
        </w:tblCellMar>
        <w:tblLook w:val="0000" w:firstRow="0" w:lastRow="0" w:firstColumn="0" w:lastColumn="0" w:noHBand="0" w:noVBand="0"/>
      </w:tblPr>
      <w:tblGrid>
        <w:gridCol w:w="9360"/>
      </w:tblGrid>
      <w:tr w:rsidR="00E201A8" w:rsidRPr="009A1217" w14:paraId="11EDDC99" w14:textId="77777777" w:rsidTr="004737DC">
        <w:tc>
          <w:tcPr>
            <w:tcW w:w="9360" w:type="dxa"/>
            <w:tcBorders>
              <w:bottom w:val="single" w:sz="8" w:space="0" w:color="auto"/>
            </w:tcBorders>
          </w:tcPr>
          <w:p w14:paraId="6E035C03" w14:textId="77777777" w:rsidR="00844586" w:rsidRPr="009A1217" w:rsidRDefault="00844586" w:rsidP="004737DC"/>
        </w:tc>
      </w:tr>
      <w:tr w:rsidR="00E201A8" w:rsidRPr="009A1217" w14:paraId="15843992" w14:textId="77777777" w:rsidTr="004737DC">
        <w:tc>
          <w:tcPr>
            <w:tcW w:w="9360" w:type="dxa"/>
            <w:tcBorders>
              <w:top w:val="single" w:sz="8" w:space="0" w:color="auto"/>
            </w:tcBorders>
          </w:tcPr>
          <w:p w14:paraId="6D3496A5" w14:textId="77777777" w:rsidR="00844586" w:rsidRPr="009A1217" w:rsidRDefault="00844586" w:rsidP="004737DC"/>
        </w:tc>
      </w:tr>
      <w:bookmarkStart w:id="15" w:name="MotifJuge3"/>
      <w:tr w:rsidR="00E201A8" w14:paraId="23F28E97" w14:textId="77777777" w:rsidTr="004737DC">
        <w:tc>
          <w:tcPr>
            <w:tcW w:w="9360" w:type="dxa"/>
          </w:tcPr>
          <w:p w14:paraId="0CA152CF" w14:textId="77777777" w:rsidR="00844586" w:rsidRDefault="0084114F" w:rsidP="004737DC">
            <w:pPr>
              <w:pStyle w:val="zSoquijlblOpinionJuge"/>
            </w:pPr>
            <w:r>
              <w:fldChar w:fldCharType="begin"/>
            </w:r>
            <w:r>
              <w:instrText xml:space="preserve"> DOCVARIABLE MotifJuge3 </w:instrText>
            </w:r>
            <w:r>
              <w:fldChar w:fldCharType="separate"/>
            </w:r>
            <w:r>
              <w:t>REASONS OF</w:t>
            </w:r>
            <w:r>
              <w:fldChar w:fldCharType="end"/>
            </w:r>
            <w:bookmarkEnd w:id="15"/>
            <w:r>
              <w:t xml:space="preserve"> </w:t>
            </w:r>
            <w:r>
              <w:fldChar w:fldCharType="begin"/>
            </w:r>
            <w:r>
              <w:instrText xml:space="preserve"> DOCVARIABLE NomFamJuge3 </w:instrText>
            </w:r>
            <w:r>
              <w:fldChar w:fldCharType="separate"/>
            </w:r>
            <w:r>
              <w:t>BACHAND</w:t>
            </w:r>
            <w:r>
              <w:fldChar w:fldCharType="end"/>
            </w:r>
          </w:p>
        </w:tc>
      </w:tr>
      <w:tr w:rsidR="00E201A8" w14:paraId="7785A451" w14:textId="77777777" w:rsidTr="004737DC">
        <w:tc>
          <w:tcPr>
            <w:tcW w:w="9360" w:type="dxa"/>
            <w:tcBorders>
              <w:bottom w:val="single" w:sz="8" w:space="0" w:color="auto"/>
            </w:tcBorders>
          </w:tcPr>
          <w:p w14:paraId="2B5503F5" w14:textId="77777777" w:rsidR="00844586" w:rsidRDefault="00844586" w:rsidP="004737DC"/>
        </w:tc>
      </w:tr>
      <w:tr w:rsidR="00E201A8" w14:paraId="0DEA5CAF" w14:textId="77777777" w:rsidTr="004737DC">
        <w:tc>
          <w:tcPr>
            <w:tcW w:w="9360" w:type="dxa"/>
            <w:tcBorders>
              <w:top w:val="single" w:sz="8" w:space="0" w:color="auto"/>
            </w:tcBorders>
          </w:tcPr>
          <w:p w14:paraId="5CFDC138" w14:textId="77777777" w:rsidR="00844586" w:rsidRDefault="00844586" w:rsidP="004737DC"/>
        </w:tc>
      </w:tr>
    </w:tbl>
    <w:p w14:paraId="72F26928" w14:textId="42E3F0BA" w:rsidR="00844586" w:rsidRPr="00B70773" w:rsidRDefault="00B70773" w:rsidP="00A90F7A">
      <w:pPr>
        <w:pStyle w:val="Paragraphe"/>
        <w:spacing w:line="240" w:lineRule="auto"/>
      </w:pPr>
      <w:r w:rsidRPr="00E8050B">
        <w:t>I have read the reasons of my colleague Schrager J.A., with which I unfortunately cannot concur.</w:t>
      </w:r>
      <w:r w:rsidR="0084114F" w:rsidRPr="00B70773">
        <w:t xml:space="preserve"> </w:t>
      </w:r>
      <w:r w:rsidRPr="00B70773">
        <w:t>In my view, and with respect for the contrary opinion, there is no reason to set aside the impugned judgment.</w:t>
      </w:r>
    </w:p>
    <w:p w14:paraId="58B91D97" w14:textId="33BE19B6" w:rsidR="00844586" w:rsidRPr="00B70773" w:rsidRDefault="00B70773" w:rsidP="00A90F7A">
      <w:pPr>
        <w:pStyle w:val="Paragraphe"/>
        <w:spacing w:line="240" w:lineRule="auto"/>
      </w:pPr>
      <w:r w:rsidRPr="00E8050B">
        <w:t xml:space="preserve">I come to this conclusion, first and foremost, because I find that </w:t>
      </w:r>
      <w:r w:rsidR="00706868">
        <w:t xml:space="preserve">Mr. </w:t>
      </w:r>
      <w:proofErr w:type="spellStart"/>
      <w:r w:rsidRPr="00E8050B">
        <w:t>Richer’s</w:t>
      </w:r>
      <w:proofErr w:type="spellEnd"/>
      <w:r w:rsidRPr="00E8050B">
        <w:t xml:space="preserve"> </w:t>
      </w:r>
      <w:r w:rsidR="004F7C11" w:rsidRPr="00E8050B">
        <w:t>arguments</w:t>
      </w:r>
      <w:r w:rsidRPr="00E8050B">
        <w:t xml:space="preserve"> on the issue of the meaning to ascribe to the expression </w:t>
      </w:r>
      <w:r w:rsidR="004F7C11">
        <w:t>[</w:t>
      </w:r>
      <w:r w:rsidR="004F7C11" w:rsidRPr="004F7C11">
        <w:rPr>
          <w:smallCaps/>
        </w:rPr>
        <w:t>translation</w:t>
      </w:r>
      <w:r w:rsidR="004F7C11">
        <w:t xml:space="preserve">] </w:t>
      </w:r>
      <w:r w:rsidRPr="00E8050B">
        <w:t>“</w:t>
      </w:r>
      <w:r w:rsidR="004F7C11">
        <w:t>’</w:t>
      </w:r>
      <w:r w:rsidR="00E44179">
        <w:t xml:space="preserve">occurrence of the </w:t>
      </w:r>
      <w:r w:rsidRPr="00E8050B">
        <w:t xml:space="preserve">Planned </w:t>
      </w:r>
      <w:r w:rsidR="00706868">
        <w:t>T</w:t>
      </w:r>
      <w:r w:rsidRPr="00E8050B">
        <w:t>ransaction”, to which agreement P-5 refers</w:t>
      </w:r>
      <w:r w:rsidR="004F7C11">
        <w:t>,</w:t>
      </w:r>
      <w:r w:rsidRPr="00E8050B">
        <w:t xml:space="preserve"> are </w:t>
      </w:r>
      <w:r w:rsidR="004F7C11" w:rsidRPr="00E8050B">
        <w:t>inadmissible</w:t>
      </w:r>
      <w:r w:rsidRPr="00E8050B">
        <w:t xml:space="preserve"> because they </w:t>
      </w:r>
      <w:r w:rsidR="00E44179">
        <w:t>are</w:t>
      </w:r>
      <w:r w:rsidRPr="00E8050B">
        <w:t xml:space="preserve"> an invitation to </w:t>
      </w:r>
      <w:r w:rsidR="00E44179">
        <w:t>retry the case</w:t>
      </w:r>
      <w:r w:rsidRPr="00E8050B">
        <w:t>.</w:t>
      </w:r>
      <w:r w:rsidR="0084114F" w:rsidRPr="00B70773">
        <w:t xml:space="preserve"> </w:t>
      </w:r>
      <w:r w:rsidRPr="00E8050B">
        <w:t xml:space="preserve">Furthermore, </w:t>
      </w:r>
      <w:r w:rsidR="00B85006">
        <w:t xml:space="preserve">even </w:t>
      </w:r>
      <w:r w:rsidRPr="00E8050B">
        <w:t xml:space="preserve">assuming that these </w:t>
      </w:r>
      <w:r w:rsidR="004F7C11" w:rsidRPr="00E8050B">
        <w:t>arguments</w:t>
      </w:r>
      <w:r w:rsidRPr="00E8050B">
        <w:t xml:space="preserve"> </w:t>
      </w:r>
      <w:r w:rsidR="00B85006">
        <w:t>are</w:t>
      </w:r>
      <w:r w:rsidRPr="00E8050B">
        <w:t xml:space="preserve"> admissible, I find that the trial judge’s conclusion that this </w:t>
      </w:r>
      <w:r w:rsidR="00D12459">
        <w:t>[</w:t>
      </w:r>
      <w:r w:rsidR="00D12459" w:rsidRPr="004F7C11">
        <w:rPr>
          <w:smallCaps/>
        </w:rPr>
        <w:t>translation</w:t>
      </w:r>
      <w:r w:rsidR="00D12459">
        <w:t>]</w:t>
      </w:r>
      <w:r w:rsidR="00D12459" w:rsidRPr="00E8050B">
        <w:t xml:space="preserve"> </w:t>
      </w:r>
      <w:r w:rsidRPr="00E8050B">
        <w:t xml:space="preserve">“Planned </w:t>
      </w:r>
      <w:r w:rsidR="00D24B4C">
        <w:t>T</w:t>
      </w:r>
      <w:r w:rsidRPr="00E8050B">
        <w:t>ransaction” never took place is sufficiently supported by the evidence adduced.</w:t>
      </w:r>
    </w:p>
    <w:p w14:paraId="50B0FFA6" w14:textId="4DC05A69" w:rsidR="00844586" w:rsidRPr="00B70773" w:rsidRDefault="00B70773" w:rsidP="00A90F7A">
      <w:pPr>
        <w:pStyle w:val="Paragraphe"/>
        <w:spacing w:line="240" w:lineRule="auto"/>
      </w:pPr>
      <w:r w:rsidRPr="00B70773">
        <w:t xml:space="preserve">Finally, I find that the Court should not accept </w:t>
      </w:r>
      <w:r w:rsidR="00D24B4C">
        <w:t xml:space="preserve">Mr. </w:t>
      </w:r>
      <w:proofErr w:type="spellStart"/>
      <w:r w:rsidRPr="00B70773">
        <w:t>Richer’s</w:t>
      </w:r>
      <w:proofErr w:type="spellEnd"/>
      <w:r w:rsidRPr="00B70773">
        <w:t xml:space="preserve"> arguments based on article 1503 </w:t>
      </w:r>
      <w:r w:rsidRPr="00B85006">
        <w:rPr>
          <w:i/>
          <w:iCs/>
        </w:rPr>
        <w:t>C.C.Q</w:t>
      </w:r>
      <w:r w:rsidRPr="00B85006">
        <w:t>.</w:t>
      </w:r>
    </w:p>
    <w:p w14:paraId="314C5C52" w14:textId="412266EE" w:rsidR="00844586" w:rsidRPr="00287CE3" w:rsidRDefault="00B70773" w:rsidP="00A90F7A">
      <w:pPr>
        <w:pStyle w:val="Paragraphe"/>
        <w:numPr>
          <w:ilvl w:val="0"/>
          <w:numId w:val="0"/>
        </w:numPr>
        <w:spacing w:line="240" w:lineRule="auto"/>
        <w:jc w:val="center"/>
      </w:pPr>
      <w:r>
        <w:t>*</w:t>
      </w:r>
      <w:r w:rsidR="0084114F">
        <w:tab/>
      </w:r>
      <w:r>
        <w:t>*</w:t>
      </w:r>
      <w:r w:rsidR="0084114F">
        <w:tab/>
      </w:r>
      <w:r>
        <w:t>*</w:t>
      </w:r>
    </w:p>
    <w:p w14:paraId="597E8789" w14:textId="57A6F45D" w:rsidR="00844586" w:rsidRPr="00B70773" w:rsidRDefault="00B70773" w:rsidP="00A90F7A">
      <w:pPr>
        <w:pStyle w:val="Paragraphe"/>
        <w:spacing w:line="240" w:lineRule="auto"/>
      </w:pPr>
      <w:r w:rsidRPr="00B70773">
        <w:t xml:space="preserve">The issue at the heart of this appeal is whether the judge made a reviewable error in concluding that the vesting of the assets of Divertissement </w:t>
      </w:r>
      <w:proofErr w:type="spellStart"/>
      <w:r w:rsidRPr="00B70773">
        <w:t>Wooky</w:t>
      </w:r>
      <w:proofErr w:type="spellEnd"/>
      <w:r w:rsidRPr="00B70773">
        <w:t xml:space="preserve"> Inc. (</w:t>
      </w:r>
      <w:r w:rsidR="004F7C11">
        <w:t>“</w:t>
      </w:r>
      <w:proofErr w:type="spellStart"/>
      <w:r w:rsidRPr="00B70773">
        <w:t>Wooky</w:t>
      </w:r>
      <w:proofErr w:type="spellEnd"/>
      <w:r w:rsidRPr="00B70773">
        <w:t xml:space="preserve">”) to a corporation controlled by </w:t>
      </w:r>
      <w:r w:rsidR="004306F0">
        <w:t xml:space="preserve">Mr. </w:t>
      </w:r>
      <w:r w:rsidRPr="00B70773">
        <w:t>Sirois</w:t>
      </w:r>
      <w:r w:rsidR="0084114F" w:rsidRPr="00B70773">
        <w:t xml:space="preserve"> </w:t>
      </w:r>
      <w:r w:rsidRPr="00B70773">
        <w:t xml:space="preserve">in the context of </w:t>
      </w:r>
      <w:proofErr w:type="spellStart"/>
      <w:r w:rsidRPr="00B70773">
        <w:t>Wooky’s</w:t>
      </w:r>
      <w:proofErr w:type="spellEnd"/>
      <w:r w:rsidRPr="00B70773">
        <w:t xml:space="preserve"> liquidation is tantamount to the </w:t>
      </w:r>
      <w:r w:rsidR="004F7C11">
        <w:t>[</w:t>
      </w:r>
      <w:r w:rsidR="004F7C11" w:rsidRPr="004F7C11">
        <w:rPr>
          <w:smallCaps/>
        </w:rPr>
        <w:t>translation</w:t>
      </w:r>
      <w:r w:rsidR="004F7C11">
        <w:t>]</w:t>
      </w:r>
      <w:r w:rsidR="004F7C11" w:rsidRPr="00B70773">
        <w:t xml:space="preserve"> </w:t>
      </w:r>
      <w:r w:rsidRPr="00B70773">
        <w:t>“</w:t>
      </w:r>
      <w:r w:rsidR="004306F0">
        <w:t xml:space="preserve">occurrence of the </w:t>
      </w:r>
      <w:r w:rsidRPr="00B70773">
        <w:t xml:space="preserve">Planned </w:t>
      </w:r>
      <w:r w:rsidR="004306F0">
        <w:t>T</w:t>
      </w:r>
      <w:r w:rsidRPr="00B70773">
        <w:t xml:space="preserve">ransaction” within the </w:t>
      </w:r>
      <w:r w:rsidR="004F7C11" w:rsidRPr="00B70773">
        <w:t>meaning</w:t>
      </w:r>
      <w:r w:rsidRPr="00B70773">
        <w:t xml:space="preserve"> intended by </w:t>
      </w:r>
      <w:r w:rsidR="004306F0">
        <w:t xml:space="preserve">Mr. </w:t>
      </w:r>
      <w:r w:rsidRPr="00B70773">
        <w:t xml:space="preserve">Richer </w:t>
      </w:r>
      <w:r w:rsidR="004F7C11" w:rsidRPr="00B70773">
        <w:t>and</w:t>
      </w:r>
      <w:r w:rsidRPr="00B70773">
        <w:t xml:space="preserve"> </w:t>
      </w:r>
      <w:r w:rsidR="004306F0">
        <w:t xml:space="preserve">Mr. </w:t>
      </w:r>
      <w:r w:rsidRPr="00B70773">
        <w:t xml:space="preserve">Sirois when they </w:t>
      </w:r>
      <w:r w:rsidR="00A5234D">
        <w:t>entered into</w:t>
      </w:r>
      <w:r w:rsidRPr="00B70773">
        <w:t xml:space="preserve"> agreement P-5.</w:t>
      </w:r>
      <w:r w:rsidR="0084114F" w:rsidRPr="00B70773">
        <w:t xml:space="preserve"> </w:t>
      </w:r>
      <w:r w:rsidRPr="00B70773">
        <w:t xml:space="preserve">The importance of this question rests on the fact – admitted by all parties – that based on that agreement, the payment of the </w:t>
      </w:r>
      <w:r w:rsidR="004F7C11" w:rsidRPr="00B70773">
        <w:t>amounts</w:t>
      </w:r>
      <w:r w:rsidRPr="00B70773">
        <w:t xml:space="preserve"> claimed by </w:t>
      </w:r>
      <w:r w:rsidR="004306F0">
        <w:t xml:space="preserve">Mr. </w:t>
      </w:r>
      <w:r w:rsidRPr="00B70773">
        <w:t xml:space="preserve">Richer is conditional to </w:t>
      </w:r>
      <w:r w:rsidR="004306F0">
        <w:t xml:space="preserve">the occurrence of </w:t>
      </w:r>
      <w:r w:rsidRPr="00B70773">
        <w:t>this</w:t>
      </w:r>
      <w:r w:rsidR="00D12459">
        <w:t xml:space="preserve"> [</w:t>
      </w:r>
      <w:r w:rsidR="00D12459" w:rsidRPr="004F7C11">
        <w:rPr>
          <w:smallCaps/>
        </w:rPr>
        <w:t>translation</w:t>
      </w:r>
      <w:r w:rsidR="00D12459">
        <w:t>]</w:t>
      </w:r>
      <w:r w:rsidRPr="00B70773">
        <w:t xml:space="preserve"> “Planned </w:t>
      </w:r>
      <w:r w:rsidR="004306F0">
        <w:t>T</w:t>
      </w:r>
      <w:r w:rsidRPr="00B70773">
        <w:t>ransaction”.</w:t>
      </w:r>
    </w:p>
    <w:p w14:paraId="66227320" w14:textId="0D7FBC94" w:rsidR="00844586" w:rsidRPr="00B70773" w:rsidRDefault="00B70773" w:rsidP="00A90F7A">
      <w:pPr>
        <w:pStyle w:val="Paragraphe"/>
        <w:spacing w:line="240" w:lineRule="auto"/>
      </w:pPr>
      <w:r w:rsidRPr="00E8050B">
        <w:t xml:space="preserve">The meaning to give </w:t>
      </w:r>
      <w:r w:rsidR="002D01B3">
        <w:t xml:space="preserve">to </w:t>
      </w:r>
      <w:r w:rsidRPr="00E8050B">
        <w:t xml:space="preserve">this notion of the </w:t>
      </w:r>
      <w:r w:rsidR="004F7C11">
        <w:t>[</w:t>
      </w:r>
      <w:r w:rsidR="004F7C11" w:rsidRPr="004F7C11">
        <w:rPr>
          <w:smallCaps/>
        </w:rPr>
        <w:t>translation</w:t>
      </w:r>
      <w:r w:rsidR="004F7C11">
        <w:t>]</w:t>
      </w:r>
      <w:r w:rsidR="004F7C11" w:rsidRPr="00E8050B">
        <w:t xml:space="preserve"> </w:t>
      </w:r>
      <w:r w:rsidRPr="00E8050B">
        <w:t>“</w:t>
      </w:r>
      <w:r w:rsidR="002D01B3">
        <w:t xml:space="preserve">occurrence of the </w:t>
      </w:r>
      <w:r w:rsidRPr="00E8050B">
        <w:t xml:space="preserve">Planned </w:t>
      </w:r>
      <w:r w:rsidR="002D01B3">
        <w:t>T</w:t>
      </w:r>
      <w:r w:rsidRPr="00E8050B">
        <w:t xml:space="preserve">ransaction” is </w:t>
      </w:r>
      <w:r w:rsidR="002D01B3">
        <w:t>a</w:t>
      </w:r>
      <w:r w:rsidR="00A5234D">
        <w:t xml:space="preserve"> question </w:t>
      </w:r>
      <w:r w:rsidRPr="00E8050B">
        <w:t>of contractual interpretation.</w:t>
      </w:r>
      <w:r w:rsidR="0084114F" w:rsidRPr="00B70773">
        <w:t xml:space="preserve"> </w:t>
      </w:r>
      <w:r>
        <w:t xml:space="preserve">It cannot be answered </w:t>
      </w:r>
      <w:r w:rsidR="004641D0">
        <w:t xml:space="preserve">by </w:t>
      </w:r>
      <w:r>
        <w:t xml:space="preserve">relying solely on the </w:t>
      </w:r>
      <w:r w:rsidR="004641D0">
        <w:t>language</w:t>
      </w:r>
      <w:r>
        <w:t xml:space="preserve"> used in agreement P-5, even when endeavouring, during the first of </w:t>
      </w:r>
      <w:r w:rsidR="002D01B3">
        <w:t xml:space="preserve">the </w:t>
      </w:r>
      <w:r>
        <w:t>two</w:t>
      </w:r>
      <w:r w:rsidR="002D01B3">
        <w:t xml:space="preserve"> steps in the</w:t>
      </w:r>
      <w:r>
        <w:t xml:space="preserve"> analysis, to determine whether the terms at issue are clear or ambiguous.</w:t>
      </w:r>
      <w:r w:rsidR="0084114F" w:rsidRPr="00B70773">
        <w:t xml:space="preserve"> </w:t>
      </w:r>
      <w:r w:rsidRPr="00B70773">
        <w:t xml:space="preserve">Indeed, in </w:t>
      </w:r>
      <w:r w:rsidRPr="004641D0">
        <w:rPr>
          <w:i/>
          <w:iCs/>
        </w:rPr>
        <w:t>Uniprix</w:t>
      </w:r>
      <w:r w:rsidRPr="00B70773">
        <w:t xml:space="preserve">, the Supreme Court could not have been clearer on the importance of considering, at each </w:t>
      </w:r>
      <w:r w:rsidR="002D01B3">
        <w:t xml:space="preserve">step </w:t>
      </w:r>
      <w:r w:rsidRPr="00B70773">
        <w:t>of the analy</w:t>
      </w:r>
      <w:r w:rsidR="002D01B3">
        <w:t>sis</w:t>
      </w:r>
      <w:r w:rsidRPr="00B70773">
        <w:t xml:space="preserve"> when interpreting a contract, the factual context </w:t>
      </w:r>
      <w:r w:rsidR="000D779B" w:rsidRPr="000D779B">
        <w:rPr>
          <w:u w:val="single"/>
        </w:rPr>
        <w:t>of the conclusion and performance of the contract</w:t>
      </w:r>
      <w:r w:rsidRPr="00B70773">
        <w:t>:</w:t>
      </w:r>
      <w:r w:rsidRPr="00B70773">
        <w:rPr>
          <w:rFonts w:cs="Arial"/>
          <w:szCs w:val="24"/>
          <w:vertAlign w:val="superscript"/>
        </w:rPr>
        <w:t xml:space="preserve"> </w:t>
      </w:r>
      <w:r>
        <w:rPr>
          <w:rFonts w:cs="Arial"/>
          <w:szCs w:val="24"/>
          <w:vertAlign w:val="superscript"/>
        </w:rPr>
        <w:footnoteReference w:id="23"/>
      </w:r>
    </w:p>
    <w:p w14:paraId="52A78317" w14:textId="30E550DB" w:rsidR="00844586" w:rsidRPr="00B70773" w:rsidRDefault="00B70773" w:rsidP="00A90F7A">
      <w:pPr>
        <w:pStyle w:val="Paragraphe"/>
        <w:keepNext/>
        <w:numPr>
          <w:ilvl w:val="0"/>
          <w:numId w:val="0"/>
        </w:numPr>
        <w:spacing w:line="240" w:lineRule="auto"/>
        <w:ind w:left="1134" w:right="714"/>
        <w:rPr>
          <w:rFonts w:ascii="Times New Roman" w:hAnsi="Times New Roman"/>
          <w:i/>
          <w:iCs/>
          <w:sz w:val="22"/>
          <w:szCs w:val="22"/>
          <w:lang w:eastAsia="fr-CA"/>
        </w:rPr>
      </w:pPr>
      <w:r w:rsidRPr="00E8050B">
        <w:rPr>
          <w:i/>
          <w:iCs/>
          <w:sz w:val="22"/>
          <w:szCs w:val="22"/>
        </w:rPr>
        <w:lastRenderedPageBreak/>
        <w:t>(a)</w:t>
      </w:r>
      <w:r w:rsidR="0084114F" w:rsidRPr="00B70773">
        <w:rPr>
          <w:i/>
          <w:iCs/>
          <w:sz w:val="22"/>
          <w:szCs w:val="22"/>
        </w:rPr>
        <w:t xml:space="preserve"> </w:t>
      </w:r>
      <w:r w:rsidRPr="00E8050B">
        <w:rPr>
          <w:i/>
          <w:iCs/>
          <w:sz w:val="22"/>
          <w:szCs w:val="22"/>
        </w:rPr>
        <w:t>Principles of Contractual Interpretation</w:t>
      </w:r>
    </w:p>
    <w:p w14:paraId="7F5CFBD8" w14:textId="6E3CFA8A" w:rsidR="00844586" w:rsidRPr="00B70773" w:rsidRDefault="00B70773" w:rsidP="00A90F7A">
      <w:pPr>
        <w:pStyle w:val="Paragraphe"/>
        <w:numPr>
          <w:ilvl w:val="0"/>
          <w:numId w:val="0"/>
        </w:numPr>
        <w:spacing w:line="240" w:lineRule="auto"/>
        <w:ind w:left="709" w:right="715"/>
        <w:rPr>
          <w:sz w:val="22"/>
          <w:szCs w:val="22"/>
        </w:rPr>
      </w:pPr>
      <w:r w:rsidRPr="00B70773">
        <w:rPr>
          <w:sz w:val="22"/>
          <w:szCs w:val="22"/>
        </w:rPr>
        <w:t>[34]</w:t>
      </w:r>
      <w:r w:rsidR="0084114F" w:rsidRPr="00B70773">
        <w:rPr>
          <w:sz w:val="22"/>
          <w:szCs w:val="22"/>
        </w:rPr>
        <w:t xml:space="preserve">  </w:t>
      </w:r>
      <w:r w:rsidR="0084114F" w:rsidRPr="00B70773">
        <w:rPr>
          <w:sz w:val="22"/>
          <w:szCs w:val="22"/>
        </w:rPr>
        <w:tab/>
      </w:r>
      <w:r w:rsidRPr="00E8050B">
        <w:rPr>
          <w:sz w:val="22"/>
          <w:szCs w:val="22"/>
          <w:u w:val="single"/>
        </w:rPr>
        <w:t>The first step in interpreting a contract is to determine whether its words are clear or ambiguous  ... .</w:t>
      </w:r>
    </w:p>
    <w:p w14:paraId="2D367C4A" w14:textId="0ACC7FB2" w:rsidR="00844586" w:rsidRPr="00B70773" w:rsidRDefault="00B70773" w:rsidP="00A90F7A">
      <w:pPr>
        <w:pStyle w:val="Paragraphe"/>
        <w:numPr>
          <w:ilvl w:val="0"/>
          <w:numId w:val="0"/>
        </w:numPr>
        <w:spacing w:line="240" w:lineRule="auto"/>
        <w:ind w:left="709" w:right="715"/>
        <w:rPr>
          <w:sz w:val="22"/>
          <w:szCs w:val="22"/>
        </w:rPr>
      </w:pPr>
      <w:r w:rsidRPr="00B70773">
        <w:rPr>
          <w:sz w:val="22"/>
          <w:szCs w:val="22"/>
        </w:rPr>
        <w:t>[35]</w:t>
      </w:r>
      <w:r w:rsidR="0084114F" w:rsidRPr="00B70773">
        <w:rPr>
          <w:sz w:val="22"/>
          <w:szCs w:val="22"/>
        </w:rPr>
        <w:t xml:space="preserve">  </w:t>
      </w:r>
      <w:r w:rsidR="0084114F" w:rsidRPr="00B70773">
        <w:rPr>
          <w:sz w:val="22"/>
          <w:szCs w:val="22"/>
        </w:rPr>
        <w:tab/>
      </w:r>
      <w:r w:rsidRPr="00E8050B">
        <w:rPr>
          <w:sz w:val="22"/>
          <w:szCs w:val="22"/>
        </w:rPr>
        <w:t xml:space="preserve">Although this step is based first and foremost on a reading of the words themselves, </w:t>
      </w:r>
      <w:r w:rsidRPr="00E8050B">
        <w:rPr>
          <w:sz w:val="22"/>
          <w:szCs w:val="22"/>
          <w:u w:val="single"/>
        </w:rPr>
        <w:t>it is not necessarily limited to that in every case</w:t>
      </w:r>
      <w:r w:rsidRPr="00E8050B">
        <w:rPr>
          <w:sz w:val="22"/>
          <w:szCs w:val="22"/>
        </w:rPr>
        <w:t>, as there may be situations in which a contract’s language is not faithful to the parties’ common intention ... .</w:t>
      </w:r>
      <w:r w:rsidR="0084114F" w:rsidRPr="00B70773">
        <w:rPr>
          <w:sz w:val="22"/>
          <w:szCs w:val="22"/>
        </w:rPr>
        <w:t xml:space="preserve"> </w:t>
      </w:r>
      <w:r w:rsidRPr="00E8050B">
        <w:rPr>
          <w:sz w:val="22"/>
          <w:szCs w:val="22"/>
        </w:rPr>
        <w:t>Indeed, [</w:t>
      </w:r>
      <w:r w:rsidRPr="00E64E69">
        <w:rPr>
          <w:smallCaps/>
          <w:sz w:val="22"/>
          <w:szCs w:val="22"/>
        </w:rPr>
        <w:t>translation</w:t>
      </w:r>
      <w:r w:rsidRPr="00E8050B">
        <w:rPr>
          <w:sz w:val="22"/>
          <w:szCs w:val="22"/>
        </w:rPr>
        <w:t xml:space="preserve">] “[w]hen considered in the context of the agreement’s other clauses </w:t>
      </w:r>
      <w:r w:rsidRPr="00E8050B">
        <w:rPr>
          <w:sz w:val="22"/>
          <w:szCs w:val="22"/>
          <w:u w:val="single"/>
        </w:rPr>
        <w:t>or of the circumstances in which it was concluded</w:t>
      </w:r>
      <w:r w:rsidRPr="00E8050B">
        <w:rPr>
          <w:sz w:val="22"/>
          <w:szCs w:val="22"/>
        </w:rPr>
        <w:t>, the seemingly clear words of a clause may [sometimes] prove to be ambiguous and to be inconsistent with the scheme of the contract, the true intention of the parties” ...</w:t>
      </w:r>
      <w:r w:rsidR="00412295">
        <w:rPr>
          <w:sz w:val="22"/>
          <w:szCs w:val="22"/>
        </w:rPr>
        <w:t> </w:t>
      </w:r>
      <w:r w:rsidRPr="00E8050B">
        <w:rPr>
          <w:sz w:val="22"/>
          <w:szCs w:val="22"/>
        </w:rPr>
        <w:t>.</w:t>
      </w:r>
      <w:r w:rsidR="0084114F" w:rsidRPr="00B70773">
        <w:rPr>
          <w:sz w:val="22"/>
          <w:szCs w:val="22"/>
        </w:rPr>
        <w:t xml:space="preserve"> </w:t>
      </w:r>
      <w:r w:rsidRPr="00E8050B">
        <w:rPr>
          <w:sz w:val="22"/>
          <w:szCs w:val="22"/>
        </w:rPr>
        <w:t>Likewise, a clause that might be perceived to be ambiguous may be perfectly clear when considered in its context.</w:t>
      </w:r>
    </w:p>
    <w:p w14:paraId="1E4AEF3D" w14:textId="283C4CA2" w:rsidR="00844586" w:rsidRPr="00B70773" w:rsidRDefault="00B70773" w:rsidP="00A90F7A">
      <w:pPr>
        <w:pStyle w:val="Paragraphe"/>
        <w:numPr>
          <w:ilvl w:val="0"/>
          <w:numId w:val="0"/>
        </w:numPr>
        <w:spacing w:line="240" w:lineRule="auto"/>
        <w:ind w:left="709" w:right="715"/>
        <w:rPr>
          <w:sz w:val="22"/>
          <w:szCs w:val="22"/>
        </w:rPr>
      </w:pPr>
      <w:r w:rsidRPr="00B70773">
        <w:rPr>
          <w:sz w:val="22"/>
          <w:szCs w:val="22"/>
        </w:rPr>
        <w:t>[36]</w:t>
      </w:r>
      <w:r w:rsidR="0084114F" w:rsidRPr="00B70773">
        <w:rPr>
          <w:sz w:val="22"/>
          <w:szCs w:val="22"/>
        </w:rPr>
        <w:t xml:space="preserve">  </w:t>
      </w:r>
      <w:r w:rsidR="0084114F" w:rsidRPr="00B70773">
        <w:rPr>
          <w:sz w:val="22"/>
          <w:szCs w:val="22"/>
        </w:rPr>
        <w:tab/>
      </w:r>
      <w:r w:rsidRPr="00E8050B">
        <w:rPr>
          <w:sz w:val="22"/>
          <w:szCs w:val="22"/>
        </w:rPr>
        <w:t>If the words of the contract are clear, the court’s role is limited to applying them to the facts before it.</w:t>
      </w:r>
      <w:r w:rsidR="0084114F" w:rsidRPr="00B70773">
        <w:rPr>
          <w:sz w:val="22"/>
          <w:szCs w:val="22"/>
        </w:rPr>
        <w:t xml:space="preserve"> </w:t>
      </w:r>
      <w:r w:rsidRPr="00E8050B">
        <w:rPr>
          <w:sz w:val="22"/>
          <w:szCs w:val="22"/>
        </w:rPr>
        <w:t xml:space="preserve">If, on the other hand, the court identifies an ambiguity, it must resolve the ambiguity by proceeding to </w:t>
      </w:r>
      <w:r w:rsidRPr="00E8050B">
        <w:rPr>
          <w:sz w:val="22"/>
          <w:szCs w:val="22"/>
          <w:u w:val="single"/>
        </w:rPr>
        <w:t>the second step of contractual interpretation</w:t>
      </w:r>
      <w:r w:rsidRPr="00E8050B">
        <w:rPr>
          <w:sz w:val="22"/>
          <w:szCs w:val="22"/>
        </w:rPr>
        <w:t xml:space="preserve"> ... .</w:t>
      </w:r>
      <w:r w:rsidR="0084114F" w:rsidRPr="00B70773">
        <w:rPr>
          <w:sz w:val="22"/>
          <w:szCs w:val="22"/>
        </w:rPr>
        <w:t xml:space="preserve"> </w:t>
      </w:r>
      <w:r w:rsidRPr="00E8050B">
        <w:rPr>
          <w:sz w:val="22"/>
          <w:szCs w:val="22"/>
        </w:rPr>
        <w:t xml:space="preserve">The distinction between these two steps can be difficult to see, but it is fundamental. </w:t>
      </w:r>
      <w:r w:rsidRPr="00E8050B">
        <w:rPr>
          <w:sz w:val="22"/>
          <w:szCs w:val="22"/>
          <w:u w:val="single"/>
        </w:rPr>
        <w:t>At the first step, the judge might, for example, consider the context of the conclusion and performance of the contract in order to confirm that its language is clear</w:t>
      </w:r>
      <w:r w:rsidRPr="00E8050B">
        <w:rPr>
          <w:sz w:val="22"/>
          <w:szCs w:val="22"/>
        </w:rPr>
        <w:t xml:space="preserve"> ... .</w:t>
      </w:r>
      <w:r w:rsidR="0084114F" w:rsidRPr="00B70773">
        <w:rPr>
          <w:sz w:val="22"/>
          <w:szCs w:val="22"/>
        </w:rPr>
        <w:t xml:space="preserve"> </w:t>
      </w:r>
      <w:r w:rsidRPr="00E8050B">
        <w:rPr>
          <w:sz w:val="22"/>
          <w:szCs w:val="22"/>
        </w:rPr>
        <w:t>In principle, however, the judge should not have recourse to the principles of interpretation set out in arts.</w:t>
      </w:r>
      <w:r w:rsidR="0084114F" w:rsidRPr="00B70773">
        <w:rPr>
          <w:sz w:val="22"/>
          <w:szCs w:val="22"/>
        </w:rPr>
        <w:t xml:space="preserve"> </w:t>
      </w:r>
      <w:r w:rsidRPr="00E8050B">
        <w:rPr>
          <w:sz w:val="22"/>
          <w:szCs w:val="22"/>
        </w:rPr>
        <w:t xml:space="preserve">1425 to 1432 of the </w:t>
      </w:r>
      <w:r w:rsidRPr="00E64E69">
        <w:rPr>
          <w:i/>
          <w:iCs/>
          <w:sz w:val="22"/>
          <w:szCs w:val="22"/>
        </w:rPr>
        <w:t>Code</w:t>
      </w:r>
      <w:r w:rsidRPr="00E8050B">
        <w:rPr>
          <w:sz w:val="22"/>
          <w:szCs w:val="22"/>
        </w:rPr>
        <w:t xml:space="preserve"> ... .</w:t>
      </w:r>
      <w:r w:rsidR="0084114F" w:rsidRPr="00B70773">
        <w:rPr>
          <w:sz w:val="22"/>
          <w:szCs w:val="22"/>
        </w:rPr>
        <w:t xml:space="preserve"> </w:t>
      </w:r>
      <w:r w:rsidRPr="00B70773">
        <w:rPr>
          <w:sz w:val="22"/>
          <w:szCs w:val="22"/>
        </w:rPr>
        <w:t>In this sense, the interpretation of the contract is more superficial at the first step than at the second ... .</w:t>
      </w:r>
    </w:p>
    <w:p w14:paraId="3BC8AE28" w14:textId="0611DA4C" w:rsidR="00844586" w:rsidRPr="006751C0" w:rsidRDefault="00B70773" w:rsidP="00A90F7A">
      <w:pPr>
        <w:pStyle w:val="Paragraphe"/>
        <w:numPr>
          <w:ilvl w:val="0"/>
          <w:numId w:val="0"/>
        </w:numPr>
        <w:spacing w:line="240" w:lineRule="auto"/>
        <w:ind w:left="709" w:right="715"/>
        <w:rPr>
          <w:sz w:val="22"/>
          <w:szCs w:val="22"/>
        </w:rPr>
      </w:pPr>
      <w:r w:rsidRPr="006751C0">
        <w:rPr>
          <w:sz w:val="22"/>
          <w:szCs w:val="22"/>
        </w:rPr>
        <w:t xml:space="preserve">[37] </w:t>
      </w:r>
      <w:r w:rsidR="0084114F" w:rsidRPr="006751C0">
        <w:rPr>
          <w:sz w:val="22"/>
          <w:szCs w:val="22"/>
        </w:rPr>
        <w:t xml:space="preserve"> </w:t>
      </w:r>
      <w:r w:rsidR="0084114F" w:rsidRPr="006751C0">
        <w:rPr>
          <w:sz w:val="22"/>
          <w:szCs w:val="22"/>
        </w:rPr>
        <w:tab/>
      </w:r>
      <w:r w:rsidR="006751C0" w:rsidRPr="00E8050B">
        <w:rPr>
          <w:sz w:val="22"/>
          <w:szCs w:val="22"/>
        </w:rPr>
        <w:t xml:space="preserve">The cardinal principle that guides the second step of the interpretation exercise is that “[t]he common intention of the parties rather than adherence to the literal meaning of the words shall be sought” (art. </w:t>
      </w:r>
      <w:r w:rsidR="0084114F" w:rsidRPr="006751C0">
        <w:rPr>
          <w:sz w:val="22"/>
          <w:szCs w:val="22"/>
        </w:rPr>
        <w:t xml:space="preserve"> </w:t>
      </w:r>
      <w:r w:rsidR="006751C0" w:rsidRPr="00E8050B">
        <w:rPr>
          <w:sz w:val="22"/>
          <w:szCs w:val="22"/>
        </w:rPr>
        <w:t xml:space="preserve">1425 </w:t>
      </w:r>
      <w:r w:rsidR="006751C0" w:rsidRPr="00E64E69">
        <w:rPr>
          <w:i/>
          <w:iCs/>
          <w:sz w:val="22"/>
          <w:szCs w:val="22"/>
        </w:rPr>
        <w:t>C.C.Q.</w:t>
      </w:r>
      <w:r w:rsidR="006751C0" w:rsidRPr="00E8050B">
        <w:rPr>
          <w:sz w:val="22"/>
          <w:szCs w:val="22"/>
        </w:rPr>
        <w:t>).</w:t>
      </w:r>
      <w:r w:rsidR="0084114F" w:rsidRPr="006751C0">
        <w:rPr>
          <w:sz w:val="22"/>
          <w:szCs w:val="22"/>
        </w:rPr>
        <w:t xml:space="preserve"> </w:t>
      </w:r>
      <w:r w:rsidR="006751C0" w:rsidRPr="00E8050B">
        <w:rPr>
          <w:sz w:val="22"/>
          <w:szCs w:val="22"/>
        </w:rPr>
        <w:t xml:space="preserve">In this exercise, it is necessary to consider intrinsic aspects of the contract, such as the words of the clause at issue and the other clauses, in order to ensure that each of them is given a meaningful effect and that each is interpreted in light of the others (arts. </w:t>
      </w:r>
      <w:r w:rsidR="0084114F" w:rsidRPr="006751C0">
        <w:rPr>
          <w:sz w:val="22"/>
          <w:szCs w:val="22"/>
        </w:rPr>
        <w:t xml:space="preserve"> </w:t>
      </w:r>
      <w:r w:rsidR="006751C0" w:rsidRPr="00E8050B">
        <w:rPr>
          <w:sz w:val="22"/>
          <w:szCs w:val="22"/>
        </w:rPr>
        <w:t xml:space="preserve">1427 and 1428 </w:t>
      </w:r>
      <w:r w:rsidR="006751C0" w:rsidRPr="00E64E69">
        <w:rPr>
          <w:i/>
          <w:iCs/>
          <w:sz w:val="22"/>
          <w:szCs w:val="22"/>
        </w:rPr>
        <w:t>C.C.Q</w:t>
      </w:r>
      <w:r w:rsidR="006751C0" w:rsidRPr="00E8050B">
        <w:rPr>
          <w:sz w:val="22"/>
          <w:szCs w:val="22"/>
        </w:rPr>
        <w:t>.; ... ).</w:t>
      </w:r>
      <w:r w:rsidR="0084114F" w:rsidRPr="006751C0">
        <w:rPr>
          <w:sz w:val="22"/>
          <w:szCs w:val="22"/>
        </w:rPr>
        <w:t xml:space="preserve"> </w:t>
      </w:r>
      <w:r w:rsidR="006751C0" w:rsidRPr="00E8050B">
        <w:rPr>
          <w:sz w:val="22"/>
          <w:szCs w:val="22"/>
        </w:rPr>
        <w:t>The interpretation of a contract also requires consideration of the nature of the contract and of the context extrinsic to it, including the factual circumstances in which it was formed, how the parties have interpreted it, and usage (art.</w:t>
      </w:r>
      <w:r w:rsidR="0084114F" w:rsidRPr="006751C0">
        <w:rPr>
          <w:sz w:val="22"/>
          <w:szCs w:val="22"/>
        </w:rPr>
        <w:t xml:space="preserve"> </w:t>
      </w:r>
      <w:r w:rsidR="006751C0">
        <w:rPr>
          <w:sz w:val="22"/>
          <w:szCs w:val="22"/>
        </w:rPr>
        <w:t xml:space="preserve">1426 </w:t>
      </w:r>
      <w:r w:rsidR="006751C0" w:rsidRPr="00E64E69">
        <w:rPr>
          <w:i/>
          <w:iCs/>
          <w:sz w:val="22"/>
          <w:szCs w:val="22"/>
        </w:rPr>
        <w:t>C.C.Q.</w:t>
      </w:r>
      <w:r w:rsidR="006751C0">
        <w:rPr>
          <w:sz w:val="22"/>
          <w:szCs w:val="22"/>
        </w:rPr>
        <w:t>; Baudouin and Jobin, at No. 418; Lluelles and Moore, at Nos. 1600, 1603 and 1607).</w:t>
      </w:r>
    </w:p>
    <w:p w14:paraId="1CCE1AD0" w14:textId="267F005A" w:rsidR="00844586" w:rsidRPr="00E64E69" w:rsidRDefault="006751C0" w:rsidP="00A90F7A">
      <w:pPr>
        <w:pStyle w:val="Paragraphe"/>
        <w:numPr>
          <w:ilvl w:val="0"/>
          <w:numId w:val="0"/>
        </w:numPr>
        <w:spacing w:line="240" w:lineRule="auto"/>
        <w:ind w:left="709" w:right="715"/>
        <w:rPr>
          <w:sz w:val="22"/>
          <w:szCs w:val="22"/>
        </w:rPr>
      </w:pPr>
      <w:r w:rsidRPr="00E64E69">
        <w:rPr>
          <w:sz w:val="22"/>
          <w:szCs w:val="22"/>
        </w:rPr>
        <w:t>...</w:t>
      </w:r>
    </w:p>
    <w:p w14:paraId="29E74EB8" w14:textId="6BE8DE0A" w:rsidR="00844586" w:rsidRPr="00C367DE" w:rsidRDefault="00C367DE" w:rsidP="00A90F7A">
      <w:pPr>
        <w:pStyle w:val="Paragraphe"/>
        <w:numPr>
          <w:ilvl w:val="0"/>
          <w:numId w:val="0"/>
        </w:numPr>
        <w:spacing w:line="240" w:lineRule="auto"/>
        <w:ind w:left="709" w:right="715"/>
        <w:rPr>
          <w:sz w:val="22"/>
          <w:szCs w:val="22"/>
        </w:rPr>
      </w:pPr>
      <w:r w:rsidRPr="00C367DE">
        <w:rPr>
          <w:sz w:val="22"/>
          <w:szCs w:val="22"/>
        </w:rPr>
        <w:t xml:space="preserve">[41] </w:t>
      </w:r>
      <w:r w:rsidRPr="00C367DE">
        <w:rPr>
          <w:sz w:val="22"/>
          <w:szCs w:val="22"/>
          <w:u w:val="single"/>
        </w:rPr>
        <w:t>Indeed, contractual interpretation involves the consideration of a multitude of facts.</w:t>
      </w:r>
      <w:r w:rsidR="0084114F" w:rsidRPr="00C367DE">
        <w:rPr>
          <w:sz w:val="22"/>
          <w:szCs w:val="22"/>
        </w:rPr>
        <w:t xml:space="preserve"> </w:t>
      </w:r>
      <w:r w:rsidRPr="00E8050B">
        <w:rPr>
          <w:sz w:val="22"/>
          <w:szCs w:val="22"/>
        </w:rPr>
        <w:t>It is a question of mixed fact and law in respect of which courts of appeal may not intervene in the absence of a palpable and overriding error ... .</w:t>
      </w:r>
      <w:r w:rsidR="0084114F" w:rsidRPr="00C367DE">
        <w:rPr>
          <w:sz w:val="22"/>
          <w:szCs w:val="22"/>
        </w:rPr>
        <w:t xml:space="preserve"> </w:t>
      </w:r>
      <w:r w:rsidRPr="00C367DE">
        <w:rPr>
          <w:sz w:val="22"/>
          <w:szCs w:val="22"/>
          <w:u w:val="single"/>
        </w:rPr>
        <w:t>The same is true for [</w:t>
      </w:r>
      <w:r w:rsidRPr="00E64E69">
        <w:rPr>
          <w:smallCaps/>
          <w:sz w:val="22"/>
          <w:szCs w:val="22"/>
          <w:u w:val="single"/>
        </w:rPr>
        <w:t>translation</w:t>
      </w:r>
      <w:r w:rsidRPr="00C367DE">
        <w:rPr>
          <w:sz w:val="22"/>
          <w:szCs w:val="22"/>
          <w:u w:val="single"/>
        </w:rPr>
        <w:t>] “[d]</w:t>
      </w:r>
      <w:proofErr w:type="spellStart"/>
      <w:r w:rsidRPr="00C367DE">
        <w:rPr>
          <w:sz w:val="22"/>
          <w:szCs w:val="22"/>
          <w:u w:val="single"/>
        </w:rPr>
        <w:t>etermining</w:t>
      </w:r>
      <w:proofErr w:type="spellEnd"/>
      <w:r w:rsidRPr="00C367DE">
        <w:rPr>
          <w:sz w:val="22"/>
          <w:szCs w:val="22"/>
          <w:u w:val="single"/>
        </w:rPr>
        <w:t xml:space="preserve"> whether a contract is clear or ambiguous”, which “is a discretionary process”</w:t>
      </w:r>
      <w:r w:rsidRPr="00C367DE">
        <w:rPr>
          <w:sz w:val="22"/>
          <w:szCs w:val="22"/>
        </w:rPr>
        <w:t xml:space="preserve"> in respect of which “a court of appeal must show restraint and deference” ... .</w:t>
      </w:r>
    </w:p>
    <w:p w14:paraId="29C3A251" w14:textId="0FA82224" w:rsidR="00844586" w:rsidRPr="00E8050B" w:rsidRDefault="00C367DE" w:rsidP="00A90F7A">
      <w:pPr>
        <w:pStyle w:val="Paragraphe"/>
        <w:numPr>
          <w:ilvl w:val="0"/>
          <w:numId w:val="0"/>
        </w:numPr>
        <w:spacing w:line="240" w:lineRule="auto"/>
        <w:ind w:left="709" w:right="715"/>
        <w:jc w:val="right"/>
        <w:rPr>
          <w:sz w:val="22"/>
          <w:szCs w:val="22"/>
        </w:rPr>
      </w:pPr>
      <w:r w:rsidRPr="00E8050B">
        <w:rPr>
          <w:sz w:val="22"/>
          <w:szCs w:val="22"/>
        </w:rPr>
        <w:t>[Emphasis added.]</w:t>
      </w:r>
    </w:p>
    <w:p w14:paraId="5136BD1D" w14:textId="2033F088" w:rsidR="00844586" w:rsidRPr="0000456A" w:rsidRDefault="00412295" w:rsidP="00A90F7A">
      <w:pPr>
        <w:pStyle w:val="Paragraphe"/>
        <w:spacing w:line="240" w:lineRule="auto"/>
      </w:pPr>
      <w:r>
        <w:lastRenderedPageBreak/>
        <w:t xml:space="preserve">Mr. </w:t>
      </w:r>
      <w:r w:rsidR="00C367DE">
        <w:t xml:space="preserve">Richer </w:t>
      </w:r>
      <w:r w:rsidR="00703805">
        <w:t xml:space="preserve">has </w:t>
      </w:r>
      <w:r w:rsidR="00C367DE">
        <w:t xml:space="preserve">properly understood the teachings of </w:t>
      </w:r>
      <w:r w:rsidR="00C367DE" w:rsidRPr="004641D0">
        <w:rPr>
          <w:i/>
          <w:iCs/>
        </w:rPr>
        <w:t>Uniprix</w:t>
      </w:r>
      <w:r w:rsidR="00703805">
        <w:t>,</w:t>
      </w:r>
      <w:r w:rsidR="00C367DE">
        <w:t xml:space="preserve"> since his arguments on appeal are not based </w:t>
      </w:r>
      <w:r w:rsidR="004641D0">
        <w:t xml:space="preserve">exclusively </w:t>
      </w:r>
      <w:r w:rsidR="00C367DE">
        <w:t xml:space="preserve">on </w:t>
      </w:r>
      <w:r w:rsidR="004641D0">
        <w:t>the</w:t>
      </w:r>
      <w:r w:rsidR="00C367DE">
        <w:t xml:space="preserve"> language of agreement P-5.</w:t>
      </w:r>
      <w:r w:rsidR="0084114F" w:rsidRPr="00C367DE">
        <w:t xml:space="preserve"> </w:t>
      </w:r>
      <w:r w:rsidR="00C367DE" w:rsidRPr="00C367DE">
        <w:rPr>
          <w:szCs w:val="24"/>
        </w:rPr>
        <w:t xml:space="preserve">In fact, far from insisting on this language, he mostly criticizes the trial judge for being </w:t>
      </w:r>
      <w:r w:rsidR="004641D0">
        <w:rPr>
          <w:szCs w:val="24"/>
        </w:rPr>
        <w:t>[</w:t>
      </w:r>
      <w:r w:rsidR="004641D0" w:rsidRPr="004641D0">
        <w:rPr>
          <w:smallCaps/>
          <w:szCs w:val="24"/>
        </w:rPr>
        <w:t>translation</w:t>
      </w:r>
      <w:r w:rsidR="004641D0">
        <w:rPr>
          <w:szCs w:val="24"/>
        </w:rPr>
        <w:t xml:space="preserve">] </w:t>
      </w:r>
      <w:r w:rsidR="00C367DE" w:rsidRPr="00C367DE">
        <w:rPr>
          <w:szCs w:val="24"/>
        </w:rPr>
        <w:t xml:space="preserve">“gravely mistaken on the circumstances in which the Agreement [P-5] was </w:t>
      </w:r>
      <w:r w:rsidR="00703805">
        <w:rPr>
          <w:szCs w:val="24"/>
        </w:rPr>
        <w:t>entered into</w:t>
      </w:r>
      <w:r w:rsidR="00C367DE" w:rsidRPr="00C367DE">
        <w:rPr>
          <w:szCs w:val="24"/>
        </w:rPr>
        <w:t>”,</w:t>
      </w:r>
      <w:r w:rsidR="00C367DE">
        <w:rPr>
          <w:rFonts w:cs="Arial"/>
          <w:szCs w:val="24"/>
          <w:vertAlign w:val="superscript"/>
        </w:rPr>
        <w:footnoteReference w:id="24"/>
      </w:r>
      <w:r w:rsidR="00C367DE" w:rsidRPr="00C367DE">
        <w:rPr>
          <w:szCs w:val="24"/>
        </w:rPr>
        <w:t xml:space="preserve"> when she failed to consider – or drew erroneous conclusions from – certain excerpts of the testimonial and documentary evidence adduced during the hearing on the merits.</w:t>
      </w:r>
      <w:r w:rsidR="0084114F" w:rsidRPr="00C367DE">
        <w:rPr>
          <w:szCs w:val="24"/>
        </w:rPr>
        <w:t xml:space="preserve"> </w:t>
      </w:r>
      <w:r w:rsidR="003C5B64">
        <w:rPr>
          <w:szCs w:val="24"/>
        </w:rPr>
        <w:t>Mr. </w:t>
      </w:r>
      <w:r w:rsidR="0000456A" w:rsidRPr="0000456A">
        <w:rPr>
          <w:szCs w:val="24"/>
        </w:rPr>
        <w:t xml:space="preserve">Richer therefore impugns the observations </w:t>
      </w:r>
      <w:r w:rsidR="004641D0">
        <w:rPr>
          <w:szCs w:val="24"/>
        </w:rPr>
        <w:t>made</w:t>
      </w:r>
      <w:r w:rsidR="0000456A" w:rsidRPr="0000456A">
        <w:rPr>
          <w:szCs w:val="24"/>
        </w:rPr>
        <w:t xml:space="preserve"> by </w:t>
      </w:r>
      <w:r w:rsidR="004641D0" w:rsidRPr="0000456A">
        <w:rPr>
          <w:szCs w:val="24"/>
        </w:rPr>
        <w:t>the</w:t>
      </w:r>
      <w:r w:rsidR="0000456A" w:rsidRPr="0000456A">
        <w:rPr>
          <w:szCs w:val="24"/>
        </w:rPr>
        <w:t xml:space="preserve"> judge when analyzing the evidence on the circumstances in which agreement P-5 was concluded and performed.</w:t>
      </w:r>
    </w:p>
    <w:p w14:paraId="3C01EA83" w14:textId="24C1341D" w:rsidR="00844586" w:rsidRPr="0000456A" w:rsidRDefault="0000456A" w:rsidP="00A90F7A">
      <w:pPr>
        <w:pStyle w:val="Paragraphe"/>
        <w:spacing w:line="240" w:lineRule="auto"/>
      </w:pPr>
      <w:r w:rsidRPr="0000456A">
        <w:t>Because these are conclusions of fact, the Court must show a “high degree of deference”</w:t>
      </w:r>
      <w:r w:rsidRPr="0000456A">
        <w:rPr>
          <w:rFonts w:cs="Arial"/>
          <w:szCs w:val="24"/>
          <w:vertAlign w:val="superscript"/>
        </w:rPr>
        <w:t xml:space="preserve"> </w:t>
      </w:r>
      <w:r>
        <w:rPr>
          <w:rFonts w:cs="Arial"/>
          <w:szCs w:val="24"/>
          <w:vertAlign w:val="superscript"/>
        </w:rPr>
        <w:footnoteReference w:id="25"/>
      </w:r>
      <w:r w:rsidRPr="0000456A">
        <w:rPr>
          <w:rFonts w:cs="Arial"/>
          <w:szCs w:val="24"/>
        </w:rPr>
        <w:t xml:space="preserve"> in deciding whether they should be set aside.</w:t>
      </w:r>
      <w:r w:rsidR="0084114F" w:rsidRPr="0000456A">
        <w:t xml:space="preserve"> </w:t>
      </w:r>
      <w:r w:rsidRPr="0000456A">
        <w:t>The reasons for this deference have been grouped into three “basic principles”</w:t>
      </w:r>
      <w:r>
        <w:rPr>
          <w:rFonts w:cs="Arial"/>
          <w:szCs w:val="24"/>
          <w:vertAlign w:val="superscript"/>
        </w:rPr>
        <w:footnoteReference w:id="26"/>
      </w:r>
      <w:r w:rsidRPr="0000456A">
        <w:t xml:space="preserve"> that the Supreme Court summarized as follows in </w:t>
      </w:r>
      <w:r w:rsidRPr="004641D0">
        <w:rPr>
          <w:i/>
          <w:iCs/>
        </w:rPr>
        <w:t>Benhaim</w:t>
      </w:r>
      <w:r w:rsidRPr="0000456A">
        <w:t>:</w:t>
      </w:r>
      <w:r w:rsidRPr="0000456A">
        <w:rPr>
          <w:rFonts w:cs="Arial"/>
          <w:szCs w:val="24"/>
          <w:vertAlign w:val="superscript"/>
        </w:rPr>
        <w:t xml:space="preserve"> </w:t>
      </w:r>
      <w:r>
        <w:rPr>
          <w:rFonts w:cs="Arial"/>
          <w:szCs w:val="24"/>
          <w:vertAlign w:val="superscript"/>
        </w:rPr>
        <w:footnoteReference w:id="27"/>
      </w:r>
    </w:p>
    <w:p w14:paraId="308E696D" w14:textId="72DBBF6D" w:rsidR="00844586" w:rsidRPr="0000456A" w:rsidRDefault="0000456A" w:rsidP="00A90F7A">
      <w:pPr>
        <w:pStyle w:val="Paragraphe"/>
        <w:numPr>
          <w:ilvl w:val="0"/>
          <w:numId w:val="0"/>
        </w:numPr>
        <w:spacing w:line="240" w:lineRule="auto"/>
        <w:ind w:left="709" w:right="715"/>
        <w:rPr>
          <w:sz w:val="22"/>
          <w:szCs w:val="22"/>
        </w:rPr>
      </w:pPr>
      <w:r w:rsidRPr="00E8050B">
        <w:rPr>
          <w:sz w:val="22"/>
          <w:szCs w:val="22"/>
        </w:rPr>
        <w:t>Deference to factual findings limits the number, length and cost of appeals, which in turn promotes the autonomy and integrity of trial proceedings.</w:t>
      </w:r>
      <w:r w:rsidR="0084114F" w:rsidRPr="0000456A">
        <w:rPr>
          <w:sz w:val="22"/>
          <w:szCs w:val="22"/>
        </w:rPr>
        <w:t xml:space="preserve"> </w:t>
      </w:r>
      <w:r w:rsidRPr="0000456A">
        <w:rPr>
          <w:sz w:val="22"/>
          <w:szCs w:val="22"/>
        </w:rPr>
        <w:t>Moreover, the law presumes that trial judges and appellate judges are equally capable of justly resolving disputes.</w:t>
      </w:r>
      <w:r w:rsidR="0084114F" w:rsidRPr="0000456A">
        <w:rPr>
          <w:sz w:val="22"/>
          <w:szCs w:val="22"/>
        </w:rPr>
        <w:t xml:space="preserve"> </w:t>
      </w:r>
      <w:r w:rsidRPr="0000456A">
        <w:rPr>
          <w:sz w:val="22"/>
          <w:szCs w:val="22"/>
        </w:rPr>
        <w:t>Allowing appellate courts free rein to overturn trial courts’ factual findings would duplicate judicial proceedings at great expense, without any concomitant guarantee of more just results.</w:t>
      </w:r>
      <w:r w:rsidR="0084114F" w:rsidRPr="0000456A">
        <w:rPr>
          <w:sz w:val="22"/>
          <w:szCs w:val="22"/>
        </w:rPr>
        <w:t xml:space="preserve"> </w:t>
      </w:r>
      <w:r w:rsidRPr="00E8050B">
        <w:rPr>
          <w:sz w:val="22"/>
          <w:szCs w:val="22"/>
        </w:rPr>
        <w:t>Finally, according deference to a trial judge’s findings of fact reinforces the notion that they are in the best position to make those findings.</w:t>
      </w:r>
      <w:r w:rsidR="0084114F" w:rsidRPr="0000456A">
        <w:rPr>
          <w:sz w:val="22"/>
          <w:szCs w:val="22"/>
        </w:rPr>
        <w:t xml:space="preserve"> </w:t>
      </w:r>
      <w:r w:rsidRPr="0000456A">
        <w:rPr>
          <w:sz w:val="22"/>
          <w:szCs w:val="22"/>
        </w:rPr>
        <w:t>Trial judges are immersed in the evidence, they hear viva voce testimony, and they are familiar with the case as a whole.</w:t>
      </w:r>
      <w:r w:rsidR="0084114F" w:rsidRPr="0000456A">
        <w:rPr>
          <w:sz w:val="22"/>
          <w:szCs w:val="22"/>
        </w:rPr>
        <w:t xml:space="preserve"> </w:t>
      </w:r>
      <w:r w:rsidRPr="0000456A">
        <w:rPr>
          <w:sz w:val="22"/>
          <w:szCs w:val="22"/>
        </w:rPr>
        <w:t>Their expertise in weighing large quantities of evidence and making factual findings ought to be respected.</w:t>
      </w:r>
    </w:p>
    <w:p w14:paraId="626F3929" w14:textId="7E6D3F06" w:rsidR="00844586" w:rsidRPr="0000456A" w:rsidRDefault="0000456A" w:rsidP="00A90F7A">
      <w:pPr>
        <w:pStyle w:val="Paragraphe"/>
        <w:numPr>
          <w:ilvl w:val="0"/>
          <w:numId w:val="0"/>
        </w:numPr>
        <w:spacing w:line="240" w:lineRule="auto"/>
      </w:pPr>
      <w:r w:rsidRPr="0000456A">
        <w:t xml:space="preserve">It is noteworthy that in </w:t>
      </w:r>
      <w:r w:rsidRPr="000C1D1D">
        <w:rPr>
          <w:i/>
          <w:iCs/>
        </w:rPr>
        <w:t>Benhaim</w:t>
      </w:r>
      <w:r w:rsidRPr="0000456A">
        <w:t xml:space="preserve">, </w:t>
      </w:r>
      <w:r w:rsidR="000C1D1D" w:rsidRPr="0000456A">
        <w:t xml:space="preserve">the Supreme Court </w:t>
      </w:r>
      <w:r w:rsidRPr="0000456A">
        <w:t xml:space="preserve">also highlighted that these considerations justifying </w:t>
      </w:r>
      <w:r w:rsidR="00703805">
        <w:t xml:space="preserve">the </w:t>
      </w:r>
      <w:r w:rsidRPr="0000456A">
        <w:t>deference</w:t>
      </w:r>
      <w:r w:rsidR="00703805">
        <w:t xml:space="preserve"> that must be shown by </w:t>
      </w:r>
      <w:r w:rsidRPr="0000456A">
        <w:t xml:space="preserve">appellate courts take on added importance in matters like </w:t>
      </w:r>
      <w:r w:rsidR="00703805">
        <w:t>the one before us</w:t>
      </w:r>
      <w:r w:rsidRPr="0000456A">
        <w:t xml:space="preserve">, where the evidence on file is both voluminous and </w:t>
      </w:r>
      <w:r w:rsidR="000C1D1D" w:rsidRPr="0000456A">
        <w:t>complex</w:t>
      </w:r>
      <w:r w:rsidRPr="0000456A">
        <w:t>.</w:t>
      </w:r>
      <w:r>
        <w:rPr>
          <w:rFonts w:cs="Arial"/>
          <w:szCs w:val="24"/>
          <w:vertAlign w:val="superscript"/>
        </w:rPr>
        <w:footnoteReference w:id="28"/>
      </w:r>
    </w:p>
    <w:p w14:paraId="5FF0CD6F" w14:textId="0C84904B" w:rsidR="00844586" w:rsidRPr="0000456A" w:rsidRDefault="0000456A" w:rsidP="00A90F7A">
      <w:pPr>
        <w:pStyle w:val="Paragraphe"/>
        <w:spacing w:line="240" w:lineRule="auto"/>
      </w:pPr>
      <w:r>
        <w:t>The concrete consequence of this deference is that appellate courts can set aside a conclusion of fact drawn in first instance only if it is vitiated by an error that is both palpable and overriding.</w:t>
      </w:r>
      <w:r w:rsidR="0084114F" w:rsidRPr="0000456A">
        <w:t xml:space="preserve"> </w:t>
      </w:r>
      <w:r w:rsidRPr="0000456A">
        <w:t xml:space="preserve">These two notions – palpable error, overriding error – were clarified by the Supreme Court in </w:t>
      </w:r>
      <w:r w:rsidRPr="0000456A">
        <w:rPr>
          <w:i/>
        </w:rPr>
        <w:t>Hydro Québec v. Matta</w:t>
      </w:r>
      <w:r w:rsidRPr="0000456A">
        <w:t>:</w:t>
      </w:r>
      <w:r w:rsidRPr="0000456A">
        <w:rPr>
          <w:rFonts w:cs="Arial"/>
          <w:szCs w:val="24"/>
          <w:vertAlign w:val="superscript"/>
        </w:rPr>
        <w:t xml:space="preserve"> </w:t>
      </w:r>
      <w:r>
        <w:rPr>
          <w:rFonts w:cs="Arial"/>
          <w:szCs w:val="24"/>
          <w:vertAlign w:val="superscript"/>
        </w:rPr>
        <w:footnoteReference w:id="29"/>
      </w:r>
      <w:r w:rsidR="0084114F" w:rsidRPr="0000456A">
        <w:t xml:space="preserve">   </w:t>
      </w:r>
    </w:p>
    <w:p w14:paraId="3405F89C" w14:textId="27099925" w:rsidR="00844586" w:rsidRPr="0000456A" w:rsidRDefault="0000456A" w:rsidP="00A90F7A">
      <w:pPr>
        <w:pStyle w:val="Paragraphe"/>
        <w:numPr>
          <w:ilvl w:val="0"/>
          <w:numId w:val="0"/>
        </w:numPr>
        <w:spacing w:line="240" w:lineRule="auto"/>
        <w:ind w:left="709" w:right="715"/>
        <w:rPr>
          <w:color w:val="000000"/>
          <w:sz w:val="22"/>
          <w:szCs w:val="22"/>
        </w:rPr>
      </w:pPr>
      <w:r w:rsidRPr="0000456A">
        <w:rPr>
          <w:color w:val="000000"/>
          <w:sz w:val="22"/>
          <w:szCs w:val="22"/>
        </w:rPr>
        <w:t xml:space="preserve">An error is </w:t>
      </w:r>
      <w:r w:rsidRPr="0000456A">
        <w:rPr>
          <w:i/>
          <w:color w:val="000000"/>
          <w:sz w:val="22"/>
          <w:szCs w:val="22"/>
        </w:rPr>
        <w:t>palpable</w:t>
      </w:r>
      <w:r w:rsidRPr="0000456A">
        <w:rPr>
          <w:color w:val="000000"/>
          <w:sz w:val="22"/>
          <w:szCs w:val="22"/>
        </w:rPr>
        <w:t xml:space="preserve"> if it is plainly seen and if all the evidence need not be reconsidered in order to identify it, and is </w:t>
      </w:r>
      <w:r w:rsidRPr="0000456A">
        <w:rPr>
          <w:i/>
          <w:color w:val="000000"/>
          <w:sz w:val="22"/>
          <w:szCs w:val="22"/>
        </w:rPr>
        <w:t>overriding</w:t>
      </w:r>
      <w:r w:rsidRPr="0000456A">
        <w:rPr>
          <w:color w:val="000000"/>
          <w:sz w:val="22"/>
          <w:szCs w:val="22"/>
        </w:rPr>
        <w:t xml:space="preserve"> if it has affected the result: </w:t>
      </w:r>
      <w:r w:rsidRPr="0000456A">
        <w:rPr>
          <w:i/>
          <w:color w:val="000000"/>
          <w:sz w:val="22"/>
          <w:szCs w:val="22"/>
        </w:rPr>
        <w:t xml:space="preserve">H.L. </w:t>
      </w:r>
      <w:r w:rsidRPr="0000456A">
        <w:rPr>
          <w:i/>
          <w:color w:val="000000"/>
          <w:sz w:val="22"/>
          <w:szCs w:val="22"/>
        </w:rPr>
        <w:lastRenderedPageBreak/>
        <w:t>v. Canada (Attorney General)</w:t>
      </w:r>
      <w:r w:rsidRPr="0000456A">
        <w:rPr>
          <w:color w:val="000000"/>
          <w:sz w:val="22"/>
          <w:szCs w:val="22"/>
        </w:rPr>
        <w:t>, 2005 SCC 25, [2005] 1 S.C.R.</w:t>
      </w:r>
      <w:r w:rsidR="0084114F" w:rsidRPr="0000456A">
        <w:rPr>
          <w:color w:val="000000"/>
          <w:sz w:val="22"/>
          <w:szCs w:val="22"/>
        </w:rPr>
        <w:t xml:space="preserve"> </w:t>
      </w:r>
      <w:r w:rsidRPr="00E8050B">
        <w:rPr>
          <w:color w:val="000000"/>
          <w:sz w:val="22"/>
          <w:szCs w:val="22"/>
        </w:rPr>
        <w:t>401, at paras.</w:t>
      </w:r>
      <w:r w:rsidR="0084114F" w:rsidRPr="0000456A">
        <w:rPr>
          <w:color w:val="000000"/>
          <w:sz w:val="22"/>
          <w:szCs w:val="22"/>
        </w:rPr>
        <w:t> </w:t>
      </w:r>
      <w:r w:rsidRPr="00E8050B">
        <w:rPr>
          <w:sz w:val="22"/>
          <w:szCs w:val="22"/>
        </w:rPr>
        <w:t>55</w:t>
      </w:r>
      <w:r w:rsidRPr="00E8050B">
        <w:rPr>
          <w:rFonts w:ascii="Cambria Math" w:hAnsi="Cambria Math" w:cs="Cambria Math"/>
          <w:sz w:val="22"/>
          <w:szCs w:val="22"/>
        </w:rPr>
        <w:t>‑</w:t>
      </w:r>
      <w:r w:rsidRPr="00E8050B">
        <w:rPr>
          <w:sz w:val="22"/>
          <w:szCs w:val="22"/>
        </w:rPr>
        <w:t>56 and 69</w:t>
      </w:r>
      <w:r w:rsidRPr="00E8050B">
        <w:rPr>
          <w:rFonts w:ascii="Cambria Math" w:hAnsi="Cambria Math" w:cs="Cambria Math"/>
          <w:sz w:val="22"/>
          <w:szCs w:val="22"/>
        </w:rPr>
        <w:t>‑</w:t>
      </w:r>
      <w:r w:rsidRPr="00E8050B">
        <w:rPr>
          <w:sz w:val="22"/>
          <w:szCs w:val="22"/>
        </w:rPr>
        <w:t xml:space="preserve">70; </w:t>
      </w:r>
      <w:r w:rsidRPr="00E8050B">
        <w:rPr>
          <w:i/>
          <w:color w:val="000000"/>
          <w:sz w:val="22"/>
          <w:szCs w:val="22"/>
        </w:rPr>
        <w:t>Salomon v. Matte</w:t>
      </w:r>
      <w:r w:rsidRPr="00E8050B">
        <w:rPr>
          <w:rFonts w:ascii="Cambria Math" w:hAnsi="Cambria Math" w:cs="Cambria Math"/>
          <w:i/>
          <w:color w:val="000000"/>
          <w:sz w:val="22"/>
          <w:szCs w:val="22"/>
        </w:rPr>
        <w:t>‑</w:t>
      </w:r>
      <w:r w:rsidRPr="00E8050B">
        <w:rPr>
          <w:i/>
          <w:color w:val="000000"/>
          <w:sz w:val="22"/>
          <w:szCs w:val="22"/>
        </w:rPr>
        <w:t>Thompson</w:t>
      </w:r>
      <w:r w:rsidRPr="00E8050B">
        <w:rPr>
          <w:color w:val="000000"/>
          <w:sz w:val="22"/>
          <w:szCs w:val="22"/>
        </w:rPr>
        <w:t xml:space="preserve">, 2019 SCC 14, [2019] 1 S.C.R. </w:t>
      </w:r>
      <w:r w:rsidR="0084114F" w:rsidRPr="0000456A">
        <w:rPr>
          <w:color w:val="000000"/>
          <w:sz w:val="22"/>
          <w:szCs w:val="22"/>
        </w:rPr>
        <w:t xml:space="preserve"> </w:t>
      </w:r>
      <w:r>
        <w:rPr>
          <w:color w:val="000000"/>
          <w:sz w:val="22"/>
          <w:szCs w:val="22"/>
        </w:rPr>
        <w:t>729, at para.</w:t>
      </w:r>
      <w:r w:rsidR="0084114F" w:rsidRPr="0000456A">
        <w:rPr>
          <w:color w:val="000000"/>
          <w:sz w:val="22"/>
          <w:szCs w:val="22"/>
        </w:rPr>
        <w:t> </w:t>
      </w:r>
      <w:r w:rsidRPr="0000456A">
        <w:rPr>
          <w:sz w:val="22"/>
          <w:szCs w:val="22"/>
        </w:rPr>
        <w:t>33.</w:t>
      </w:r>
      <w:r w:rsidR="0084114F" w:rsidRPr="0000456A">
        <w:rPr>
          <w:color w:val="000000"/>
          <w:sz w:val="22"/>
          <w:szCs w:val="22"/>
        </w:rPr>
        <w:t xml:space="preserve"> </w:t>
      </w:r>
      <w:r w:rsidRPr="0000456A">
        <w:rPr>
          <w:color w:val="000000"/>
          <w:sz w:val="22"/>
          <w:szCs w:val="22"/>
        </w:rPr>
        <w:t xml:space="preserve">As Morissette J.A. so eloquently put it in </w:t>
      </w:r>
      <w:r w:rsidRPr="0000456A">
        <w:rPr>
          <w:i/>
          <w:color w:val="000000"/>
          <w:sz w:val="22"/>
          <w:szCs w:val="22"/>
        </w:rPr>
        <w:t>J.G. v. Nadeau</w:t>
      </w:r>
      <w:r w:rsidRPr="0000456A">
        <w:rPr>
          <w:color w:val="000000"/>
          <w:sz w:val="22"/>
          <w:szCs w:val="22"/>
        </w:rPr>
        <w:t>, 2016 QCCA 167, at para.</w:t>
      </w:r>
      <w:r w:rsidR="0084114F" w:rsidRPr="0000456A">
        <w:rPr>
          <w:color w:val="000000"/>
          <w:sz w:val="22"/>
          <w:szCs w:val="22"/>
        </w:rPr>
        <w:t> </w:t>
      </w:r>
      <w:r w:rsidRPr="00E8050B">
        <w:rPr>
          <w:sz w:val="22"/>
          <w:szCs w:val="22"/>
        </w:rPr>
        <w:t xml:space="preserve"> 77, [</w:t>
      </w:r>
      <w:r w:rsidRPr="000C1D1D">
        <w:rPr>
          <w:smallCaps/>
          <w:sz w:val="22"/>
          <w:szCs w:val="22"/>
        </w:rPr>
        <w:t>translation</w:t>
      </w:r>
      <w:r w:rsidRPr="00E8050B">
        <w:rPr>
          <w:sz w:val="22"/>
          <w:szCs w:val="22"/>
        </w:rPr>
        <w:t>] “a palpable and overriding error is in the nature not of a needle in a haystack, but of a beam in the eye.</w:t>
      </w:r>
      <w:r w:rsidR="0084114F" w:rsidRPr="0000456A">
        <w:rPr>
          <w:color w:val="000000"/>
          <w:sz w:val="22"/>
          <w:szCs w:val="22"/>
        </w:rPr>
        <w:t xml:space="preserve"> </w:t>
      </w:r>
      <w:r w:rsidRPr="00E8050B">
        <w:rPr>
          <w:color w:val="000000"/>
          <w:sz w:val="22"/>
          <w:szCs w:val="22"/>
        </w:rPr>
        <w:t xml:space="preserve">And it is impossible to confuse these last two notions”: quoted in </w:t>
      </w:r>
      <w:r w:rsidRPr="000C1D1D">
        <w:rPr>
          <w:i/>
          <w:iCs/>
          <w:color w:val="000000"/>
          <w:sz w:val="22"/>
          <w:szCs w:val="22"/>
        </w:rPr>
        <w:t>Benhaim</w:t>
      </w:r>
      <w:r w:rsidRPr="00E8050B">
        <w:rPr>
          <w:color w:val="000000"/>
          <w:sz w:val="22"/>
          <w:szCs w:val="22"/>
        </w:rPr>
        <w:t xml:space="preserve">, at para. </w:t>
      </w:r>
      <w:r w:rsidR="0084114F" w:rsidRPr="0000456A">
        <w:rPr>
          <w:color w:val="000000"/>
          <w:sz w:val="22"/>
          <w:szCs w:val="22"/>
        </w:rPr>
        <w:t> </w:t>
      </w:r>
      <w:r w:rsidRPr="0000456A">
        <w:rPr>
          <w:sz w:val="22"/>
          <w:szCs w:val="22"/>
        </w:rPr>
        <w:t>39.</w:t>
      </w:r>
      <w:r w:rsidR="0084114F" w:rsidRPr="0000456A">
        <w:rPr>
          <w:color w:val="000000"/>
          <w:sz w:val="22"/>
          <w:szCs w:val="22"/>
        </w:rPr>
        <w:t xml:space="preserve"> </w:t>
      </w:r>
      <w:r w:rsidRPr="0000456A">
        <w:rPr>
          <w:color w:val="000000"/>
          <w:sz w:val="22"/>
          <w:szCs w:val="22"/>
        </w:rPr>
        <w:t>The beam in the eye metaphor not only illustrates the obviousness of a reviewable error, but also connotes a misreading of the case whose impact on the decision is plain to see.</w:t>
      </w:r>
    </w:p>
    <w:p w14:paraId="641F57FB" w14:textId="24F29025" w:rsidR="00844586" w:rsidRPr="00E8050B" w:rsidRDefault="0000456A" w:rsidP="00A90F7A">
      <w:pPr>
        <w:pStyle w:val="Paragraphe"/>
        <w:numPr>
          <w:ilvl w:val="0"/>
          <w:numId w:val="0"/>
        </w:numPr>
        <w:spacing w:line="240" w:lineRule="auto"/>
        <w:ind w:left="709" w:right="715"/>
        <w:jc w:val="right"/>
        <w:rPr>
          <w:sz w:val="22"/>
          <w:szCs w:val="22"/>
        </w:rPr>
      </w:pPr>
      <w:r w:rsidRPr="00E8050B">
        <w:rPr>
          <w:color w:val="000000"/>
          <w:sz w:val="22"/>
          <w:szCs w:val="22"/>
        </w:rPr>
        <w:t>[Italics in original]</w:t>
      </w:r>
    </w:p>
    <w:p w14:paraId="217F13D3" w14:textId="03707613" w:rsidR="00844586" w:rsidRPr="00C74E9B" w:rsidRDefault="00C74E9B" w:rsidP="00A90F7A">
      <w:pPr>
        <w:pStyle w:val="Paragraphe"/>
        <w:spacing w:line="240" w:lineRule="auto"/>
      </w:pPr>
      <w:r w:rsidRPr="00C74E9B">
        <w:t>I must insist on the fact that, to be characterized as palpable, the error must be obvious.</w:t>
      </w:r>
      <w:r w:rsidR="0084114F" w:rsidRPr="00C74E9B">
        <w:t xml:space="preserve"> </w:t>
      </w:r>
      <w:r w:rsidRPr="00C74E9B">
        <w:t xml:space="preserve">This is where the idea, </w:t>
      </w:r>
      <w:r w:rsidR="00226929" w:rsidRPr="00C74E9B">
        <w:t>oft repeated</w:t>
      </w:r>
      <w:r w:rsidRPr="00C74E9B">
        <w:t xml:space="preserve"> in </w:t>
      </w:r>
      <w:r w:rsidR="001B3225">
        <w:t xml:space="preserve">the </w:t>
      </w:r>
      <w:r w:rsidRPr="00C74E9B">
        <w:t>case law,</w:t>
      </w:r>
      <w:r>
        <w:rPr>
          <w:rFonts w:cs="Arial"/>
          <w:szCs w:val="24"/>
          <w:vertAlign w:val="superscript"/>
        </w:rPr>
        <w:footnoteReference w:id="30"/>
      </w:r>
      <w:r w:rsidRPr="00C74E9B">
        <w:rPr>
          <w:rFonts w:cs="Arial"/>
          <w:szCs w:val="24"/>
        </w:rPr>
        <w:t xml:space="preserve"> that it is not up to the Court to retry the case by</w:t>
      </w:r>
      <w:r w:rsidR="00226929">
        <w:rPr>
          <w:rFonts w:cs="Arial"/>
          <w:szCs w:val="24"/>
        </w:rPr>
        <w:t xml:space="preserve"> minutely</w:t>
      </w:r>
      <w:r w:rsidRPr="00C74E9B">
        <w:rPr>
          <w:rFonts w:cs="Arial"/>
          <w:szCs w:val="24"/>
        </w:rPr>
        <w:t xml:space="preserve"> </w:t>
      </w:r>
      <w:r w:rsidR="000C1D1D" w:rsidRPr="00C74E9B">
        <w:rPr>
          <w:rFonts w:cs="Arial"/>
          <w:szCs w:val="24"/>
        </w:rPr>
        <w:t>re-examining</w:t>
      </w:r>
      <w:r w:rsidRPr="00C74E9B">
        <w:rPr>
          <w:rFonts w:cs="Arial"/>
          <w:szCs w:val="24"/>
        </w:rPr>
        <w:t xml:space="preserve"> all</w:t>
      </w:r>
      <w:r w:rsidR="00226929">
        <w:rPr>
          <w:rFonts w:cs="Arial"/>
          <w:szCs w:val="24"/>
        </w:rPr>
        <w:t xml:space="preserve"> </w:t>
      </w:r>
      <w:r w:rsidRPr="00C74E9B">
        <w:rPr>
          <w:rFonts w:cs="Arial"/>
          <w:szCs w:val="24"/>
        </w:rPr>
        <w:t xml:space="preserve">the evidence on which the conclusions of fact or of mixed fact and law </w:t>
      </w:r>
      <w:r w:rsidR="000C1D1D" w:rsidRPr="00C74E9B">
        <w:rPr>
          <w:rFonts w:cs="Arial"/>
          <w:szCs w:val="24"/>
        </w:rPr>
        <w:t>impugned</w:t>
      </w:r>
      <w:r w:rsidRPr="00C74E9B">
        <w:rPr>
          <w:rFonts w:cs="Arial"/>
          <w:szCs w:val="24"/>
        </w:rPr>
        <w:t xml:space="preserve"> on appeal</w:t>
      </w:r>
      <w:r w:rsidR="00226929">
        <w:rPr>
          <w:rFonts w:cs="Arial"/>
          <w:szCs w:val="24"/>
        </w:rPr>
        <w:t>,</w:t>
      </w:r>
      <w:r w:rsidRPr="00C74E9B">
        <w:rPr>
          <w:rFonts w:cs="Arial"/>
          <w:szCs w:val="24"/>
        </w:rPr>
        <w:t xml:space="preserve"> becomes so important.</w:t>
      </w:r>
      <w:r w:rsidR="0084114F" w:rsidRPr="00C74E9B">
        <w:t xml:space="preserve"> </w:t>
      </w:r>
      <w:r w:rsidRPr="00C74E9B">
        <w:t xml:space="preserve">As my colleague Morissette J.A. </w:t>
      </w:r>
      <w:r w:rsidR="00F97F5C">
        <w:t>stated</w:t>
      </w:r>
      <w:r w:rsidRPr="00C74E9B">
        <w:t xml:space="preserve"> in </w:t>
      </w:r>
      <w:r w:rsidRPr="00226929">
        <w:rPr>
          <w:i/>
          <w:iCs/>
        </w:rPr>
        <w:t>J.G.</w:t>
      </w:r>
      <w:r w:rsidRPr="00C74E9B">
        <w:t xml:space="preserve">, a palpable error is one that </w:t>
      </w:r>
      <w:r w:rsidR="000F2AD6">
        <w:t>is</w:t>
      </w:r>
      <w:r w:rsidRPr="00C74E9B">
        <w:t xml:space="preserve"> </w:t>
      </w:r>
      <w:r w:rsidR="00226929">
        <w:t>[</w:t>
      </w:r>
      <w:r w:rsidR="00226929" w:rsidRPr="00226929">
        <w:rPr>
          <w:smallCaps/>
        </w:rPr>
        <w:t>translation</w:t>
      </w:r>
      <w:r w:rsidR="00226929">
        <w:t xml:space="preserve">] </w:t>
      </w:r>
      <w:r w:rsidRPr="00C74E9B">
        <w:t>“identi</w:t>
      </w:r>
      <w:r w:rsidR="004440FB">
        <w:t>f</w:t>
      </w:r>
      <w:r w:rsidR="00072A3C">
        <w:t>i</w:t>
      </w:r>
      <w:r w:rsidR="000F2AD6">
        <w:t>able</w:t>
      </w:r>
      <w:r w:rsidRPr="00C74E9B">
        <w:t xml:space="preserve"> with great economy of means, without provoking a long semantic debate, and without having to review large parts of documentary or testimonial evidence that is divided and contradictory, as is generally the case in </w:t>
      </w:r>
      <w:r w:rsidR="00226929" w:rsidRPr="00C74E9B">
        <w:t>disputes</w:t>
      </w:r>
      <w:r w:rsidRPr="00C74E9B">
        <w:t xml:space="preserve"> of a certain level of difficulty that make it to trial”;</w:t>
      </w:r>
      <w:r>
        <w:rPr>
          <w:rFonts w:cs="Arial"/>
          <w:szCs w:val="24"/>
          <w:vertAlign w:val="superscript"/>
        </w:rPr>
        <w:footnoteReference w:id="31"/>
      </w:r>
      <w:r w:rsidRPr="00C74E9B">
        <w:t xml:space="preserve"> it is an error that is plain to see.</w:t>
      </w:r>
      <w:r>
        <w:rPr>
          <w:rFonts w:cs="Arial"/>
          <w:szCs w:val="24"/>
          <w:vertAlign w:val="superscript"/>
        </w:rPr>
        <w:footnoteReference w:id="32"/>
      </w:r>
      <w:r w:rsidR="0084114F" w:rsidRPr="00C74E9B">
        <w:t xml:space="preserve"> </w:t>
      </w:r>
      <w:r w:rsidRPr="00E8050B">
        <w:t>Some years earlier, Morissette J.A. had explained that it was possible to</w:t>
      </w:r>
      <w:r w:rsidR="00226929">
        <w:t xml:space="preserve"> [</w:t>
      </w:r>
      <w:r w:rsidR="00226929" w:rsidRPr="00226929">
        <w:rPr>
          <w:smallCaps/>
        </w:rPr>
        <w:t>translation</w:t>
      </w:r>
      <w:r w:rsidR="00226929">
        <w:t>]</w:t>
      </w:r>
      <w:r w:rsidRPr="00E8050B">
        <w:t xml:space="preserve"> “put one’s finger on” a palpable error, adding that this meant </w:t>
      </w:r>
      <w:r w:rsidR="00226929">
        <w:t>[</w:t>
      </w:r>
      <w:r w:rsidR="00226929" w:rsidRPr="00226929">
        <w:rPr>
          <w:smallCaps/>
        </w:rPr>
        <w:t>translation</w:t>
      </w:r>
      <w:r w:rsidR="00226929">
        <w:t>]</w:t>
      </w:r>
      <w:r w:rsidR="00226929" w:rsidRPr="00E8050B">
        <w:t xml:space="preserve"> </w:t>
      </w:r>
      <w:r w:rsidRPr="00E8050B">
        <w:t>“something other than inviting the Court to take a broad look at all the evidence: it mean</w:t>
      </w:r>
      <w:r w:rsidR="001B3225">
        <w:t>s</w:t>
      </w:r>
      <w:r w:rsidRPr="00E8050B">
        <w:t xml:space="preserve"> to direct its attention toward a determined point where an unequivocal evidentiary element is quite simply an </w:t>
      </w:r>
      <w:r w:rsidR="00226929" w:rsidRPr="00E8050B">
        <w:t>obstacle</w:t>
      </w:r>
      <w:r w:rsidRPr="00E8050B">
        <w:t xml:space="preserve"> to the impugned finding of fact”.</w:t>
      </w:r>
      <w:r w:rsidRPr="00E8050B">
        <w:rPr>
          <w:rFonts w:cs="Arial"/>
          <w:szCs w:val="24"/>
          <w:vertAlign w:val="superscript"/>
        </w:rPr>
        <w:footnoteReference w:id="33"/>
      </w:r>
    </w:p>
    <w:p w14:paraId="23283EC0" w14:textId="6037A5CB" w:rsidR="00844586" w:rsidRPr="00C74E9B" w:rsidRDefault="00C74E9B" w:rsidP="00A90F7A">
      <w:pPr>
        <w:pStyle w:val="Paragraphe"/>
        <w:spacing w:line="240" w:lineRule="auto"/>
      </w:pPr>
      <w:r w:rsidRPr="00C74E9B">
        <w:t xml:space="preserve">In light of paragraph [49] of my </w:t>
      </w:r>
      <w:r w:rsidR="00226929" w:rsidRPr="00C74E9B">
        <w:t>colleague’s</w:t>
      </w:r>
      <w:r w:rsidRPr="00C74E9B">
        <w:t xml:space="preserve"> reasons, I find it useful to add that this great deference is just as applicable to inferences of fact as</w:t>
      </w:r>
      <w:r w:rsidR="00075127">
        <w:t xml:space="preserve"> it is</w:t>
      </w:r>
      <w:r w:rsidRPr="00C74E9B">
        <w:t xml:space="preserve"> to findings of mixed fact </w:t>
      </w:r>
      <w:r w:rsidRPr="00C74E9B">
        <w:lastRenderedPageBreak/>
        <w:t>and law.</w:t>
      </w:r>
      <w:r>
        <w:rPr>
          <w:rFonts w:cs="Arial"/>
          <w:szCs w:val="24"/>
          <w:vertAlign w:val="superscript"/>
        </w:rPr>
        <w:footnoteReference w:id="34"/>
      </w:r>
      <w:r w:rsidR="0084114F" w:rsidRPr="00C74E9B">
        <w:t xml:space="preserve"> </w:t>
      </w:r>
      <w:r w:rsidRPr="00C74E9B">
        <w:t xml:space="preserve">The prohibition on </w:t>
      </w:r>
      <w:r w:rsidR="000F2AD6">
        <w:t>retrying</w:t>
      </w:r>
      <w:r w:rsidRPr="00C74E9B">
        <w:t xml:space="preserve"> the case also means that appellate courts must refrain from setting aside the inferences of fact and mixed findings </w:t>
      </w:r>
      <w:r w:rsidR="000F2AD6">
        <w:t>drawn in</w:t>
      </w:r>
      <w:r w:rsidRPr="00C74E9B">
        <w:t xml:space="preserve"> first instance unless they have first put their finger on an obvious error </w:t>
      </w:r>
      <w:r w:rsidR="000F2AD6">
        <w:t xml:space="preserve">that is </w:t>
      </w:r>
      <w:r w:rsidRPr="00C74E9B">
        <w:t>identifiable with great economy of means.</w:t>
      </w:r>
    </w:p>
    <w:p w14:paraId="59FC0EF6" w14:textId="18483DD1" w:rsidR="00844586" w:rsidRPr="00C74E9B" w:rsidRDefault="00C74E9B" w:rsidP="00A90F7A">
      <w:pPr>
        <w:pStyle w:val="Paragraphe"/>
        <w:spacing w:line="240" w:lineRule="auto"/>
      </w:pPr>
      <w:r w:rsidRPr="00E8050B">
        <w:t xml:space="preserve">There is no doubt in my mind that </w:t>
      </w:r>
      <w:r w:rsidR="0049450B">
        <w:t xml:space="preserve">Mr. </w:t>
      </w:r>
      <w:proofErr w:type="spellStart"/>
      <w:r w:rsidRPr="00E8050B">
        <w:t>Richer’s</w:t>
      </w:r>
      <w:proofErr w:type="spellEnd"/>
      <w:r w:rsidRPr="00E8050B">
        <w:t xml:space="preserve"> </w:t>
      </w:r>
      <w:r w:rsidR="00055D1C" w:rsidRPr="00E8050B">
        <w:t>arguments</w:t>
      </w:r>
      <w:r w:rsidRPr="00E8050B">
        <w:t xml:space="preserve"> on the issue of the meaning to ascribe to the expression</w:t>
      </w:r>
      <w:r w:rsidR="00D12459">
        <w:t xml:space="preserve"> [</w:t>
      </w:r>
      <w:r w:rsidR="00D12459" w:rsidRPr="004F7C11">
        <w:rPr>
          <w:smallCaps/>
        </w:rPr>
        <w:t>translation</w:t>
      </w:r>
      <w:r w:rsidR="00D12459">
        <w:t>]</w:t>
      </w:r>
      <w:r w:rsidRPr="00E8050B">
        <w:t xml:space="preserve"> “</w:t>
      </w:r>
      <w:r w:rsidR="00055D1C">
        <w:t>P</w:t>
      </w:r>
      <w:r w:rsidRPr="00E8050B">
        <w:t xml:space="preserve">lanned </w:t>
      </w:r>
      <w:r w:rsidR="0049450B">
        <w:t>T</w:t>
      </w:r>
      <w:r w:rsidRPr="00E8050B">
        <w:t>ransaction” is an invitation to retry the case.</w:t>
      </w:r>
      <w:r w:rsidR="0084114F" w:rsidRPr="00C74E9B">
        <w:t xml:space="preserve"> </w:t>
      </w:r>
      <w:r w:rsidRPr="00C74E9B">
        <w:t xml:space="preserve">Far from </w:t>
      </w:r>
      <w:r w:rsidR="00055D1C" w:rsidRPr="00C74E9B">
        <w:t>being</w:t>
      </w:r>
      <w:r w:rsidRPr="00C74E9B">
        <w:t xml:space="preserve"> able to put his finger on</w:t>
      </w:r>
      <w:r w:rsidR="00055D1C">
        <w:t xml:space="preserve"> a</w:t>
      </w:r>
      <w:r w:rsidRPr="00C74E9B">
        <w:t xml:space="preserve">n obvious error </w:t>
      </w:r>
      <w:r w:rsidR="00B71675">
        <w:t xml:space="preserve">that is </w:t>
      </w:r>
      <w:r w:rsidRPr="00C74E9B">
        <w:t xml:space="preserve">identifiable with great economy of means, </w:t>
      </w:r>
      <w:r w:rsidR="00B71675">
        <w:t xml:space="preserve">Mr. </w:t>
      </w:r>
      <w:r w:rsidRPr="00C74E9B">
        <w:t xml:space="preserve">Richer invites the Court to </w:t>
      </w:r>
      <w:r w:rsidR="00055D1C" w:rsidRPr="00C74E9B">
        <w:t>re-examine</w:t>
      </w:r>
      <w:r w:rsidRPr="00C74E9B">
        <w:t xml:space="preserve"> large parts of the evidence in the hope that it will find that the judge could not reasonably interpret the notion of</w:t>
      </w:r>
      <w:r w:rsidR="00D12459">
        <w:t xml:space="preserve"> [</w:t>
      </w:r>
      <w:r w:rsidR="00D12459" w:rsidRPr="004F7C11">
        <w:rPr>
          <w:smallCaps/>
        </w:rPr>
        <w:t>translation</w:t>
      </w:r>
      <w:r w:rsidR="00D12459">
        <w:t>]</w:t>
      </w:r>
      <w:r w:rsidRPr="00C74E9B">
        <w:t xml:space="preserve"> “Planned </w:t>
      </w:r>
      <w:r w:rsidR="00B71675">
        <w:t>T</w:t>
      </w:r>
      <w:r w:rsidRPr="00C74E9B">
        <w:t>ransaction” as she did.</w:t>
      </w:r>
      <w:r w:rsidR="0084114F" w:rsidRPr="00C74E9B">
        <w:t xml:space="preserve"> </w:t>
      </w:r>
      <w:r w:rsidRPr="00C74E9B">
        <w:t xml:space="preserve">The nature of his strategy was clear during the </w:t>
      </w:r>
      <w:r w:rsidR="008328EF">
        <w:t>appeal</w:t>
      </w:r>
      <w:r w:rsidRPr="00C74E9B">
        <w:t xml:space="preserve"> hearing, when his counsel devoted most of the 90 minutes they had been </w:t>
      </w:r>
      <w:r w:rsidR="00075127">
        <w:t>allotted</w:t>
      </w:r>
      <w:r w:rsidRPr="00C74E9B">
        <w:t xml:space="preserve"> to </w:t>
      </w:r>
      <w:r w:rsidR="00663794">
        <w:t>draw</w:t>
      </w:r>
      <w:r w:rsidRPr="00C74E9B">
        <w:t xml:space="preserve"> the Court’s attention </w:t>
      </w:r>
      <w:r w:rsidR="00663794">
        <w:t xml:space="preserve">to </w:t>
      </w:r>
      <w:r w:rsidRPr="00C74E9B">
        <w:t xml:space="preserve">countless excerpts </w:t>
      </w:r>
      <w:r w:rsidR="00663794">
        <w:t>from</w:t>
      </w:r>
      <w:r w:rsidRPr="00C74E9B">
        <w:t xml:space="preserve"> examinations and exhibits they </w:t>
      </w:r>
      <w:r w:rsidR="00F61432">
        <w:t>claimed</w:t>
      </w:r>
      <w:r w:rsidRPr="00C74E9B">
        <w:t xml:space="preserve"> support</w:t>
      </w:r>
      <w:r w:rsidR="00F61432">
        <w:t>ed</w:t>
      </w:r>
      <w:r w:rsidRPr="00C74E9B">
        <w:t xml:space="preserve"> their </w:t>
      </w:r>
      <w:r w:rsidR="00663794" w:rsidRPr="00C74E9B">
        <w:t>client</w:t>
      </w:r>
      <w:r w:rsidR="00663794">
        <w:t>’</w:t>
      </w:r>
      <w:r w:rsidR="00663794" w:rsidRPr="00C74E9B">
        <w:t>s</w:t>
      </w:r>
      <w:r w:rsidRPr="00C74E9B">
        <w:t xml:space="preserve"> position.</w:t>
      </w:r>
    </w:p>
    <w:p w14:paraId="35D6CA96" w14:textId="4B99B542" w:rsidR="00844586" w:rsidRDefault="00B70773" w:rsidP="00A90F7A">
      <w:pPr>
        <w:pStyle w:val="Paragraphe"/>
        <w:numPr>
          <w:ilvl w:val="0"/>
          <w:numId w:val="0"/>
        </w:numPr>
        <w:spacing w:line="240" w:lineRule="auto"/>
        <w:jc w:val="center"/>
      </w:pPr>
      <w:r>
        <w:t>*</w:t>
      </w:r>
      <w:r w:rsidR="0084114F">
        <w:tab/>
      </w:r>
      <w:r>
        <w:t>*</w:t>
      </w:r>
      <w:r w:rsidR="0084114F">
        <w:tab/>
      </w:r>
      <w:r>
        <w:t>*</w:t>
      </w:r>
    </w:p>
    <w:p w14:paraId="0C26A075" w14:textId="38B0B216" w:rsidR="00844586" w:rsidRPr="00C74E9B" w:rsidRDefault="00C74E9B" w:rsidP="00A90F7A">
      <w:pPr>
        <w:pStyle w:val="Paragraphe"/>
        <w:spacing w:line="240" w:lineRule="auto"/>
      </w:pPr>
      <w:r w:rsidRPr="00C74E9B">
        <w:t xml:space="preserve">Moreover, even if </w:t>
      </w:r>
      <w:r w:rsidR="00120A3E">
        <w:t xml:space="preserve">Mr. </w:t>
      </w:r>
      <w:r w:rsidRPr="00C74E9B">
        <w:t xml:space="preserve">Richer had better circumscribed his arguments on appeal, he would not have convinced me that the judge’s conclusion on the meaning to ascribe to the expression </w:t>
      </w:r>
      <w:r w:rsidR="000C50D6">
        <w:t>[</w:t>
      </w:r>
      <w:r w:rsidR="000C50D6" w:rsidRPr="004F7C11">
        <w:rPr>
          <w:smallCaps/>
        </w:rPr>
        <w:t>translation</w:t>
      </w:r>
      <w:r w:rsidR="000C50D6">
        <w:t>]</w:t>
      </w:r>
      <w:r w:rsidR="000C50D6" w:rsidRPr="00C74E9B">
        <w:t xml:space="preserve"> </w:t>
      </w:r>
      <w:r w:rsidRPr="00C74E9B">
        <w:t xml:space="preserve">“Planned </w:t>
      </w:r>
      <w:r w:rsidR="00814196">
        <w:t>T</w:t>
      </w:r>
      <w:r w:rsidRPr="00C74E9B">
        <w:t>ransaction” is vitiated by a palpable error.</w:t>
      </w:r>
    </w:p>
    <w:p w14:paraId="40E65250" w14:textId="4F3DE42C" w:rsidR="00844586" w:rsidRPr="00C74E9B" w:rsidRDefault="00C74E9B" w:rsidP="00A90F7A">
      <w:pPr>
        <w:pStyle w:val="Paragraphe"/>
        <w:spacing w:line="240" w:lineRule="auto"/>
      </w:pPr>
      <w:r w:rsidRPr="00C74E9B">
        <w:t xml:space="preserve">As the Court recalled in </w:t>
      </w:r>
      <w:r w:rsidRPr="00386ECD">
        <w:rPr>
          <w:i/>
          <w:iCs/>
        </w:rPr>
        <w:t xml:space="preserve">Construction </w:t>
      </w:r>
      <w:proofErr w:type="spellStart"/>
      <w:r w:rsidRPr="00386ECD">
        <w:rPr>
          <w:i/>
          <w:iCs/>
        </w:rPr>
        <w:t>Blenda</w:t>
      </w:r>
      <w:proofErr w:type="spellEnd"/>
      <w:r w:rsidRPr="00C74E9B">
        <w:t xml:space="preserve">, per my colleague </w:t>
      </w:r>
      <w:proofErr w:type="spellStart"/>
      <w:r w:rsidRPr="00C74E9B">
        <w:t>Mainville</w:t>
      </w:r>
      <w:proofErr w:type="spellEnd"/>
      <w:r w:rsidRPr="00C74E9B">
        <w:t xml:space="preserve"> J.A., the burden incumbent on an appellant is to show that the finding of fact or of mixed fact and law that it impugns is vitiated by </w:t>
      </w:r>
      <w:r w:rsidR="000C50D6">
        <w:t>an obvious</w:t>
      </w:r>
      <w:r w:rsidRPr="00C74E9B">
        <w:t xml:space="preserve"> error of such importance that this finding could not reasonably be </w:t>
      </w:r>
      <w:r w:rsidR="000C50D6">
        <w:t>supported by</w:t>
      </w:r>
      <w:r w:rsidRPr="00C74E9B">
        <w:t xml:space="preserve"> the evidence.</w:t>
      </w:r>
      <w:r>
        <w:rPr>
          <w:rFonts w:cs="Arial"/>
          <w:szCs w:val="24"/>
          <w:vertAlign w:val="superscript"/>
        </w:rPr>
        <w:footnoteReference w:id="35"/>
      </w:r>
      <w:r w:rsidR="0084114F" w:rsidRPr="00C74E9B">
        <w:t xml:space="preserve"> </w:t>
      </w:r>
      <w:bookmarkStart w:id="16" w:name="par69"/>
      <w:r w:rsidRPr="00C74E9B">
        <w:t xml:space="preserve">To understand how strict this burden is, it is useful to recall the remarks of the Supreme Court in </w:t>
      </w:r>
      <w:r w:rsidRPr="00C74E9B">
        <w:rPr>
          <w:i/>
        </w:rPr>
        <w:t>H.L.</w:t>
      </w:r>
      <w:r w:rsidRPr="00C74E9B">
        <w:t xml:space="preserve"> </w:t>
      </w:r>
      <w:r w:rsidR="000C50D6">
        <w:t>regarding</w:t>
      </w:r>
      <w:r w:rsidRPr="00C74E9B">
        <w:t xml:space="preserve"> the degree of conviction required for an appellate court to set aside a finding of fact or of mixed fact and law, which is nothing </w:t>
      </w:r>
      <w:r w:rsidR="00386ECD">
        <w:t>short of</w:t>
      </w:r>
      <w:r w:rsidRPr="00C74E9B">
        <w:t xml:space="preserve"> certainty:</w:t>
      </w:r>
      <w:r w:rsidRPr="00C74E9B">
        <w:rPr>
          <w:rFonts w:cs="Arial"/>
          <w:szCs w:val="24"/>
          <w:vertAlign w:val="superscript"/>
        </w:rPr>
        <w:t xml:space="preserve"> </w:t>
      </w:r>
      <w:r>
        <w:rPr>
          <w:rFonts w:cs="Arial"/>
          <w:szCs w:val="24"/>
          <w:vertAlign w:val="superscript"/>
        </w:rPr>
        <w:footnoteReference w:id="36"/>
      </w:r>
    </w:p>
    <w:bookmarkEnd w:id="16"/>
    <w:p w14:paraId="5EF0AE89" w14:textId="181C0D83" w:rsidR="00844586" w:rsidRPr="00C74E9B" w:rsidRDefault="00C74E9B" w:rsidP="00A90F7A">
      <w:pPr>
        <w:pStyle w:val="Paragraphe"/>
        <w:numPr>
          <w:ilvl w:val="0"/>
          <w:numId w:val="0"/>
        </w:numPr>
        <w:spacing w:line="240" w:lineRule="auto"/>
        <w:ind w:left="709" w:right="715"/>
        <w:rPr>
          <w:sz w:val="22"/>
          <w:szCs w:val="22"/>
        </w:rPr>
      </w:pPr>
      <w:r w:rsidRPr="00C74E9B">
        <w:rPr>
          <w:sz w:val="22"/>
          <w:szCs w:val="22"/>
          <w:lang w:eastAsia="fr-CA"/>
        </w:rPr>
        <w:t>[69] As I have already mentioned, there is no meaningful difference between a standard of “clearly wrong” and a standard of “palpable and overriding error”.</w:t>
      </w:r>
      <w:r w:rsidR="0084114F" w:rsidRPr="00C74E9B">
        <w:rPr>
          <w:sz w:val="22"/>
          <w:szCs w:val="22"/>
          <w:lang w:eastAsia="fr-CA"/>
        </w:rPr>
        <w:t xml:space="preserve"> </w:t>
      </w:r>
      <w:r w:rsidRPr="00E8050B">
        <w:rPr>
          <w:sz w:val="22"/>
          <w:szCs w:val="22"/>
          <w:lang w:eastAsia="fr-CA"/>
        </w:rPr>
        <w:t xml:space="preserve">As </w:t>
      </w:r>
      <w:proofErr w:type="spellStart"/>
      <w:r w:rsidRPr="00E8050B">
        <w:rPr>
          <w:sz w:val="22"/>
          <w:szCs w:val="22"/>
          <w:lang w:eastAsia="fr-CA"/>
        </w:rPr>
        <w:t>Iacobucci</w:t>
      </w:r>
      <w:proofErr w:type="spellEnd"/>
      <w:r w:rsidRPr="00E8050B">
        <w:rPr>
          <w:sz w:val="22"/>
          <w:szCs w:val="22"/>
          <w:lang w:eastAsia="fr-CA"/>
        </w:rPr>
        <w:t xml:space="preserve"> and Major JJ. noted in </w:t>
      </w:r>
      <w:proofErr w:type="spellStart"/>
      <w:r w:rsidRPr="00386ECD">
        <w:rPr>
          <w:i/>
          <w:iCs/>
          <w:sz w:val="22"/>
          <w:szCs w:val="22"/>
          <w:lang w:eastAsia="fr-CA"/>
        </w:rPr>
        <w:t>Housen</w:t>
      </w:r>
      <w:proofErr w:type="spellEnd"/>
      <w:r w:rsidRPr="00E8050B">
        <w:rPr>
          <w:sz w:val="22"/>
          <w:szCs w:val="22"/>
          <w:lang w:eastAsia="fr-CA"/>
        </w:rPr>
        <w:t>, at para.</w:t>
      </w:r>
      <w:r w:rsidR="0084114F" w:rsidRPr="00C74E9B">
        <w:rPr>
          <w:sz w:val="22"/>
          <w:szCs w:val="22"/>
          <w:lang w:eastAsia="fr-CA"/>
        </w:rPr>
        <w:t> </w:t>
      </w:r>
      <w:r w:rsidRPr="00C74E9B">
        <w:rPr>
          <w:sz w:val="22"/>
          <w:szCs w:val="22"/>
          <w:lang w:eastAsia="fr-CA"/>
        </w:rPr>
        <w:t xml:space="preserve"> 5, the </w:t>
      </w:r>
      <w:r w:rsidRPr="00072A3C">
        <w:rPr>
          <w:i/>
          <w:iCs/>
          <w:sz w:val="22"/>
          <w:szCs w:val="22"/>
          <w:lang w:eastAsia="fr-CA"/>
        </w:rPr>
        <w:t>New Oxford Dictionary of English</w:t>
      </w:r>
      <w:r w:rsidRPr="00C74E9B">
        <w:rPr>
          <w:sz w:val="22"/>
          <w:szCs w:val="22"/>
          <w:lang w:eastAsia="fr-CA"/>
        </w:rPr>
        <w:t xml:space="preserve"> (1998) defines “palpable” as</w:t>
      </w:r>
      <w:r>
        <w:rPr>
          <w:sz w:val="22"/>
          <w:szCs w:val="22"/>
          <w:lang w:eastAsia="fr-CA"/>
        </w:rPr>
        <w:t xml:space="preserve"> </w:t>
      </w:r>
      <w:r w:rsidRPr="00C74E9B">
        <w:rPr>
          <w:sz w:val="22"/>
          <w:szCs w:val="22"/>
          <w:lang w:eastAsia="fr-CA"/>
        </w:rPr>
        <w:t>“</w:t>
      </w:r>
      <w:r w:rsidRPr="00386ECD">
        <w:rPr>
          <w:sz w:val="22"/>
          <w:szCs w:val="22"/>
          <w:u w:val="single"/>
          <w:lang w:eastAsia="fr-CA"/>
        </w:rPr>
        <w:t>clear to the mind</w:t>
      </w:r>
      <w:r w:rsidRPr="00C74E9B">
        <w:rPr>
          <w:sz w:val="22"/>
          <w:szCs w:val="22"/>
          <w:lang w:eastAsia="fr-CA"/>
        </w:rPr>
        <w:t xml:space="preserve"> or plain to see”</w:t>
      </w:r>
      <w:r>
        <w:rPr>
          <w:sz w:val="22"/>
          <w:szCs w:val="22"/>
          <w:lang w:eastAsia="fr-CA"/>
        </w:rPr>
        <w:t xml:space="preserve"> </w:t>
      </w:r>
      <w:r w:rsidR="0084114F" w:rsidRPr="00C74E9B">
        <w:rPr>
          <w:sz w:val="22"/>
          <w:szCs w:val="22"/>
          <w:lang w:eastAsia="fr-CA"/>
        </w:rPr>
        <w:t>(p. </w:t>
      </w:r>
      <w:r>
        <w:rPr>
          <w:sz w:val="22"/>
          <w:szCs w:val="22"/>
          <w:lang w:eastAsia="fr-CA"/>
        </w:rPr>
        <w:t>133</w:t>
      </w:r>
      <w:r w:rsidR="0084114F" w:rsidRPr="00C74E9B">
        <w:rPr>
          <w:sz w:val="22"/>
          <w:szCs w:val="22"/>
          <w:lang w:eastAsia="fr-CA"/>
        </w:rPr>
        <w:t xml:space="preserve">7 </w:t>
      </w:r>
      <w:r w:rsidR="0084114F" w:rsidRPr="00C74E9B">
        <w:rPr>
          <w:sz w:val="22"/>
          <w:szCs w:val="22"/>
          <w:lang w:eastAsia="fr-CA"/>
        </w:rPr>
        <w:lastRenderedPageBreak/>
        <w:t>(</w:t>
      </w:r>
      <w:r>
        <w:rPr>
          <w:sz w:val="22"/>
          <w:szCs w:val="22"/>
          <w:lang w:eastAsia="fr-CA"/>
        </w:rPr>
        <w:t>emphasis added</w:t>
      </w:r>
      <w:r w:rsidR="0084114F" w:rsidRPr="00C74E9B">
        <w:rPr>
          <w:sz w:val="22"/>
          <w:szCs w:val="22"/>
          <w:lang w:eastAsia="fr-CA"/>
        </w:rPr>
        <w:t xml:space="preserve">)). </w:t>
      </w:r>
      <w:bookmarkStart w:id="17" w:name="par70"/>
      <w:r w:rsidRPr="00C74E9B">
        <w:rPr>
          <w:sz w:val="22"/>
          <w:szCs w:val="22"/>
          <w:lang w:eastAsia="fr-CA"/>
        </w:rPr>
        <w:t>Moreover, no error could lead to a reversal unless it was “overriding” in the sense that it discredits the result.</w:t>
      </w:r>
    </w:p>
    <w:bookmarkEnd w:id="17"/>
    <w:p w14:paraId="5264B80D" w14:textId="3F7C94CA" w:rsidR="00844586" w:rsidRPr="00C74E9B" w:rsidRDefault="00C74E9B" w:rsidP="00A90F7A">
      <w:pPr>
        <w:pStyle w:val="Paragraphe"/>
        <w:numPr>
          <w:ilvl w:val="0"/>
          <w:numId w:val="0"/>
        </w:numPr>
        <w:spacing w:line="240" w:lineRule="auto"/>
        <w:ind w:left="709" w:right="715"/>
        <w:rPr>
          <w:sz w:val="22"/>
          <w:szCs w:val="22"/>
          <w:lang w:eastAsia="fr-CA"/>
        </w:rPr>
      </w:pPr>
      <w:r w:rsidRPr="00E8050B">
        <w:rPr>
          <w:sz w:val="22"/>
          <w:szCs w:val="22"/>
          <w:lang w:eastAsia="fr-CA"/>
        </w:rPr>
        <w:t>[70] The “palpable and overriding error” standard, apart from its resonance, nevertheless helps to emphasize that one must be able to “put one’s finger on” the crucial flaw, fallacy or mistake.</w:t>
      </w:r>
      <w:r w:rsidR="0084114F" w:rsidRPr="00C74E9B">
        <w:rPr>
          <w:sz w:val="22"/>
          <w:szCs w:val="22"/>
          <w:lang w:eastAsia="fr-CA"/>
        </w:rPr>
        <w:t xml:space="preserve"> </w:t>
      </w:r>
      <w:r w:rsidRPr="00E8050B">
        <w:rPr>
          <w:sz w:val="22"/>
          <w:szCs w:val="22"/>
          <w:lang w:eastAsia="fr-CA"/>
        </w:rPr>
        <w:t xml:space="preserve">In the words of </w:t>
      </w:r>
      <w:proofErr w:type="spellStart"/>
      <w:r w:rsidRPr="00E8050B">
        <w:rPr>
          <w:sz w:val="22"/>
          <w:szCs w:val="22"/>
          <w:lang w:eastAsia="fr-CA"/>
        </w:rPr>
        <w:t>Vancise</w:t>
      </w:r>
      <w:proofErr w:type="spellEnd"/>
      <w:r w:rsidRPr="00E8050B">
        <w:rPr>
          <w:sz w:val="22"/>
          <w:szCs w:val="22"/>
          <w:lang w:eastAsia="fr-CA"/>
        </w:rPr>
        <w:t xml:space="preserve"> J.A., “[t]he appellate court </w:t>
      </w:r>
      <w:r w:rsidRPr="00E8050B">
        <w:rPr>
          <w:b/>
          <w:sz w:val="22"/>
          <w:szCs w:val="22"/>
          <w:lang w:eastAsia="fr-CA"/>
        </w:rPr>
        <w:t>must be certain</w:t>
      </w:r>
      <w:r w:rsidRPr="00E8050B">
        <w:rPr>
          <w:sz w:val="22"/>
          <w:szCs w:val="22"/>
          <w:lang w:eastAsia="fr-CA"/>
        </w:rPr>
        <w:t xml:space="preserve"> that the trial judge erred and must be able to identify </w:t>
      </w:r>
      <w:r w:rsidRPr="00E8050B">
        <w:rPr>
          <w:b/>
          <w:sz w:val="22"/>
          <w:szCs w:val="22"/>
          <w:lang w:eastAsia="fr-CA"/>
        </w:rPr>
        <w:t>with certainty</w:t>
      </w:r>
      <w:r w:rsidRPr="00E8050B">
        <w:rPr>
          <w:sz w:val="22"/>
          <w:szCs w:val="22"/>
          <w:lang w:eastAsia="fr-CA"/>
        </w:rPr>
        <w:t xml:space="preserve"> the critical error” (</w:t>
      </w:r>
      <w:proofErr w:type="spellStart"/>
      <w:r w:rsidRPr="00386ECD">
        <w:rPr>
          <w:i/>
          <w:iCs/>
          <w:sz w:val="22"/>
          <w:szCs w:val="22"/>
          <w:lang w:eastAsia="fr-CA"/>
        </w:rPr>
        <w:t>Tanel</w:t>
      </w:r>
      <w:proofErr w:type="spellEnd"/>
      <w:r w:rsidRPr="00E8050B">
        <w:rPr>
          <w:sz w:val="22"/>
          <w:szCs w:val="22"/>
          <w:lang w:eastAsia="fr-CA"/>
        </w:rPr>
        <w:t>, at p. 223, dissenting, though not on this issue).</w:t>
      </w:r>
    </w:p>
    <w:p w14:paraId="7CF5B558" w14:textId="2505DD55" w:rsidR="00844586" w:rsidRPr="00E8050B" w:rsidRDefault="00C74E9B" w:rsidP="00A90F7A">
      <w:pPr>
        <w:pStyle w:val="Paragraphe"/>
        <w:numPr>
          <w:ilvl w:val="0"/>
          <w:numId w:val="0"/>
        </w:numPr>
        <w:spacing w:line="240" w:lineRule="auto"/>
        <w:ind w:left="709" w:right="715"/>
        <w:jc w:val="right"/>
        <w:rPr>
          <w:sz w:val="22"/>
          <w:szCs w:val="22"/>
        </w:rPr>
      </w:pPr>
      <w:r w:rsidRPr="00E8050B">
        <w:rPr>
          <w:sz w:val="22"/>
          <w:szCs w:val="22"/>
          <w:lang w:eastAsia="fr-CA"/>
        </w:rPr>
        <w:t>[Underlining in original; bold added]</w:t>
      </w:r>
    </w:p>
    <w:p w14:paraId="793ADD03" w14:textId="1EEA319B" w:rsidR="00844586" w:rsidRPr="003A6212" w:rsidRDefault="003A6212" w:rsidP="00A90F7A">
      <w:pPr>
        <w:pStyle w:val="Paragraphe"/>
        <w:spacing w:line="240" w:lineRule="auto"/>
      </w:pPr>
      <w:r w:rsidRPr="003A6212">
        <w:t xml:space="preserve">In short, the </w:t>
      </w:r>
      <w:r w:rsidR="00BF7867">
        <w:t>question</w:t>
      </w:r>
      <w:r w:rsidRPr="003A6212">
        <w:t xml:space="preserve"> is whether we </w:t>
      </w:r>
      <w:r w:rsidR="00386ECD" w:rsidRPr="003A6212">
        <w:t>can</w:t>
      </w:r>
      <w:r w:rsidRPr="003A6212">
        <w:t xml:space="preserve"> conclude with certainty that the evidence cannot reasonably support the judge’s finding on </w:t>
      </w:r>
      <w:r w:rsidR="00386ECD">
        <w:t>the</w:t>
      </w:r>
      <w:r w:rsidRPr="003A6212">
        <w:t xml:space="preserve"> meaning to ascribe to the expression </w:t>
      </w:r>
      <w:r w:rsidR="00814196">
        <w:t>[</w:t>
      </w:r>
      <w:r w:rsidR="00814196" w:rsidRPr="004F7C11">
        <w:rPr>
          <w:smallCaps/>
        </w:rPr>
        <w:t>translation</w:t>
      </w:r>
      <w:r w:rsidR="00814196">
        <w:t xml:space="preserve">] </w:t>
      </w:r>
      <w:r w:rsidRPr="003A6212">
        <w:t xml:space="preserve">“Planned </w:t>
      </w:r>
      <w:r w:rsidR="00814196">
        <w:t>T</w:t>
      </w:r>
      <w:r w:rsidRPr="003A6212">
        <w:t>ransaction”.</w:t>
      </w:r>
    </w:p>
    <w:p w14:paraId="623DB998" w14:textId="7934D1FF" w:rsidR="00844586" w:rsidRPr="003A6212" w:rsidRDefault="0084114F" w:rsidP="00A90F7A">
      <w:pPr>
        <w:pStyle w:val="Paragraphe"/>
        <w:spacing w:line="240" w:lineRule="auto"/>
      </w:pPr>
      <w:r w:rsidRPr="003A6212">
        <w:t xml:space="preserve"> </w:t>
      </w:r>
      <w:r w:rsidR="003A6212" w:rsidRPr="003A6212">
        <w:t xml:space="preserve">In my view, this question must be </w:t>
      </w:r>
      <w:r w:rsidR="008B6417">
        <w:t xml:space="preserve">answered in the </w:t>
      </w:r>
      <w:r w:rsidR="003A6212" w:rsidRPr="003A6212">
        <w:t xml:space="preserve">negative, because the </w:t>
      </w:r>
      <w:r w:rsidR="00386ECD" w:rsidRPr="003A6212">
        <w:t>judge’s</w:t>
      </w:r>
      <w:r w:rsidR="003A6212" w:rsidRPr="003A6212">
        <w:t xml:space="preserve"> conclusion is </w:t>
      </w:r>
      <w:r w:rsidR="008B6417">
        <w:t>supported by</w:t>
      </w:r>
      <w:r w:rsidR="003A6212" w:rsidRPr="003A6212">
        <w:t xml:space="preserve"> the most relevant evidence of </w:t>
      </w:r>
      <w:r w:rsidR="008B6417">
        <w:t xml:space="preserve">Mr. </w:t>
      </w:r>
      <w:r w:rsidR="003A6212" w:rsidRPr="003A6212">
        <w:t xml:space="preserve">Richer </w:t>
      </w:r>
      <w:r w:rsidR="00386ECD" w:rsidRPr="003A6212">
        <w:t>and</w:t>
      </w:r>
      <w:r w:rsidR="003A6212" w:rsidRPr="003A6212">
        <w:t xml:space="preserve"> </w:t>
      </w:r>
      <w:r w:rsidR="008B6417">
        <w:t xml:space="preserve">Mr. </w:t>
      </w:r>
      <w:r w:rsidR="003A6212" w:rsidRPr="003A6212">
        <w:t xml:space="preserve">Sirois’s intentions when they </w:t>
      </w:r>
      <w:r w:rsidR="00FF2148">
        <w:t>entered into</w:t>
      </w:r>
      <w:r w:rsidR="003A6212" w:rsidRPr="003A6212">
        <w:t xml:space="preserve"> agreement P-5, that is, the testimony of Mtre Guillaume Beaupré.</w:t>
      </w:r>
    </w:p>
    <w:p w14:paraId="7505DFA5" w14:textId="0EA65730" w:rsidR="00844586" w:rsidRDefault="003A6212" w:rsidP="00A90F7A">
      <w:pPr>
        <w:pStyle w:val="Paragraphe"/>
        <w:spacing w:line="240" w:lineRule="auto"/>
      </w:pPr>
      <w:r w:rsidRPr="003A6212">
        <w:t>This testimony is of particular importance for two reasons.</w:t>
      </w:r>
      <w:r w:rsidR="0084114F" w:rsidRPr="003A6212">
        <w:t xml:space="preserve"> </w:t>
      </w:r>
      <w:r w:rsidRPr="003A6212">
        <w:t xml:space="preserve">The first is </w:t>
      </w:r>
      <w:r w:rsidR="00821503" w:rsidRPr="003A6212">
        <w:t>that</w:t>
      </w:r>
      <w:r w:rsidRPr="003A6212">
        <w:t xml:space="preserve"> Mtre Beaupré </w:t>
      </w:r>
      <w:r w:rsidR="0079113A">
        <w:t>drafted</w:t>
      </w:r>
      <w:r w:rsidRPr="003A6212">
        <w:t xml:space="preserve"> agreement P-5.</w:t>
      </w:r>
      <w:r w:rsidR="0084114F" w:rsidRPr="003A6212">
        <w:t xml:space="preserve"> </w:t>
      </w:r>
      <w:r w:rsidRPr="003A6212">
        <w:t xml:space="preserve">The second is that the language of agreement P-5 does not provide a clear answer to the issue dividing the parties, that is, whether the expression </w:t>
      </w:r>
      <w:r w:rsidR="005B6A8D">
        <w:t>[</w:t>
      </w:r>
      <w:r w:rsidR="005B6A8D" w:rsidRPr="005B6A8D">
        <w:rPr>
          <w:smallCaps/>
        </w:rPr>
        <w:t>translation</w:t>
      </w:r>
      <w:r w:rsidR="005B6A8D">
        <w:t xml:space="preserve">] </w:t>
      </w:r>
      <w:r w:rsidRPr="003A6212">
        <w:t>“</w:t>
      </w:r>
      <w:r w:rsidR="0079113A">
        <w:t xml:space="preserve">occurrence of the </w:t>
      </w:r>
      <w:r w:rsidRPr="003A6212">
        <w:t xml:space="preserve">Planned </w:t>
      </w:r>
      <w:r w:rsidR="0054774C">
        <w:t>T</w:t>
      </w:r>
      <w:r w:rsidRPr="003A6212">
        <w:t xml:space="preserve">ransaction” includes </w:t>
      </w:r>
      <w:r w:rsidRPr="003A6212">
        <w:rPr>
          <w:i/>
        </w:rPr>
        <w:t>any</w:t>
      </w:r>
      <w:r w:rsidRPr="003A6212">
        <w:t xml:space="preserve"> acquisition of </w:t>
      </w:r>
      <w:proofErr w:type="spellStart"/>
      <w:r w:rsidRPr="003A6212">
        <w:t>Wooky’s</w:t>
      </w:r>
      <w:proofErr w:type="spellEnd"/>
      <w:r w:rsidRPr="003A6212">
        <w:t xml:space="preserve"> assets by </w:t>
      </w:r>
      <w:r w:rsidR="0079113A">
        <w:t xml:space="preserve">Mr. </w:t>
      </w:r>
      <w:r w:rsidRPr="003A6212">
        <w:t xml:space="preserve">Sirois or one of his companies – </w:t>
      </w:r>
      <w:r w:rsidRPr="003A6212">
        <w:rPr>
          <w:i/>
        </w:rPr>
        <w:t>regardless of context</w:t>
      </w:r>
      <w:r w:rsidRPr="003A6212">
        <w:t xml:space="preserve"> – or whether this notion </w:t>
      </w:r>
      <w:r w:rsidR="005B6A8D">
        <w:t>i</w:t>
      </w:r>
      <w:r w:rsidRPr="003A6212">
        <w:t xml:space="preserve">s instead limited to </w:t>
      </w:r>
      <w:r w:rsidR="0079113A">
        <w:t>an</w:t>
      </w:r>
      <w:r w:rsidRPr="003A6212">
        <w:t xml:space="preserve"> acquisition of assets in the context of a concerted </w:t>
      </w:r>
      <w:r w:rsidR="00072321">
        <w:t>transaction between</w:t>
      </w:r>
      <w:r w:rsidRPr="003A6212">
        <w:t xml:space="preserve"> </w:t>
      </w:r>
      <w:r w:rsidR="0079113A">
        <w:t xml:space="preserve">Mr. </w:t>
      </w:r>
      <w:r w:rsidRPr="003A6212">
        <w:t xml:space="preserve">Richer </w:t>
      </w:r>
      <w:r w:rsidR="005B6A8D" w:rsidRPr="003A6212">
        <w:t>and</w:t>
      </w:r>
      <w:r w:rsidRPr="003A6212">
        <w:t xml:space="preserve"> </w:t>
      </w:r>
      <w:r w:rsidR="0079113A">
        <w:t xml:space="preserve">Mr. </w:t>
      </w:r>
      <w:r w:rsidRPr="003A6212">
        <w:t>Sirois.</w:t>
      </w:r>
    </w:p>
    <w:p w14:paraId="7D61BE90" w14:textId="74A79B96" w:rsidR="00844586" w:rsidRPr="00072A3C" w:rsidRDefault="003A6212" w:rsidP="00A90F7A">
      <w:pPr>
        <w:pStyle w:val="Paragraphe"/>
        <w:spacing w:line="240" w:lineRule="auto"/>
      </w:pPr>
      <w:r w:rsidRPr="003A6212">
        <w:t>During his examination, Mtre Beaupré addressed this issue directly and, in doing so, clearly explained that this</w:t>
      </w:r>
      <w:r w:rsidR="00C65F6C">
        <w:t xml:space="preserve"> [</w:t>
      </w:r>
      <w:r w:rsidR="00C65F6C" w:rsidRPr="004F7C11">
        <w:rPr>
          <w:smallCaps/>
        </w:rPr>
        <w:t>translation</w:t>
      </w:r>
      <w:r w:rsidR="00C65F6C">
        <w:t>]</w:t>
      </w:r>
      <w:r w:rsidRPr="003A6212">
        <w:t xml:space="preserve"> “Planned </w:t>
      </w:r>
      <w:r w:rsidR="0054774C">
        <w:t>T</w:t>
      </w:r>
      <w:r w:rsidRPr="003A6212">
        <w:t xml:space="preserve">ransaction”, which, when it </w:t>
      </w:r>
      <w:r w:rsidR="00C65F6C">
        <w:t>occurred</w:t>
      </w:r>
      <w:r w:rsidRPr="003A6212">
        <w:t xml:space="preserve">, would make the amounts claimed by </w:t>
      </w:r>
      <w:r w:rsidR="00C65F6C">
        <w:t xml:space="preserve">Mr. </w:t>
      </w:r>
      <w:r w:rsidRPr="003A6212">
        <w:t xml:space="preserve">Richer payable, was an acquisition of </w:t>
      </w:r>
      <w:proofErr w:type="spellStart"/>
      <w:r w:rsidRPr="003A6212">
        <w:t>Wooky’s</w:t>
      </w:r>
      <w:proofErr w:type="spellEnd"/>
      <w:r w:rsidRPr="003A6212">
        <w:t xml:space="preserve"> assets in a very specific context, that is, a second agreement that was to be </w:t>
      </w:r>
      <w:r w:rsidR="006A12CE">
        <w:t>entered into</w:t>
      </w:r>
      <w:r w:rsidRPr="003A6212">
        <w:t xml:space="preserve"> subsequently between Richer and Sirois, </w:t>
      </w:r>
      <w:r w:rsidR="00C65F6C">
        <w:t>in which</w:t>
      </w:r>
      <w:r w:rsidRPr="003A6212">
        <w:t xml:space="preserve"> </w:t>
      </w:r>
      <w:proofErr w:type="spellStart"/>
      <w:r w:rsidRPr="003A6212">
        <w:t>Wooky</w:t>
      </w:r>
      <w:proofErr w:type="spellEnd"/>
      <w:r w:rsidRPr="003A6212">
        <w:t xml:space="preserve"> was to intervene.</w:t>
      </w:r>
      <w:r w:rsidR="0084114F" w:rsidRPr="003A6212">
        <w:t xml:space="preserve"> </w:t>
      </w:r>
      <w:r w:rsidRPr="005B6A8D">
        <w:t>The following ex</w:t>
      </w:r>
      <w:r w:rsidR="000F409E">
        <w:t>c</w:t>
      </w:r>
      <w:r w:rsidRPr="005B6A8D">
        <w:t>erpt from the transcript is particularly enlight</w:t>
      </w:r>
      <w:r w:rsidR="008F05E7">
        <w:t>e</w:t>
      </w:r>
      <w:r w:rsidRPr="005B6A8D">
        <w:t>ning</w:t>
      </w:r>
      <w:r w:rsidRPr="00072A3C">
        <w:t>:</w:t>
      </w:r>
      <w:r>
        <w:rPr>
          <w:rStyle w:val="Appelnotedebasdep"/>
        </w:rPr>
        <w:footnoteReference w:id="37"/>
      </w:r>
    </w:p>
    <w:tbl>
      <w:tblPr>
        <w:tblW w:w="0" w:type="auto"/>
        <w:tblInd w:w="709" w:type="dxa"/>
        <w:tblLayout w:type="fixed"/>
        <w:tblCellMar>
          <w:left w:w="70" w:type="dxa"/>
          <w:right w:w="70" w:type="dxa"/>
        </w:tblCellMar>
        <w:tblLook w:val="0000" w:firstRow="0" w:lastRow="0" w:firstColumn="0" w:lastColumn="0" w:noHBand="0" w:noVBand="0"/>
      </w:tblPr>
      <w:tblGrid>
        <w:gridCol w:w="283"/>
        <w:gridCol w:w="7939"/>
      </w:tblGrid>
      <w:tr w:rsidR="00E201A8" w14:paraId="61937CD3" w14:textId="77777777" w:rsidTr="004737DC">
        <w:tc>
          <w:tcPr>
            <w:tcW w:w="283" w:type="dxa"/>
          </w:tcPr>
          <w:p w14:paraId="29D8A3CF" w14:textId="77777777" w:rsidR="00844586" w:rsidRPr="00072A3C" w:rsidRDefault="00844586" w:rsidP="004737DC">
            <w:pPr>
              <w:pStyle w:val="Transcription"/>
              <w:spacing w:line="240" w:lineRule="auto"/>
              <w:rPr>
                <w:rFonts w:ascii="Arial" w:hAnsi="Arial" w:cs="Arial"/>
                <w:szCs w:val="22"/>
                <w:lang w:val="en-CA"/>
              </w:rPr>
            </w:pPr>
          </w:p>
        </w:tc>
        <w:tc>
          <w:tcPr>
            <w:tcW w:w="7939" w:type="dxa"/>
          </w:tcPr>
          <w:p w14:paraId="3EEC601A" w14:textId="303106C8" w:rsidR="005B6A8D" w:rsidRDefault="005B6A8D" w:rsidP="004737DC">
            <w:pPr>
              <w:pStyle w:val="Transcription"/>
              <w:keepNext/>
              <w:spacing w:line="240" w:lineRule="auto"/>
              <w:ind w:right="74"/>
              <w:rPr>
                <w:rFonts w:ascii="Arial" w:hAnsi="Arial" w:cs="Arial"/>
                <w:szCs w:val="22"/>
                <w:lang w:val="en-CA"/>
              </w:rPr>
            </w:pPr>
            <w:r>
              <w:rPr>
                <w:rFonts w:ascii="Arial" w:hAnsi="Arial" w:cs="Arial"/>
                <w:szCs w:val="22"/>
                <w:lang w:val="en-CA"/>
              </w:rPr>
              <w:t>[</w:t>
            </w:r>
            <w:r w:rsidRPr="005B6A8D">
              <w:rPr>
                <w:rFonts w:ascii="Arial" w:hAnsi="Arial" w:cs="Arial"/>
                <w:smallCaps/>
                <w:szCs w:val="22"/>
                <w:lang w:val="en-CA"/>
              </w:rPr>
              <w:t>translation</w:t>
            </w:r>
            <w:r>
              <w:rPr>
                <w:rFonts w:ascii="Arial" w:hAnsi="Arial" w:cs="Arial"/>
                <w:szCs w:val="22"/>
                <w:lang w:val="en-CA"/>
              </w:rPr>
              <w:t>]</w:t>
            </w:r>
          </w:p>
          <w:p w14:paraId="7710FBA9" w14:textId="545AEABE" w:rsidR="00844586" w:rsidRPr="00E8050B" w:rsidRDefault="003A6212" w:rsidP="004737DC">
            <w:pPr>
              <w:pStyle w:val="Transcription"/>
              <w:keepNext/>
              <w:spacing w:line="240" w:lineRule="auto"/>
              <w:ind w:right="74"/>
              <w:rPr>
                <w:rFonts w:ascii="Arial" w:hAnsi="Arial" w:cs="Arial"/>
                <w:szCs w:val="22"/>
                <w:lang w:val="en-CA"/>
              </w:rPr>
            </w:pPr>
            <w:r w:rsidRPr="00E8050B">
              <w:rPr>
                <w:rFonts w:ascii="Arial" w:hAnsi="Arial" w:cs="Arial"/>
                <w:szCs w:val="22"/>
                <w:lang w:val="en-CA"/>
              </w:rPr>
              <w:t>THE COURT:</w:t>
            </w:r>
          </w:p>
        </w:tc>
      </w:tr>
      <w:tr w:rsidR="00E201A8" w:rsidRPr="003A6212" w14:paraId="2ACA04E9" w14:textId="77777777" w:rsidTr="004737DC">
        <w:tc>
          <w:tcPr>
            <w:tcW w:w="283" w:type="dxa"/>
          </w:tcPr>
          <w:p w14:paraId="7228A35C" w14:textId="77777777" w:rsidR="00844586" w:rsidRPr="001533DE" w:rsidRDefault="00844586" w:rsidP="004737DC">
            <w:pPr>
              <w:pStyle w:val="Transcription"/>
              <w:spacing w:line="240" w:lineRule="auto"/>
              <w:rPr>
                <w:rFonts w:ascii="Arial" w:hAnsi="Arial" w:cs="Arial"/>
                <w:szCs w:val="22"/>
              </w:rPr>
            </w:pPr>
          </w:p>
        </w:tc>
        <w:tc>
          <w:tcPr>
            <w:tcW w:w="7939" w:type="dxa"/>
          </w:tcPr>
          <w:p w14:paraId="1C0FF22A" w14:textId="2863C830" w:rsidR="00844586" w:rsidRPr="003A6212" w:rsidRDefault="003A6212" w:rsidP="004737DC">
            <w:pPr>
              <w:pStyle w:val="Transcription"/>
              <w:spacing w:line="240" w:lineRule="auto"/>
              <w:rPr>
                <w:rFonts w:ascii="Arial" w:hAnsi="Arial" w:cs="Arial"/>
                <w:szCs w:val="22"/>
                <w:lang w:val="en-CA"/>
              </w:rPr>
            </w:pPr>
            <w:r w:rsidRPr="003A6212">
              <w:rPr>
                <w:rFonts w:ascii="Arial" w:hAnsi="Arial" w:cs="Arial"/>
                <w:szCs w:val="22"/>
                <w:lang w:val="en-CA"/>
              </w:rPr>
              <w:t>What I understand from what you are telling me, and correct me if I misunderstood, when the parties signed the agreement, the idea was that they first had to clean up the secured creditors.</w:t>
            </w:r>
            <w:r w:rsidR="0084114F" w:rsidRPr="003A6212">
              <w:rPr>
                <w:rFonts w:ascii="Arial" w:hAnsi="Arial" w:cs="Arial"/>
                <w:szCs w:val="22"/>
                <w:lang w:val="en-CA"/>
              </w:rPr>
              <w:t xml:space="preserve"> </w:t>
            </w:r>
            <w:r w:rsidRPr="003A6212">
              <w:rPr>
                <w:rFonts w:ascii="Arial" w:hAnsi="Arial" w:cs="Arial"/>
                <w:szCs w:val="22"/>
                <w:lang w:val="en-CA"/>
              </w:rPr>
              <w:t xml:space="preserve">If that worked, </w:t>
            </w:r>
            <w:r w:rsidRPr="003A6212">
              <w:rPr>
                <w:rFonts w:ascii="Arial" w:hAnsi="Arial" w:cs="Arial"/>
                <w:szCs w:val="22"/>
                <w:u w:val="single"/>
                <w:lang w:val="en-CA"/>
              </w:rPr>
              <w:t xml:space="preserve">they would eventually sign a transaction, which is the planned </w:t>
            </w:r>
            <w:r w:rsidR="005B6A8D" w:rsidRPr="003A6212">
              <w:rPr>
                <w:rFonts w:ascii="Arial" w:hAnsi="Arial" w:cs="Arial"/>
                <w:szCs w:val="22"/>
                <w:u w:val="single"/>
                <w:lang w:val="en-CA"/>
              </w:rPr>
              <w:t>transaction</w:t>
            </w:r>
            <w:r w:rsidRPr="003A6212">
              <w:rPr>
                <w:rFonts w:ascii="Arial" w:hAnsi="Arial" w:cs="Arial"/>
                <w:szCs w:val="22"/>
                <w:u w:val="single"/>
                <w:lang w:val="en-CA"/>
              </w:rPr>
              <w:t xml:space="preserve"> in which som</w:t>
            </w:r>
            <w:r w:rsidR="005B6A8D">
              <w:rPr>
                <w:rFonts w:ascii="Arial" w:hAnsi="Arial" w:cs="Arial"/>
                <w:szCs w:val="22"/>
                <w:u w:val="single"/>
                <w:lang w:val="en-CA"/>
              </w:rPr>
              <w:t>e</w:t>
            </w:r>
            <w:r w:rsidRPr="003A6212">
              <w:rPr>
                <w:rFonts w:ascii="Arial" w:hAnsi="Arial" w:cs="Arial"/>
                <w:szCs w:val="22"/>
                <w:u w:val="single"/>
                <w:lang w:val="en-CA"/>
              </w:rPr>
              <w:t xml:space="preserve"> of the assets would be transferred</w:t>
            </w:r>
            <w:r w:rsidRPr="003A6212">
              <w:rPr>
                <w:rFonts w:ascii="Arial" w:hAnsi="Arial" w:cs="Arial"/>
                <w:szCs w:val="22"/>
                <w:lang w:val="en-CA"/>
              </w:rPr>
              <w:t>.</w:t>
            </w:r>
            <w:r w:rsidR="0084114F" w:rsidRPr="003A6212">
              <w:rPr>
                <w:rFonts w:ascii="Arial" w:hAnsi="Arial" w:cs="Arial"/>
                <w:szCs w:val="22"/>
                <w:lang w:val="en-CA"/>
              </w:rPr>
              <w:t xml:space="preserve"> </w:t>
            </w:r>
            <w:r w:rsidRPr="003A6212">
              <w:rPr>
                <w:rFonts w:ascii="Arial" w:hAnsi="Arial" w:cs="Arial"/>
                <w:szCs w:val="22"/>
                <w:lang w:val="en-CA"/>
              </w:rPr>
              <w:t xml:space="preserve">And if that </w:t>
            </w:r>
            <w:r w:rsidR="00FA0BE6">
              <w:rPr>
                <w:rFonts w:ascii="Arial" w:hAnsi="Arial" w:cs="Arial"/>
                <w:szCs w:val="22"/>
                <w:lang w:val="en-CA"/>
              </w:rPr>
              <w:t>occurred</w:t>
            </w:r>
            <w:r w:rsidRPr="003A6212">
              <w:rPr>
                <w:rFonts w:ascii="Arial" w:hAnsi="Arial" w:cs="Arial"/>
                <w:szCs w:val="22"/>
                <w:lang w:val="en-CA"/>
              </w:rPr>
              <w:t xml:space="preserve">, the agreement tells us how the money </w:t>
            </w:r>
            <w:r w:rsidRPr="003A6212">
              <w:rPr>
                <w:rFonts w:ascii="Arial" w:hAnsi="Arial" w:cs="Arial"/>
                <w:szCs w:val="22"/>
                <w:lang w:val="en-CA"/>
              </w:rPr>
              <w:lastRenderedPageBreak/>
              <w:t xml:space="preserve">would be shared between them. But </w:t>
            </w:r>
            <w:r w:rsidRPr="00072A3C">
              <w:rPr>
                <w:rFonts w:ascii="Arial" w:hAnsi="Arial" w:cs="Arial"/>
                <w:szCs w:val="22"/>
                <w:u w:val="single"/>
                <w:lang w:val="en-CA"/>
              </w:rPr>
              <w:t xml:space="preserve">there would inevitably be the need to sign a transaction that is the planned transaction to which </w:t>
            </w:r>
            <w:proofErr w:type="spellStart"/>
            <w:r w:rsidRPr="00072A3C">
              <w:rPr>
                <w:rFonts w:ascii="Arial" w:hAnsi="Arial" w:cs="Arial"/>
                <w:szCs w:val="22"/>
                <w:u w:val="single"/>
                <w:lang w:val="en-CA"/>
              </w:rPr>
              <w:t>Wooky</w:t>
            </w:r>
            <w:proofErr w:type="spellEnd"/>
            <w:r w:rsidRPr="00072A3C">
              <w:rPr>
                <w:rFonts w:ascii="Arial" w:hAnsi="Arial" w:cs="Arial"/>
                <w:szCs w:val="22"/>
                <w:u w:val="single"/>
                <w:lang w:val="en-CA"/>
              </w:rPr>
              <w:t xml:space="preserve"> would intervene?</w:t>
            </w:r>
          </w:p>
        </w:tc>
      </w:tr>
      <w:tr w:rsidR="00E201A8" w:rsidRPr="003A6212" w14:paraId="64FB7383" w14:textId="77777777" w:rsidTr="004737DC">
        <w:tc>
          <w:tcPr>
            <w:tcW w:w="283" w:type="dxa"/>
          </w:tcPr>
          <w:p w14:paraId="232B1558" w14:textId="22684E6A" w:rsidR="00844586" w:rsidRPr="00E8050B" w:rsidRDefault="003A6212" w:rsidP="004737DC">
            <w:pPr>
              <w:pStyle w:val="Transcription"/>
              <w:spacing w:line="240" w:lineRule="auto"/>
              <w:rPr>
                <w:rFonts w:ascii="Arial" w:hAnsi="Arial" w:cs="Arial"/>
                <w:szCs w:val="22"/>
              </w:rPr>
            </w:pPr>
            <w:r w:rsidRPr="00E8050B">
              <w:rPr>
                <w:rFonts w:ascii="Arial" w:hAnsi="Arial" w:cs="Arial"/>
                <w:szCs w:val="22"/>
              </w:rPr>
              <w:lastRenderedPageBreak/>
              <w:t>A</w:t>
            </w:r>
          </w:p>
        </w:tc>
        <w:tc>
          <w:tcPr>
            <w:tcW w:w="7939" w:type="dxa"/>
          </w:tcPr>
          <w:p w14:paraId="46DE9B5F" w14:textId="5D08D083" w:rsidR="00844586" w:rsidRPr="003A6212" w:rsidRDefault="003A6212" w:rsidP="004737DC">
            <w:pPr>
              <w:pStyle w:val="Transcription"/>
              <w:spacing w:line="240" w:lineRule="auto"/>
              <w:ind w:left="68"/>
              <w:rPr>
                <w:rFonts w:ascii="Arial" w:hAnsi="Arial" w:cs="Arial"/>
                <w:szCs w:val="22"/>
                <w:lang w:val="en-CA"/>
              </w:rPr>
            </w:pPr>
            <w:r w:rsidRPr="00072A3C">
              <w:rPr>
                <w:rFonts w:ascii="Arial" w:hAnsi="Arial" w:cs="Arial"/>
                <w:szCs w:val="22"/>
                <w:u w:val="single"/>
                <w:lang w:val="en-CA"/>
              </w:rPr>
              <w:t>Yes, ultimately</w:t>
            </w:r>
            <w:r w:rsidRPr="00072A3C">
              <w:rPr>
                <w:rFonts w:ascii="Arial" w:hAnsi="Arial" w:cs="Arial"/>
                <w:szCs w:val="22"/>
                <w:lang w:val="en-CA"/>
              </w:rPr>
              <w:t>.</w:t>
            </w:r>
            <w:r w:rsidR="0084114F" w:rsidRPr="00072A3C">
              <w:rPr>
                <w:rFonts w:ascii="Arial" w:hAnsi="Arial" w:cs="Arial"/>
                <w:szCs w:val="22"/>
                <w:lang w:val="en-CA"/>
              </w:rPr>
              <w:t xml:space="preserve"> </w:t>
            </w:r>
            <w:r w:rsidRPr="003A6212">
              <w:rPr>
                <w:rFonts w:ascii="Arial" w:hAnsi="Arial" w:cs="Arial"/>
                <w:szCs w:val="22"/>
                <w:lang w:val="en-CA"/>
              </w:rPr>
              <w:t xml:space="preserve">Yes, </w:t>
            </w:r>
            <w:proofErr w:type="spellStart"/>
            <w:r w:rsidRPr="003A6212">
              <w:rPr>
                <w:rFonts w:ascii="Arial" w:hAnsi="Arial" w:cs="Arial"/>
                <w:szCs w:val="22"/>
                <w:lang w:val="en-CA"/>
              </w:rPr>
              <w:t>Wooky</w:t>
            </w:r>
            <w:proofErr w:type="spellEnd"/>
            <w:r w:rsidRPr="003A6212">
              <w:rPr>
                <w:rFonts w:ascii="Arial" w:hAnsi="Arial" w:cs="Arial"/>
                <w:szCs w:val="22"/>
                <w:lang w:val="en-CA"/>
              </w:rPr>
              <w:t xml:space="preserve"> would have to intervene in</w:t>
            </w:r>
            <w:r w:rsidR="0084114F" w:rsidRPr="003A6212">
              <w:rPr>
                <w:rFonts w:ascii="Arial" w:hAnsi="Arial" w:cs="Arial"/>
                <w:szCs w:val="22"/>
                <w:lang w:val="en-CA"/>
              </w:rPr>
              <w:t xml:space="preserve"> </w:t>
            </w:r>
            <w:r w:rsidRPr="003A6212">
              <w:rPr>
                <w:rFonts w:ascii="Arial" w:hAnsi="Arial" w:cs="Arial"/>
                <w:szCs w:val="22"/>
                <w:lang w:val="en-CA"/>
              </w:rPr>
              <w:t xml:space="preserve">... with respect to some documents, once </w:t>
            </w:r>
            <w:r w:rsidR="00FA0BE6">
              <w:rPr>
                <w:rFonts w:ascii="Arial" w:hAnsi="Arial" w:cs="Arial"/>
                <w:szCs w:val="22"/>
                <w:lang w:val="en-CA"/>
              </w:rPr>
              <w:t>they reached that point</w:t>
            </w:r>
            <w:r w:rsidRPr="003A6212">
              <w:rPr>
                <w:rFonts w:ascii="Arial" w:hAnsi="Arial" w:cs="Arial"/>
                <w:szCs w:val="22"/>
                <w:lang w:val="en-CA"/>
              </w:rPr>
              <w:t xml:space="preserve">, </w:t>
            </w:r>
            <w:r w:rsidR="005B6A8D">
              <w:rPr>
                <w:rFonts w:ascii="Arial" w:hAnsi="Arial" w:cs="Arial"/>
                <w:szCs w:val="22"/>
                <w:lang w:val="en-CA"/>
              </w:rPr>
              <w:t>yes</w:t>
            </w:r>
            <w:r w:rsidRPr="003A6212">
              <w:rPr>
                <w:rFonts w:ascii="Arial" w:hAnsi="Arial" w:cs="Arial"/>
                <w:szCs w:val="22"/>
                <w:lang w:val="en-CA"/>
              </w:rPr>
              <w:t>.</w:t>
            </w:r>
          </w:p>
        </w:tc>
      </w:tr>
      <w:tr w:rsidR="00E201A8" w:rsidRPr="003A6212" w14:paraId="66C9BCAE" w14:textId="77777777" w:rsidTr="004737DC">
        <w:tc>
          <w:tcPr>
            <w:tcW w:w="283" w:type="dxa"/>
          </w:tcPr>
          <w:p w14:paraId="1D8B46ED" w14:textId="79AC6539" w:rsidR="00844586" w:rsidRPr="00E8050B" w:rsidRDefault="003A6212" w:rsidP="004737DC">
            <w:pPr>
              <w:pStyle w:val="Transcription"/>
              <w:spacing w:line="240" w:lineRule="auto"/>
              <w:rPr>
                <w:rFonts w:ascii="Arial" w:hAnsi="Arial" w:cs="Arial"/>
                <w:szCs w:val="22"/>
              </w:rPr>
            </w:pPr>
            <w:r w:rsidRPr="00E8050B">
              <w:rPr>
                <w:rFonts w:ascii="Arial" w:hAnsi="Arial" w:cs="Arial"/>
                <w:szCs w:val="22"/>
              </w:rPr>
              <w:t>Q</w:t>
            </w:r>
          </w:p>
        </w:tc>
        <w:tc>
          <w:tcPr>
            <w:tcW w:w="7939" w:type="dxa"/>
          </w:tcPr>
          <w:p w14:paraId="032CBFE1" w14:textId="3E43B246" w:rsidR="00844586" w:rsidRPr="003A6212" w:rsidRDefault="003A6212" w:rsidP="004737DC">
            <w:pPr>
              <w:pStyle w:val="Transcription"/>
              <w:spacing w:line="240" w:lineRule="auto"/>
              <w:rPr>
                <w:rFonts w:ascii="Arial" w:hAnsi="Arial" w:cs="Arial"/>
                <w:szCs w:val="22"/>
                <w:lang w:val="en-CA"/>
              </w:rPr>
            </w:pPr>
            <w:r w:rsidRPr="00E8050B">
              <w:rPr>
                <w:rFonts w:ascii="Arial" w:hAnsi="Arial" w:cs="Arial"/>
                <w:szCs w:val="22"/>
                <w:lang w:val="en-CA"/>
              </w:rPr>
              <w:t>Therefore, there is</w:t>
            </w:r>
            <w:r w:rsidR="0084114F" w:rsidRPr="003A6212">
              <w:rPr>
                <w:rFonts w:ascii="Arial" w:hAnsi="Arial" w:cs="Arial"/>
                <w:szCs w:val="22"/>
                <w:lang w:val="en-CA"/>
              </w:rPr>
              <w:t xml:space="preserve"> </w:t>
            </w:r>
            <w:r w:rsidRPr="003A6212">
              <w:rPr>
                <w:rFonts w:ascii="Arial" w:hAnsi="Arial" w:cs="Arial"/>
                <w:szCs w:val="22"/>
                <w:lang w:val="en-CA"/>
              </w:rPr>
              <w:t xml:space="preserve">... it </w:t>
            </w:r>
            <w:r w:rsidR="00FA0BE6">
              <w:rPr>
                <w:rFonts w:ascii="Arial" w:hAnsi="Arial" w:cs="Arial"/>
                <w:szCs w:val="22"/>
                <w:lang w:val="en-CA"/>
              </w:rPr>
              <w:t>was</w:t>
            </w:r>
            <w:r w:rsidRPr="003A6212">
              <w:rPr>
                <w:rFonts w:ascii="Arial" w:hAnsi="Arial" w:cs="Arial"/>
                <w:szCs w:val="22"/>
                <w:lang w:val="en-CA"/>
              </w:rPr>
              <w:t xml:space="preserve"> necessary to clean up the creditors then the planned transaction</w:t>
            </w:r>
            <w:r w:rsidR="00FA0BE6">
              <w:rPr>
                <w:rFonts w:ascii="Arial" w:hAnsi="Arial" w:cs="Arial"/>
                <w:szCs w:val="22"/>
                <w:lang w:val="en-CA"/>
              </w:rPr>
              <w:t xml:space="preserve"> would have to take place</w:t>
            </w:r>
            <w:r w:rsidRPr="003A6212">
              <w:rPr>
                <w:rFonts w:ascii="Arial" w:hAnsi="Arial" w:cs="Arial"/>
                <w:szCs w:val="22"/>
                <w:lang w:val="en-CA"/>
              </w:rPr>
              <w:t xml:space="preserve">? </w:t>
            </w:r>
          </w:p>
        </w:tc>
      </w:tr>
      <w:tr w:rsidR="00E201A8" w14:paraId="0C3F6387" w14:textId="77777777" w:rsidTr="004737DC">
        <w:tc>
          <w:tcPr>
            <w:tcW w:w="283" w:type="dxa"/>
          </w:tcPr>
          <w:p w14:paraId="645843EA" w14:textId="30BC476A" w:rsidR="00844586" w:rsidRPr="00E8050B" w:rsidRDefault="003A6212" w:rsidP="004737DC">
            <w:pPr>
              <w:pStyle w:val="Transcription"/>
              <w:spacing w:line="240" w:lineRule="auto"/>
              <w:rPr>
                <w:rFonts w:ascii="Arial" w:hAnsi="Arial" w:cs="Arial"/>
                <w:szCs w:val="22"/>
              </w:rPr>
            </w:pPr>
            <w:r w:rsidRPr="00E8050B">
              <w:rPr>
                <w:rFonts w:ascii="Arial" w:hAnsi="Arial" w:cs="Arial"/>
                <w:szCs w:val="22"/>
              </w:rPr>
              <w:t>A</w:t>
            </w:r>
          </w:p>
        </w:tc>
        <w:tc>
          <w:tcPr>
            <w:tcW w:w="7939" w:type="dxa"/>
          </w:tcPr>
          <w:p w14:paraId="29325DA6" w14:textId="1436ADB9" w:rsidR="00844586" w:rsidRPr="00E8050B" w:rsidRDefault="003A6212" w:rsidP="004737DC">
            <w:pPr>
              <w:pStyle w:val="Transcription"/>
              <w:spacing w:line="240" w:lineRule="auto"/>
              <w:rPr>
                <w:rFonts w:ascii="Arial" w:hAnsi="Arial" w:cs="Arial"/>
                <w:szCs w:val="22"/>
              </w:rPr>
            </w:pPr>
            <w:r w:rsidRPr="00E8050B">
              <w:rPr>
                <w:rFonts w:ascii="Arial" w:hAnsi="Arial" w:cs="Arial"/>
                <w:szCs w:val="22"/>
              </w:rPr>
              <w:t>Yes.</w:t>
            </w:r>
          </w:p>
        </w:tc>
      </w:tr>
      <w:tr w:rsidR="00E201A8" w:rsidRPr="003A6212" w14:paraId="15927DD5" w14:textId="77777777" w:rsidTr="004737DC">
        <w:tc>
          <w:tcPr>
            <w:tcW w:w="283" w:type="dxa"/>
          </w:tcPr>
          <w:p w14:paraId="76D9EAB0" w14:textId="5C66FA04" w:rsidR="00844586" w:rsidRPr="00E8050B" w:rsidRDefault="003A6212" w:rsidP="004737DC">
            <w:pPr>
              <w:pStyle w:val="Transcription"/>
              <w:spacing w:line="240" w:lineRule="auto"/>
              <w:rPr>
                <w:rFonts w:ascii="Arial" w:hAnsi="Arial" w:cs="Arial"/>
                <w:szCs w:val="22"/>
              </w:rPr>
            </w:pPr>
            <w:r w:rsidRPr="00E8050B">
              <w:rPr>
                <w:rFonts w:ascii="Arial" w:hAnsi="Arial" w:cs="Arial"/>
                <w:szCs w:val="22"/>
              </w:rPr>
              <w:t>Q</w:t>
            </w:r>
          </w:p>
        </w:tc>
        <w:tc>
          <w:tcPr>
            <w:tcW w:w="7939" w:type="dxa"/>
          </w:tcPr>
          <w:p w14:paraId="210D4811" w14:textId="2B3C2044" w:rsidR="00844586" w:rsidRPr="003A6212" w:rsidRDefault="003A6212" w:rsidP="004737DC">
            <w:pPr>
              <w:pStyle w:val="Transcription"/>
              <w:spacing w:line="240" w:lineRule="auto"/>
              <w:rPr>
                <w:rFonts w:ascii="Arial" w:hAnsi="Arial" w:cs="Arial"/>
                <w:szCs w:val="22"/>
                <w:lang w:val="en-CA"/>
              </w:rPr>
            </w:pPr>
            <w:r w:rsidRPr="003A6212">
              <w:rPr>
                <w:rFonts w:ascii="Arial" w:hAnsi="Arial" w:cs="Arial"/>
                <w:szCs w:val="22"/>
                <w:lang w:val="en-CA"/>
              </w:rPr>
              <w:t xml:space="preserve">But we, future partners, if </w:t>
            </w:r>
            <w:r w:rsidR="005B6A8D">
              <w:rPr>
                <w:rFonts w:ascii="Arial" w:hAnsi="Arial" w:cs="Arial"/>
                <w:szCs w:val="22"/>
                <w:lang w:val="en-CA"/>
              </w:rPr>
              <w:t>you will</w:t>
            </w:r>
            <w:r w:rsidRPr="003A6212">
              <w:rPr>
                <w:rFonts w:ascii="Arial" w:hAnsi="Arial" w:cs="Arial"/>
                <w:szCs w:val="22"/>
                <w:lang w:val="en-CA"/>
              </w:rPr>
              <w:t>, here is how we are going to share</w:t>
            </w:r>
            <w:r w:rsidR="0084114F" w:rsidRPr="003A6212">
              <w:rPr>
                <w:rFonts w:ascii="Arial" w:hAnsi="Arial" w:cs="Arial"/>
                <w:szCs w:val="22"/>
                <w:lang w:val="en-CA"/>
              </w:rPr>
              <w:t xml:space="preserve"> </w:t>
            </w:r>
            <w:r w:rsidRPr="00E8050B">
              <w:rPr>
                <w:rFonts w:ascii="Arial" w:hAnsi="Arial" w:cs="Arial"/>
                <w:szCs w:val="22"/>
                <w:lang w:val="en-CA"/>
              </w:rPr>
              <w:t>... without being</w:t>
            </w:r>
            <w:r w:rsidR="0084114F" w:rsidRPr="003A6212">
              <w:rPr>
                <w:rFonts w:ascii="Arial" w:hAnsi="Arial" w:cs="Arial"/>
                <w:szCs w:val="22"/>
                <w:lang w:val="en-CA"/>
              </w:rPr>
              <w:t xml:space="preserve"> </w:t>
            </w:r>
            <w:r w:rsidRPr="003A6212">
              <w:rPr>
                <w:rFonts w:ascii="Arial" w:hAnsi="Arial" w:cs="Arial"/>
                <w:szCs w:val="22"/>
                <w:lang w:val="en-CA"/>
              </w:rPr>
              <w:t xml:space="preserve">... that is a contract </w:t>
            </w:r>
            <w:r w:rsidR="00FA0BE6">
              <w:rPr>
                <w:rFonts w:ascii="Arial" w:hAnsi="Arial" w:cs="Arial"/>
                <w:szCs w:val="22"/>
                <w:lang w:val="en-CA"/>
              </w:rPr>
              <w:t xml:space="preserve">in </w:t>
            </w:r>
            <w:r w:rsidRPr="003A6212">
              <w:rPr>
                <w:rFonts w:ascii="Arial" w:hAnsi="Arial" w:cs="Arial"/>
                <w:szCs w:val="22"/>
                <w:lang w:val="en-CA"/>
              </w:rPr>
              <w:t xml:space="preserve">itself, I do not want to say that it is a pre-contract, but </w:t>
            </w:r>
            <w:r w:rsidRPr="00072A3C">
              <w:rPr>
                <w:rFonts w:ascii="Arial" w:hAnsi="Arial" w:cs="Arial"/>
                <w:szCs w:val="22"/>
                <w:u w:val="single"/>
                <w:lang w:val="en-CA"/>
              </w:rPr>
              <w:t xml:space="preserve">it is </w:t>
            </w:r>
            <w:r w:rsidR="0084114F" w:rsidRPr="003A6212">
              <w:rPr>
                <w:rFonts w:ascii="Arial" w:hAnsi="Arial" w:cs="Arial"/>
                <w:szCs w:val="22"/>
                <w:u w:val="single"/>
                <w:lang w:val="en-CA"/>
              </w:rPr>
              <w:t xml:space="preserve"> </w:t>
            </w:r>
            <w:r w:rsidRPr="003A6212">
              <w:rPr>
                <w:rFonts w:ascii="Arial" w:hAnsi="Arial" w:cs="Arial"/>
                <w:szCs w:val="22"/>
                <w:u w:val="single"/>
                <w:lang w:val="en-CA"/>
              </w:rPr>
              <w:t>... how we are going to manage our affairs between us when we go ahead with the planned transaction</w:t>
            </w:r>
            <w:r w:rsidRPr="003A6212">
              <w:rPr>
                <w:rFonts w:ascii="Arial" w:hAnsi="Arial" w:cs="Arial"/>
                <w:szCs w:val="22"/>
                <w:lang w:val="en-CA"/>
              </w:rPr>
              <w:t>.</w:t>
            </w:r>
          </w:p>
        </w:tc>
      </w:tr>
      <w:tr w:rsidR="00E201A8" w:rsidRPr="003A6212" w14:paraId="35E575E2" w14:textId="77777777" w:rsidTr="004737DC">
        <w:tc>
          <w:tcPr>
            <w:tcW w:w="283" w:type="dxa"/>
          </w:tcPr>
          <w:p w14:paraId="2FF21D10" w14:textId="38AA0D29" w:rsidR="00844586" w:rsidRPr="00E8050B" w:rsidRDefault="003A6212" w:rsidP="004737DC">
            <w:pPr>
              <w:pStyle w:val="Transcription"/>
              <w:spacing w:line="240" w:lineRule="auto"/>
              <w:rPr>
                <w:rFonts w:ascii="Arial" w:hAnsi="Arial" w:cs="Arial"/>
                <w:szCs w:val="22"/>
              </w:rPr>
            </w:pPr>
            <w:r w:rsidRPr="00E8050B">
              <w:rPr>
                <w:rFonts w:ascii="Arial" w:hAnsi="Arial" w:cs="Arial"/>
                <w:szCs w:val="22"/>
              </w:rPr>
              <w:t>A</w:t>
            </w:r>
          </w:p>
        </w:tc>
        <w:tc>
          <w:tcPr>
            <w:tcW w:w="7939" w:type="dxa"/>
          </w:tcPr>
          <w:p w14:paraId="7651A9A1" w14:textId="08804920" w:rsidR="00844586" w:rsidRPr="003A6212" w:rsidRDefault="003A6212" w:rsidP="004737DC">
            <w:pPr>
              <w:pStyle w:val="Transcription"/>
              <w:spacing w:line="240" w:lineRule="auto"/>
              <w:rPr>
                <w:rFonts w:ascii="Arial" w:hAnsi="Arial" w:cs="Arial"/>
                <w:szCs w:val="22"/>
                <w:lang w:val="en-CA"/>
              </w:rPr>
            </w:pPr>
            <w:r w:rsidRPr="003A6212">
              <w:rPr>
                <w:rFonts w:ascii="Arial" w:hAnsi="Arial" w:cs="Arial"/>
                <w:szCs w:val="22"/>
                <w:u w:val="single"/>
                <w:lang w:val="en-CA"/>
              </w:rPr>
              <w:t>The broad strokes of, yes, indeed</w:t>
            </w:r>
            <w:r w:rsidRPr="003A6212">
              <w:rPr>
                <w:rFonts w:ascii="Arial" w:hAnsi="Arial" w:cs="Arial"/>
                <w:szCs w:val="22"/>
                <w:lang w:val="en-CA"/>
              </w:rPr>
              <w:t>.</w:t>
            </w:r>
          </w:p>
        </w:tc>
      </w:tr>
      <w:tr w:rsidR="00E201A8" w14:paraId="79180545" w14:textId="77777777" w:rsidTr="004737DC">
        <w:tc>
          <w:tcPr>
            <w:tcW w:w="283" w:type="dxa"/>
          </w:tcPr>
          <w:p w14:paraId="3EE82443" w14:textId="1F5EF7D7" w:rsidR="00844586" w:rsidRPr="00E8050B" w:rsidRDefault="003A6212" w:rsidP="004737DC">
            <w:pPr>
              <w:pStyle w:val="Transcription"/>
              <w:spacing w:line="240" w:lineRule="auto"/>
              <w:rPr>
                <w:rFonts w:ascii="Arial" w:hAnsi="Arial" w:cs="Arial"/>
                <w:szCs w:val="22"/>
              </w:rPr>
            </w:pPr>
            <w:r w:rsidRPr="00E8050B">
              <w:rPr>
                <w:rFonts w:ascii="Arial" w:hAnsi="Arial" w:cs="Arial"/>
                <w:szCs w:val="22"/>
              </w:rPr>
              <w:t>Q</w:t>
            </w:r>
          </w:p>
        </w:tc>
        <w:tc>
          <w:tcPr>
            <w:tcW w:w="7939" w:type="dxa"/>
          </w:tcPr>
          <w:p w14:paraId="6AC3EAEA" w14:textId="26AFA9F0" w:rsidR="00844586" w:rsidRPr="00E8050B" w:rsidRDefault="003A6212" w:rsidP="004737DC">
            <w:pPr>
              <w:pStyle w:val="Transcription"/>
              <w:spacing w:line="240" w:lineRule="auto"/>
              <w:rPr>
                <w:rFonts w:ascii="Arial" w:hAnsi="Arial" w:cs="Arial"/>
                <w:szCs w:val="22"/>
                <w:lang w:val="en-CA"/>
              </w:rPr>
            </w:pPr>
            <w:r w:rsidRPr="00E8050B">
              <w:rPr>
                <w:rFonts w:ascii="Arial" w:hAnsi="Arial" w:cs="Arial"/>
                <w:szCs w:val="22"/>
                <w:lang w:val="en-CA"/>
              </w:rPr>
              <w:t>Okay.</w:t>
            </w:r>
          </w:p>
        </w:tc>
      </w:tr>
      <w:tr w:rsidR="00E201A8" w14:paraId="7AB785F0" w14:textId="77777777" w:rsidTr="004737DC">
        <w:tc>
          <w:tcPr>
            <w:tcW w:w="283" w:type="dxa"/>
          </w:tcPr>
          <w:p w14:paraId="298F2858" w14:textId="77777777" w:rsidR="00844586" w:rsidRPr="001533DE" w:rsidRDefault="00844586" w:rsidP="004737DC">
            <w:pPr>
              <w:pStyle w:val="Transcription"/>
              <w:spacing w:line="240" w:lineRule="auto"/>
              <w:rPr>
                <w:rFonts w:ascii="Arial" w:hAnsi="Arial" w:cs="Arial"/>
                <w:szCs w:val="22"/>
              </w:rPr>
            </w:pPr>
          </w:p>
        </w:tc>
        <w:tc>
          <w:tcPr>
            <w:tcW w:w="7939" w:type="dxa"/>
          </w:tcPr>
          <w:p w14:paraId="740B909B" w14:textId="5DC7FD5F" w:rsidR="00844586" w:rsidRPr="00E8050B" w:rsidRDefault="003A6212" w:rsidP="004737DC">
            <w:pPr>
              <w:pStyle w:val="Transcription"/>
              <w:keepNext/>
              <w:spacing w:line="240" w:lineRule="auto"/>
              <w:ind w:right="74"/>
              <w:rPr>
                <w:rFonts w:ascii="Arial" w:hAnsi="Arial" w:cs="Arial"/>
                <w:szCs w:val="22"/>
                <w:lang w:val="en-CA"/>
              </w:rPr>
            </w:pPr>
            <w:r w:rsidRPr="00E8050B">
              <w:rPr>
                <w:rFonts w:ascii="Arial" w:hAnsi="Arial" w:cs="Arial"/>
                <w:szCs w:val="22"/>
                <w:lang w:val="en-CA"/>
              </w:rPr>
              <w:t>By Mtre Roy</w:t>
            </w:r>
          </w:p>
        </w:tc>
      </w:tr>
      <w:tr w:rsidR="00E201A8" w:rsidRPr="003A6212" w14:paraId="0152DF85" w14:textId="77777777" w:rsidTr="004737DC">
        <w:tc>
          <w:tcPr>
            <w:tcW w:w="283" w:type="dxa"/>
          </w:tcPr>
          <w:p w14:paraId="6D9A3D4C" w14:textId="50D5D5E1" w:rsidR="00844586" w:rsidRPr="00E8050B" w:rsidRDefault="003A6212" w:rsidP="004737DC">
            <w:pPr>
              <w:pStyle w:val="Transcription"/>
              <w:spacing w:line="240" w:lineRule="auto"/>
              <w:rPr>
                <w:rFonts w:ascii="Arial" w:hAnsi="Arial" w:cs="Arial"/>
                <w:szCs w:val="22"/>
              </w:rPr>
            </w:pPr>
            <w:r w:rsidRPr="00E8050B">
              <w:rPr>
                <w:rFonts w:ascii="Arial" w:hAnsi="Arial" w:cs="Arial"/>
                <w:szCs w:val="22"/>
              </w:rPr>
              <w:t>Q</w:t>
            </w:r>
          </w:p>
        </w:tc>
        <w:tc>
          <w:tcPr>
            <w:tcW w:w="7939" w:type="dxa"/>
          </w:tcPr>
          <w:p w14:paraId="512E8937" w14:textId="0A0001AD" w:rsidR="00844586" w:rsidRPr="003A6212" w:rsidRDefault="003A6212" w:rsidP="004737DC">
            <w:pPr>
              <w:pStyle w:val="Transcription"/>
              <w:spacing w:line="240" w:lineRule="auto"/>
              <w:rPr>
                <w:rFonts w:ascii="Arial" w:hAnsi="Arial" w:cs="Arial"/>
                <w:szCs w:val="22"/>
                <w:lang w:val="en-CA"/>
              </w:rPr>
            </w:pPr>
            <w:r w:rsidRPr="003A6212">
              <w:rPr>
                <w:rFonts w:ascii="Arial" w:hAnsi="Arial" w:cs="Arial"/>
                <w:szCs w:val="22"/>
                <w:lang w:val="en-CA"/>
              </w:rPr>
              <w:t>But we will come back to it, but do you agree with me that the transaction</w:t>
            </w:r>
            <w:r w:rsidR="0084114F" w:rsidRPr="003A6212">
              <w:rPr>
                <w:rFonts w:ascii="Arial" w:hAnsi="Arial" w:cs="Arial"/>
                <w:szCs w:val="22"/>
                <w:lang w:val="en-CA"/>
              </w:rPr>
              <w:t xml:space="preserve"> </w:t>
            </w:r>
            <w:r w:rsidRPr="003A6212">
              <w:rPr>
                <w:rFonts w:ascii="Arial" w:hAnsi="Arial" w:cs="Arial"/>
                <w:szCs w:val="22"/>
                <w:lang w:val="en-CA"/>
              </w:rPr>
              <w:t xml:space="preserve">... first, </w:t>
            </w:r>
            <w:r w:rsidRPr="00072A3C">
              <w:rPr>
                <w:rFonts w:ascii="Arial" w:hAnsi="Arial" w:cs="Arial"/>
                <w:szCs w:val="22"/>
                <w:u w:val="single"/>
                <w:lang w:val="en-CA"/>
              </w:rPr>
              <w:t xml:space="preserve">had you already been mandated to start the documentation for the sale of </w:t>
            </w:r>
            <w:r w:rsidR="00F319D1" w:rsidRPr="00072A3C">
              <w:rPr>
                <w:rFonts w:ascii="Arial" w:hAnsi="Arial" w:cs="Arial"/>
                <w:szCs w:val="22"/>
                <w:u w:val="single"/>
                <w:lang w:val="en-CA"/>
              </w:rPr>
              <w:t xml:space="preserve">the </w:t>
            </w:r>
            <w:r w:rsidRPr="00072A3C">
              <w:rPr>
                <w:rFonts w:ascii="Arial" w:hAnsi="Arial" w:cs="Arial"/>
                <w:szCs w:val="22"/>
                <w:u w:val="single"/>
                <w:lang w:val="en-CA"/>
              </w:rPr>
              <w:t>assets?</w:t>
            </w:r>
          </w:p>
        </w:tc>
      </w:tr>
      <w:tr w:rsidR="00E201A8" w:rsidRPr="003A6212" w14:paraId="6920EE77" w14:textId="77777777" w:rsidTr="004737DC">
        <w:tc>
          <w:tcPr>
            <w:tcW w:w="283" w:type="dxa"/>
          </w:tcPr>
          <w:p w14:paraId="6355B14E" w14:textId="235BB0D5" w:rsidR="00844586" w:rsidRPr="00E8050B" w:rsidRDefault="003A6212" w:rsidP="004737DC">
            <w:pPr>
              <w:pStyle w:val="Transcription"/>
              <w:spacing w:line="240" w:lineRule="auto"/>
              <w:rPr>
                <w:rFonts w:ascii="Arial" w:hAnsi="Arial" w:cs="Arial"/>
                <w:szCs w:val="22"/>
              </w:rPr>
            </w:pPr>
            <w:r w:rsidRPr="00E8050B">
              <w:rPr>
                <w:rFonts w:ascii="Arial" w:hAnsi="Arial" w:cs="Arial"/>
                <w:szCs w:val="22"/>
              </w:rPr>
              <w:t>A</w:t>
            </w:r>
          </w:p>
        </w:tc>
        <w:tc>
          <w:tcPr>
            <w:tcW w:w="7939" w:type="dxa"/>
          </w:tcPr>
          <w:p w14:paraId="697FDBD2" w14:textId="4061A6B2" w:rsidR="00844586" w:rsidRPr="003A6212" w:rsidRDefault="003A6212" w:rsidP="004737DC">
            <w:pPr>
              <w:pStyle w:val="Transcription"/>
              <w:spacing w:line="240" w:lineRule="auto"/>
              <w:rPr>
                <w:rFonts w:ascii="Arial" w:hAnsi="Arial" w:cs="Arial"/>
                <w:szCs w:val="22"/>
                <w:lang w:val="en-CA"/>
              </w:rPr>
            </w:pPr>
            <w:r w:rsidRPr="00E8050B">
              <w:rPr>
                <w:rFonts w:ascii="Arial" w:hAnsi="Arial" w:cs="Arial"/>
                <w:szCs w:val="22"/>
                <w:lang w:val="en-CA"/>
              </w:rPr>
              <w:t>No.</w:t>
            </w:r>
            <w:r w:rsidR="0084114F" w:rsidRPr="003A6212">
              <w:rPr>
                <w:rFonts w:ascii="Arial" w:hAnsi="Arial" w:cs="Arial"/>
                <w:szCs w:val="22"/>
                <w:lang w:val="en-CA"/>
              </w:rPr>
              <w:t xml:space="preserve"> </w:t>
            </w:r>
            <w:r w:rsidRPr="003A6212">
              <w:rPr>
                <w:rFonts w:ascii="Arial" w:hAnsi="Arial" w:cs="Arial"/>
                <w:szCs w:val="22"/>
                <w:lang w:val="en-CA"/>
              </w:rPr>
              <w:t xml:space="preserve">No, because </w:t>
            </w:r>
            <w:r w:rsidRPr="003A6212">
              <w:rPr>
                <w:rFonts w:ascii="Arial" w:hAnsi="Arial" w:cs="Arial"/>
                <w:szCs w:val="22"/>
                <w:u w:val="single"/>
                <w:lang w:val="en-CA"/>
              </w:rPr>
              <w:t>we did not yet know how the asset transfer would take place</w:t>
            </w:r>
            <w:r w:rsidRPr="003A6212">
              <w:rPr>
                <w:rFonts w:ascii="Arial" w:hAnsi="Arial" w:cs="Arial"/>
                <w:szCs w:val="22"/>
                <w:lang w:val="en-CA"/>
              </w:rPr>
              <w:t>.</w:t>
            </w:r>
          </w:p>
        </w:tc>
      </w:tr>
      <w:tr w:rsidR="00E201A8" w14:paraId="78F62D55" w14:textId="77777777" w:rsidTr="004737DC">
        <w:tc>
          <w:tcPr>
            <w:tcW w:w="283" w:type="dxa"/>
          </w:tcPr>
          <w:p w14:paraId="2F6929A4" w14:textId="48EDDE27" w:rsidR="00844586" w:rsidRPr="00E8050B" w:rsidRDefault="003A6212" w:rsidP="004737DC">
            <w:pPr>
              <w:pStyle w:val="Transcription"/>
              <w:spacing w:line="240" w:lineRule="auto"/>
              <w:rPr>
                <w:rFonts w:ascii="Arial" w:hAnsi="Arial" w:cs="Arial"/>
                <w:szCs w:val="22"/>
              </w:rPr>
            </w:pPr>
            <w:r w:rsidRPr="00E8050B">
              <w:rPr>
                <w:rFonts w:ascii="Arial" w:hAnsi="Arial" w:cs="Arial"/>
                <w:szCs w:val="22"/>
              </w:rPr>
              <w:t>Q</w:t>
            </w:r>
          </w:p>
        </w:tc>
        <w:tc>
          <w:tcPr>
            <w:tcW w:w="7939" w:type="dxa"/>
          </w:tcPr>
          <w:p w14:paraId="706F4D52" w14:textId="03276B37" w:rsidR="00844586" w:rsidRPr="00E8050B" w:rsidRDefault="003A6212" w:rsidP="004737DC">
            <w:pPr>
              <w:pStyle w:val="Transcription"/>
              <w:spacing w:line="240" w:lineRule="auto"/>
              <w:rPr>
                <w:rFonts w:ascii="Arial" w:hAnsi="Arial" w:cs="Arial"/>
                <w:szCs w:val="22"/>
              </w:rPr>
            </w:pPr>
            <w:proofErr w:type="spellStart"/>
            <w:r w:rsidRPr="00E8050B">
              <w:rPr>
                <w:rFonts w:ascii="Arial" w:hAnsi="Arial" w:cs="Arial"/>
                <w:szCs w:val="22"/>
              </w:rPr>
              <w:t>Okay</w:t>
            </w:r>
            <w:proofErr w:type="spellEnd"/>
            <w:r w:rsidRPr="00E8050B">
              <w:rPr>
                <w:rFonts w:ascii="Arial" w:hAnsi="Arial" w:cs="Arial"/>
                <w:szCs w:val="22"/>
              </w:rPr>
              <w:t>.</w:t>
            </w:r>
          </w:p>
        </w:tc>
      </w:tr>
      <w:tr w:rsidR="00E201A8" w:rsidRPr="003A6212" w14:paraId="5A16239D" w14:textId="77777777" w:rsidTr="004737DC">
        <w:tc>
          <w:tcPr>
            <w:tcW w:w="283" w:type="dxa"/>
          </w:tcPr>
          <w:p w14:paraId="17362179" w14:textId="3C5B4829" w:rsidR="00844586" w:rsidRPr="00E8050B" w:rsidRDefault="003A6212" w:rsidP="004737DC">
            <w:pPr>
              <w:pStyle w:val="Transcription"/>
              <w:spacing w:line="240" w:lineRule="auto"/>
              <w:rPr>
                <w:rFonts w:ascii="Arial" w:hAnsi="Arial" w:cs="Arial"/>
                <w:szCs w:val="22"/>
              </w:rPr>
            </w:pPr>
            <w:r w:rsidRPr="00E8050B">
              <w:rPr>
                <w:rFonts w:ascii="Arial" w:hAnsi="Arial" w:cs="Arial"/>
                <w:szCs w:val="22"/>
              </w:rPr>
              <w:t>A</w:t>
            </w:r>
          </w:p>
        </w:tc>
        <w:tc>
          <w:tcPr>
            <w:tcW w:w="7939" w:type="dxa"/>
          </w:tcPr>
          <w:p w14:paraId="12AEE1B9" w14:textId="19422543" w:rsidR="00844586" w:rsidRPr="003A6212" w:rsidRDefault="003A6212" w:rsidP="004737DC">
            <w:pPr>
              <w:pStyle w:val="Transcription"/>
              <w:spacing w:line="240" w:lineRule="auto"/>
              <w:rPr>
                <w:rFonts w:ascii="Arial" w:hAnsi="Arial" w:cs="Arial"/>
                <w:szCs w:val="22"/>
                <w:lang w:val="en-CA"/>
              </w:rPr>
            </w:pPr>
            <w:r w:rsidRPr="003A6212">
              <w:rPr>
                <w:rFonts w:ascii="Arial" w:hAnsi="Arial" w:cs="Arial"/>
                <w:szCs w:val="22"/>
                <w:lang w:val="en-CA"/>
              </w:rPr>
              <w:t>So, it could just as easily be done as</w:t>
            </w:r>
            <w:r w:rsidR="00F319D1">
              <w:rPr>
                <w:rFonts w:ascii="Arial" w:hAnsi="Arial" w:cs="Arial"/>
                <w:szCs w:val="22"/>
                <w:lang w:val="en-CA"/>
              </w:rPr>
              <w:t xml:space="preserve"> </w:t>
            </w:r>
            <w:r w:rsidRPr="003A6212">
              <w:rPr>
                <w:rFonts w:ascii="Arial" w:hAnsi="Arial" w:cs="Arial"/>
                <w:szCs w:val="22"/>
                <w:lang w:val="en-CA"/>
              </w:rPr>
              <w:t>... a transfer.</w:t>
            </w:r>
            <w:r w:rsidR="0084114F" w:rsidRPr="003A6212">
              <w:rPr>
                <w:rFonts w:ascii="Arial" w:hAnsi="Arial" w:cs="Arial"/>
                <w:szCs w:val="22"/>
                <w:lang w:val="en-CA"/>
              </w:rPr>
              <w:t xml:space="preserve"> </w:t>
            </w:r>
            <w:r w:rsidRPr="003A6212">
              <w:rPr>
                <w:rFonts w:ascii="Arial" w:hAnsi="Arial" w:cs="Arial"/>
                <w:szCs w:val="22"/>
                <w:lang w:val="en-CA"/>
              </w:rPr>
              <w:t xml:space="preserve">But as I said earlier, </w:t>
            </w:r>
            <w:r w:rsidRPr="00072A3C">
              <w:rPr>
                <w:rFonts w:ascii="Arial" w:hAnsi="Arial" w:cs="Arial"/>
                <w:szCs w:val="22"/>
                <w:u w:val="single"/>
                <w:lang w:val="en-CA"/>
              </w:rPr>
              <w:t>it all depend</w:t>
            </w:r>
            <w:r w:rsidR="005B6A8D" w:rsidRPr="00072A3C">
              <w:rPr>
                <w:rFonts w:ascii="Arial" w:hAnsi="Arial" w:cs="Arial"/>
                <w:szCs w:val="22"/>
                <w:u w:val="single"/>
                <w:lang w:val="en-CA"/>
              </w:rPr>
              <w:t>ed</w:t>
            </w:r>
            <w:r w:rsidRPr="00072A3C">
              <w:rPr>
                <w:rFonts w:ascii="Arial" w:hAnsi="Arial" w:cs="Arial"/>
                <w:szCs w:val="22"/>
                <w:u w:val="single"/>
                <w:lang w:val="en-CA"/>
              </w:rPr>
              <w:t xml:space="preserve"> on how the discussions </w:t>
            </w:r>
            <w:r w:rsidR="005B6A8D" w:rsidRPr="00072A3C">
              <w:rPr>
                <w:rFonts w:ascii="Arial" w:hAnsi="Arial" w:cs="Arial"/>
                <w:szCs w:val="22"/>
                <w:u w:val="single"/>
                <w:lang w:val="en-CA"/>
              </w:rPr>
              <w:t>went</w:t>
            </w:r>
            <w:r w:rsidRPr="00072A3C">
              <w:rPr>
                <w:rFonts w:ascii="Arial" w:hAnsi="Arial" w:cs="Arial"/>
                <w:szCs w:val="22"/>
                <w:u w:val="single"/>
                <w:lang w:val="en-CA"/>
              </w:rPr>
              <w:t xml:space="preserve"> with the</w:t>
            </w:r>
            <w:r w:rsidR="0084114F" w:rsidRPr="003A6212">
              <w:rPr>
                <w:rFonts w:ascii="Arial" w:hAnsi="Arial" w:cs="Arial"/>
                <w:szCs w:val="22"/>
                <w:u w:val="single"/>
                <w:lang w:val="en-CA"/>
              </w:rPr>
              <w:t xml:space="preserve"> </w:t>
            </w:r>
            <w:r>
              <w:rPr>
                <w:rFonts w:ascii="Arial" w:hAnsi="Arial" w:cs="Arial"/>
                <w:szCs w:val="22"/>
                <w:u w:val="single"/>
                <w:lang w:val="en-CA"/>
              </w:rPr>
              <w:t>... or how the strategy would be formulated</w:t>
            </w:r>
            <w:r w:rsidRPr="00072A3C">
              <w:rPr>
                <w:rFonts w:ascii="Arial" w:hAnsi="Arial" w:cs="Arial"/>
                <w:szCs w:val="22"/>
                <w:lang w:val="en-CA"/>
              </w:rPr>
              <w:t xml:space="preserve"> with respect to </w:t>
            </w:r>
            <w:r w:rsidR="00F319D1">
              <w:rPr>
                <w:rFonts w:ascii="Arial" w:hAnsi="Arial" w:cs="Arial"/>
                <w:szCs w:val="22"/>
                <w:lang w:val="en-CA"/>
              </w:rPr>
              <w:t>the ordinary</w:t>
            </w:r>
            <w:r w:rsidRPr="00072A3C">
              <w:rPr>
                <w:rFonts w:ascii="Arial" w:hAnsi="Arial" w:cs="Arial"/>
                <w:szCs w:val="22"/>
                <w:lang w:val="en-CA"/>
              </w:rPr>
              <w:t xml:space="preserve"> creditors, the</w:t>
            </w:r>
            <w:r w:rsidR="0084114F" w:rsidRPr="003A6212">
              <w:rPr>
                <w:rFonts w:ascii="Arial" w:hAnsi="Arial" w:cs="Arial"/>
                <w:szCs w:val="22"/>
                <w:lang w:val="en-CA"/>
              </w:rPr>
              <w:t xml:space="preserve"> </w:t>
            </w:r>
            <w:r>
              <w:rPr>
                <w:rFonts w:ascii="Arial" w:hAnsi="Arial" w:cs="Arial"/>
                <w:szCs w:val="22"/>
                <w:lang w:val="en-CA"/>
              </w:rPr>
              <w:t>...</w:t>
            </w:r>
            <w:r w:rsidR="0084114F" w:rsidRPr="003A6212">
              <w:rPr>
                <w:rFonts w:ascii="Arial" w:hAnsi="Arial" w:cs="Arial"/>
                <w:szCs w:val="22"/>
                <w:lang w:val="en-CA"/>
              </w:rPr>
              <w:t xml:space="preserve"> </w:t>
            </w:r>
            <w:r w:rsidRPr="003A6212">
              <w:rPr>
                <w:rFonts w:ascii="Arial" w:hAnsi="Arial" w:cs="Arial"/>
                <w:szCs w:val="22"/>
                <w:lang w:val="en-CA"/>
              </w:rPr>
              <w:t xml:space="preserve">In fact, </w:t>
            </w:r>
            <w:r w:rsidRPr="00072A3C">
              <w:rPr>
                <w:rFonts w:ascii="Arial" w:hAnsi="Arial" w:cs="Arial"/>
                <w:szCs w:val="22"/>
                <w:u w:val="single"/>
                <w:lang w:val="en-CA"/>
              </w:rPr>
              <w:t>it could also have taken place through a bankruptcy process</w:t>
            </w:r>
            <w:r w:rsidRPr="003A6212">
              <w:rPr>
                <w:rFonts w:ascii="Arial" w:hAnsi="Arial" w:cs="Arial"/>
                <w:szCs w:val="22"/>
                <w:lang w:val="en-CA"/>
              </w:rPr>
              <w:t>, which is different</w:t>
            </w:r>
            <w:r w:rsidR="0084114F" w:rsidRPr="003A6212">
              <w:rPr>
                <w:rFonts w:ascii="Arial" w:hAnsi="Arial" w:cs="Arial"/>
                <w:szCs w:val="22"/>
                <w:lang w:val="en-CA"/>
              </w:rPr>
              <w:t xml:space="preserve"> </w:t>
            </w:r>
            <w:r w:rsidRPr="00E8050B">
              <w:rPr>
                <w:rFonts w:ascii="Arial" w:hAnsi="Arial" w:cs="Arial"/>
                <w:szCs w:val="22"/>
                <w:lang w:val="en-CA"/>
              </w:rPr>
              <w:t>... which is a different path.</w:t>
            </w:r>
          </w:p>
        </w:tc>
      </w:tr>
      <w:tr w:rsidR="00E201A8" w:rsidRPr="003A6212" w14:paraId="6D446397" w14:textId="77777777" w:rsidTr="004737DC">
        <w:tc>
          <w:tcPr>
            <w:tcW w:w="283" w:type="dxa"/>
          </w:tcPr>
          <w:p w14:paraId="1E611AB9" w14:textId="2991C419" w:rsidR="00844586" w:rsidRPr="00E8050B" w:rsidRDefault="003A6212" w:rsidP="004737DC">
            <w:pPr>
              <w:pStyle w:val="Transcription"/>
              <w:spacing w:line="240" w:lineRule="auto"/>
              <w:rPr>
                <w:rFonts w:ascii="Arial" w:hAnsi="Arial" w:cs="Arial"/>
                <w:szCs w:val="22"/>
              </w:rPr>
            </w:pPr>
            <w:r w:rsidRPr="00E8050B">
              <w:rPr>
                <w:rFonts w:ascii="Arial" w:hAnsi="Arial" w:cs="Arial"/>
                <w:szCs w:val="22"/>
              </w:rPr>
              <w:t>Q</w:t>
            </w:r>
          </w:p>
        </w:tc>
        <w:tc>
          <w:tcPr>
            <w:tcW w:w="7939" w:type="dxa"/>
          </w:tcPr>
          <w:p w14:paraId="0E4AF923" w14:textId="09844B97" w:rsidR="00844586" w:rsidRPr="003A6212" w:rsidRDefault="003A6212" w:rsidP="004737DC">
            <w:pPr>
              <w:pStyle w:val="Transcription"/>
              <w:spacing w:line="240" w:lineRule="auto"/>
              <w:rPr>
                <w:rFonts w:ascii="Arial" w:hAnsi="Arial" w:cs="Arial"/>
                <w:szCs w:val="22"/>
                <w:lang w:val="en-CA"/>
              </w:rPr>
            </w:pPr>
            <w:r w:rsidRPr="003A6212">
              <w:rPr>
                <w:rFonts w:ascii="Arial" w:hAnsi="Arial" w:cs="Arial"/>
                <w:szCs w:val="22"/>
                <w:lang w:val="en-CA"/>
              </w:rPr>
              <w:t xml:space="preserve">But you agree with me that when we refer to the planned transaction in agreement P-5 </w:t>
            </w:r>
            <w:r w:rsidR="00D63DC2">
              <w:rPr>
                <w:rFonts w:ascii="Arial" w:hAnsi="Arial" w:cs="Arial"/>
                <w:szCs w:val="22"/>
                <w:lang w:val="en-CA"/>
              </w:rPr>
              <w:t xml:space="preserve">that </w:t>
            </w:r>
            <w:r w:rsidRPr="003A6212">
              <w:rPr>
                <w:rFonts w:ascii="Arial" w:hAnsi="Arial" w:cs="Arial"/>
                <w:szCs w:val="22"/>
                <w:lang w:val="en-CA"/>
              </w:rPr>
              <w:t>we saw</w:t>
            </w:r>
            <w:r w:rsidR="0084114F" w:rsidRPr="003A6212">
              <w:rPr>
                <w:rFonts w:ascii="Arial" w:hAnsi="Arial" w:cs="Arial"/>
                <w:szCs w:val="22"/>
                <w:lang w:val="en-CA"/>
              </w:rPr>
              <w:t xml:space="preserve"> </w:t>
            </w:r>
            <w:r w:rsidRPr="003A6212">
              <w:rPr>
                <w:rFonts w:ascii="Arial" w:hAnsi="Arial" w:cs="Arial"/>
                <w:szCs w:val="22"/>
                <w:lang w:val="en-CA"/>
              </w:rPr>
              <w:t>...</w:t>
            </w:r>
          </w:p>
        </w:tc>
      </w:tr>
      <w:tr w:rsidR="00E201A8" w14:paraId="243B3DA5" w14:textId="77777777" w:rsidTr="004737DC">
        <w:tc>
          <w:tcPr>
            <w:tcW w:w="283" w:type="dxa"/>
          </w:tcPr>
          <w:p w14:paraId="73AD9AAD" w14:textId="6C23A778" w:rsidR="00844586" w:rsidRPr="00E8050B" w:rsidRDefault="003A6212" w:rsidP="004737DC">
            <w:pPr>
              <w:pStyle w:val="Transcription"/>
              <w:spacing w:line="240" w:lineRule="auto"/>
              <w:rPr>
                <w:rFonts w:ascii="Arial" w:hAnsi="Arial" w:cs="Arial"/>
                <w:szCs w:val="22"/>
              </w:rPr>
            </w:pPr>
            <w:r w:rsidRPr="00E8050B">
              <w:rPr>
                <w:rFonts w:ascii="Arial" w:hAnsi="Arial" w:cs="Arial"/>
                <w:szCs w:val="22"/>
              </w:rPr>
              <w:t>A</w:t>
            </w:r>
          </w:p>
        </w:tc>
        <w:tc>
          <w:tcPr>
            <w:tcW w:w="7939" w:type="dxa"/>
          </w:tcPr>
          <w:p w14:paraId="6613E4BE" w14:textId="37B4D396" w:rsidR="00844586" w:rsidRPr="00E8050B" w:rsidRDefault="003A6212" w:rsidP="004737DC">
            <w:pPr>
              <w:pStyle w:val="Transcription"/>
              <w:spacing w:line="240" w:lineRule="auto"/>
              <w:rPr>
                <w:rFonts w:ascii="Arial" w:hAnsi="Arial" w:cs="Arial"/>
                <w:szCs w:val="22"/>
                <w:lang w:val="en-CA"/>
              </w:rPr>
            </w:pPr>
            <w:r w:rsidRPr="00E8050B">
              <w:rPr>
                <w:rFonts w:ascii="Arial" w:hAnsi="Arial" w:cs="Arial"/>
                <w:szCs w:val="22"/>
                <w:lang w:val="en-CA"/>
              </w:rPr>
              <w:t>Yes.</w:t>
            </w:r>
          </w:p>
        </w:tc>
      </w:tr>
      <w:tr w:rsidR="00E201A8" w:rsidRPr="003A6212" w14:paraId="1077E390" w14:textId="77777777" w:rsidTr="004737DC">
        <w:tc>
          <w:tcPr>
            <w:tcW w:w="283" w:type="dxa"/>
          </w:tcPr>
          <w:p w14:paraId="0FB896A5" w14:textId="6DBDC072" w:rsidR="00844586" w:rsidRPr="00E8050B" w:rsidRDefault="003A6212" w:rsidP="004737DC">
            <w:pPr>
              <w:pStyle w:val="Transcription"/>
              <w:spacing w:line="240" w:lineRule="auto"/>
              <w:rPr>
                <w:rFonts w:ascii="Arial" w:hAnsi="Arial" w:cs="Arial"/>
                <w:szCs w:val="22"/>
              </w:rPr>
            </w:pPr>
            <w:r w:rsidRPr="00E8050B">
              <w:rPr>
                <w:rFonts w:ascii="Arial" w:hAnsi="Arial" w:cs="Arial"/>
                <w:szCs w:val="22"/>
              </w:rPr>
              <w:t>Q</w:t>
            </w:r>
          </w:p>
        </w:tc>
        <w:tc>
          <w:tcPr>
            <w:tcW w:w="7939" w:type="dxa"/>
          </w:tcPr>
          <w:p w14:paraId="3777F828" w14:textId="1E73A198" w:rsidR="00844586" w:rsidRPr="003A6212" w:rsidRDefault="003A6212" w:rsidP="004737DC">
            <w:pPr>
              <w:pStyle w:val="Transcription"/>
              <w:spacing w:line="240" w:lineRule="auto"/>
              <w:rPr>
                <w:rFonts w:ascii="Arial" w:hAnsi="Arial" w:cs="Arial"/>
                <w:szCs w:val="22"/>
                <w:lang w:val="en-CA"/>
              </w:rPr>
            </w:pPr>
            <w:r w:rsidRPr="003A6212">
              <w:rPr>
                <w:rFonts w:ascii="Arial" w:hAnsi="Arial" w:cs="Arial"/>
                <w:szCs w:val="22"/>
                <w:lang w:val="en-CA"/>
              </w:rPr>
              <w:t>... at no point is there any reference to the fact that it could happen through bankruptcy?</w:t>
            </w:r>
          </w:p>
        </w:tc>
      </w:tr>
      <w:tr w:rsidR="00E201A8" w:rsidRPr="003A6212" w14:paraId="3AA292C8" w14:textId="77777777" w:rsidTr="004737DC">
        <w:tc>
          <w:tcPr>
            <w:tcW w:w="283" w:type="dxa"/>
          </w:tcPr>
          <w:p w14:paraId="6261B44C" w14:textId="01BA69FA" w:rsidR="00844586" w:rsidRPr="00E8050B" w:rsidRDefault="003A6212" w:rsidP="004737DC">
            <w:pPr>
              <w:pStyle w:val="Transcription"/>
              <w:spacing w:line="240" w:lineRule="auto"/>
              <w:rPr>
                <w:rFonts w:ascii="Arial" w:hAnsi="Arial" w:cs="Arial"/>
                <w:szCs w:val="22"/>
              </w:rPr>
            </w:pPr>
            <w:r w:rsidRPr="00E8050B">
              <w:rPr>
                <w:rFonts w:ascii="Arial" w:hAnsi="Arial" w:cs="Arial"/>
                <w:szCs w:val="22"/>
              </w:rPr>
              <w:t>A</w:t>
            </w:r>
          </w:p>
        </w:tc>
        <w:tc>
          <w:tcPr>
            <w:tcW w:w="7939" w:type="dxa"/>
          </w:tcPr>
          <w:p w14:paraId="594EAF29" w14:textId="37CCA0B8" w:rsidR="00844586" w:rsidRPr="003A6212" w:rsidRDefault="003A6212" w:rsidP="004737DC">
            <w:pPr>
              <w:pStyle w:val="Transcription"/>
              <w:spacing w:line="240" w:lineRule="auto"/>
              <w:rPr>
                <w:rFonts w:ascii="Arial" w:hAnsi="Arial" w:cs="Arial"/>
                <w:szCs w:val="22"/>
                <w:lang w:val="en-CA"/>
              </w:rPr>
            </w:pPr>
            <w:r w:rsidRPr="003A6212">
              <w:rPr>
                <w:rFonts w:ascii="Arial" w:hAnsi="Arial" w:cs="Arial"/>
                <w:szCs w:val="22"/>
                <w:u w:val="single"/>
                <w:lang w:val="en-CA"/>
              </w:rPr>
              <w:t>Well, at no point do we state how the transfer would be done.</w:t>
            </w:r>
          </w:p>
        </w:tc>
      </w:tr>
      <w:tr w:rsidR="00E201A8" w:rsidRPr="003A6212" w14:paraId="1955571D" w14:textId="77777777" w:rsidTr="004737DC">
        <w:tc>
          <w:tcPr>
            <w:tcW w:w="283" w:type="dxa"/>
          </w:tcPr>
          <w:p w14:paraId="09E5E929" w14:textId="7EC81DE7" w:rsidR="00844586" w:rsidRPr="00E8050B" w:rsidRDefault="003A6212" w:rsidP="004737DC">
            <w:pPr>
              <w:pStyle w:val="Transcription"/>
              <w:spacing w:line="240" w:lineRule="auto"/>
              <w:rPr>
                <w:rFonts w:ascii="Arial" w:hAnsi="Arial" w:cs="Arial"/>
                <w:szCs w:val="22"/>
              </w:rPr>
            </w:pPr>
            <w:r w:rsidRPr="00E8050B">
              <w:rPr>
                <w:rFonts w:ascii="Arial" w:hAnsi="Arial" w:cs="Arial"/>
                <w:szCs w:val="22"/>
              </w:rPr>
              <w:t>Q</w:t>
            </w:r>
          </w:p>
        </w:tc>
        <w:tc>
          <w:tcPr>
            <w:tcW w:w="7939" w:type="dxa"/>
          </w:tcPr>
          <w:p w14:paraId="542E8FF4" w14:textId="1F8EA2F8" w:rsidR="00844586" w:rsidRPr="003A6212" w:rsidRDefault="003A6212" w:rsidP="004737DC">
            <w:pPr>
              <w:pStyle w:val="Transcription"/>
              <w:spacing w:line="240" w:lineRule="auto"/>
              <w:rPr>
                <w:rFonts w:ascii="Arial" w:hAnsi="Arial" w:cs="Arial"/>
                <w:szCs w:val="22"/>
                <w:lang w:val="en-CA"/>
              </w:rPr>
            </w:pPr>
            <w:r w:rsidRPr="003A6212">
              <w:rPr>
                <w:rFonts w:ascii="Arial" w:hAnsi="Arial" w:cs="Arial"/>
                <w:szCs w:val="22"/>
                <w:lang w:val="en-CA"/>
              </w:rPr>
              <w:t>And you agree with me that the planned transaction, there was no date for it in your document?</w:t>
            </w:r>
          </w:p>
        </w:tc>
      </w:tr>
      <w:tr w:rsidR="00E201A8" w:rsidRPr="003A6212" w14:paraId="3DEA85C5" w14:textId="77777777" w:rsidTr="004737DC">
        <w:tc>
          <w:tcPr>
            <w:tcW w:w="283" w:type="dxa"/>
          </w:tcPr>
          <w:p w14:paraId="79FBB458" w14:textId="419E9E6B" w:rsidR="00844586" w:rsidRPr="00E8050B" w:rsidRDefault="003A6212" w:rsidP="004737DC">
            <w:pPr>
              <w:pStyle w:val="Transcription"/>
              <w:spacing w:line="240" w:lineRule="auto"/>
              <w:rPr>
                <w:rFonts w:ascii="Arial" w:hAnsi="Arial" w:cs="Arial"/>
                <w:szCs w:val="22"/>
              </w:rPr>
            </w:pPr>
            <w:r w:rsidRPr="00E8050B">
              <w:rPr>
                <w:rFonts w:ascii="Arial" w:hAnsi="Arial" w:cs="Arial"/>
                <w:szCs w:val="22"/>
              </w:rPr>
              <w:lastRenderedPageBreak/>
              <w:t>A</w:t>
            </w:r>
          </w:p>
        </w:tc>
        <w:tc>
          <w:tcPr>
            <w:tcW w:w="7939" w:type="dxa"/>
          </w:tcPr>
          <w:p w14:paraId="484298BE" w14:textId="74F5F7DB" w:rsidR="00844586" w:rsidRPr="00E8050B" w:rsidRDefault="003A6212" w:rsidP="004737DC">
            <w:pPr>
              <w:pStyle w:val="Transcription"/>
              <w:spacing w:line="240" w:lineRule="auto"/>
              <w:rPr>
                <w:rFonts w:ascii="Arial" w:hAnsi="Arial" w:cs="Arial"/>
                <w:szCs w:val="22"/>
                <w:lang w:val="en-CA"/>
              </w:rPr>
            </w:pPr>
            <w:r w:rsidRPr="00E8050B">
              <w:rPr>
                <w:rFonts w:ascii="Arial" w:hAnsi="Arial" w:cs="Arial"/>
                <w:szCs w:val="22"/>
                <w:u w:val="single"/>
                <w:lang w:val="en-CA"/>
              </w:rPr>
              <w:t>There is no specific date to do it</w:t>
            </w:r>
            <w:r w:rsidRPr="00E8050B">
              <w:rPr>
                <w:rFonts w:ascii="Arial" w:hAnsi="Arial" w:cs="Arial"/>
                <w:szCs w:val="22"/>
                <w:lang w:val="en-CA"/>
              </w:rPr>
              <w:t>.</w:t>
            </w:r>
          </w:p>
        </w:tc>
      </w:tr>
      <w:tr w:rsidR="00E201A8" w:rsidRPr="003A6212" w14:paraId="38204C21" w14:textId="77777777" w:rsidTr="004737DC">
        <w:tc>
          <w:tcPr>
            <w:tcW w:w="283" w:type="dxa"/>
          </w:tcPr>
          <w:p w14:paraId="691A9AC0" w14:textId="213D9965" w:rsidR="00844586" w:rsidRPr="00E8050B" w:rsidRDefault="003A6212" w:rsidP="004737DC">
            <w:pPr>
              <w:pStyle w:val="Transcription"/>
              <w:spacing w:line="240" w:lineRule="auto"/>
              <w:rPr>
                <w:rFonts w:ascii="Arial" w:hAnsi="Arial" w:cs="Arial"/>
                <w:szCs w:val="22"/>
              </w:rPr>
            </w:pPr>
            <w:r w:rsidRPr="00E8050B">
              <w:rPr>
                <w:rFonts w:ascii="Arial" w:hAnsi="Arial" w:cs="Arial"/>
                <w:szCs w:val="22"/>
              </w:rPr>
              <w:t>Q</w:t>
            </w:r>
          </w:p>
        </w:tc>
        <w:tc>
          <w:tcPr>
            <w:tcW w:w="7939" w:type="dxa"/>
          </w:tcPr>
          <w:p w14:paraId="3CAF9CD4" w14:textId="32634DB3" w:rsidR="00844586" w:rsidRPr="001533DE" w:rsidRDefault="003A6212" w:rsidP="004737DC">
            <w:pPr>
              <w:pStyle w:val="Transcription"/>
              <w:spacing w:line="240" w:lineRule="auto"/>
              <w:rPr>
                <w:rFonts w:ascii="Arial" w:hAnsi="Arial" w:cs="Arial"/>
                <w:szCs w:val="22"/>
              </w:rPr>
            </w:pPr>
            <w:r w:rsidRPr="003A6212">
              <w:rPr>
                <w:rFonts w:ascii="Arial" w:hAnsi="Arial" w:cs="Arial"/>
                <w:szCs w:val="22"/>
                <w:lang w:val="en-CA"/>
              </w:rPr>
              <w:t xml:space="preserve">There is no, </w:t>
            </w:r>
            <w:r w:rsidRPr="003A6212">
              <w:rPr>
                <w:rFonts w:ascii="Arial" w:hAnsi="Arial" w:cs="Arial"/>
                <w:szCs w:val="22"/>
                <w:u w:val="single"/>
                <w:lang w:val="en-CA"/>
              </w:rPr>
              <w:t xml:space="preserve">we do not know whether it is the </w:t>
            </w:r>
            <w:r w:rsidR="005B6A8D" w:rsidRPr="003A6212">
              <w:rPr>
                <w:rFonts w:ascii="Arial" w:hAnsi="Arial" w:cs="Arial"/>
                <w:szCs w:val="22"/>
                <w:u w:val="single"/>
                <w:lang w:val="en-CA"/>
              </w:rPr>
              <w:t>purchase</w:t>
            </w:r>
            <w:r w:rsidRPr="003A6212">
              <w:rPr>
                <w:rFonts w:ascii="Arial" w:hAnsi="Arial" w:cs="Arial"/>
                <w:szCs w:val="22"/>
                <w:u w:val="single"/>
                <w:lang w:val="en-CA"/>
              </w:rPr>
              <w:t xml:space="preserve"> of all of the shares, the assets</w:t>
            </w:r>
            <w:r w:rsidRPr="003A6212">
              <w:rPr>
                <w:rFonts w:ascii="Arial" w:hAnsi="Arial" w:cs="Arial"/>
                <w:szCs w:val="22"/>
                <w:lang w:val="en-CA"/>
              </w:rPr>
              <w:t>?</w:t>
            </w:r>
            <w:r w:rsidR="0084114F" w:rsidRPr="003A6212">
              <w:rPr>
                <w:rFonts w:ascii="Arial" w:hAnsi="Arial" w:cs="Arial"/>
                <w:szCs w:val="22"/>
                <w:lang w:val="en-CA"/>
              </w:rPr>
              <w:t xml:space="preserve"> </w:t>
            </w:r>
            <w:r w:rsidR="00D63DC2">
              <w:rPr>
                <w:rFonts w:ascii="Arial" w:hAnsi="Arial" w:cs="Arial"/>
                <w:szCs w:val="22"/>
                <w:lang w:val="en-CA"/>
              </w:rPr>
              <w:t>We don’t</w:t>
            </w:r>
            <w:r w:rsidRPr="005B6A8D">
              <w:rPr>
                <w:rFonts w:ascii="Arial" w:hAnsi="Arial" w:cs="Arial"/>
                <w:szCs w:val="22"/>
                <w:lang w:val="en-CA"/>
              </w:rPr>
              <w:t xml:space="preserve"> know, </w:t>
            </w:r>
            <w:r w:rsidR="00D63DC2">
              <w:rPr>
                <w:rFonts w:ascii="Arial" w:hAnsi="Arial" w:cs="Arial"/>
                <w:szCs w:val="22"/>
                <w:lang w:val="en-CA"/>
              </w:rPr>
              <w:t xml:space="preserve">it </w:t>
            </w:r>
            <w:r w:rsidRPr="005B6A8D">
              <w:rPr>
                <w:rFonts w:ascii="Arial" w:hAnsi="Arial" w:cs="Arial"/>
                <w:szCs w:val="22"/>
                <w:lang w:val="en-CA"/>
              </w:rPr>
              <w:t>isn’t defined there</w:t>
            </w:r>
            <w:r w:rsidRPr="00E8050B">
              <w:rPr>
                <w:rFonts w:ascii="Arial" w:hAnsi="Arial" w:cs="Arial"/>
                <w:szCs w:val="22"/>
              </w:rPr>
              <w:t xml:space="preserve">? </w:t>
            </w:r>
          </w:p>
        </w:tc>
      </w:tr>
      <w:tr w:rsidR="00E201A8" w14:paraId="57DC1D53" w14:textId="77777777" w:rsidTr="004737DC">
        <w:tc>
          <w:tcPr>
            <w:tcW w:w="283" w:type="dxa"/>
          </w:tcPr>
          <w:p w14:paraId="4A156308" w14:textId="06019FEA" w:rsidR="00844586" w:rsidRPr="00E8050B" w:rsidRDefault="003A6212" w:rsidP="004737DC">
            <w:pPr>
              <w:pStyle w:val="Transcription"/>
              <w:spacing w:line="240" w:lineRule="auto"/>
              <w:rPr>
                <w:rFonts w:ascii="Arial" w:hAnsi="Arial" w:cs="Arial"/>
                <w:szCs w:val="22"/>
              </w:rPr>
            </w:pPr>
            <w:r w:rsidRPr="00E8050B">
              <w:rPr>
                <w:rFonts w:ascii="Arial" w:hAnsi="Arial" w:cs="Arial"/>
                <w:szCs w:val="22"/>
              </w:rPr>
              <w:t>A</w:t>
            </w:r>
          </w:p>
        </w:tc>
        <w:tc>
          <w:tcPr>
            <w:tcW w:w="7939" w:type="dxa"/>
          </w:tcPr>
          <w:p w14:paraId="318509F7" w14:textId="566F3BE6" w:rsidR="00844586" w:rsidRPr="001533DE" w:rsidRDefault="003A6212" w:rsidP="004737DC">
            <w:pPr>
              <w:pStyle w:val="Transcription"/>
              <w:spacing w:line="240" w:lineRule="auto"/>
              <w:rPr>
                <w:rFonts w:ascii="Arial" w:hAnsi="Arial" w:cs="Arial"/>
                <w:szCs w:val="22"/>
                <w:u w:val="single"/>
              </w:rPr>
            </w:pPr>
            <w:r w:rsidRPr="00E8050B">
              <w:rPr>
                <w:rFonts w:ascii="Arial" w:hAnsi="Arial" w:cs="Arial"/>
                <w:szCs w:val="22"/>
                <w:u w:val="single"/>
              </w:rPr>
              <w:t>No.</w:t>
            </w:r>
            <w:r w:rsidR="0084114F" w:rsidRPr="001533DE">
              <w:rPr>
                <w:rFonts w:ascii="Arial" w:hAnsi="Arial" w:cs="Arial"/>
                <w:szCs w:val="22"/>
                <w:u w:val="single"/>
              </w:rPr>
              <w:t xml:space="preserve"> </w:t>
            </w:r>
            <w:r w:rsidRPr="00E8050B">
              <w:rPr>
                <w:rFonts w:ascii="Arial" w:hAnsi="Arial" w:cs="Arial"/>
                <w:szCs w:val="22"/>
                <w:u w:val="single"/>
              </w:rPr>
              <w:t>No.</w:t>
            </w:r>
          </w:p>
        </w:tc>
      </w:tr>
      <w:tr w:rsidR="00E201A8" w:rsidRPr="003A6212" w14:paraId="77F40A41" w14:textId="77777777" w:rsidTr="004737DC">
        <w:tc>
          <w:tcPr>
            <w:tcW w:w="283" w:type="dxa"/>
          </w:tcPr>
          <w:p w14:paraId="325DD5C4" w14:textId="4E596A89" w:rsidR="00844586" w:rsidRPr="00E8050B" w:rsidRDefault="003A6212" w:rsidP="004737DC">
            <w:pPr>
              <w:pStyle w:val="Transcription"/>
              <w:spacing w:line="240" w:lineRule="auto"/>
              <w:rPr>
                <w:rFonts w:ascii="Arial" w:hAnsi="Arial" w:cs="Arial"/>
                <w:szCs w:val="22"/>
              </w:rPr>
            </w:pPr>
            <w:r w:rsidRPr="00E8050B">
              <w:rPr>
                <w:rFonts w:ascii="Arial" w:hAnsi="Arial" w:cs="Arial"/>
                <w:szCs w:val="22"/>
              </w:rPr>
              <w:t>Q</w:t>
            </w:r>
          </w:p>
        </w:tc>
        <w:tc>
          <w:tcPr>
            <w:tcW w:w="7939" w:type="dxa"/>
          </w:tcPr>
          <w:p w14:paraId="54DE8729" w14:textId="0465DF1C" w:rsidR="00844586" w:rsidRPr="003A6212" w:rsidRDefault="003A6212" w:rsidP="004737DC">
            <w:pPr>
              <w:pStyle w:val="Transcription"/>
              <w:spacing w:line="240" w:lineRule="auto"/>
              <w:rPr>
                <w:rFonts w:ascii="Arial" w:hAnsi="Arial" w:cs="Arial"/>
                <w:szCs w:val="22"/>
                <w:u w:val="single"/>
                <w:lang w:val="en-CA"/>
              </w:rPr>
            </w:pPr>
            <w:r w:rsidRPr="003A6212">
              <w:rPr>
                <w:rFonts w:ascii="Arial" w:hAnsi="Arial" w:cs="Arial"/>
                <w:szCs w:val="22"/>
                <w:u w:val="single"/>
                <w:lang w:val="en-CA"/>
              </w:rPr>
              <w:t>It was all up for negotiation?</w:t>
            </w:r>
          </w:p>
        </w:tc>
      </w:tr>
      <w:tr w:rsidR="00E201A8" w:rsidRPr="003A6212" w14:paraId="42995D90" w14:textId="77777777" w:rsidTr="004737DC">
        <w:tc>
          <w:tcPr>
            <w:tcW w:w="283" w:type="dxa"/>
          </w:tcPr>
          <w:p w14:paraId="683A6210" w14:textId="2E93F8A1" w:rsidR="00844586" w:rsidRPr="00E8050B" w:rsidRDefault="003A6212" w:rsidP="004737DC">
            <w:pPr>
              <w:pStyle w:val="Transcription"/>
              <w:spacing w:line="240" w:lineRule="auto"/>
              <w:rPr>
                <w:rFonts w:ascii="Arial" w:hAnsi="Arial" w:cs="Arial"/>
                <w:szCs w:val="22"/>
              </w:rPr>
            </w:pPr>
            <w:r w:rsidRPr="00E8050B">
              <w:rPr>
                <w:rFonts w:ascii="Arial" w:hAnsi="Arial" w:cs="Arial"/>
                <w:szCs w:val="22"/>
              </w:rPr>
              <w:t>A</w:t>
            </w:r>
          </w:p>
        </w:tc>
        <w:tc>
          <w:tcPr>
            <w:tcW w:w="7939" w:type="dxa"/>
          </w:tcPr>
          <w:p w14:paraId="22D0E2CB" w14:textId="6F6DC60E" w:rsidR="00844586" w:rsidRPr="003A6212" w:rsidRDefault="003A6212" w:rsidP="004737DC">
            <w:pPr>
              <w:pStyle w:val="Transcription"/>
              <w:spacing w:line="240" w:lineRule="auto"/>
              <w:rPr>
                <w:rFonts w:ascii="Arial" w:hAnsi="Arial" w:cs="Arial"/>
                <w:szCs w:val="22"/>
                <w:u w:val="single"/>
                <w:lang w:val="en-CA"/>
              </w:rPr>
            </w:pPr>
            <w:r w:rsidRPr="00E8050B">
              <w:rPr>
                <w:rFonts w:ascii="Arial" w:hAnsi="Arial" w:cs="Arial"/>
                <w:szCs w:val="22"/>
                <w:u w:val="single"/>
                <w:lang w:val="en-CA"/>
              </w:rPr>
              <w:t>Well, all of that</w:t>
            </w:r>
            <w:r w:rsidR="0084114F" w:rsidRPr="003A6212">
              <w:rPr>
                <w:rFonts w:ascii="Arial" w:hAnsi="Arial" w:cs="Arial"/>
                <w:szCs w:val="22"/>
                <w:u w:val="single"/>
                <w:lang w:val="en-CA"/>
              </w:rPr>
              <w:t xml:space="preserve"> </w:t>
            </w:r>
            <w:r w:rsidRPr="00E8050B">
              <w:rPr>
                <w:rFonts w:ascii="Arial" w:hAnsi="Arial" w:cs="Arial"/>
                <w:szCs w:val="22"/>
                <w:u w:val="single"/>
                <w:lang w:val="en-CA"/>
              </w:rPr>
              <w:t>... it was all to be determined.</w:t>
            </w:r>
          </w:p>
        </w:tc>
      </w:tr>
      <w:tr w:rsidR="00E201A8" w14:paraId="6D6ED40D" w14:textId="77777777" w:rsidTr="004737DC">
        <w:tc>
          <w:tcPr>
            <w:tcW w:w="283" w:type="dxa"/>
          </w:tcPr>
          <w:p w14:paraId="10A732A9" w14:textId="5D83CA98" w:rsidR="00844586" w:rsidRPr="00E8050B" w:rsidRDefault="003A6212" w:rsidP="004737DC">
            <w:pPr>
              <w:pStyle w:val="Transcription"/>
              <w:spacing w:line="240" w:lineRule="auto"/>
              <w:rPr>
                <w:rFonts w:ascii="Arial" w:hAnsi="Arial" w:cs="Arial"/>
                <w:szCs w:val="22"/>
              </w:rPr>
            </w:pPr>
            <w:r w:rsidRPr="00E8050B">
              <w:rPr>
                <w:rFonts w:ascii="Arial" w:hAnsi="Arial" w:cs="Arial"/>
                <w:szCs w:val="22"/>
              </w:rPr>
              <w:t>Q</w:t>
            </w:r>
          </w:p>
        </w:tc>
        <w:tc>
          <w:tcPr>
            <w:tcW w:w="7939" w:type="dxa"/>
          </w:tcPr>
          <w:p w14:paraId="794F2C99" w14:textId="51774695" w:rsidR="00844586" w:rsidRPr="00E8050B" w:rsidRDefault="003A6212" w:rsidP="004737DC">
            <w:pPr>
              <w:pStyle w:val="Transcription"/>
              <w:spacing w:line="240" w:lineRule="auto"/>
              <w:rPr>
                <w:rFonts w:ascii="Arial" w:hAnsi="Arial" w:cs="Arial"/>
                <w:szCs w:val="22"/>
              </w:rPr>
            </w:pPr>
            <w:proofErr w:type="spellStart"/>
            <w:r w:rsidRPr="00E8050B">
              <w:rPr>
                <w:rFonts w:ascii="Arial" w:hAnsi="Arial" w:cs="Arial"/>
                <w:szCs w:val="22"/>
              </w:rPr>
              <w:t>Okay</w:t>
            </w:r>
            <w:proofErr w:type="spellEnd"/>
            <w:r w:rsidRPr="00E8050B">
              <w:rPr>
                <w:rFonts w:ascii="Arial" w:hAnsi="Arial" w:cs="Arial"/>
                <w:szCs w:val="22"/>
              </w:rPr>
              <w:t>.</w:t>
            </w:r>
          </w:p>
        </w:tc>
      </w:tr>
      <w:tr w:rsidR="00E201A8" w:rsidRPr="003A6212" w14:paraId="6E7E437C" w14:textId="77777777" w:rsidTr="004737DC">
        <w:tc>
          <w:tcPr>
            <w:tcW w:w="283" w:type="dxa"/>
          </w:tcPr>
          <w:p w14:paraId="4FC9FB45" w14:textId="0E586EA7" w:rsidR="00844586" w:rsidRPr="00E8050B" w:rsidRDefault="003A6212" w:rsidP="004737DC">
            <w:pPr>
              <w:pStyle w:val="Transcription"/>
              <w:spacing w:line="240" w:lineRule="auto"/>
              <w:rPr>
                <w:rFonts w:ascii="Arial" w:hAnsi="Arial" w:cs="Arial"/>
                <w:szCs w:val="22"/>
              </w:rPr>
            </w:pPr>
            <w:r w:rsidRPr="00E8050B">
              <w:rPr>
                <w:rFonts w:ascii="Arial" w:hAnsi="Arial" w:cs="Arial"/>
                <w:szCs w:val="22"/>
              </w:rPr>
              <w:t>A</w:t>
            </w:r>
          </w:p>
        </w:tc>
        <w:tc>
          <w:tcPr>
            <w:tcW w:w="7939" w:type="dxa"/>
          </w:tcPr>
          <w:p w14:paraId="12B96C59" w14:textId="6E68FAAC" w:rsidR="00844586" w:rsidRPr="003A6212" w:rsidRDefault="003A6212" w:rsidP="004737DC">
            <w:pPr>
              <w:pStyle w:val="Transcription"/>
              <w:spacing w:line="240" w:lineRule="auto"/>
              <w:rPr>
                <w:rFonts w:ascii="Arial" w:hAnsi="Arial" w:cs="Arial"/>
                <w:szCs w:val="22"/>
                <w:lang w:val="en-CA"/>
              </w:rPr>
            </w:pPr>
            <w:r w:rsidRPr="00E8050B">
              <w:rPr>
                <w:rFonts w:ascii="Arial" w:hAnsi="Arial" w:cs="Arial"/>
                <w:szCs w:val="22"/>
                <w:lang w:val="en-CA"/>
              </w:rPr>
              <w:t>Of course, yes.</w:t>
            </w:r>
            <w:r w:rsidR="0084114F" w:rsidRPr="003A6212">
              <w:rPr>
                <w:rFonts w:ascii="Arial" w:hAnsi="Arial" w:cs="Arial"/>
                <w:szCs w:val="22"/>
                <w:lang w:val="en-CA"/>
              </w:rPr>
              <w:t xml:space="preserve"> </w:t>
            </w:r>
            <w:r w:rsidRPr="003A6212">
              <w:rPr>
                <w:rFonts w:ascii="Arial" w:hAnsi="Arial" w:cs="Arial"/>
                <w:szCs w:val="22"/>
                <w:lang w:val="en-CA"/>
              </w:rPr>
              <w:t>But as I was saying, the focus was elsewhere at the time.</w:t>
            </w:r>
          </w:p>
        </w:tc>
      </w:tr>
      <w:tr w:rsidR="00E201A8" w14:paraId="7C907A4D" w14:textId="77777777" w:rsidTr="004737DC">
        <w:tc>
          <w:tcPr>
            <w:tcW w:w="283" w:type="dxa"/>
          </w:tcPr>
          <w:p w14:paraId="7CEFCBE0" w14:textId="77777777" w:rsidR="00844586" w:rsidRPr="003A6212" w:rsidRDefault="00844586" w:rsidP="004737DC">
            <w:pPr>
              <w:pStyle w:val="Transcription"/>
              <w:spacing w:line="240" w:lineRule="auto"/>
              <w:rPr>
                <w:rFonts w:ascii="Arial" w:hAnsi="Arial" w:cs="Arial"/>
                <w:szCs w:val="22"/>
                <w:lang w:val="en-CA"/>
              </w:rPr>
            </w:pPr>
          </w:p>
        </w:tc>
        <w:tc>
          <w:tcPr>
            <w:tcW w:w="7939" w:type="dxa"/>
          </w:tcPr>
          <w:p w14:paraId="166D5CDE" w14:textId="027DFA7B" w:rsidR="00844586" w:rsidRPr="00E8050B" w:rsidRDefault="003A6212" w:rsidP="004737DC">
            <w:pPr>
              <w:pStyle w:val="Transcription"/>
              <w:spacing w:line="240" w:lineRule="auto"/>
              <w:rPr>
                <w:rFonts w:ascii="Arial" w:hAnsi="Arial" w:cs="Arial"/>
                <w:szCs w:val="22"/>
                <w:lang w:val="en-CA"/>
              </w:rPr>
            </w:pPr>
            <w:r w:rsidRPr="00E8050B">
              <w:rPr>
                <w:rFonts w:ascii="Arial" w:hAnsi="Arial" w:cs="Arial"/>
                <w:szCs w:val="22"/>
                <w:lang w:val="en-CA"/>
              </w:rPr>
              <w:t>THE COURT</w:t>
            </w:r>
          </w:p>
        </w:tc>
      </w:tr>
      <w:tr w:rsidR="00E201A8" w14:paraId="69DAABFC" w14:textId="77777777" w:rsidTr="004737DC">
        <w:tc>
          <w:tcPr>
            <w:tcW w:w="283" w:type="dxa"/>
          </w:tcPr>
          <w:p w14:paraId="4DB0CB04" w14:textId="77777777" w:rsidR="00844586" w:rsidRPr="001533DE" w:rsidRDefault="00844586" w:rsidP="004737DC">
            <w:pPr>
              <w:pStyle w:val="Transcription"/>
              <w:spacing w:line="240" w:lineRule="auto"/>
              <w:rPr>
                <w:rFonts w:ascii="Arial" w:hAnsi="Arial" w:cs="Arial"/>
                <w:szCs w:val="22"/>
              </w:rPr>
            </w:pPr>
          </w:p>
        </w:tc>
        <w:tc>
          <w:tcPr>
            <w:tcW w:w="7939" w:type="dxa"/>
          </w:tcPr>
          <w:p w14:paraId="126939CA" w14:textId="4EF2232E" w:rsidR="00844586" w:rsidRPr="003A6212" w:rsidRDefault="003A6212" w:rsidP="004737DC">
            <w:pPr>
              <w:pStyle w:val="Transcription"/>
              <w:spacing w:line="240" w:lineRule="auto"/>
              <w:rPr>
                <w:rFonts w:ascii="Arial" w:hAnsi="Arial" w:cs="Arial"/>
                <w:szCs w:val="22"/>
                <w:lang w:val="en-CA"/>
              </w:rPr>
            </w:pPr>
            <w:r w:rsidRPr="00E8050B">
              <w:rPr>
                <w:rFonts w:ascii="Arial" w:hAnsi="Arial" w:cs="Arial"/>
                <w:szCs w:val="22"/>
                <w:lang w:val="en-CA"/>
              </w:rPr>
              <w:t>When you</w:t>
            </w:r>
            <w:r w:rsidR="0084114F" w:rsidRPr="003A6212">
              <w:rPr>
                <w:rFonts w:ascii="Arial" w:hAnsi="Arial" w:cs="Arial"/>
                <w:szCs w:val="22"/>
                <w:lang w:val="en-CA"/>
              </w:rPr>
              <w:t xml:space="preserve"> </w:t>
            </w:r>
            <w:r w:rsidRPr="003A6212">
              <w:rPr>
                <w:rFonts w:ascii="Arial" w:hAnsi="Arial" w:cs="Arial"/>
                <w:szCs w:val="22"/>
                <w:lang w:val="en-CA"/>
              </w:rPr>
              <w:t>... when the parties signed the agreement, you say that the manner in which the assets would be transferred had not yet been chosen.</w:t>
            </w:r>
            <w:r w:rsidR="0084114F" w:rsidRPr="003A6212">
              <w:rPr>
                <w:rFonts w:ascii="Arial" w:hAnsi="Arial" w:cs="Arial"/>
                <w:szCs w:val="22"/>
                <w:lang w:val="en-CA"/>
              </w:rPr>
              <w:t xml:space="preserve"> </w:t>
            </w:r>
            <w:r>
              <w:rPr>
                <w:rFonts w:ascii="Arial" w:hAnsi="Arial" w:cs="Arial"/>
                <w:szCs w:val="22"/>
                <w:u w:val="single"/>
                <w:lang w:val="en-CA"/>
              </w:rPr>
              <w:t xml:space="preserve">But do I understand </w:t>
            </w:r>
            <w:r w:rsidR="005B6A8D">
              <w:rPr>
                <w:rFonts w:ascii="Arial" w:hAnsi="Arial" w:cs="Arial"/>
                <w:szCs w:val="22"/>
                <w:u w:val="single"/>
                <w:lang w:val="en-CA"/>
              </w:rPr>
              <w:t>that</w:t>
            </w:r>
            <w:r>
              <w:rPr>
                <w:rFonts w:ascii="Arial" w:hAnsi="Arial" w:cs="Arial"/>
                <w:szCs w:val="22"/>
                <w:u w:val="single"/>
                <w:lang w:val="en-CA"/>
              </w:rPr>
              <w:t xml:space="preserve"> what the parties intended, </w:t>
            </w:r>
            <w:r w:rsidR="00EC62F2">
              <w:rPr>
                <w:rFonts w:ascii="Arial" w:hAnsi="Arial" w:cs="Arial"/>
                <w:szCs w:val="22"/>
                <w:u w:val="single"/>
                <w:lang w:val="en-CA"/>
              </w:rPr>
              <w:t xml:space="preserve">is </w:t>
            </w:r>
            <w:r>
              <w:rPr>
                <w:rFonts w:ascii="Arial" w:hAnsi="Arial" w:cs="Arial"/>
                <w:szCs w:val="22"/>
                <w:u w:val="single"/>
                <w:lang w:val="en-CA"/>
              </w:rPr>
              <w:t xml:space="preserve">that they </w:t>
            </w:r>
            <w:r w:rsidR="005B6A8D">
              <w:rPr>
                <w:rFonts w:ascii="Arial" w:hAnsi="Arial" w:cs="Arial"/>
                <w:szCs w:val="22"/>
                <w:u w:val="single"/>
                <w:lang w:val="en-CA"/>
              </w:rPr>
              <w:t>would</w:t>
            </w:r>
            <w:r w:rsidR="00072321">
              <w:rPr>
                <w:rFonts w:ascii="Arial" w:hAnsi="Arial" w:cs="Arial"/>
                <w:szCs w:val="22"/>
                <w:u w:val="single"/>
                <w:lang w:val="en-CA"/>
              </w:rPr>
              <w:t>…</w:t>
            </w:r>
            <w:r w:rsidR="0084114F" w:rsidRPr="003A6212">
              <w:rPr>
                <w:rFonts w:ascii="Arial" w:hAnsi="Arial" w:cs="Arial"/>
                <w:szCs w:val="22"/>
                <w:u w:val="single"/>
                <w:lang w:val="en-CA"/>
              </w:rPr>
              <w:t xml:space="preserve"> </w:t>
            </w:r>
            <w:r w:rsidRPr="003A6212">
              <w:rPr>
                <w:rFonts w:ascii="Arial" w:hAnsi="Arial" w:cs="Arial"/>
                <w:szCs w:val="22"/>
                <w:u w:val="single"/>
                <w:lang w:val="en-CA"/>
              </w:rPr>
              <w:t>... both be involved in the asset transfer</w:t>
            </w:r>
            <w:r w:rsidRPr="003A6212">
              <w:rPr>
                <w:rFonts w:ascii="Arial" w:hAnsi="Arial" w:cs="Arial"/>
                <w:szCs w:val="22"/>
                <w:lang w:val="en-CA"/>
              </w:rPr>
              <w:t>?</w:t>
            </w:r>
          </w:p>
        </w:tc>
      </w:tr>
      <w:tr w:rsidR="00E201A8" w:rsidRPr="003A6212" w14:paraId="0926ABD5" w14:textId="77777777" w:rsidTr="004737DC">
        <w:tc>
          <w:tcPr>
            <w:tcW w:w="283" w:type="dxa"/>
          </w:tcPr>
          <w:p w14:paraId="0504C5D5" w14:textId="7A5F6061" w:rsidR="00844586" w:rsidRPr="00E8050B" w:rsidRDefault="003A6212" w:rsidP="004737DC">
            <w:pPr>
              <w:pStyle w:val="Transcription"/>
              <w:spacing w:line="240" w:lineRule="auto"/>
              <w:rPr>
                <w:rFonts w:ascii="Arial" w:hAnsi="Arial" w:cs="Arial"/>
                <w:szCs w:val="22"/>
              </w:rPr>
            </w:pPr>
            <w:r w:rsidRPr="00E8050B">
              <w:rPr>
                <w:rFonts w:ascii="Arial" w:hAnsi="Arial" w:cs="Arial"/>
                <w:szCs w:val="22"/>
              </w:rPr>
              <w:t>A</w:t>
            </w:r>
          </w:p>
        </w:tc>
        <w:tc>
          <w:tcPr>
            <w:tcW w:w="7939" w:type="dxa"/>
          </w:tcPr>
          <w:p w14:paraId="23262358" w14:textId="2F62BD7D" w:rsidR="00844586" w:rsidRPr="003A6212" w:rsidRDefault="003A6212" w:rsidP="004737DC">
            <w:pPr>
              <w:pStyle w:val="Transcription"/>
              <w:spacing w:line="240" w:lineRule="auto"/>
              <w:rPr>
                <w:rFonts w:ascii="Arial" w:hAnsi="Arial" w:cs="Arial"/>
                <w:szCs w:val="22"/>
                <w:u w:val="single"/>
                <w:lang w:val="en-CA"/>
              </w:rPr>
            </w:pPr>
            <w:r w:rsidRPr="003A6212">
              <w:rPr>
                <w:rFonts w:ascii="Arial" w:hAnsi="Arial" w:cs="Arial"/>
                <w:szCs w:val="22"/>
                <w:u w:val="single"/>
                <w:lang w:val="en-CA"/>
              </w:rPr>
              <w:t xml:space="preserve">Who </w:t>
            </w:r>
            <w:r w:rsidR="00EC62F2">
              <w:rPr>
                <w:rFonts w:ascii="Arial" w:hAnsi="Arial" w:cs="Arial"/>
                <w:szCs w:val="22"/>
                <w:u w:val="single"/>
                <w:lang w:val="en-CA"/>
              </w:rPr>
              <w:t>would both be</w:t>
            </w:r>
            <w:r w:rsidRPr="003A6212">
              <w:rPr>
                <w:rFonts w:ascii="Arial" w:hAnsi="Arial" w:cs="Arial"/>
                <w:szCs w:val="22"/>
                <w:u w:val="single"/>
                <w:lang w:val="en-CA"/>
              </w:rPr>
              <w:t xml:space="preserve"> involved in the asset transfer?</w:t>
            </w:r>
          </w:p>
        </w:tc>
      </w:tr>
      <w:tr w:rsidR="00E201A8" w14:paraId="4DB5FEDE" w14:textId="77777777" w:rsidTr="004737DC">
        <w:tc>
          <w:tcPr>
            <w:tcW w:w="283" w:type="dxa"/>
          </w:tcPr>
          <w:p w14:paraId="2B9ABB15" w14:textId="5D5CF325" w:rsidR="00844586" w:rsidRPr="00E8050B" w:rsidRDefault="003A6212" w:rsidP="004737DC">
            <w:pPr>
              <w:pStyle w:val="Transcription"/>
              <w:spacing w:line="240" w:lineRule="auto"/>
              <w:rPr>
                <w:rFonts w:ascii="Arial" w:hAnsi="Arial" w:cs="Arial"/>
                <w:szCs w:val="22"/>
              </w:rPr>
            </w:pPr>
            <w:r w:rsidRPr="00E8050B">
              <w:rPr>
                <w:rFonts w:ascii="Arial" w:hAnsi="Arial" w:cs="Arial"/>
                <w:szCs w:val="22"/>
              </w:rPr>
              <w:t>Q</w:t>
            </w:r>
          </w:p>
        </w:tc>
        <w:tc>
          <w:tcPr>
            <w:tcW w:w="7939" w:type="dxa"/>
          </w:tcPr>
          <w:p w14:paraId="6A07F103" w14:textId="611C8D8A" w:rsidR="00844586" w:rsidRPr="00E8050B" w:rsidRDefault="003A6212" w:rsidP="004737DC">
            <w:pPr>
              <w:pStyle w:val="Transcription"/>
              <w:spacing w:line="240" w:lineRule="auto"/>
              <w:rPr>
                <w:rFonts w:ascii="Arial" w:hAnsi="Arial" w:cs="Arial"/>
                <w:szCs w:val="22"/>
                <w:u w:val="single"/>
              </w:rPr>
            </w:pPr>
            <w:r w:rsidRPr="00E8050B">
              <w:rPr>
                <w:rFonts w:ascii="Arial" w:hAnsi="Arial" w:cs="Arial"/>
                <w:szCs w:val="22"/>
                <w:u w:val="single"/>
              </w:rPr>
              <w:t>Yes.</w:t>
            </w:r>
          </w:p>
        </w:tc>
      </w:tr>
      <w:tr w:rsidR="00E201A8" w:rsidRPr="003A6212" w14:paraId="0E1CE137" w14:textId="77777777" w:rsidTr="004737DC">
        <w:tc>
          <w:tcPr>
            <w:tcW w:w="283" w:type="dxa"/>
          </w:tcPr>
          <w:p w14:paraId="59FF7160" w14:textId="67FFBD9C" w:rsidR="00844586" w:rsidRPr="00E8050B" w:rsidRDefault="003A6212" w:rsidP="004737DC">
            <w:pPr>
              <w:pStyle w:val="Transcription"/>
              <w:spacing w:line="240" w:lineRule="auto"/>
              <w:rPr>
                <w:rFonts w:ascii="Arial" w:hAnsi="Arial" w:cs="Arial"/>
                <w:szCs w:val="22"/>
              </w:rPr>
            </w:pPr>
            <w:r w:rsidRPr="00E8050B">
              <w:rPr>
                <w:rFonts w:ascii="Arial" w:hAnsi="Arial" w:cs="Arial"/>
                <w:szCs w:val="22"/>
              </w:rPr>
              <w:t>A</w:t>
            </w:r>
          </w:p>
        </w:tc>
        <w:tc>
          <w:tcPr>
            <w:tcW w:w="7939" w:type="dxa"/>
          </w:tcPr>
          <w:p w14:paraId="37AD4AD7" w14:textId="5726A93C" w:rsidR="00844586" w:rsidRPr="003A6212" w:rsidRDefault="003A6212" w:rsidP="004737DC">
            <w:pPr>
              <w:pStyle w:val="Transcription"/>
              <w:spacing w:line="240" w:lineRule="auto"/>
              <w:rPr>
                <w:rFonts w:ascii="Arial" w:hAnsi="Arial" w:cs="Arial"/>
                <w:szCs w:val="22"/>
                <w:u w:val="single"/>
                <w:lang w:val="en-CA"/>
              </w:rPr>
            </w:pPr>
            <w:r w:rsidRPr="003A6212">
              <w:rPr>
                <w:rFonts w:ascii="Arial" w:hAnsi="Arial" w:cs="Arial"/>
                <w:szCs w:val="22"/>
                <w:u w:val="single"/>
                <w:lang w:val="en-CA"/>
              </w:rPr>
              <w:t xml:space="preserve">Do you mean </w:t>
            </w:r>
            <w:r w:rsidR="00EC62F2">
              <w:rPr>
                <w:rFonts w:ascii="Arial" w:hAnsi="Arial" w:cs="Arial"/>
                <w:szCs w:val="22"/>
                <w:u w:val="single"/>
                <w:lang w:val="en-CA"/>
              </w:rPr>
              <w:t xml:space="preserve">Mr. </w:t>
            </w:r>
            <w:r w:rsidRPr="003A6212">
              <w:rPr>
                <w:rFonts w:ascii="Arial" w:hAnsi="Arial" w:cs="Arial"/>
                <w:szCs w:val="22"/>
                <w:u w:val="single"/>
                <w:lang w:val="en-CA"/>
              </w:rPr>
              <w:t xml:space="preserve">Richer and </w:t>
            </w:r>
            <w:r w:rsidR="00EC62F2">
              <w:rPr>
                <w:rFonts w:ascii="Arial" w:hAnsi="Arial" w:cs="Arial"/>
                <w:szCs w:val="22"/>
                <w:u w:val="single"/>
                <w:lang w:val="en-CA"/>
              </w:rPr>
              <w:t xml:space="preserve">Mr. </w:t>
            </w:r>
            <w:r w:rsidRPr="003A6212">
              <w:rPr>
                <w:rFonts w:ascii="Arial" w:hAnsi="Arial" w:cs="Arial"/>
                <w:szCs w:val="22"/>
                <w:u w:val="single"/>
                <w:lang w:val="en-CA"/>
              </w:rPr>
              <w:t>Sirois?</w:t>
            </w:r>
          </w:p>
        </w:tc>
      </w:tr>
      <w:tr w:rsidR="00E201A8" w14:paraId="6B42BCA2" w14:textId="77777777" w:rsidTr="004737DC">
        <w:tc>
          <w:tcPr>
            <w:tcW w:w="283" w:type="dxa"/>
          </w:tcPr>
          <w:p w14:paraId="04F8BCEC" w14:textId="4032D4BF" w:rsidR="00844586" w:rsidRPr="00E8050B" w:rsidRDefault="003A6212" w:rsidP="004737DC">
            <w:pPr>
              <w:pStyle w:val="Transcription"/>
              <w:spacing w:line="240" w:lineRule="auto"/>
              <w:rPr>
                <w:rFonts w:ascii="Arial" w:hAnsi="Arial" w:cs="Arial"/>
                <w:szCs w:val="22"/>
              </w:rPr>
            </w:pPr>
            <w:r w:rsidRPr="00E8050B">
              <w:rPr>
                <w:rFonts w:ascii="Arial" w:hAnsi="Arial" w:cs="Arial"/>
                <w:szCs w:val="22"/>
              </w:rPr>
              <w:t>Q</w:t>
            </w:r>
          </w:p>
        </w:tc>
        <w:tc>
          <w:tcPr>
            <w:tcW w:w="7939" w:type="dxa"/>
          </w:tcPr>
          <w:p w14:paraId="55745737" w14:textId="289AF810" w:rsidR="00844586" w:rsidRPr="00E8050B" w:rsidRDefault="003A6212" w:rsidP="004737DC">
            <w:pPr>
              <w:pStyle w:val="Transcription"/>
              <w:spacing w:line="240" w:lineRule="auto"/>
              <w:rPr>
                <w:rFonts w:ascii="Arial" w:hAnsi="Arial" w:cs="Arial"/>
                <w:szCs w:val="22"/>
                <w:u w:val="single"/>
              </w:rPr>
            </w:pPr>
            <w:r w:rsidRPr="00E8050B">
              <w:rPr>
                <w:rFonts w:ascii="Arial" w:hAnsi="Arial" w:cs="Arial"/>
                <w:szCs w:val="22"/>
                <w:u w:val="single"/>
              </w:rPr>
              <w:t>Yes.</w:t>
            </w:r>
          </w:p>
        </w:tc>
      </w:tr>
      <w:tr w:rsidR="00E201A8" w:rsidRPr="00F81021" w14:paraId="4D92493E" w14:textId="77777777" w:rsidTr="004737DC">
        <w:tc>
          <w:tcPr>
            <w:tcW w:w="283" w:type="dxa"/>
          </w:tcPr>
          <w:p w14:paraId="7A4B8304" w14:textId="3D334FC5" w:rsidR="00844586" w:rsidRPr="00E8050B" w:rsidRDefault="003A6212" w:rsidP="004737DC">
            <w:pPr>
              <w:pStyle w:val="Transcription"/>
              <w:spacing w:line="240" w:lineRule="auto"/>
              <w:rPr>
                <w:rFonts w:ascii="Arial" w:hAnsi="Arial" w:cs="Arial"/>
                <w:szCs w:val="22"/>
              </w:rPr>
            </w:pPr>
            <w:r w:rsidRPr="00E8050B">
              <w:rPr>
                <w:rFonts w:ascii="Arial" w:hAnsi="Arial" w:cs="Arial"/>
                <w:szCs w:val="22"/>
              </w:rPr>
              <w:t>A</w:t>
            </w:r>
          </w:p>
        </w:tc>
        <w:tc>
          <w:tcPr>
            <w:tcW w:w="7939" w:type="dxa"/>
          </w:tcPr>
          <w:p w14:paraId="3DEE2D82" w14:textId="75F2058F" w:rsidR="00844586" w:rsidRPr="00072A3C" w:rsidRDefault="003A6212" w:rsidP="004737DC">
            <w:pPr>
              <w:pStyle w:val="Transcription"/>
              <w:spacing w:line="240" w:lineRule="auto"/>
              <w:rPr>
                <w:rFonts w:ascii="Arial" w:hAnsi="Arial" w:cs="Arial"/>
                <w:szCs w:val="22"/>
                <w:lang w:val="en-CA"/>
              </w:rPr>
            </w:pPr>
            <w:r w:rsidRPr="00072A3C">
              <w:rPr>
                <w:rFonts w:ascii="Arial" w:hAnsi="Arial" w:cs="Arial"/>
                <w:szCs w:val="22"/>
                <w:u w:val="single"/>
                <w:lang w:val="en-CA"/>
              </w:rPr>
              <w:t>Well, ultimately, ultimately, yes</w:t>
            </w:r>
          </w:p>
          <w:p w14:paraId="7554B435" w14:textId="4AF3A15A" w:rsidR="00844586" w:rsidRPr="00072A3C" w:rsidRDefault="00C367DE" w:rsidP="004737DC">
            <w:pPr>
              <w:pStyle w:val="Transcription"/>
              <w:spacing w:line="240" w:lineRule="auto"/>
              <w:jc w:val="right"/>
              <w:rPr>
                <w:rFonts w:ascii="Arial" w:hAnsi="Arial" w:cs="Arial"/>
                <w:szCs w:val="22"/>
                <w:lang w:val="en-CA"/>
              </w:rPr>
            </w:pPr>
            <w:r w:rsidRPr="00072A3C">
              <w:rPr>
                <w:rFonts w:ascii="Arial" w:hAnsi="Arial" w:cs="Arial"/>
                <w:szCs w:val="22"/>
                <w:lang w:val="en-CA"/>
              </w:rPr>
              <w:t>[Emphasis added.]</w:t>
            </w:r>
          </w:p>
        </w:tc>
      </w:tr>
    </w:tbl>
    <w:p w14:paraId="0010B043" w14:textId="370BDDA1" w:rsidR="00844586" w:rsidRPr="00EE1B14" w:rsidRDefault="00EE1B14" w:rsidP="00A90F7A">
      <w:pPr>
        <w:pStyle w:val="Paragraphe"/>
        <w:spacing w:line="240" w:lineRule="auto"/>
      </w:pPr>
      <w:r w:rsidRPr="00EE1B14">
        <w:t xml:space="preserve">The above </w:t>
      </w:r>
      <w:r w:rsidR="00072321" w:rsidRPr="00EE1B14">
        <w:t>excerpt</w:t>
      </w:r>
      <w:r w:rsidRPr="00EE1B14">
        <w:t xml:space="preserve"> is also important to </w:t>
      </w:r>
      <w:r w:rsidR="00345835">
        <w:t xml:space="preserve">a </w:t>
      </w:r>
      <w:r w:rsidRPr="00EE1B14">
        <w:t>proper understand</w:t>
      </w:r>
      <w:r w:rsidR="00345835">
        <w:t>ing of</w:t>
      </w:r>
      <w:r w:rsidRPr="00EE1B14">
        <w:t xml:space="preserve"> the circumstances in which the parties consider</w:t>
      </w:r>
      <w:r w:rsidR="0054774C">
        <w:t>ed</w:t>
      </w:r>
      <w:r w:rsidRPr="00EE1B14">
        <w:t xml:space="preserve"> an asset transfer in the context of a bankruptcy</w:t>
      </w:r>
      <w:r w:rsidR="00072321" w:rsidRPr="00072321">
        <w:t xml:space="preserve"> </w:t>
      </w:r>
      <w:r w:rsidR="00072321" w:rsidRPr="00EE1B14">
        <w:t xml:space="preserve">when they </w:t>
      </w:r>
      <w:r w:rsidR="00345835">
        <w:t>entered into</w:t>
      </w:r>
      <w:r w:rsidR="00072321" w:rsidRPr="00EE1B14">
        <w:t xml:space="preserve"> agreement P-5</w:t>
      </w:r>
      <w:r w:rsidRPr="00EE1B14">
        <w:t>.</w:t>
      </w:r>
      <w:r w:rsidR="0084114F" w:rsidRPr="00EE1B14">
        <w:t xml:space="preserve"> </w:t>
      </w:r>
      <w:r w:rsidRPr="00EE1B14">
        <w:t xml:space="preserve">My colleague is of the view that the evidence clearly shows that </w:t>
      </w:r>
      <w:r w:rsidR="0054774C">
        <w:t xml:space="preserve">Mr. </w:t>
      </w:r>
      <w:r w:rsidRPr="00EE1B14">
        <w:t xml:space="preserve">Richer </w:t>
      </w:r>
      <w:r w:rsidR="00072321" w:rsidRPr="00EE1B14">
        <w:t>and</w:t>
      </w:r>
      <w:r w:rsidRPr="00EE1B14">
        <w:t xml:space="preserve"> </w:t>
      </w:r>
      <w:r w:rsidR="0054774C">
        <w:t xml:space="preserve">Mr. </w:t>
      </w:r>
      <w:r w:rsidRPr="00EE1B14">
        <w:t xml:space="preserve">Sirois considered that any asset transfer in the context of bankruptcy would </w:t>
      </w:r>
      <w:r w:rsidR="00072321">
        <w:t xml:space="preserve">amount to </w:t>
      </w:r>
      <w:r w:rsidRPr="00EE1B14">
        <w:t xml:space="preserve">the </w:t>
      </w:r>
      <w:r w:rsidR="00072321">
        <w:t>[</w:t>
      </w:r>
      <w:r w:rsidR="00072321" w:rsidRPr="00072321">
        <w:rPr>
          <w:smallCaps/>
        </w:rPr>
        <w:t>translation</w:t>
      </w:r>
      <w:r w:rsidR="00072321">
        <w:t xml:space="preserve">] </w:t>
      </w:r>
      <w:r w:rsidRPr="00EE1B14">
        <w:t>“</w:t>
      </w:r>
      <w:r w:rsidR="0054774C">
        <w:t xml:space="preserve">occurrence of the </w:t>
      </w:r>
      <w:r w:rsidRPr="00EE1B14">
        <w:t xml:space="preserve">Planned </w:t>
      </w:r>
      <w:r w:rsidR="0054774C">
        <w:t>T</w:t>
      </w:r>
      <w:r w:rsidRPr="00EE1B14">
        <w:t>ransaction”.</w:t>
      </w:r>
      <w:r w:rsidR="0084114F" w:rsidRPr="00EE1B14">
        <w:t xml:space="preserve"> </w:t>
      </w:r>
      <w:r w:rsidR="00345835">
        <w:t xml:space="preserve">Yet it </w:t>
      </w:r>
      <w:r>
        <w:t xml:space="preserve">appears from Mtre </w:t>
      </w:r>
      <w:proofErr w:type="spellStart"/>
      <w:r>
        <w:t>Beaupré’s</w:t>
      </w:r>
      <w:proofErr w:type="spellEnd"/>
      <w:r>
        <w:t xml:space="preserve"> testimony</w:t>
      </w:r>
      <w:r w:rsidR="00345835">
        <w:t xml:space="preserve"> </w:t>
      </w:r>
      <w:r>
        <w:t xml:space="preserve">that this was not </w:t>
      </w:r>
      <w:r w:rsidR="00072321">
        <w:t>the</w:t>
      </w:r>
      <w:r>
        <w:t xml:space="preserve"> case</w:t>
      </w:r>
      <w:r w:rsidR="00345835">
        <w:t>,</w:t>
      </w:r>
      <w:r>
        <w:t xml:space="preserve"> </w:t>
      </w:r>
      <w:r w:rsidR="00345835">
        <w:t xml:space="preserve">as </w:t>
      </w:r>
      <w:r>
        <w:t>he tends to demonstrate, as the respondents argue</w:t>
      </w:r>
      <w:r w:rsidR="00072321">
        <w:t>,</w:t>
      </w:r>
      <w:r>
        <w:t xml:space="preserve"> that </w:t>
      </w:r>
      <w:r w:rsidR="0054774C">
        <w:t xml:space="preserve">Mr. </w:t>
      </w:r>
      <w:r>
        <w:t xml:space="preserve">Richer </w:t>
      </w:r>
      <w:r w:rsidR="00072321">
        <w:t>and</w:t>
      </w:r>
      <w:r>
        <w:t xml:space="preserve"> </w:t>
      </w:r>
      <w:r w:rsidR="0054774C">
        <w:t xml:space="preserve">Mr. </w:t>
      </w:r>
      <w:r>
        <w:t xml:space="preserve">Sirois had </w:t>
      </w:r>
      <w:r w:rsidR="00345835">
        <w:t xml:space="preserve">merely </w:t>
      </w:r>
      <w:r>
        <w:t xml:space="preserve">considered an asset transfer through bankruptcy in the context of a concerted transaction between the two protagonists. </w:t>
      </w:r>
    </w:p>
    <w:p w14:paraId="1B469A90" w14:textId="228828FE" w:rsidR="00844586" w:rsidRPr="00FD552B" w:rsidRDefault="00EE1B14" w:rsidP="00A90F7A">
      <w:pPr>
        <w:pStyle w:val="Paragraphe"/>
        <w:spacing w:line="240" w:lineRule="auto"/>
      </w:pPr>
      <w:r>
        <w:t xml:space="preserve">In short, it is my opinion that the explanations of Mtre Beaupré </w:t>
      </w:r>
      <w:r w:rsidR="00D74A16">
        <w:t xml:space="preserve">alone </w:t>
      </w:r>
      <w:r>
        <w:t xml:space="preserve">are </w:t>
      </w:r>
      <w:r w:rsidR="00583534">
        <w:t>sufficient</w:t>
      </w:r>
      <w:r>
        <w:t xml:space="preserve"> to </w:t>
      </w:r>
      <w:r w:rsidR="00345835">
        <w:t>observe</w:t>
      </w:r>
      <w:r>
        <w:t xml:space="preserve"> that the judge could reasonably find that the vesting of </w:t>
      </w:r>
      <w:proofErr w:type="spellStart"/>
      <w:r>
        <w:t>Wooky’s</w:t>
      </w:r>
      <w:proofErr w:type="spellEnd"/>
      <w:r>
        <w:t xml:space="preserve"> assets to a company controlled by Sirois in </w:t>
      </w:r>
      <w:r w:rsidR="00072321">
        <w:t>the</w:t>
      </w:r>
      <w:r>
        <w:t xml:space="preserve"> context of </w:t>
      </w:r>
      <w:proofErr w:type="spellStart"/>
      <w:r>
        <w:t>Wooky’s</w:t>
      </w:r>
      <w:proofErr w:type="spellEnd"/>
      <w:r>
        <w:t xml:space="preserve"> liquidation </w:t>
      </w:r>
      <w:r w:rsidR="00072321">
        <w:t>did not amount</w:t>
      </w:r>
      <w:r>
        <w:t xml:space="preserve"> to the </w:t>
      </w:r>
      <w:r w:rsidR="00072321">
        <w:lastRenderedPageBreak/>
        <w:t>[</w:t>
      </w:r>
      <w:r w:rsidR="00072321" w:rsidRPr="00072321">
        <w:rPr>
          <w:smallCaps/>
        </w:rPr>
        <w:t>translation</w:t>
      </w:r>
      <w:r w:rsidR="00072321">
        <w:t xml:space="preserve">] </w:t>
      </w:r>
      <w:r>
        <w:t>“</w:t>
      </w:r>
      <w:r w:rsidR="00D74A16">
        <w:t xml:space="preserve">occurrence of the </w:t>
      </w:r>
      <w:r>
        <w:t xml:space="preserve">Planned </w:t>
      </w:r>
      <w:r w:rsidR="00D74A16">
        <w:t>T</w:t>
      </w:r>
      <w:r>
        <w:t xml:space="preserve">ransaction”, since it is clear – and admitted by all – that this transaction </w:t>
      </w:r>
      <w:r w:rsidR="00D74A16">
        <w:t>did not take place in a</w:t>
      </w:r>
      <w:r>
        <w:t xml:space="preserve"> concerted </w:t>
      </w:r>
      <w:r w:rsidR="00D74A16">
        <w:t xml:space="preserve">manner </w:t>
      </w:r>
      <w:r>
        <w:t xml:space="preserve">with </w:t>
      </w:r>
      <w:r w:rsidR="00D74A16">
        <w:t xml:space="preserve">Mr. </w:t>
      </w:r>
      <w:r>
        <w:t>Richer.</w:t>
      </w:r>
      <w:r w:rsidR="0084114F" w:rsidRPr="00EE1B14">
        <w:t xml:space="preserve"> </w:t>
      </w:r>
      <w:r w:rsidRPr="00EE1B14">
        <w:t xml:space="preserve">Indeed, the evidence is clear that </w:t>
      </w:r>
      <w:r w:rsidR="00D74A16">
        <w:t xml:space="preserve">Mr. </w:t>
      </w:r>
      <w:r w:rsidRPr="00EE1B14">
        <w:t xml:space="preserve">Richer and </w:t>
      </w:r>
      <w:r w:rsidR="00D74A16">
        <w:t xml:space="preserve">Mr. </w:t>
      </w:r>
      <w:r w:rsidRPr="00EE1B14">
        <w:t xml:space="preserve">Sirois never </w:t>
      </w:r>
      <w:r w:rsidR="00345835">
        <w:t>entered into</w:t>
      </w:r>
      <w:r w:rsidRPr="00EE1B14">
        <w:t xml:space="preserve"> a second agreement and that</w:t>
      </w:r>
      <w:r w:rsidR="00072321">
        <w:t xml:space="preserve"> their business relationship had broken down many months before</w:t>
      </w:r>
      <w:r w:rsidRPr="00EE1B14">
        <w:t xml:space="preserve"> </w:t>
      </w:r>
      <w:r w:rsidR="00D74A16">
        <w:t xml:space="preserve">the vesting of </w:t>
      </w:r>
      <w:proofErr w:type="spellStart"/>
      <w:r w:rsidRPr="00EE1B14">
        <w:t>Wooky’s</w:t>
      </w:r>
      <w:proofErr w:type="spellEnd"/>
      <w:r w:rsidRPr="00EE1B14">
        <w:t xml:space="preserve"> assets </w:t>
      </w:r>
      <w:r w:rsidR="00D74A16">
        <w:t>took place</w:t>
      </w:r>
      <w:r w:rsidRPr="00EE1B14">
        <w:t>.</w:t>
      </w:r>
      <w:r w:rsidR="0084114F" w:rsidRPr="00EE1B14">
        <w:t xml:space="preserve"> </w:t>
      </w:r>
      <w:r w:rsidRPr="00EE1B14">
        <w:t xml:space="preserve">Thus, while </w:t>
      </w:r>
      <w:r w:rsidR="00D74A16">
        <w:t xml:space="preserve">Mr. </w:t>
      </w:r>
      <w:r w:rsidRPr="00EE1B14">
        <w:t xml:space="preserve">Sirois eventually acquired </w:t>
      </w:r>
      <w:proofErr w:type="spellStart"/>
      <w:r w:rsidRPr="00EE1B14">
        <w:t>Wooky’s</w:t>
      </w:r>
      <w:proofErr w:type="spellEnd"/>
      <w:r w:rsidRPr="00EE1B14">
        <w:t xml:space="preserve"> assets, he did so in circumstances entirely different from those that Mtre Beaupré</w:t>
      </w:r>
      <w:r w:rsidR="00345835">
        <w:t xml:space="preserve"> affirms</w:t>
      </w:r>
      <w:r w:rsidRPr="00EE1B14">
        <w:t xml:space="preserve"> had been considered</w:t>
      </w:r>
      <w:r w:rsidR="00FD552B">
        <w:t xml:space="preserve"> </w:t>
      </w:r>
      <w:r w:rsidRPr="00EE1B14">
        <w:t>in agreement P-5</w:t>
      </w:r>
      <w:r w:rsidR="00345835">
        <w:t>.</w:t>
      </w:r>
      <w:r w:rsidRPr="00EE1B14">
        <w:t xml:space="preserve"> </w:t>
      </w:r>
      <w:r w:rsidR="00D74A16">
        <w:t xml:space="preserve">Mr. </w:t>
      </w:r>
      <w:r w:rsidRPr="00EE1B14">
        <w:t xml:space="preserve">Sirois was </w:t>
      </w:r>
      <w:r w:rsidR="00FD552B" w:rsidRPr="00EE1B14">
        <w:t>exercising</w:t>
      </w:r>
      <w:r w:rsidRPr="00EE1B14">
        <w:t xml:space="preserve"> rights as a secured creditor </w:t>
      </w:r>
      <w:r w:rsidR="000705BF">
        <w:t xml:space="preserve">at that point, </w:t>
      </w:r>
      <w:r w:rsidR="00FD552B" w:rsidRPr="00EE1B14">
        <w:t>rather</w:t>
      </w:r>
      <w:r w:rsidRPr="00EE1B14">
        <w:t xml:space="preserve"> than acting in the context of a concerted transaction with </w:t>
      </w:r>
      <w:r w:rsidR="00EE47F8">
        <w:t xml:space="preserve">Mr. </w:t>
      </w:r>
      <w:proofErr w:type="spellStart"/>
      <w:r w:rsidRPr="00EE1B14">
        <w:t>Richer’s</w:t>
      </w:r>
      <w:proofErr w:type="spellEnd"/>
      <w:r w:rsidRPr="00EE1B14">
        <w:t xml:space="preserve"> agreement.</w:t>
      </w:r>
      <w:r w:rsidR="0084114F" w:rsidRPr="00EE1B14">
        <w:t xml:space="preserve"> </w:t>
      </w:r>
      <w:r w:rsidR="0073548E">
        <w:t>The judge could therefore reasonably find that</w:t>
      </w:r>
      <w:r w:rsidR="00EE47F8">
        <w:t xml:space="preserve"> </w:t>
      </w:r>
      <w:r w:rsidR="0073548E">
        <w:t xml:space="preserve">the condition to which the payment of the amounts claimed by </w:t>
      </w:r>
      <w:r w:rsidR="00D74A16">
        <w:t xml:space="preserve">Mr. </w:t>
      </w:r>
      <w:r w:rsidR="0073548E">
        <w:t>Richer was subject was never fulfilled.</w:t>
      </w:r>
    </w:p>
    <w:p w14:paraId="7EA43DD5" w14:textId="1358D6A4" w:rsidR="00844586" w:rsidRDefault="0073548E" w:rsidP="00A90F7A">
      <w:pPr>
        <w:pStyle w:val="Paragraphe"/>
        <w:spacing w:line="240" w:lineRule="auto"/>
      </w:pPr>
      <w:r w:rsidRPr="0073548E">
        <w:t xml:space="preserve">It </w:t>
      </w:r>
      <w:r w:rsidR="00EE47F8">
        <w:t>should be added</w:t>
      </w:r>
      <w:r w:rsidRPr="0073548E">
        <w:t xml:space="preserve"> that, in a formal </w:t>
      </w:r>
      <w:r w:rsidR="00233D60">
        <w:t>demand</w:t>
      </w:r>
      <w:r w:rsidRPr="0073548E">
        <w:t xml:space="preserve"> dated August 5, 2016, after </w:t>
      </w:r>
      <w:r w:rsidR="00EE47F8">
        <w:t xml:space="preserve">Mr. </w:t>
      </w:r>
      <w:r w:rsidRPr="0073548E">
        <w:t xml:space="preserve">Sirois indicated that he no longer wanted to </w:t>
      </w:r>
      <w:r w:rsidR="00785BC3">
        <w:t>continue</w:t>
      </w:r>
      <w:r w:rsidRPr="0073548E">
        <w:t xml:space="preserve"> a business partnership with </w:t>
      </w:r>
      <w:r w:rsidR="00EE47F8">
        <w:t xml:space="preserve">Mr. </w:t>
      </w:r>
      <w:r w:rsidRPr="0073548E">
        <w:t xml:space="preserve">Richer, the latter made remarks that tend to confirm those made by Mtre Beaupré that the </w:t>
      </w:r>
      <w:r w:rsidR="00FD552B">
        <w:t>[</w:t>
      </w:r>
      <w:r w:rsidR="00FD552B" w:rsidRPr="00072321">
        <w:rPr>
          <w:smallCaps/>
        </w:rPr>
        <w:t>translation</w:t>
      </w:r>
      <w:r w:rsidR="00FD552B">
        <w:t>]</w:t>
      </w:r>
      <w:r w:rsidR="00FD552B" w:rsidRPr="0073548E">
        <w:t xml:space="preserve"> </w:t>
      </w:r>
      <w:r w:rsidRPr="0073548E">
        <w:t>“</w:t>
      </w:r>
      <w:r w:rsidR="00EE47F8">
        <w:t xml:space="preserve">occurrence of the </w:t>
      </w:r>
      <w:r w:rsidRPr="0073548E">
        <w:t xml:space="preserve">Planned </w:t>
      </w:r>
      <w:r w:rsidR="00EE47F8">
        <w:t>T</w:t>
      </w:r>
      <w:r w:rsidRPr="0073548E">
        <w:t xml:space="preserve">ransaction” consisted </w:t>
      </w:r>
      <w:r w:rsidR="00EE47F8">
        <w:t>of</w:t>
      </w:r>
      <w:r w:rsidRPr="0073548E">
        <w:t xml:space="preserve"> an acquisition of </w:t>
      </w:r>
      <w:proofErr w:type="spellStart"/>
      <w:r w:rsidRPr="0073548E">
        <w:t>Wooky’s</w:t>
      </w:r>
      <w:proofErr w:type="spellEnd"/>
      <w:r w:rsidRPr="0073548E">
        <w:t xml:space="preserve"> assets in the specific context of a second agreement concluded between </w:t>
      </w:r>
      <w:r w:rsidR="00EE47F8">
        <w:t>Mr.</w:t>
      </w:r>
      <w:r w:rsidR="00CF4505">
        <w:t> </w:t>
      </w:r>
      <w:r w:rsidRPr="0073548E">
        <w:t xml:space="preserve">Richer </w:t>
      </w:r>
      <w:r w:rsidR="00FD552B" w:rsidRPr="0073548E">
        <w:t>and</w:t>
      </w:r>
      <w:r w:rsidRPr="0073548E">
        <w:t xml:space="preserve"> </w:t>
      </w:r>
      <w:r w:rsidR="00EE47F8">
        <w:t xml:space="preserve">Mr. </w:t>
      </w:r>
      <w:r w:rsidRPr="0073548E">
        <w:t>Sirois:</w:t>
      </w:r>
    </w:p>
    <w:p w14:paraId="39517510" w14:textId="764C5795" w:rsidR="00FD552B" w:rsidRDefault="00FD552B" w:rsidP="00A90F7A">
      <w:pPr>
        <w:pStyle w:val="Paragraphe"/>
        <w:keepNext/>
        <w:numPr>
          <w:ilvl w:val="0"/>
          <w:numId w:val="0"/>
        </w:numPr>
        <w:spacing w:line="240" w:lineRule="auto"/>
        <w:ind w:left="709" w:right="714"/>
        <w:rPr>
          <w:sz w:val="22"/>
          <w:szCs w:val="22"/>
        </w:rPr>
      </w:pPr>
      <w:r>
        <w:rPr>
          <w:sz w:val="22"/>
          <w:szCs w:val="22"/>
        </w:rPr>
        <w:t>[</w:t>
      </w:r>
      <w:r w:rsidRPr="00FD552B">
        <w:rPr>
          <w:smallCaps/>
          <w:sz w:val="22"/>
          <w:szCs w:val="22"/>
        </w:rPr>
        <w:t>translation</w:t>
      </w:r>
      <w:r>
        <w:rPr>
          <w:sz w:val="22"/>
          <w:szCs w:val="22"/>
        </w:rPr>
        <w:t>]</w:t>
      </w:r>
    </w:p>
    <w:p w14:paraId="7DE512B4" w14:textId="69D8B2D5" w:rsidR="00844586" w:rsidRPr="00E8050B" w:rsidRDefault="0073548E" w:rsidP="00A90F7A">
      <w:pPr>
        <w:pStyle w:val="Paragraphe"/>
        <w:keepNext/>
        <w:numPr>
          <w:ilvl w:val="0"/>
          <w:numId w:val="0"/>
        </w:numPr>
        <w:spacing w:line="240" w:lineRule="auto"/>
        <w:ind w:left="709" w:right="714"/>
        <w:rPr>
          <w:sz w:val="22"/>
          <w:szCs w:val="22"/>
        </w:rPr>
      </w:pPr>
      <w:r w:rsidRPr="00E8050B">
        <w:rPr>
          <w:sz w:val="22"/>
          <w:szCs w:val="22"/>
        </w:rPr>
        <w:t>Sir,</w:t>
      </w:r>
      <w:r w:rsidR="0084114F" w:rsidRPr="00E8050B">
        <w:rPr>
          <w:sz w:val="22"/>
          <w:szCs w:val="22"/>
        </w:rPr>
        <w:t xml:space="preserve"> </w:t>
      </w:r>
    </w:p>
    <w:p w14:paraId="580B8D2F" w14:textId="05146A17" w:rsidR="00844586" w:rsidRPr="0073548E" w:rsidRDefault="0073548E" w:rsidP="00A90F7A">
      <w:pPr>
        <w:pStyle w:val="Paragraphe"/>
        <w:numPr>
          <w:ilvl w:val="0"/>
          <w:numId w:val="0"/>
        </w:numPr>
        <w:spacing w:line="240" w:lineRule="auto"/>
        <w:ind w:left="709" w:right="715"/>
        <w:rPr>
          <w:sz w:val="22"/>
          <w:szCs w:val="22"/>
        </w:rPr>
      </w:pPr>
      <w:r w:rsidRPr="0073548E">
        <w:rPr>
          <w:sz w:val="22"/>
          <w:szCs w:val="22"/>
        </w:rPr>
        <w:t xml:space="preserve">We represent the interests of Mr. Kevin Richer, who has mandated us to address this letter to you </w:t>
      </w:r>
      <w:r w:rsidR="00FD552B" w:rsidRPr="0073548E">
        <w:rPr>
          <w:sz w:val="22"/>
          <w:szCs w:val="22"/>
        </w:rPr>
        <w:t>following</w:t>
      </w:r>
      <w:r w:rsidRPr="0073548E">
        <w:rPr>
          <w:sz w:val="22"/>
          <w:szCs w:val="22"/>
        </w:rPr>
        <w:t xml:space="preserve"> an email you sent to our client on July 22, 2016</w:t>
      </w:r>
      <w:r w:rsidR="00A73979">
        <w:rPr>
          <w:sz w:val="22"/>
          <w:szCs w:val="22"/>
        </w:rPr>
        <w:t>,</w:t>
      </w:r>
      <w:r w:rsidRPr="0073548E">
        <w:rPr>
          <w:sz w:val="22"/>
          <w:szCs w:val="22"/>
        </w:rPr>
        <w:t xml:space="preserve"> (the “Email”) and various subsequent communications.</w:t>
      </w:r>
    </w:p>
    <w:p w14:paraId="4E341F69" w14:textId="2369DB30" w:rsidR="00844586" w:rsidRPr="0073548E" w:rsidRDefault="0073548E" w:rsidP="00A90F7A">
      <w:pPr>
        <w:pStyle w:val="Paragraphe"/>
        <w:numPr>
          <w:ilvl w:val="0"/>
          <w:numId w:val="0"/>
        </w:numPr>
        <w:spacing w:line="240" w:lineRule="auto"/>
        <w:ind w:left="709" w:right="715"/>
        <w:rPr>
          <w:sz w:val="22"/>
          <w:szCs w:val="22"/>
        </w:rPr>
      </w:pPr>
      <w:r w:rsidRPr="0073548E">
        <w:rPr>
          <w:sz w:val="22"/>
          <w:szCs w:val="22"/>
        </w:rPr>
        <w:t>It is clear that you have a</w:t>
      </w:r>
      <w:r w:rsidR="00FD552B">
        <w:rPr>
          <w:sz w:val="22"/>
          <w:szCs w:val="22"/>
        </w:rPr>
        <w:t>n</w:t>
      </w:r>
      <w:r w:rsidRPr="0073548E">
        <w:rPr>
          <w:sz w:val="22"/>
          <w:szCs w:val="22"/>
        </w:rPr>
        <w:t xml:space="preserve"> </w:t>
      </w:r>
      <w:r w:rsidR="00FD552B">
        <w:rPr>
          <w:sz w:val="22"/>
          <w:szCs w:val="22"/>
        </w:rPr>
        <w:t>understanding</w:t>
      </w:r>
      <w:r w:rsidRPr="0073548E">
        <w:rPr>
          <w:sz w:val="22"/>
          <w:szCs w:val="22"/>
        </w:rPr>
        <w:t xml:space="preserve"> of the contract titled</w:t>
      </w:r>
      <w:r w:rsidR="00A73979">
        <w:rPr>
          <w:sz w:val="22"/>
          <w:szCs w:val="22"/>
        </w:rPr>
        <w:t xml:space="preserve"> [</w:t>
      </w:r>
      <w:r w:rsidR="00A73979">
        <w:rPr>
          <w:smallCaps/>
          <w:sz w:val="22"/>
          <w:szCs w:val="22"/>
        </w:rPr>
        <w:t>translation]</w:t>
      </w:r>
      <w:r w:rsidRPr="0073548E">
        <w:rPr>
          <w:sz w:val="22"/>
          <w:szCs w:val="22"/>
        </w:rPr>
        <w:t xml:space="preserve"> “Agreement on </w:t>
      </w:r>
      <w:r w:rsidR="00A73979">
        <w:rPr>
          <w:sz w:val="22"/>
          <w:szCs w:val="22"/>
        </w:rPr>
        <w:t>earnings</w:t>
      </w:r>
      <w:r w:rsidRPr="0073548E">
        <w:rPr>
          <w:sz w:val="22"/>
          <w:szCs w:val="22"/>
        </w:rPr>
        <w:t xml:space="preserve"> </w:t>
      </w:r>
      <w:r w:rsidR="00FD552B" w:rsidRPr="0073548E">
        <w:rPr>
          <w:sz w:val="22"/>
          <w:szCs w:val="22"/>
        </w:rPr>
        <w:t>and</w:t>
      </w:r>
      <w:r w:rsidRPr="0073548E">
        <w:rPr>
          <w:sz w:val="22"/>
          <w:szCs w:val="22"/>
        </w:rPr>
        <w:t xml:space="preserve"> profit sharing” signed in June 2016 (the “Contract”) </w:t>
      </w:r>
      <w:r w:rsidR="00FD552B" w:rsidRPr="0073548E">
        <w:rPr>
          <w:sz w:val="22"/>
          <w:szCs w:val="22"/>
        </w:rPr>
        <w:t xml:space="preserve">and of the circumstances </w:t>
      </w:r>
      <w:r w:rsidR="00CF4505">
        <w:rPr>
          <w:sz w:val="22"/>
          <w:szCs w:val="22"/>
        </w:rPr>
        <w:t>of</w:t>
      </w:r>
      <w:r w:rsidR="00FD552B" w:rsidRPr="0073548E">
        <w:rPr>
          <w:sz w:val="22"/>
          <w:szCs w:val="22"/>
        </w:rPr>
        <w:t xml:space="preserve"> its execution and performance </w:t>
      </w:r>
      <w:r w:rsidRPr="0073548E">
        <w:rPr>
          <w:sz w:val="22"/>
          <w:szCs w:val="22"/>
        </w:rPr>
        <w:t xml:space="preserve">that is particular, to say the least. </w:t>
      </w:r>
    </w:p>
    <w:p w14:paraId="40A5E918" w14:textId="20ED8D37" w:rsidR="00844586" w:rsidRPr="0073548E" w:rsidRDefault="0073548E" w:rsidP="00A90F7A">
      <w:pPr>
        <w:pStyle w:val="Paragraphe"/>
        <w:numPr>
          <w:ilvl w:val="0"/>
          <w:numId w:val="0"/>
        </w:numPr>
        <w:spacing w:line="240" w:lineRule="auto"/>
        <w:ind w:left="709" w:right="715"/>
        <w:rPr>
          <w:sz w:val="22"/>
          <w:szCs w:val="22"/>
        </w:rPr>
      </w:pPr>
      <w:r w:rsidRPr="0073548E">
        <w:rPr>
          <w:sz w:val="22"/>
          <w:szCs w:val="22"/>
        </w:rPr>
        <w:t xml:space="preserve">Our client completely disagrees with the interpretation </w:t>
      </w:r>
      <w:r w:rsidR="003D04E0" w:rsidRPr="0073548E">
        <w:rPr>
          <w:sz w:val="22"/>
          <w:szCs w:val="22"/>
        </w:rPr>
        <w:t>and</w:t>
      </w:r>
      <w:r w:rsidRPr="0073548E">
        <w:rPr>
          <w:sz w:val="22"/>
          <w:szCs w:val="22"/>
        </w:rPr>
        <w:t xml:space="preserve"> allegations in the Email.</w:t>
      </w:r>
      <w:r w:rsidR="0084114F" w:rsidRPr="0073548E">
        <w:rPr>
          <w:sz w:val="22"/>
          <w:szCs w:val="22"/>
        </w:rPr>
        <w:t xml:space="preserve"> </w:t>
      </w:r>
      <w:r w:rsidRPr="0073548E">
        <w:rPr>
          <w:sz w:val="22"/>
          <w:szCs w:val="22"/>
        </w:rPr>
        <w:t xml:space="preserve">You seem to </w:t>
      </w:r>
      <w:r w:rsidR="003D04E0" w:rsidRPr="0073548E">
        <w:rPr>
          <w:sz w:val="22"/>
          <w:szCs w:val="22"/>
        </w:rPr>
        <w:t>have</w:t>
      </w:r>
      <w:r w:rsidRPr="0073548E">
        <w:rPr>
          <w:sz w:val="22"/>
          <w:szCs w:val="22"/>
        </w:rPr>
        <w:t xml:space="preserve"> </w:t>
      </w:r>
      <w:r w:rsidR="00962C2B">
        <w:rPr>
          <w:sz w:val="22"/>
          <w:szCs w:val="22"/>
        </w:rPr>
        <w:t>made</w:t>
      </w:r>
      <w:r w:rsidRPr="0073548E">
        <w:rPr>
          <w:sz w:val="22"/>
          <w:szCs w:val="22"/>
        </w:rPr>
        <w:t xml:space="preserve"> the unilateral decision to </w:t>
      </w:r>
      <w:r w:rsidR="00FD552B">
        <w:rPr>
          <w:sz w:val="22"/>
          <w:szCs w:val="22"/>
        </w:rPr>
        <w:t>refuse to comply with</w:t>
      </w:r>
      <w:r w:rsidRPr="0073548E">
        <w:rPr>
          <w:sz w:val="22"/>
          <w:szCs w:val="22"/>
        </w:rPr>
        <w:t xml:space="preserve"> certain terms of the Contract </w:t>
      </w:r>
      <w:r w:rsidR="00FD552B">
        <w:rPr>
          <w:sz w:val="22"/>
          <w:szCs w:val="22"/>
        </w:rPr>
        <w:t>concerning</w:t>
      </w:r>
      <w:r w:rsidRPr="0073548E">
        <w:rPr>
          <w:sz w:val="22"/>
          <w:szCs w:val="22"/>
        </w:rPr>
        <w:t xml:space="preserve"> its performance and resiliation.</w:t>
      </w:r>
    </w:p>
    <w:p w14:paraId="37EC116A" w14:textId="01001392" w:rsidR="00844586" w:rsidRPr="00A973CA" w:rsidRDefault="00962C2B" w:rsidP="00A90F7A">
      <w:pPr>
        <w:pStyle w:val="Paragraphe"/>
        <w:numPr>
          <w:ilvl w:val="0"/>
          <w:numId w:val="0"/>
        </w:numPr>
        <w:spacing w:line="240" w:lineRule="auto"/>
        <w:ind w:left="709" w:right="715"/>
        <w:rPr>
          <w:sz w:val="22"/>
          <w:szCs w:val="22"/>
        </w:rPr>
      </w:pPr>
      <w:r>
        <w:rPr>
          <w:sz w:val="22"/>
          <w:szCs w:val="22"/>
        </w:rPr>
        <w:t>Unlike</w:t>
      </w:r>
      <w:r w:rsidR="0073548E" w:rsidRPr="0073548E">
        <w:rPr>
          <w:sz w:val="22"/>
          <w:szCs w:val="22"/>
        </w:rPr>
        <w:t xml:space="preserve"> you, our client considers that </w:t>
      </w:r>
      <w:r w:rsidR="00FD552B">
        <w:rPr>
          <w:sz w:val="22"/>
          <w:szCs w:val="22"/>
        </w:rPr>
        <w:t>all</w:t>
      </w:r>
      <w:r w:rsidR="0073548E" w:rsidRPr="0073548E">
        <w:rPr>
          <w:sz w:val="22"/>
          <w:szCs w:val="22"/>
        </w:rPr>
        <w:t xml:space="preserve"> part</w:t>
      </w:r>
      <w:r w:rsidR="00FD552B">
        <w:rPr>
          <w:sz w:val="22"/>
          <w:szCs w:val="22"/>
        </w:rPr>
        <w:t>s</w:t>
      </w:r>
      <w:r w:rsidR="0073548E" w:rsidRPr="0073548E">
        <w:rPr>
          <w:sz w:val="22"/>
          <w:szCs w:val="22"/>
        </w:rPr>
        <w:t xml:space="preserve"> of the Contract </w:t>
      </w:r>
      <w:r w:rsidR="00FD552B">
        <w:rPr>
          <w:sz w:val="22"/>
          <w:szCs w:val="22"/>
        </w:rPr>
        <w:t>are interrelated</w:t>
      </w:r>
      <w:r w:rsidR="0073548E" w:rsidRPr="0073548E">
        <w:rPr>
          <w:sz w:val="22"/>
          <w:szCs w:val="22"/>
        </w:rPr>
        <w:t xml:space="preserve"> and must be performed in good faith, in accordance with the provisions </w:t>
      </w:r>
      <w:r w:rsidR="00FD552B">
        <w:rPr>
          <w:sz w:val="22"/>
          <w:szCs w:val="22"/>
        </w:rPr>
        <w:t>of</w:t>
      </w:r>
      <w:r w:rsidR="0073548E" w:rsidRPr="0073548E">
        <w:rPr>
          <w:sz w:val="22"/>
          <w:szCs w:val="22"/>
        </w:rPr>
        <w:t xml:space="preserve"> article 1375 of the </w:t>
      </w:r>
      <w:r w:rsidR="0073548E" w:rsidRPr="00FD552B">
        <w:rPr>
          <w:i/>
          <w:iCs/>
          <w:sz w:val="22"/>
          <w:szCs w:val="22"/>
        </w:rPr>
        <w:t>Civil Code of Québec</w:t>
      </w:r>
      <w:r w:rsidR="0073548E" w:rsidRPr="0073548E">
        <w:rPr>
          <w:sz w:val="22"/>
          <w:szCs w:val="22"/>
        </w:rPr>
        <w:t>.</w:t>
      </w:r>
      <w:r w:rsidR="0084114F" w:rsidRPr="0073548E">
        <w:rPr>
          <w:sz w:val="22"/>
          <w:szCs w:val="22"/>
        </w:rPr>
        <w:t xml:space="preserve"> </w:t>
      </w:r>
      <w:r w:rsidR="00A973CA" w:rsidRPr="00A973CA">
        <w:rPr>
          <w:sz w:val="22"/>
          <w:szCs w:val="22"/>
        </w:rPr>
        <w:t>In this respect, even though this reminder may appear superfluous to any party who is in good faith, we insist on the fact that neither</w:t>
      </w:r>
      <w:r w:rsidR="00FD552B">
        <w:rPr>
          <w:sz w:val="22"/>
          <w:szCs w:val="22"/>
        </w:rPr>
        <w:t xml:space="preserve"> party</w:t>
      </w:r>
      <w:r w:rsidR="00A973CA" w:rsidRPr="00A973CA">
        <w:rPr>
          <w:sz w:val="22"/>
          <w:szCs w:val="22"/>
        </w:rPr>
        <w:t xml:space="preserve"> may avoid it by voluntarily refraining or neglecting to fulfill any of their obligations.</w:t>
      </w:r>
      <w:r w:rsidR="0084114F" w:rsidRPr="00A973CA">
        <w:rPr>
          <w:sz w:val="22"/>
          <w:szCs w:val="22"/>
        </w:rPr>
        <w:t xml:space="preserve"> </w:t>
      </w:r>
      <w:r w:rsidR="00A973CA" w:rsidRPr="00A973CA">
        <w:rPr>
          <w:sz w:val="22"/>
          <w:szCs w:val="22"/>
        </w:rPr>
        <w:t xml:space="preserve">Similarly, </w:t>
      </w:r>
      <w:r w:rsidR="00FD552B" w:rsidRPr="00A973CA">
        <w:rPr>
          <w:sz w:val="22"/>
          <w:szCs w:val="22"/>
        </w:rPr>
        <w:t>neither</w:t>
      </w:r>
      <w:r w:rsidR="00A973CA" w:rsidRPr="00A973CA">
        <w:rPr>
          <w:sz w:val="22"/>
          <w:szCs w:val="22"/>
        </w:rPr>
        <w:t xml:space="preserve"> party may act, publicly or privately, with the goal of causing the Planned </w:t>
      </w:r>
      <w:r w:rsidR="00A73979">
        <w:rPr>
          <w:sz w:val="22"/>
          <w:szCs w:val="22"/>
        </w:rPr>
        <w:t>T</w:t>
      </w:r>
      <w:r w:rsidR="00A973CA" w:rsidRPr="00A973CA">
        <w:rPr>
          <w:sz w:val="22"/>
          <w:szCs w:val="22"/>
        </w:rPr>
        <w:t xml:space="preserve">ransaction in the Contract to fail. </w:t>
      </w:r>
      <w:r w:rsidR="0084114F" w:rsidRPr="00A973CA">
        <w:rPr>
          <w:sz w:val="22"/>
          <w:szCs w:val="22"/>
        </w:rPr>
        <w:t xml:space="preserve"> </w:t>
      </w:r>
    </w:p>
    <w:p w14:paraId="7664E539" w14:textId="77086014" w:rsidR="00844586" w:rsidRPr="00A973CA" w:rsidRDefault="00A973CA" w:rsidP="00F07986">
      <w:pPr>
        <w:pStyle w:val="Paragraphe"/>
        <w:keepNext/>
        <w:numPr>
          <w:ilvl w:val="0"/>
          <w:numId w:val="0"/>
        </w:numPr>
        <w:spacing w:line="240" w:lineRule="auto"/>
        <w:ind w:left="709" w:right="714"/>
        <w:rPr>
          <w:sz w:val="22"/>
          <w:szCs w:val="22"/>
        </w:rPr>
      </w:pPr>
      <w:r w:rsidRPr="00A973CA">
        <w:rPr>
          <w:sz w:val="22"/>
          <w:szCs w:val="22"/>
        </w:rPr>
        <w:lastRenderedPageBreak/>
        <w:t xml:space="preserve">Our client therefore requires your strict compliance with the Contract and all its provisions </w:t>
      </w:r>
      <w:r w:rsidRPr="00A973CA">
        <w:rPr>
          <w:sz w:val="22"/>
          <w:szCs w:val="22"/>
          <w:u w:val="single"/>
        </w:rPr>
        <w:t xml:space="preserve">and is at your </w:t>
      </w:r>
      <w:r w:rsidR="004207D4" w:rsidRPr="00A973CA">
        <w:rPr>
          <w:sz w:val="22"/>
          <w:szCs w:val="22"/>
          <w:u w:val="single"/>
        </w:rPr>
        <w:t>disposal</w:t>
      </w:r>
      <w:r w:rsidRPr="00A973CA">
        <w:rPr>
          <w:sz w:val="22"/>
          <w:szCs w:val="22"/>
          <w:u w:val="single"/>
        </w:rPr>
        <w:t xml:space="preserve"> to fix a date to sign the contract to purchase the Richer Assets concerned </w:t>
      </w:r>
      <w:r w:rsidR="00A73979">
        <w:rPr>
          <w:sz w:val="22"/>
          <w:szCs w:val="22"/>
          <w:u w:val="single"/>
        </w:rPr>
        <w:t>by</w:t>
      </w:r>
      <w:r w:rsidRPr="00A973CA">
        <w:rPr>
          <w:sz w:val="22"/>
          <w:szCs w:val="22"/>
          <w:u w:val="single"/>
        </w:rPr>
        <w:t xml:space="preserve"> the Planned </w:t>
      </w:r>
      <w:r w:rsidR="00A73979">
        <w:rPr>
          <w:sz w:val="22"/>
          <w:szCs w:val="22"/>
          <w:u w:val="single"/>
        </w:rPr>
        <w:t>T</w:t>
      </w:r>
      <w:r w:rsidRPr="00A973CA">
        <w:rPr>
          <w:sz w:val="22"/>
          <w:szCs w:val="22"/>
          <w:u w:val="single"/>
        </w:rPr>
        <w:t xml:space="preserve">ransaction, as set out </w:t>
      </w:r>
      <w:r w:rsidR="00A73979">
        <w:rPr>
          <w:sz w:val="22"/>
          <w:szCs w:val="22"/>
          <w:u w:val="single"/>
        </w:rPr>
        <w:t>in</w:t>
      </w:r>
      <w:r w:rsidRPr="00A973CA">
        <w:rPr>
          <w:sz w:val="22"/>
          <w:szCs w:val="22"/>
          <w:u w:val="single"/>
        </w:rPr>
        <w:t xml:space="preserve"> the Contract</w:t>
      </w:r>
      <w:r w:rsidRPr="00A973CA">
        <w:rPr>
          <w:sz w:val="22"/>
          <w:szCs w:val="22"/>
        </w:rPr>
        <w:t>.</w:t>
      </w:r>
    </w:p>
    <w:p w14:paraId="17BAB41F" w14:textId="1213A95D" w:rsidR="00844586" w:rsidRDefault="006751C0" w:rsidP="00F07986">
      <w:pPr>
        <w:pStyle w:val="Paragraphe"/>
        <w:keepNext/>
        <w:numPr>
          <w:ilvl w:val="0"/>
          <w:numId w:val="0"/>
        </w:numPr>
        <w:spacing w:line="240" w:lineRule="auto"/>
        <w:ind w:left="709" w:right="714"/>
        <w:rPr>
          <w:sz w:val="22"/>
          <w:szCs w:val="22"/>
        </w:rPr>
      </w:pPr>
      <w:r>
        <w:rPr>
          <w:sz w:val="22"/>
          <w:szCs w:val="22"/>
        </w:rPr>
        <w:t>...</w:t>
      </w:r>
    </w:p>
    <w:p w14:paraId="709CB8D7" w14:textId="76EA5AC6" w:rsidR="00844586" w:rsidRPr="00E8050B" w:rsidRDefault="00C367DE" w:rsidP="00F07986">
      <w:pPr>
        <w:pStyle w:val="Paragraphe"/>
        <w:keepNext/>
        <w:numPr>
          <w:ilvl w:val="0"/>
          <w:numId w:val="0"/>
        </w:numPr>
        <w:spacing w:line="240" w:lineRule="auto"/>
        <w:ind w:left="709" w:right="714"/>
        <w:jc w:val="right"/>
        <w:rPr>
          <w:sz w:val="22"/>
          <w:szCs w:val="22"/>
        </w:rPr>
      </w:pPr>
      <w:r w:rsidRPr="00E8050B">
        <w:rPr>
          <w:sz w:val="22"/>
          <w:szCs w:val="22"/>
        </w:rPr>
        <w:t>[Emphasis added.]</w:t>
      </w:r>
    </w:p>
    <w:p w14:paraId="476BF70F" w14:textId="776BF6D0" w:rsidR="00844586" w:rsidRPr="00123D5C" w:rsidRDefault="00A973CA" w:rsidP="00A90F7A">
      <w:pPr>
        <w:pStyle w:val="Paragraphe"/>
        <w:spacing w:line="240" w:lineRule="auto"/>
      </w:pPr>
      <w:r w:rsidRPr="00A973CA">
        <w:t xml:space="preserve">In closing, I note that Mtre </w:t>
      </w:r>
      <w:proofErr w:type="spellStart"/>
      <w:r w:rsidRPr="00A973CA">
        <w:t>Beaupré’s</w:t>
      </w:r>
      <w:proofErr w:type="spellEnd"/>
      <w:r w:rsidRPr="00A973CA">
        <w:t xml:space="preserve"> explanations on Richer and Sirois’s intentions and on the meaning to be given to the expression</w:t>
      </w:r>
      <w:r w:rsidR="00750186">
        <w:t xml:space="preserve"> [</w:t>
      </w:r>
      <w:r w:rsidR="00750186">
        <w:rPr>
          <w:smallCaps/>
        </w:rPr>
        <w:t>translation</w:t>
      </w:r>
      <w:r w:rsidR="00750186">
        <w:t>]</w:t>
      </w:r>
      <w:r w:rsidRPr="00A973CA">
        <w:t xml:space="preserve"> “Planned </w:t>
      </w:r>
      <w:r w:rsidR="00750186">
        <w:t>T</w:t>
      </w:r>
      <w:r w:rsidRPr="00A973CA">
        <w:t xml:space="preserve">ransaction” are consistent with other elements in the </w:t>
      </w:r>
      <w:r w:rsidR="00F07986">
        <w:t>record</w:t>
      </w:r>
      <w:r w:rsidRPr="00A973CA">
        <w:t>.</w:t>
      </w:r>
      <w:r w:rsidR="0084114F" w:rsidRPr="00A973CA">
        <w:t xml:space="preserve"> </w:t>
      </w:r>
      <w:r w:rsidRPr="00A973CA">
        <w:t>I</w:t>
      </w:r>
      <w:r w:rsidR="004207D4">
        <w:t>n</w:t>
      </w:r>
      <w:r w:rsidRPr="00A973CA">
        <w:t xml:space="preserve"> his testimony, which the judge characterized as honest and without artifice,</w:t>
      </w:r>
      <w:r>
        <w:rPr>
          <w:rFonts w:cs="Arial"/>
          <w:szCs w:val="24"/>
          <w:vertAlign w:val="superscript"/>
        </w:rPr>
        <w:footnoteReference w:id="38"/>
      </w:r>
      <w:r w:rsidRPr="00A973CA">
        <w:rPr>
          <w:rFonts w:cs="Arial"/>
          <w:szCs w:val="24"/>
        </w:rPr>
        <w:t xml:space="preserve"> </w:t>
      </w:r>
      <w:r w:rsidR="00750186">
        <w:rPr>
          <w:rFonts w:cs="Arial"/>
          <w:szCs w:val="24"/>
        </w:rPr>
        <w:t xml:space="preserve">Mr. </w:t>
      </w:r>
      <w:r w:rsidRPr="00A973CA">
        <w:rPr>
          <w:rFonts w:cs="Arial"/>
          <w:szCs w:val="24"/>
        </w:rPr>
        <w:t>Sirois repeatedly pointed out that he had little experience with corporate mergers and acquisitions and that he knew practically nothing about</w:t>
      </w:r>
      <w:r w:rsidR="004207D4">
        <w:rPr>
          <w:rFonts w:cs="Arial"/>
          <w:szCs w:val="24"/>
        </w:rPr>
        <w:t xml:space="preserve"> </w:t>
      </w:r>
      <w:r w:rsidRPr="00A973CA">
        <w:rPr>
          <w:rFonts w:cs="Arial"/>
          <w:szCs w:val="24"/>
        </w:rPr>
        <w:t xml:space="preserve">the industry in which </w:t>
      </w:r>
      <w:proofErr w:type="spellStart"/>
      <w:r w:rsidRPr="00A973CA">
        <w:rPr>
          <w:rFonts w:cs="Arial"/>
          <w:szCs w:val="24"/>
        </w:rPr>
        <w:t>Wooky</w:t>
      </w:r>
      <w:proofErr w:type="spellEnd"/>
      <w:r w:rsidRPr="00A973CA">
        <w:rPr>
          <w:rFonts w:cs="Arial"/>
          <w:szCs w:val="24"/>
        </w:rPr>
        <w:t xml:space="preserve"> operated. </w:t>
      </w:r>
      <w:r w:rsidRPr="00A973CA">
        <w:t xml:space="preserve">These elements suggest that it would be more consistent with good commercial sense to consider that, from </w:t>
      </w:r>
      <w:r w:rsidR="00750186">
        <w:t xml:space="preserve">Mr. </w:t>
      </w:r>
      <w:r w:rsidRPr="00A973CA">
        <w:t xml:space="preserve">Sirois’s point of view, the acquisition of </w:t>
      </w:r>
      <w:proofErr w:type="spellStart"/>
      <w:r w:rsidRPr="00A973CA">
        <w:t>Wooky’s</w:t>
      </w:r>
      <w:proofErr w:type="spellEnd"/>
      <w:r w:rsidRPr="00A973CA">
        <w:t xml:space="preserve"> assets was only </w:t>
      </w:r>
      <w:r w:rsidR="00750186">
        <w:t xml:space="preserve">of </w:t>
      </w:r>
      <w:r w:rsidRPr="00A973CA">
        <w:t xml:space="preserve">interest in the context of a close business partnership with </w:t>
      </w:r>
      <w:r w:rsidR="00750186">
        <w:t xml:space="preserve">Mr. </w:t>
      </w:r>
      <w:r w:rsidRPr="00A973CA">
        <w:t>Richer.</w:t>
      </w:r>
      <w:r w:rsidR="0084114F" w:rsidRPr="00A973CA">
        <w:t xml:space="preserve"> </w:t>
      </w:r>
      <w:r w:rsidR="00123D5C" w:rsidRPr="00123D5C">
        <w:t xml:space="preserve">In addition, I find the provision in agreement P-5 providing for Richer </w:t>
      </w:r>
      <w:r w:rsidR="00750186">
        <w:t xml:space="preserve">to </w:t>
      </w:r>
      <w:r w:rsidR="00123D5C" w:rsidRPr="00123D5C">
        <w:t>be hired as chief creative officer</w:t>
      </w:r>
      <w:r w:rsidR="00123D5C">
        <w:rPr>
          <w:rFonts w:cs="Arial"/>
          <w:szCs w:val="24"/>
          <w:vertAlign w:val="superscript"/>
        </w:rPr>
        <w:footnoteReference w:id="39"/>
      </w:r>
      <w:r w:rsidR="00123D5C" w:rsidRPr="00123D5C">
        <w:t xml:space="preserve"> very telling of the parties’ commitment to </w:t>
      </w:r>
      <w:r w:rsidR="004207D4">
        <w:t>signing</w:t>
      </w:r>
      <w:r w:rsidR="00123D5C" w:rsidRPr="00123D5C">
        <w:t xml:space="preserve"> an employment contract </w:t>
      </w:r>
      <w:r w:rsidR="004207D4">
        <w:t>[</w:t>
      </w:r>
      <w:r w:rsidR="004207D4" w:rsidRPr="00072321">
        <w:rPr>
          <w:smallCaps/>
        </w:rPr>
        <w:t>translation</w:t>
      </w:r>
      <w:r w:rsidR="004207D4">
        <w:t>]</w:t>
      </w:r>
      <w:r w:rsidR="004207D4" w:rsidRPr="00123D5C">
        <w:t xml:space="preserve"> </w:t>
      </w:r>
      <w:r w:rsidR="00123D5C" w:rsidRPr="00123D5C">
        <w:t xml:space="preserve">“concurrent with the closing of the Planned </w:t>
      </w:r>
      <w:r w:rsidR="00750186">
        <w:t>T</w:t>
      </w:r>
      <w:r w:rsidR="00123D5C" w:rsidRPr="00123D5C">
        <w:t>ransaction”.</w:t>
      </w:r>
      <w:r w:rsidR="0084114F" w:rsidRPr="00123D5C">
        <w:t xml:space="preserve"> </w:t>
      </w:r>
      <w:r w:rsidR="00123D5C" w:rsidRPr="00123D5C">
        <w:t xml:space="preserve">This provision only makes sense, it seems to me, if the scope of the expression </w:t>
      </w:r>
      <w:r w:rsidR="008974A6">
        <w:t>[</w:t>
      </w:r>
      <w:r w:rsidR="008974A6" w:rsidRPr="00072321">
        <w:rPr>
          <w:smallCaps/>
        </w:rPr>
        <w:t>translation</w:t>
      </w:r>
      <w:r w:rsidR="008974A6">
        <w:t>]</w:t>
      </w:r>
      <w:r w:rsidR="008974A6" w:rsidRPr="00123D5C">
        <w:t xml:space="preserve"> </w:t>
      </w:r>
      <w:r w:rsidR="00123D5C" w:rsidRPr="00123D5C">
        <w:t xml:space="preserve">“Planned </w:t>
      </w:r>
      <w:r w:rsidR="008974A6">
        <w:t>T</w:t>
      </w:r>
      <w:r w:rsidR="004207D4" w:rsidRPr="00123D5C">
        <w:t>ransaction</w:t>
      </w:r>
      <w:r w:rsidR="00123D5C" w:rsidRPr="00123D5C">
        <w:t xml:space="preserve">” is limited to an asset transfer </w:t>
      </w:r>
      <w:r w:rsidR="008974A6">
        <w:t xml:space="preserve">occurring in a </w:t>
      </w:r>
      <w:r w:rsidR="00123D5C" w:rsidRPr="00123D5C">
        <w:t xml:space="preserve">concerted </w:t>
      </w:r>
      <w:r w:rsidR="008974A6">
        <w:t xml:space="preserve">manner </w:t>
      </w:r>
      <w:r w:rsidR="00123D5C" w:rsidRPr="00123D5C">
        <w:t xml:space="preserve">between </w:t>
      </w:r>
      <w:r w:rsidR="008974A6">
        <w:t xml:space="preserve">Mr. </w:t>
      </w:r>
      <w:r w:rsidR="00123D5C" w:rsidRPr="00123D5C">
        <w:t xml:space="preserve">Richer </w:t>
      </w:r>
      <w:r w:rsidR="004207D4" w:rsidRPr="00123D5C">
        <w:t>and</w:t>
      </w:r>
      <w:r w:rsidR="00123D5C" w:rsidRPr="00123D5C">
        <w:t xml:space="preserve"> </w:t>
      </w:r>
      <w:r w:rsidR="008974A6">
        <w:t xml:space="preserve">Mr. </w:t>
      </w:r>
      <w:r w:rsidR="00123D5C" w:rsidRPr="00123D5C">
        <w:t>Sirois.</w:t>
      </w:r>
    </w:p>
    <w:p w14:paraId="13F1C41B" w14:textId="1A2CF8FE" w:rsidR="00844586" w:rsidRPr="00123D5C" w:rsidRDefault="00123D5C" w:rsidP="00A90F7A">
      <w:pPr>
        <w:pStyle w:val="Paragraphe"/>
        <w:spacing w:line="240" w:lineRule="auto"/>
      </w:pPr>
      <w:r w:rsidRPr="00123D5C">
        <w:t xml:space="preserve">In short, in light of these </w:t>
      </w:r>
      <w:r w:rsidR="00E74118">
        <w:t>aspects</w:t>
      </w:r>
      <w:r w:rsidRPr="00123D5C">
        <w:t xml:space="preserve"> of the case, I do not see how one </w:t>
      </w:r>
      <w:r w:rsidR="004207D4" w:rsidRPr="00123D5C">
        <w:t>could</w:t>
      </w:r>
      <w:r w:rsidRPr="00123D5C">
        <w:t xml:space="preserve"> find – much less </w:t>
      </w:r>
      <w:r w:rsidRPr="00123D5C">
        <w:rPr>
          <w:i/>
        </w:rPr>
        <w:t>with certainty</w:t>
      </w:r>
      <w:r w:rsidRPr="00123D5C">
        <w:t xml:space="preserve"> – that the evidence cannot reasonably support the judge’s conclusion that an asset transfer </w:t>
      </w:r>
      <w:r w:rsidR="008974A6">
        <w:t>occurring in the context of</w:t>
      </w:r>
      <w:r w:rsidRPr="00123D5C">
        <w:t xml:space="preserve"> </w:t>
      </w:r>
      <w:r w:rsidR="008974A6">
        <w:t xml:space="preserve">Mr. </w:t>
      </w:r>
      <w:r w:rsidRPr="00123D5C">
        <w:t>Sirois exercis</w:t>
      </w:r>
      <w:r w:rsidR="008974A6">
        <w:t>ing</w:t>
      </w:r>
      <w:r w:rsidRPr="00123D5C">
        <w:t xml:space="preserve"> </w:t>
      </w:r>
      <w:r w:rsidR="004207D4" w:rsidRPr="00123D5C">
        <w:t>his</w:t>
      </w:r>
      <w:r w:rsidRPr="00123D5C">
        <w:t xml:space="preserve"> rights as a creditor, without </w:t>
      </w:r>
      <w:r w:rsidR="00610E62">
        <w:t xml:space="preserve">Mr. </w:t>
      </w:r>
      <w:proofErr w:type="spellStart"/>
      <w:r w:rsidRPr="00123D5C">
        <w:t>Richer’s</w:t>
      </w:r>
      <w:proofErr w:type="spellEnd"/>
      <w:r w:rsidRPr="00123D5C">
        <w:t xml:space="preserve"> agreement, </w:t>
      </w:r>
      <w:r w:rsidR="004207D4">
        <w:t>amounts</w:t>
      </w:r>
      <w:r w:rsidRPr="00123D5C">
        <w:t xml:space="preserve"> to the </w:t>
      </w:r>
      <w:r w:rsidR="004207D4">
        <w:t>[</w:t>
      </w:r>
      <w:r w:rsidR="004207D4" w:rsidRPr="00072321">
        <w:rPr>
          <w:smallCaps/>
        </w:rPr>
        <w:t>translation</w:t>
      </w:r>
      <w:r w:rsidR="004207D4">
        <w:t>]</w:t>
      </w:r>
      <w:r w:rsidR="004207D4" w:rsidRPr="00123D5C">
        <w:t xml:space="preserve"> </w:t>
      </w:r>
      <w:r w:rsidRPr="00123D5C">
        <w:t>“</w:t>
      </w:r>
      <w:r w:rsidR="00610E62">
        <w:t>occurrence of the ‘</w:t>
      </w:r>
      <w:r w:rsidRPr="00123D5C">
        <w:t xml:space="preserve">Planned </w:t>
      </w:r>
      <w:r w:rsidR="00E74118">
        <w:t>T</w:t>
      </w:r>
      <w:r w:rsidRPr="00123D5C">
        <w:t>ransaction’”.</w:t>
      </w:r>
    </w:p>
    <w:p w14:paraId="3CFD087D" w14:textId="0386F4C5" w:rsidR="00844586" w:rsidRPr="00AB0373" w:rsidRDefault="00B70773" w:rsidP="00A90F7A">
      <w:pPr>
        <w:pStyle w:val="Paragraphe"/>
        <w:numPr>
          <w:ilvl w:val="0"/>
          <w:numId w:val="0"/>
        </w:numPr>
        <w:spacing w:line="240" w:lineRule="auto"/>
        <w:jc w:val="center"/>
      </w:pPr>
      <w:r>
        <w:t>*</w:t>
      </w:r>
      <w:r w:rsidR="0084114F">
        <w:tab/>
      </w:r>
      <w:r>
        <w:t>*</w:t>
      </w:r>
      <w:r w:rsidR="0084114F">
        <w:tab/>
      </w:r>
      <w:r>
        <w:t>*</w:t>
      </w:r>
    </w:p>
    <w:p w14:paraId="523B8497" w14:textId="441F004D" w:rsidR="00844586" w:rsidRPr="00CB79A3" w:rsidRDefault="00CB79A3" w:rsidP="00A90F7A">
      <w:pPr>
        <w:pStyle w:val="Paragraphe"/>
        <w:spacing w:line="240" w:lineRule="auto"/>
      </w:pPr>
      <w:r w:rsidRPr="004207D4">
        <w:t xml:space="preserve">In paragraph [54] of his reasons, my colleague asserts in the alternative that, in the hypothesis </w:t>
      </w:r>
      <w:r w:rsidR="004207D4" w:rsidRPr="004207D4">
        <w:t>where</w:t>
      </w:r>
      <w:r w:rsidRPr="004207D4">
        <w:t xml:space="preserve"> the payment of the amounts claimed by </w:t>
      </w:r>
      <w:r w:rsidR="00EE072D">
        <w:t xml:space="preserve">Mr. </w:t>
      </w:r>
      <w:r w:rsidRPr="004207D4">
        <w:t xml:space="preserve">Richer were conditional </w:t>
      </w:r>
      <w:r w:rsidR="00EE072D">
        <w:t>on</w:t>
      </w:r>
      <w:r w:rsidRPr="004207D4">
        <w:t xml:space="preserve"> the parties </w:t>
      </w:r>
      <w:r w:rsidR="00F156D3">
        <w:t xml:space="preserve">entering into </w:t>
      </w:r>
      <w:r w:rsidRPr="004207D4">
        <w:t xml:space="preserve">a second agreement, that condition should be considered of no effect given that </w:t>
      </w:r>
      <w:r w:rsidR="00EE072D">
        <w:t xml:space="preserve">Mr. </w:t>
      </w:r>
      <w:r w:rsidRPr="004207D4">
        <w:t xml:space="preserve">Sirois prevented it from being fulfilled within the meaning of article 1503 </w:t>
      </w:r>
      <w:r w:rsidRPr="00233D60">
        <w:rPr>
          <w:i/>
          <w:iCs/>
        </w:rPr>
        <w:t>C.C.Q</w:t>
      </w:r>
      <w:r w:rsidRPr="00EE072D">
        <w:rPr>
          <w:i/>
          <w:iCs/>
        </w:rPr>
        <w:t>.</w:t>
      </w:r>
      <w:r w:rsidR="0084114F" w:rsidRPr="00CB79A3">
        <w:t xml:space="preserve"> </w:t>
      </w:r>
      <w:r w:rsidRPr="00CB79A3">
        <w:t xml:space="preserve">More specifically, my colleague </w:t>
      </w:r>
      <w:r w:rsidR="00F156D3">
        <w:t xml:space="preserve">finds </w:t>
      </w:r>
      <w:r w:rsidRPr="00CB79A3">
        <w:t xml:space="preserve">that </w:t>
      </w:r>
      <w:r w:rsidR="00EE072D">
        <w:t xml:space="preserve">Mr. </w:t>
      </w:r>
      <w:r w:rsidRPr="00CB79A3">
        <w:t>Sirois acted wrong</w:t>
      </w:r>
      <w:r w:rsidR="006F035F">
        <w:t>ful</w:t>
      </w:r>
      <w:r w:rsidRPr="00CB79A3">
        <w:t>ly</w:t>
      </w:r>
      <w:r w:rsidR="006F035F">
        <w:t>,</w:t>
      </w:r>
      <w:r>
        <w:rPr>
          <w:rStyle w:val="Appelnotedebasdep"/>
        </w:rPr>
        <w:footnoteReference w:id="40"/>
      </w:r>
      <w:r w:rsidRPr="00CB79A3">
        <w:t xml:space="preserve"> insisting on three facts that took place in the summer </w:t>
      </w:r>
      <w:r w:rsidR="00730E6D">
        <w:t xml:space="preserve">of </w:t>
      </w:r>
      <w:r w:rsidRPr="00CB79A3">
        <w:t xml:space="preserve">2016: (i) </w:t>
      </w:r>
      <w:r w:rsidR="00730E6D">
        <w:t xml:space="preserve">Mr. </w:t>
      </w:r>
      <w:r w:rsidRPr="00CB79A3">
        <w:t xml:space="preserve">Sirois confirmed to </w:t>
      </w:r>
      <w:r w:rsidR="00730E6D">
        <w:t xml:space="preserve">Mr. </w:t>
      </w:r>
      <w:r w:rsidRPr="00CB79A3">
        <w:t xml:space="preserve">Richer on July 22, 2016, that he would not pursue agreement P-5; (ii) </w:t>
      </w:r>
      <w:r w:rsidR="00730E6D">
        <w:t xml:space="preserve">he </w:t>
      </w:r>
      <w:r w:rsidRPr="00CB79A3">
        <w:t xml:space="preserve">did not </w:t>
      </w:r>
      <w:r w:rsidR="00730E6D">
        <w:lastRenderedPageBreak/>
        <w:t>respond to</w:t>
      </w:r>
      <w:r w:rsidRPr="00CB79A3">
        <w:t xml:space="preserve"> </w:t>
      </w:r>
      <w:r w:rsidR="00730E6D">
        <w:t xml:space="preserve">Mr. </w:t>
      </w:r>
      <w:proofErr w:type="spellStart"/>
      <w:r w:rsidR="004207D4">
        <w:t>R</w:t>
      </w:r>
      <w:r w:rsidRPr="00CB79A3">
        <w:t>icher’s</w:t>
      </w:r>
      <w:proofErr w:type="spellEnd"/>
      <w:r w:rsidRPr="00CB79A3">
        <w:t xml:space="preserve"> formal demand dated August 5, 2016; and (iii) he excluded </w:t>
      </w:r>
      <w:r w:rsidR="00730E6D">
        <w:t xml:space="preserve">Mr. </w:t>
      </w:r>
      <w:r w:rsidRPr="00CB79A3">
        <w:t xml:space="preserve">Richer from </w:t>
      </w:r>
      <w:proofErr w:type="spellStart"/>
      <w:r w:rsidRPr="00CB79A3">
        <w:t>Wooky’s</w:t>
      </w:r>
      <w:proofErr w:type="spellEnd"/>
      <w:r w:rsidRPr="00CB79A3">
        <w:t xml:space="preserve"> operations in mid-July 2016.</w:t>
      </w:r>
    </w:p>
    <w:p w14:paraId="505A853F" w14:textId="132E56B4" w:rsidR="00844586" w:rsidRPr="00CB79A3" w:rsidRDefault="00CB79A3" w:rsidP="00A90F7A">
      <w:pPr>
        <w:pStyle w:val="Paragraphe"/>
        <w:spacing w:line="240" w:lineRule="auto"/>
      </w:pPr>
      <w:r w:rsidRPr="00CB79A3">
        <w:t xml:space="preserve">At the outset, I have serious doubts about whether the </w:t>
      </w:r>
      <w:r w:rsidR="004207D4" w:rsidRPr="00CB79A3">
        <w:t>Court</w:t>
      </w:r>
      <w:r w:rsidRPr="00CB79A3">
        <w:t xml:space="preserve"> </w:t>
      </w:r>
      <w:r w:rsidR="004207D4" w:rsidRPr="00CB79A3">
        <w:t>should</w:t>
      </w:r>
      <w:r w:rsidRPr="00CB79A3">
        <w:t xml:space="preserve"> analyze the case from this perspective</w:t>
      </w:r>
      <w:r w:rsidR="00B25EAB">
        <w:t>,</w:t>
      </w:r>
      <w:r w:rsidRPr="00CB79A3">
        <w:t xml:space="preserve"> because the argument based on article 1503 </w:t>
      </w:r>
      <w:r w:rsidRPr="00233D60">
        <w:rPr>
          <w:i/>
          <w:iCs/>
        </w:rPr>
        <w:t>C.C.Q.</w:t>
      </w:r>
      <w:r w:rsidRPr="00CB79A3">
        <w:t xml:space="preserve"> was addressed for the first time – and then only very summarily </w:t>
      </w:r>
      <w:r w:rsidR="00E76D5E" w:rsidRPr="00CB79A3">
        <w:t>–</w:t>
      </w:r>
      <w:r w:rsidR="00E76D5E">
        <w:t xml:space="preserve"> </w:t>
      </w:r>
      <w:r w:rsidRPr="00CB79A3">
        <w:t xml:space="preserve">in response to a question raised by the bench during the </w:t>
      </w:r>
      <w:r w:rsidR="00233D60">
        <w:t>appeal</w:t>
      </w:r>
      <w:r w:rsidRPr="00CB79A3">
        <w:t xml:space="preserve"> hearing.</w:t>
      </w:r>
      <w:r>
        <w:rPr>
          <w:rStyle w:val="Appelnotedebasdep"/>
        </w:rPr>
        <w:footnoteReference w:id="41"/>
      </w:r>
      <w:r w:rsidR="0084114F" w:rsidRPr="00CB79A3">
        <w:t xml:space="preserve"> </w:t>
      </w:r>
      <w:r w:rsidRPr="00CB79A3">
        <w:t>I agree that a purely legal question may be raised for the first time on appeal.</w:t>
      </w:r>
      <w:r w:rsidR="0084114F" w:rsidRPr="00CB79A3">
        <w:t xml:space="preserve"> </w:t>
      </w:r>
      <w:r w:rsidRPr="00CB79A3">
        <w:t xml:space="preserve">However, </w:t>
      </w:r>
      <w:r w:rsidR="00B25EAB">
        <w:t xml:space="preserve">in my view, </w:t>
      </w:r>
      <w:r w:rsidRPr="00CB79A3">
        <w:t>that is not what this is</w:t>
      </w:r>
      <w:r w:rsidR="00E76D5E">
        <w:t>,</w:t>
      </w:r>
      <w:r w:rsidRPr="00CB79A3">
        <w:t xml:space="preserve"> because this argument based on article 1503 </w:t>
      </w:r>
      <w:r w:rsidRPr="00233D60">
        <w:rPr>
          <w:i/>
          <w:iCs/>
        </w:rPr>
        <w:t>C.C.Q.</w:t>
      </w:r>
      <w:r w:rsidRPr="00CB79A3">
        <w:t xml:space="preserve"> raises mixed questions </w:t>
      </w:r>
      <w:r w:rsidR="00B25EAB">
        <w:t xml:space="preserve">with substantial </w:t>
      </w:r>
      <w:r w:rsidRPr="00CB79A3">
        <w:t>factual aspect</w:t>
      </w:r>
      <w:r w:rsidR="00B25EAB">
        <w:t>s</w:t>
      </w:r>
      <w:r w:rsidRPr="00CB79A3">
        <w:t>.</w:t>
      </w:r>
      <w:r w:rsidR="0084114F" w:rsidRPr="00CB79A3">
        <w:t xml:space="preserve"> </w:t>
      </w:r>
      <w:r w:rsidRPr="00CB79A3">
        <w:t xml:space="preserve">I also have reservations about </w:t>
      </w:r>
      <w:r w:rsidR="004207D4" w:rsidRPr="00CB79A3">
        <w:t>whether</w:t>
      </w:r>
      <w:r w:rsidRPr="00CB79A3">
        <w:t xml:space="preserve"> the parties had sufficient opportunity to debate </w:t>
      </w:r>
      <w:r w:rsidR="00E76D5E">
        <w:t xml:space="preserve">this </w:t>
      </w:r>
      <w:r w:rsidR="00B25EAB">
        <w:t xml:space="preserve">issue </w:t>
      </w:r>
      <w:r w:rsidRPr="00CB79A3">
        <w:t>within the meaning of the second paragraph of article 17</w:t>
      </w:r>
      <w:r w:rsidR="00B25EAB">
        <w:t> </w:t>
      </w:r>
      <w:r w:rsidRPr="00233D60">
        <w:rPr>
          <w:i/>
          <w:iCs/>
        </w:rPr>
        <w:t>C.C.P.</w:t>
      </w:r>
    </w:p>
    <w:p w14:paraId="3BB6AD69" w14:textId="6793A060" w:rsidR="00844586" w:rsidRPr="00CB79A3" w:rsidRDefault="0061526A" w:rsidP="00A90F7A">
      <w:pPr>
        <w:pStyle w:val="Paragraphe"/>
        <w:spacing w:line="240" w:lineRule="auto"/>
      </w:pPr>
      <w:r>
        <w:t>In any event</w:t>
      </w:r>
      <w:r w:rsidR="00CB79A3" w:rsidRPr="00CB79A3">
        <w:t xml:space="preserve"> – </w:t>
      </w:r>
      <w:r w:rsidR="00B25EAB">
        <w:t>even</w:t>
      </w:r>
      <w:r w:rsidR="00CB79A3" w:rsidRPr="00CB79A3">
        <w:t xml:space="preserve"> supposing that the obligations </w:t>
      </w:r>
      <w:r w:rsidR="00B25EAB">
        <w:t>invoked</w:t>
      </w:r>
      <w:r w:rsidR="00CB79A3" w:rsidRPr="00CB79A3">
        <w:t xml:space="preserve"> in support of </w:t>
      </w:r>
      <w:r>
        <w:t>Mr.</w:t>
      </w:r>
      <w:r w:rsidR="00B25EAB">
        <w:t> </w:t>
      </w:r>
      <w:proofErr w:type="spellStart"/>
      <w:r w:rsidR="00CB79A3" w:rsidRPr="00CB79A3">
        <w:t>Richer’s</w:t>
      </w:r>
      <w:proofErr w:type="spellEnd"/>
      <w:r w:rsidR="00CB79A3" w:rsidRPr="00CB79A3">
        <w:t xml:space="preserve"> claim for payment were characterized as conditional within the meaning of articles 1497</w:t>
      </w:r>
      <w:r w:rsidR="00546F8E">
        <w:t xml:space="preserve"> and ff.</w:t>
      </w:r>
      <w:r w:rsidR="00CB79A3" w:rsidRPr="00CB79A3">
        <w:t xml:space="preserve"> </w:t>
      </w:r>
      <w:r w:rsidR="00CB79A3" w:rsidRPr="008328EF">
        <w:rPr>
          <w:i/>
          <w:iCs/>
        </w:rPr>
        <w:t>C</w:t>
      </w:r>
      <w:r w:rsidR="00597784" w:rsidRPr="008328EF">
        <w:rPr>
          <w:i/>
          <w:iCs/>
        </w:rPr>
        <w:t>.</w:t>
      </w:r>
      <w:r w:rsidR="00CB79A3" w:rsidRPr="008328EF">
        <w:rPr>
          <w:i/>
          <w:iCs/>
        </w:rPr>
        <w:t>C</w:t>
      </w:r>
      <w:r w:rsidR="00597784" w:rsidRPr="008328EF">
        <w:rPr>
          <w:i/>
          <w:iCs/>
        </w:rPr>
        <w:t>.</w:t>
      </w:r>
      <w:r w:rsidR="00CB79A3" w:rsidRPr="008328EF">
        <w:rPr>
          <w:i/>
          <w:iCs/>
        </w:rPr>
        <w:t>Q</w:t>
      </w:r>
      <w:r w:rsidR="00597784" w:rsidRPr="008328EF">
        <w:rPr>
          <w:i/>
          <w:iCs/>
        </w:rPr>
        <w:t>.</w:t>
      </w:r>
      <w:r w:rsidR="00B25EAB">
        <w:t xml:space="preserve"> –</w:t>
      </w:r>
      <w:r w:rsidR="0084114F" w:rsidRPr="00CB79A3">
        <w:t xml:space="preserve"> </w:t>
      </w:r>
      <w:r w:rsidR="00CB79A3" w:rsidRPr="00CB79A3">
        <w:t xml:space="preserve">I find, </w:t>
      </w:r>
      <w:r w:rsidR="00597784" w:rsidRPr="00CB79A3">
        <w:t>with</w:t>
      </w:r>
      <w:r w:rsidR="00CB79A3" w:rsidRPr="00CB79A3">
        <w:t xml:space="preserve"> great respect, that the three facts on which my colleague relies are not </w:t>
      </w:r>
      <w:r>
        <w:t xml:space="preserve">a </w:t>
      </w:r>
      <w:r w:rsidR="00CB79A3" w:rsidRPr="00CB79A3">
        <w:t xml:space="preserve">sufficient basis to allow the Court to conclude that </w:t>
      </w:r>
      <w:r>
        <w:t xml:space="preserve">Mr. </w:t>
      </w:r>
      <w:r w:rsidR="00CB79A3" w:rsidRPr="00CB79A3">
        <w:t xml:space="preserve">Sirois’s conduct prevented, </w:t>
      </w:r>
      <w:r w:rsidR="00597784" w:rsidRPr="00CB79A3">
        <w:t>within</w:t>
      </w:r>
      <w:r w:rsidR="00CB79A3" w:rsidRPr="00CB79A3">
        <w:t xml:space="preserve"> </w:t>
      </w:r>
      <w:r w:rsidR="00597784" w:rsidRPr="00CB79A3">
        <w:t>the</w:t>
      </w:r>
      <w:r w:rsidR="00CB79A3" w:rsidRPr="00CB79A3">
        <w:t xml:space="preserve"> meaning of article 1503 </w:t>
      </w:r>
      <w:r w:rsidR="00CB79A3" w:rsidRPr="008328EF">
        <w:rPr>
          <w:i/>
          <w:iCs/>
        </w:rPr>
        <w:t>C.C.Q.</w:t>
      </w:r>
      <w:r w:rsidR="00CB79A3" w:rsidRPr="00CB79A3">
        <w:t>, the condition related to a second agreement from being fulfilled.</w:t>
      </w:r>
    </w:p>
    <w:p w14:paraId="6A2761B8" w14:textId="5A06DFEE" w:rsidR="00844586" w:rsidRPr="00A16BA7" w:rsidRDefault="00CB79A3" w:rsidP="00A90F7A">
      <w:pPr>
        <w:pStyle w:val="Paragraphe"/>
        <w:spacing w:line="240" w:lineRule="auto"/>
      </w:pPr>
      <w:r w:rsidRPr="00CB79A3">
        <w:t xml:space="preserve">The issue, as I see it, is that my colleague’s analysis is not consistent with the fact that, after all the circumstances of </w:t>
      </w:r>
      <w:r w:rsidR="00597784" w:rsidRPr="00CB79A3">
        <w:t>the</w:t>
      </w:r>
      <w:r w:rsidRPr="00CB79A3">
        <w:t xml:space="preserve"> case have been examined – including the three facts on which he relies – the trial judge concluded that </w:t>
      </w:r>
      <w:r w:rsidR="00A56F58">
        <w:t xml:space="preserve">Mr. </w:t>
      </w:r>
      <w:r w:rsidRPr="00CB79A3">
        <w:t xml:space="preserve">Sirois had not acted in bad faith or </w:t>
      </w:r>
      <w:r w:rsidR="00A56F58">
        <w:t xml:space="preserve">in an </w:t>
      </w:r>
      <w:r w:rsidRPr="00CB79A3">
        <w:t xml:space="preserve">abusive </w:t>
      </w:r>
      <w:r w:rsidR="00A56F58">
        <w:t xml:space="preserve">manner </w:t>
      </w:r>
      <w:r w:rsidR="00F5134B">
        <w:t>in</w:t>
      </w:r>
      <w:r w:rsidRPr="00CB79A3">
        <w:t xml:space="preserve"> the summer of 2016.</w:t>
      </w:r>
      <w:r w:rsidR="0084114F" w:rsidRPr="00CB79A3">
        <w:t xml:space="preserve"> </w:t>
      </w:r>
      <w:r w:rsidR="00A16BA7" w:rsidRPr="00A16BA7">
        <w:t xml:space="preserve">In fact, in her view, </w:t>
      </w:r>
      <w:r w:rsidR="00597784" w:rsidRPr="00A16BA7">
        <w:t>the</w:t>
      </w:r>
      <w:r w:rsidR="00A16BA7" w:rsidRPr="00A16BA7">
        <w:t xml:space="preserve"> fact that a second agreement was </w:t>
      </w:r>
      <w:r w:rsidR="00A56F58">
        <w:t>never</w:t>
      </w:r>
      <w:r w:rsidR="00A16BA7" w:rsidRPr="00A16BA7">
        <w:t xml:space="preserve"> </w:t>
      </w:r>
      <w:r w:rsidR="00EC5AC7">
        <w:t>entered into</w:t>
      </w:r>
      <w:r w:rsidR="00A16BA7" w:rsidRPr="00A16BA7">
        <w:t xml:space="preserve"> is not due to some </w:t>
      </w:r>
      <w:r w:rsidR="00EC5AC7">
        <w:t xml:space="preserve">sort of </w:t>
      </w:r>
      <w:r w:rsidR="00A16BA7" w:rsidRPr="00A16BA7">
        <w:t xml:space="preserve">reprehensible conduct by </w:t>
      </w:r>
      <w:r w:rsidR="00A56F58">
        <w:t xml:space="preserve">Mr. </w:t>
      </w:r>
      <w:r w:rsidR="00A16BA7" w:rsidRPr="00A16BA7">
        <w:t xml:space="preserve">Sirois, but instead to </w:t>
      </w:r>
      <w:r w:rsidR="00A56F58">
        <w:t xml:space="preserve">a series of </w:t>
      </w:r>
      <w:r w:rsidR="00A16BA7" w:rsidRPr="00A16BA7">
        <w:t xml:space="preserve">events </w:t>
      </w:r>
      <w:r w:rsidR="00EC5AC7">
        <w:t xml:space="preserve">beyond </w:t>
      </w:r>
      <w:r w:rsidR="00A16BA7" w:rsidRPr="00A16BA7">
        <w:t xml:space="preserve">his control that had a serious impact on </w:t>
      </w:r>
      <w:proofErr w:type="spellStart"/>
      <w:r w:rsidR="00A16BA7" w:rsidRPr="00A16BA7">
        <w:t>Wooky’s</w:t>
      </w:r>
      <w:proofErr w:type="spellEnd"/>
      <w:r w:rsidR="00A16BA7" w:rsidRPr="00A16BA7">
        <w:t xml:space="preserve"> financial situation </w:t>
      </w:r>
      <w:r w:rsidR="00597784" w:rsidRPr="00A16BA7">
        <w:t>and</w:t>
      </w:r>
      <w:r w:rsidR="00A16BA7" w:rsidRPr="00A16BA7">
        <w:t xml:space="preserve"> </w:t>
      </w:r>
      <w:r w:rsidR="00A56F58">
        <w:t xml:space="preserve">that </w:t>
      </w:r>
      <w:r w:rsidR="00A16BA7" w:rsidRPr="00A16BA7">
        <w:t xml:space="preserve">justified </w:t>
      </w:r>
      <w:r w:rsidR="00A56F58">
        <w:t xml:space="preserve">Mr. </w:t>
      </w:r>
      <w:r w:rsidR="00597784">
        <w:t>Sirois’s</w:t>
      </w:r>
      <w:r w:rsidR="00A16BA7" w:rsidRPr="00A16BA7">
        <w:t xml:space="preserve"> decision not to pursue his business relationship with </w:t>
      </w:r>
      <w:r w:rsidR="00F5134B">
        <w:t xml:space="preserve">Mr. </w:t>
      </w:r>
      <w:r w:rsidR="00A16BA7" w:rsidRPr="00A16BA7">
        <w:t>Richer.</w:t>
      </w:r>
      <w:r w:rsidR="0084114F" w:rsidRPr="00A16BA7">
        <w:t xml:space="preserve"> </w:t>
      </w:r>
      <w:r w:rsidR="00A16BA7" w:rsidRPr="00A16BA7">
        <w:t xml:space="preserve">In addition, when the judge noted that </w:t>
      </w:r>
      <w:r w:rsidR="00F5134B">
        <w:t xml:space="preserve">Mr. </w:t>
      </w:r>
      <w:r w:rsidR="00A16BA7" w:rsidRPr="00A16BA7">
        <w:t xml:space="preserve">Sirois had not acted in bad faith or </w:t>
      </w:r>
      <w:r w:rsidR="00F5134B">
        <w:t xml:space="preserve">in an </w:t>
      </w:r>
      <w:r w:rsidR="00A16BA7" w:rsidRPr="00A16BA7">
        <w:t xml:space="preserve">abusive </w:t>
      </w:r>
      <w:r w:rsidR="00F5134B">
        <w:t>man</w:t>
      </w:r>
      <w:r w:rsidR="008328EF">
        <w:t>n</w:t>
      </w:r>
      <w:r w:rsidR="00F5134B">
        <w:t xml:space="preserve">er </w:t>
      </w:r>
      <w:r w:rsidR="00A16BA7" w:rsidRPr="00A16BA7">
        <w:t xml:space="preserve">in the summer of 2016, she did so in </w:t>
      </w:r>
      <w:r w:rsidR="00F5134B">
        <w:t>the</w:t>
      </w:r>
      <w:r w:rsidR="00A16BA7" w:rsidRPr="00A16BA7">
        <w:t xml:space="preserve"> part of her </w:t>
      </w:r>
      <w:r w:rsidR="00597784" w:rsidRPr="00A16BA7">
        <w:t>judgment</w:t>
      </w:r>
      <w:r w:rsidR="00A16BA7" w:rsidRPr="00A16BA7">
        <w:t xml:space="preserve"> where she dismissed </w:t>
      </w:r>
      <w:r w:rsidR="00F5134B">
        <w:t xml:space="preserve">Mr. </w:t>
      </w:r>
      <w:proofErr w:type="spellStart"/>
      <w:r w:rsidR="00A16BA7" w:rsidRPr="00A16BA7">
        <w:t>Richer’s</w:t>
      </w:r>
      <w:proofErr w:type="spellEnd"/>
      <w:r w:rsidR="00A16BA7" w:rsidRPr="00A16BA7">
        <w:t xml:space="preserve"> claim for damages, which </w:t>
      </w:r>
      <w:r w:rsidR="00F5134B">
        <w:t xml:space="preserve">Mr. </w:t>
      </w:r>
      <w:r w:rsidR="00A16BA7" w:rsidRPr="00A16BA7">
        <w:t xml:space="preserve">Richer chose not to </w:t>
      </w:r>
      <w:r w:rsidR="00F5134B">
        <w:t xml:space="preserve">challenge on </w:t>
      </w:r>
      <w:r w:rsidR="00A16BA7" w:rsidRPr="00A16BA7">
        <w:t>appeal.</w:t>
      </w:r>
      <w:r w:rsidR="0084114F" w:rsidRPr="00A16BA7">
        <w:t xml:space="preserve"> </w:t>
      </w:r>
      <w:r w:rsidR="00A16BA7" w:rsidRPr="00A16BA7">
        <w:t xml:space="preserve">In any </w:t>
      </w:r>
      <w:r w:rsidR="00F5134B">
        <w:t>event</w:t>
      </w:r>
      <w:r w:rsidR="00A16BA7" w:rsidRPr="00A16BA7">
        <w:t xml:space="preserve">, her conclusion does not appear to be vitiated by any palpable and overriding error to me; </w:t>
      </w:r>
      <w:r w:rsidR="00F5134B">
        <w:t>it</w:t>
      </w:r>
      <w:r w:rsidR="00A16BA7" w:rsidRPr="00A16BA7">
        <w:t xml:space="preserve"> is therefore </w:t>
      </w:r>
      <w:r w:rsidR="008328EF">
        <w:t xml:space="preserve">immune to </w:t>
      </w:r>
      <w:r w:rsidR="00A16BA7" w:rsidRPr="00A16BA7">
        <w:t xml:space="preserve">any intervention by </w:t>
      </w:r>
      <w:r w:rsidR="00597784" w:rsidRPr="00A16BA7">
        <w:t>the</w:t>
      </w:r>
      <w:r w:rsidR="00A16BA7" w:rsidRPr="00A16BA7">
        <w:t xml:space="preserve"> Court.</w:t>
      </w:r>
      <w:r w:rsidR="0084114F" w:rsidRPr="00A16BA7">
        <w:t xml:space="preserve"> </w:t>
      </w:r>
    </w:p>
    <w:p w14:paraId="03DCC21D" w14:textId="16874395" w:rsidR="00844586" w:rsidRDefault="00B70773" w:rsidP="00A90F7A">
      <w:pPr>
        <w:pStyle w:val="Paragraphe"/>
        <w:numPr>
          <w:ilvl w:val="0"/>
          <w:numId w:val="0"/>
        </w:numPr>
        <w:spacing w:line="240" w:lineRule="auto"/>
        <w:jc w:val="center"/>
      </w:pPr>
      <w:r>
        <w:t>*</w:t>
      </w:r>
      <w:r w:rsidR="0084114F">
        <w:tab/>
      </w:r>
      <w:r>
        <w:t>*</w:t>
      </w:r>
      <w:r w:rsidR="0084114F">
        <w:tab/>
      </w:r>
      <w:r>
        <w:t>*</w:t>
      </w:r>
    </w:p>
    <w:p w14:paraId="5E386D5D" w14:textId="35C87881" w:rsidR="00744023" w:rsidRDefault="00744023">
      <w:pPr>
        <w:spacing w:line="240" w:lineRule="auto"/>
        <w:rPr>
          <w:kern w:val="28"/>
        </w:rPr>
      </w:pPr>
      <w:r>
        <w:br w:type="page"/>
      </w:r>
    </w:p>
    <w:p w14:paraId="66C3C008" w14:textId="77777777" w:rsidR="00744023" w:rsidRDefault="00744023" w:rsidP="00A90F7A">
      <w:pPr>
        <w:pStyle w:val="Paragraphe"/>
        <w:numPr>
          <w:ilvl w:val="0"/>
          <w:numId w:val="0"/>
        </w:numPr>
        <w:spacing w:line="240" w:lineRule="auto"/>
        <w:jc w:val="center"/>
      </w:pPr>
    </w:p>
    <w:p w14:paraId="470F8616" w14:textId="4C36DD50" w:rsidR="00844586" w:rsidRPr="00A16BA7" w:rsidRDefault="00A16BA7" w:rsidP="00744023">
      <w:pPr>
        <w:pStyle w:val="Paragraphe"/>
        <w:keepNext/>
        <w:spacing w:line="240" w:lineRule="auto"/>
      </w:pPr>
      <w:r w:rsidRPr="00A16BA7">
        <w:t xml:space="preserve">In conclusion, I find that </w:t>
      </w:r>
      <w:r w:rsidR="000D0451">
        <w:t xml:space="preserve">Mr. </w:t>
      </w:r>
      <w:r w:rsidRPr="00A16BA7">
        <w:t xml:space="preserve">Richer has failed to show the existence of an error allowing the Court to set aside the </w:t>
      </w:r>
      <w:r w:rsidR="00597784" w:rsidRPr="00A16BA7">
        <w:t>judge’s</w:t>
      </w:r>
      <w:r w:rsidRPr="00A16BA7">
        <w:t xml:space="preserve"> conclusion that the amounts he claimed f</w:t>
      </w:r>
      <w:r w:rsidR="00597784">
        <w:t>r</w:t>
      </w:r>
      <w:r w:rsidRPr="00A16BA7">
        <w:t xml:space="preserve">om </w:t>
      </w:r>
      <w:r w:rsidR="000D0451">
        <w:t xml:space="preserve">Mr. </w:t>
      </w:r>
      <w:r w:rsidRPr="00A16BA7">
        <w:t xml:space="preserve">Sirois never became payable </w:t>
      </w:r>
      <w:r w:rsidR="00597784" w:rsidRPr="00A16BA7">
        <w:t>because</w:t>
      </w:r>
      <w:r w:rsidRPr="00A16BA7">
        <w:t xml:space="preserve"> </w:t>
      </w:r>
      <w:r w:rsidR="00597784">
        <w:t>t</w:t>
      </w:r>
      <w:r w:rsidRPr="00A16BA7">
        <w:t>he</w:t>
      </w:r>
      <w:r w:rsidR="000D0451">
        <w:t xml:space="preserve"> [</w:t>
      </w:r>
      <w:r w:rsidR="000D0451">
        <w:rPr>
          <w:smallCaps/>
        </w:rPr>
        <w:t>translation</w:t>
      </w:r>
      <w:r w:rsidR="000D0451">
        <w:t>]</w:t>
      </w:r>
      <w:r w:rsidRPr="00A16BA7">
        <w:t xml:space="preserve"> “</w:t>
      </w:r>
      <w:r w:rsidR="00597784">
        <w:t>P</w:t>
      </w:r>
      <w:r w:rsidRPr="00A16BA7">
        <w:t xml:space="preserve">lanned </w:t>
      </w:r>
      <w:r w:rsidR="000D0451">
        <w:t>T</w:t>
      </w:r>
      <w:r w:rsidRPr="00A16BA7">
        <w:t xml:space="preserve">ransaction” referred to in agreement P-5 </w:t>
      </w:r>
      <w:r w:rsidR="00597784">
        <w:t xml:space="preserve">never </w:t>
      </w:r>
      <w:r w:rsidR="000D0451">
        <w:t>occurred</w:t>
      </w:r>
      <w:r w:rsidRPr="00A16BA7">
        <w:t>.</w:t>
      </w:r>
      <w:r w:rsidR="0084114F" w:rsidRPr="00A16BA7">
        <w:t xml:space="preserve"> </w:t>
      </w:r>
      <w:r w:rsidRPr="00A16BA7">
        <w:t xml:space="preserve">This observation is </w:t>
      </w:r>
      <w:r w:rsidR="000D0451">
        <w:t>sufficient</w:t>
      </w:r>
      <w:r w:rsidRPr="00A16BA7">
        <w:t xml:space="preserve"> to dismiss the appeal because his other grounds of appeal depend on the merits of this first ground.</w:t>
      </w:r>
    </w:p>
    <w:tbl>
      <w:tblPr>
        <w:tblW w:w="0" w:type="auto"/>
        <w:tblLayout w:type="fixed"/>
        <w:tblCellMar>
          <w:left w:w="0" w:type="dxa"/>
          <w:right w:w="0" w:type="dxa"/>
        </w:tblCellMar>
        <w:tblLook w:val="0000" w:firstRow="0" w:lastRow="0" w:firstColumn="0" w:lastColumn="0" w:noHBand="0" w:noVBand="0"/>
      </w:tblPr>
      <w:tblGrid>
        <w:gridCol w:w="4735"/>
        <w:gridCol w:w="4625"/>
      </w:tblGrid>
      <w:tr w:rsidR="00E201A8" w:rsidRPr="00A16BA7" w14:paraId="10786620" w14:textId="77777777" w:rsidTr="004737DC">
        <w:trPr>
          <w:cantSplit/>
          <w:trHeight w:val="513"/>
        </w:trPr>
        <w:tc>
          <w:tcPr>
            <w:tcW w:w="9360" w:type="dxa"/>
            <w:gridSpan w:val="2"/>
          </w:tcPr>
          <w:p w14:paraId="3997D2A2" w14:textId="77777777" w:rsidR="00844586" w:rsidRPr="00A16BA7" w:rsidRDefault="00844586" w:rsidP="00744023">
            <w:pPr>
              <w:keepNext/>
            </w:pPr>
          </w:p>
        </w:tc>
      </w:tr>
      <w:tr w:rsidR="00E201A8" w:rsidRPr="00A16BA7" w14:paraId="2E957CB1" w14:textId="77777777" w:rsidTr="004737DC">
        <w:trPr>
          <w:cantSplit/>
          <w:trHeight w:val="277"/>
        </w:trPr>
        <w:tc>
          <w:tcPr>
            <w:tcW w:w="4735" w:type="dxa"/>
            <w:vMerge w:val="restart"/>
          </w:tcPr>
          <w:p w14:paraId="75F281DC" w14:textId="77777777" w:rsidR="00844586" w:rsidRPr="00A16BA7" w:rsidRDefault="00844586" w:rsidP="00744023">
            <w:pPr>
              <w:keepNext/>
            </w:pPr>
          </w:p>
        </w:tc>
        <w:tc>
          <w:tcPr>
            <w:tcW w:w="4625" w:type="dxa"/>
            <w:tcBorders>
              <w:bottom w:val="single" w:sz="8" w:space="0" w:color="auto"/>
            </w:tcBorders>
          </w:tcPr>
          <w:p w14:paraId="736CC383" w14:textId="77777777" w:rsidR="00844586" w:rsidRPr="00A16BA7" w:rsidRDefault="00844586" w:rsidP="00744023">
            <w:pPr>
              <w:keepNext/>
            </w:pPr>
          </w:p>
        </w:tc>
      </w:tr>
      <w:tr w:rsidR="00E201A8" w14:paraId="328EE400" w14:textId="77777777" w:rsidTr="004737DC">
        <w:trPr>
          <w:cantSplit/>
          <w:trHeight w:val="276"/>
        </w:trPr>
        <w:tc>
          <w:tcPr>
            <w:tcW w:w="4735" w:type="dxa"/>
            <w:vMerge/>
          </w:tcPr>
          <w:p w14:paraId="37DD4EC5" w14:textId="77777777" w:rsidR="00844586" w:rsidRPr="00A16BA7" w:rsidRDefault="00844586" w:rsidP="00744023">
            <w:pPr>
              <w:keepNext/>
            </w:pPr>
          </w:p>
        </w:tc>
        <w:tc>
          <w:tcPr>
            <w:tcW w:w="4625" w:type="dxa"/>
          </w:tcPr>
          <w:p w14:paraId="4023A572" w14:textId="1AC18A2C" w:rsidR="00844586" w:rsidRPr="00E8050B" w:rsidRDefault="0084114F" w:rsidP="00744023">
            <w:pPr>
              <w:keepNext/>
              <w:rPr>
                <w:lang w:val="fr-CA"/>
              </w:rPr>
            </w:pPr>
            <w:r w:rsidRPr="00E8050B">
              <w:fldChar w:fldCharType="begin"/>
            </w:r>
            <w:r w:rsidRPr="00A90F7A">
              <w:rPr>
                <w:lang w:val="fr-CA"/>
              </w:rPr>
              <w:instrText xml:space="preserve"> REF NomJuge3 </w:instrText>
            </w:r>
            <w:r w:rsidRPr="00E8050B">
              <w:fldChar w:fldCharType="separate"/>
            </w:r>
            <w:r w:rsidR="0012174C" w:rsidRPr="00E8050B">
              <w:t>FRÉDÉRIC BACHAND, J.A.</w:t>
            </w:r>
            <w:r w:rsidRPr="00E8050B">
              <w:fldChar w:fldCharType="end"/>
            </w:r>
          </w:p>
        </w:tc>
      </w:tr>
    </w:tbl>
    <w:p w14:paraId="2ECDA8D2" w14:textId="77777777" w:rsidR="00844586" w:rsidRPr="00635DC3" w:rsidRDefault="00844586" w:rsidP="00744023">
      <w:pPr>
        <w:keepNext/>
        <w:rPr>
          <w:lang w:val="fr-CA"/>
        </w:rPr>
      </w:pPr>
    </w:p>
    <w:p w14:paraId="204EF42F" w14:textId="77777777" w:rsidR="006B3E24" w:rsidRPr="00635DC3" w:rsidRDefault="006B3E24" w:rsidP="00532A41">
      <w:pPr>
        <w:rPr>
          <w:lang w:val="fr-CA"/>
        </w:rPr>
      </w:pPr>
    </w:p>
    <w:sectPr w:rsidR="006B3E24" w:rsidRPr="00635DC3" w:rsidSect="00844586">
      <w:headerReference w:type="even" r:id="rId22"/>
      <w:headerReference w:type="default" r:id="rId23"/>
      <w:footerReference w:type="even" r:id="rId24"/>
      <w:footerReference w:type="default" r:id="rId25"/>
      <w:headerReference w:type="first" r:id="rId26"/>
      <w:footerReference w:type="first" r:id="rId27"/>
      <w:pgSz w:w="12242" w:h="15842" w:code="1"/>
      <w:pgMar w:top="1440" w:right="1008" w:bottom="1440" w:left="1872" w:header="1440" w:footer="792" w:gutter="0"/>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8F26C" w14:textId="77777777" w:rsidR="001A21B3" w:rsidRDefault="0084114F">
      <w:pPr>
        <w:spacing w:line="240" w:lineRule="auto"/>
      </w:pPr>
      <w:r>
        <w:separator/>
      </w:r>
    </w:p>
  </w:endnote>
  <w:endnote w:type="continuationSeparator" w:id="0">
    <w:p w14:paraId="128A2185" w14:textId="77777777" w:rsidR="001A21B3" w:rsidRDefault="008411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10446" w14:textId="1C802D12" w:rsidR="0002122F" w:rsidRDefault="0002122F" w:rsidP="0002122F">
    <w:r>
      <w:t xml:space="preserve">* </w:t>
    </w:r>
    <w:r w:rsidRPr="0002122F">
      <w:rPr>
        <w:sz w:val="20"/>
        <w:lang w:eastAsia="en-US"/>
      </w:rPr>
      <w:t xml:space="preserve">Only the reasons of </w:t>
    </w:r>
    <w:proofErr w:type="spellStart"/>
    <w:r w:rsidRPr="0002122F">
      <w:rPr>
        <w:sz w:val="20"/>
        <w:lang w:eastAsia="en-US"/>
      </w:rPr>
      <w:t>Bachand</w:t>
    </w:r>
    <w:proofErr w:type="spellEnd"/>
    <w:r w:rsidRPr="0002122F">
      <w:rPr>
        <w:sz w:val="20"/>
        <w:lang w:eastAsia="en-US"/>
      </w:rPr>
      <w:t>, J.A. and the annex to the reasons of Schrager, J.A. are translated, the rest of the judgment having been written in English.</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282D" w14:textId="77777777" w:rsidR="00DA6CD9" w:rsidRDefault="00DA6CD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7376F" w14:textId="77777777" w:rsidR="00844586" w:rsidRDefault="0084458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5F06E" w14:textId="77777777" w:rsidR="00844586" w:rsidRDefault="0084458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3FD5" w14:textId="77777777" w:rsidR="00844586" w:rsidRDefault="00844586">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0CCE1" w14:textId="77777777" w:rsidR="00844586" w:rsidRDefault="00844586">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CD336" w14:textId="77777777" w:rsidR="00844586" w:rsidRDefault="00844586">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D3D63" w14:textId="77777777" w:rsidR="00844586" w:rsidRDefault="00844586">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C9A21" w14:textId="77777777" w:rsidR="00DA6CD9" w:rsidRDefault="00DA6CD9">
    <w:pPr>
      <w:pStyle w:val="Pieddepag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9080" w14:textId="77777777" w:rsidR="00DA6CD9" w:rsidRDefault="00DA6C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1E1DE" w14:textId="77777777" w:rsidR="00532A41" w:rsidRDefault="0084114F">
      <w:r>
        <w:separator/>
      </w:r>
    </w:p>
  </w:footnote>
  <w:footnote w:type="continuationSeparator" w:id="0">
    <w:p w14:paraId="367DAF56" w14:textId="77777777" w:rsidR="00532A41" w:rsidRDefault="0084114F">
      <w:r>
        <w:continuationSeparator/>
      </w:r>
    </w:p>
  </w:footnote>
  <w:footnote w:id="1">
    <w:p w14:paraId="22D24B72" w14:textId="77777777" w:rsidR="00844586" w:rsidRPr="000D1850" w:rsidRDefault="0084114F" w:rsidP="00D70EEF">
      <w:pPr>
        <w:pStyle w:val="Notedebasdepage"/>
      </w:pPr>
      <w:r w:rsidRPr="000D1850">
        <w:rPr>
          <w:rStyle w:val="Appelnotedebasdep"/>
        </w:rPr>
        <w:footnoteRef/>
      </w:r>
      <w:r w:rsidRPr="000D1850">
        <w:t xml:space="preserve">  </w:t>
      </w:r>
      <w:r w:rsidRPr="000D1850">
        <w:tab/>
      </w:r>
      <w:r w:rsidRPr="00E8050B">
        <w:rPr>
          <w:i/>
          <w:iCs/>
        </w:rPr>
        <w:t>Bankruptcy and Insolvency Act</w:t>
      </w:r>
      <w:r w:rsidRPr="00E8050B">
        <w:t>, R.S.C. 1985, c. B-3.</w:t>
      </w:r>
    </w:p>
  </w:footnote>
  <w:footnote w:id="2">
    <w:p w14:paraId="78A50F01" w14:textId="77777777" w:rsidR="00844586" w:rsidRPr="000D1850" w:rsidRDefault="0084114F" w:rsidP="00D70EEF">
      <w:pPr>
        <w:pStyle w:val="Notedebasdepage"/>
      </w:pPr>
      <w:r w:rsidRPr="000D1850">
        <w:rPr>
          <w:rStyle w:val="Appelnotedebasdep"/>
        </w:rPr>
        <w:footnoteRef/>
      </w:r>
      <w:r w:rsidRPr="000D1850">
        <w:t xml:space="preserve">  </w:t>
      </w:r>
      <w:r w:rsidRPr="000D1850">
        <w:tab/>
      </w:r>
      <w:r w:rsidRPr="000D1850">
        <w:rPr>
          <w:i/>
          <w:iCs/>
        </w:rPr>
        <w:t>Sirois &amp; al. c. Richer &amp; al.</w:t>
      </w:r>
      <w:r w:rsidRPr="000D1850">
        <w:t xml:space="preserve">, March 29, 2021, 500-17-096324-168, (Desfossés, J.S.C.), para. </w:t>
      </w:r>
      <w:r w:rsidRPr="00E8050B">
        <w:t>162 [Judgment].</w:t>
      </w:r>
    </w:p>
  </w:footnote>
  <w:footnote w:id="3">
    <w:p w14:paraId="6F3D9B36" w14:textId="77777777" w:rsidR="00844586" w:rsidRPr="000D1850" w:rsidRDefault="0084114F" w:rsidP="00D70EEF">
      <w:pPr>
        <w:pStyle w:val="Notedebasdepage"/>
        <w:rPr>
          <w:i/>
          <w:iCs/>
        </w:rPr>
      </w:pPr>
      <w:r w:rsidRPr="000D1850">
        <w:rPr>
          <w:rStyle w:val="Appelnotedebasdep"/>
        </w:rPr>
        <w:footnoteRef/>
      </w:r>
      <w:r w:rsidRPr="000D1850">
        <w:t xml:space="preserve">  </w:t>
      </w:r>
      <w:r w:rsidRPr="000D1850">
        <w:tab/>
      </w:r>
      <w:r w:rsidRPr="00E8050B">
        <w:t xml:space="preserve">Art. 1631 </w:t>
      </w:r>
      <w:r w:rsidRPr="00E8050B">
        <w:rPr>
          <w:i/>
          <w:iCs/>
        </w:rPr>
        <w:t>C.C.Q.</w:t>
      </w:r>
    </w:p>
  </w:footnote>
  <w:footnote w:id="4">
    <w:p w14:paraId="29785E94" w14:textId="77777777" w:rsidR="00844586" w:rsidRPr="000D1850" w:rsidRDefault="0084114F" w:rsidP="00D70EEF">
      <w:pPr>
        <w:pStyle w:val="Notedebasdepage"/>
      </w:pPr>
      <w:r w:rsidRPr="000D1850">
        <w:rPr>
          <w:rStyle w:val="Appelnotedebasdep"/>
        </w:rPr>
        <w:footnoteRef/>
      </w:r>
      <w:r w:rsidRPr="000D1850">
        <w:t xml:space="preserve">  </w:t>
      </w:r>
      <w:r w:rsidRPr="000D1850">
        <w:tab/>
      </w:r>
      <w:r w:rsidRPr="00E8050B">
        <w:t>Sections 95 and ff.</w:t>
      </w:r>
      <w:r w:rsidRPr="000D1850">
        <w:t xml:space="preserve"> </w:t>
      </w:r>
      <w:r w:rsidRPr="000D1850">
        <w:rPr>
          <w:rFonts w:cs="Arial"/>
          <w:i/>
          <w:iCs/>
          <w:szCs w:val="24"/>
        </w:rPr>
        <w:t>BIA</w:t>
      </w:r>
      <w:r w:rsidRPr="000D1850">
        <w:t>.</w:t>
      </w:r>
    </w:p>
  </w:footnote>
  <w:footnote w:id="5">
    <w:p w14:paraId="09D12644" w14:textId="77777777" w:rsidR="00844586" w:rsidRPr="000D1850" w:rsidRDefault="0084114F" w:rsidP="00D70EEF">
      <w:pPr>
        <w:pStyle w:val="Notedebasdepage"/>
        <w:rPr>
          <w:lang w:val="fr-CA"/>
        </w:rPr>
      </w:pPr>
      <w:r w:rsidRPr="000D1850">
        <w:rPr>
          <w:rStyle w:val="Appelnotedebasdep"/>
        </w:rPr>
        <w:footnoteRef/>
      </w:r>
      <w:r w:rsidRPr="000D1850">
        <w:rPr>
          <w:lang w:val="fr-CA"/>
        </w:rPr>
        <w:t xml:space="preserve">  </w:t>
      </w:r>
      <w:r w:rsidRPr="000D1850">
        <w:rPr>
          <w:lang w:val="fr-CA"/>
        </w:rPr>
        <w:tab/>
      </w:r>
      <w:proofErr w:type="spellStart"/>
      <w:r w:rsidRPr="00E8050B">
        <w:rPr>
          <w:lang w:val="fr-CA"/>
        </w:rPr>
        <w:t>Judgment</w:t>
      </w:r>
      <w:proofErr w:type="spellEnd"/>
      <w:r w:rsidRPr="00E8050B">
        <w:rPr>
          <w:lang w:val="fr-CA"/>
        </w:rPr>
        <w:t xml:space="preserve">, </w:t>
      </w:r>
      <w:r w:rsidRPr="00E8050B">
        <w:rPr>
          <w:i/>
          <w:iCs/>
          <w:lang w:val="fr-CA"/>
        </w:rPr>
        <w:t>supra</w:t>
      </w:r>
      <w:r w:rsidRPr="00E8050B">
        <w:rPr>
          <w:lang w:val="fr-CA"/>
        </w:rPr>
        <w:t>, note</w:t>
      </w:r>
      <w:r w:rsidRPr="000D1850">
        <w:rPr>
          <w:lang w:val="fr-CA"/>
        </w:rPr>
        <w:t xml:space="preserve"> </w:t>
      </w:r>
      <w:r w:rsidRPr="000D1850">
        <w:rPr>
          <w:lang w:val="fr-CA"/>
        </w:rPr>
        <w:fldChar w:fldCharType="begin"/>
      </w:r>
      <w:r w:rsidRPr="000D1850">
        <w:rPr>
          <w:lang w:val="fr-CA"/>
        </w:rPr>
        <w:instrText xml:space="preserve"> NOTEREF _Ref126575321 \h  \* MERGEFORMAT </w:instrText>
      </w:r>
      <w:r w:rsidRPr="000D1850">
        <w:rPr>
          <w:lang w:val="fr-CA"/>
        </w:rPr>
      </w:r>
      <w:r w:rsidRPr="000D1850">
        <w:rPr>
          <w:lang w:val="fr-CA"/>
        </w:rPr>
        <w:fldChar w:fldCharType="separate"/>
      </w:r>
      <w:r>
        <w:rPr>
          <w:lang w:val="fr-CA"/>
        </w:rPr>
        <w:t>2</w:t>
      </w:r>
      <w:r w:rsidRPr="000D1850">
        <w:rPr>
          <w:lang w:val="fr-CA"/>
        </w:rPr>
        <w:fldChar w:fldCharType="end"/>
      </w:r>
      <w:r w:rsidRPr="00E8050B">
        <w:rPr>
          <w:lang w:val="fr-CA"/>
        </w:rPr>
        <w:t>, para.</w:t>
      </w:r>
      <w:r w:rsidRPr="000D1850">
        <w:rPr>
          <w:lang w:val="fr-CA"/>
        </w:rPr>
        <w:t xml:space="preserve"> 149.</w:t>
      </w:r>
    </w:p>
  </w:footnote>
  <w:footnote w:id="6">
    <w:p w14:paraId="37B5B1A8" w14:textId="77777777" w:rsidR="00844586" w:rsidRPr="000D1850" w:rsidRDefault="0084114F" w:rsidP="00D70EEF">
      <w:pPr>
        <w:pStyle w:val="Notedebasdepage"/>
        <w:rPr>
          <w:lang w:val="fr-CA"/>
        </w:rPr>
      </w:pPr>
      <w:r w:rsidRPr="000D1850">
        <w:rPr>
          <w:rStyle w:val="Appelnotedebasdep"/>
        </w:rPr>
        <w:footnoteRef/>
      </w:r>
      <w:r w:rsidRPr="000D1850">
        <w:rPr>
          <w:lang w:val="fr-CA"/>
        </w:rPr>
        <w:t xml:space="preserve">  </w:t>
      </w:r>
      <w:r w:rsidRPr="000D1850">
        <w:rPr>
          <w:lang w:val="fr-CA"/>
        </w:rPr>
        <w:tab/>
      </w:r>
      <w:proofErr w:type="spellStart"/>
      <w:r w:rsidRPr="00E8050B">
        <w:rPr>
          <w:lang w:val="fr-CA"/>
        </w:rPr>
        <w:t>Judgment</w:t>
      </w:r>
      <w:proofErr w:type="spellEnd"/>
      <w:r w:rsidRPr="00E8050B">
        <w:rPr>
          <w:lang w:val="fr-CA"/>
        </w:rPr>
        <w:t xml:space="preserve">, </w:t>
      </w:r>
      <w:r w:rsidRPr="00E8050B">
        <w:rPr>
          <w:i/>
          <w:iCs/>
          <w:lang w:val="fr-CA"/>
        </w:rPr>
        <w:t>supra</w:t>
      </w:r>
      <w:r w:rsidRPr="00E8050B">
        <w:rPr>
          <w:lang w:val="fr-CA"/>
        </w:rPr>
        <w:t>, note</w:t>
      </w:r>
      <w:r w:rsidRPr="000D1850">
        <w:rPr>
          <w:lang w:val="fr-CA"/>
        </w:rPr>
        <w:t xml:space="preserve"> </w:t>
      </w:r>
      <w:r w:rsidRPr="000D1850">
        <w:rPr>
          <w:lang w:val="fr-CA"/>
        </w:rPr>
        <w:fldChar w:fldCharType="begin"/>
      </w:r>
      <w:r w:rsidRPr="000D1850">
        <w:rPr>
          <w:lang w:val="fr-CA"/>
        </w:rPr>
        <w:instrText xml:space="preserve"> NOTEREF _Ref126575321 \h  \* MERGEFORMAT </w:instrText>
      </w:r>
      <w:r w:rsidRPr="000D1850">
        <w:rPr>
          <w:lang w:val="fr-CA"/>
        </w:rPr>
      </w:r>
      <w:r w:rsidRPr="000D1850">
        <w:rPr>
          <w:lang w:val="fr-CA"/>
        </w:rPr>
        <w:fldChar w:fldCharType="separate"/>
      </w:r>
      <w:r>
        <w:rPr>
          <w:lang w:val="fr-CA"/>
        </w:rPr>
        <w:t>2</w:t>
      </w:r>
      <w:r w:rsidRPr="000D1850">
        <w:rPr>
          <w:lang w:val="fr-CA"/>
        </w:rPr>
        <w:fldChar w:fldCharType="end"/>
      </w:r>
      <w:r w:rsidRPr="00E8050B">
        <w:rPr>
          <w:lang w:val="fr-CA"/>
        </w:rPr>
        <w:t>, paras.</w:t>
      </w:r>
      <w:r w:rsidRPr="000D1850">
        <w:rPr>
          <w:lang w:val="fr-CA"/>
        </w:rPr>
        <w:t xml:space="preserve"> 132, 143-145.</w:t>
      </w:r>
    </w:p>
  </w:footnote>
  <w:footnote w:id="7">
    <w:p w14:paraId="506D414A" w14:textId="77777777" w:rsidR="00844586" w:rsidRPr="000D1850" w:rsidRDefault="0084114F" w:rsidP="00D70EEF">
      <w:pPr>
        <w:pStyle w:val="Notedebasdepage"/>
        <w:rPr>
          <w:lang w:val="fr-CA"/>
        </w:rPr>
      </w:pPr>
      <w:r w:rsidRPr="000D1850">
        <w:rPr>
          <w:rStyle w:val="Appelnotedebasdep"/>
        </w:rPr>
        <w:footnoteRef/>
      </w:r>
      <w:r w:rsidRPr="000D1850">
        <w:rPr>
          <w:lang w:val="fr-CA"/>
        </w:rPr>
        <w:t xml:space="preserve">  </w:t>
      </w:r>
      <w:r w:rsidRPr="000D1850">
        <w:rPr>
          <w:lang w:val="fr-CA"/>
        </w:rPr>
        <w:tab/>
      </w:r>
      <w:r w:rsidRPr="00E8050B">
        <w:rPr>
          <w:i/>
          <w:iCs/>
          <w:lang w:val="fr-CA"/>
        </w:rPr>
        <w:t>Uniprix inc. v. Gestion Gosselin et Bérubé inc.</w:t>
      </w:r>
      <w:r w:rsidRPr="00E8050B">
        <w:rPr>
          <w:lang w:val="fr-CA"/>
        </w:rPr>
        <w:t>, 2017 SCC 43, [2017] 2 S.C.R.</w:t>
      </w:r>
      <w:r w:rsidRPr="000D1850">
        <w:rPr>
          <w:lang w:val="fr-CA"/>
        </w:rPr>
        <w:t xml:space="preserve"> </w:t>
      </w:r>
      <w:r w:rsidRPr="00E8050B">
        <w:rPr>
          <w:lang w:val="fr-CA"/>
        </w:rPr>
        <w:t>59, para.</w:t>
      </w:r>
      <w:r w:rsidRPr="000D1850">
        <w:rPr>
          <w:lang w:val="fr-CA"/>
        </w:rPr>
        <w:t xml:space="preserve"> </w:t>
      </w:r>
      <w:r w:rsidRPr="00E8050B">
        <w:rPr>
          <w:lang w:val="fr-CA"/>
        </w:rPr>
        <w:t>41 [</w:t>
      </w:r>
      <w:r w:rsidRPr="00E8050B">
        <w:rPr>
          <w:i/>
          <w:iCs/>
          <w:lang w:val="fr-CA"/>
        </w:rPr>
        <w:t>Uniprix</w:t>
      </w:r>
      <w:r w:rsidRPr="00E8050B">
        <w:rPr>
          <w:lang w:val="fr-CA"/>
        </w:rPr>
        <w:t>].</w:t>
      </w:r>
    </w:p>
  </w:footnote>
  <w:footnote w:id="8">
    <w:p w14:paraId="0A6E83C3" w14:textId="77777777" w:rsidR="00844586" w:rsidRPr="000D1850" w:rsidRDefault="0084114F" w:rsidP="00D70EEF">
      <w:pPr>
        <w:pStyle w:val="Notedebasdepage"/>
        <w:rPr>
          <w:lang w:val="fr-CA"/>
        </w:rPr>
      </w:pPr>
      <w:r w:rsidRPr="000D1850">
        <w:rPr>
          <w:rStyle w:val="Appelnotedebasdep"/>
        </w:rPr>
        <w:footnoteRef/>
      </w:r>
      <w:r w:rsidRPr="000D1850">
        <w:rPr>
          <w:lang w:val="fr-CA"/>
        </w:rPr>
        <w:t xml:space="preserve">  </w:t>
      </w:r>
      <w:r w:rsidRPr="000D1850">
        <w:rPr>
          <w:lang w:val="fr-CA"/>
        </w:rPr>
        <w:tab/>
      </w:r>
      <w:r w:rsidRPr="00E8050B">
        <w:rPr>
          <w:i/>
          <w:iCs/>
          <w:lang w:val="fr-CA"/>
        </w:rPr>
        <w:t>Uniprix</w:t>
      </w:r>
      <w:r w:rsidRPr="00E8050B">
        <w:rPr>
          <w:lang w:val="fr-CA"/>
        </w:rPr>
        <w:t xml:space="preserve">, </w:t>
      </w:r>
      <w:r w:rsidRPr="00E8050B">
        <w:rPr>
          <w:i/>
          <w:iCs/>
          <w:lang w:val="fr-CA"/>
        </w:rPr>
        <w:t>supra</w:t>
      </w:r>
      <w:r w:rsidRPr="00E8050B">
        <w:rPr>
          <w:lang w:val="fr-CA"/>
        </w:rPr>
        <w:t>, note</w:t>
      </w:r>
      <w:r w:rsidRPr="000D1850">
        <w:rPr>
          <w:lang w:val="fr-CA"/>
        </w:rPr>
        <w:t xml:space="preserve"> </w:t>
      </w:r>
      <w:r w:rsidRPr="000D1850">
        <w:rPr>
          <w:lang w:val="fr-CA"/>
        </w:rPr>
        <w:fldChar w:fldCharType="begin"/>
      </w:r>
      <w:r w:rsidRPr="000D1850">
        <w:rPr>
          <w:lang w:val="fr-CA"/>
        </w:rPr>
        <w:instrText xml:space="preserve"> NOTEREF _Ref130364585 \h  \* MERGEFORMAT </w:instrText>
      </w:r>
      <w:r w:rsidRPr="000D1850">
        <w:rPr>
          <w:lang w:val="fr-CA"/>
        </w:rPr>
      </w:r>
      <w:r w:rsidRPr="000D1850">
        <w:rPr>
          <w:lang w:val="fr-CA"/>
        </w:rPr>
        <w:fldChar w:fldCharType="separate"/>
      </w:r>
      <w:r>
        <w:rPr>
          <w:lang w:val="fr-CA"/>
        </w:rPr>
        <w:t>7</w:t>
      </w:r>
      <w:r w:rsidRPr="000D1850">
        <w:rPr>
          <w:lang w:val="fr-CA"/>
        </w:rPr>
        <w:fldChar w:fldCharType="end"/>
      </w:r>
      <w:r w:rsidRPr="00E8050B">
        <w:rPr>
          <w:lang w:val="fr-CA"/>
        </w:rPr>
        <w:t>, paras.</w:t>
      </w:r>
      <w:r w:rsidRPr="000D1850">
        <w:rPr>
          <w:lang w:val="fr-CA"/>
        </w:rPr>
        <w:t xml:space="preserve"> </w:t>
      </w:r>
      <w:r w:rsidRPr="00E8050B">
        <w:rPr>
          <w:lang w:val="fr-CA"/>
        </w:rPr>
        <w:t>34 and 36.</w:t>
      </w:r>
    </w:p>
  </w:footnote>
  <w:footnote w:id="9">
    <w:p w14:paraId="4CC17514" w14:textId="714C33C5" w:rsidR="00844586" w:rsidRPr="000D1850" w:rsidRDefault="0084114F" w:rsidP="00D70EEF">
      <w:pPr>
        <w:pStyle w:val="Notedebasdepage"/>
        <w:rPr>
          <w:lang w:val="fr-CA"/>
        </w:rPr>
      </w:pPr>
      <w:r w:rsidRPr="000D1850">
        <w:rPr>
          <w:rStyle w:val="Appelnotedebasdep"/>
        </w:rPr>
        <w:footnoteRef/>
      </w:r>
      <w:r w:rsidRPr="000D1850">
        <w:rPr>
          <w:lang w:val="fr-CA"/>
        </w:rPr>
        <w:t xml:space="preserve">  </w:t>
      </w:r>
      <w:r w:rsidRPr="000D1850">
        <w:rPr>
          <w:lang w:val="fr-CA"/>
        </w:rPr>
        <w:tab/>
      </w:r>
      <w:r w:rsidRPr="00E8050B">
        <w:rPr>
          <w:i/>
          <w:iCs/>
          <w:lang w:val="fr-CA"/>
        </w:rPr>
        <w:t>Uniprix</w:t>
      </w:r>
      <w:r w:rsidRPr="00E8050B">
        <w:rPr>
          <w:lang w:val="fr-CA"/>
        </w:rPr>
        <w:t xml:space="preserve">, </w:t>
      </w:r>
      <w:r w:rsidRPr="00E8050B">
        <w:rPr>
          <w:i/>
          <w:iCs/>
          <w:lang w:val="fr-CA"/>
        </w:rPr>
        <w:t>supra</w:t>
      </w:r>
      <w:r w:rsidRPr="00E8050B">
        <w:rPr>
          <w:lang w:val="fr-CA"/>
        </w:rPr>
        <w:t>, note</w:t>
      </w:r>
      <w:r w:rsidRPr="000D1850">
        <w:rPr>
          <w:lang w:val="fr-CA"/>
        </w:rPr>
        <w:t xml:space="preserve"> </w:t>
      </w:r>
      <w:r w:rsidRPr="000D1850">
        <w:rPr>
          <w:lang w:val="fr-CA"/>
        </w:rPr>
        <w:fldChar w:fldCharType="begin"/>
      </w:r>
      <w:r w:rsidRPr="000D1850">
        <w:rPr>
          <w:lang w:val="fr-CA"/>
        </w:rPr>
        <w:instrText xml:space="preserve"> NOTEREF _Ref130364585 \h  \* MERGEFORMAT </w:instrText>
      </w:r>
      <w:r w:rsidRPr="000D1850">
        <w:rPr>
          <w:lang w:val="fr-CA"/>
        </w:rPr>
      </w:r>
      <w:r w:rsidRPr="000D1850">
        <w:rPr>
          <w:lang w:val="fr-CA"/>
        </w:rPr>
        <w:fldChar w:fldCharType="separate"/>
      </w:r>
      <w:r>
        <w:rPr>
          <w:lang w:val="fr-CA"/>
        </w:rPr>
        <w:t>7</w:t>
      </w:r>
      <w:r w:rsidRPr="000D1850">
        <w:rPr>
          <w:lang w:val="fr-CA"/>
        </w:rPr>
        <w:fldChar w:fldCharType="end"/>
      </w:r>
      <w:r w:rsidRPr="00E8050B">
        <w:rPr>
          <w:lang w:val="fr-CA"/>
        </w:rPr>
        <w:t>, para.</w:t>
      </w:r>
      <w:r w:rsidRPr="000D1850">
        <w:rPr>
          <w:lang w:val="fr-CA"/>
        </w:rPr>
        <w:t xml:space="preserve"> </w:t>
      </w:r>
      <w:r w:rsidR="00C3747E">
        <w:rPr>
          <w:lang w:val="fr-CA"/>
        </w:rPr>
        <w:t>37.</w:t>
      </w:r>
    </w:p>
  </w:footnote>
  <w:footnote w:id="10">
    <w:p w14:paraId="34B564AC" w14:textId="77777777" w:rsidR="00844586" w:rsidRPr="000D1850" w:rsidRDefault="0084114F" w:rsidP="00D70EEF">
      <w:pPr>
        <w:pStyle w:val="Notedebasdepage"/>
        <w:rPr>
          <w:lang w:val="fr-CA"/>
        </w:rPr>
      </w:pPr>
      <w:r w:rsidRPr="000D1850">
        <w:rPr>
          <w:rStyle w:val="Appelnotedebasdep"/>
        </w:rPr>
        <w:footnoteRef/>
      </w:r>
      <w:r w:rsidRPr="000D1850">
        <w:rPr>
          <w:lang w:val="fr-CA"/>
        </w:rPr>
        <w:t xml:space="preserve">  </w:t>
      </w:r>
      <w:r w:rsidRPr="000D1850">
        <w:rPr>
          <w:lang w:val="fr-CA"/>
        </w:rPr>
        <w:tab/>
      </w:r>
      <w:r w:rsidRPr="00E8050B">
        <w:rPr>
          <w:i/>
          <w:iCs/>
          <w:lang w:val="fr-CA"/>
        </w:rPr>
        <w:t>Uniprix</w:t>
      </w:r>
      <w:r w:rsidRPr="00E8050B">
        <w:rPr>
          <w:lang w:val="fr-CA"/>
        </w:rPr>
        <w:t xml:space="preserve">, </w:t>
      </w:r>
      <w:r w:rsidRPr="00E8050B">
        <w:rPr>
          <w:i/>
          <w:iCs/>
          <w:lang w:val="fr-CA"/>
        </w:rPr>
        <w:t>supra</w:t>
      </w:r>
      <w:r w:rsidRPr="00E8050B">
        <w:rPr>
          <w:lang w:val="fr-CA"/>
        </w:rPr>
        <w:t>, note</w:t>
      </w:r>
      <w:r w:rsidRPr="000D1850">
        <w:rPr>
          <w:lang w:val="fr-CA"/>
        </w:rPr>
        <w:t xml:space="preserve"> </w:t>
      </w:r>
      <w:r w:rsidRPr="000D1850">
        <w:rPr>
          <w:lang w:val="fr-CA"/>
        </w:rPr>
        <w:fldChar w:fldCharType="begin"/>
      </w:r>
      <w:r w:rsidRPr="000D1850">
        <w:rPr>
          <w:lang w:val="fr-CA"/>
        </w:rPr>
        <w:instrText xml:space="preserve"> NOTEREF _Ref130364585 \h  \* MERGEFORMAT </w:instrText>
      </w:r>
      <w:r w:rsidRPr="000D1850">
        <w:rPr>
          <w:lang w:val="fr-CA"/>
        </w:rPr>
      </w:r>
      <w:r w:rsidRPr="000D1850">
        <w:rPr>
          <w:lang w:val="fr-CA"/>
        </w:rPr>
        <w:fldChar w:fldCharType="separate"/>
      </w:r>
      <w:r>
        <w:rPr>
          <w:lang w:val="fr-CA"/>
        </w:rPr>
        <w:t>7</w:t>
      </w:r>
      <w:r w:rsidRPr="000D1850">
        <w:rPr>
          <w:lang w:val="fr-CA"/>
        </w:rPr>
        <w:fldChar w:fldCharType="end"/>
      </w:r>
      <w:r w:rsidRPr="00E8050B">
        <w:rPr>
          <w:lang w:val="fr-CA"/>
        </w:rPr>
        <w:t>, para.</w:t>
      </w:r>
      <w:r w:rsidRPr="000D1850">
        <w:rPr>
          <w:lang w:val="fr-CA"/>
        </w:rPr>
        <w:t xml:space="preserve"> 36.</w:t>
      </w:r>
    </w:p>
  </w:footnote>
  <w:footnote w:id="11">
    <w:p w14:paraId="2DE3DD3F" w14:textId="77777777" w:rsidR="00844586" w:rsidRPr="000D1850" w:rsidRDefault="0084114F" w:rsidP="00D70EEF">
      <w:pPr>
        <w:pStyle w:val="Notedebasdepage"/>
        <w:rPr>
          <w:lang w:val="fr-CA"/>
        </w:rPr>
      </w:pPr>
      <w:r w:rsidRPr="000D1850">
        <w:rPr>
          <w:rStyle w:val="Appelnotedebasdep"/>
        </w:rPr>
        <w:footnoteRef/>
      </w:r>
      <w:r w:rsidRPr="000D1850">
        <w:rPr>
          <w:lang w:val="fr-CA"/>
        </w:rPr>
        <w:t xml:space="preserve"> </w:t>
      </w:r>
      <w:r w:rsidRPr="000D1850">
        <w:rPr>
          <w:lang w:val="fr-CA"/>
        </w:rPr>
        <w:tab/>
      </w:r>
      <w:r w:rsidRPr="00E8050B">
        <w:rPr>
          <w:i/>
          <w:iCs/>
          <w:lang w:val="fr-CA"/>
        </w:rPr>
        <w:t>Gestion immobilière Bégin inc. v. 9156-6901 Québec inc.</w:t>
      </w:r>
      <w:r w:rsidRPr="00E8050B">
        <w:rPr>
          <w:lang w:val="fr-CA"/>
        </w:rPr>
        <w:t>, 2018 QCCA 1935, para.</w:t>
      </w:r>
      <w:r w:rsidRPr="000D1850">
        <w:rPr>
          <w:lang w:val="fr-CA"/>
        </w:rPr>
        <w:t xml:space="preserve"> </w:t>
      </w:r>
      <w:r w:rsidRPr="00E8050B">
        <w:rPr>
          <w:lang w:val="fr-CA"/>
        </w:rPr>
        <w:t xml:space="preserve">20; </w:t>
      </w:r>
      <w:r w:rsidRPr="00E8050B">
        <w:rPr>
          <w:i/>
          <w:iCs/>
          <w:lang w:val="fr-CA"/>
        </w:rPr>
        <w:t>Pépin v. Pépin</w:t>
      </w:r>
      <w:r w:rsidRPr="00E8050B">
        <w:rPr>
          <w:lang w:val="fr-CA"/>
        </w:rPr>
        <w:t>, 2012 QCCA 1661, paras.</w:t>
      </w:r>
      <w:r w:rsidRPr="000D1850">
        <w:rPr>
          <w:lang w:val="fr-CA"/>
        </w:rPr>
        <w:t xml:space="preserve"> 86-91; </w:t>
      </w:r>
      <w:r w:rsidRPr="000D1850">
        <w:rPr>
          <w:i/>
          <w:iCs/>
          <w:lang w:val="fr-CA"/>
        </w:rPr>
        <w:t>Gregory v. Château Drummond inc.</w:t>
      </w:r>
      <w:r w:rsidRPr="000D1850">
        <w:rPr>
          <w:lang w:val="fr-CA"/>
        </w:rPr>
        <w:t>, 2012 QCCA 601, paras. 54-61.</w:t>
      </w:r>
    </w:p>
  </w:footnote>
  <w:footnote w:id="12">
    <w:p w14:paraId="19AB8DA9" w14:textId="77777777" w:rsidR="00844586" w:rsidRPr="00EC07A1" w:rsidRDefault="0084114F" w:rsidP="00D70EEF">
      <w:pPr>
        <w:pStyle w:val="Notedebasdepage"/>
      </w:pPr>
      <w:r w:rsidRPr="000D1850">
        <w:rPr>
          <w:rStyle w:val="Appelnotedebasdep"/>
        </w:rPr>
        <w:footnoteRef/>
      </w:r>
      <w:r w:rsidRPr="000D1850">
        <w:rPr>
          <w:lang w:val="fr-CA"/>
        </w:rPr>
        <w:t xml:space="preserve">  </w:t>
      </w:r>
      <w:r w:rsidRPr="000D1850">
        <w:rPr>
          <w:lang w:val="fr-CA"/>
        </w:rPr>
        <w:tab/>
      </w:r>
      <w:r w:rsidRPr="00E8050B">
        <w:rPr>
          <w:rFonts w:cs="Arial"/>
          <w:i/>
          <w:iCs/>
          <w:lang w:val="fr-CA"/>
        </w:rPr>
        <w:t>Uniprix</w:t>
      </w:r>
      <w:r w:rsidRPr="00E8050B">
        <w:rPr>
          <w:rFonts w:cs="Arial"/>
          <w:lang w:val="fr-CA"/>
        </w:rPr>
        <w:t xml:space="preserve">, </w:t>
      </w:r>
      <w:r w:rsidRPr="00E8050B">
        <w:rPr>
          <w:rFonts w:cs="Arial"/>
          <w:i/>
          <w:iCs/>
          <w:lang w:val="fr-CA"/>
        </w:rPr>
        <w:t>supra</w:t>
      </w:r>
      <w:r w:rsidRPr="00E8050B">
        <w:rPr>
          <w:rFonts w:cs="Arial"/>
          <w:lang w:val="fr-CA"/>
        </w:rPr>
        <w:t>, note</w:t>
      </w:r>
      <w:r w:rsidRPr="000D1850">
        <w:rPr>
          <w:rFonts w:cs="Arial"/>
          <w:lang w:val="fr-CA"/>
        </w:rPr>
        <w:t xml:space="preserve"> </w:t>
      </w:r>
      <w:r w:rsidRPr="000D1850">
        <w:rPr>
          <w:rFonts w:cs="Arial"/>
          <w:lang w:val="fr-CA"/>
        </w:rPr>
        <w:fldChar w:fldCharType="begin"/>
      </w:r>
      <w:r w:rsidRPr="000D1850">
        <w:rPr>
          <w:rFonts w:cs="Arial"/>
          <w:lang w:val="fr-CA"/>
        </w:rPr>
        <w:instrText xml:space="preserve"> NOTEREF _Ref130364585 \h  \* MERGEFORMAT </w:instrText>
      </w:r>
      <w:r w:rsidRPr="000D1850">
        <w:rPr>
          <w:rFonts w:cs="Arial"/>
          <w:lang w:val="fr-CA"/>
        </w:rPr>
      </w:r>
      <w:r w:rsidRPr="000D1850">
        <w:rPr>
          <w:rFonts w:cs="Arial"/>
          <w:lang w:val="fr-CA"/>
        </w:rPr>
        <w:fldChar w:fldCharType="separate"/>
      </w:r>
      <w:r>
        <w:rPr>
          <w:rFonts w:cs="Arial"/>
          <w:lang w:val="fr-CA"/>
        </w:rPr>
        <w:t>7</w:t>
      </w:r>
      <w:r w:rsidRPr="000D1850">
        <w:rPr>
          <w:rFonts w:cs="Arial"/>
          <w:lang w:val="fr-CA"/>
        </w:rPr>
        <w:fldChar w:fldCharType="end"/>
      </w:r>
      <w:r w:rsidRPr="00E8050B">
        <w:rPr>
          <w:rFonts w:cs="Arial"/>
          <w:lang w:val="fr-CA"/>
        </w:rPr>
        <w:t>, para.</w:t>
      </w:r>
      <w:r w:rsidRPr="000D1850">
        <w:rPr>
          <w:rFonts w:cs="Arial"/>
          <w:lang w:val="fr-CA"/>
        </w:rPr>
        <w:t xml:space="preserve"> 41; </w:t>
      </w:r>
      <w:r w:rsidRPr="000D1850">
        <w:rPr>
          <w:rFonts w:cs="Arial"/>
          <w:i/>
          <w:lang w:val="fr-CA"/>
        </w:rPr>
        <w:t>Larouche v. Néron</w:t>
      </w:r>
      <w:r w:rsidRPr="000D1850">
        <w:rPr>
          <w:rFonts w:cs="Arial"/>
          <w:lang w:val="fr-CA"/>
        </w:rPr>
        <w:t xml:space="preserve">, 2016 QCCA 692, para. 5; </w:t>
      </w:r>
      <w:r w:rsidRPr="000D1850">
        <w:rPr>
          <w:rFonts w:cs="Arial"/>
          <w:i/>
          <w:lang w:val="fr-CA"/>
        </w:rPr>
        <w:t>Lamco II s.e.c. v. Québec (Ville)</w:t>
      </w:r>
      <w:r w:rsidRPr="000D1850">
        <w:rPr>
          <w:rFonts w:cs="Arial"/>
          <w:lang w:val="fr-CA"/>
        </w:rPr>
        <w:t xml:space="preserve">, 2016 QCCA 757, para. </w:t>
      </w:r>
      <w:r w:rsidRPr="000D1850">
        <w:rPr>
          <w:rFonts w:cs="Arial"/>
        </w:rPr>
        <w:t xml:space="preserve">2; see also </w:t>
      </w:r>
      <w:r w:rsidRPr="000D1850">
        <w:rPr>
          <w:rFonts w:cs="Arial"/>
          <w:i/>
        </w:rPr>
        <w:t xml:space="preserve">Sattva Capital Corp. v. Creston Moly Corp., </w:t>
      </w:r>
      <w:r w:rsidRPr="000D1850">
        <w:rPr>
          <w:rFonts w:cs="Arial"/>
        </w:rPr>
        <w:t xml:space="preserve">2014 SCC 53, [2014] 2 S.C.R. </w:t>
      </w:r>
      <w:r w:rsidRPr="00E8050B">
        <w:rPr>
          <w:rFonts w:cs="Arial"/>
        </w:rPr>
        <w:t>633, paras.</w:t>
      </w:r>
      <w:r w:rsidRPr="000D1850">
        <w:rPr>
          <w:rFonts w:cs="Arial"/>
        </w:rPr>
        <w:t xml:space="preserve"> </w:t>
      </w:r>
      <w:r w:rsidRPr="000D1850">
        <w:rPr>
          <w:rFonts w:cs="Arial"/>
          <w:lang w:val="fr-CA"/>
        </w:rPr>
        <w:t>47-50</w:t>
      </w:r>
      <w:r w:rsidRPr="000D1850">
        <w:rPr>
          <w:rStyle w:val="Hyperlien"/>
          <w:rFonts w:cs="Arial"/>
          <w:color w:val="auto"/>
          <w:u w:val="none"/>
        </w:rPr>
        <w:t xml:space="preserve">; </w:t>
      </w:r>
      <w:r w:rsidRPr="000D1850">
        <w:rPr>
          <w:rFonts w:cs="Arial"/>
          <w:i/>
          <w:lang w:val="fr-CA"/>
        </w:rPr>
        <w:t>Société immobilière Duguay inc. v. 547264 Ontario Limited</w:t>
      </w:r>
      <w:r w:rsidRPr="000D1850">
        <w:rPr>
          <w:rFonts w:cs="Arial"/>
          <w:lang w:val="fr-CA"/>
        </w:rPr>
        <w:t xml:space="preserve">, 2020 QCCA 571, para. 33; </w:t>
      </w:r>
      <w:r w:rsidRPr="000D1850">
        <w:rPr>
          <w:rFonts w:cs="Arial"/>
          <w:i/>
          <w:lang w:val="fr-CA"/>
        </w:rPr>
        <w:t>Modern Cleaning Concept Inc. v. Comité paritaire de l’entretien d’édifices publics de la région de Québec</w:t>
      </w:r>
      <w:r w:rsidRPr="000D1850">
        <w:rPr>
          <w:rFonts w:cs="Arial"/>
          <w:lang w:val="fr-CA"/>
        </w:rPr>
        <w:t xml:space="preserve">, 2019 SCC 28, [2019] 2 S.C.R. </w:t>
      </w:r>
      <w:r w:rsidRPr="00E8050B">
        <w:rPr>
          <w:rFonts w:cs="Arial"/>
          <w:lang w:val="fr-CA"/>
        </w:rPr>
        <w:t>406, para.</w:t>
      </w:r>
      <w:r w:rsidRPr="000D1850">
        <w:rPr>
          <w:rFonts w:cs="Arial"/>
          <w:lang w:val="fr-CA"/>
        </w:rPr>
        <w:t xml:space="preserve"> </w:t>
      </w:r>
      <w:r w:rsidRPr="00E8050B">
        <w:rPr>
          <w:rFonts w:cs="Arial"/>
        </w:rPr>
        <w:t xml:space="preserve">68; </w:t>
      </w:r>
      <w:r w:rsidRPr="00E8050B">
        <w:rPr>
          <w:rFonts w:cs="Arial"/>
          <w:i/>
        </w:rPr>
        <w:t>Churchill Falls (Labrador) Corp. v. Hydro-Québec</w:t>
      </w:r>
      <w:r w:rsidRPr="00E8050B">
        <w:rPr>
          <w:rFonts w:cs="Arial"/>
        </w:rPr>
        <w:t>, 2018 SCC 46, [2018] 3 S.C.R.</w:t>
      </w:r>
      <w:r w:rsidRPr="000D1850">
        <w:rPr>
          <w:rFonts w:cs="Arial"/>
        </w:rPr>
        <w:t xml:space="preserve"> </w:t>
      </w:r>
      <w:r w:rsidRPr="00E8050B">
        <w:rPr>
          <w:rFonts w:cs="Arial"/>
        </w:rPr>
        <w:t>101, paras.</w:t>
      </w:r>
      <w:r w:rsidRPr="000D1850">
        <w:rPr>
          <w:rFonts w:cs="Arial"/>
        </w:rPr>
        <w:t xml:space="preserve"> 49; </w:t>
      </w:r>
      <w:r w:rsidRPr="000D1850">
        <w:rPr>
          <w:rFonts w:cs="Arial"/>
          <w:i/>
        </w:rPr>
        <w:t>Broccolini v. Restaurant Loupy's inc.</w:t>
      </w:r>
      <w:r w:rsidRPr="000D1850">
        <w:rPr>
          <w:rFonts w:cs="Arial"/>
        </w:rPr>
        <w:t>, 2019 QCCA 297, para. </w:t>
      </w:r>
      <w:r w:rsidRPr="00E8050B">
        <w:rPr>
          <w:rFonts w:cs="Arial"/>
        </w:rPr>
        <w:t xml:space="preserve">4; </w:t>
      </w:r>
      <w:r w:rsidRPr="00E8050B">
        <w:rPr>
          <w:rFonts w:cs="Arial"/>
          <w:i/>
        </w:rPr>
        <w:t>Churchill Falls (Labrador) Corporation Ltd. v. Hydro-Québec</w:t>
      </w:r>
      <w:r w:rsidRPr="00E8050B">
        <w:rPr>
          <w:rFonts w:cs="Arial"/>
        </w:rPr>
        <w:t>, 2019 QCCA 1072, para.</w:t>
      </w:r>
      <w:r w:rsidRPr="000D1850">
        <w:rPr>
          <w:rFonts w:cs="Arial"/>
        </w:rPr>
        <w:t xml:space="preserve"> </w:t>
      </w:r>
      <w:r w:rsidRPr="00E8050B">
        <w:rPr>
          <w:rFonts w:cs="Arial"/>
        </w:rPr>
        <w:t xml:space="preserve">40; </w:t>
      </w:r>
      <w:r w:rsidRPr="00E8050B">
        <w:rPr>
          <w:rFonts w:cs="Arial"/>
          <w:i/>
        </w:rPr>
        <w:t>Gercotech inc. v. Kruger inc.</w:t>
      </w:r>
      <w:r w:rsidRPr="000D1850">
        <w:rPr>
          <w:rFonts w:cs="Arial"/>
          <w:i/>
        </w:rPr>
        <w:t xml:space="preserve"> </w:t>
      </w:r>
      <w:r w:rsidRPr="00E8050B">
        <w:rPr>
          <w:rFonts w:cs="Arial"/>
          <w:i/>
        </w:rPr>
        <w:t>Master Trust (CIBC Mellon Trust Company)</w:t>
      </w:r>
      <w:r w:rsidRPr="00E8050B">
        <w:rPr>
          <w:rFonts w:cs="Arial"/>
        </w:rPr>
        <w:t>, 2019 QCCA 1168, para.</w:t>
      </w:r>
      <w:r w:rsidRPr="00EC07A1">
        <w:rPr>
          <w:rFonts w:cs="Arial"/>
        </w:rPr>
        <w:t xml:space="preserve"> 26; </w:t>
      </w:r>
      <w:r w:rsidRPr="00EC07A1">
        <w:rPr>
          <w:rFonts w:cs="Arial"/>
          <w:i/>
        </w:rPr>
        <w:t>Distribution financière Sun Life (Canada) inc. v. Lamontagne</w:t>
      </w:r>
      <w:r w:rsidRPr="00EC07A1">
        <w:rPr>
          <w:rFonts w:cs="Arial"/>
        </w:rPr>
        <w:t>, 2019 QCCA 2162, paras. 4-6.</w:t>
      </w:r>
    </w:p>
  </w:footnote>
  <w:footnote w:id="13">
    <w:p w14:paraId="656642B7" w14:textId="77777777" w:rsidR="00844586" w:rsidRPr="000D1850" w:rsidRDefault="0084114F" w:rsidP="00D70EEF">
      <w:pPr>
        <w:pStyle w:val="Notedebasdepage"/>
        <w:rPr>
          <w:lang w:val="fr-CA"/>
        </w:rPr>
      </w:pPr>
      <w:r w:rsidRPr="000D1850">
        <w:rPr>
          <w:rStyle w:val="Appelnotedebasdep"/>
        </w:rPr>
        <w:footnoteRef/>
      </w:r>
      <w:r w:rsidRPr="00EC07A1">
        <w:t xml:space="preserve">  </w:t>
      </w:r>
      <w:r w:rsidRPr="00EC07A1">
        <w:tab/>
      </w:r>
      <w:r w:rsidRPr="00E8050B">
        <w:rPr>
          <w:i/>
          <w:iCs/>
        </w:rPr>
        <w:t>Housen v. Nikolaisen</w:t>
      </w:r>
      <w:r w:rsidRPr="00E8050B">
        <w:t>, 2002 SCC 33, [2002] 2 S.C.R.</w:t>
      </w:r>
      <w:r w:rsidRPr="00EC07A1">
        <w:t xml:space="preserve"> </w:t>
      </w:r>
      <w:r w:rsidRPr="00E8050B">
        <w:t>235, paras.</w:t>
      </w:r>
      <w:r w:rsidRPr="00EC07A1">
        <w:t xml:space="preserve"> </w:t>
      </w:r>
      <w:r w:rsidRPr="00E8050B">
        <w:rPr>
          <w:lang w:val="fr-CA"/>
        </w:rPr>
        <w:t xml:space="preserve">23 and ff.; </w:t>
      </w:r>
      <w:r w:rsidRPr="00E8050B">
        <w:rPr>
          <w:i/>
          <w:iCs/>
          <w:lang w:val="fr-CA"/>
        </w:rPr>
        <w:t>Uniprix</w:t>
      </w:r>
      <w:r w:rsidRPr="00E8050B">
        <w:rPr>
          <w:lang w:val="fr-CA"/>
        </w:rPr>
        <w:t xml:space="preserve">, </w:t>
      </w:r>
      <w:r w:rsidRPr="00E8050B">
        <w:rPr>
          <w:i/>
          <w:iCs/>
          <w:lang w:val="fr-CA"/>
        </w:rPr>
        <w:t>supra</w:t>
      </w:r>
      <w:r w:rsidRPr="00E8050B">
        <w:rPr>
          <w:lang w:val="fr-CA"/>
        </w:rPr>
        <w:t>, note</w:t>
      </w:r>
      <w:r w:rsidRPr="000D1850">
        <w:rPr>
          <w:lang w:val="fr-CA"/>
        </w:rPr>
        <w:t xml:space="preserve"> </w:t>
      </w:r>
      <w:r>
        <w:rPr>
          <w:lang w:val="fr-CA"/>
        </w:rPr>
        <w:fldChar w:fldCharType="begin"/>
      </w:r>
      <w:r>
        <w:rPr>
          <w:lang w:val="fr-CA"/>
        </w:rPr>
        <w:instrText xml:space="preserve"> NOTEREF _Ref130364585 \h </w:instrText>
      </w:r>
      <w:r>
        <w:rPr>
          <w:lang w:val="fr-CA"/>
        </w:rPr>
      </w:r>
      <w:r>
        <w:rPr>
          <w:lang w:val="fr-CA"/>
        </w:rPr>
        <w:fldChar w:fldCharType="separate"/>
      </w:r>
      <w:r>
        <w:rPr>
          <w:lang w:val="fr-CA"/>
        </w:rPr>
        <w:t>7</w:t>
      </w:r>
      <w:r>
        <w:rPr>
          <w:lang w:val="fr-CA"/>
        </w:rPr>
        <w:fldChar w:fldCharType="end"/>
      </w:r>
      <w:r w:rsidRPr="00E8050B">
        <w:rPr>
          <w:lang w:val="fr-CA"/>
        </w:rPr>
        <w:t>, para.</w:t>
      </w:r>
      <w:r w:rsidRPr="000D1850">
        <w:rPr>
          <w:lang w:val="fr-CA"/>
        </w:rPr>
        <w:t xml:space="preserve"> 41.</w:t>
      </w:r>
    </w:p>
  </w:footnote>
  <w:footnote w:id="14">
    <w:p w14:paraId="1F1A5AC6" w14:textId="77777777" w:rsidR="00844586" w:rsidRPr="000D1850" w:rsidRDefault="0084114F" w:rsidP="00D70EEF">
      <w:pPr>
        <w:pStyle w:val="Notedebasdepage"/>
        <w:rPr>
          <w:lang w:val="fr-CA"/>
        </w:rPr>
      </w:pPr>
      <w:r w:rsidRPr="000D1850">
        <w:rPr>
          <w:rStyle w:val="Appelnotedebasdep"/>
        </w:rPr>
        <w:footnoteRef/>
      </w:r>
      <w:r w:rsidRPr="000D1850">
        <w:rPr>
          <w:lang w:val="fr-CA"/>
        </w:rPr>
        <w:t xml:space="preserve">  </w:t>
      </w:r>
      <w:r w:rsidRPr="000D1850">
        <w:rPr>
          <w:lang w:val="fr-CA"/>
        </w:rPr>
        <w:tab/>
      </w:r>
      <w:r w:rsidRPr="00E8050B">
        <w:rPr>
          <w:i/>
          <w:iCs/>
          <w:lang w:val="fr-CA"/>
        </w:rPr>
        <w:t>Prud'homme v. Prud'homme</w:t>
      </w:r>
      <w:r w:rsidRPr="00E8050B">
        <w:rPr>
          <w:lang w:val="fr-CA"/>
        </w:rPr>
        <w:t>, 2002 SCC 85, [2002] 4 S.C.R.</w:t>
      </w:r>
      <w:r w:rsidRPr="000D1850">
        <w:rPr>
          <w:lang w:val="fr-CA"/>
        </w:rPr>
        <w:t xml:space="preserve"> </w:t>
      </w:r>
      <w:r w:rsidRPr="00E8050B">
        <w:rPr>
          <w:lang w:val="fr-CA"/>
        </w:rPr>
        <w:t>663, para.</w:t>
      </w:r>
      <w:r w:rsidRPr="000D1850">
        <w:rPr>
          <w:lang w:val="fr-CA"/>
        </w:rPr>
        <w:t xml:space="preserve"> 65.</w:t>
      </w:r>
    </w:p>
  </w:footnote>
  <w:footnote w:id="15">
    <w:p w14:paraId="51190DCF" w14:textId="77777777" w:rsidR="00844586" w:rsidRPr="000D1850" w:rsidRDefault="0084114F" w:rsidP="00D70EEF">
      <w:pPr>
        <w:pStyle w:val="Notedebasdepage"/>
        <w:rPr>
          <w:lang w:val="fr-CA"/>
        </w:rPr>
      </w:pPr>
      <w:r w:rsidRPr="000D1850">
        <w:rPr>
          <w:rStyle w:val="Appelnotedebasdep"/>
        </w:rPr>
        <w:footnoteRef/>
      </w:r>
      <w:r w:rsidRPr="000D1850">
        <w:rPr>
          <w:lang w:val="fr-CA"/>
        </w:rPr>
        <w:t xml:space="preserve">  </w:t>
      </w:r>
      <w:r w:rsidRPr="000D1850">
        <w:rPr>
          <w:lang w:val="fr-CA"/>
        </w:rPr>
        <w:tab/>
      </w:r>
      <w:r w:rsidRPr="000D1850">
        <w:rPr>
          <w:i/>
          <w:iCs/>
          <w:lang w:val="fr-CA"/>
        </w:rPr>
        <w:t>Salomon v. Matte</w:t>
      </w:r>
      <w:r w:rsidRPr="000D1850">
        <w:rPr>
          <w:rFonts w:ascii="Cambria Math" w:hAnsi="Cambria Math" w:cs="Cambria Math"/>
          <w:i/>
          <w:iCs/>
          <w:lang w:val="fr-CA"/>
        </w:rPr>
        <w:t>‑</w:t>
      </w:r>
      <w:r w:rsidRPr="000D1850">
        <w:rPr>
          <w:i/>
          <w:iCs/>
          <w:lang w:val="fr-CA"/>
        </w:rPr>
        <w:t>Thompson</w:t>
      </w:r>
      <w:r w:rsidRPr="000D1850">
        <w:rPr>
          <w:lang w:val="fr-CA"/>
        </w:rPr>
        <w:t xml:space="preserve">, 2019 SCC 14, [2019] 1 S.C.R. </w:t>
      </w:r>
      <w:r w:rsidRPr="00E8050B">
        <w:rPr>
          <w:lang w:val="fr-CA"/>
        </w:rPr>
        <w:t>729, paras.</w:t>
      </w:r>
      <w:r w:rsidRPr="000D1850">
        <w:rPr>
          <w:lang w:val="fr-CA"/>
        </w:rPr>
        <w:t xml:space="preserve"> 36-41.</w:t>
      </w:r>
    </w:p>
  </w:footnote>
  <w:footnote w:id="16">
    <w:p w14:paraId="49339AA9" w14:textId="77777777" w:rsidR="00844586" w:rsidRPr="000D1850" w:rsidRDefault="0084114F" w:rsidP="00D70EEF">
      <w:pPr>
        <w:pStyle w:val="Notedebasdepage"/>
        <w:rPr>
          <w:lang w:val="fr-CA"/>
        </w:rPr>
      </w:pPr>
      <w:r w:rsidRPr="000D1850">
        <w:rPr>
          <w:rStyle w:val="Appelnotedebasdep"/>
        </w:rPr>
        <w:footnoteRef/>
      </w:r>
      <w:r w:rsidRPr="000D1850">
        <w:rPr>
          <w:lang w:val="fr-CA"/>
        </w:rPr>
        <w:t xml:space="preserve">  </w:t>
      </w:r>
      <w:r w:rsidRPr="000D1850">
        <w:rPr>
          <w:lang w:val="fr-CA"/>
        </w:rPr>
        <w:tab/>
      </w:r>
      <w:r w:rsidRPr="00E8050B">
        <w:rPr>
          <w:i/>
          <w:iCs/>
          <w:lang w:val="fr-CA"/>
        </w:rPr>
        <w:t>Francoeur v. 4417186 Canada inc.</w:t>
      </w:r>
      <w:r w:rsidRPr="00E8050B">
        <w:rPr>
          <w:lang w:val="fr-CA"/>
        </w:rPr>
        <w:t>, 2013 QCCA 191, paras.</w:t>
      </w:r>
      <w:r w:rsidRPr="000D1850">
        <w:rPr>
          <w:lang w:val="fr-CA"/>
        </w:rPr>
        <w:t xml:space="preserve"> </w:t>
      </w:r>
      <w:r w:rsidRPr="00E8050B">
        <w:rPr>
          <w:lang w:val="fr-CA"/>
        </w:rPr>
        <w:t xml:space="preserve">11 and 64; see also </w:t>
      </w:r>
      <w:r w:rsidRPr="00E8050B">
        <w:rPr>
          <w:i/>
          <w:iCs/>
          <w:lang w:val="fr-CA"/>
        </w:rPr>
        <w:t>Ford du Canada ltée v. Automobiles Duclos inc.</w:t>
      </w:r>
      <w:r w:rsidRPr="00E8050B">
        <w:rPr>
          <w:lang w:val="fr-CA"/>
        </w:rPr>
        <w:t>, 2007 QCCA 1541, paras.</w:t>
      </w:r>
      <w:r w:rsidRPr="000D1850">
        <w:rPr>
          <w:lang w:val="fr-CA"/>
        </w:rPr>
        <w:t xml:space="preserve"> 128-136.</w:t>
      </w:r>
    </w:p>
  </w:footnote>
  <w:footnote w:id="17">
    <w:p w14:paraId="5BC124C7" w14:textId="77777777" w:rsidR="00844586" w:rsidRPr="000D1850" w:rsidRDefault="0084114F" w:rsidP="00D70EEF">
      <w:pPr>
        <w:pStyle w:val="Notedebasdepage"/>
        <w:rPr>
          <w:lang w:val="fr-CA"/>
        </w:rPr>
      </w:pPr>
      <w:r w:rsidRPr="000D1850">
        <w:rPr>
          <w:rStyle w:val="Appelnotedebasdep"/>
        </w:rPr>
        <w:footnoteRef/>
      </w:r>
      <w:r w:rsidRPr="000D1850">
        <w:rPr>
          <w:lang w:val="fr-CA"/>
        </w:rPr>
        <w:t xml:space="preserve">  </w:t>
      </w:r>
      <w:r w:rsidRPr="000D1850">
        <w:rPr>
          <w:lang w:val="fr-CA"/>
        </w:rPr>
        <w:tab/>
      </w:r>
      <w:r w:rsidRPr="00E8050B">
        <w:rPr>
          <w:i/>
          <w:iCs/>
          <w:lang w:val="fr-CA"/>
        </w:rPr>
        <w:t>Softmedical inc. v. Daabous</w:t>
      </w:r>
      <w:r w:rsidRPr="00E8050B">
        <w:rPr>
          <w:lang w:val="fr-CA"/>
        </w:rPr>
        <w:t>, 2017 QCCA 1270, paras.</w:t>
      </w:r>
      <w:r w:rsidRPr="000D1850">
        <w:rPr>
          <w:lang w:val="fr-CA"/>
        </w:rPr>
        <w:t xml:space="preserve"> </w:t>
      </w:r>
      <w:r w:rsidRPr="00E8050B">
        <w:rPr>
          <w:lang w:val="fr-CA"/>
        </w:rPr>
        <w:t>47-50 and 66.</w:t>
      </w:r>
    </w:p>
  </w:footnote>
  <w:footnote w:id="18">
    <w:p w14:paraId="1BACC8E7" w14:textId="77777777" w:rsidR="00844586" w:rsidRPr="000D1850" w:rsidRDefault="0084114F" w:rsidP="00D70EEF">
      <w:pPr>
        <w:pStyle w:val="Notedebasdepage"/>
        <w:rPr>
          <w:lang w:val="fr-CA"/>
        </w:rPr>
      </w:pPr>
      <w:r w:rsidRPr="000D1850">
        <w:rPr>
          <w:rStyle w:val="Appelnotedebasdep"/>
        </w:rPr>
        <w:footnoteRef/>
      </w:r>
      <w:r w:rsidRPr="000D1850">
        <w:rPr>
          <w:lang w:val="fr-CA"/>
        </w:rPr>
        <w:t xml:space="preserve">  </w:t>
      </w:r>
      <w:r w:rsidRPr="000D1850">
        <w:rPr>
          <w:lang w:val="fr-CA"/>
        </w:rPr>
        <w:tab/>
      </w:r>
      <w:r w:rsidRPr="000D1850">
        <w:rPr>
          <w:i/>
          <w:iCs/>
          <w:lang w:val="fr-CA"/>
        </w:rPr>
        <w:t>Druide Informatique inc. v. Éditions Québec Amérique inc.</w:t>
      </w:r>
      <w:r w:rsidRPr="000D1850">
        <w:rPr>
          <w:lang w:val="fr-CA"/>
        </w:rPr>
        <w:t>, 2020 QCCA 1197, paras. 97-101.</w:t>
      </w:r>
    </w:p>
  </w:footnote>
  <w:footnote w:id="19">
    <w:p w14:paraId="4EA3FAE4" w14:textId="77777777" w:rsidR="00844586" w:rsidRPr="000D1850" w:rsidRDefault="0084114F" w:rsidP="00D70EEF">
      <w:pPr>
        <w:pStyle w:val="Notedebasdepage"/>
      </w:pPr>
      <w:r w:rsidRPr="000D1850">
        <w:rPr>
          <w:rStyle w:val="Appelnotedebasdep"/>
        </w:rPr>
        <w:footnoteRef/>
      </w:r>
      <w:r w:rsidRPr="000D1850">
        <w:rPr>
          <w:lang w:val="fr-CA"/>
        </w:rPr>
        <w:t xml:space="preserve">  </w:t>
      </w:r>
      <w:r w:rsidRPr="000D1850">
        <w:rPr>
          <w:lang w:val="fr-CA"/>
        </w:rPr>
        <w:tab/>
      </w:r>
      <w:r w:rsidRPr="000D1850">
        <w:rPr>
          <w:i/>
          <w:iCs/>
          <w:lang w:val="fr-CA"/>
        </w:rPr>
        <w:t>Construction Infrabec inc. v. Paul Savard, Entrepreneur électricien inc.</w:t>
      </w:r>
      <w:r w:rsidRPr="000D1850">
        <w:rPr>
          <w:lang w:val="fr-CA"/>
        </w:rPr>
        <w:t xml:space="preserve">, 2012 QCCA 2304, para. 43; see also </w:t>
      </w:r>
      <w:r w:rsidRPr="000D1850">
        <w:rPr>
          <w:i/>
          <w:iCs/>
          <w:lang w:val="fr-CA"/>
        </w:rPr>
        <w:t>V.L. v. Ville de Gatineau</w:t>
      </w:r>
      <w:r w:rsidRPr="000D1850">
        <w:rPr>
          <w:lang w:val="fr-CA"/>
        </w:rPr>
        <w:t xml:space="preserve">, 2022 QCCA 1395, para. 43; </w:t>
      </w:r>
      <w:r w:rsidRPr="000D1850">
        <w:rPr>
          <w:i/>
          <w:iCs/>
          <w:lang w:val="fr-CA"/>
        </w:rPr>
        <w:t>Guérin v. Lavoie</w:t>
      </w:r>
      <w:r w:rsidRPr="000D1850">
        <w:rPr>
          <w:lang w:val="fr-CA"/>
        </w:rPr>
        <w:t xml:space="preserve">, 2021 QCCA 692, para. 13; </w:t>
      </w:r>
      <w:r w:rsidRPr="000D1850">
        <w:rPr>
          <w:i/>
          <w:iCs/>
          <w:lang w:val="fr-CA"/>
        </w:rPr>
        <w:t>Nbogni-Ngouala v. Financière Castleton ltée</w:t>
      </w:r>
      <w:r w:rsidRPr="000D1850">
        <w:rPr>
          <w:lang w:val="fr-CA"/>
        </w:rPr>
        <w:t xml:space="preserve">, 2019 QCCA 1001, para. 15; </w:t>
      </w:r>
      <w:r w:rsidRPr="000D1850">
        <w:rPr>
          <w:i/>
          <w:iCs/>
          <w:lang w:val="fr-CA"/>
        </w:rPr>
        <w:t>Stoyanova v. Syndic de Disques Mile End inc.</w:t>
      </w:r>
      <w:r w:rsidRPr="000D1850">
        <w:rPr>
          <w:lang w:val="fr-CA"/>
        </w:rPr>
        <w:t xml:space="preserve">, 2018 QCCA 1788, paras. </w:t>
      </w:r>
      <w:r w:rsidRPr="000D1850">
        <w:t>19-24.</w:t>
      </w:r>
    </w:p>
  </w:footnote>
  <w:footnote w:id="20">
    <w:p w14:paraId="03DCE6C8" w14:textId="77777777" w:rsidR="00844586" w:rsidRPr="000D1850" w:rsidRDefault="0084114F" w:rsidP="00D70EEF">
      <w:pPr>
        <w:pStyle w:val="Notedebasdepage"/>
      </w:pPr>
      <w:r w:rsidRPr="000D1850">
        <w:rPr>
          <w:rStyle w:val="Appelnotedebasdep"/>
        </w:rPr>
        <w:footnoteRef/>
      </w:r>
      <w:r w:rsidRPr="000D1850">
        <w:t xml:space="preserve">  </w:t>
      </w:r>
      <w:r w:rsidRPr="000D1850">
        <w:tab/>
        <w:t>And it should be remembered that Sirois subsequently sold Wooky’s intellectual property for $250,000.</w:t>
      </w:r>
    </w:p>
  </w:footnote>
  <w:footnote w:id="21">
    <w:p w14:paraId="4C8E33FD" w14:textId="77777777" w:rsidR="00844586" w:rsidRPr="000D1850" w:rsidRDefault="0084114F" w:rsidP="00D70EEF">
      <w:pPr>
        <w:pStyle w:val="Notedebasdepage"/>
      </w:pPr>
      <w:r w:rsidRPr="000D1850">
        <w:rPr>
          <w:rStyle w:val="Appelnotedebasdep"/>
        </w:rPr>
        <w:footnoteRef/>
      </w:r>
      <w:r w:rsidRPr="000D1850">
        <w:t xml:space="preserve">  </w:t>
      </w:r>
      <w:r w:rsidRPr="000D1850">
        <w:tab/>
      </w:r>
      <w:r w:rsidRPr="000D1850">
        <w:rPr>
          <w:i/>
          <w:iCs/>
        </w:rPr>
        <w:t>Bank of Montreal v. Kuet Leong Ng</w:t>
      </w:r>
      <w:r w:rsidRPr="000D1850">
        <w:t xml:space="preserve">, [1989] 2 S.C.R. </w:t>
      </w:r>
      <w:r w:rsidRPr="00E8050B">
        <w:t>429, p. 441.</w:t>
      </w:r>
    </w:p>
  </w:footnote>
  <w:footnote w:id="22">
    <w:p w14:paraId="066D46A2" w14:textId="77777777" w:rsidR="00844586" w:rsidRPr="00DD1C63" w:rsidRDefault="0084114F" w:rsidP="00D70EEF">
      <w:pPr>
        <w:pStyle w:val="Notedebasdepage"/>
        <w:rPr>
          <w:lang w:val="fr-CA"/>
        </w:rPr>
      </w:pPr>
      <w:r w:rsidRPr="000D1850">
        <w:rPr>
          <w:rStyle w:val="Appelnotedebasdep"/>
        </w:rPr>
        <w:footnoteRef/>
      </w:r>
      <w:r w:rsidRPr="000D1850">
        <w:rPr>
          <w:lang w:val="fr-CA"/>
        </w:rPr>
        <w:t xml:space="preserve">  </w:t>
      </w:r>
      <w:r w:rsidRPr="000D1850">
        <w:rPr>
          <w:lang w:val="fr-CA"/>
        </w:rPr>
        <w:tab/>
      </w:r>
      <w:r w:rsidRPr="000D1850">
        <w:rPr>
          <w:i/>
          <w:iCs/>
          <w:lang w:val="fr-CA"/>
        </w:rPr>
        <w:t>Uni-Sélect Inc. v. Acktion Corp.</w:t>
      </w:r>
      <w:r w:rsidRPr="000D1850">
        <w:rPr>
          <w:lang w:val="fr-CA"/>
        </w:rPr>
        <w:t>, 2002 CanLII 41226 (QC CA), paras. 53-57.</w:t>
      </w:r>
    </w:p>
  </w:footnote>
  <w:footnote w:id="23">
    <w:p w14:paraId="07FB06E0" w14:textId="678A6EC0" w:rsidR="00B70773" w:rsidRPr="00A90F7A" w:rsidRDefault="00B70773" w:rsidP="00B70773">
      <w:pPr>
        <w:pStyle w:val="Notedebasdepage"/>
        <w:ind w:left="284" w:hanging="284"/>
        <w:rPr>
          <w:rFonts w:cs="Arial"/>
          <w:lang w:val="fr-CA"/>
        </w:rPr>
      </w:pPr>
      <w:r w:rsidRPr="0082385B">
        <w:rPr>
          <w:rStyle w:val="Appelnotedebasdep"/>
          <w:rFonts w:cs="Arial"/>
        </w:rPr>
        <w:footnoteRef/>
      </w:r>
      <w:r w:rsidRPr="00A90F7A">
        <w:rPr>
          <w:rFonts w:cs="Arial"/>
          <w:lang w:val="fr-CA"/>
        </w:rPr>
        <w:tab/>
      </w:r>
      <w:r w:rsidR="00C3747E" w:rsidRPr="00E8050B">
        <w:rPr>
          <w:rFonts w:cs="Arial"/>
          <w:i/>
          <w:iCs/>
          <w:lang w:val="fr-CA"/>
        </w:rPr>
        <w:t>Uniprix inc. v. Gestion Gosselin et Bérubé inc.</w:t>
      </w:r>
      <w:r w:rsidR="00C3747E" w:rsidRPr="00E8050B">
        <w:rPr>
          <w:rFonts w:cs="Arial"/>
          <w:iCs/>
          <w:lang w:val="fr-CA"/>
        </w:rPr>
        <w:t>, 2017 SCC 43.</w:t>
      </w:r>
    </w:p>
  </w:footnote>
  <w:footnote w:id="24">
    <w:p w14:paraId="37F6A4E7" w14:textId="47F9458B" w:rsidR="00C367DE" w:rsidRPr="008328EF" w:rsidRDefault="00C367DE" w:rsidP="00C367DE">
      <w:pPr>
        <w:pStyle w:val="Notedebasdepage"/>
        <w:ind w:left="284" w:hanging="284"/>
        <w:rPr>
          <w:rFonts w:cs="Arial"/>
          <w:lang w:val="fr-CA"/>
        </w:rPr>
      </w:pPr>
      <w:r w:rsidRPr="0082385B">
        <w:rPr>
          <w:rStyle w:val="Appelnotedebasdep"/>
          <w:rFonts w:cs="Arial"/>
        </w:rPr>
        <w:footnoteRef/>
      </w:r>
      <w:r w:rsidRPr="008328EF">
        <w:rPr>
          <w:rFonts w:cs="Arial"/>
          <w:lang w:val="fr-CA"/>
        </w:rPr>
        <w:tab/>
      </w:r>
      <w:r w:rsidR="00C3747E" w:rsidRPr="008328EF">
        <w:rPr>
          <w:rFonts w:cs="Arial"/>
          <w:lang w:val="fr-CA"/>
        </w:rPr>
        <w:t xml:space="preserve">Arguments of </w:t>
      </w:r>
      <w:r w:rsidR="00E73F0D" w:rsidRPr="00D92BBE">
        <w:rPr>
          <w:rFonts w:cs="Arial"/>
          <w:lang w:val="fr-CA"/>
        </w:rPr>
        <w:t xml:space="preserve">the </w:t>
      </w:r>
      <w:r w:rsidR="00C3747E" w:rsidRPr="008328EF">
        <w:rPr>
          <w:rFonts w:cs="Arial"/>
          <w:lang w:val="fr-CA"/>
        </w:rPr>
        <w:t>appellant, para.</w:t>
      </w:r>
      <w:r w:rsidRPr="008328EF">
        <w:rPr>
          <w:rFonts w:cs="Arial"/>
          <w:lang w:val="fr-CA"/>
        </w:rPr>
        <w:t xml:space="preserve"> </w:t>
      </w:r>
      <w:r w:rsidR="00C3747E" w:rsidRPr="008328EF">
        <w:rPr>
          <w:rFonts w:cs="Arial"/>
          <w:lang w:val="fr-CA"/>
        </w:rPr>
        <w:t>26.</w:t>
      </w:r>
    </w:p>
  </w:footnote>
  <w:footnote w:id="25">
    <w:p w14:paraId="6E16AC68" w14:textId="53861432" w:rsidR="0000456A" w:rsidRPr="00284832" w:rsidRDefault="0000456A" w:rsidP="0000456A">
      <w:pPr>
        <w:pStyle w:val="Notedebasdepage"/>
        <w:ind w:left="284" w:hanging="284"/>
        <w:rPr>
          <w:rFonts w:cs="Arial"/>
        </w:rPr>
      </w:pPr>
      <w:r w:rsidRPr="0082385B">
        <w:rPr>
          <w:rStyle w:val="Appelnotedebasdep"/>
          <w:rFonts w:cs="Arial"/>
        </w:rPr>
        <w:footnoteRef/>
      </w:r>
      <w:r w:rsidRPr="008328EF">
        <w:rPr>
          <w:rFonts w:cs="Arial"/>
          <w:lang w:val="fr-CA"/>
        </w:rPr>
        <w:tab/>
      </w:r>
      <w:r w:rsidR="00C3747E" w:rsidRPr="008328EF">
        <w:rPr>
          <w:rFonts w:cs="Arial"/>
          <w:i/>
          <w:iCs/>
          <w:lang w:val="fr-CA"/>
        </w:rPr>
        <w:t>Housen v. Nikolaisen</w:t>
      </w:r>
      <w:r w:rsidR="00C3747E" w:rsidRPr="008328EF">
        <w:rPr>
          <w:rFonts w:cs="Arial"/>
          <w:iCs/>
          <w:lang w:val="fr-CA"/>
        </w:rPr>
        <w:t>, 2002 SCC 33, para.</w:t>
      </w:r>
      <w:r w:rsidRPr="008328EF">
        <w:rPr>
          <w:rFonts w:cs="Arial"/>
          <w:lang w:val="fr-CA"/>
        </w:rPr>
        <w:t xml:space="preserve"> </w:t>
      </w:r>
      <w:r w:rsidR="00C3747E">
        <w:rPr>
          <w:rFonts w:cs="Arial"/>
        </w:rPr>
        <w:t>10.</w:t>
      </w:r>
    </w:p>
  </w:footnote>
  <w:footnote w:id="26">
    <w:p w14:paraId="1CE35988" w14:textId="1053436C" w:rsidR="0000456A" w:rsidRPr="00BD0B9F" w:rsidRDefault="0000456A" w:rsidP="0000456A">
      <w:pPr>
        <w:pStyle w:val="Notedebasdepage"/>
        <w:ind w:left="284" w:hanging="284"/>
        <w:rPr>
          <w:rFonts w:cs="Arial"/>
        </w:rPr>
      </w:pPr>
      <w:r w:rsidRPr="0082385B">
        <w:rPr>
          <w:rStyle w:val="Appelnotedebasdep"/>
          <w:rFonts w:cs="Arial"/>
        </w:rPr>
        <w:footnoteRef/>
      </w:r>
      <w:r w:rsidRPr="00F24DCC">
        <w:rPr>
          <w:rFonts w:cs="Arial"/>
        </w:rPr>
        <w:tab/>
      </w:r>
      <w:r w:rsidR="00C3747E" w:rsidRPr="00E8050B">
        <w:rPr>
          <w:rFonts w:cs="Arial"/>
          <w:i/>
          <w:iCs/>
        </w:rPr>
        <w:t>Ibid</w:t>
      </w:r>
      <w:r w:rsidR="00E73F0D">
        <w:rPr>
          <w:rFonts w:cs="Arial"/>
          <w:i/>
          <w:iCs/>
        </w:rPr>
        <w:t>.</w:t>
      </w:r>
      <w:r w:rsidR="00E73F0D">
        <w:rPr>
          <w:rFonts w:cs="Arial"/>
        </w:rPr>
        <w:t>,</w:t>
      </w:r>
      <w:r w:rsidR="00C3747E" w:rsidRPr="00E8050B">
        <w:rPr>
          <w:rFonts w:cs="Arial"/>
          <w:iCs/>
        </w:rPr>
        <w:t xml:space="preserve"> para.</w:t>
      </w:r>
      <w:r>
        <w:rPr>
          <w:rFonts w:cs="Arial"/>
        </w:rPr>
        <w:t xml:space="preserve"> </w:t>
      </w:r>
      <w:r w:rsidR="00C3747E">
        <w:rPr>
          <w:rFonts w:cs="Arial"/>
        </w:rPr>
        <w:t>15.</w:t>
      </w:r>
    </w:p>
  </w:footnote>
  <w:footnote w:id="27">
    <w:p w14:paraId="30162E06" w14:textId="2BF05C5A" w:rsidR="0000456A" w:rsidRPr="00C3747E" w:rsidRDefault="0000456A" w:rsidP="0000456A">
      <w:pPr>
        <w:pStyle w:val="Notedebasdepage"/>
        <w:ind w:left="284" w:hanging="284"/>
        <w:rPr>
          <w:rFonts w:cs="Arial"/>
        </w:rPr>
      </w:pPr>
      <w:r w:rsidRPr="0082385B">
        <w:rPr>
          <w:rStyle w:val="Appelnotedebasdep"/>
          <w:rFonts w:cs="Arial"/>
        </w:rPr>
        <w:footnoteRef/>
      </w:r>
      <w:r w:rsidRPr="00F24DCC">
        <w:rPr>
          <w:rFonts w:cs="Arial"/>
        </w:rPr>
        <w:tab/>
      </w:r>
      <w:r w:rsidR="00C3747E" w:rsidRPr="00E8050B">
        <w:rPr>
          <w:rFonts w:cs="Arial"/>
          <w:i/>
          <w:iCs/>
        </w:rPr>
        <w:t>Benhaim v. St</w:t>
      </w:r>
      <w:r w:rsidR="00C3747E" w:rsidRPr="00E8050B">
        <w:rPr>
          <w:rFonts w:ascii="Cambria Math" w:hAnsi="Cambria Math" w:cs="Cambria Math"/>
          <w:i/>
          <w:iCs/>
        </w:rPr>
        <w:t>‑</w:t>
      </w:r>
      <w:r w:rsidR="00C3747E" w:rsidRPr="00E8050B">
        <w:rPr>
          <w:rFonts w:cs="Arial"/>
          <w:i/>
          <w:iCs/>
        </w:rPr>
        <w:t>Germain</w:t>
      </w:r>
      <w:r w:rsidR="00C3747E" w:rsidRPr="00E8050B">
        <w:rPr>
          <w:rFonts w:cs="Arial"/>
          <w:iCs/>
        </w:rPr>
        <w:t>, 2016 SCC 48, para.</w:t>
      </w:r>
      <w:r>
        <w:rPr>
          <w:rFonts w:cs="Arial"/>
        </w:rPr>
        <w:t xml:space="preserve"> </w:t>
      </w:r>
      <w:r w:rsidR="00C3747E">
        <w:rPr>
          <w:rFonts w:cs="Arial"/>
        </w:rPr>
        <w:t>37.</w:t>
      </w:r>
    </w:p>
  </w:footnote>
  <w:footnote w:id="28">
    <w:p w14:paraId="7C5A9B11" w14:textId="26F0568F" w:rsidR="0000456A" w:rsidRPr="00C3747E" w:rsidRDefault="0000456A" w:rsidP="0000456A">
      <w:pPr>
        <w:pStyle w:val="Notedebasdepage"/>
        <w:ind w:left="284" w:hanging="284"/>
        <w:rPr>
          <w:rFonts w:cs="Arial"/>
        </w:rPr>
      </w:pPr>
      <w:r w:rsidRPr="0082385B">
        <w:rPr>
          <w:rStyle w:val="Appelnotedebasdep"/>
          <w:rFonts w:cs="Arial"/>
        </w:rPr>
        <w:footnoteRef/>
      </w:r>
      <w:r w:rsidRPr="00C3747E">
        <w:rPr>
          <w:rFonts w:cs="Arial"/>
        </w:rPr>
        <w:tab/>
      </w:r>
      <w:r w:rsidR="00C3747E" w:rsidRPr="00E8050B">
        <w:rPr>
          <w:rFonts w:cs="Arial"/>
          <w:i/>
          <w:iCs/>
        </w:rPr>
        <w:t>Ibid.</w:t>
      </w:r>
      <w:r w:rsidRPr="00C3747E">
        <w:rPr>
          <w:rFonts w:cs="Arial"/>
        </w:rPr>
        <w:t xml:space="preserve"> </w:t>
      </w:r>
      <w:r w:rsidR="00C3747E" w:rsidRPr="00C3747E">
        <w:rPr>
          <w:rFonts w:cs="Arial"/>
        </w:rPr>
        <w:t xml:space="preserve">See also </w:t>
      </w:r>
      <w:r w:rsidR="00C3747E" w:rsidRPr="00C3747E">
        <w:rPr>
          <w:rFonts w:cs="Arial"/>
          <w:i/>
        </w:rPr>
        <w:t>KPH 11 v. Richardson Wealth Limited (Richardson GMP Limited)</w:t>
      </w:r>
      <w:r w:rsidR="00C3747E" w:rsidRPr="00C3747E">
        <w:rPr>
          <w:rFonts w:cs="Arial"/>
        </w:rPr>
        <w:t>, 2022 QCCA 148 (leave to appeal to SCC refused, 40254 (</w:t>
      </w:r>
      <w:r w:rsidR="00703805">
        <w:rPr>
          <w:rFonts w:cs="Arial"/>
        </w:rPr>
        <w:t xml:space="preserve">21 </w:t>
      </w:r>
      <w:r w:rsidR="00C3747E" w:rsidRPr="00C3747E">
        <w:rPr>
          <w:rFonts w:cs="Arial"/>
        </w:rPr>
        <w:t>February 2023), para.</w:t>
      </w:r>
      <w:r w:rsidRPr="00C3747E">
        <w:rPr>
          <w:rFonts w:cs="Arial"/>
        </w:rPr>
        <w:t xml:space="preserve"> </w:t>
      </w:r>
      <w:r w:rsidR="00C3747E">
        <w:rPr>
          <w:rFonts w:cs="Arial"/>
        </w:rPr>
        <w:t>8.</w:t>
      </w:r>
    </w:p>
  </w:footnote>
  <w:footnote w:id="29">
    <w:p w14:paraId="1F820B17" w14:textId="5344C4B0" w:rsidR="0000456A" w:rsidRPr="00086B01" w:rsidRDefault="0000456A" w:rsidP="0000456A">
      <w:pPr>
        <w:pStyle w:val="Notedebasdepage"/>
        <w:ind w:left="284" w:hanging="284"/>
        <w:rPr>
          <w:rFonts w:cs="Arial"/>
        </w:rPr>
      </w:pPr>
      <w:r w:rsidRPr="0082385B">
        <w:rPr>
          <w:rStyle w:val="Appelnotedebasdep"/>
          <w:rFonts w:cs="Arial"/>
        </w:rPr>
        <w:footnoteRef/>
      </w:r>
      <w:r w:rsidRPr="00086B01">
        <w:rPr>
          <w:rFonts w:cs="Arial"/>
        </w:rPr>
        <w:tab/>
      </w:r>
      <w:r w:rsidR="00C3747E" w:rsidRPr="00E8050B">
        <w:rPr>
          <w:rFonts w:cs="Arial"/>
        </w:rPr>
        <w:t>2020 SCC 37, para.</w:t>
      </w:r>
      <w:r w:rsidRPr="00086B01">
        <w:rPr>
          <w:rFonts w:cs="Arial"/>
        </w:rPr>
        <w:t xml:space="preserve"> 33. </w:t>
      </w:r>
      <w:r w:rsidR="00086B01" w:rsidRPr="00E8050B">
        <w:rPr>
          <w:rFonts w:cs="Arial"/>
        </w:rPr>
        <w:t xml:space="preserve">See also </w:t>
      </w:r>
      <w:r w:rsidR="00086B01" w:rsidRPr="00E8050B">
        <w:rPr>
          <w:rFonts w:cs="Arial"/>
          <w:i/>
        </w:rPr>
        <w:t>Gercotech inc. c. Kruger inc.</w:t>
      </w:r>
      <w:r w:rsidRPr="00086B01">
        <w:rPr>
          <w:rFonts w:cs="Arial"/>
          <w:i/>
          <w:iCs/>
        </w:rPr>
        <w:t xml:space="preserve"> </w:t>
      </w:r>
      <w:r w:rsidR="00086B01" w:rsidRPr="00E8050B">
        <w:rPr>
          <w:rFonts w:cs="Arial"/>
          <w:i/>
          <w:iCs/>
        </w:rPr>
        <w:t>Master Trust (CIBC) Mellon Trust Company</w:t>
      </w:r>
      <w:r w:rsidR="00086B01" w:rsidRPr="000C1D1D">
        <w:rPr>
          <w:rFonts w:cs="Arial"/>
        </w:rPr>
        <w:t>, 2019 QCCA 1168</w:t>
      </w:r>
      <w:r w:rsidR="00757C7E">
        <w:rPr>
          <w:rFonts w:cs="Arial"/>
        </w:rPr>
        <w:t>,</w:t>
      </w:r>
      <w:r w:rsidRPr="00086B01">
        <w:rPr>
          <w:rFonts w:cs="Arial"/>
        </w:rPr>
        <w:t xml:space="preserve"> </w:t>
      </w:r>
      <w:r w:rsidR="00757C7E">
        <w:rPr>
          <w:rFonts w:cs="Arial"/>
        </w:rPr>
        <w:t>para</w:t>
      </w:r>
      <w:r w:rsidR="002B7FDC">
        <w:rPr>
          <w:rFonts w:cs="Arial"/>
        </w:rPr>
        <w:t>.</w:t>
      </w:r>
      <w:r w:rsidR="00757C7E">
        <w:rPr>
          <w:rFonts w:cs="Arial"/>
        </w:rPr>
        <w:t xml:space="preserve"> </w:t>
      </w:r>
      <w:r w:rsidR="00C3747E" w:rsidRPr="00086B01">
        <w:rPr>
          <w:rFonts w:cs="Arial"/>
        </w:rPr>
        <w:t>8.</w:t>
      </w:r>
    </w:p>
  </w:footnote>
  <w:footnote w:id="30">
    <w:p w14:paraId="38152362" w14:textId="41FCAEFC" w:rsidR="00C74E9B" w:rsidRPr="00086B01" w:rsidRDefault="00C74E9B" w:rsidP="00C74E9B">
      <w:pPr>
        <w:pStyle w:val="Notedebasdepage"/>
        <w:ind w:left="284" w:hanging="284"/>
        <w:rPr>
          <w:rFonts w:cs="Arial"/>
        </w:rPr>
      </w:pPr>
      <w:r w:rsidRPr="0082385B">
        <w:rPr>
          <w:rStyle w:val="Appelnotedebasdep"/>
          <w:rFonts w:cs="Arial"/>
        </w:rPr>
        <w:footnoteRef/>
      </w:r>
      <w:r w:rsidRPr="00086B01">
        <w:rPr>
          <w:rFonts w:cs="Arial"/>
        </w:rPr>
        <w:tab/>
      </w:r>
      <w:r w:rsidR="00086B01" w:rsidRPr="00E8050B">
        <w:rPr>
          <w:rFonts w:cs="Arial"/>
        </w:rPr>
        <w:t xml:space="preserve">See e.g.: </w:t>
      </w:r>
      <w:r w:rsidR="00086B01" w:rsidRPr="00E8050B">
        <w:rPr>
          <w:rFonts w:cs="Arial"/>
          <w:i/>
        </w:rPr>
        <w:t xml:space="preserve">Barendregt </w:t>
      </w:r>
      <w:r w:rsidR="00055D1C">
        <w:rPr>
          <w:rFonts w:cs="Arial"/>
          <w:i/>
        </w:rPr>
        <w:t>v</w:t>
      </w:r>
      <w:r w:rsidR="00086B01" w:rsidRPr="00E8050B">
        <w:rPr>
          <w:rFonts w:cs="Arial"/>
          <w:i/>
        </w:rPr>
        <w:t>. Grebliunas</w:t>
      </w:r>
      <w:r w:rsidR="00086B01" w:rsidRPr="00E8050B">
        <w:rPr>
          <w:rFonts w:cs="Arial"/>
        </w:rPr>
        <w:t>, 2022 SCC 22, para.</w:t>
      </w:r>
      <w:r w:rsidRPr="00086B01">
        <w:rPr>
          <w:rFonts w:cs="Arial"/>
        </w:rPr>
        <w:t xml:space="preserve"> </w:t>
      </w:r>
      <w:r w:rsidR="00086B01" w:rsidRPr="00086B01">
        <w:rPr>
          <w:rFonts w:cs="Arial"/>
        </w:rPr>
        <w:t>102 (</w:t>
      </w:r>
      <w:r w:rsidR="004B0F02">
        <w:rPr>
          <w:rFonts w:cs="Arial"/>
        </w:rPr>
        <w:t>“</w:t>
      </w:r>
      <w:r w:rsidR="00086B01" w:rsidRPr="00086B01">
        <w:rPr>
          <w:rFonts w:cs="Arial"/>
        </w:rPr>
        <w:t xml:space="preserve">[a]n appellate court’s role, as noted, is instead generally one of error correction; it is not to retry a case.”); </w:t>
      </w:r>
      <w:r w:rsidR="00086B01" w:rsidRPr="00086B01">
        <w:rPr>
          <w:rFonts w:cs="Arial"/>
          <w:i/>
        </w:rPr>
        <w:t>Birdair inc. c. Danny’s Construction Company Inc.</w:t>
      </w:r>
      <w:r w:rsidR="00086B01" w:rsidRPr="00086B01">
        <w:rPr>
          <w:rFonts w:cs="Arial"/>
        </w:rPr>
        <w:t>, 2013 QCCA 580, para.</w:t>
      </w:r>
      <w:r w:rsidRPr="00086B01">
        <w:rPr>
          <w:rFonts w:cs="Arial"/>
        </w:rPr>
        <w:t xml:space="preserve"> </w:t>
      </w:r>
      <w:r w:rsidR="00086B01" w:rsidRPr="00E8050B">
        <w:rPr>
          <w:rFonts w:cs="Arial"/>
        </w:rPr>
        <w:t xml:space="preserve">49; </w:t>
      </w:r>
      <w:r w:rsidR="00086B01" w:rsidRPr="00E8050B">
        <w:rPr>
          <w:rFonts w:cs="Arial"/>
          <w:i/>
        </w:rPr>
        <w:t>Audet c. Payette</w:t>
      </w:r>
      <w:r w:rsidR="00086B01" w:rsidRPr="00E8050B">
        <w:rPr>
          <w:rFonts w:cs="Arial"/>
        </w:rPr>
        <w:t>, 2018 QCCA 309, para.</w:t>
      </w:r>
      <w:r w:rsidRPr="00086B01">
        <w:rPr>
          <w:rFonts w:cs="Arial"/>
        </w:rPr>
        <w:t xml:space="preserve"> </w:t>
      </w:r>
      <w:r w:rsidR="00086B01" w:rsidRPr="00086B01">
        <w:rPr>
          <w:rFonts w:cs="Arial"/>
        </w:rPr>
        <w:t xml:space="preserve">11, and the case law cited therein; </w:t>
      </w:r>
      <w:r w:rsidR="00086B01" w:rsidRPr="00086B01">
        <w:rPr>
          <w:rFonts w:cs="Arial"/>
          <w:i/>
        </w:rPr>
        <w:t>Gercotech inc. c. Kruger inc.</w:t>
      </w:r>
      <w:r w:rsidRPr="00086B01">
        <w:rPr>
          <w:rFonts w:cs="Arial"/>
          <w:i/>
          <w:iCs/>
        </w:rPr>
        <w:t xml:space="preserve"> </w:t>
      </w:r>
      <w:r w:rsidR="00086B01" w:rsidRPr="008328EF">
        <w:rPr>
          <w:rFonts w:cs="Arial"/>
          <w:i/>
          <w:iCs/>
        </w:rPr>
        <w:t xml:space="preserve">Master Trust (CIBC) Mellon Trust Company, </w:t>
      </w:r>
      <w:r w:rsidR="00086B01" w:rsidRPr="008328EF">
        <w:rPr>
          <w:rFonts w:cs="Arial"/>
        </w:rPr>
        <w:t>2019 QCCA 1168, para.</w:t>
      </w:r>
      <w:r w:rsidRPr="008328EF">
        <w:rPr>
          <w:rFonts w:cs="Arial"/>
        </w:rPr>
        <w:t xml:space="preserve"> </w:t>
      </w:r>
      <w:r w:rsidR="00086B01" w:rsidRPr="008328EF">
        <w:rPr>
          <w:rFonts w:cs="Arial"/>
        </w:rPr>
        <w:t xml:space="preserve">9; </w:t>
      </w:r>
      <w:r w:rsidR="00086B01" w:rsidRPr="008328EF">
        <w:rPr>
          <w:rFonts w:cs="Arial"/>
          <w:i/>
        </w:rPr>
        <w:t>Construction Blenda inc. c. Office municipal d’habitation de Rosemère</w:t>
      </w:r>
      <w:r w:rsidR="00086B01" w:rsidRPr="008328EF">
        <w:rPr>
          <w:rFonts w:cs="Arial"/>
        </w:rPr>
        <w:t>, 2020 QCCA 149 (leave to appeal to SCC refused, 39142 (</w:t>
      </w:r>
      <w:r w:rsidR="00F97F5C">
        <w:rPr>
          <w:rFonts w:cs="Arial"/>
        </w:rPr>
        <w:t xml:space="preserve">1 </w:t>
      </w:r>
      <w:r w:rsidR="00086B01" w:rsidRPr="008328EF">
        <w:rPr>
          <w:rFonts w:cs="Arial"/>
        </w:rPr>
        <w:t>October 2020), para.</w:t>
      </w:r>
      <w:r w:rsidRPr="008328EF">
        <w:rPr>
          <w:rFonts w:cs="Arial"/>
        </w:rPr>
        <w:t xml:space="preserve"> </w:t>
      </w:r>
      <w:r w:rsidR="00086B01" w:rsidRPr="00E8050B">
        <w:rPr>
          <w:rFonts w:cs="Arial"/>
        </w:rPr>
        <w:t xml:space="preserve">37; </w:t>
      </w:r>
      <w:r w:rsidR="00086B01" w:rsidRPr="00E8050B">
        <w:rPr>
          <w:rFonts w:cs="Arial"/>
          <w:i/>
        </w:rPr>
        <w:t>Douglas Consultants inc. c. Unigertec inc.</w:t>
      </w:r>
      <w:r w:rsidR="00086B01" w:rsidRPr="00E8050B">
        <w:rPr>
          <w:rFonts w:cs="Arial"/>
        </w:rPr>
        <w:t>, 2021 QCCA 384 (leave to appeal to SCC refused, 39</w:t>
      </w:r>
      <w:r w:rsidR="004B0F02">
        <w:rPr>
          <w:rFonts w:cs="Arial"/>
        </w:rPr>
        <w:t>6</w:t>
      </w:r>
      <w:r w:rsidR="00086B01" w:rsidRPr="00E8050B">
        <w:rPr>
          <w:rFonts w:cs="Arial"/>
        </w:rPr>
        <w:t>79 (</w:t>
      </w:r>
      <w:r w:rsidR="00F97F5C">
        <w:rPr>
          <w:rFonts w:cs="Arial"/>
        </w:rPr>
        <w:t xml:space="preserve">14 </w:t>
      </w:r>
      <w:r w:rsidR="00086B01" w:rsidRPr="00E8050B">
        <w:rPr>
          <w:rFonts w:cs="Arial"/>
        </w:rPr>
        <w:t>October 2021), para.</w:t>
      </w:r>
      <w:r w:rsidRPr="00086B01">
        <w:rPr>
          <w:rFonts w:cs="Arial"/>
        </w:rPr>
        <w:t xml:space="preserve"> </w:t>
      </w:r>
      <w:r w:rsidR="00086B01" w:rsidRPr="00E8050B">
        <w:rPr>
          <w:rFonts w:cs="Arial"/>
          <w:lang w:val="fr-CA"/>
        </w:rPr>
        <w:t xml:space="preserve">22; </w:t>
      </w:r>
      <w:r w:rsidR="00086B01" w:rsidRPr="00E8050B">
        <w:rPr>
          <w:rFonts w:cs="Arial"/>
          <w:i/>
          <w:lang w:val="fr-CA"/>
        </w:rPr>
        <w:t>Droit de la famille — 21354</w:t>
      </w:r>
      <w:r w:rsidR="00086B01" w:rsidRPr="00E8050B">
        <w:rPr>
          <w:rFonts w:cs="Arial"/>
          <w:lang w:val="fr-CA"/>
        </w:rPr>
        <w:t>, 2021 QCCA 431, para.</w:t>
      </w:r>
      <w:r w:rsidRPr="00A90F7A">
        <w:rPr>
          <w:rFonts w:cs="Arial"/>
          <w:lang w:val="fr-CA"/>
        </w:rPr>
        <w:t xml:space="preserve"> </w:t>
      </w:r>
      <w:r w:rsidR="00086B01" w:rsidRPr="008328EF">
        <w:rPr>
          <w:rFonts w:cs="Arial"/>
          <w:lang w:val="fr-CA"/>
        </w:rPr>
        <w:t xml:space="preserve">7; </w:t>
      </w:r>
      <w:r w:rsidR="00086B01" w:rsidRPr="008328EF">
        <w:rPr>
          <w:rFonts w:cs="Arial"/>
          <w:i/>
          <w:lang w:val="fr-CA"/>
        </w:rPr>
        <w:t>Leroux c. Barriault</w:t>
      </w:r>
      <w:r w:rsidR="00086B01" w:rsidRPr="008328EF">
        <w:rPr>
          <w:rFonts w:cs="Arial"/>
          <w:lang w:val="fr-CA"/>
        </w:rPr>
        <w:t>, 2022 QCCA 312, para.</w:t>
      </w:r>
      <w:r w:rsidRPr="008328EF">
        <w:rPr>
          <w:rFonts w:cs="Arial"/>
          <w:lang w:val="fr-CA"/>
        </w:rPr>
        <w:t xml:space="preserve"> </w:t>
      </w:r>
      <w:r w:rsidR="00086B01" w:rsidRPr="00086B01">
        <w:rPr>
          <w:rFonts w:cs="Arial"/>
        </w:rPr>
        <w:t>4.</w:t>
      </w:r>
    </w:p>
  </w:footnote>
  <w:footnote w:id="31">
    <w:p w14:paraId="0656DC75" w14:textId="1586C842" w:rsidR="00C74E9B" w:rsidRPr="00086B01" w:rsidRDefault="00C74E9B" w:rsidP="00C74E9B">
      <w:pPr>
        <w:pStyle w:val="Notedebasdepage"/>
        <w:ind w:left="284" w:hanging="284"/>
        <w:rPr>
          <w:rFonts w:cs="Arial"/>
        </w:rPr>
      </w:pPr>
      <w:r w:rsidRPr="0082385B">
        <w:rPr>
          <w:rStyle w:val="Appelnotedebasdep"/>
          <w:rFonts w:cs="Arial"/>
        </w:rPr>
        <w:footnoteRef/>
      </w:r>
      <w:r w:rsidRPr="00086B01">
        <w:rPr>
          <w:rFonts w:cs="Arial"/>
        </w:rPr>
        <w:tab/>
      </w:r>
      <w:r w:rsidR="00086B01" w:rsidRPr="00E8050B">
        <w:rPr>
          <w:rFonts w:cs="Arial"/>
          <w:i/>
          <w:iCs/>
        </w:rPr>
        <w:t>J.G. c. Nadeau</w:t>
      </w:r>
      <w:r w:rsidR="00086B01" w:rsidRPr="00E8050B">
        <w:rPr>
          <w:rFonts w:cs="Arial"/>
          <w:iCs/>
        </w:rPr>
        <w:t>, 2016 QCCA 167 (leave to appeal to SCC refused, 36924 (March 2, 2017), para.</w:t>
      </w:r>
      <w:r w:rsidRPr="00086B01">
        <w:rPr>
          <w:rFonts w:cs="Arial"/>
        </w:rPr>
        <w:t xml:space="preserve"> </w:t>
      </w:r>
      <w:r w:rsidR="00086B01">
        <w:rPr>
          <w:rFonts w:cs="Arial"/>
        </w:rPr>
        <w:t>76.</w:t>
      </w:r>
    </w:p>
  </w:footnote>
  <w:footnote w:id="32">
    <w:p w14:paraId="15A6A9D0" w14:textId="655224F4" w:rsidR="00C74E9B" w:rsidRPr="00086B01" w:rsidRDefault="00C74E9B" w:rsidP="00C74E9B">
      <w:pPr>
        <w:pStyle w:val="Notedebasdepage"/>
        <w:ind w:left="284" w:hanging="284"/>
        <w:rPr>
          <w:rFonts w:cs="Arial"/>
        </w:rPr>
      </w:pPr>
      <w:r w:rsidRPr="0082385B">
        <w:rPr>
          <w:rStyle w:val="Appelnotedebasdep"/>
          <w:rFonts w:cs="Arial"/>
        </w:rPr>
        <w:footnoteRef/>
      </w:r>
      <w:r w:rsidRPr="00086B01">
        <w:rPr>
          <w:rFonts w:cs="Arial"/>
        </w:rPr>
        <w:tab/>
      </w:r>
      <w:r w:rsidR="00C3747E" w:rsidRPr="00E8050B">
        <w:rPr>
          <w:rFonts w:cs="Arial"/>
          <w:i/>
          <w:iCs/>
        </w:rPr>
        <w:t>Ibid</w:t>
      </w:r>
      <w:r w:rsidR="00920026">
        <w:rPr>
          <w:rFonts w:cs="Arial"/>
          <w:i/>
          <w:iCs/>
        </w:rPr>
        <w:t>.</w:t>
      </w:r>
      <w:r w:rsidR="00C3747E" w:rsidRPr="00E8050B">
        <w:rPr>
          <w:rFonts w:cs="Arial"/>
          <w:iCs/>
        </w:rPr>
        <w:t xml:space="preserve"> para.</w:t>
      </w:r>
      <w:r w:rsidRPr="00086B01">
        <w:rPr>
          <w:rFonts w:cs="Arial"/>
        </w:rPr>
        <w:t xml:space="preserve"> </w:t>
      </w:r>
      <w:r w:rsidR="00086B01" w:rsidRPr="00086B01">
        <w:rPr>
          <w:rFonts w:cs="Arial"/>
        </w:rPr>
        <w:t>77.</w:t>
      </w:r>
      <w:r w:rsidRPr="00086B01">
        <w:rPr>
          <w:rFonts w:cs="Arial"/>
        </w:rPr>
        <w:t xml:space="preserve"> </w:t>
      </w:r>
      <w:r w:rsidR="00086B01" w:rsidRPr="00E8050B">
        <w:rPr>
          <w:rFonts w:cs="Arial"/>
        </w:rPr>
        <w:t xml:space="preserve">See also: </w:t>
      </w:r>
      <w:r w:rsidR="00086B01" w:rsidRPr="00E8050B">
        <w:rPr>
          <w:rFonts w:cs="Arial"/>
          <w:i/>
        </w:rPr>
        <w:t>Cloutier c. Bussière</w:t>
      </w:r>
      <w:r w:rsidR="00086B01" w:rsidRPr="00E8050B">
        <w:rPr>
          <w:rFonts w:cs="Arial"/>
        </w:rPr>
        <w:t>, 2019 QCCA 2014, para.</w:t>
      </w:r>
      <w:r w:rsidRPr="00086B01">
        <w:rPr>
          <w:rFonts w:cs="Arial"/>
        </w:rPr>
        <w:t xml:space="preserve"> </w:t>
      </w:r>
      <w:r w:rsidR="00086B01" w:rsidRPr="00086B01">
        <w:rPr>
          <w:rFonts w:cs="Arial"/>
        </w:rPr>
        <w:t>22;</w:t>
      </w:r>
      <w:r w:rsidR="00086B01" w:rsidRPr="00086B01">
        <w:rPr>
          <w:rFonts w:cs="Arial"/>
          <w:i/>
        </w:rPr>
        <w:t xml:space="preserve"> Construction Blenda inc. c. Office municipal d’habitation de Rosemère</w:t>
      </w:r>
      <w:r w:rsidR="00086B01" w:rsidRPr="00086B01">
        <w:rPr>
          <w:rFonts w:cs="Arial"/>
        </w:rPr>
        <w:t>, 2020 QCCA 149 (leave to appeal to SCC refused, 39142 (</w:t>
      </w:r>
      <w:r w:rsidR="00F97F5C">
        <w:rPr>
          <w:rFonts w:cs="Arial"/>
        </w:rPr>
        <w:t xml:space="preserve">1 </w:t>
      </w:r>
      <w:r w:rsidR="00086B01" w:rsidRPr="00086B01">
        <w:rPr>
          <w:rFonts w:cs="Arial"/>
        </w:rPr>
        <w:t>October 2020), para.</w:t>
      </w:r>
      <w:r w:rsidRPr="00086B01">
        <w:rPr>
          <w:rFonts w:cs="Arial"/>
        </w:rPr>
        <w:t xml:space="preserve"> 39.</w:t>
      </w:r>
    </w:p>
  </w:footnote>
  <w:footnote w:id="33">
    <w:p w14:paraId="05E55B87" w14:textId="46B8B435" w:rsidR="00C74E9B" w:rsidRPr="00086B01" w:rsidRDefault="00C74E9B" w:rsidP="00C74E9B">
      <w:pPr>
        <w:pStyle w:val="Notedebasdepage"/>
        <w:ind w:left="284" w:hanging="284"/>
        <w:rPr>
          <w:rFonts w:cs="Arial"/>
        </w:rPr>
      </w:pPr>
      <w:r w:rsidRPr="0082385B">
        <w:rPr>
          <w:rStyle w:val="Appelnotedebasdep"/>
          <w:rFonts w:cs="Arial"/>
        </w:rPr>
        <w:footnoteRef/>
      </w:r>
      <w:r w:rsidRPr="00086B01">
        <w:rPr>
          <w:rFonts w:cs="Arial"/>
        </w:rPr>
        <w:tab/>
      </w:r>
      <w:r w:rsidR="00086B01" w:rsidRPr="00E8050B">
        <w:rPr>
          <w:rFonts w:cs="Arial"/>
          <w:i/>
          <w:iCs/>
        </w:rPr>
        <w:t>P.L. c. Benchetrit</w:t>
      </w:r>
      <w:r w:rsidR="00086B01" w:rsidRPr="00E8050B">
        <w:rPr>
          <w:rFonts w:cs="Arial"/>
          <w:iCs/>
        </w:rPr>
        <w:t>, 2010 QCCA 1505, para.</w:t>
      </w:r>
      <w:r w:rsidRPr="00086B01">
        <w:rPr>
          <w:rFonts w:cs="Arial"/>
        </w:rPr>
        <w:t xml:space="preserve"> </w:t>
      </w:r>
      <w:r w:rsidR="00086B01" w:rsidRPr="00055D1C">
        <w:rPr>
          <w:rFonts w:cs="Arial"/>
        </w:rPr>
        <w:t>24.</w:t>
      </w:r>
      <w:r w:rsidRPr="00055D1C">
        <w:rPr>
          <w:rFonts w:cs="Arial"/>
        </w:rPr>
        <w:t xml:space="preserve"> </w:t>
      </w:r>
      <w:r w:rsidR="00086B01" w:rsidRPr="00055D1C">
        <w:rPr>
          <w:rFonts w:cs="Arial"/>
        </w:rPr>
        <w:t xml:space="preserve">See also </w:t>
      </w:r>
      <w:r w:rsidR="00086B01" w:rsidRPr="00055D1C">
        <w:rPr>
          <w:rFonts w:cs="Arial"/>
          <w:i/>
        </w:rPr>
        <w:t>Construction Blenda inc. c. Office municipal d’habitation de Rosemère</w:t>
      </w:r>
      <w:r w:rsidR="00086B01" w:rsidRPr="00055D1C">
        <w:rPr>
          <w:rFonts w:cs="Arial"/>
        </w:rPr>
        <w:t>, 2020 QCCA 149 (</w:t>
      </w:r>
      <w:r w:rsidR="00055D1C" w:rsidRPr="00055D1C">
        <w:rPr>
          <w:rFonts w:cs="Arial"/>
        </w:rPr>
        <w:t>leave to appeal to SCC refused</w:t>
      </w:r>
      <w:r w:rsidR="00086B01" w:rsidRPr="00055D1C">
        <w:rPr>
          <w:rFonts w:cs="Arial"/>
        </w:rPr>
        <w:t>, 39142</w:t>
      </w:r>
      <w:r w:rsidR="00055D1C">
        <w:rPr>
          <w:rFonts w:cs="Arial"/>
        </w:rPr>
        <w:t xml:space="preserve"> (</w:t>
      </w:r>
      <w:r w:rsidR="00F97F5C">
        <w:rPr>
          <w:rFonts w:cs="Arial"/>
        </w:rPr>
        <w:t xml:space="preserve">1 </w:t>
      </w:r>
      <w:r w:rsidR="00055D1C">
        <w:rPr>
          <w:rFonts w:cs="Arial"/>
        </w:rPr>
        <w:t>October 2020</w:t>
      </w:r>
      <w:r w:rsidR="00086B01" w:rsidRPr="00055D1C">
        <w:rPr>
          <w:rFonts w:cs="Arial"/>
        </w:rPr>
        <w:t>), para.</w:t>
      </w:r>
      <w:r w:rsidRPr="00055D1C">
        <w:rPr>
          <w:rFonts w:cs="Arial"/>
        </w:rPr>
        <w:t xml:space="preserve"> </w:t>
      </w:r>
      <w:r w:rsidR="00086B01" w:rsidRPr="00086B01">
        <w:rPr>
          <w:rFonts w:cs="Arial"/>
        </w:rPr>
        <w:t xml:space="preserve">37: </w:t>
      </w:r>
      <w:r w:rsidR="00055D1C">
        <w:rPr>
          <w:rFonts w:cs="Arial"/>
        </w:rPr>
        <w:t>[</w:t>
      </w:r>
      <w:r w:rsidR="00055D1C" w:rsidRPr="008328EF">
        <w:rPr>
          <w:rFonts w:cs="Arial"/>
          <w:smallCaps/>
        </w:rPr>
        <w:t>translat</w:t>
      </w:r>
      <w:r w:rsidR="00086B01" w:rsidRPr="008328EF">
        <w:rPr>
          <w:rFonts w:cs="Arial"/>
          <w:smallCaps/>
        </w:rPr>
        <w:t>ion</w:t>
      </w:r>
      <w:r w:rsidR="00086B01" w:rsidRPr="00086B01">
        <w:rPr>
          <w:rFonts w:cs="Arial"/>
        </w:rPr>
        <w:t>] “in a highly fact-based case</w:t>
      </w:r>
      <w:r w:rsidR="00075127">
        <w:rPr>
          <w:rFonts w:cs="Arial"/>
        </w:rPr>
        <w:t xml:space="preserve">, like the one before us, </w:t>
      </w:r>
      <w:r w:rsidR="00086B01" w:rsidRPr="00086B01">
        <w:rPr>
          <w:rFonts w:cs="Arial"/>
        </w:rPr>
        <w:t xml:space="preserve">where the judge had to weigh material evidence and </w:t>
      </w:r>
      <w:r w:rsidR="00055D1C" w:rsidRPr="00086B01">
        <w:rPr>
          <w:rFonts w:cs="Arial"/>
        </w:rPr>
        <w:t>abundant</w:t>
      </w:r>
      <w:r w:rsidR="00086B01" w:rsidRPr="00086B01">
        <w:rPr>
          <w:rFonts w:cs="Arial"/>
        </w:rPr>
        <w:t xml:space="preserve"> testimony, it is not up to the </w:t>
      </w:r>
      <w:r w:rsidR="00055D1C" w:rsidRPr="00086B01">
        <w:rPr>
          <w:rFonts w:cs="Arial"/>
        </w:rPr>
        <w:t>Court</w:t>
      </w:r>
      <w:r w:rsidR="00086B01" w:rsidRPr="00086B01">
        <w:rPr>
          <w:rFonts w:cs="Arial"/>
        </w:rPr>
        <w:t xml:space="preserve"> to perform the exercise the appellant would have it do, </w:t>
      </w:r>
      <w:r w:rsidR="00055D1C" w:rsidRPr="00086B01">
        <w:rPr>
          <w:rFonts w:cs="Arial"/>
        </w:rPr>
        <w:t>that</w:t>
      </w:r>
      <w:r w:rsidR="00086B01" w:rsidRPr="00086B01">
        <w:rPr>
          <w:rFonts w:cs="Arial"/>
        </w:rPr>
        <w:t xml:space="preserve"> is, to reassess almost all the evidence to draw conclusions of fact that differ from those of </w:t>
      </w:r>
      <w:r w:rsidR="00055D1C" w:rsidRPr="00086B01">
        <w:rPr>
          <w:rFonts w:cs="Arial"/>
        </w:rPr>
        <w:t>the</w:t>
      </w:r>
      <w:r w:rsidR="00086B01" w:rsidRPr="00086B01">
        <w:rPr>
          <w:rFonts w:cs="Arial"/>
        </w:rPr>
        <w:t xml:space="preserve"> judge”.</w:t>
      </w:r>
    </w:p>
  </w:footnote>
  <w:footnote w:id="34">
    <w:p w14:paraId="726942FA" w14:textId="6380FEC2" w:rsidR="00C74E9B" w:rsidRPr="008909B6" w:rsidRDefault="00C74E9B" w:rsidP="00C74E9B">
      <w:pPr>
        <w:pStyle w:val="Notedebasdepage"/>
        <w:tabs>
          <w:tab w:val="left" w:pos="720"/>
          <w:tab w:val="left" w:pos="1873"/>
        </w:tabs>
        <w:ind w:left="284" w:hanging="284"/>
        <w:rPr>
          <w:rFonts w:cs="Arial"/>
        </w:rPr>
      </w:pPr>
      <w:r w:rsidRPr="0082385B">
        <w:rPr>
          <w:rStyle w:val="Appelnotedebasdep"/>
          <w:rFonts w:cs="Arial"/>
        </w:rPr>
        <w:footnoteRef/>
      </w:r>
      <w:r w:rsidRPr="00086B01">
        <w:rPr>
          <w:rFonts w:cs="Arial"/>
        </w:rPr>
        <w:tab/>
      </w:r>
      <w:r w:rsidR="00086B01" w:rsidRPr="00E8050B">
        <w:rPr>
          <w:rFonts w:cs="Arial"/>
        </w:rPr>
        <w:t xml:space="preserve">See </w:t>
      </w:r>
      <w:r w:rsidR="000C50D6">
        <w:rPr>
          <w:rFonts w:cs="Arial"/>
        </w:rPr>
        <w:t>in particular</w:t>
      </w:r>
      <w:r w:rsidR="00086B01" w:rsidRPr="00E8050B">
        <w:rPr>
          <w:rFonts w:cs="Arial"/>
        </w:rPr>
        <w:t xml:space="preserve">: </w:t>
      </w:r>
      <w:r w:rsidR="00086B01" w:rsidRPr="00E8050B">
        <w:rPr>
          <w:rFonts w:cs="Arial"/>
          <w:i/>
        </w:rPr>
        <w:t>Housen v. Nikolaisen</w:t>
      </w:r>
      <w:r w:rsidR="00086B01" w:rsidRPr="00E8050B">
        <w:rPr>
          <w:rFonts w:cs="Arial"/>
        </w:rPr>
        <w:t>, 2002 SCC 33, paras.</w:t>
      </w:r>
      <w:r w:rsidRPr="00086B01">
        <w:rPr>
          <w:rFonts w:cs="Arial"/>
        </w:rPr>
        <w:t xml:space="preserve"> </w:t>
      </w:r>
      <w:r w:rsidR="00086B01" w:rsidRPr="00E8050B">
        <w:rPr>
          <w:rFonts w:cs="Arial"/>
        </w:rPr>
        <w:t xml:space="preserve">19–37; </w:t>
      </w:r>
      <w:r w:rsidR="00086B01" w:rsidRPr="00E8050B">
        <w:rPr>
          <w:rFonts w:cs="Arial"/>
          <w:i/>
        </w:rPr>
        <w:t>Benhaim v. St</w:t>
      </w:r>
      <w:r w:rsidR="00086B01" w:rsidRPr="00E8050B">
        <w:rPr>
          <w:rFonts w:ascii="Cambria Math" w:hAnsi="Cambria Math" w:cs="Cambria Math"/>
          <w:i/>
        </w:rPr>
        <w:t>‑</w:t>
      </w:r>
      <w:r w:rsidR="00086B01" w:rsidRPr="00E8050B">
        <w:rPr>
          <w:rFonts w:cs="Arial"/>
          <w:i/>
        </w:rPr>
        <w:t>Germain</w:t>
      </w:r>
      <w:r w:rsidR="00086B01" w:rsidRPr="00E8050B">
        <w:rPr>
          <w:rFonts w:cs="Arial"/>
        </w:rPr>
        <w:t>, 2016 SCC 48, para.</w:t>
      </w:r>
      <w:r w:rsidRPr="00086B01">
        <w:rPr>
          <w:rFonts w:cs="Arial"/>
        </w:rPr>
        <w:t xml:space="preserve"> </w:t>
      </w:r>
      <w:r w:rsidR="00086B01" w:rsidRPr="008328EF">
        <w:rPr>
          <w:rFonts w:cs="Arial"/>
        </w:rPr>
        <w:t xml:space="preserve">36; </w:t>
      </w:r>
      <w:r w:rsidR="00086B01" w:rsidRPr="008328EF">
        <w:rPr>
          <w:rFonts w:cs="Arial"/>
          <w:i/>
        </w:rPr>
        <w:t>Hydro-Québec v. Matta</w:t>
      </w:r>
      <w:r w:rsidR="00086B01" w:rsidRPr="008328EF">
        <w:rPr>
          <w:rFonts w:cs="Arial"/>
        </w:rPr>
        <w:t>, 2020 SCC 37, para.</w:t>
      </w:r>
      <w:r w:rsidRPr="008328EF">
        <w:t xml:space="preserve"> </w:t>
      </w:r>
      <w:r w:rsidRPr="00055D1C">
        <w:t xml:space="preserve">33. </w:t>
      </w:r>
      <w:r w:rsidR="008909B6" w:rsidRPr="00055D1C">
        <w:t xml:space="preserve">It </w:t>
      </w:r>
      <w:r w:rsidR="00F66293">
        <w:t>should</w:t>
      </w:r>
      <w:r w:rsidR="008909B6" w:rsidRPr="00055D1C">
        <w:t xml:space="preserve"> also </w:t>
      </w:r>
      <w:r w:rsidR="00F66293">
        <w:t>be</w:t>
      </w:r>
      <w:r w:rsidR="008909B6" w:rsidRPr="00055D1C">
        <w:t xml:space="preserve"> recall</w:t>
      </w:r>
      <w:r w:rsidR="00F66293">
        <w:t>ed</w:t>
      </w:r>
      <w:r w:rsidR="008909B6" w:rsidRPr="00055D1C">
        <w:t xml:space="preserve"> that the application of a legal standard to a set of facts raises a question of mixed fact and law and that, as a general rule, the applicable standard of </w:t>
      </w:r>
      <w:r w:rsidR="00F66293">
        <w:t xml:space="preserve">appellate </w:t>
      </w:r>
      <w:r w:rsidR="008909B6" w:rsidRPr="00055D1C">
        <w:t xml:space="preserve">review is that of palpable and </w:t>
      </w:r>
      <w:r w:rsidR="00F66293">
        <w:t>overriding</w:t>
      </w:r>
      <w:r w:rsidR="008909B6" w:rsidRPr="00055D1C">
        <w:t xml:space="preserve"> error: </w:t>
      </w:r>
      <w:r w:rsidR="008909B6" w:rsidRPr="00055D1C">
        <w:rPr>
          <w:i/>
        </w:rPr>
        <w:t>Housen v. Nikolaisen</w:t>
      </w:r>
      <w:r w:rsidR="008909B6" w:rsidRPr="00055D1C">
        <w:t>, 2002 SCC 33</w:t>
      </w:r>
      <w:r w:rsidR="00055D1C">
        <w:t>,</w:t>
      </w:r>
      <w:r w:rsidRPr="00055D1C">
        <w:rPr>
          <w:rFonts w:cs="Arial"/>
        </w:rPr>
        <w:t xml:space="preserve"> para. </w:t>
      </w:r>
      <w:r w:rsidR="008909B6" w:rsidRPr="00E8050B">
        <w:rPr>
          <w:rFonts w:cs="Arial"/>
          <w:lang w:val="fr-CA"/>
        </w:rPr>
        <w:t xml:space="preserve">26; </w:t>
      </w:r>
      <w:r w:rsidR="008909B6" w:rsidRPr="00E8050B">
        <w:rPr>
          <w:rFonts w:cs="Arial"/>
          <w:i/>
          <w:lang w:val="fr-CA"/>
        </w:rPr>
        <w:t>Sattva Capital Corp. v. Creston Moly Corp.</w:t>
      </w:r>
      <w:r w:rsidR="008909B6" w:rsidRPr="00E8050B">
        <w:rPr>
          <w:rFonts w:cs="Arial"/>
          <w:lang w:val="fr-CA"/>
        </w:rPr>
        <w:t>, 2014 SCC 53, paras.</w:t>
      </w:r>
      <w:r w:rsidRPr="00A90F7A">
        <w:rPr>
          <w:rFonts w:cs="Arial"/>
          <w:lang w:val="fr-CA"/>
        </w:rPr>
        <w:t xml:space="preserve"> </w:t>
      </w:r>
      <w:r w:rsidR="008909B6" w:rsidRPr="008909B6">
        <w:rPr>
          <w:rFonts w:cs="Arial"/>
          <w:lang w:val="fr-CA"/>
        </w:rPr>
        <w:t xml:space="preserve">49 </w:t>
      </w:r>
      <w:r w:rsidR="00546F8E">
        <w:rPr>
          <w:rFonts w:cs="Arial"/>
          <w:lang w:val="fr-CA"/>
        </w:rPr>
        <w:t>and ff.</w:t>
      </w:r>
      <w:r w:rsidR="008909B6" w:rsidRPr="008909B6">
        <w:rPr>
          <w:rFonts w:cs="Arial"/>
          <w:lang w:val="fr-CA"/>
        </w:rPr>
        <w:t xml:space="preserve">; </w:t>
      </w:r>
      <w:r w:rsidR="008909B6" w:rsidRPr="008909B6">
        <w:rPr>
          <w:rFonts w:cs="Arial"/>
          <w:i/>
          <w:lang w:val="fr-CA"/>
        </w:rPr>
        <w:t>Modern Cleaning Concept Inc. v. Comité paritaire de l’entretien d’édifices publics de la région de Québec</w:t>
      </w:r>
      <w:r w:rsidR="008909B6" w:rsidRPr="008909B6">
        <w:rPr>
          <w:rFonts w:cs="Arial"/>
          <w:lang w:val="fr-CA"/>
        </w:rPr>
        <w:t>, 2019 SCC 28, paras.</w:t>
      </w:r>
      <w:r w:rsidRPr="00A90F7A">
        <w:rPr>
          <w:rFonts w:cs="Arial"/>
          <w:lang w:val="fr-CA"/>
        </w:rPr>
        <w:t xml:space="preserve"> </w:t>
      </w:r>
      <w:r w:rsidR="008909B6" w:rsidRPr="00F66293">
        <w:rPr>
          <w:rFonts w:cs="Arial"/>
          <w:lang w:val="fr-CA"/>
        </w:rPr>
        <w:t>68–69 (Côté, Brown &amp; Rowe</w:t>
      </w:r>
      <w:r w:rsidR="00F66293" w:rsidRPr="008328EF">
        <w:rPr>
          <w:rFonts w:cs="Arial"/>
          <w:lang w:val="fr-CA"/>
        </w:rPr>
        <w:t xml:space="preserve"> JJ.</w:t>
      </w:r>
      <w:r w:rsidR="008909B6" w:rsidRPr="00F66293">
        <w:rPr>
          <w:rFonts w:cs="Arial"/>
          <w:lang w:val="fr-CA"/>
        </w:rPr>
        <w:t xml:space="preserve">); </w:t>
      </w:r>
      <w:r w:rsidR="008909B6" w:rsidRPr="00F66293">
        <w:rPr>
          <w:rFonts w:cs="Arial"/>
          <w:i/>
          <w:lang w:val="fr-CA"/>
        </w:rPr>
        <w:t>Ma.R. c. M.R.</w:t>
      </w:r>
      <w:r w:rsidR="008909B6" w:rsidRPr="00F66293">
        <w:rPr>
          <w:rFonts w:cs="Arial"/>
          <w:lang w:val="fr-CA"/>
        </w:rPr>
        <w:t>, 2020 QCCA 1151, para.</w:t>
      </w:r>
      <w:r w:rsidRPr="00F66293">
        <w:rPr>
          <w:rFonts w:cs="Arial"/>
          <w:lang w:val="fr-CA"/>
        </w:rPr>
        <w:t xml:space="preserve"> </w:t>
      </w:r>
      <w:r w:rsidR="008909B6" w:rsidRPr="00E8050B">
        <w:rPr>
          <w:rFonts w:cs="Arial"/>
          <w:lang w:val="fr-CA"/>
        </w:rPr>
        <w:t xml:space="preserve">18; </w:t>
      </w:r>
      <w:r w:rsidR="008909B6" w:rsidRPr="00E8050B">
        <w:rPr>
          <w:rFonts w:cs="Arial"/>
          <w:i/>
          <w:lang w:val="fr-CA"/>
        </w:rPr>
        <w:t>Dubé c. Lesage inc.</w:t>
      </w:r>
      <w:r w:rsidR="008909B6" w:rsidRPr="00E8050B">
        <w:rPr>
          <w:rFonts w:cs="Arial"/>
          <w:lang w:val="fr-CA"/>
        </w:rPr>
        <w:t>, 2020 QCCA 112, para.</w:t>
      </w:r>
      <w:r w:rsidRPr="00A90F7A">
        <w:rPr>
          <w:rFonts w:cs="Arial"/>
          <w:lang w:val="fr-CA"/>
        </w:rPr>
        <w:t xml:space="preserve"> </w:t>
      </w:r>
      <w:r w:rsidR="008909B6" w:rsidRPr="00E8050B">
        <w:rPr>
          <w:rFonts w:cs="Arial"/>
          <w:lang w:val="fr-CA"/>
        </w:rPr>
        <w:t xml:space="preserve">4; </w:t>
      </w:r>
      <w:r w:rsidR="008909B6" w:rsidRPr="00E8050B">
        <w:rPr>
          <w:rFonts w:cs="Arial"/>
          <w:i/>
          <w:lang w:val="fr-CA"/>
        </w:rPr>
        <w:t>9251-4157 Québec inc. c. Procureur général du Québec</w:t>
      </w:r>
      <w:r w:rsidR="008909B6" w:rsidRPr="00E8050B">
        <w:rPr>
          <w:rFonts w:cs="Arial"/>
          <w:lang w:val="fr-CA"/>
        </w:rPr>
        <w:t>, 2022 QCCA 1343, para.</w:t>
      </w:r>
      <w:r w:rsidRPr="00A90F7A">
        <w:rPr>
          <w:rFonts w:cs="Arial"/>
          <w:lang w:val="fr-CA"/>
        </w:rPr>
        <w:t xml:space="preserve"> </w:t>
      </w:r>
      <w:r w:rsidR="008909B6" w:rsidRPr="008909B6">
        <w:rPr>
          <w:rFonts w:cs="Arial"/>
          <w:lang w:val="fr-CA"/>
        </w:rPr>
        <w:t xml:space="preserve">63; </w:t>
      </w:r>
      <w:r w:rsidR="008909B6" w:rsidRPr="008909B6">
        <w:rPr>
          <w:rFonts w:cs="Arial"/>
          <w:i/>
          <w:lang w:val="fr-CA"/>
        </w:rPr>
        <w:t>Michael Bruni Transport inc. c. Aviva compagnie d’assurance du Canada</w:t>
      </w:r>
      <w:r w:rsidR="008909B6" w:rsidRPr="008909B6">
        <w:rPr>
          <w:rFonts w:cs="Arial"/>
          <w:lang w:val="fr-CA"/>
        </w:rPr>
        <w:t>, 2021 QCCA 1979, para.</w:t>
      </w:r>
      <w:r w:rsidRPr="00A90F7A">
        <w:rPr>
          <w:rFonts w:cs="Arial"/>
          <w:lang w:val="fr-CA"/>
        </w:rPr>
        <w:t xml:space="preserve"> </w:t>
      </w:r>
      <w:r w:rsidR="008909B6" w:rsidRPr="008909B6">
        <w:rPr>
          <w:rFonts w:cs="Arial"/>
        </w:rPr>
        <w:t>17.</w:t>
      </w:r>
      <w:r w:rsidRPr="008909B6">
        <w:rPr>
          <w:rFonts w:cs="Arial"/>
        </w:rPr>
        <w:t xml:space="preserve"> </w:t>
      </w:r>
    </w:p>
  </w:footnote>
  <w:footnote w:id="35">
    <w:p w14:paraId="0DF87898" w14:textId="29FD745D" w:rsidR="00C74E9B" w:rsidRPr="008909B6" w:rsidRDefault="00C74E9B" w:rsidP="00C74E9B">
      <w:pPr>
        <w:pStyle w:val="Notedebasdepage"/>
        <w:ind w:left="284" w:hanging="284"/>
        <w:rPr>
          <w:rFonts w:cs="Arial"/>
        </w:rPr>
      </w:pPr>
      <w:r w:rsidRPr="0082385B">
        <w:rPr>
          <w:rStyle w:val="Appelnotedebasdep"/>
          <w:rFonts w:cs="Arial"/>
        </w:rPr>
        <w:footnoteRef/>
      </w:r>
      <w:r w:rsidRPr="008909B6">
        <w:rPr>
          <w:rFonts w:cs="Arial"/>
        </w:rPr>
        <w:tab/>
      </w:r>
      <w:r w:rsidR="008909B6" w:rsidRPr="008909B6">
        <w:rPr>
          <w:rFonts w:cs="Arial"/>
          <w:i/>
          <w:iCs/>
        </w:rPr>
        <w:t>Construction Blenda inc. c. Office municipal d’habitation de Rosemère</w:t>
      </w:r>
      <w:r w:rsidR="008909B6" w:rsidRPr="008909B6">
        <w:rPr>
          <w:rFonts w:cs="Arial"/>
          <w:iCs/>
        </w:rPr>
        <w:t>, 2020 QCCA 149 (leave to appeal to SCC refused, 39142 (</w:t>
      </w:r>
      <w:r w:rsidR="00E72F53">
        <w:rPr>
          <w:rFonts w:cs="Arial"/>
          <w:iCs/>
        </w:rPr>
        <w:t xml:space="preserve">1 </w:t>
      </w:r>
      <w:r w:rsidR="008909B6" w:rsidRPr="008909B6">
        <w:rPr>
          <w:rFonts w:cs="Arial"/>
          <w:iCs/>
        </w:rPr>
        <w:t>October 2020), para.</w:t>
      </w:r>
      <w:r w:rsidRPr="008909B6">
        <w:rPr>
          <w:rFonts w:cs="Arial"/>
        </w:rPr>
        <w:t xml:space="preserve"> </w:t>
      </w:r>
      <w:r w:rsidR="008909B6" w:rsidRPr="008909B6">
        <w:rPr>
          <w:rFonts w:cs="Arial"/>
        </w:rPr>
        <w:t>38.</w:t>
      </w:r>
    </w:p>
  </w:footnote>
  <w:footnote w:id="36">
    <w:p w14:paraId="69C8B1E8" w14:textId="1334341B" w:rsidR="00C74E9B" w:rsidRPr="008909B6" w:rsidRDefault="00C74E9B" w:rsidP="00C74E9B">
      <w:pPr>
        <w:pStyle w:val="Notedebasdepage"/>
        <w:ind w:left="284" w:hanging="284"/>
        <w:rPr>
          <w:rFonts w:cs="Arial"/>
        </w:rPr>
      </w:pPr>
      <w:r w:rsidRPr="0082385B">
        <w:rPr>
          <w:rStyle w:val="Appelnotedebasdep"/>
          <w:rFonts w:cs="Arial"/>
        </w:rPr>
        <w:footnoteRef/>
      </w:r>
      <w:r w:rsidRPr="008909B6">
        <w:rPr>
          <w:rFonts w:cs="Arial"/>
        </w:rPr>
        <w:tab/>
      </w:r>
      <w:r w:rsidR="008909B6" w:rsidRPr="00E8050B">
        <w:rPr>
          <w:rFonts w:cs="Arial"/>
          <w:i/>
          <w:iCs/>
        </w:rPr>
        <w:t>H.L. v. Canada (Attorney General)</w:t>
      </w:r>
      <w:r w:rsidR="008909B6" w:rsidRPr="00055D1C">
        <w:rPr>
          <w:rFonts w:cs="Arial"/>
        </w:rPr>
        <w:t>, 2005 SCC 25</w:t>
      </w:r>
      <w:r w:rsidR="008909B6" w:rsidRPr="00E8050B">
        <w:rPr>
          <w:rFonts w:cs="Arial"/>
          <w:i/>
          <w:iCs/>
        </w:rPr>
        <w:t xml:space="preserve">. </w:t>
      </w:r>
    </w:p>
  </w:footnote>
  <w:footnote w:id="37">
    <w:p w14:paraId="7C52C7C4" w14:textId="6EB0F823" w:rsidR="003A6212" w:rsidRPr="008909B6" w:rsidRDefault="003A6212" w:rsidP="003A6212">
      <w:pPr>
        <w:pStyle w:val="Notedebasdepage"/>
        <w:tabs>
          <w:tab w:val="left" w:pos="720"/>
          <w:tab w:val="left" w:pos="1873"/>
        </w:tabs>
        <w:ind w:left="284" w:hanging="284"/>
      </w:pPr>
      <w:r>
        <w:rPr>
          <w:rStyle w:val="Appelnotedebasdep"/>
        </w:rPr>
        <w:footnoteRef/>
      </w:r>
      <w:r w:rsidRPr="008909B6">
        <w:tab/>
      </w:r>
      <w:r w:rsidR="008909B6" w:rsidRPr="00E8050B">
        <w:t>A.F., vol.</w:t>
      </w:r>
      <w:r w:rsidRPr="008909B6">
        <w:t xml:space="preserve"> </w:t>
      </w:r>
      <w:r w:rsidR="008909B6" w:rsidRPr="00E8050B">
        <w:t>11</w:t>
      </w:r>
      <w:r w:rsidR="005578BD">
        <w:t>,</w:t>
      </w:r>
      <w:r w:rsidR="008909B6" w:rsidRPr="00E8050B">
        <w:t xml:space="preserve"> </w:t>
      </w:r>
      <w:r w:rsidR="005578BD">
        <w:t>pp.</w:t>
      </w:r>
      <w:r w:rsidR="008909B6" w:rsidRPr="00E8050B">
        <w:t xml:space="preserve"> 3630–3634.</w:t>
      </w:r>
      <w:r w:rsidRPr="008909B6">
        <w:t xml:space="preserve"> </w:t>
      </w:r>
      <w:r w:rsidR="008909B6" w:rsidRPr="00E8050B">
        <w:t xml:space="preserve">See also </w:t>
      </w:r>
      <w:r w:rsidR="005578BD">
        <w:t xml:space="preserve">pp. </w:t>
      </w:r>
      <w:r w:rsidR="008909B6">
        <w:t>3579–3583 and 3679–3681.</w:t>
      </w:r>
      <w:r w:rsidRPr="008909B6">
        <w:t xml:space="preserve">  </w:t>
      </w:r>
    </w:p>
  </w:footnote>
  <w:footnote w:id="38">
    <w:p w14:paraId="65F74DB7" w14:textId="6813A849" w:rsidR="00A973CA" w:rsidRPr="008909B6" w:rsidRDefault="00A973CA" w:rsidP="00A973CA">
      <w:pPr>
        <w:pStyle w:val="Notedebasdepage"/>
        <w:ind w:left="284" w:hanging="284"/>
        <w:rPr>
          <w:rFonts w:cs="Arial"/>
        </w:rPr>
      </w:pPr>
      <w:r w:rsidRPr="0082385B">
        <w:rPr>
          <w:rStyle w:val="Appelnotedebasdep"/>
          <w:rFonts w:cs="Arial"/>
        </w:rPr>
        <w:footnoteRef/>
      </w:r>
      <w:r w:rsidRPr="008909B6">
        <w:rPr>
          <w:rFonts w:cs="Arial"/>
        </w:rPr>
        <w:tab/>
      </w:r>
      <w:r w:rsidR="008909B6" w:rsidRPr="00E8050B">
        <w:rPr>
          <w:rFonts w:cs="Arial"/>
        </w:rPr>
        <w:t xml:space="preserve">Judgment </w:t>
      </w:r>
      <w:r w:rsidR="008909B6" w:rsidRPr="004207D4">
        <w:rPr>
          <w:rFonts w:cs="Arial"/>
          <w:i/>
          <w:iCs/>
        </w:rPr>
        <w:t>a quo</w:t>
      </w:r>
      <w:r w:rsidR="008909B6" w:rsidRPr="00E8050B">
        <w:rPr>
          <w:rFonts w:cs="Arial"/>
        </w:rPr>
        <w:t>, para.</w:t>
      </w:r>
      <w:r w:rsidRPr="008909B6">
        <w:rPr>
          <w:rFonts w:cs="Arial"/>
        </w:rPr>
        <w:t xml:space="preserve"> </w:t>
      </w:r>
      <w:r w:rsidR="008909B6" w:rsidRPr="008909B6">
        <w:rPr>
          <w:rFonts w:cs="Arial"/>
        </w:rPr>
        <w:t>165.</w:t>
      </w:r>
    </w:p>
  </w:footnote>
  <w:footnote w:id="39">
    <w:p w14:paraId="2DC75A0C" w14:textId="0FEF458B" w:rsidR="00123D5C" w:rsidRPr="008909B6" w:rsidRDefault="00123D5C" w:rsidP="00123D5C">
      <w:pPr>
        <w:pStyle w:val="Notedebasdepage"/>
        <w:ind w:left="284" w:hanging="284"/>
        <w:rPr>
          <w:rFonts w:cs="Arial"/>
        </w:rPr>
      </w:pPr>
      <w:r w:rsidRPr="0082385B">
        <w:rPr>
          <w:rStyle w:val="Appelnotedebasdep"/>
          <w:rFonts w:cs="Arial"/>
        </w:rPr>
        <w:footnoteRef/>
      </w:r>
      <w:r w:rsidRPr="008909B6">
        <w:rPr>
          <w:rFonts w:cs="Arial"/>
        </w:rPr>
        <w:tab/>
      </w:r>
      <w:r w:rsidR="008909B6" w:rsidRPr="00E8050B">
        <w:rPr>
          <w:rFonts w:cs="Arial"/>
        </w:rPr>
        <w:t>It is clause 2.3 of the agreement.</w:t>
      </w:r>
    </w:p>
  </w:footnote>
  <w:footnote w:id="40">
    <w:p w14:paraId="64BEF361" w14:textId="583B4BE6" w:rsidR="00CB79A3" w:rsidRPr="008909B6" w:rsidRDefault="00CB79A3" w:rsidP="00CB79A3">
      <w:pPr>
        <w:pStyle w:val="Notedebasdepage"/>
        <w:tabs>
          <w:tab w:val="left" w:pos="720"/>
          <w:tab w:val="left" w:pos="1873"/>
        </w:tabs>
        <w:ind w:left="284" w:hanging="284"/>
      </w:pPr>
      <w:r>
        <w:rPr>
          <w:rStyle w:val="Appelnotedebasdep"/>
        </w:rPr>
        <w:footnoteRef/>
      </w:r>
      <w:r w:rsidRPr="008909B6">
        <w:tab/>
      </w:r>
      <w:r w:rsidR="008909B6" w:rsidRPr="008909B6">
        <w:t xml:space="preserve">It should be recalled that article 1503 </w:t>
      </w:r>
      <w:r w:rsidR="008909B6" w:rsidRPr="008328EF">
        <w:rPr>
          <w:i/>
          <w:iCs/>
        </w:rPr>
        <w:t>C.C.Q.</w:t>
      </w:r>
      <w:r w:rsidR="008909B6" w:rsidRPr="008909B6">
        <w:t xml:space="preserve"> applies only if the debtor has prevented the condition from being fulfilled by conduct that warrants </w:t>
      </w:r>
      <w:r w:rsidR="004207D4" w:rsidRPr="008909B6">
        <w:t>being</w:t>
      </w:r>
      <w:r w:rsidR="008909B6" w:rsidRPr="008909B6">
        <w:t xml:space="preserve"> characterized as wrong</w:t>
      </w:r>
      <w:r w:rsidR="006F035F">
        <w:t>ful</w:t>
      </w:r>
      <w:r w:rsidR="008909B6" w:rsidRPr="008909B6">
        <w:t xml:space="preserve">: Didier Lluelles </w:t>
      </w:r>
      <w:r w:rsidR="00342D73">
        <w:t>&amp;</w:t>
      </w:r>
      <w:r w:rsidR="008909B6" w:rsidRPr="008909B6">
        <w:t xml:space="preserve"> Benoît Moore, </w:t>
      </w:r>
      <w:r w:rsidR="008909B6" w:rsidRPr="008328EF">
        <w:rPr>
          <w:i/>
          <w:iCs/>
        </w:rPr>
        <w:t xml:space="preserve">Droit des </w:t>
      </w:r>
      <w:r w:rsidR="004207D4" w:rsidRPr="008328EF">
        <w:rPr>
          <w:i/>
          <w:iCs/>
        </w:rPr>
        <w:t>obligations</w:t>
      </w:r>
      <w:r w:rsidR="008909B6" w:rsidRPr="008909B6">
        <w:t>, 3rd ed. (Montreal: Themis, 2018) 1503 (no. 2495).</w:t>
      </w:r>
    </w:p>
  </w:footnote>
  <w:footnote w:id="41">
    <w:p w14:paraId="62FB2CF5" w14:textId="218F7D41" w:rsidR="00CB79A3" w:rsidRDefault="00CB79A3" w:rsidP="00CB79A3">
      <w:pPr>
        <w:pStyle w:val="Notedebasdepage"/>
        <w:tabs>
          <w:tab w:val="left" w:pos="720"/>
          <w:tab w:val="left" w:pos="1873"/>
        </w:tabs>
        <w:ind w:left="284" w:hanging="284"/>
      </w:pPr>
      <w:r>
        <w:rPr>
          <w:rStyle w:val="Appelnotedebasdep"/>
        </w:rPr>
        <w:footnoteRef/>
      </w:r>
      <w:r w:rsidRPr="008909B6">
        <w:tab/>
      </w:r>
      <w:r w:rsidR="008909B6" w:rsidRPr="00E8050B">
        <w:t xml:space="preserve">See </w:t>
      </w:r>
      <w:r w:rsidR="000C50D6">
        <w:t>in particular</w:t>
      </w:r>
      <w:r w:rsidR="008909B6" w:rsidRPr="00E8050B">
        <w:t xml:space="preserve">: </w:t>
      </w:r>
      <w:r w:rsidR="008909B6" w:rsidRPr="00E8050B">
        <w:rPr>
          <w:i/>
        </w:rPr>
        <w:t>Jean-Paul Beaudry ltée c. 4013964 Canada inc.</w:t>
      </w:r>
      <w:r w:rsidR="008909B6" w:rsidRPr="00E8050B">
        <w:t>, 2013 QCCA 792, para.</w:t>
      </w:r>
      <w:r w:rsidRPr="008909B6">
        <w:t xml:space="preserve"> </w:t>
      </w:r>
      <w:r w:rsidR="008909B6" w:rsidRPr="00E8050B">
        <w:rPr>
          <w:lang w:val="fr-CA"/>
        </w:rPr>
        <w:t xml:space="preserve">89; </w:t>
      </w:r>
      <w:r w:rsidR="008909B6" w:rsidRPr="00E8050B">
        <w:rPr>
          <w:i/>
          <w:lang w:val="fr-CA"/>
        </w:rPr>
        <w:t>Terjanian c. Lafleur</w:t>
      </w:r>
      <w:r w:rsidR="008909B6" w:rsidRPr="00E8050B">
        <w:rPr>
          <w:lang w:val="fr-CA"/>
        </w:rPr>
        <w:t>, 2019 QCCA 230, para.</w:t>
      </w:r>
      <w:r w:rsidRPr="00A90F7A">
        <w:rPr>
          <w:lang w:val="fr-CA"/>
        </w:rPr>
        <w:t xml:space="preserve"> </w:t>
      </w:r>
      <w:r w:rsidR="008909B6" w:rsidRPr="008909B6">
        <w:rPr>
          <w:lang w:val="fr-CA"/>
        </w:rPr>
        <w:t xml:space="preserve">30; </w:t>
      </w:r>
      <w:r w:rsidR="008909B6" w:rsidRPr="008909B6">
        <w:rPr>
          <w:i/>
          <w:lang w:val="fr-CA"/>
        </w:rPr>
        <w:t>Beaumier c. XIT Télécom inc.</w:t>
      </w:r>
      <w:r w:rsidR="008909B6" w:rsidRPr="008909B6">
        <w:rPr>
          <w:lang w:val="fr-CA"/>
        </w:rPr>
        <w:t>, 2019 QCCA 1000, para.</w:t>
      </w:r>
      <w:r w:rsidRPr="00A90F7A">
        <w:rPr>
          <w:lang w:val="fr-CA"/>
        </w:rPr>
        <w:t xml:space="preserve"> </w:t>
      </w:r>
      <w:r w:rsidR="00C3747E">
        <w:t>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1535" w14:textId="48507CBE" w:rsidR="006B3E24" w:rsidRDefault="0012174C" w:rsidP="00DA6CD9">
    <w:pPr>
      <w:tabs>
        <w:tab w:val="center" w:pos="4709"/>
        <w:tab w:val="right" w:pos="9360"/>
      </w:tabs>
      <w:spacing w:line="360" w:lineRule="auto"/>
      <w:ind w:right="524"/>
    </w:pPr>
    <w:r>
      <w:t>500-09-029445-210</w:t>
    </w:r>
    <w:r w:rsidR="008773C4">
      <w:tab/>
    </w:r>
    <w:r w:rsidR="008773C4">
      <w:tab/>
    </w:r>
    <w:r w:rsidR="008909B6" w:rsidRPr="00E8050B">
      <w:t>PAGE:</w:t>
    </w:r>
    <w:r w:rsidR="008773C4">
      <w:t xml:space="preserve"> </w:t>
    </w:r>
    <w:r w:rsidR="008773C4">
      <w:fldChar w:fldCharType="begin"/>
    </w:r>
    <w:r w:rsidR="008773C4">
      <w:instrText xml:space="preserve"> PAGE </w:instrText>
    </w:r>
    <w:r w:rsidR="008773C4">
      <w:fldChar w:fldCharType="separate"/>
    </w:r>
    <w:r w:rsidR="00DA6CD9">
      <w:rPr>
        <w:noProof/>
      </w:rPr>
      <w:t>2</w:t>
    </w:r>
    <w:r w:rsidR="008773C4">
      <w:fldChar w:fldCharType="end"/>
    </w:r>
  </w:p>
  <w:p w14:paraId="36F5443B" w14:textId="77777777" w:rsidR="00742AF9" w:rsidRDefault="00742AF9" w:rsidP="00DA6CD9">
    <w:pPr>
      <w:tabs>
        <w:tab w:val="center" w:pos="4709"/>
        <w:tab w:val="right" w:pos="9360"/>
      </w:tabs>
      <w:spacing w:line="360" w:lineRule="auto"/>
      <w:ind w:right="524"/>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D662" w14:textId="77777777" w:rsidR="00DA6CD9" w:rsidRDefault="00DA6CD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B659" w14:textId="77777777" w:rsidR="00844586" w:rsidRDefault="0084458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A2F82" w14:textId="29C03893" w:rsidR="00844586" w:rsidRDefault="0012174C" w:rsidP="00A33619">
    <w:pPr>
      <w:tabs>
        <w:tab w:val="center" w:pos="4709"/>
        <w:tab w:val="right" w:pos="9360"/>
      </w:tabs>
      <w:spacing w:line="360" w:lineRule="auto"/>
      <w:ind w:right="524"/>
    </w:pPr>
    <w:r>
      <w:t>500-09-029445-210</w:t>
    </w:r>
    <w:r w:rsidR="0084114F">
      <w:tab/>
    </w:r>
    <w:r w:rsidR="0084114F">
      <w:tab/>
    </w:r>
    <w:r w:rsidR="008909B6" w:rsidRPr="00E8050B">
      <w:t>PAGE:</w:t>
    </w:r>
    <w:r w:rsidR="0084114F">
      <w:t xml:space="preserve"> </w:t>
    </w:r>
    <w:r w:rsidR="0084114F">
      <w:fldChar w:fldCharType="begin"/>
    </w:r>
    <w:r w:rsidR="0084114F">
      <w:instrText xml:space="preserve"> PAGE </w:instrText>
    </w:r>
    <w:r w:rsidR="0084114F">
      <w:fldChar w:fldCharType="separate"/>
    </w:r>
    <w:r w:rsidR="0084114F">
      <w:t>1</w:t>
    </w:r>
    <w:r w:rsidR="0084114F">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873B" w14:textId="77777777" w:rsidR="00844586" w:rsidRDefault="00844586">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9F61" w14:textId="77777777" w:rsidR="00844586" w:rsidRDefault="00844586">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C7075" w14:textId="06F27290" w:rsidR="00844586" w:rsidRDefault="0012174C" w:rsidP="000C012E">
    <w:pPr>
      <w:tabs>
        <w:tab w:val="center" w:pos="4709"/>
        <w:tab w:val="right" w:pos="9360"/>
      </w:tabs>
      <w:spacing w:line="360" w:lineRule="auto"/>
      <w:ind w:right="524"/>
    </w:pPr>
    <w:r>
      <w:t>500-09-029445-210</w:t>
    </w:r>
    <w:r w:rsidR="0084114F">
      <w:t xml:space="preserve"> </w:t>
    </w:r>
    <w:r w:rsidR="0084114F">
      <w:tab/>
    </w:r>
    <w:r w:rsidR="0084114F">
      <w:tab/>
    </w:r>
    <w:r w:rsidR="0084114F" w:rsidRPr="00E8050B">
      <w:t>PAGE:</w:t>
    </w:r>
    <w:r w:rsidR="0084114F">
      <w:t xml:space="preserve"> </w:t>
    </w:r>
    <w:r w:rsidR="0084114F">
      <w:fldChar w:fldCharType="begin"/>
    </w:r>
    <w:r w:rsidR="0084114F">
      <w:instrText xml:space="preserve"> PAGE </w:instrText>
    </w:r>
    <w:r w:rsidR="0084114F">
      <w:fldChar w:fldCharType="separate"/>
    </w:r>
    <w:r w:rsidR="0084114F">
      <w:t>1</w:t>
    </w:r>
    <w:r w:rsidR="0084114F">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6584" w14:textId="77777777" w:rsidR="00844586" w:rsidRDefault="00844586">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4378" w14:textId="77777777" w:rsidR="00DA6CD9" w:rsidRDefault="00DA6CD9">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9F87" w14:textId="5F26E1BF" w:rsidR="006B3E24" w:rsidRDefault="0012174C" w:rsidP="00DA6CD9">
    <w:pPr>
      <w:tabs>
        <w:tab w:val="center" w:pos="4709"/>
        <w:tab w:val="right" w:pos="9360"/>
      </w:tabs>
      <w:spacing w:line="360" w:lineRule="auto"/>
      <w:ind w:right="524"/>
    </w:pPr>
    <w:r>
      <w:t>500-09-029445-210</w:t>
    </w:r>
    <w:r w:rsidR="008773C4">
      <w:tab/>
    </w:r>
    <w:r w:rsidR="008773C4">
      <w:tab/>
    </w:r>
    <w:r w:rsidR="008909B6" w:rsidRPr="00E8050B">
      <w:t>PAGE:</w:t>
    </w:r>
    <w:r w:rsidR="008773C4">
      <w:t xml:space="preserve"> </w:t>
    </w:r>
    <w:r w:rsidR="008773C4">
      <w:fldChar w:fldCharType="begin"/>
    </w:r>
    <w:r w:rsidR="008773C4">
      <w:instrText xml:space="preserve"> PAGE </w:instrText>
    </w:r>
    <w:r w:rsidR="008773C4">
      <w:fldChar w:fldCharType="separate"/>
    </w:r>
    <w:r w:rsidR="00DA6CD9">
      <w:rPr>
        <w:noProof/>
      </w:rPr>
      <w:t>2</w:t>
    </w:r>
    <w:r w:rsidR="008773C4">
      <w:fldChar w:fldCharType="end"/>
    </w:r>
  </w:p>
  <w:p w14:paraId="12E90045" w14:textId="77777777" w:rsidR="00742AF9" w:rsidRDefault="00742AF9" w:rsidP="00DA6CD9">
    <w:pPr>
      <w:tabs>
        <w:tab w:val="center" w:pos="4709"/>
        <w:tab w:val="right" w:pos="9360"/>
      </w:tabs>
      <w:spacing w:line="360" w:lineRule="auto"/>
      <w:ind w:right="52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0E1E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12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2647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1C3B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EAB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219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07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6436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CE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74FEA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5EA1E72"/>
    <w:multiLevelType w:val="hybridMultilevel"/>
    <w:tmpl w:val="4F68B8D2"/>
    <w:lvl w:ilvl="0" w:tplc="F3967E7C">
      <w:start w:val="1"/>
      <w:numFmt w:val="bullet"/>
      <w:lvlText w:val=""/>
      <w:lvlJc w:val="left"/>
      <w:pPr>
        <w:ind w:left="720" w:hanging="360"/>
      </w:pPr>
      <w:rPr>
        <w:rFonts w:ascii="Symbol" w:hAnsi="Symbol" w:hint="default"/>
      </w:rPr>
    </w:lvl>
    <w:lvl w:ilvl="1" w:tplc="F3300E38" w:tentative="1">
      <w:start w:val="1"/>
      <w:numFmt w:val="bullet"/>
      <w:lvlText w:val="o"/>
      <w:lvlJc w:val="left"/>
      <w:pPr>
        <w:ind w:left="1440" w:hanging="360"/>
      </w:pPr>
      <w:rPr>
        <w:rFonts w:ascii="Courier New" w:hAnsi="Courier New" w:cs="Courier New" w:hint="default"/>
      </w:rPr>
    </w:lvl>
    <w:lvl w:ilvl="2" w:tplc="F8F445BE" w:tentative="1">
      <w:start w:val="1"/>
      <w:numFmt w:val="bullet"/>
      <w:lvlText w:val=""/>
      <w:lvlJc w:val="left"/>
      <w:pPr>
        <w:ind w:left="2160" w:hanging="360"/>
      </w:pPr>
      <w:rPr>
        <w:rFonts w:ascii="Wingdings" w:hAnsi="Wingdings" w:hint="default"/>
      </w:rPr>
    </w:lvl>
    <w:lvl w:ilvl="3" w:tplc="000C3E28" w:tentative="1">
      <w:start w:val="1"/>
      <w:numFmt w:val="bullet"/>
      <w:lvlText w:val=""/>
      <w:lvlJc w:val="left"/>
      <w:pPr>
        <w:ind w:left="2880" w:hanging="360"/>
      </w:pPr>
      <w:rPr>
        <w:rFonts w:ascii="Symbol" w:hAnsi="Symbol" w:hint="default"/>
      </w:rPr>
    </w:lvl>
    <w:lvl w:ilvl="4" w:tplc="14DE0216" w:tentative="1">
      <w:start w:val="1"/>
      <w:numFmt w:val="bullet"/>
      <w:lvlText w:val="o"/>
      <w:lvlJc w:val="left"/>
      <w:pPr>
        <w:ind w:left="3600" w:hanging="360"/>
      </w:pPr>
      <w:rPr>
        <w:rFonts w:ascii="Courier New" w:hAnsi="Courier New" w:cs="Courier New" w:hint="default"/>
      </w:rPr>
    </w:lvl>
    <w:lvl w:ilvl="5" w:tplc="6E60C8BE" w:tentative="1">
      <w:start w:val="1"/>
      <w:numFmt w:val="bullet"/>
      <w:lvlText w:val=""/>
      <w:lvlJc w:val="left"/>
      <w:pPr>
        <w:ind w:left="4320" w:hanging="360"/>
      </w:pPr>
      <w:rPr>
        <w:rFonts w:ascii="Wingdings" w:hAnsi="Wingdings" w:hint="default"/>
      </w:rPr>
    </w:lvl>
    <w:lvl w:ilvl="6" w:tplc="CE9A8680" w:tentative="1">
      <w:start w:val="1"/>
      <w:numFmt w:val="bullet"/>
      <w:lvlText w:val=""/>
      <w:lvlJc w:val="left"/>
      <w:pPr>
        <w:ind w:left="5040" w:hanging="360"/>
      </w:pPr>
      <w:rPr>
        <w:rFonts w:ascii="Symbol" w:hAnsi="Symbol" w:hint="default"/>
      </w:rPr>
    </w:lvl>
    <w:lvl w:ilvl="7" w:tplc="6222181A" w:tentative="1">
      <w:start w:val="1"/>
      <w:numFmt w:val="bullet"/>
      <w:lvlText w:val="o"/>
      <w:lvlJc w:val="left"/>
      <w:pPr>
        <w:ind w:left="5760" w:hanging="360"/>
      </w:pPr>
      <w:rPr>
        <w:rFonts w:ascii="Courier New" w:hAnsi="Courier New" w:cs="Courier New" w:hint="default"/>
      </w:rPr>
    </w:lvl>
    <w:lvl w:ilvl="8" w:tplc="22D8007E" w:tentative="1">
      <w:start w:val="1"/>
      <w:numFmt w:val="bullet"/>
      <w:lvlText w:val=""/>
      <w:lvlJc w:val="left"/>
      <w:pPr>
        <w:ind w:left="6480" w:hanging="360"/>
      </w:pPr>
      <w:rPr>
        <w:rFonts w:ascii="Wingdings" w:hAnsi="Wingdings" w:hint="default"/>
      </w:rPr>
    </w:lvl>
  </w:abstractNum>
  <w:abstractNum w:abstractNumId="11" w15:restartNumberingAfterBreak="0">
    <w:nsid w:val="1C035CED"/>
    <w:multiLevelType w:val="hybridMultilevel"/>
    <w:tmpl w:val="D2A0F996"/>
    <w:lvl w:ilvl="0" w:tplc="0C0C0001">
      <w:start w:val="6"/>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5793F7F"/>
    <w:multiLevelType w:val="hybridMultilevel"/>
    <w:tmpl w:val="0492C8D0"/>
    <w:lvl w:ilvl="0" w:tplc="4080B8F6">
      <w:start w:val="1"/>
      <w:numFmt w:val="upperRoman"/>
      <w:lvlText w:val="%1."/>
      <w:lvlJc w:val="left"/>
      <w:pPr>
        <w:ind w:left="720" w:hanging="360"/>
      </w:pPr>
      <w:rPr>
        <w:rFonts w:hint="default"/>
      </w:rPr>
    </w:lvl>
    <w:lvl w:ilvl="1" w:tplc="4FA6F2DC" w:tentative="1">
      <w:start w:val="1"/>
      <w:numFmt w:val="lowerLetter"/>
      <w:lvlText w:val="%2."/>
      <w:lvlJc w:val="left"/>
      <w:pPr>
        <w:ind w:left="1440" w:hanging="360"/>
      </w:pPr>
    </w:lvl>
    <w:lvl w:ilvl="2" w:tplc="8A820F44" w:tentative="1">
      <w:start w:val="1"/>
      <w:numFmt w:val="lowerRoman"/>
      <w:lvlText w:val="%3."/>
      <w:lvlJc w:val="right"/>
      <w:pPr>
        <w:ind w:left="2160" w:hanging="180"/>
      </w:pPr>
    </w:lvl>
    <w:lvl w:ilvl="3" w:tplc="026C3B30" w:tentative="1">
      <w:start w:val="1"/>
      <w:numFmt w:val="decimal"/>
      <w:lvlText w:val="%4."/>
      <w:lvlJc w:val="left"/>
      <w:pPr>
        <w:ind w:left="2880" w:hanging="360"/>
      </w:pPr>
    </w:lvl>
    <w:lvl w:ilvl="4" w:tplc="094C08BA" w:tentative="1">
      <w:start w:val="1"/>
      <w:numFmt w:val="lowerLetter"/>
      <w:lvlText w:val="%5."/>
      <w:lvlJc w:val="left"/>
      <w:pPr>
        <w:ind w:left="3600" w:hanging="360"/>
      </w:pPr>
    </w:lvl>
    <w:lvl w:ilvl="5" w:tplc="3ABCCC88" w:tentative="1">
      <w:start w:val="1"/>
      <w:numFmt w:val="lowerRoman"/>
      <w:lvlText w:val="%6."/>
      <w:lvlJc w:val="right"/>
      <w:pPr>
        <w:ind w:left="4320" w:hanging="180"/>
      </w:pPr>
    </w:lvl>
    <w:lvl w:ilvl="6" w:tplc="FB7C751E" w:tentative="1">
      <w:start w:val="1"/>
      <w:numFmt w:val="decimal"/>
      <w:lvlText w:val="%7."/>
      <w:lvlJc w:val="left"/>
      <w:pPr>
        <w:ind w:left="5040" w:hanging="360"/>
      </w:pPr>
    </w:lvl>
    <w:lvl w:ilvl="7" w:tplc="9138827A" w:tentative="1">
      <w:start w:val="1"/>
      <w:numFmt w:val="lowerLetter"/>
      <w:lvlText w:val="%8."/>
      <w:lvlJc w:val="left"/>
      <w:pPr>
        <w:ind w:left="5760" w:hanging="360"/>
      </w:pPr>
    </w:lvl>
    <w:lvl w:ilvl="8" w:tplc="0A04872A" w:tentative="1">
      <w:start w:val="1"/>
      <w:numFmt w:val="lowerRoman"/>
      <w:lvlText w:val="%9."/>
      <w:lvlJc w:val="right"/>
      <w:pPr>
        <w:ind w:left="6480" w:hanging="180"/>
      </w:pPr>
    </w:lvl>
  </w:abstractNum>
  <w:abstractNum w:abstractNumId="13" w15:restartNumberingAfterBreak="0">
    <w:nsid w:val="2670604D"/>
    <w:multiLevelType w:val="hybridMultilevel"/>
    <w:tmpl w:val="CB40E1AA"/>
    <w:lvl w:ilvl="0" w:tplc="62188C1E">
      <w:numFmt w:val="bullet"/>
      <w:lvlText w:val=""/>
      <w:lvlJc w:val="left"/>
      <w:pPr>
        <w:ind w:left="720" w:hanging="360"/>
      </w:pPr>
      <w:rPr>
        <w:rFonts w:ascii="Symbol" w:eastAsia="Times New Roman" w:hAnsi="Symbol" w:cs="Times New Roman" w:hint="default"/>
      </w:rPr>
    </w:lvl>
    <w:lvl w:ilvl="1" w:tplc="C97ADD36" w:tentative="1">
      <w:start w:val="1"/>
      <w:numFmt w:val="bullet"/>
      <w:lvlText w:val="o"/>
      <w:lvlJc w:val="left"/>
      <w:pPr>
        <w:ind w:left="1440" w:hanging="360"/>
      </w:pPr>
      <w:rPr>
        <w:rFonts w:ascii="Courier New" w:hAnsi="Courier New" w:cs="Courier New" w:hint="default"/>
      </w:rPr>
    </w:lvl>
    <w:lvl w:ilvl="2" w:tplc="000AB612" w:tentative="1">
      <w:start w:val="1"/>
      <w:numFmt w:val="bullet"/>
      <w:lvlText w:val=""/>
      <w:lvlJc w:val="left"/>
      <w:pPr>
        <w:ind w:left="2160" w:hanging="360"/>
      </w:pPr>
      <w:rPr>
        <w:rFonts w:ascii="Wingdings" w:hAnsi="Wingdings" w:hint="default"/>
      </w:rPr>
    </w:lvl>
    <w:lvl w:ilvl="3" w:tplc="63AC1DF4" w:tentative="1">
      <w:start w:val="1"/>
      <w:numFmt w:val="bullet"/>
      <w:lvlText w:val=""/>
      <w:lvlJc w:val="left"/>
      <w:pPr>
        <w:ind w:left="2880" w:hanging="360"/>
      </w:pPr>
      <w:rPr>
        <w:rFonts w:ascii="Symbol" w:hAnsi="Symbol" w:hint="default"/>
      </w:rPr>
    </w:lvl>
    <w:lvl w:ilvl="4" w:tplc="713EC060" w:tentative="1">
      <w:start w:val="1"/>
      <w:numFmt w:val="bullet"/>
      <w:lvlText w:val="o"/>
      <w:lvlJc w:val="left"/>
      <w:pPr>
        <w:ind w:left="3600" w:hanging="360"/>
      </w:pPr>
      <w:rPr>
        <w:rFonts w:ascii="Courier New" w:hAnsi="Courier New" w:cs="Courier New" w:hint="default"/>
      </w:rPr>
    </w:lvl>
    <w:lvl w:ilvl="5" w:tplc="C49E9DCE" w:tentative="1">
      <w:start w:val="1"/>
      <w:numFmt w:val="bullet"/>
      <w:lvlText w:val=""/>
      <w:lvlJc w:val="left"/>
      <w:pPr>
        <w:ind w:left="4320" w:hanging="360"/>
      </w:pPr>
      <w:rPr>
        <w:rFonts w:ascii="Wingdings" w:hAnsi="Wingdings" w:hint="default"/>
      </w:rPr>
    </w:lvl>
    <w:lvl w:ilvl="6" w:tplc="97004530" w:tentative="1">
      <w:start w:val="1"/>
      <w:numFmt w:val="bullet"/>
      <w:lvlText w:val=""/>
      <w:lvlJc w:val="left"/>
      <w:pPr>
        <w:ind w:left="5040" w:hanging="360"/>
      </w:pPr>
      <w:rPr>
        <w:rFonts w:ascii="Symbol" w:hAnsi="Symbol" w:hint="default"/>
      </w:rPr>
    </w:lvl>
    <w:lvl w:ilvl="7" w:tplc="BEF07BA8" w:tentative="1">
      <w:start w:val="1"/>
      <w:numFmt w:val="bullet"/>
      <w:lvlText w:val="o"/>
      <w:lvlJc w:val="left"/>
      <w:pPr>
        <w:ind w:left="5760" w:hanging="360"/>
      </w:pPr>
      <w:rPr>
        <w:rFonts w:ascii="Courier New" w:hAnsi="Courier New" w:cs="Courier New" w:hint="default"/>
      </w:rPr>
    </w:lvl>
    <w:lvl w:ilvl="8" w:tplc="752CB7D2" w:tentative="1">
      <w:start w:val="1"/>
      <w:numFmt w:val="bullet"/>
      <w:lvlText w:val=""/>
      <w:lvlJc w:val="left"/>
      <w:pPr>
        <w:ind w:left="6480" w:hanging="360"/>
      </w:pPr>
      <w:rPr>
        <w:rFonts w:ascii="Wingdings" w:hAnsi="Wingdings" w:hint="default"/>
      </w:rPr>
    </w:lvl>
  </w:abstractNum>
  <w:abstractNum w:abstractNumId="14" w15:restartNumberingAfterBreak="0">
    <w:nsid w:val="28BB52DE"/>
    <w:multiLevelType w:val="multilevel"/>
    <w:tmpl w:val="79E601F0"/>
    <w:lvl w:ilvl="0">
      <w:start w:val="1"/>
      <w:numFmt w:val="decimal"/>
      <w:pStyle w:val="Paragraphe"/>
      <w:lvlText w:val="[%1]"/>
      <w:lvlJc w:val="left"/>
      <w:pPr>
        <w:tabs>
          <w:tab w:val="num" w:pos="720"/>
        </w:tabs>
        <w:ind w:left="0" w:firstLine="0"/>
      </w:pPr>
      <w:rPr>
        <w:rFonts w:hint="default"/>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2E645C56"/>
    <w:multiLevelType w:val="hybridMultilevel"/>
    <w:tmpl w:val="45961CA6"/>
    <w:lvl w:ilvl="0" w:tplc="17EABD10">
      <w:start w:val="1"/>
      <w:numFmt w:val="upperRoman"/>
      <w:pStyle w:val="Titre1"/>
      <w:lvlText w:val="%1."/>
      <w:lvlJc w:val="left"/>
      <w:pPr>
        <w:ind w:left="720" w:hanging="360"/>
      </w:pPr>
    </w:lvl>
    <w:lvl w:ilvl="1" w:tplc="BB206EE6" w:tentative="1">
      <w:start w:val="1"/>
      <w:numFmt w:val="lowerLetter"/>
      <w:lvlText w:val="%2."/>
      <w:lvlJc w:val="left"/>
      <w:pPr>
        <w:ind w:left="1440" w:hanging="360"/>
      </w:pPr>
    </w:lvl>
    <w:lvl w:ilvl="2" w:tplc="02BC57D2" w:tentative="1">
      <w:start w:val="1"/>
      <w:numFmt w:val="lowerRoman"/>
      <w:lvlText w:val="%3."/>
      <w:lvlJc w:val="right"/>
      <w:pPr>
        <w:ind w:left="2160" w:hanging="180"/>
      </w:pPr>
    </w:lvl>
    <w:lvl w:ilvl="3" w:tplc="A29CE87A" w:tentative="1">
      <w:start w:val="1"/>
      <w:numFmt w:val="decimal"/>
      <w:lvlText w:val="%4."/>
      <w:lvlJc w:val="left"/>
      <w:pPr>
        <w:ind w:left="2880" w:hanging="360"/>
      </w:pPr>
    </w:lvl>
    <w:lvl w:ilvl="4" w:tplc="1AB05140" w:tentative="1">
      <w:start w:val="1"/>
      <w:numFmt w:val="lowerLetter"/>
      <w:lvlText w:val="%5."/>
      <w:lvlJc w:val="left"/>
      <w:pPr>
        <w:ind w:left="3600" w:hanging="360"/>
      </w:pPr>
    </w:lvl>
    <w:lvl w:ilvl="5" w:tplc="744E3156" w:tentative="1">
      <w:start w:val="1"/>
      <w:numFmt w:val="lowerRoman"/>
      <w:lvlText w:val="%6."/>
      <w:lvlJc w:val="right"/>
      <w:pPr>
        <w:ind w:left="4320" w:hanging="180"/>
      </w:pPr>
    </w:lvl>
    <w:lvl w:ilvl="6" w:tplc="074C42B2" w:tentative="1">
      <w:start w:val="1"/>
      <w:numFmt w:val="decimal"/>
      <w:lvlText w:val="%7."/>
      <w:lvlJc w:val="left"/>
      <w:pPr>
        <w:ind w:left="5040" w:hanging="360"/>
      </w:pPr>
    </w:lvl>
    <w:lvl w:ilvl="7" w:tplc="081EB186" w:tentative="1">
      <w:start w:val="1"/>
      <w:numFmt w:val="lowerLetter"/>
      <w:lvlText w:val="%8."/>
      <w:lvlJc w:val="left"/>
      <w:pPr>
        <w:ind w:left="5760" w:hanging="360"/>
      </w:pPr>
    </w:lvl>
    <w:lvl w:ilvl="8" w:tplc="F5FE9836" w:tentative="1">
      <w:start w:val="1"/>
      <w:numFmt w:val="lowerRoman"/>
      <w:lvlText w:val="%9."/>
      <w:lvlJc w:val="right"/>
      <w:pPr>
        <w:ind w:left="6480" w:hanging="180"/>
      </w:pPr>
    </w:lvl>
  </w:abstractNum>
  <w:abstractNum w:abstractNumId="16" w15:restartNumberingAfterBreak="0">
    <w:nsid w:val="4A9D1B84"/>
    <w:multiLevelType w:val="multilevel"/>
    <w:tmpl w:val="2766DEE4"/>
    <w:lvl w:ilvl="0">
      <w:start w:val="1"/>
      <w:numFmt w:val="bullet"/>
      <w:lvlText w:val=""/>
      <w:lvlJc w:val="left"/>
      <w:pPr>
        <w:tabs>
          <w:tab w:val="num" w:pos="792"/>
        </w:tabs>
        <w:ind w:left="792" w:hanging="72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609C0DCC"/>
    <w:multiLevelType w:val="multilevel"/>
    <w:tmpl w:val="F11C8164"/>
    <w:lvl w:ilvl="0">
      <w:start w:val="1"/>
      <w:numFmt w:val="decimal"/>
      <w:lvlText w:val="[%1]"/>
      <w:lvlJc w:val="left"/>
      <w:pPr>
        <w:tabs>
          <w:tab w:val="num" w:pos="360"/>
        </w:tabs>
        <w:ind w:left="0" w:firstLine="0"/>
      </w:pPr>
      <w:rPr>
        <w:rFonts w:ascii="Arial" w:hAnsi="Arial" w:hint="default"/>
        <w:b w:val="0"/>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692F0EE1"/>
    <w:multiLevelType w:val="hybridMultilevel"/>
    <w:tmpl w:val="F230D0F6"/>
    <w:lvl w:ilvl="0" w:tplc="CEC63962">
      <w:start w:val="1"/>
      <w:numFmt w:val="upperRoman"/>
      <w:lvlText w:val="%1."/>
      <w:lvlJc w:val="left"/>
      <w:pPr>
        <w:ind w:left="1080" w:hanging="720"/>
      </w:pPr>
      <w:rPr>
        <w:rFonts w:hint="default"/>
      </w:rPr>
    </w:lvl>
    <w:lvl w:ilvl="1" w:tplc="F64A0ABC" w:tentative="1">
      <w:start w:val="1"/>
      <w:numFmt w:val="lowerLetter"/>
      <w:lvlText w:val="%2."/>
      <w:lvlJc w:val="left"/>
      <w:pPr>
        <w:ind w:left="1440" w:hanging="360"/>
      </w:pPr>
    </w:lvl>
    <w:lvl w:ilvl="2" w:tplc="16E0D0E4" w:tentative="1">
      <w:start w:val="1"/>
      <w:numFmt w:val="lowerRoman"/>
      <w:lvlText w:val="%3."/>
      <w:lvlJc w:val="right"/>
      <w:pPr>
        <w:ind w:left="2160" w:hanging="180"/>
      </w:pPr>
    </w:lvl>
    <w:lvl w:ilvl="3" w:tplc="6DC0E19E" w:tentative="1">
      <w:start w:val="1"/>
      <w:numFmt w:val="decimal"/>
      <w:lvlText w:val="%4."/>
      <w:lvlJc w:val="left"/>
      <w:pPr>
        <w:ind w:left="2880" w:hanging="360"/>
      </w:pPr>
    </w:lvl>
    <w:lvl w:ilvl="4" w:tplc="1FC07806" w:tentative="1">
      <w:start w:val="1"/>
      <w:numFmt w:val="lowerLetter"/>
      <w:lvlText w:val="%5."/>
      <w:lvlJc w:val="left"/>
      <w:pPr>
        <w:ind w:left="3600" w:hanging="360"/>
      </w:pPr>
    </w:lvl>
    <w:lvl w:ilvl="5" w:tplc="0602BF72" w:tentative="1">
      <w:start w:val="1"/>
      <w:numFmt w:val="lowerRoman"/>
      <w:lvlText w:val="%6."/>
      <w:lvlJc w:val="right"/>
      <w:pPr>
        <w:ind w:left="4320" w:hanging="180"/>
      </w:pPr>
    </w:lvl>
    <w:lvl w:ilvl="6" w:tplc="23469C52" w:tentative="1">
      <w:start w:val="1"/>
      <w:numFmt w:val="decimal"/>
      <w:lvlText w:val="%7."/>
      <w:lvlJc w:val="left"/>
      <w:pPr>
        <w:ind w:left="5040" w:hanging="360"/>
      </w:pPr>
    </w:lvl>
    <w:lvl w:ilvl="7" w:tplc="888856A0" w:tentative="1">
      <w:start w:val="1"/>
      <w:numFmt w:val="lowerLetter"/>
      <w:lvlText w:val="%8."/>
      <w:lvlJc w:val="left"/>
      <w:pPr>
        <w:ind w:left="5760" w:hanging="360"/>
      </w:pPr>
    </w:lvl>
    <w:lvl w:ilvl="8" w:tplc="D200C6A4" w:tentative="1">
      <w:start w:val="1"/>
      <w:numFmt w:val="lowerRoman"/>
      <w:lvlText w:val="%9."/>
      <w:lvlJc w:val="right"/>
      <w:pPr>
        <w:ind w:left="6480" w:hanging="180"/>
      </w:pPr>
    </w:lvl>
  </w:abstractNum>
  <w:num w:numId="1" w16cid:durableId="1578782959">
    <w:abstractNumId w:val="17"/>
  </w:num>
  <w:num w:numId="2" w16cid:durableId="486097077">
    <w:abstractNumId w:val="17"/>
  </w:num>
  <w:num w:numId="3" w16cid:durableId="149297000">
    <w:abstractNumId w:val="17"/>
  </w:num>
  <w:num w:numId="4" w16cid:durableId="869076148">
    <w:abstractNumId w:val="8"/>
  </w:num>
  <w:num w:numId="5" w16cid:durableId="1120880859">
    <w:abstractNumId w:val="3"/>
  </w:num>
  <w:num w:numId="6" w16cid:durableId="334192898">
    <w:abstractNumId w:val="2"/>
  </w:num>
  <w:num w:numId="7" w16cid:durableId="1175850686">
    <w:abstractNumId w:val="1"/>
  </w:num>
  <w:num w:numId="8" w16cid:durableId="637879485">
    <w:abstractNumId w:val="0"/>
  </w:num>
  <w:num w:numId="9" w16cid:durableId="1476532799">
    <w:abstractNumId w:val="9"/>
  </w:num>
  <w:num w:numId="10" w16cid:durableId="49618334">
    <w:abstractNumId w:val="7"/>
  </w:num>
  <w:num w:numId="11" w16cid:durableId="1610040681">
    <w:abstractNumId w:val="6"/>
  </w:num>
  <w:num w:numId="12" w16cid:durableId="154416961">
    <w:abstractNumId w:val="5"/>
  </w:num>
  <w:num w:numId="13" w16cid:durableId="2121416840">
    <w:abstractNumId w:val="4"/>
  </w:num>
  <w:num w:numId="14" w16cid:durableId="825122434">
    <w:abstractNumId w:val="17"/>
  </w:num>
  <w:num w:numId="15" w16cid:durableId="1953827918">
    <w:abstractNumId w:val="17"/>
  </w:num>
  <w:num w:numId="16" w16cid:durableId="2047825592">
    <w:abstractNumId w:val="17"/>
  </w:num>
  <w:num w:numId="17" w16cid:durableId="512916345">
    <w:abstractNumId w:val="16"/>
  </w:num>
  <w:num w:numId="18" w16cid:durableId="1657685431">
    <w:abstractNumId w:val="14"/>
  </w:num>
  <w:num w:numId="19" w16cid:durableId="347146502">
    <w:abstractNumId w:val="12"/>
  </w:num>
  <w:num w:numId="20" w16cid:durableId="549851229">
    <w:abstractNumId w:val="13"/>
  </w:num>
  <w:num w:numId="21" w16cid:durableId="1641493048">
    <w:abstractNumId w:val="15"/>
  </w:num>
  <w:num w:numId="22" w16cid:durableId="1525292322">
    <w:abstractNumId w:val="18"/>
  </w:num>
  <w:num w:numId="23" w16cid:durableId="619384268">
    <w:abstractNumId w:val="10"/>
  </w:num>
  <w:num w:numId="24" w16cid:durableId="8983267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78574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20"/>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nNBChoix" w:val="3"/>
    <w:docVar w:name="MotifJuge1" w:val="REASONS OF"/>
    <w:docVar w:name="MotifJuge2" w:val="REASONS OF"/>
    <w:docVar w:name="MotifJuge3" w:val="REASONS OF"/>
    <w:docVar w:name="NomFamJuge1" w:val="SCHRAGER"/>
    <w:docVar w:name="NomFamJuge2" w:val="LAVALLÉE"/>
    <w:docVar w:name="NomFamJuge3" w:val="BACHAND"/>
    <w:docVar w:name="NomFamJuge4" w:val="Nom4"/>
    <w:docVar w:name="NomFamJuge5" w:val="Nom5"/>
    <w:docVar w:name="QteJuge1" w:val=", J.A."/>
    <w:docVar w:name="QteJuge2" w:val=", J.A."/>
    <w:docVar w:name="QteJuge3" w:val=", J.A."/>
    <w:docVar w:name="QteJuge4" w:val=", Qte4"/>
    <w:docVar w:name="QteJuge5" w:val=", Qte5"/>
    <w:docVar w:name="stPremiereFois" w:val="Non"/>
  </w:docVars>
  <w:rsids>
    <w:rsidRoot w:val="00532A41"/>
    <w:rsid w:val="0000456A"/>
    <w:rsid w:val="00015133"/>
    <w:rsid w:val="0002122F"/>
    <w:rsid w:val="000273A8"/>
    <w:rsid w:val="00037275"/>
    <w:rsid w:val="00051A3C"/>
    <w:rsid w:val="00055D1C"/>
    <w:rsid w:val="000579BB"/>
    <w:rsid w:val="00057D33"/>
    <w:rsid w:val="000610B6"/>
    <w:rsid w:val="00061F52"/>
    <w:rsid w:val="000705BF"/>
    <w:rsid w:val="00072321"/>
    <w:rsid w:val="00072A3C"/>
    <w:rsid w:val="00075127"/>
    <w:rsid w:val="00085273"/>
    <w:rsid w:val="00086B01"/>
    <w:rsid w:val="00087567"/>
    <w:rsid w:val="00095B32"/>
    <w:rsid w:val="000B0795"/>
    <w:rsid w:val="000B5485"/>
    <w:rsid w:val="000C012E"/>
    <w:rsid w:val="000C1D1D"/>
    <w:rsid w:val="000C3299"/>
    <w:rsid w:val="000C42A1"/>
    <w:rsid w:val="000C50D6"/>
    <w:rsid w:val="000D0451"/>
    <w:rsid w:val="000D1850"/>
    <w:rsid w:val="000D779B"/>
    <w:rsid w:val="000E7106"/>
    <w:rsid w:val="000F2AD6"/>
    <w:rsid w:val="000F409E"/>
    <w:rsid w:val="0010186A"/>
    <w:rsid w:val="00102BF5"/>
    <w:rsid w:val="00102E55"/>
    <w:rsid w:val="00105314"/>
    <w:rsid w:val="00111C1D"/>
    <w:rsid w:val="00113ECD"/>
    <w:rsid w:val="00120A3E"/>
    <w:rsid w:val="0012174C"/>
    <w:rsid w:val="00123D5C"/>
    <w:rsid w:val="00133418"/>
    <w:rsid w:val="001533DE"/>
    <w:rsid w:val="0018073B"/>
    <w:rsid w:val="0018671A"/>
    <w:rsid w:val="001A21B3"/>
    <w:rsid w:val="001B2540"/>
    <w:rsid w:val="001B3225"/>
    <w:rsid w:val="001C0D6C"/>
    <w:rsid w:val="001D5632"/>
    <w:rsid w:val="001E2B38"/>
    <w:rsid w:val="001E344A"/>
    <w:rsid w:val="001E394D"/>
    <w:rsid w:val="001F0D45"/>
    <w:rsid w:val="0021097A"/>
    <w:rsid w:val="00226929"/>
    <w:rsid w:val="0023104B"/>
    <w:rsid w:val="00233D60"/>
    <w:rsid w:val="00243028"/>
    <w:rsid w:val="00251F4D"/>
    <w:rsid w:val="00271110"/>
    <w:rsid w:val="00284832"/>
    <w:rsid w:val="00287CE3"/>
    <w:rsid w:val="002963D7"/>
    <w:rsid w:val="002A0037"/>
    <w:rsid w:val="002B7FDC"/>
    <w:rsid w:val="002D01B3"/>
    <w:rsid w:val="002F5B4D"/>
    <w:rsid w:val="0030580B"/>
    <w:rsid w:val="00310061"/>
    <w:rsid w:val="003279D6"/>
    <w:rsid w:val="00330A4A"/>
    <w:rsid w:val="003406E6"/>
    <w:rsid w:val="0034286F"/>
    <w:rsid w:val="00342D73"/>
    <w:rsid w:val="00345835"/>
    <w:rsid w:val="00347E86"/>
    <w:rsid w:val="003539AE"/>
    <w:rsid w:val="00353E3C"/>
    <w:rsid w:val="00386ECD"/>
    <w:rsid w:val="0039709A"/>
    <w:rsid w:val="003A6212"/>
    <w:rsid w:val="003A6F05"/>
    <w:rsid w:val="003B32C2"/>
    <w:rsid w:val="003B348D"/>
    <w:rsid w:val="003B4940"/>
    <w:rsid w:val="003C4610"/>
    <w:rsid w:val="003C4B84"/>
    <w:rsid w:val="003C5B64"/>
    <w:rsid w:val="003D04E0"/>
    <w:rsid w:val="003D6A2E"/>
    <w:rsid w:val="00401AFB"/>
    <w:rsid w:val="00405F15"/>
    <w:rsid w:val="00412295"/>
    <w:rsid w:val="004207D4"/>
    <w:rsid w:val="004306F0"/>
    <w:rsid w:val="004440FB"/>
    <w:rsid w:val="00447B9B"/>
    <w:rsid w:val="004641D0"/>
    <w:rsid w:val="00470EB2"/>
    <w:rsid w:val="004737DC"/>
    <w:rsid w:val="004874C1"/>
    <w:rsid w:val="0049450B"/>
    <w:rsid w:val="004A411F"/>
    <w:rsid w:val="004B0F02"/>
    <w:rsid w:val="004D3E91"/>
    <w:rsid w:val="004D4288"/>
    <w:rsid w:val="004E7B66"/>
    <w:rsid w:val="004F23A2"/>
    <w:rsid w:val="004F7C11"/>
    <w:rsid w:val="0051636C"/>
    <w:rsid w:val="00522E59"/>
    <w:rsid w:val="00532A41"/>
    <w:rsid w:val="00546F8E"/>
    <w:rsid w:val="0054774C"/>
    <w:rsid w:val="005578BD"/>
    <w:rsid w:val="00583534"/>
    <w:rsid w:val="00593D61"/>
    <w:rsid w:val="00594595"/>
    <w:rsid w:val="00597784"/>
    <w:rsid w:val="005B152F"/>
    <w:rsid w:val="005B6A8D"/>
    <w:rsid w:val="005C5C1E"/>
    <w:rsid w:val="005C5C31"/>
    <w:rsid w:val="005C5EC1"/>
    <w:rsid w:val="005E2D00"/>
    <w:rsid w:val="005E4FBA"/>
    <w:rsid w:val="005E5094"/>
    <w:rsid w:val="00604213"/>
    <w:rsid w:val="00610E62"/>
    <w:rsid w:val="00611FA9"/>
    <w:rsid w:val="0061526A"/>
    <w:rsid w:val="0061618C"/>
    <w:rsid w:val="00624A70"/>
    <w:rsid w:val="00630C2A"/>
    <w:rsid w:val="00635DC3"/>
    <w:rsid w:val="00663794"/>
    <w:rsid w:val="006751C0"/>
    <w:rsid w:val="00676FD9"/>
    <w:rsid w:val="00690759"/>
    <w:rsid w:val="00692174"/>
    <w:rsid w:val="00695EC4"/>
    <w:rsid w:val="0069744F"/>
    <w:rsid w:val="006A12CE"/>
    <w:rsid w:val="006B02E9"/>
    <w:rsid w:val="006B3E24"/>
    <w:rsid w:val="006B7B9F"/>
    <w:rsid w:val="006D32CA"/>
    <w:rsid w:val="006E1906"/>
    <w:rsid w:val="006E2C8E"/>
    <w:rsid w:val="006E7EBD"/>
    <w:rsid w:val="006F035F"/>
    <w:rsid w:val="00703805"/>
    <w:rsid w:val="00706868"/>
    <w:rsid w:val="007119E6"/>
    <w:rsid w:val="00730E6D"/>
    <w:rsid w:val="0073548E"/>
    <w:rsid w:val="00742AF9"/>
    <w:rsid w:val="00744023"/>
    <w:rsid w:val="00750186"/>
    <w:rsid w:val="00757C7E"/>
    <w:rsid w:val="00764B9D"/>
    <w:rsid w:val="00785BC3"/>
    <w:rsid w:val="0079113A"/>
    <w:rsid w:val="007A22E7"/>
    <w:rsid w:val="007A48F9"/>
    <w:rsid w:val="007B341F"/>
    <w:rsid w:val="00814196"/>
    <w:rsid w:val="0081733F"/>
    <w:rsid w:val="00821503"/>
    <w:rsid w:val="008328EF"/>
    <w:rsid w:val="00834D9E"/>
    <w:rsid w:val="0084114F"/>
    <w:rsid w:val="008413A5"/>
    <w:rsid w:val="0084333E"/>
    <w:rsid w:val="00844586"/>
    <w:rsid w:val="00855D6F"/>
    <w:rsid w:val="00863483"/>
    <w:rsid w:val="0086538B"/>
    <w:rsid w:val="008773C4"/>
    <w:rsid w:val="008909B6"/>
    <w:rsid w:val="008954D0"/>
    <w:rsid w:val="008958F2"/>
    <w:rsid w:val="008974A6"/>
    <w:rsid w:val="008B4F0F"/>
    <w:rsid w:val="008B6102"/>
    <w:rsid w:val="008B6417"/>
    <w:rsid w:val="008B697D"/>
    <w:rsid w:val="008C365C"/>
    <w:rsid w:val="008E20EA"/>
    <w:rsid w:val="008F05E7"/>
    <w:rsid w:val="008F22E3"/>
    <w:rsid w:val="008F4AEC"/>
    <w:rsid w:val="00910C00"/>
    <w:rsid w:val="00920026"/>
    <w:rsid w:val="009358F5"/>
    <w:rsid w:val="00962C2B"/>
    <w:rsid w:val="00963F9E"/>
    <w:rsid w:val="00977BBB"/>
    <w:rsid w:val="00984522"/>
    <w:rsid w:val="009A1217"/>
    <w:rsid w:val="009C55EB"/>
    <w:rsid w:val="009D5028"/>
    <w:rsid w:val="009E32F8"/>
    <w:rsid w:val="00A017CF"/>
    <w:rsid w:val="00A16BA7"/>
    <w:rsid w:val="00A22A6F"/>
    <w:rsid w:val="00A3263F"/>
    <w:rsid w:val="00A33619"/>
    <w:rsid w:val="00A4188E"/>
    <w:rsid w:val="00A459B0"/>
    <w:rsid w:val="00A5234D"/>
    <w:rsid w:val="00A56F58"/>
    <w:rsid w:val="00A63599"/>
    <w:rsid w:val="00A67D00"/>
    <w:rsid w:val="00A7298F"/>
    <w:rsid w:val="00A73979"/>
    <w:rsid w:val="00A83FAE"/>
    <w:rsid w:val="00A90F7A"/>
    <w:rsid w:val="00A96E42"/>
    <w:rsid w:val="00A973CA"/>
    <w:rsid w:val="00AB027E"/>
    <w:rsid w:val="00AB0373"/>
    <w:rsid w:val="00AB13A5"/>
    <w:rsid w:val="00AB3187"/>
    <w:rsid w:val="00AD18EF"/>
    <w:rsid w:val="00AE2CF4"/>
    <w:rsid w:val="00B0054D"/>
    <w:rsid w:val="00B20A17"/>
    <w:rsid w:val="00B220FA"/>
    <w:rsid w:val="00B2392A"/>
    <w:rsid w:val="00B25EAB"/>
    <w:rsid w:val="00B574BA"/>
    <w:rsid w:val="00B70773"/>
    <w:rsid w:val="00B71675"/>
    <w:rsid w:val="00B7408A"/>
    <w:rsid w:val="00B754AB"/>
    <w:rsid w:val="00B85006"/>
    <w:rsid w:val="00B968EF"/>
    <w:rsid w:val="00BA69ED"/>
    <w:rsid w:val="00BB2DA3"/>
    <w:rsid w:val="00BC059C"/>
    <w:rsid w:val="00BC2DFC"/>
    <w:rsid w:val="00BC3100"/>
    <w:rsid w:val="00BC684D"/>
    <w:rsid w:val="00BC6C19"/>
    <w:rsid w:val="00BD073F"/>
    <w:rsid w:val="00BD0B9F"/>
    <w:rsid w:val="00BE04B9"/>
    <w:rsid w:val="00BE3E0E"/>
    <w:rsid w:val="00BE46B4"/>
    <w:rsid w:val="00BE63B9"/>
    <w:rsid w:val="00BF7867"/>
    <w:rsid w:val="00C00209"/>
    <w:rsid w:val="00C2267D"/>
    <w:rsid w:val="00C232A4"/>
    <w:rsid w:val="00C34645"/>
    <w:rsid w:val="00C367DE"/>
    <w:rsid w:val="00C3747E"/>
    <w:rsid w:val="00C46DEE"/>
    <w:rsid w:val="00C61989"/>
    <w:rsid w:val="00C65F6C"/>
    <w:rsid w:val="00C73369"/>
    <w:rsid w:val="00C74E9B"/>
    <w:rsid w:val="00C8393C"/>
    <w:rsid w:val="00C93F6C"/>
    <w:rsid w:val="00CA5E18"/>
    <w:rsid w:val="00CB3987"/>
    <w:rsid w:val="00CB70F8"/>
    <w:rsid w:val="00CB79A3"/>
    <w:rsid w:val="00CF4505"/>
    <w:rsid w:val="00CF6185"/>
    <w:rsid w:val="00D12459"/>
    <w:rsid w:val="00D209D0"/>
    <w:rsid w:val="00D24B4C"/>
    <w:rsid w:val="00D43AFB"/>
    <w:rsid w:val="00D52967"/>
    <w:rsid w:val="00D540BE"/>
    <w:rsid w:val="00D63DC2"/>
    <w:rsid w:val="00D673B2"/>
    <w:rsid w:val="00D70EEF"/>
    <w:rsid w:val="00D74A16"/>
    <w:rsid w:val="00D812B8"/>
    <w:rsid w:val="00D92BBE"/>
    <w:rsid w:val="00DA6CD9"/>
    <w:rsid w:val="00DD1C63"/>
    <w:rsid w:val="00E02D2D"/>
    <w:rsid w:val="00E201A8"/>
    <w:rsid w:val="00E21A07"/>
    <w:rsid w:val="00E31FBC"/>
    <w:rsid w:val="00E334D1"/>
    <w:rsid w:val="00E36BC8"/>
    <w:rsid w:val="00E44179"/>
    <w:rsid w:val="00E500AE"/>
    <w:rsid w:val="00E52D97"/>
    <w:rsid w:val="00E63401"/>
    <w:rsid w:val="00E6440B"/>
    <w:rsid w:val="00E64E69"/>
    <w:rsid w:val="00E67431"/>
    <w:rsid w:val="00E72ABE"/>
    <w:rsid w:val="00E72F53"/>
    <w:rsid w:val="00E73F0D"/>
    <w:rsid w:val="00E74118"/>
    <w:rsid w:val="00E76D5E"/>
    <w:rsid w:val="00E8050B"/>
    <w:rsid w:val="00E8171F"/>
    <w:rsid w:val="00E82A75"/>
    <w:rsid w:val="00E96534"/>
    <w:rsid w:val="00EA08D9"/>
    <w:rsid w:val="00EB22D4"/>
    <w:rsid w:val="00EC07A1"/>
    <w:rsid w:val="00EC5AC7"/>
    <w:rsid w:val="00EC62F2"/>
    <w:rsid w:val="00EC76CE"/>
    <w:rsid w:val="00ED1DD6"/>
    <w:rsid w:val="00EE072D"/>
    <w:rsid w:val="00EE1B14"/>
    <w:rsid w:val="00EE47F8"/>
    <w:rsid w:val="00F0451E"/>
    <w:rsid w:val="00F046DD"/>
    <w:rsid w:val="00F05D7B"/>
    <w:rsid w:val="00F07986"/>
    <w:rsid w:val="00F15659"/>
    <w:rsid w:val="00F156D3"/>
    <w:rsid w:val="00F24DCC"/>
    <w:rsid w:val="00F319D1"/>
    <w:rsid w:val="00F364F8"/>
    <w:rsid w:val="00F4012E"/>
    <w:rsid w:val="00F4718C"/>
    <w:rsid w:val="00F5134B"/>
    <w:rsid w:val="00F61432"/>
    <w:rsid w:val="00F65F71"/>
    <w:rsid w:val="00F66293"/>
    <w:rsid w:val="00F73BE6"/>
    <w:rsid w:val="00F81021"/>
    <w:rsid w:val="00F92483"/>
    <w:rsid w:val="00F97F5C"/>
    <w:rsid w:val="00FA0BE6"/>
    <w:rsid w:val="00FA2119"/>
    <w:rsid w:val="00FA42BC"/>
    <w:rsid w:val="00FC4811"/>
    <w:rsid w:val="00FD27DD"/>
    <w:rsid w:val="00FD3DAD"/>
    <w:rsid w:val="00FD3FDD"/>
    <w:rsid w:val="00FD552B"/>
    <w:rsid w:val="00FF2148"/>
    <w:rsid w:val="00FF3E6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1F3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0" w:lineRule="exact"/>
    </w:pPr>
    <w:rPr>
      <w:rFonts w:ascii="Arial" w:hAnsi="Arial"/>
      <w:sz w:val="24"/>
      <w:lang w:val="en-CA" w:eastAsia="fr-FR"/>
    </w:rPr>
  </w:style>
  <w:style w:type="paragraph" w:styleId="Titre1">
    <w:name w:val="heading 1"/>
    <w:basedOn w:val="Normal"/>
    <w:next w:val="Normal"/>
    <w:qFormat/>
    <w:rsid w:val="00D70EEF"/>
    <w:pPr>
      <w:keepNext/>
      <w:numPr>
        <w:numId w:val="21"/>
      </w:numPr>
      <w:spacing w:before="240" w:after="60" w:line="500" w:lineRule="exact"/>
      <w:ind w:hanging="720"/>
      <w:outlineLvl w:val="0"/>
    </w:pPr>
    <w:rPr>
      <w:b/>
      <w:kern w:val="28"/>
      <w:sz w:val="28"/>
    </w:rPr>
  </w:style>
  <w:style w:type="paragraph" w:styleId="Titre2">
    <w:name w:val="heading 2"/>
    <w:basedOn w:val="Normal"/>
    <w:next w:val="Normal"/>
    <w:qFormat/>
    <w:pPr>
      <w:keepNext/>
      <w:spacing w:before="240" w:after="60"/>
      <w:outlineLvl w:val="1"/>
    </w:pPr>
    <w:rPr>
      <w:b/>
      <w:i/>
    </w:rPr>
  </w:style>
  <w:style w:type="paragraph" w:styleId="Titre3">
    <w:name w:val="heading 3"/>
    <w:basedOn w:val="Normal"/>
    <w:next w:val="Normal"/>
    <w:qFormat/>
    <w:pPr>
      <w:keepNext/>
      <w:spacing w:before="240" w:after="60"/>
      <w:outlineLvl w:val="2"/>
    </w:pPr>
  </w:style>
  <w:style w:type="paragraph" w:styleId="Titre4">
    <w:name w:val="heading 4"/>
    <w:basedOn w:val="Normal"/>
    <w:next w:val="Normal"/>
    <w:qFormat/>
    <w:pPr>
      <w:keepNext/>
      <w:spacing w:before="240" w:after="60"/>
      <w:outlineLvl w:val="3"/>
    </w:pPr>
    <w:rPr>
      <w:b/>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pPr>
      <w:numPr>
        <w:numId w:val="18"/>
      </w:numPr>
      <w:spacing w:before="120" w:after="120" w:line="500" w:lineRule="exact"/>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basedOn w:val="Policepardfaut"/>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aliases w:val=" Char1 Char1 Char Char, Char1 Char1 Char1, Char1 Char2 Char, Char1 Char3,Char1 Char1 Char Char,Char1 Char1 Char1,Char1 Char2 Char,Footnote Text Char Char Char,Footnote Text Char Char1,Footnote Text Char1 Char,Footnote Text Char2,fn"/>
    <w:basedOn w:val="Normal"/>
    <w:link w:val="NotedebasdepageCar"/>
    <w:qFormat/>
    <w:pPr>
      <w:spacing w:line="240" w:lineRule="auto"/>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spacing w:line="500" w:lineRule="exact"/>
      <w:jc w:val="center"/>
    </w:pPr>
    <w:rPr>
      <w:b/>
      <w:sz w:val="36"/>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style>
  <w:style w:type="paragraph" w:customStyle="1" w:styleId="zSoquijdatGreffe">
    <w:name w:val="zSoquij_datGreffe"/>
    <w:basedOn w:val="Normal"/>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pPr>
      <w:ind w:left="950"/>
    </w:pPr>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rPr>
      <w:b/>
    </w:rPr>
  </w:style>
  <w:style w:type="paragraph" w:customStyle="1" w:styleId="zSoquijdatQteJuge">
    <w:name w:val="zSoquij_datQteJuge"/>
    <w:basedOn w:val="Normal"/>
    <w:rPr>
      <w:b/>
    </w:rPr>
  </w:style>
  <w:style w:type="paragraph" w:customStyle="1" w:styleId="zSoquijdatJuge">
    <w:name w:val="zSoquij_datJuge"/>
    <w:basedOn w:val="Normal"/>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jc w:val="center"/>
    </w:pPr>
  </w:style>
  <w:style w:type="character" w:customStyle="1" w:styleId="zSoquijlblEntNoDossier">
    <w:name w:val="zSoquij_lblEntNoDossier"/>
    <w:basedOn w:val="Policepardfaut"/>
    <w:rPr>
      <w:noProof w:val="0"/>
      <w:lang w:val="fr-CA"/>
    </w:rPr>
  </w:style>
  <w:style w:type="paragraph" w:customStyle="1" w:styleId="zSoquijlblTitrePartie">
    <w:name w:val="zSoquij_lblTitrePartie"/>
    <w:basedOn w:val="Normal"/>
  </w:style>
  <w:style w:type="paragraph" w:customStyle="1" w:styleId="zSoquijdatIdJuge">
    <w:name w:val="zSoquij_datIdJuge"/>
    <w:basedOn w:val="Normal"/>
    <w:pPr>
      <w:jc w:val="right"/>
    </w:pPr>
  </w:style>
  <w:style w:type="paragraph" w:customStyle="1" w:styleId="Sous-paragraphe">
    <w:name w:val="Sous-paragraphe"/>
    <w:basedOn w:val="Normal"/>
    <w:pPr>
      <w:widowControl w:val="0"/>
      <w:numPr>
        <w:ilvl w:val="1"/>
        <w:numId w:val="18"/>
      </w:numPr>
      <w:spacing w:after="120"/>
      <w:jc w:val="both"/>
    </w:pPr>
    <w:rPr>
      <w:kern w:val="28"/>
    </w:rPr>
  </w:style>
  <w:style w:type="paragraph" w:customStyle="1" w:styleId="zSoquijdatNomProcureurDem">
    <w:name w:val="zSoquij_datNomProcureurDem"/>
    <w:basedOn w:val="zSoquijlblProcureurDem"/>
    <w:pPr>
      <w:keepNext/>
    </w:pPr>
  </w:style>
  <w:style w:type="paragraph" w:customStyle="1" w:styleId="zSoquijdatNomProcureurDef">
    <w:name w:val="zSoquij_datNomProcureurDef"/>
    <w:basedOn w:val="zSoquijlblProcureurDef"/>
    <w:pPr>
      <w:keepNext/>
    </w:pPr>
  </w:style>
  <w:style w:type="paragraph" w:customStyle="1" w:styleId="zSoquijdatCabinetProcureurDem">
    <w:name w:val="zSoquij_datCabinetProcureurDem"/>
    <w:basedOn w:val="Normal"/>
    <w:pPr>
      <w:keepNext/>
    </w:pPr>
  </w:style>
  <w:style w:type="paragraph" w:customStyle="1" w:styleId="zSoquijdatCabinetProcureurDef">
    <w:name w:val="zSoquij_datCabinetProcureurDef"/>
    <w:basedOn w:val="zSoquijlblProcureurDef"/>
    <w:pPr>
      <w:keepNext/>
    </w:pPr>
  </w:style>
  <w:style w:type="paragraph" w:styleId="En-tte">
    <w:name w:val="header"/>
    <w:basedOn w:val="Normal"/>
    <w:semiHidden/>
    <w:pPr>
      <w:tabs>
        <w:tab w:val="center" w:pos="4320"/>
        <w:tab w:val="right" w:pos="8640"/>
      </w:tabs>
    </w:pPr>
  </w:style>
  <w:style w:type="paragraph" w:styleId="Pieddepage">
    <w:name w:val="footer"/>
    <w:basedOn w:val="Normal"/>
    <w:semiHidden/>
    <w:pPr>
      <w:tabs>
        <w:tab w:val="center" w:pos="4320"/>
        <w:tab w:val="right" w:pos="8640"/>
      </w:tabs>
    </w:pPr>
  </w:style>
  <w:style w:type="paragraph" w:customStyle="1" w:styleId="Tableaudroiteanglais">
    <w:name w:val="Tableau droite anglais"/>
    <w:basedOn w:val="Normal"/>
    <w:pPr>
      <w:ind w:left="144" w:right="720"/>
      <w:jc w:val="both"/>
    </w:pPr>
    <w:rPr>
      <w:sz w:val="22"/>
    </w:rPr>
  </w:style>
  <w:style w:type="paragraph" w:customStyle="1" w:styleId="Tableaugauchefranais">
    <w:name w:val="Tableau gauche français"/>
    <w:basedOn w:val="Tableaudroiteanglais"/>
    <w:pPr>
      <w:ind w:left="720" w:right="144"/>
    </w:pPr>
    <w:rPr>
      <w:lang w:val="fr-CA"/>
    </w:rPr>
  </w:style>
  <w:style w:type="character" w:styleId="Appelnotedebasdep">
    <w:name w:val="footnote reference"/>
    <w:basedOn w:val="Policepardfaut"/>
    <w:uiPriority w:val="99"/>
    <w:qFormat/>
    <w:rPr>
      <w:noProof w:val="0"/>
      <w:vertAlign w:val="superscript"/>
      <w:lang w:val="fr-CA"/>
    </w:rPr>
  </w:style>
  <w:style w:type="paragraph" w:styleId="Corpsdetexte3">
    <w:name w:val="Body Text 3"/>
    <w:basedOn w:val="Normal"/>
    <w:semiHidden/>
    <w:pPr>
      <w:spacing w:after="120"/>
    </w:pPr>
    <w:rPr>
      <w:sz w:val="16"/>
    </w:rPr>
  </w:style>
  <w:style w:type="paragraph" w:customStyle="1" w:styleId="zSoquijdatRepertorie">
    <w:name w:val="zSoquij_datRepertorie"/>
    <w:basedOn w:val="zSoquijlblCour"/>
    <w:pPr>
      <w:spacing w:line="240" w:lineRule="auto"/>
      <w:jc w:val="left"/>
    </w:pPr>
    <w:rPr>
      <w:sz w:val="22"/>
    </w:rPr>
  </w:style>
  <w:style w:type="paragraph" w:customStyle="1" w:styleId="zSoquijdatRefNeutre">
    <w:name w:val="zSoquij_datRefNeutre"/>
    <w:basedOn w:val="zSoquijlblCour"/>
    <w:pPr>
      <w:spacing w:line="240" w:lineRule="auto"/>
      <w:jc w:val="left"/>
    </w:pPr>
    <w:rPr>
      <w:sz w:val="22"/>
    </w:rPr>
  </w:style>
  <w:style w:type="paragraph" w:customStyle="1" w:styleId="StylezSoquijdatRepertorie">
    <w:name w:val="Style zSoquij_datRepertorie"/>
    <w:basedOn w:val="zSoquijlblCour"/>
    <w:pPr>
      <w:jc w:val="left"/>
    </w:pPr>
    <w:rPr>
      <w:sz w:val="22"/>
    </w:rPr>
  </w:style>
  <w:style w:type="paragraph" w:styleId="Textedebulles">
    <w:name w:val="Balloon Text"/>
    <w:basedOn w:val="Normal"/>
    <w:link w:val="TextedebullesCar"/>
    <w:uiPriority w:val="99"/>
    <w:semiHidden/>
    <w:unhideWhenUsed/>
    <w:rsid w:val="001C0D6C"/>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C0D6C"/>
    <w:rPr>
      <w:rFonts w:ascii="Segoe UI" w:hAnsi="Segoe UI" w:cs="Segoe UI"/>
      <w:sz w:val="18"/>
      <w:szCs w:val="18"/>
      <w:lang w:val="en-CA" w:eastAsia="fr-FR"/>
    </w:rPr>
  </w:style>
  <w:style w:type="table" w:styleId="Grilledutableau">
    <w:name w:val="Table Grid"/>
    <w:basedOn w:val="TableauNormal"/>
    <w:uiPriority w:val="39"/>
    <w:rsid w:val="00D70EEF"/>
    <w:rPr>
      <w:rFonts w:ascii="Arial" w:eastAsiaTheme="minorHAnsi" w:hAnsi="Arial" w:cstheme="minorBidi"/>
      <w:sz w:val="24"/>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
    <w:name w:val="Note de bas de page Car"/>
    <w:aliases w:val=" Char1 Char1 Char Char Car, Char1 Char1 Char1 Car, Char1 Char2 Char Car, Char1 Char3 Car,Char1 Char1 Char Char Car,Char1 Char1 Char1 Car,Char1 Char2 Char Car,Footnote Text Char Char Char Car,Footnote Text Char Char1 Car,fn Car"/>
    <w:basedOn w:val="Policepardfaut"/>
    <w:link w:val="Notedebasdepage"/>
    <w:rsid w:val="00D70EEF"/>
    <w:rPr>
      <w:rFonts w:ascii="Arial" w:hAnsi="Arial"/>
      <w:lang w:val="en-CA" w:eastAsia="fr-FR"/>
    </w:rPr>
  </w:style>
  <w:style w:type="character" w:styleId="Hyperlien">
    <w:name w:val="Hyperlink"/>
    <w:uiPriority w:val="99"/>
    <w:rsid w:val="00D70EEF"/>
    <w:rPr>
      <w:noProof w:val="0"/>
      <w:color w:val="0000FF"/>
      <w:u w:val="single"/>
      <w:lang w:val="fr-CA"/>
    </w:rPr>
  </w:style>
  <w:style w:type="paragraph" w:styleId="Paragraphedeliste">
    <w:name w:val="List Paragraph"/>
    <w:basedOn w:val="Normal"/>
    <w:uiPriority w:val="34"/>
    <w:qFormat/>
    <w:rsid w:val="00D70EEF"/>
    <w:pPr>
      <w:ind w:left="720"/>
      <w:contextualSpacing/>
    </w:pPr>
  </w:style>
  <w:style w:type="character" w:styleId="Marquedecommentaire">
    <w:name w:val="annotation reference"/>
    <w:basedOn w:val="Policepardfaut"/>
    <w:uiPriority w:val="99"/>
    <w:semiHidden/>
    <w:unhideWhenUsed/>
    <w:rsid w:val="00D70EEF"/>
    <w:rPr>
      <w:sz w:val="16"/>
      <w:szCs w:val="16"/>
    </w:rPr>
  </w:style>
  <w:style w:type="paragraph" w:styleId="Commentaire">
    <w:name w:val="annotation text"/>
    <w:basedOn w:val="Normal"/>
    <w:link w:val="CommentaireCar"/>
    <w:uiPriority w:val="99"/>
    <w:semiHidden/>
    <w:unhideWhenUsed/>
    <w:rsid w:val="00D70EEF"/>
    <w:pPr>
      <w:spacing w:line="240" w:lineRule="auto"/>
    </w:pPr>
    <w:rPr>
      <w:sz w:val="20"/>
    </w:rPr>
  </w:style>
  <w:style w:type="character" w:customStyle="1" w:styleId="CommentaireCar">
    <w:name w:val="Commentaire Car"/>
    <w:basedOn w:val="Policepardfaut"/>
    <w:link w:val="Commentaire"/>
    <w:uiPriority w:val="99"/>
    <w:semiHidden/>
    <w:rsid w:val="00D70EEF"/>
    <w:rPr>
      <w:rFonts w:ascii="Arial" w:hAnsi="Arial"/>
      <w:lang w:val="en-CA" w:eastAsia="fr-FR"/>
    </w:rPr>
  </w:style>
  <w:style w:type="paragraph" w:styleId="Objetducommentaire">
    <w:name w:val="annotation subject"/>
    <w:basedOn w:val="Commentaire"/>
    <w:next w:val="Commentaire"/>
    <w:link w:val="ObjetducommentaireCar"/>
    <w:uiPriority w:val="99"/>
    <w:semiHidden/>
    <w:unhideWhenUsed/>
    <w:rsid w:val="00D70EEF"/>
    <w:rPr>
      <w:b/>
      <w:bCs/>
    </w:rPr>
  </w:style>
  <w:style w:type="character" w:customStyle="1" w:styleId="ObjetducommentaireCar">
    <w:name w:val="Objet du commentaire Car"/>
    <w:basedOn w:val="CommentaireCar"/>
    <w:link w:val="Objetducommentaire"/>
    <w:uiPriority w:val="99"/>
    <w:semiHidden/>
    <w:rsid w:val="00D70EEF"/>
    <w:rPr>
      <w:rFonts w:ascii="Arial" w:hAnsi="Arial"/>
      <w:b/>
      <w:bCs/>
      <w:lang w:val="en-CA" w:eastAsia="fr-FR"/>
    </w:rPr>
  </w:style>
  <w:style w:type="paragraph" w:styleId="Rvision">
    <w:name w:val="Revision"/>
    <w:hidden/>
    <w:uiPriority w:val="99"/>
    <w:semiHidden/>
    <w:rsid w:val="00D70EEF"/>
    <w:rPr>
      <w:rFonts w:ascii="Arial" w:hAnsi="Arial"/>
      <w:sz w:val="24"/>
      <w:lang w:val="en-CA" w:eastAsia="fr-FR"/>
    </w:rPr>
  </w:style>
  <w:style w:type="character" w:customStyle="1" w:styleId="Mentionnonrsolue1">
    <w:name w:val="Mention non résolue1"/>
    <w:basedOn w:val="Policepardfaut"/>
    <w:uiPriority w:val="99"/>
    <w:semiHidden/>
    <w:unhideWhenUsed/>
    <w:rsid w:val="00D70EEF"/>
    <w:rPr>
      <w:color w:val="605E5C"/>
      <w:shd w:val="clear" w:color="auto" w:fill="E1DFDD"/>
    </w:rPr>
  </w:style>
  <w:style w:type="paragraph" w:customStyle="1" w:styleId="title4leveltitre4niveau">
    <w:name w:val="title4leveltitre4niveau"/>
    <w:basedOn w:val="Normal"/>
    <w:rsid w:val="00A90F7A"/>
    <w:pPr>
      <w:spacing w:before="100" w:beforeAutospacing="1" w:after="100" w:afterAutospacing="1" w:line="240" w:lineRule="auto"/>
    </w:pPr>
    <w:rPr>
      <w:rFonts w:ascii="Times New Roman" w:hAnsi="Times New Roman"/>
      <w:szCs w:val="24"/>
      <w:lang w:val="fr-CA" w:eastAsia="fr-CA"/>
    </w:rPr>
  </w:style>
  <w:style w:type="paragraph" w:customStyle="1" w:styleId="paranondepar-altn">
    <w:name w:val="paranondepar-altn"/>
    <w:basedOn w:val="Normal"/>
    <w:rsid w:val="00A90F7A"/>
    <w:pPr>
      <w:spacing w:before="100" w:beforeAutospacing="1" w:after="100" w:afterAutospacing="1" w:line="240" w:lineRule="auto"/>
    </w:pPr>
    <w:rPr>
      <w:rFonts w:ascii="Times New Roman" w:hAnsi="Times New Roman"/>
      <w:szCs w:val="24"/>
      <w:lang w:val="fr-CA" w:eastAsia="fr-CA"/>
    </w:rPr>
  </w:style>
  <w:style w:type="paragraph" w:customStyle="1" w:styleId="1">
    <w:name w:val="1"/>
    <w:basedOn w:val="Normal"/>
    <w:rsid w:val="00A90F7A"/>
    <w:pPr>
      <w:spacing w:before="100" w:beforeAutospacing="1" w:after="100" w:afterAutospacing="1" w:line="240" w:lineRule="auto"/>
    </w:pPr>
    <w:rPr>
      <w:rFonts w:ascii="Times New Roman" w:hAnsi="Times New Roman"/>
      <w:szCs w:val="24"/>
      <w:lang w:val="fr-CA" w:eastAsia="fr-CA"/>
    </w:rPr>
  </w:style>
  <w:style w:type="paragraph" w:customStyle="1" w:styleId="Transcription">
    <w:name w:val="Transcription"/>
    <w:basedOn w:val="Normal"/>
    <w:rsid w:val="00A90F7A"/>
    <w:pPr>
      <w:spacing w:before="120" w:after="120"/>
      <w:ind w:right="72"/>
      <w:jc w:val="both"/>
    </w:pPr>
    <w:rPr>
      <w:rFonts w:ascii="Courier New" w:hAnsi="Courier New"/>
      <w:kern w:val="24"/>
      <w:sz w:val="22"/>
      <w:lang w:val="fr-CA"/>
    </w:rPr>
  </w:style>
  <w:style w:type="character" w:styleId="Textedelespacerserv">
    <w:name w:val="Placeholder Text"/>
    <w:basedOn w:val="Policepardfaut"/>
    <w:uiPriority w:val="99"/>
    <w:semiHidden/>
    <w:rsid w:val="004F7C11"/>
    <w:rPr>
      <w:color w:val="808080"/>
    </w:rPr>
  </w:style>
  <w:style w:type="character" w:styleId="Mentionnonrsolue">
    <w:name w:val="Unresolved Mention"/>
    <w:basedOn w:val="Policepardfaut"/>
    <w:uiPriority w:val="99"/>
    <w:semiHidden/>
    <w:unhideWhenUsed/>
    <w:rsid w:val="004641D0"/>
    <w:rPr>
      <w:color w:val="605E5C"/>
      <w:shd w:val="clear" w:color="auto" w:fill="E1DFDD"/>
    </w:rPr>
  </w:style>
  <w:style w:type="paragraph" w:styleId="Listepuces">
    <w:name w:val="List Bullet"/>
    <w:basedOn w:val="Normal"/>
    <w:uiPriority w:val="99"/>
    <w:unhideWhenUsed/>
    <w:rsid w:val="00072321"/>
    <w:pPr>
      <w:numPr>
        <w:numId w:val="9"/>
      </w:numPr>
      <w:contextualSpacing/>
    </w:pPr>
  </w:style>
  <w:style w:type="character" w:styleId="Lienvisit">
    <w:name w:val="FollowedHyperlink"/>
    <w:basedOn w:val="Policepardfaut"/>
    <w:uiPriority w:val="99"/>
    <w:semiHidden/>
    <w:unhideWhenUsed/>
    <w:rsid w:val="002D01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40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BB308-5C2E-47F3-872D-D0C4DE5E4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14725</Words>
  <Characters>74572</Characters>
  <Application>Microsoft Office Word</Application>
  <DocSecurity>0</DocSecurity>
  <Lines>621</Lines>
  <Paragraphs>178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2023-07-19T13:06:00Z</dcterms:created>
  <dcterms:modified xsi:type="dcterms:W3CDTF">2023-07-19T15:37:00Z</dcterms:modified>
</cp:coreProperties>
</file>