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C2B" w14:textId="5B05CB08" w:rsidR="00150063" w:rsidRDefault="00150063">
      <w:r>
        <w:t>Translated from the original French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71"/>
        <w:gridCol w:w="736"/>
        <w:gridCol w:w="992"/>
        <w:gridCol w:w="20"/>
        <w:gridCol w:w="4233"/>
        <w:gridCol w:w="2417"/>
      </w:tblGrid>
      <w:tr w:rsidR="00084D70" w14:paraId="4BAE6F2A" w14:textId="77777777" w:rsidTr="00ED03F0">
        <w:trPr>
          <w:trHeight w:val="360"/>
        </w:trPr>
        <w:tc>
          <w:tcPr>
            <w:tcW w:w="7088" w:type="dxa"/>
            <w:gridSpan w:val="6"/>
          </w:tcPr>
          <w:p w14:paraId="08298EB0" w14:textId="769FB463" w:rsidR="00084D70" w:rsidRDefault="00084D70" w:rsidP="00084D70">
            <w:pPr>
              <w:pStyle w:val="zSoquijdatRepertorie"/>
            </w:pPr>
            <w:r w:rsidRPr="002E78B9">
              <w:t>Tukkiapik c. R.</w:t>
            </w:r>
          </w:p>
        </w:tc>
        <w:tc>
          <w:tcPr>
            <w:tcW w:w="2417" w:type="dxa"/>
          </w:tcPr>
          <w:p w14:paraId="3D539CAD" w14:textId="67D822F0" w:rsidR="00084D70" w:rsidRPr="00F800D6" w:rsidRDefault="00084D70" w:rsidP="00084D70">
            <w:pPr>
              <w:pStyle w:val="zSoquijdatRefNeutre"/>
              <w:jc w:val="right"/>
            </w:pPr>
            <w:r w:rsidRPr="002E78B9">
              <w:t>2023 QCCQ 4758</w:t>
            </w:r>
          </w:p>
        </w:tc>
      </w:tr>
      <w:tr w:rsidR="002C00C4" w14:paraId="4EDB1833" w14:textId="77777777" w:rsidTr="00ED03F0">
        <w:trPr>
          <w:trHeight w:val="900"/>
        </w:trPr>
        <w:tc>
          <w:tcPr>
            <w:tcW w:w="9505" w:type="dxa"/>
            <w:gridSpan w:val="7"/>
            <w:vAlign w:val="bottom"/>
          </w:tcPr>
          <w:p w14:paraId="7DEB81AF" w14:textId="77777777" w:rsidR="002821A1" w:rsidRDefault="00084D70">
            <w:pPr>
              <w:pStyle w:val="zSoquijlblCour"/>
            </w:pPr>
            <w:r w:rsidRPr="00F800D6">
              <w:t xml:space="preserve">COURT </w:t>
            </w:r>
            <w:r w:rsidR="00FC7E6C" w:rsidRPr="00F800D6">
              <w:t>OF QU</w:t>
            </w:r>
            <w:r>
              <w:t>É</w:t>
            </w:r>
            <w:r w:rsidR="00FC7E6C" w:rsidRPr="00F800D6">
              <w:t>BEC</w:t>
            </w:r>
          </w:p>
        </w:tc>
      </w:tr>
      <w:tr w:rsidR="002C00C4" w14:paraId="1062F5C9" w14:textId="77777777" w:rsidTr="00ED03F0">
        <w:trPr>
          <w:trHeight w:val="540"/>
        </w:trPr>
        <w:tc>
          <w:tcPr>
            <w:tcW w:w="9505" w:type="dxa"/>
            <w:gridSpan w:val="7"/>
          </w:tcPr>
          <w:p w14:paraId="463C3FA8" w14:textId="77777777" w:rsidR="00D91EEA" w:rsidRPr="00F800D6" w:rsidRDefault="00D91EEA">
            <w:pPr>
              <w:pStyle w:val="zSoquijdatDivision"/>
            </w:pPr>
          </w:p>
        </w:tc>
      </w:tr>
      <w:tr w:rsidR="002C00C4" w14:paraId="10449495" w14:textId="77777777" w:rsidTr="00ED03F0">
        <w:tc>
          <w:tcPr>
            <w:tcW w:w="9505" w:type="dxa"/>
            <w:gridSpan w:val="7"/>
          </w:tcPr>
          <w:p w14:paraId="3F7BED1F" w14:textId="77777777" w:rsidR="002821A1" w:rsidRDefault="00084D70">
            <w:pPr>
              <w:pStyle w:val="zSoquijlblPays"/>
            </w:pPr>
            <w:r w:rsidRPr="00F800D6">
              <w:t>CANADA</w:t>
            </w:r>
          </w:p>
        </w:tc>
      </w:tr>
      <w:tr w:rsidR="002C00C4" w14:paraId="7E73BA6C" w14:textId="77777777" w:rsidTr="00ED03F0">
        <w:tc>
          <w:tcPr>
            <w:tcW w:w="9505" w:type="dxa"/>
            <w:gridSpan w:val="7"/>
          </w:tcPr>
          <w:p w14:paraId="3204D532" w14:textId="77777777" w:rsidR="002821A1" w:rsidRDefault="00084D70">
            <w:pPr>
              <w:pStyle w:val="zSoquijlblProvince"/>
            </w:pPr>
            <w:r w:rsidRPr="00F800D6">
              <w:t xml:space="preserve">PROVINCE </w:t>
            </w:r>
            <w:r w:rsidR="00FC7E6C" w:rsidRPr="00F800D6">
              <w:t xml:space="preserve">OF </w:t>
            </w:r>
            <w:r w:rsidRPr="00F800D6">
              <w:t>QU</w:t>
            </w:r>
            <w:r>
              <w:t>É</w:t>
            </w:r>
            <w:r w:rsidRPr="00F800D6">
              <w:t>BEC</w:t>
            </w:r>
          </w:p>
        </w:tc>
      </w:tr>
      <w:tr w:rsidR="002C00C4" w14:paraId="7D787457" w14:textId="77777777" w:rsidTr="00ED03F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843" w:type="dxa"/>
            <w:gridSpan w:val="3"/>
          </w:tcPr>
          <w:p w14:paraId="38C3CA94" w14:textId="77777777" w:rsidR="002821A1" w:rsidRDefault="00084D70">
            <w:pPr>
              <w:pStyle w:val="zSoquijlblGreffe"/>
            </w:pPr>
            <w:r w:rsidRPr="00F800D6">
              <w:t xml:space="preserve">DISTRICT </w:t>
            </w:r>
            <w:r w:rsidR="00FC7E6C" w:rsidRPr="00F800D6">
              <w:t>OF</w:t>
            </w:r>
          </w:p>
        </w:tc>
        <w:tc>
          <w:tcPr>
            <w:tcW w:w="7662" w:type="dxa"/>
            <w:gridSpan w:val="4"/>
          </w:tcPr>
          <w:p w14:paraId="4A3F67A8" w14:textId="77777777" w:rsidR="002821A1" w:rsidRDefault="00084D70" w:rsidP="00B4334B">
            <w:pPr>
              <w:pStyle w:val="zSoquijdatGreffe"/>
              <w:ind w:left="0"/>
            </w:pPr>
            <w:r w:rsidRPr="00F800D6">
              <w:t>ABITIBI</w:t>
            </w:r>
          </w:p>
        </w:tc>
      </w:tr>
      <w:tr w:rsidR="002C00C4" w14:paraId="1E23E385" w14:textId="77777777" w:rsidTr="00ED03F0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843" w:type="dxa"/>
            <w:gridSpan w:val="3"/>
          </w:tcPr>
          <w:p w14:paraId="1114256B" w14:textId="77777777" w:rsidR="002821A1" w:rsidRDefault="00084D70">
            <w:pPr>
              <w:pStyle w:val="zSoquijlblLocalite"/>
            </w:pPr>
            <w:r w:rsidRPr="00F800D6">
              <w:t xml:space="preserve">LOCATION </w:t>
            </w:r>
            <w:r>
              <w:t>OF</w:t>
            </w:r>
          </w:p>
        </w:tc>
        <w:tc>
          <w:tcPr>
            <w:tcW w:w="7662" w:type="dxa"/>
            <w:gridSpan w:val="4"/>
          </w:tcPr>
          <w:p w14:paraId="4CEC3E6E" w14:textId="77777777" w:rsidR="002821A1" w:rsidRDefault="00084D70" w:rsidP="00B4334B">
            <w:pPr>
              <w:pStyle w:val="zSoquijdatLocalite"/>
              <w:ind w:left="0"/>
            </w:pPr>
            <w:r w:rsidRPr="00F800D6">
              <w:t>KANGIRSUK</w:t>
            </w:r>
          </w:p>
        </w:tc>
      </w:tr>
      <w:tr w:rsidR="002C00C4" w14:paraId="568A1491" w14:textId="77777777" w:rsidTr="00ED03F0">
        <w:trPr>
          <w:trHeight w:val="540"/>
        </w:trPr>
        <w:tc>
          <w:tcPr>
            <w:tcW w:w="9505" w:type="dxa"/>
            <w:gridSpan w:val="7"/>
          </w:tcPr>
          <w:p w14:paraId="61DC2BD2" w14:textId="77777777" w:rsidR="002821A1" w:rsidRDefault="00084D70">
            <w:pPr>
              <w:pStyle w:val="zSoquijlblNomChambre"/>
              <w:rPr>
                <w:lang w:val="fr-CA"/>
              </w:rPr>
            </w:pPr>
            <w:r w:rsidRPr="00F800D6">
              <w:t>Criminal Division</w:t>
            </w:r>
          </w:p>
        </w:tc>
      </w:tr>
      <w:tr w:rsidR="002C00C4" w14:paraId="2D73E928" w14:textId="77777777" w:rsidTr="00ED03F0">
        <w:tc>
          <w:tcPr>
            <w:tcW w:w="1107" w:type="dxa"/>
            <w:gridSpan w:val="2"/>
          </w:tcPr>
          <w:p w14:paraId="0A43F37E" w14:textId="77777777" w:rsidR="002821A1" w:rsidRDefault="00084D70">
            <w:pPr>
              <w:pStyle w:val="zSoquijlblNoDossier"/>
            </w:pPr>
            <w:r w:rsidRPr="00F800D6">
              <w:t>N° :</w:t>
            </w:r>
          </w:p>
        </w:tc>
        <w:tc>
          <w:tcPr>
            <w:tcW w:w="8398" w:type="dxa"/>
            <w:gridSpan w:val="5"/>
          </w:tcPr>
          <w:p w14:paraId="6BE0E311" w14:textId="77777777" w:rsidR="002821A1" w:rsidRDefault="00084D70">
            <w:pPr>
              <w:pStyle w:val="zSoquijdatNoDossier"/>
            </w:pPr>
            <w:r w:rsidRPr="00F800D6">
              <w:t>635-01-020425-212</w:t>
            </w:r>
          </w:p>
        </w:tc>
      </w:tr>
      <w:tr w:rsidR="002C00C4" w14:paraId="5286EB2C" w14:textId="77777777" w:rsidTr="00ED03F0">
        <w:trPr>
          <w:cantSplit/>
          <w:trHeight w:val="235"/>
        </w:trPr>
        <w:tc>
          <w:tcPr>
            <w:tcW w:w="9505" w:type="dxa"/>
            <w:gridSpan w:val="7"/>
          </w:tcPr>
          <w:p w14:paraId="52C45F40" w14:textId="77777777" w:rsidR="00D91EEA" w:rsidRPr="00F800D6" w:rsidRDefault="00D91EEA"/>
        </w:tc>
      </w:tr>
      <w:tr w:rsidR="002C00C4" w14:paraId="1BFDAFEC" w14:textId="77777777" w:rsidTr="00ED03F0">
        <w:tc>
          <w:tcPr>
            <w:tcW w:w="1036" w:type="dxa"/>
          </w:tcPr>
          <w:p w14:paraId="1CF8D76B" w14:textId="77777777" w:rsidR="002821A1" w:rsidRDefault="00084D70">
            <w:pPr>
              <w:pStyle w:val="zSoquijlblDateJugement"/>
            </w:pPr>
            <w:r w:rsidRPr="00F800D6">
              <w:t>DATE:</w:t>
            </w:r>
          </w:p>
        </w:tc>
        <w:tc>
          <w:tcPr>
            <w:tcW w:w="8469" w:type="dxa"/>
            <w:gridSpan w:val="6"/>
          </w:tcPr>
          <w:p w14:paraId="116CF4F2" w14:textId="77777777" w:rsidR="002821A1" w:rsidRDefault="00084D70">
            <w:pPr>
              <w:pStyle w:val="zSoquijdatDateJugement"/>
              <w:rPr>
                <w:lang w:val="fr-CA"/>
              </w:rPr>
            </w:pPr>
            <w:r w:rsidRPr="00F800D6">
              <w:t>June 19, 2023</w:t>
            </w:r>
            <w:r>
              <w:rPr>
                <w:rStyle w:val="Appelnotedebasdep"/>
                <w:b/>
                <w:bCs/>
                <w:lang w:val="fr-CA"/>
              </w:rPr>
              <w:footnoteReference w:id="1"/>
            </w:r>
          </w:p>
        </w:tc>
      </w:tr>
      <w:tr w:rsidR="002C00C4" w14:paraId="76A5B86E" w14:textId="77777777" w:rsidTr="00ED03F0">
        <w:tc>
          <w:tcPr>
            <w:tcW w:w="9505" w:type="dxa"/>
            <w:gridSpan w:val="7"/>
          </w:tcPr>
          <w:p w14:paraId="6E52B990" w14:textId="77777777" w:rsidR="002821A1" w:rsidRDefault="00084D70">
            <w:pPr>
              <w:ind w:left="14" w:right="-67"/>
            </w:pPr>
            <w:r w:rsidRPr="00F800D6">
              <w:t>______________________________________________________________________</w:t>
            </w:r>
          </w:p>
        </w:tc>
      </w:tr>
      <w:tr w:rsidR="002C00C4" w14:paraId="1A8ECA64" w14:textId="77777777" w:rsidTr="00ED03F0">
        <w:tc>
          <w:tcPr>
            <w:tcW w:w="9505" w:type="dxa"/>
            <w:gridSpan w:val="7"/>
          </w:tcPr>
          <w:p w14:paraId="4EA13C30" w14:textId="77777777" w:rsidR="00D91EEA" w:rsidRPr="00F800D6" w:rsidRDefault="00D91EEA"/>
        </w:tc>
      </w:tr>
      <w:tr w:rsidR="002C00C4" w:rsidRPr="00150063" w14:paraId="07E1CD12" w14:textId="77777777" w:rsidTr="00ED03F0">
        <w:tblPrEx>
          <w:tblCellMar>
            <w:left w:w="0" w:type="dxa"/>
            <w:right w:w="0" w:type="dxa"/>
          </w:tblCellMar>
        </w:tblPrEx>
        <w:tc>
          <w:tcPr>
            <w:tcW w:w="2835" w:type="dxa"/>
            <w:gridSpan w:val="4"/>
          </w:tcPr>
          <w:p w14:paraId="72F726B5" w14:textId="77777777" w:rsidR="002821A1" w:rsidRDefault="00084D70" w:rsidP="00ED03F0">
            <w:pPr>
              <w:pStyle w:val="zSoquijlblJuge"/>
            </w:pPr>
            <w:r>
              <w:t>BY THE HONO</w:t>
            </w:r>
            <w:r w:rsidR="0035178B">
              <w:t>U</w:t>
            </w:r>
            <w:r>
              <w:t xml:space="preserve">RABLE </w:t>
            </w:r>
          </w:p>
        </w:tc>
        <w:tc>
          <w:tcPr>
            <w:tcW w:w="20" w:type="dxa"/>
          </w:tcPr>
          <w:p w14:paraId="0E94D96E" w14:textId="77777777" w:rsidR="002821A1" w:rsidRDefault="002821A1" w:rsidP="006A2C86">
            <w:pPr>
              <w:pStyle w:val="zSoquijdatQteJuge"/>
              <w:ind w:left="0"/>
            </w:pPr>
          </w:p>
        </w:tc>
        <w:tc>
          <w:tcPr>
            <w:tcW w:w="6650" w:type="dxa"/>
            <w:gridSpan w:val="2"/>
          </w:tcPr>
          <w:p w14:paraId="7F66052F" w14:textId="77777777" w:rsidR="002821A1" w:rsidRDefault="00084D70" w:rsidP="006A2C86">
            <w:pPr>
              <w:pStyle w:val="zSoquijdatJuge"/>
              <w:ind w:left="0"/>
              <w:rPr>
                <w:lang w:val="fr-CA"/>
              </w:rPr>
            </w:pPr>
            <w:r>
              <w:rPr>
                <w:lang w:val="fr-CA"/>
              </w:rPr>
              <w:t>NATHALIE SAMSON</w:t>
            </w:r>
            <w:r w:rsidR="00FF35DB">
              <w:rPr>
                <w:lang w:val="fr-CA"/>
              </w:rPr>
              <w:t>,</w:t>
            </w:r>
            <w:r>
              <w:rPr>
                <w:lang w:val="fr-CA"/>
              </w:rPr>
              <w:t xml:space="preserve"> </w:t>
            </w:r>
            <w:r w:rsidRPr="00F800D6">
              <w:rPr>
                <w:lang w:val="fr-CA"/>
              </w:rPr>
              <w:t>J.C.Q.</w:t>
            </w:r>
          </w:p>
        </w:tc>
      </w:tr>
      <w:tr w:rsidR="002C00C4" w:rsidRPr="00150063" w14:paraId="0FEDF3D2" w14:textId="77777777" w:rsidTr="00ED03F0">
        <w:tc>
          <w:tcPr>
            <w:tcW w:w="9505" w:type="dxa"/>
            <w:gridSpan w:val="7"/>
          </w:tcPr>
          <w:p w14:paraId="7C84DBB7" w14:textId="77777777" w:rsidR="00D91EEA" w:rsidRPr="00F800D6" w:rsidRDefault="00D91EEA" w:rsidP="006A2C86">
            <w:pPr>
              <w:pStyle w:val="zSoquijlblAssesseurs"/>
              <w:ind w:left="0"/>
              <w:rPr>
                <w:lang w:val="fr-CA"/>
              </w:rPr>
            </w:pPr>
          </w:p>
        </w:tc>
      </w:tr>
      <w:tr w:rsidR="002C00C4" w14:paraId="0234AD81" w14:textId="77777777" w:rsidTr="00ED03F0">
        <w:tc>
          <w:tcPr>
            <w:tcW w:w="9505" w:type="dxa"/>
            <w:gridSpan w:val="7"/>
          </w:tcPr>
          <w:p w14:paraId="36AF67FA" w14:textId="77777777" w:rsidR="002821A1" w:rsidRDefault="00084D70">
            <w:pPr>
              <w:ind w:left="14" w:right="-67"/>
            </w:pPr>
            <w:r w:rsidRPr="00F800D6">
              <w:t>____________________________________________________________________</w:t>
            </w:r>
          </w:p>
        </w:tc>
      </w:tr>
      <w:tr w:rsidR="002C00C4" w14:paraId="65E27C3B" w14:textId="77777777" w:rsidTr="00ED03F0">
        <w:tc>
          <w:tcPr>
            <w:tcW w:w="9505" w:type="dxa"/>
            <w:gridSpan w:val="7"/>
          </w:tcPr>
          <w:p w14:paraId="39F0CC82" w14:textId="77777777" w:rsidR="00D91EEA" w:rsidRPr="00F800D6" w:rsidRDefault="00D91EEA">
            <w:pPr>
              <w:pStyle w:val="zSoquijlblTitrePartie"/>
            </w:pPr>
          </w:p>
        </w:tc>
      </w:tr>
      <w:tr w:rsidR="002C00C4" w14:paraId="6535FA3A" w14:textId="77777777" w:rsidTr="00ED03F0">
        <w:tc>
          <w:tcPr>
            <w:tcW w:w="9505" w:type="dxa"/>
            <w:gridSpan w:val="7"/>
          </w:tcPr>
          <w:p w14:paraId="3CC4CE95" w14:textId="77777777" w:rsidR="00D91EEA" w:rsidRPr="00F800D6" w:rsidRDefault="00D91EEA"/>
        </w:tc>
      </w:tr>
      <w:tr w:rsidR="002C00C4" w14:paraId="7C71FCCE" w14:textId="77777777" w:rsidTr="00ED03F0">
        <w:tc>
          <w:tcPr>
            <w:tcW w:w="9505" w:type="dxa"/>
            <w:gridSpan w:val="7"/>
          </w:tcPr>
          <w:p w14:paraId="62CD6393" w14:textId="77777777" w:rsidR="002821A1" w:rsidRDefault="00084D70">
            <w:pPr>
              <w:pStyle w:val="zSoquijdatNomPartieDem"/>
              <w:rPr>
                <w:caps/>
              </w:rPr>
            </w:pPr>
            <w:r w:rsidRPr="00F800D6">
              <w:rPr>
                <w:caps/>
              </w:rPr>
              <w:t>Johnny Tukkiapik</w:t>
            </w:r>
          </w:p>
        </w:tc>
      </w:tr>
      <w:tr w:rsidR="002C00C4" w14:paraId="5A58F659" w14:textId="77777777" w:rsidTr="00ED03F0">
        <w:tc>
          <w:tcPr>
            <w:tcW w:w="9505" w:type="dxa"/>
            <w:gridSpan w:val="7"/>
          </w:tcPr>
          <w:p w14:paraId="3BFC5516" w14:textId="77777777" w:rsidR="002821A1" w:rsidRDefault="00084D70">
            <w:pPr>
              <w:pStyle w:val="zSoquijdatQtePartieDem"/>
            </w:pPr>
            <w:r w:rsidRPr="00F800D6">
              <w:t>A</w:t>
            </w:r>
            <w:r w:rsidR="00E44FD9">
              <w:t>pplicant</w:t>
            </w:r>
            <w:r w:rsidR="0013080D">
              <w:t>-</w:t>
            </w:r>
            <w:r w:rsidR="005D1895">
              <w:t>A</w:t>
            </w:r>
            <w:r w:rsidR="0013080D">
              <w:t>ccused</w:t>
            </w:r>
          </w:p>
        </w:tc>
      </w:tr>
      <w:tr w:rsidR="002C00C4" w14:paraId="7D2E2B2A" w14:textId="77777777" w:rsidTr="00ED03F0">
        <w:tc>
          <w:tcPr>
            <w:tcW w:w="9505" w:type="dxa"/>
            <w:gridSpan w:val="7"/>
          </w:tcPr>
          <w:p w14:paraId="21EF8781" w14:textId="77777777" w:rsidR="002821A1" w:rsidRDefault="00084D70">
            <w:pPr>
              <w:pStyle w:val="zSoquijlblLienParties"/>
            </w:pPr>
            <w:r w:rsidRPr="00F800D6">
              <w:t>v.</w:t>
            </w:r>
          </w:p>
        </w:tc>
      </w:tr>
      <w:tr w:rsidR="002C00C4" w14:paraId="3FA9806A" w14:textId="77777777" w:rsidTr="00ED03F0">
        <w:tc>
          <w:tcPr>
            <w:tcW w:w="9505" w:type="dxa"/>
            <w:gridSpan w:val="7"/>
          </w:tcPr>
          <w:p w14:paraId="6F3AD926" w14:textId="77777777" w:rsidR="002821A1" w:rsidRDefault="00084D70">
            <w:pPr>
              <w:pStyle w:val="zSoquijdatNomPartieDef"/>
            </w:pPr>
            <w:r w:rsidRPr="00F800D6">
              <w:t>HIS MAJESTY THE KING</w:t>
            </w:r>
          </w:p>
        </w:tc>
      </w:tr>
      <w:tr w:rsidR="002C00C4" w14:paraId="56E880EF" w14:textId="77777777" w:rsidTr="00ED03F0">
        <w:tc>
          <w:tcPr>
            <w:tcW w:w="9505" w:type="dxa"/>
            <w:gridSpan w:val="7"/>
          </w:tcPr>
          <w:p w14:paraId="64B034DA" w14:textId="77777777" w:rsidR="002821A1" w:rsidRDefault="00084D70">
            <w:pPr>
              <w:pStyle w:val="zSoquijdatQtePartieDef"/>
            </w:pPr>
            <w:r>
              <w:t>R</w:t>
            </w:r>
            <w:r w:rsidR="00E44FD9">
              <w:t>espondent</w:t>
            </w:r>
            <w:r w:rsidR="0013080D">
              <w:t>-</w:t>
            </w:r>
            <w:r w:rsidR="005D1895">
              <w:t>P</w:t>
            </w:r>
            <w:r w:rsidR="0013080D">
              <w:t>rosecutor</w:t>
            </w:r>
          </w:p>
        </w:tc>
      </w:tr>
      <w:tr w:rsidR="002C00C4" w14:paraId="1C4F9D10" w14:textId="77777777" w:rsidTr="00ED03F0">
        <w:tc>
          <w:tcPr>
            <w:tcW w:w="9505" w:type="dxa"/>
            <w:gridSpan w:val="7"/>
          </w:tcPr>
          <w:p w14:paraId="30A746B0" w14:textId="77777777" w:rsidR="00D91EEA" w:rsidRPr="00F800D6" w:rsidRDefault="00D91EEA">
            <w:pPr>
              <w:ind w:left="14" w:right="-95"/>
            </w:pPr>
          </w:p>
        </w:tc>
      </w:tr>
      <w:tr w:rsidR="002C00C4" w14:paraId="56610CC1" w14:textId="77777777" w:rsidTr="00ED03F0">
        <w:tc>
          <w:tcPr>
            <w:tcW w:w="9505" w:type="dxa"/>
            <w:gridSpan w:val="7"/>
          </w:tcPr>
          <w:p w14:paraId="35494176" w14:textId="77777777" w:rsidR="00D91EEA" w:rsidRPr="00F800D6" w:rsidRDefault="00D91EEA">
            <w:pPr>
              <w:ind w:left="14" w:right="-95"/>
            </w:pPr>
          </w:p>
        </w:tc>
      </w:tr>
      <w:tr w:rsidR="002C00C4" w14:paraId="1A650B66" w14:textId="77777777" w:rsidTr="00ED03F0">
        <w:tc>
          <w:tcPr>
            <w:tcW w:w="9505" w:type="dxa"/>
            <w:gridSpan w:val="7"/>
          </w:tcPr>
          <w:p w14:paraId="64332D7D" w14:textId="77777777" w:rsidR="002821A1" w:rsidRDefault="00084D70">
            <w:pPr>
              <w:ind w:left="14" w:right="-95"/>
            </w:pPr>
            <w:r w:rsidRPr="00F800D6">
              <w:t>______________________________________________________________________</w:t>
            </w:r>
          </w:p>
        </w:tc>
      </w:tr>
      <w:tr w:rsidR="002C00C4" w14:paraId="25B7C498" w14:textId="77777777" w:rsidTr="00ED03F0">
        <w:tc>
          <w:tcPr>
            <w:tcW w:w="9505" w:type="dxa"/>
            <w:gridSpan w:val="7"/>
          </w:tcPr>
          <w:p w14:paraId="31730C9E" w14:textId="77777777" w:rsidR="00D91EEA" w:rsidRPr="00F800D6" w:rsidRDefault="00D91EEA">
            <w:pPr>
              <w:jc w:val="center"/>
            </w:pPr>
          </w:p>
        </w:tc>
      </w:tr>
      <w:tr w:rsidR="002C00C4" w14:paraId="42FDD37D" w14:textId="77777777" w:rsidTr="00ED03F0">
        <w:tc>
          <w:tcPr>
            <w:tcW w:w="9505" w:type="dxa"/>
            <w:gridSpan w:val="7"/>
          </w:tcPr>
          <w:p w14:paraId="15FDC1BB" w14:textId="77777777" w:rsidR="002821A1" w:rsidRPr="006A2C86" w:rsidRDefault="00084D70">
            <w:pPr>
              <w:pStyle w:val="zSoquijlblTypeDocument"/>
              <w:rPr>
                <w:b/>
                <w:bCs/>
              </w:rPr>
            </w:pPr>
            <w:r w:rsidRPr="006A2C86">
              <w:rPr>
                <w:b/>
                <w:bCs/>
              </w:rPr>
              <w:t xml:space="preserve">JUDGMENT </w:t>
            </w:r>
            <w:r w:rsidR="006A2C86">
              <w:rPr>
                <w:b/>
                <w:bCs/>
              </w:rPr>
              <w:t xml:space="preserve">ON </w:t>
            </w:r>
            <w:r w:rsidR="007504AE">
              <w:rPr>
                <w:b/>
                <w:bCs/>
              </w:rPr>
              <w:t xml:space="preserve">AN </w:t>
            </w:r>
            <w:r w:rsidR="006A2C86">
              <w:rPr>
                <w:b/>
                <w:bCs/>
              </w:rPr>
              <w:t xml:space="preserve">APPLICATION TO STAY PROCEEDINGS </w:t>
            </w:r>
            <w:r w:rsidR="007504AE">
              <w:rPr>
                <w:b/>
                <w:bCs/>
              </w:rPr>
              <w:t xml:space="preserve">FOR UNREASONABLE </w:t>
            </w:r>
            <w:r w:rsidR="006A2C86">
              <w:rPr>
                <w:b/>
                <w:bCs/>
              </w:rPr>
              <w:t>DELAY</w:t>
            </w:r>
            <w:r w:rsidR="007504AE">
              <w:rPr>
                <w:b/>
                <w:bCs/>
              </w:rPr>
              <w:t xml:space="preserve"> </w:t>
            </w:r>
          </w:p>
        </w:tc>
      </w:tr>
      <w:tr w:rsidR="002C00C4" w14:paraId="0F0A4895" w14:textId="77777777" w:rsidTr="00ED03F0">
        <w:tc>
          <w:tcPr>
            <w:tcW w:w="9505" w:type="dxa"/>
            <w:gridSpan w:val="7"/>
          </w:tcPr>
          <w:p w14:paraId="1EA730DD" w14:textId="77777777" w:rsidR="002821A1" w:rsidRDefault="00084D70">
            <w:pPr>
              <w:ind w:left="14" w:right="-70"/>
            </w:pPr>
            <w:r w:rsidRPr="00F800D6">
              <w:t>______________________________________________________________________</w:t>
            </w:r>
          </w:p>
        </w:tc>
      </w:tr>
      <w:tr w:rsidR="002C00C4" w14:paraId="49F3CA08" w14:textId="77777777" w:rsidTr="00ED03F0">
        <w:tc>
          <w:tcPr>
            <w:tcW w:w="9505" w:type="dxa"/>
            <w:gridSpan w:val="7"/>
          </w:tcPr>
          <w:p w14:paraId="188F3BBF" w14:textId="77777777" w:rsidR="00D91EEA" w:rsidRPr="00F800D6" w:rsidRDefault="00D91EEA"/>
        </w:tc>
      </w:tr>
    </w:tbl>
    <w:p w14:paraId="289A5EDD" w14:textId="77777777" w:rsidR="002821A1" w:rsidRDefault="00084D70">
      <w:pPr>
        <w:pStyle w:val="Titre4"/>
      </w:pPr>
      <w:r>
        <w:t>OVERVIEW</w:t>
      </w:r>
    </w:p>
    <w:p w14:paraId="4536027A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 xml:space="preserve">The </w:t>
      </w:r>
      <w:r w:rsidR="00882F93">
        <w:t>Court</w:t>
      </w:r>
      <w:r w:rsidRPr="006A2C86">
        <w:t xml:space="preserve"> </w:t>
      </w:r>
      <w:r w:rsidR="00AD72E4" w:rsidRPr="006A2C86">
        <w:t>must rule on a</w:t>
      </w:r>
      <w:r w:rsidR="0077504B">
        <w:t>n application</w:t>
      </w:r>
      <w:r w:rsidR="00AD72E4" w:rsidRPr="006A2C86">
        <w:t xml:space="preserve"> for a stay of proceedings</w:t>
      </w:r>
      <w:r w:rsidR="006A2C86">
        <w:t xml:space="preserve"> filed by the </w:t>
      </w:r>
      <w:r w:rsidR="00B158E8">
        <w:t>applicant-</w:t>
      </w:r>
      <w:r w:rsidR="0013080D">
        <w:t>accused</w:t>
      </w:r>
      <w:r w:rsidR="00B158E8">
        <w:t xml:space="preserve"> (the accused)</w:t>
      </w:r>
      <w:r w:rsidR="00AD72E4" w:rsidRPr="006A2C86">
        <w:t>, who alleges unreasonable delays.</w:t>
      </w:r>
    </w:p>
    <w:p w14:paraId="4409D305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lastRenderedPageBreak/>
        <w:t xml:space="preserve">The </w:t>
      </w:r>
      <w:r w:rsidR="0013080D">
        <w:t>accused</w:t>
      </w:r>
      <w:r w:rsidRPr="006A2C86">
        <w:t xml:space="preserve"> lives in </w:t>
      </w:r>
      <w:r w:rsidR="007504AE">
        <w:t xml:space="preserve">Kangirsuk, </w:t>
      </w:r>
      <w:r w:rsidRPr="006A2C86">
        <w:t xml:space="preserve">a small community on Ungava Bay, where the itinerant </w:t>
      </w:r>
      <w:r w:rsidR="00256325" w:rsidRPr="006A2C86">
        <w:t xml:space="preserve">court travels </w:t>
      </w:r>
      <w:r w:rsidRPr="006A2C86">
        <w:t xml:space="preserve">about three times a </w:t>
      </w:r>
      <w:r w:rsidR="001533B6" w:rsidRPr="006A2C86">
        <w:t xml:space="preserve">year. Generally, the </w:t>
      </w:r>
      <w:r w:rsidR="00256325" w:rsidRPr="006A2C86">
        <w:t xml:space="preserve">court </w:t>
      </w:r>
      <w:r w:rsidR="001533B6" w:rsidRPr="006A2C86">
        <w:t xml:space="preserve">travels </w:t>
      </w:r>
      <w:r w:rsidR="00E71A0C" w:rsidRPr="006A2C86">
        <w:t xml:space="preserve">to </w:t>
      </w:r>
      <w:r w:rsidR="001533B6" w:rsidRPr="006A2C86">
        <w:t xml:space="preserve">Kuujjuaq, and one or two days </w:t>
      </w:r>
      <w:r w:rsidR="00E71A0C" w:rsidRPr="006A2C86">
        <w:t xml:space="preserve">a week are </w:t>
      </w:r>
      <w:r w:rsidR="001533B6" w:rsidRPr="006A2C86">
        <w:t xml:space="preserve">selected to travel </w:t>
      </w:r>
      <w:r w:rsidR="00E71A0C" w:rsidRPr="006A2C86">
        <w:t>to a community</w:t>
      </w:r>
      <w:r w:rsidR="005513F2" w:rsidRPr="006A2C86">
        <w:t>.</w:t>
      </w:r>
    </w:p>
    <w:p w14:paraId="47F13258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 xml:space="preserve">On June 16, 2021, a charge of sexual assault was filed against the </w:t>
      </w:r>
      <w:r w:rsidR="0013080D">
        <w:t>accused</w:t>
      </w:r>
      <w:r w:rsidRPr="006A2C86">
        <w:t>, and his trial was set for August 15, 2023</w:t>
      </w:r>
      <w:r w:rsidR="005513F2" w:rsidRPr="006A2C86">
        <w:t>.</w:t>
      </w:r>
    </w:p>
    <w:p w14:paraId="0B253768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 xml:space="preserve">The </w:t>
      </w:r>
      <w:r w:rsidR="00B158E8">
        <w:t>respondent-</w:t>
      </w:r>
      <w:r w:rsidRPr="006A2C86">
        <w:t>prosecut</w:t>
      </w:r>
      <w:r w:rsidR="00B4334B">
        <w:t>or</w:t>
      </w:r>
      <w:r w:rsidR="00B158E8">
        <w:t xml:space="preserve"> (the prosecut</w:t>
      </w:r>
      <w:r w:rsidR="000A15B5">
        <w:t>ion</w:t>
      </w:r>
      <w:r w:rsidR="00B158E8">
        <w:t>)</w:t>
      </w:r>
      <w:r w:rsidRPr="006A2C86">
        <w:t xml:space="preserve"> argues that several delays </w:t>
      </w:r>
      <w:r w:rsidR="00074EE2">
        <w:t>are</w:t>
      </w:r>
      <w:r w:rsidRPr="006A2C86">
        <w:t xml:space="preserve"> attributable to th</w:t>
      </w:r>
      <w:r w:rsidR="00A36109">
        <w:t>e defence</w:t>
      </w:r>
      <w:r w:rsidR="00634225">
        <w:t xml:space="preserve">, </w:t>
      </w:r>
      <w:r w:rsidR="00074EE2">
        <w:t>due to</w:t>
      </w:r>
      <w:r w:rsidR="00AD72E4" w:rsidRPr="006A2C86">
        <w:t xml:space="preserve"> actions or inaction on its part</w:t>
      </w:r>
      <w:r w:rsidRPr="006A2C86">
        <w:t xml:space="preserve">. In addition, it alleges that a certain number of days should be deducted from the total </w:t>
      </w:r>
      <w:r w:rsidR="00074EE2">
        <w:t>because</w:t>
      </w:r>
      <w:r w:rsidRPr="006A2C86">
        <w:t xml:space="preserve"> of the existence of a distinct event. </w:t>
      </w:r>
    </w:p>
    <w:p w14:paraId="2DCB57AA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>On the morning of the hearing</w:t>
      </w:r>
      <w:r w:rsidR="00B16ADF" w:rsidRPr="006A2C86">
        <w:t xml:space="preserve">, </w:t>
      </w:r>
      <w:r w:rsidRPr="006A2C86">
        <w:t>the prosecut</w:t>
      </w:r>
      <w:r w:rsidR="000A15B5">
        <w:t>ion</w:t>
      </w:r>
      <w:r w:rsidR="00A36109">
        <w:t xml:space="preserve"> </w:t>
      </w:r>
      <w:r w:rsidRPr="006A2C86">
        <w:t xml:space="preserve">withdrew its motion for summary dismissal of the motion for </w:t>
      </w:r>
      <w:r w:rsidR="00074EE2">
        <w:t xml:space="preserve">a </w:t>
      </w:r>
      <w:r w:rsidRPr="006A2C86">
        <w:t xml:space="preserve">stay of proceedings on the grounds that the file was now complete and that the parties were ready to proceed on the motion for unreasonable delay. </w:t>
      </w:r>
    </w:p>
    <w:p w14:paraId="6CEEE827" w14:textId="77777777" w:rsidR="002821A1" w:rsidRPr="006A2C86" w:rsidRDefault="00084D70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  <w:r w:rsidRPr="006A2C86">
        <w:rPr>
          <w:b/>
          <w:bCs/>
        </w:rPr>
        <w:t>THE FACTS ADMITTED BY THE PARTIES</w:t>
      </w:r>
    </w:p>
    <w:p w14:paraId="244D0061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>The ceiling applicable in this case is 18 months</w:t>
      </w:r>
      <w:r w:rsidR="00454F0F">
        <w:t xml:space="preserve"> </w:t>
      </w:r>
      <w:r w:rsidRPr="006A2C86">
        <w:t xml:space="preserve">since the </w:t>
      </w:r>
      <w:r w:rsidR="00B158E8">
        <w:t>accused</w:t>
      </w:r>
      <w:r w:rsidRPr="006A2C86">
        <w:t xml:space="preserve"> opted quickly for a trial before a provincial </w:t>
      </w:r>
      <w:r w:rsidR="00256325" w:rsidRPr="006A2C86">
        <w:t xml:space="preserve">court </w:t>
      </w:r>
      <w:r w:rsidRPr="006A2C86">
        <w:t xml:space="preserve">judge. </w:t>
      </w:r>
    </w:p>
    <w:p w14:paraId="39144568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 xml:space="preserve">The time between the filing of the indictment and the scheduled trial date is 790 days, or </w:t>
      </w:r>
      <w:r w:rsidR="00074EE2">
        <w:t>about</w:t>
      </w:r>
      <w:r w:rsidR="00074EE2" w:rsidRPr="006A2C86">
        <w:t xml:space="preserve"> </w:t>
      </w:r>
      <w:r w:rsidRPr="006A2C86">
        <w:t>26 months.</w:t>
      </w:r>
    </w:p>
    <w:p w14:paraId="59B77B26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 xml:space="preserve">This is not a particularly complex issue. </w:t>
      </w:r>
    </w:p>
    <w:p w14:paraId="6EFC4EDF" w14:textId="77777777" w:rsidR="002821A1" w:rsidRPr="006A2C86" w:rsidRDefault="00084D70">
      <w:pPr>
        <w:pStyle w:val="Paragraphe"/>
        <w:tabs>
          <w:tab w:val="clear" w:pos="360"/>
        </w:tabs>
        <w:spacing w:line="240" w:lineRule="auto"/>
      </w:pPr>
      <w:r w:rsidRPr="006A2C86">
        <w:t xml:space="preserve">The </w:t>
      </w:r>
      <w:r w:rsidR="0013080D">
        <w:t>accused</w:t>
      </w:r>
      <w:r w:rsidRPr="006A2C86">
        <w:t xml:space="preserve"> has been represented by </w:t>
      </w:r>
      <w:r w:rsidR="00B16ADF" w:rsidRPr="006A2C86">
        <w:t xml:space="preserve">three </w:t>
      </w:r>
      <w:r w:rsidRPr="006A2C86">
        <w:t>different lawyers in this case, the second having</w:t>
      </w:r>
      <w:r w:rsidR="00852631">
        <w:t xml:space="preserve"> to withdraw</w:t>
      </w:r>
      <w:r w:rsidRPr="006A2C86">
        <w:t xml:space="preserve"> due to a conflict of </w:t>
      </w:r>
      <w:r w:rsidR="005A33F0" w:rsidRPr="006A2C86">
        <w:t>interest</w:t>
      </w:r>
      <w:r w:rsidRPr="006A2C86">
        <w:t xml:space="preserve">. </w:t>
      </w:r>
      <w:r w:rsidR="00852631">
        <w:t>His</w:t>
      </w:r>
      <w:r w:rsidR="00852631" w:rsidRPr="006A2C86">
        <w:t xml:space="preserve"> </w:t>
      </w:r>
      <w:r w:rsidRPr="006A2C86">
        <w:t xml:space="preserve">current lawyer officially appeared </w:t>
      </w:r>
      <w:r w:rsidR="00852631">
        <w:t>in</w:t>
      </w:r>
      <w:r w:rsidR="00852631" w:rsidRPr="006A2C86">
        <w:t xml:space="preserve"> </w:t>
      </w:r>
      <w:r w:rsidRPr="006A2C86">
        <w:t>the case at the end of September 2022</w:t>
      </w:r>
      <w:r w:rsidR="00B16ADF" w:rsidRPr="006A2C86">
        <w:t>.</w:t>
      </w:r>
    </w:p>
    <w:p w14:paraId="606ABAB2" w14:textId="77777777" w:rsidR="002821A1" w:rsidRPr="006A2C86" w:rsidRDefault="00084D70">
      <w:pPr>
        <w:pStyle w:val="Paragraphe"/>
        <w:spacing w:line="240" w:lineRule="auto"/>
      </w:pPr>
      <w:r>
        <w:t>On October 26, 2021, a</w:t>
      </w:r>
      <w:r w:rsidR="00FF35DB" w:rsidRPr="006A2C86">
        <w:t xml:space="preserve">n expert report confirming male DNA was sent to the </w:t>
      </w:r>
      <w:r w:rsidR="0065676D">
        <w:t>accused</w:t>
      </w:r>
      <w:r w:rsidR="00FF35DB" w:rsidRPr="006A2C86">
        <w:t>'s first lawyer</w:t>
      </w:r>
      <w:r w:rsidR="00B16ADF" w:rsidRPr="006A2C86">
        <w:t>.</w:t>
      </w:r>
    </w:p>
    <w:p w14:paraId="798917E7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13080D">
        <w:t>accused</w:t>
      </w:r>
      <w:r w:rsidRPr="006A2C86">
        <w:t xml:space="preserve"> </w:t>
      </w:r>
      <w:r w:rsidR="00852631">
        <w:t>was</w:t>
      </w:r>
      <w:r w:rsidRPr="006A2C86">
        <w:t xml:space="preserve"> detained from June 16, 2021 to March </w:t>
      </w:r>
      <w:r w:rsidR="00B16ADF" w:rsidRPr="006A2C86">
        <w:t>1</w:t>
      </w:r>
      <w:r w:rsidRPr="006A2C86">
        <w:t>, 2022</w:t>
      </w:r>
      <w:r w:rsidR="00B16ADF" w:rsidRPr="006A2C86">
        <w:t>.</w:t>
      </w:r>
    </w:p>
    <w:p w14:paraId="1B66DF93" w14:textId="77777777" w:rsidR="002821A1" w:rsidRPr="006A2C86" w:rsidRDefault="00084D70">
      <w:pPr>
        <w:pStyle w:val="Paragraphe"/>
        <w:spacing w:line="240" w:lineRule="auto"/>
      </w:pPr>
      <w:r w:rsidRPr="006A2C86">
        <w:t xml:space="preserve">On March </w:t>
      </w:r>
      <w:r w:rsidR="00B16ADF" w:rsidRPr="006A2C86">
        <w:t>1</w:t>
      </w:r>
      <w:r w:rsidR="00852631">
        <w:t>,</w:t>
      </w:r>
      <w:r w:rsidRPr="006A2C86">
        <w:t xml:space="preserve"> 2022, the </w:t>
      </w:r>
      <w:r w:rsidR="0013080D">
        <w:t>accused</w:t>
      </w:r>
      <w:r w:rsidRPr="006A2C86">
        <w:t xml:space="preserve"> was released </w:t>
      </w:r>
      <w:r w:rsidR="00DA026B">
        <w:t>with</w:t>
      </w:r>
      <w:r w:rsidR="0065676D">
        <w:t xml:space="preserve"> conditions </w:t>
      </w:r>
      <w:r w:rsidR="00852631">
        <w:t>because</w:t>
      </w:r>
      <w:r w:rsidR="00852631" w:rsidRPr="006A2C86">
        <w:t xml:space="preserve"> </w:t>
      </w:r>
      <w:r w:rsidRPr="006A2C86">
        <w:t>the forensic kit was not available</w:t>
      </w:r>
      <w:r w:rsidR="00B16ADF" w:rsidRPr="006A2C86">
        <w:t xml:space="preserve">. </w:t>
      </w:r>
      <w:r w:rsidRPr="006A2C86">
        <w:t xml:space="preserve">The case </w:t>
      </w:r>
      <w:r w:rsidR="00852631">
        <w:t>was</w:t>
      </w:r>
      <w:r w:rsidR="00852631" w:rsidRPr="006A2C86">
        <w:t xml:space="preserve"> </w:t>
      </w:r>
      <w:r w:rsidR="00B16ADF" w:rsidRPr="006A2C86">
        <w:t xml:space="preserve">therefore </w:t>
      </w:r>
      <w:r w:rsidRPr="006A2C86">
        <w:t xml:space="preserve">postponed until June 6, </w:t>
      </w:r>
      <w:r w:rsidR="00244843" w:rsidRPr="006A2C86">
        <w:t>2022</w:t>
      </w:r>
      <w:r w:rsidR="00B16ADF" w:rsidRPr="006A2C86">
        <w:t xml:space="preserve">. The </w:t>
      </w:r>
      <w:r w:rsidRPr="006A2C86">
        <w:t>period between March 1 and June 6</w:t>
      </w:r>
      <w:r w:rsidR="00852631">
        <w:t>,</w:t>
      </w:r>
      <w:r w:rsidRPr="006A2C86">
        <w:t xml:space="preserve"> 2022</w:t>
      </w:r>
      <w:r w:rsidR="00852631">
        <w:t>,</w:t>
      </w:r>
      <w:r w:rsidRPr="006A2C86">
        <w:t xml:space="preserve"> is </w:t>
      </w:r>
      <w:r w:rsidR="00B16ADF" w:rsidRPr="006A2C86">
        <w:t xml:space="preserve">accepted </w:t>
      </w:r>
      <w:r w:rsidRPr="006A2C86">
        <w:t>as an institutional delay</w:t>
      </w:r>
      <w:r w:rsidR="00B16ADF" w:rsidRPr="006A2C86">
        <w:t>.</w:t>
      </w:r>
    </w:p>
    <w:p w14:paraId="549BB82F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13080D">
        <w:t>accused</w:t>
      </w:r>
      <w:r w:rsidRPr="006A2C86">
        <w:t xml:space="preserve"> was remanded in custody </w:t>
      </w:r>
      <w:r w:rsidR="00372EAE" w:rsidRPr="006A2C86">
        <w:t xml:space="preserve">on </w:t>
      </w:r>
      <w:r w:rsidRPr="006A2C86">
        <w:t xml:space="preserve">September 28, 2022, and </w:t>
      </w:r>
      <w:r w:rsidR="00852631">
        <w:t xml:space="preserve">he </w:t>
      </w:r>
      <w:r w:rsidRPr="006A2C86">
        <w:t xml:space="preserve">will remain </w:t>
      </w:r>
      <w:r w:rsidR="00222308">
        <w:t xml:space="preserve">in custody </w:t>
      </w:r>
      <w:r w:rsidR="00244843" w:rsidRPr="006A2C86">
        <w:t xml:space="preserve">at least </w:t>
      </w:r>
      <w:r w:rsidRPr="006A2C86">
        <w:t xml:space="preserve">until his trial date of August </w:t>
      </w:r>
      <w:r w:rsidR="00244843" w:rsidRPr="006A2C86">
        <w:t>15, 2023</w:t>
      </w:r>
      <w:r w:rsidR="00B16ADF" w:rsidRPr="006A2C86">
        <w:t>.</w:t>
      </w:r>
    </w:p>
    <w:p w14:paraId="74F5BC3C" w14:textId="77777777" w:rsidR="002821A1" w:rsidRPr="006A2C86" w:rsidRDefault="00084D70">
      <w:pPr>
        <w:pStyle w:val="Paragraphe"/>
        <w:spacing w:line="240" w:lineRule="auto"/>
      </w:pPr>
      <w:r w:rsidRPr="006A2C86">
        <w:t xml:space="preserve">On October 13, 2022, </w:t>
      </w:r>
      <w:r w:rsidR="005F519F" w:rsidRPr="006A2C86">
        <w:t xml:space="preserve">an expert report confirming the </w:t>
      </w:r>
      <w:r w:rsidR="0013080D">
        <w:t>accused</w:t>
      </w:r>
      <w:r w:rsidR="005F519F" w:rsidRPr="006A2C86">
        <w:t xml:space="preserve">'s DNA was emailed to </w:t>
      </w:r>
      <w:r w:rsidRPr="006A2C86">
        <w:t>his</w:t>
      </w:r>
      <w:r w:rsidR="005F519F" w:rsidRPr="006A2C86">
        <w:t xml:space="preserve"> current </w:t>
      </w:r>
      <w:r w:rsidR="004F3845">
        <w:t>counsel</w:t>
      </w:r>
      <w:r w:rsidR="005F519F" w:rsidRPr="006A2C86">
        <w:t xml:space="preserve">, but without prior notice under section 657.3 of the </w:t>
      </w:r>
      <w:r w:rsidR="005F519F" w:rsidRPr="00ED03F0">
        <w:rPr>
          <w:i/>
          <w:iCs/>
        </w:rPr>
        <w:t>Criminal Code</w:t>
      </w:r>
      <w:r w:rsidR="00B16ADF" w:rsidRPr="006A2C86">
        <w:t>.</w:t>
      </w:r>
    </w:p>
    <w:p w14:paraId="12434FD9" w14:textId="77777777" w:rsidR="002821A1" w:rsidRPr="006A2C86" w:rsidRDefault="00084D70">
      <w:pPr>
        <w:pStyle w:val="Paragraphe"/>
        <w:spacing w:line="240" w:lineRule="auto"/>
      </w:pPr>
      <w:r w:rsidRPr="006A2C86">
        <w:lastRenderedPageBreak/>
        <w:t xml:space="preserve">The results of the forensic kit were </w:t>
      </w:r>
      <w:r w:rsidR="00B16ADF" w:rsidRPr="006A2C86">
        <w:t xml:space="preserve">sent </w:t>
      </w:r>
      <w:r w:rsidRPr="006A2C86">
        <w:t xml:space="preserve">to </w:t>
      </w:r>
      <w:r w:rsidR="00244843" w:rsidRPr="006A2C86">
        <w:t>the</w:t>
      </w:r>
      <w:r w:rsidR="00B4334B">
        <w:t xml:space="preserve"> </w:t>
      </w:r>
      <w:r w:rsidR="0013080D">
        <w:t>accused</w:t>
      </w:r>
      <w:r w:rsidR="004F3845">
        <w:t>’s counsel</w:t>
      </w:r>
      <w:r w:rsidR="004F3845" w:rsidRPr="006A2C86">
        <w:t xml:space="preserve"> </w:t>
      </w:r>
      <w:r w:rsidRPr="006A2C86">
        <w:t>on December 15, 2022</w:t>
      </w:r>
      <w:r w:rsidR="00B16ADF" w:rsidRPr="006A2C86">
        <w:t>.</w:t>
      </w:r>
    </w:p>
    <w:p w14:paraId="3B5AE9A9" w14:textId="77777777" w:rsidR="002821A1" w:rsidRPr="006A2C86" w:rsidRDefault="00084D70">
      <w:pPr>
        <w:pStyle w:val="Titre4"/>
        <w:rPr>
          <w:caps/>
        </w:rPr>
      </w:pPr>
      <w:r w:rsidRPr="006A2C86">
        <w:rPr>
          <w:caps/>
        </w:rPr>
        <w:t xml:space="preserve">Period of detention of the </w:t>
      </w:r>
      <w:r w:rsidR="0013080D">
        <w:rPr>
          <w:caps/>
        </w:rPr>
        <w:t>accused</w:t>
      </w:r>
    </w:p>
    <w:p w14:paraId="29C2CA38" w14:textId="77777777" w:rsidR="002821A1" w:rsidRPr="006A2C86" w:rsidRDefault="00084D70">
      <w:pPr>
        <w:pStyle w:val="Paragraphe"/>
        <w:spacing w:line="240" w:lineRule="auto"/>
      </w:pPr>
      <w:r>
        <w:t>By</w:t>
      </w:r>
      <w:r w:rsidR="00FF35DB" w:rsidRPr="006A2C86">
        <w:t xml:space="preserve"> August 15, 2023, </w:t>
      </w:r>
      <w:r>
        <w:t>the</w:t>
      </w:r>
      <w:r w:rsidR="00FF35DB" w:rsidRPr="006A2C86">
        <w:t xml:space="preserve"> total remand period </w:t>
      </w:r>
      <w:r>
        <w:t xml:space="preserve">will be </w:t>
      </w:r>
      <w:r w:rsidR="00FF35DB" w:rsidRPr="006A2C86">
        <w:t>579 days, or 19.04 months.</w:t>
      </w:r>
    </w:p>
    <w:p w14:paraId="30D4874F" w14:textId="77777777" w:rsidR="002821A1" w:rsidRDefault="00084D70">
      <w:pPr>
        <w:pStyle w:val="Titre4"/>
        <w:rPr>
          <w:caps/>
        </w:rPr>
      </w:pPr>
      <w:r w:rsidRPr="00F800D6">
        <w:rPr>
          <w:caps/>
        </w:rPr>
        <w:t xml:space="preserve">The </w:t>
      </w:r>
      <w:r w:rsidR="00E31905">
        <w:rPr>
          <w:caps/>
        </w:rPr>
        <w:t>framework</w:t>
      </w:r>
      <w:r>
        <w:rPr>
          <w:rStyle w:val="Appelnotedebasdep"/>
          <w:caps/>
        </w:rPr>
        <w:footnoteReference w:id="2"/>
      </w:r>
    </w:p>
    <w:p w14:paraId="6457A7AE" w14:textId="77777777" w:rsidR="002821A1" w:rsidRPr="006A2C86" w:rsidRDefault="00084D70">
      <w:pPr>
        <w:pStyle w:val="Paragraphe"/>
        <w:spacing w:line="240" w:lineRule="auto"/>
      </w:pPr>
      <w:r w:rsidRPr="006A2C86">
        <w:t>First</w:t>
      </w:r>
      <w:r w:rsidR="00510ECD">
        <w:t>, the Court must</w:t>
      </w:r>
      <w:r w:rsidRPr="006A2C86">
        <w:t xml:space="preserve"> </w:t>
      </w:r>
      <w:r w:rsidR="005F519F" w:rsidRPr="006A2C86">
        <w:t>determine the total delay</w:t>
      </w:r>
      <w:r w:rsidR="00256325" w:rsidRPr="006A2C86">
        <w:t>,</w:t>
      </w:r>
      <w:r w:rsidRPr="006A2C86">
        <w:t xml:space="preserve"> </w:t>
      </w:r>
      <w:r w:rsidR="00256325" w:rsidRPr="006A2C86">
        <w:t xml:space="preserve">and </w:t>
      </w:r>
      <w:r w:rsidRPr="006A2C86">
        <w:t xml:space="preserve">then </w:t>
      </w:r>
      <w:r w:rsidR="005F519F" w:rsidRPr="006A2C86">
        <w:t>deduct delays attributable to the defen</w:t>
      </w:r>
      <w:r w:rsidR="00773AC0">
        <w:t>c</w:t>
      </w:r>
      <w:r w:rsidR="005F519F" w:rsidRPr="006A2C86">
        <w:t>e</w:t>
      </w:r>
      <w:r w:rsidR="00510ECD">
        <w:t xml:space="preserve"> from that </w:t>
      </w:r>
      <w:r w:rsidR="00FF356F">
        <w:t>period</w:t>
      </w:r>
      <w:r w:rsidR="005F519F" w:rsidRPr="006A2C86">
        <w:t xml:space="preserve">. </w:t>
      </w:r>
    </w:p>
    <w:p w14:paraId="11C8B114" w14:textId="77777777" w:rsidR="002821A1" w:rsidRPr="006A2C86" w:rsidRDefault="00084D70">
      <w:pPr>
        <w:pStyle w:val="Paragraphe"/>
        <w:spacing w:line="240" w:lineRule="auto"/>
      </w:pPr>
      <w:r w:rsidRPr="006A2C86">
        <w:t xml:space="preserve">Net delay is used to calculate reasonable delay. If </w:t>
      </w:r>
      <w:r w:rsidR="00510ECD">
        <w:t>net delay</w:t>
      </w:r>
      <w:r w:rsidR="00510ECD" w:rsidRPr="006A2C86">
        <w:t xml:space="preserve"> </w:t>
      </w:r>
      <w:r w:rsidRPr="006A2C86">
        <w:t>exceeds the ceiling set by the Supreme Court, it is presumed unreasonable. If it is less than the ceiling</w:t>
      </w:r>
      <w:r w:rsidR="00B16ADF" w:rsidRPr="006A2C86">
        <w:t xml:space="preserve">, </w:t>
      </w:r>
      <w:r w:rsidRPr="006A2C86">
        <w:t>the defen</w:t>
      </w:r>
      <w:r w:rsidR="00510ECD">
        <w:t>c</w:t>
      </w:r>
      <w:r w:rsidRPr="006A2C86">
        <w:t xml:space="preserve">e must demonstrate that it is unreasonable. </w:t>
      </w:r>
    </w:p>
    <w:p w14:paraId="5B3E1133" w14:textId="77777777" w:rsidR="002821A1" w:rsidRPr="006A2C86" w:rsidRDefault="00084D70">
      <w:pPr>
        <w:pStyle w:val="Paragraphe"/>
        <w:spacing w:line="240" w:lineRule="auto"/>
      </w:pPr>
      <w:bookmarkStart w:id="1" w:name="_Hlk137548381"/>
      <w:r w:rsidRPr="006A2C86">
        <w:t xml:space="preserve">If </w:t>
      </w:r>
      <w:r w:rsidR="001E7339" w:rsidRPr="006A2C86">
        <w:t>the</w:t>
      </w:r>
      <w:r w:rsidRPr="006A2C86">
        <w:t xml:space="preserve"> delay exceeds the ceiling, </w:t>
      </w:r>
      <w:r w:rsidR="00E31905">
        <w:t xml:space="preserve">it falls to </w:t>
      </w:r>
      <w:r w:rsidRPr="006A2C86">
        <w:t>the prosecut</w:t>
      </w:r>
      <w:r w:rsidR="000A15B5">
        <w:t>ion</w:t>
      </w:r>
      <w:r w:rsidR="00E31905">
        <w:t xml:space="preserve"> to establish that the delay</w:t>
      </w:r>
      <w:r w:rsidRPr="006A2C86">
        <w:t xml:space="preserve"> is reasonable</w:t>
      </w:r>
      <w:r w:rsidR="00E31905">
        <w:t>. To succeed, the prosecut</w:t>
      </w:r>
      <w:r w:rsidR="000A15B5">
        <w:t xml:space="preserve">ion </w:t>
      </w:r>
      <w:r w:rsidR="00E31905">
        <w:t>must establish</w:t>
      </w:r>
      <w:r w:rsidR="00510ECD" w:rsidRPr="006A2C86">
        <w:t xml:space="preserve"> </w:t>
      </w:r>
      <w:r w:rsidRPr="006A2C86">
        <w:t>exceptional</w:t>
      </w:r>
      <w:r w:rsidR="00B0326D">
        <w:t xml:space="preserve"> circumstances</w:t>
      </w:r>
      <w:r w:rsidR="00B16ADF" w:rsidRPr="006A2C86">
        <w:t xml:space="preserve">, </w:t>
      </w:r>
      <w:r w:rsidRPr="006A2C86">
        <w:t xml:space="preserve">either by proving </w:t>
      </w:r>
      <w:r w:rsidR="006A2C86">
        <w:t>discrete</w:t>
      </w:r>
      <w:r w:rsidRPr="006A2C86">
        <w:t xml:space="preserve"> events or by demonstrating that the case is complex. </w:t>
      </w:r>
    </w:p>
    <w:p w14:paraId="7726AF8F" w14:textId="77777777" w:rsidR="002821A1" w:rsidRPr="006A2C86" w:rsidRDefault="00084D70">
      <w:pPr>
        <w:pStyle w:val="Paragraphe"/>
        <w:spacing w:line="240" w:lineRule="auto"/>
      </w:pPr>
      <w:r>
        <w:t>T</w:t>
      </w:r>
      <w:r w:rsidR="00FF35DB" w:rsidRPr="006A2C86">
        <w:t>ransitional</w:t>
      </w:r>
      <w:r>
        <w:t xml:space="preserve"> exceptional circumstances</w:t>
      </w:r>
      <w:r w:rsidRPr="006A2C86">
        <w:t xml:space="preserve"> </w:t>
      </w:r>
      <w:r w:rsidR="00FF35DB" w:rsidRPr="006A2C86">
        <w:t xml:space="preserve">do not apply in this case, since the charges were filed several years after </w:t>
      </w:r>
      <w:r w:rsidR="00FF35DB" w:rsidRPr="00ED03F0">
        <w:rPr>
          <w:i/>
          <w:iCs/>
        </w:rPr>
        <w:t>Jordan</w:t>
      </w:r>
      <w:r>
        <w:rPr>
          <w:rStyle w:val="Appelnotedebasdep"/>
          <w:lang w:val="fr-CA"/>
        </w:rPr>
        <w:footnoteReference w:id="3"/>
      </w:r>
      <w:r w:rsidR="00012DD3" w:rsidRPr="00012DD3">
        <w:t>.</w:t>
      </w:r>
    </w:p>
    <w:bookmarkEnd w:id="1"/>
    <w:p w14:paraId="2229FF95" w14:textId="77777777" w:rsidR="002821A1" w:rsidRDefault="00084D70">
      <w:pPr>
        <w:pStyle w:val="Titre4"/>
        <w:rPr>
          <w:caps/>
        </w:rPr>
      </w:pPr>
      <w:r w:rsidRPr="00F800D6">
        <w:rPr>
          <w:caps/>
        </w:rPr>
        <w:t xml:space="preserve">Issues in dispute </w:t>
      </w:r>
    </w:p>
    <w:p w14:paraId="403EA9B5" w14:textId="77777777" w:rsidR="002821A1" w:rsidRPr="006A2C86" w:rsidRDefault="00084D70">
      <w:pPr>
        <w:pStyle w:val="Paragraphe"/>
        <w:numPr>
          <w:ilvl w:val="0"/>
          <w:numId w:val="14"/>
        </w:numPr>
        <w:spacing w:line="240" w:lineRule="auto"/>
        <w:ind w:left="567" w:hanging="567"/>
        <w:rPr>
          <w:b/>
          <w:bCs/>
        </w:rPr>
      </w:pPr>
      <w:r w:rsidRPr="006A2C86">
        <w:rPr>
          <w:b/>
          <w:bCs/>
        </w:rPr>
        <w:t xml:space="preserve">What delays are attributable to the </w:t>
      </w:r>
      <w:r w:rsidR="00B4334B">
        <w:rPr>
          <w:b/>
          <w:bCs/>
        </w:rPr>
        <w:t>defence</w:t>
      </w:r>
      <w:r w:rsidRPr="006A2C86">
        <w:rPr>
          <w:b/>
          <w:bCs/>
        </w:rPr>
        <w:t>?</w:t>
      </w:r>
    </w:p>
    <w:p w14:paraId="3F014F88" w14:textId="77777777" w:rsidR="002821A1" w:rsidRPr="006A2C86" w:rsidRDefault="00084D70">
      <w:pPr>
        <w:pStyle w:val="Paragraphe"/>
        <w:numPr>
          <w:ilvl w:val="0"/>
          <w:numId w:val="14"/>
        </w:numPr>
        <w:spacing w:line="240" w:lineRule="auto"/>
        <w:ind w:left="567" w:hanging="567"/>
        <w:rPr>
          <w:b/>
          <w:bCs/>
        </w:rPr>
      </w:pPr>
      <w:r w:rsidRPr="006A2C86">
        <w:rPr>
          <w:b/>
          <w:bCs/>
        </w:rPr>
        <w:t xml:space="preserve">Did the </w:t>
      </w:r>
      <w:r w:rsidR="000A15B5">
        <w:rPr>
          <w:b/>
          <w:bCs/>
        </w:rPr>
        <w:t>prosecution</w:t>
      </w:r>
      <w:r w:rsidRPr="006A2C86">
        <w:rPr>
          <w:b/>
          <w:bCs/>
        </w:rPr>
        <w:t xml:space="preserve"> prove a </w:t>
      </w:r>
      <w:r w:rsidR="006A2C86">
        <w:rPr>
          <w:b/>
          <w:bCs/>
        </w:rPr>
        <w:t>discrete</w:t>
      </w:r>
      <w:r w:rsidRPr="006A2C86">
        <w:rPr>
          <w:b/>
          <w:bCs/>
        </w:rPr>
        <w:t xml:space="preserve"> event? </w:t>
      </w:r>
    </w:p>
    <w:p w14:paraId="3054F8E3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="00882F93" w:rsidRPr="006A2C86">
        <w:t xml:space="preserve"> </w:t>
      </w:r>
      <w:r w:rsidR="005F519F" w:rsidRPr="006A2C86">
        <w:t>concludes that the delays are unreasonable since they exceed the 18</w:t>
      </w:r>
      <w:r w:rsidR="00FF356F">
        <w:noBreakHyphen/>
      </w:r>
      <w:r w:rsidR="005F519F" w:rsidRPr="006A2C86">
        <w:t>month ceiling</w:t>
      </w:r>
      <w:r w:rsidR="00CA296C" w:rsidRPr="006A2C86">
        <w:t>, and here is why</w:t>
      </w:r>
      <w:r w:rsidR="002231CB">
        <w:t xml:space="preserve"> :</w:t>
      </w:r>
    </w:p>
    <w:p w14:paraId="46DCE632" w14:textId="77777777" w:rsidR="002821A1" w:rsidRDefault="00084D70">
      <w:pPr>
        <w:pStyle w:val="Titre4"/>
      </w:pPr>
      <w:r w:rsidRPr="00F800D6">
        <w:t>ANALYSIS</w:t>
      </w:r>
    </w:p>
    <w:p w14:paraId="2377DBD1" w14:textId="77777777" w:rsidR="002821A1" w:rsidRPr="006A2C86" w:rsidRDefault="00084D70">
      <w:pPr>
        <w:pStyle w:val="Paragraphe"/>
        <w:numPr>
          <w:ilvl w:val="0"/>
          <w:numId w:val="15"/>
        </w:numPr>
        <w:spacing w:line="240" w:lineRule="auto"/>
        <w:ind w:left="567" w:hanging="567"/>
        <w:rPr>
          <w:b/>
          <w:bCs/>
        </w:rPr>
      </w:pPr>
      <w:r w:rsidRPr="006A2C86">
        <w:rPr>
          <w:b/>
          <w:bCs/>
        </w:rPr>
        <w:t xml:space="preserve">What delays are attributable to the </w:t>
      </w:r>
      <w:r w:rsidR="00B4334B">
        <w:rPr>
          <w:b/>
          <w:bCs/>
        </w:rPr>
        <w:t>defence</w:t>
      </w:r>
      <w:r w:rsidRPr="006A2C86">
        <w:rPr>
          <w:b/>
          <w:bCs/>
        </w:rPr>
        <w:t>?</w:t>
      </w:r>
    </w:p>
    <w:p w14:paraId="483897A0" w14:textId="77777777" w:rsidR="002821A1" w:rsidRPr="006A2C86" w:rsidRDefault="00084D70">
      <w:pPr>
        <w:pStyle w:val="Paragraphe"/>
        <w:spacing w:line="240" w:lineRule="auto"/>
      </w:pPr>
      <w:r w:rsidRPr="006A2C86">
        <w:t xml:space="preserve">Delays attributable to the defence are divided into two categories: </w:t>
      </w:r>
    </w:p>
    <w:p w14:paraId="3E1D9F87" w14:textId="77777777" w:rsidR="002821A1" w:rsidRPr="006A2C86" w:rsidRDefault="00084D70">
      <w:pPr>
        <w:pStyle w:val="Paragraphe"/>
        <w:numPr>
          <w:ilvl w:val="1"/>
          <w:numId w:val="15"/>
        </w:numPr>
        <w:spacing w:line="240" w:lineRule="auto"/>
        <w:ind w:right="857"/>
      </w:pPr>
      <w:r w:rsidRPr="006A2C86">
        <w:t xml:space="preserve">those </w:t>
      </w:r>
      <w:r w:rsidR="008944CC">
        <w:t xml:space="preserve">which </w:t>
      </w:r>
      <w:r w:rsidRPr="006A2C86">
        <w:t xml:space="preserve">the defence explicitly or implicitly </w:t>
      </w:r>
      <w:r w:rsidR="00743372">
        <w:t>waives</w:t>
      </w:r>
      <w:r w:rsidR="00743372" w:rsidRPr="006A2C86">
        <w:t xml:space="preserve"> </w:t>
      </w:r>
      <w:r w:rsidRPr="006A2C86">
        <w:t>in a clear, informed, express</w:t>
      </w:r>
      <w:r w:rsidR="00743372">
        <w:t>,</w:t>
      </w:r>
      <w:r w:rsidRPr="006A2C86">
        <w:t xml:space="preserve"> and unequivocal manner</w:t>
      </w:r>
      <w:r>
        <w:rPr>
          <w:rStyle w:val="Appelnotedebasdep"/>
          <w:lang w:val="fr-CA"/>
        </w:rPr>
        <w:footnoteReference w:id="4"/>
      </w:r>
      <w:r w:rsidR="00012DD3">
        <w:t>;</w:t>
      </w:r>
    </w:p>
    <w:p w14:paraId="117DE60C" w14:textId="77777777" w:rsidR="002821A1" w:rsidRPr="006A2C86" w:rsidRDefault="00084D70">
      <w:pPr>
        <w:pStyle w:val="Paragraphe"/>
        <w:numPr>
          <w:ilvl w:val="1"/>
          <w:numId w:val="15"/>
        </w:numPr>
        <w:spacing w:line="240" w:lineRule="auto"/>
        <w:ind w:right="857"/>
      </w:pPr>
      <w:r w:rsidRPr="006A2C86">
        <w:lastRenderedPageBreak/>
        <w:t>those that are solely or directly caused by the conduct of the defen</w:t>
      </w:r>
      <w:r w:rsidR="00743372">
        <w:t>c</w:t>
      </w:r>
      <w:r w:rsidRPr="006A2C86">
        <w:t>e or an action illegitimately taken by it</w:t>
      </w:r>
      <w:r>
        <w:rPr>
          <w:rStyle w:val="Appelnotedebasdep"/>
          <w:lang w:val="fr-CA"/>
        </w:rPr>
        <w:footnoteReference w:id="5"/>
      </w:r>
      <w:r w:rsidR="00012DD3">
        <w:t>.</w:t>
      </w:r>
      <w:r w:rsidRPr="006A2C86">
        <w:t xml:space="preserve"> </w:t>
      </w:r>
      <w:bookmarkStart w:id="2" w:name="_Hlk137548406"/>
    </w:p>
    <w:bookmarkEnd w:id="2"/>
    <w:p w14:paraId="25EF1255" w14:textId="77777777" w:rsidR="002821A1" w:rsidRPr="006A2C86" w:rsidRDefault="00084D70">
      <w:pPr>
        <w:pStyle w:val="Paragraphe"/>
      </w:pPr>
      <w:r>
        <w:t>A</w:t>
      </w:r>
      <w:r w:rsidR="00FF35DB" w:rsidRPr="006A2C86">
        <w:t xml:space="preserve">n analysis of the periods </w:t>
      </w:r>
      <w:r>
        <w:t>on</w:t>
      </w:r>
      <w:r w:rsidR="00743372" w:rsidRPr="006A2C86">
        <w:t xml:space="preserve"> </w:t>
      </w:r>
      <w:r w:rsidR="00FF35DB" w:rsidRPr="006A2C86">
        <w:t>which the parties disagree</w:t>
      </w:r>
      <w:r>
        <w:t xml:space="preserve"> follows</w:t>
      </w:r>
      <w:r w:rsidR="00743372">
        <w:t>.</w:t>
      </w:r>
    </w:p>
    <w:p w14:paraId="5F9F14A7" w14:textId="77777777" w:rsidR="002821A1" w:rsidRPr="006A2C86" w:rsidRDefault="00084D70">
      <w:pPr>
        <w:pStyle w:val="Paragraphe"/>
        <w:numPr>
          <w:ilvl w:val="0"/>
          <w:numId w:val="0"/>
        </w:numPr>
        <w:rPr>
          <w:b/>
          <w:bCs/>
        </w:rPr>
      </w:pPr>
      <w:r w:rsidRPr="006A2C86">
        <w:rPr>
          <w:b/>
          <w:bCs/>
        </w:rPr>
        <w:t>Period from June 21, 2021</w:t>
      </w:r>
      <w:r w:rsidR="00743372">
        <w:rPr>
          <w:b/>
          <w:bCs/>
        </w:rPr>
        <w:t>,</w:t>
      </w:r>
      <w:r w:rsidRPr="006A2C86">
        <w:rPr>
          <w:b/>
          <w:bCs/>
        </w:rPr>
        <w:t xml:space="preserve"> to June 29, 2021</w:t>
      </w:r>
      <w:r w:rsidR="00E31905">
        <w:rPr>
          <w:b/>
          <w:bCs/>
        </w:rPr>
        <w:t xml:space="preserve"> (</w:t>
      </w:r>
      <w:r w:rsidRPr="006A2C86">
        <w:rPr>
          <w:b/>
          <w:bCs/>
        </w:rPr>
        <w:t>8 days</w:t>
      </w:r>
      <w:r w:rsidR="00E31905">
        <w:rPr>
          <w:b/>
          <w:bCs/>
        </w:rPr>
        <w:t>)</w:t>
      </w:r>
      <w:r w:rsidRPr="006A2C86">
        <w:rPr>
          <w:b/>
          <w:bCs/>
        </w:rPr>
        <w:t xml:space="preserve"> </w:t>
      </w:r>
    </w:p>
    <w:p w14:paraId="74E83956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prosecution alleges that </w:t>
      </w:r>
      <w:r w:rsidR="00743372">
        <w:t xml:space="preserve">the </w:t>
      </w:r>
      <w:r w:rsidR="00211032">
        <w:t>accused</w:t>
      </w:r>
      <w:r w:rsidR="00743372" w:rsidRPr="006A2C86">
        <w:t xml:space="preserve"> </w:t>
      </w:r>
      <w:r w:rsidRPr="006A2C86">
        <w:t xml:space="preserve">is responsible for the delay </w:t>
      </w:r>
      <w:r w:rsidR="00FF356F" w:rsidRPr="006A2C86">
        <w:t>in handing over the file</w:t>
      </w:r>
      <w:r w:rsidR="00FF356F">
        <w:t xml:space="preserve">, </w:t>
      </w:r>
      <w:r w:rsidRPr="006A2C86">
        <w:t>from June 21 to June 29, 2021</w:t>
      </w:r>
      <w:r w:rsidR="00FF356F">
        <w:t>.</w:t>
      </w:r>
      <w:r w:rsidRPr="006A2C86">
        <w:t xml:space="preserve"> </w:t>
      </w:r>
    </w:p>
    <w:p w14:paraId="0BEC7CF3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264CBF">
        <w:t>defence</w:t>
      </w:r>
      <w:r w:rsidRPr="006A2C86">
        <w:t xml:space="preserve"> argues that this is normal case preparation time. </w:t>
      </w:r>
    </w:p>
    <w:p w14:paraId="0A822E8D" w14:textId="77777777" w:rsidR="00264CBF" w:rsidRDefault="00084D70">
      <w:pPr>
        <w:pStyle w:val="Paragraphe"/>
        <w:spacing w:line="240" w:lineRule="auto"/>
      </w:pPr>
      <w:r w:rsidRPr="006A2C86">
        <w:t xml:space="preserve">The </w:t>
      </w:r>
      <w:r w:rsidR="0013080D">
        <w:t>accused</w:t>
      </w:r>
      <w:r w:rsidR="002369D7">
        <w:t xml:space="preserve">’s </w:t>
      </w:r>
      <w:r w:rsidR="00634225">
        <w:t>bail</w:t>
      </w:r>
      <w:r w:rsidRPr="006A2C86">
        <w:t xml:space="preserve"> hearing </w:t>
      </w:r>
      <w:r w:rsidR="002369D7">
        <w:t xml:space="preserve">was </w:t>
      </w:r>
      <w:r w:rsidRPr="006A2C86">
        <w:t xml:space="preserve">postponed from June 16 to June 29, 2021. On </w:t>
      </w:r>
      <w:r w:rsidR="002369D7">
        <w:t>that</w:t>
      </w:r>
      <w:r w:rsidR="002369D7" w:rsidRPr="006A2C86">
        <w:t xml:space="preserve"> </w:t>
      </w:r>
      <w:r w:rsidRPr="006A2C86">
        <w:t xml:space="preserve">date, the </w:t>
      </w:r>
      <w:r w:rsidR="0013080D">
        <w:t>accused</w:t>
      </w:r>
      <w:r w:rsidRPr="006A2C86">
        <w:t xml:space="preserve"> </w:t>
      </w:r>
      <w:r w:rsidR="002369D7">
        <w:t xml:space="preserve">was </w:t>
      </w:r>
      <w:r w:rsidRPr="006A2C86">
        <w:t>kept in custody</w:t>
      </w:r>
      <w:r w:rsidR="00D441D2" w:rsidRPr="006A2C86">
        <w:t xml:space="preserve">. </w:t>
      </w:r>
    </w:p>
    <w:p w14:paraId="3F409A82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FF35DB" w:rsidRPr="006A2C86">
        <w:t xml:space="preserve">case </w:t>
      </w:r>
      <w:r w:rsidR="002369D7">
        <w:t xml:space="preserve">was </w:t>
      </w:r>
      <w:r w:rsidRPr="006A2C86">
        <w:t xml:space="preserve">then </w:t>
      </w:r>
      <w:r w:rsidR="00FF35DB" w:rsidRPr="006A2C86">
        <w:t>adjourned to the first</w:t>
      </w:r>
      <w:r w:rsidR="00264CBF">
        <w:t xml:space="preserve"> available</w:t>
      </w:r>
      <w:r w:rsidR="00FF35DB" w:rsidRPr="006A2C86">
        <w:t xml:space="preserve"> court date</w:t>
      </w:r>
      <w:r w:rsidR="00372EAE" w:rsidRPr="006A2C86">
        <w:t xml:space="preserve">, </w:t>
      </w:r>
      <w:r w:rsidR="00FF35DB" w:rsidRPr="006A2C86">
        <w:t xml:space="preserve">July 13, 2021. On </w:t>
      </w:r>
      <w:r w:rsidR="002369D7">
        <w:t xml:space="preserve">that </w:t>
      </w:r>
      <w:r w:rsidR="00FF35DB" w:rsidRPr="006A2C86">
        <w:t xml:space="preserve">date, the </w:t>
      </w:r>
      <w:r w:rsidR="0013080D">
        <w:t>accused</w:t>
      </w:r>
      <w:r w:rsidR="00FF35DB" w:rsidRPr="006A2C86">
        <w:t xml:space="preserve">'s </w:t>
      </w:r>
      <w:r w:rsidR="004F3845">
        <w:t>counsel</w:t>
      </w:r>
      <w:r w:rsidR="004F3845" w:rsidRPr="006A2C86">
        <w:t xml:space="preserve"> </w:t>
      </w:r>
      <w:r w:rsidR="00FF35DB" w:rsidRPr="006A2C86">
        <w:t>immediately enter</w:t>
      </w:r>
      <w:r w:rsidR="002369D7">
        <w:t>ed</w:t>
      </w:r>
      <w:r w:rsidR="00FF35DB" w:rsidRPr="006A2C86">
        <w:t xml:space="preserve"> a plea of not guilty and opt</w:t>
      </w:r>
      <w:r w:rsidR="002369D7">
        <w:t>ed</w:t>
      </w:r>
      <w:r w:rsidR="00FF35DB" w:rsidRPr="006A2C86">
        <w:t xml:space="preserve"> for a trial before a </w:t>
      </w:r>
      <w:r w:rsidRPr="006A2C86">
        <w:t xml:space="preserve">provincial </w:t>
      </w:r>
      <w:r w:rsidR="00BB42EF" w:rsidRPr="006A2C86">
        <w:t xml:space="preserve">court </w:t>
      </w:r>
      <w:r w:rsidR="00FF35DB" w:rsidRPr="006A2C86">
        <w:t xml:space="preserve">judge. The case </w:t>
      </w:r>
      <w:r w:rsidR="002369D7">
        <w:t xml:space="preserve">was </w:t>
      </w:r>
      <w:r w:rsidR="00FF35DB" w:rsidRPr="006A2C86">
        <w:t xml:space="preserve">set </w:t>
      </w:r>
      <w:r w:rsidR="002369D7">
        <w:t xml:space="preserve">down </w:t>
      </w:r>
      <w:r w:rsidR="00FF35DB" w:rsidRPr="006A2C86">
        <w:t>for trial on the first available date</w:t>
      </w:r>
      <w:r w:rsidRPr="006A2C86">
        <w:t xml:space="preserve">, </w:t>
      </w:r>
      <w:r w:rsidR="00FF35DB" w:rsidRPr="006A2C86">
        <w:t>October 19, 2021.</w:t>
      </w:r>
    </w:p>
    <w:p w14:paraId="2C744B6A" w14:textId="77777777" w:rsidR="002821A1" w:rsidRPr="006A2C86" w:rsidRDefault="00084D70">
      <w:pPr>
        <w:pStyle w:val="Paragraphe"/>
        <w:spacing w:line="240" w:lineRule="auto"/>
      </w:pPr>
      <w:r w:rsidRPr="006A2C86">
        <w:t>This was not illegitimate conduct on the part of the</w:t>
      </w:r>
      <w:r w:rsidR="004F3845">
        <w:t xml:space="preserve"> </w:t>
      </w:r>
      <w:r w:rsidR="00CC5BA2">
        <w:t>defence</w:t>
      </w:r>
      <w:r w:rsidR="00226C15" w:rsidRPr="006A2C86">
        <w:t xml:space="preserve">. On the </w:t>
      </w:r>
      <w:r w:rsidRPr="006A2C86">
        <w:t>contrary</w:t>
      </w:r>
      <w:r w:rsidR="00D441D2" w:rsidRPr="006A2C86">
        <w:t xml:space="preserve">, </w:t>
      </w:r>
      <w:r w:rsidR="00CC5BA2">
        <w:t>it</w:t>
      </w:r>
      <w:r w:rsidRPr="006A2C86">
        <w:t xml:space="preserve"> acted promptly. The fact that the bail hearing was </w:t>
      </w:r>
      <w:r w:rsidR="00D441D2" w:rsidRPr="006A2C86">
        <w:t xml:space="preserve">postponed </w:t>
      </w:r>
      <w:r w:rsidRPr="006A2C86">
        <w:t>several times has no impact on the overall delay.</w:t>
      </w:r>
    </w:p>
    <w:p w14:paraId="047DE15A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This is the period of time that the </w:t>
      </w:r>
      <w:r w:rsidR="0013080D">
        <w:t>accused</w:t>
      </w:r>
      <w:r w:rsidRPr="006A2C86">
        <w:t xml:space="preserve"> was entitled to have in order to properly prepare his trial.</w:t>
      </w:r>
    </w:p>
    <w:p w14:paraId="6C3AE3E1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This </w:t>
      </w:r>
      <w:r w:rsidR="00083E6D">
        <w:t xml:space="preserve">delay </w:t>
      </w:r>
      <w:r w:rsidRPr="006A2C86">
        <w:t xml:space="preserve">is therefore not attributable to the </w:t>
      </w:r>
      <w:r w:rsidR="00264CBF">
        <w:t>defence</w:t>
      </w:r>
      <w:r w:rsidRPr="006A2C86">
        <w:t>.</w:t>
      </w:r>
    </w:p>
    <w:p w14:paraId="2A4512B2" w14:textId="77777777" w:rsidR="002821A1" w:rsidRPr="006A2C86" w:rsidRDefault="00084D70">
      <w:pPr>
        <w:pStyle w:val="Paragraphe"/>
        <w:spacing w:line="240" w:lineRule="auto"/>
      </w:pPr>
      <w:r w:rsidRPr="006A2C86">
        <w:t xml:space="preserve">No </w:t>
      </w:r>
      <w:r w:rsidR="002369D7">
        <w:t>discrete</w:t>
      </w:r>
      <w:r w:rsidR="002369D7" w:rsidRPr="006A2C86">
        <w:t xml:space="preserve"> </w:t>
      </w:r>
      <w:r w:rsidRPr="006A2C86">
        <w:t>event is claimed for this period.</w:t>
      </w:r>
    </w:p>
    <w:p w14:paraId="36EAF621" w14:textId="77777777" w:rsidR="002821A1" w:rsidRPr="006A2C86" w:rsidRDefault="00084D70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  <w:r w:rsidRPr="006A2C86">
        <w:rPr>
          <w:b/>
          <w:bCs/>
        </w:rPr>
        <w:t>Period from June 6, 2022</w:t>
      </w:r>
      <w:r w:rsidR="009D507D">
        <w:rPr>
          <w:b/>
          <w:bCs/>
        </w:rPr>
        <w:t>,</w:t>
      </w:r>
      <w:r w:rsidRPr="006A2C86">
        <w:rPr>
          <w:b/>
          <w:bCs/>
        </w:rPr>
        <w:t xml:space="preserve"> to January 10, 2023 (218 days)</w:t>
      </w:r>
    </w:p>
    <w:p w14:paraId="6EF1240E" w14:textId="77777777" w:rsidR="002821A1" w:rsidRPr="006A2C86" w:rsidRDefault="00084D70">
      <w:pPr>
        <w:pStyle w:val="Paragraphe"/>
        <w:spacing w:line="240" w:lineRule="auto"/>
      </w:pPr>
      <w:r w:rsidRPr="006A2C86">
        <w:t>On June 6, 2022</w:t>
      </w:r>
      <w:r w:rsidR="00D441D2" w:rsidRPr="006A2C86">
        <w:t xml:space="preserve">, </w:t>
      </w:r>
      <w:r w:rsidRPr="006A2C86">
        <w:t xml:space="preserve">the case was set down for </w:t>
      </w:r>
      <w:r w:rsidR="00FF356F">
        <w:t xml:space="preserve">a three-hour </w:t>
      </w:r>
      <w:r w:rsidRPr="006A2C86">
        <w:t xml:space="preserve">trial </w:t>
      </w:r>
      <w:r w:rsidR="00083E6D">
        <w:t>on</w:t>
      </w:r>
      <w:r w:rsidR="00D441D2" w:rsidRPr="006A2C86">
        <w:t xml:space="preserve"> January 10, 2023, </w:t>
      </w:r>
      <w:r w:rsidRPr="006A2C86">
        <w:t>in the community of Kangirsuk.</w:t>
      </w:r>
    </w:p>
    <w:p w14:paraId="340125A6" w14:textId="77777777" w:rsidR="002821A1" w:rsidRPr="006A2C86" w:rsidRDefault="00084D70">
      <w:pPr>
        <w:pStyle w:val="Paragraphe"/>
        <w:spacing w:line="240" w:lineRule="auto"/>
      </w:pPr>
      <w:r w:rsidRPr="006A2C86">
        <w:t xml:space="preserve">In its </w:t>
      </w:r>
      <w:r w:rsidR="00DA026B">
        <w:t>written answer</w:t>
      </w:r>
      <w:r w:rsidRPr="006A2C86">
        <w:t xml:space="preserve">, </w:t>
      </w:r>
      <w:r w:rsidR="005F519F" w:rsidRPr="006A2C86">
        <w:t>the prosecu</w:t>
      </w:r>
      <w:r w:rsidR="000A15B5">
        <w:t>tion</w:t>
      </w:r>
      <w:r w:rsidR="005F519F" w:rsidRPr="006A2C86">
        <w:t xml:space="preserve"> alleges that the </w:t>
      </w:r>
      <w:r w:rsidR="008C2E2F">
        <w:t>defence</w:t>
      </w:r>
      <w:r w:rsidR="005F519F" w:rsidRPr="006A2C86">
        <w:t xml:space="preserve"> did not request the first available trial date and that this constitutes an implicit waiver on its part. </w:t>
      </w:r>
    </w:p>
    <w:p w14:paraId="2B0E0ED3" w14:textId="77777777" w:rsidR="002821A1" w:rsidRPr="006A2C86" w:rsidRDefault="00084D70">
      <w:pPr>
        <w:pStyle w:val="Paragraphe"/>
        <w:spacing w:line="240" w:lineRule="auto"/>
      </w:pPr>
      <w:r w:rsidRPr="006A2C86">
        <w:t xml:space="preserve">At the hearing, the </w:t>
      </w:r>
      <w:r w:rsidR="000A15B5">
        <w:t>prosecution</w:t>
      </w:r>
      <w:r w:rsidRPr="006A2C86">
        <w:t xml:space="preserve"> concede</w:t>
      </w:r>
      <w:r w:rsidR="00882F93">
        <w:t>d</w:t>
      </w:r>
      <w:r w:rsidRPr="006A2C86">
        <w:t xml:space="preserve"> that January 10, 2023</w:t>
      </w:r>
      <w:r w:rsidR="00882F93">
        <w:t>,</w:t>
      </w:r>
      <w:r w:rsidRPr="006A2C86">
        <w:t xml:space="preserve"> was the first available date for a </w:t>
      </w:r>
      <w:r w:rsidR="00D441D2" w:rsidRPr="006A2C86">
        <w:t xml:space="preserve">three-hour </w:t>
      </w:r>
      <w:r w:rsidRPr="006A2C86">
        <w:t xml:space="preserve">trial in Kangirsuk. </w:t>
      </w:r>
    </w:p>
    <w:p w14:paraId="555B6CFF" w14:textId="77777777" w:rsidR="002821A1" w:rsidRPr="006A2C86" w:rsidRDefault="00084D70">
      <w:pPr>
        <w:pStyle w:val="Paragraphe"/>
        <w:spacing w:line="240" w:lineRule="auto"/>
      </w:pPr>
      <w:r w:rsidRPr="006A2C86">
        <w:lastRenderedPageBreak/>
        <w:t xml:space="preserve">The </w:t>
      </w:r>
      <w:r w:rsidR="000A15B5">
        <w:t>prosecution</w:t>
      </w:r>
      <w:r w:rsidRPr="006A2C86">
        <w:t xml:space="preserve"> therefore modifie</w:t>
      </w:r>
      <w:r w:rsidR="00882F93">
        <w:t>d</w:t>
      </w:r>
      <w:r w:rsidRPr="006A2C86">
        <w:t xml:space="preserve"> its request and indicate</w:t>
      </w:r>
      <w:r w:rsidR="008D346A">
        <w:t>d</w:t>
      </w:r>
      <w:r w:rsidRPr="006A2C86">
        <w:t xml:space="preserve"> that the period attributable to the </w:t>
      </w:r>
      <w:r w:rsidR="00124B4D">
        <w:t>defence</w:t>
      </w:r>
      <w:r w:rsidRPr="006A2C86">
        <w:t xml:space="preserve"> should be the period between October 3</w:t>
      </w:r>
      <w:r w:rsidR="00722ECB">
        <w:t>, 2022,</w:t>
      </w:r>
      <w:r w:rsidRPr="006A2C86">
        <w:t xml:space="preserve"> and January 10, 2023.</w:t>
      </w:r>
    </w:p>
    <w:p w14:paraId="2F716341" w14:textId="77777777" w:rsidR="002821A1" w:rsidRPr="006A2C86" w:rsidRDefault="00084D70">
      <w:pPr>
        <w:pStyle w:val="Paragraphe"/>
        <w:spacing w:line="240" w:lineRule="auto"/>
      </w:pPr>
      <w:r>
        <w:t>O</w:t>
      </w:r>
      <w:r w:rsidR="00FF35DB" w:rsidRPr="006A2C86">
        <w:t xml:space="preserve">n March </w:t>
      </w:r>
      <w:r w:rsidR="00D441D2" w:rsidRPr="006A2C86">
        <w:t>1</w:t>
      </w:r>
      <w:r>
        <w:t>,</w:t>
      </w:r>
      <w:r w:rsidR="00FF35DB" w:rsidRPr="006A2C86">
        <w:t xml:space="preserve"> 2022, the </w:t>
      </w:r>
      <w:r w:rsidR="0013080D">
        <w:t>accused</w:t>
      </w:r>
      <w:r w:rsidR="00FF35DB" w:rsidRPr="006A2C86">
        <w:t xml:space="preserve"> was released with conditions, as the prosecution </w:t>
      </w:r>
      <w:r w:rsidR="00773AC0">
        <w:t>stated</w:t>
      </w:r>
      <w:r w:rsidR="00773AC0" w:rsidRPr="006A2C86">
        <w:t xml:space="preserve"> </w:t>
      </w:r>
      <w:r w:rsidR="00FF35DB" w:rsidRPr="006A2C86">
        <w:t xml:space="preserve">that it was awaiting the results of the forensic kit and was unable to provide them to the </w:t>
      </w:r>
      <w:r w:rsidR="0013080D">
        <w:t>accused</w:t>
      </w:r>
      <w:r w:rsidR="00FF35DB" w:rsidRPr="006A2C86">
        <w:t xml:space="preserve">. </w:t>
      </w:r>
    </w:p>
    <w:p w14:paraId="2BF98EAE" w14:textId="77777777" w:rsidR="002821A1" w:rsidRPr="006A2C86" w:rsidRDefault="00084D70">
      <w:pPr>
        <w:pStyle w:val="Paragraphe"/>
        <w:spacing w:line="240" w:lineRule="auto"/>
      </w:pPr>
      <w:r w:rsidRPr="006A2C86">
        <w:t xml:space="preserve">On September 26, 2022, the </w:t>
      </w:r>
      <w:r w:rsidR="0013080D">
        <w:t>accused</w:t>
      </w:r>
      <w:r w:rsidRPr="006A2C86">
        <w:t xml:space="preserve"> was arrested again and</w:t>
      </w:r>
      <w:r w:rsidR="00FF356F">
        <w:t>,</w:t>
      </w:r>
      <w:r w:rsidRPr="006A2C86">
        <w:t xml:space="preserve"> on September 28</w:t>
      </w:r>
      <w:r w:rsidR="00D441D2" w:rsidRPr="006A2C86">
        <w:t>,</w:t>
      </w:r>
      <w:r w:rsidR="00211032">
        <w:t xml:space="preserve"> 2022,</w:t>
      </w:r>
      <w:r w:rsidR="00D441D2" w:rsidRPr="006A2C86">
        <w:t xml:space="preserve"> </w:t>
      </w:r>
      <w:r w:rsidRPr="006A2C86">
        <w:t xml:space="preserve">he was detained in the present case. The </w:t>
      </w:r>
      <w:r w:rsidR="00124B4D">
        <w:t>defence</w:t>
      </w:r>
      <w:r w:rsidRPr="006A2C86">
        <w:t xml:space="preserve"> then asked to </w:t>
      </w:r>
      <w:r w:rsidR="00D441D2" w:rsidRPr="006A2C86">
        <w:t xml:space="preserve">postpone </w:t>
      </w:r>
      <w:r w:rsidRPr="006A2C86">
        <w:t xml:space="preserve">the case until October 3, 2022. On </w:t>
      </w:r>
      <w:r w:rsidR="00773AC0">
        <w:t xml:space="preserve">that </w:t>
      </w:r>
      <w:r w:rsidRPr="006A2C86">
        <w:t xml:space="preserve">date, the </w:t>
      </w:r>
      <w:r w:rsidR="00124B4D">
        <w:t>defence</w:t>
      </w:r>
      <w:r w:rsidRPr="006A2C86">
        <w:t xml:space="preserve"> </w:t>
      </w:r>
      <w:r w:rsidR="00D441D2" w:rsidRPr="006A2C86">
        <w:t xml:space="preserve">maintained </w:t>
      </w:r>
      <w:r w:rsidR="00D7572E" w:rsidRPr="006A2C86">
        <w:t xml:space="preserve">the </w:t>
      </w:r>
      <w:r w:rsidRPr="006A2C86">
        <w:t>trial date of January 10, 2023</w:t>
      </w:r>
      <w:r w:rsidR="00C723A0" w:rsidRPr="006A2C86">
        <w:t xml:space="preserve">. </w:t>
      </w:r>
    </w:p>
    <w:p w14:paraId="1FE3696D" w14:textId="77777777" w:rsidR="002821A1" w:rsidRPr="006A2C86" w:rsidRDefault="00084D70">
      <w:pPr>
        <w:pStyle w:val="Paragraphe"/>
        <w:spacing w:line="240" w:lineRule="auto"/>
      </w:pPr>
      <w:r>
        <w:t>T</w:t>
      </w:r>
      <w:r w:rsidR="00FF35DB" w:rsidRPr="006A2C86">
        <w:t xml:space="preserve">he </w:t>
      </w:r>
      <w:r w:rsidR="002212D1">
        <w:t>pr</w:t>
      </w:r>
      <w:r w:rsidR="00211032">
        <w:t>osecution</w:t>
      </w:r>
      <w:r w:rsidR="00FF35DB" w:rsidRPr="006A2C86">
        <w:t xml:space="preserve"> alleges that the </w:t>
      </w:r>
      <w:r w:rsidR="007B6108">
        <w:t>defence</w:t>
      </w:r>
      <w:r w:rsidR="00FF35DB" w:rsidRPr="006A2C86">
        <w:t xml:space="preserve"> should have verified </w:t>
      </w:r>
      <w:r w:rsidR="00D441D2" w:rsidRPr="006A2C86">
        <w:t xml:space="preserve">whether an </w:t>
      </w:r>
      <w:r w:rsidR="00FF35DB" w:rsidRPr="006A2C86">
        <w:t xml:space="preserve">earlier date </w:t>
      </w:r>
      <w:r w:rsidR="00D441D2" w:rsidRPr="006A2C86">
        <w:t xml:space="preserve">was </w:t>
      </w:r>
      <w:r w:rsidR="00FF35DB" w:rsidRPr="006A2C86">
        <w:t>available and that this constitutes an implicit waiver on its part.</w:t>
      </w:r>
    </w:p>
    <w:p w14:paraId="7250479F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7B6108">
        <w:t>defen</w:t>
      </w:r>
      <w:r w:rsidR="00124B4D">
        <w:t>c</w:t>
      </w:r>
      <w:r w:rsidR="007B6108">
        <w:t>e</w:t>
      </w:r>
      <w:r w:rsidRPr="006A2C86">
        <w:t xml:space="preserve"> alleges that it is judicial knowledge that it was inconceivable </w:t>
      </w:r>
      <w:r w:rsidR="00226C15" w:rsidRPr="006A2C86">
        <w:t xml:space="preserve">that a </w:t>
      </w:r>
      <w:r w:rsidRPr="006A2C86">
        <w:t xml:space="preserve">time slot </w:t>
      </w:r>
      <w:r w:rsidR="00226C15" w:rsidRPr="006A2C86">
        <w:t xml:space="preserve">would be </w:t>
      </w:r>
      <w:r w:rsidRPr="006A2C86">
        <w:t>available on that date.</w:t>
      </w:r>
    </w:p>
    <w:p w14:paraId="0CD8947A" w14:textId="77777777" w:rsidR="002821A1" w:rsidRPr="00ED03F0" w:rsidRDefault="00084D70">
      <w:pPr>
        <w:pStyle w:val="Paragraphe"/>
        <w:spacing w:line="240" w:lineRule="auto"/>
      </w:pPr>
      <w:r w:rsidRPr="006A2C86">
        <w:t xml:space="preserve">In </w:t>
      </w:r>
      <w:r w:rsidRPr="006A2C86">
        <w:rPr>
          <w:i/>
          <w:iCs/>
        </w:rPr>
        <w:t xml:space="preserve">Béliveau </w:t>
      </w:r>
      <w:r w:rsidRPr="00ED03F0">
        <w:rPr>
          <w:i/>
          <w:iCs/>
        </w:rPr>
        <w:t>v.</w:t>
      </w:r>
      <w:r w:rsidRPr="006A2C86">
        <w:t xml:space="preserve"> </w:t>
      </w:r>
      <w:r w:rsidRPr="006A2C86">
        <w:rPr>
          <w:i/>
          <w:iCs/>
        </w:rPr>
        <w:t>The Queen</w:t>
      </w:r>
      <w:r>
        <w:rPr>
          <w:rStyle w:val="Appelnotedebasdep"/>
          <w:lang w:val="fr-CA"/>
        </w:rPr>
        <w:footnoteReference w:id="6"/>
      </w:r>
      <w:r w:rsidR="00012DD3">
        <w:t>,</w:t>
      </w:r>
      <w:r w:rsidRPr="006A2C86">
        <w:t xml:space="preserve"> the Court of Appeal confirmed that the </w:t>
      </w:r>
      <w:r w:rsidR="000A15B5">
        <w:t>p</w:t>
      </w:r>
      <w:r w:rsidR="002212D1">
        <w:t>r</w:t>
      </w:r>
      <w:r w:rsidR="000A15B5">
        <w:t>osecution</w:t>
      </w:r>
      <w:r w:rsidRPr="006A2C86">
        <w:t xml:space="preserve"> has the burden of establishing, on a balance of probabilities, that the specific acts of the </w:t>
      </w:r>
      <w:r w:rsidR="007B6108">
        <w:t>defence</w:t>
      </w:r>
      <w:r w:rsidR="004F3845" w:rsidRPr="006A2C86">
        <w:t xml:space="preserve"> </w:t>
      </w:r>
      <w:r w:rsidRPr="006A2C86">
        <w:t xml:space="preserve">constitute an implied waiver. </w:t>
      </w:r>
      <w:r w:rsidRPr="00ED03F0">
        <w:t>We must therefore analyze the context.</w:t>
      </w:r>
    </w:p>
    <w:p w14:paraId="6BC4CD95" w14:textId="77777777" w:rsidR="002821A1" w:rsidRPr="006A2C86" w:rsidRDefault="00084D70">
      <w:pPr>
        <w:pStyle w:val="Paragraphe"/>
        <w:spacing w:line="240" w:lineRule="auto"/>
      </w:pPr>
      <w:r w:rsidRPr="006A2C86">
        <w:t>First of all, it</w:t>
      </w:r>
      <w:r w:rsidR="008D346A">
        <w:t xml:space="preserve"> is</w:t>
      </w:r>
      <w:r w:rsidRPr="006A2C86">
        <w:t xml:space="preserve"> important to mention that </w:t>
      </w:r>
      <w:r w:rsidR="008D346A">
        <w:t xml:space="preserve">the matter does not concern </w:t>
      </w:r>
      <w:r w:rsidRPr="006A2C86">
        <w:t xml:space="preserve">setting a case </w:t>
      </w:r>
      <w:r w:rsidR="008D346A">
        <w:t xml:space="preserve">down </w:t>
      </w:r>
      <w:r w:rsidR="00D441D2" w:rsidRPr="006A2C86">
        <w:t xml:space="preserve">for </w:t>
      </w:r>
      <w:r w:rsidRPr="006A2C86">
        <w:t xml:space="preserve">trial at the earliest available date, but rather keeping a date that was chosen in June 2022. This is six months later, and the </w:t>
      </w:r>
      <w:r w:rsidR="000A15B5">
        <w:t>prosecution</w:t>
      </w:r>
      <w:r w:rsidRPr="006A2C86">
        <w:t xml:space="preserve"> is criticizing the </w:t>
      </w:r>
      <w:r w:rsidR="007B6108">
        <w:t>defence</w:t>
      </w:r>
      <w:r w:rsidRPr="006A2C86">
        <w:t xml:space="preserve"> for not having </w:t>
      </w:r>
      <w:r w:rsidR="00D441D2" w:rsidRPr="006A2C86">
        <w:t xml:space="preserve">checked </w:t>
      </w:r>
      <w:r w:rsidR="00124B4D">
        <w:t>for an earlier available date.</w:t>
      </w:r>
      <w:r w:rsidR="00C723A0" w:rsidRPr="006A2C86">
        <w:t xml:space="preserve"> </w:t>
      </w:r>
    </w:p>
    <w:p w14:paraId="780FAEFB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There is no doubt in the </w:t>
      </w:r>
      <w:r w:rsidR="00882F93">
        <w:t>Court</w:t>
      </w:r>
      <w:r w:rsidRPr="006A2C86">
        <w:t>'s mind that advancing the case to October 3, 2022</w:t>
      </w:r>
      <w:r w:rsidR="008D346A">
        <w:t>,</w:t>
      </w:r>
      <w:r w:rsidRPr="006A2C86">
        <w:t xml:space="preserve"> was a proactive move on the part of the</w:t>
      </w:r>
      <w:r w:rsidR="00B4334B">
        <w:t xml:space="preserve"> </w:t>
      </w:r>
      <w:r w:rsidR="00500E16">
        <w:t>defence</w:t>
      </w:r>
      <w:r w:rsidRPr="006A2C86">
        <w:t xml:space="preserve">. This gave the </w:t>
      </w:r>
      <w:r w:rsidR="007B6108">
        <w:t>accused’s counsel</w:t>
      </w:r>
      <w:r w:rsidRPr="006A2C86">
        <w:t xml:space="preserve"> the opportunity to verify </w:t>
      </w:r>
      <w:r w:rsidR="00124B4D">
        <w:t>his</w:t>
      </w:r>
      <w:r w:rsidRPr="006A2C86">
        <w:t xml:space="preserve"> options w</w:t>
      </w:r>
      <w:r w:rsidR="007B6108">
        <w:t>ith the accused</w:t>
      </w:r>
      <w:r w:rsidR="00642DCE" w:rsidRPr="006A2C86">
        <w:t xml:space="preserve">, who was </w:t>
      </w:r>
      <w:r w:rsidRPr="006A2C86">
        <w:t>still in custody</w:t>
      </w:r>
      <w:r w:rsidR="00642DCE" w:rsidRPr="006A2C86">
        <w:t xml:space="preserve">, </w:t>
      </w:r>
      <w:r w:rsidRPr="006A2C86">
        <w:t xml:space="preserve">and to </w:t>
      </w:r>
      <w:r w:rsidR="00642DCE" w:rsidRPr="006A2C86">
        <w:t xml:space="preserve">modify </w:t>
      </w:r>
      <w:r w:rsidRPr="006A2C86">
        <w:t xml:space="preserve">the direction of the case according to </w:t>
      </w:r>
      <w:r w:rsidR="006860DA">
        <w:t>his</w:t>
      </w:r>
      <w:r w:rsidRPr="006A2C86">
        <w:t xml:space="preserve"> mandate. The</w:t>
      </w:r>
      <w:r w:rsidR="007B6108">
        <w:t xml:space="preserve"> defence</w:t>
      </w:r>
      <w:r w:rsidRPr="006A2C86">
        <w:t xml:space="preserve"> could simply have kept the trial date of January 10, 2023, and not requested a </w:t>
      </w:r>
      <w:r w:rsidRPr="00ED03F0">
        <w:rPr>
          <w:i/>
          <w:iCs/>
        </w:rPr>
        <w:t>pro forma</w:t>
      </w:r>
      <w:r w:rsidRPr="006A2C86">
        <w:t xml:space="preserve"> on October 3, 2022.</w:t>
      </w:r>
    </w:p>
    <w:p w14:paraId="0CB8DC15" w14:textId="77777777" w:rsidR="002821A1" w:rsidRPr="006A2C86" w:rsidRDefault="00084D70">
      <w:pPr>
        <w:pStyle w:val="Paragraphe"/>
        <w:spacing w:line="240" w:lineRule="auto"/>
      </w:pPr>
      <w:r w:rsidRPr="006A2C86">
        <w:t>It would have been surprising</w:t>
      </w:r>
      <w:r w:rsidR="00642DCE" w:rsidRPr="006A2C86">
        <w:t xml:space="preserve">, </w:t>
      </w:r>
      <w:r w:rsidR="001E7339" w:rsidRPr="006A2C86">
        <w:t xml:space="preserve">if not </w:t>
      </w:r>
      <w:r w:rsidRPr="006A2C86">
        <w:t>impossible</w:t>
      </w:r>
      <w:r w:rsidR="00642DCE" w:rsidRPr="006A2C86">
        <w:t xml:space="preserve">, </w:t>
      </w:r>
      <w:r w:rsidR="008D346A">
        <w:t>for</w:t>
      </w:r>
      <w:r w:rsidR="008D346A" w:rsidRPr="006A2C86">
        <w:t xml:space="preserve"> </w:t>
      </w:r>
      <w:r w:rsidRPr="006A2C86">
        <w:t xml:space="preserve">an earlier date </w:t>
      </w:r>
      <w:r w:rsidR="008D346A">
        <w:t xml:space="preserve">to have </w:t>
      </w:r>
      <w:r w:rsidRPr="006A2C86">
        <w:t xml:space="preserve">been available for a three-hour trial. </w:t>
      </w:r>
    </w:p>
    <w:p w14:paraId="2ADFBFB6" w14:textId="77777777" w:rsidR="002821A1" w:rsidRPr="006A2C86" w:rsidRDefault="00084D70">
      <w:pPr>
        <w:pStyle w:val="Paragraphe"/>
        <w:spacing w:line="240" w:lineRule="auto"/>
      </w:pPr>
      <w:r w:rsidRPr="006A2C86">
        <w:t xml:space="preserve">First, it must be a date dedicated to the community of Kangirsuk. According to the 2022-2023 judicial calendar, the </w:t>
      </w:r>
      <w:r w:rsidR="008D346A">
        <w:t>C</w:t>
      </w:r>
      <w:r w:rsidR="00BB42EF" w:rsidRPr="006A2C86">
        <w:t xml:space="preserve">ourt </w:t>
      </w:r>
      <w:r w:rsidRPr="006A2C86">
        <w:t xml:space="preserve">would travel to this community </w:t>
      </w:r>
      <w:r w:rsidR="00B46038" w:rsidRPr="006A2C86">
        <w:t xml:space="preserve">in </w:t>
      </w:r>
      <w:r w:rsidRPr="006A2C86">
        <w:t xml:space="preserve">the week of October 24, 2022, and the </w:t>
      </w:r>
      <w:r w:rsidR="008D346A">
        <w:t xml:space="preserve">next time </w:t>
      </w:r>
      <w:r w:rsidRPr="006A2C86">
        <w:t xml:space="preserve">would be </w:t>
      </w:r>
      <w:r w:rsidR="008D346A">
        <w:t xml:space="preserve">on </w:t>
      </w:r>
      <w:r w:rsidRPr="006A2C86">
        <w:t xml:space="preserve">January 10, 2023. </w:t>
      </w:r>
    </w:p>
    <w:p w14:paraId="64CA77CA" w14:textId="77777777" w:rsidR="002821A1" w:rsidRPr="006A2C86" w:rsidRDefault="00084D70">
      <w:pPr>
        <w:pStyle w:val="Paragraphe"/>
        <w:spacing w:line="240" w:lineRule="auto"/>
      </w:pPr>
      <w:r w:rsidRPr="006A2C86">
        <w:lastRenderedPageBreak/>
        <w:t xml:space="preserve">Second, it is common knowledge that the trial calendar in Nunavik is </w:t>
      </w:r>
      <w:r w:rsidR="00987F0A">
        <w:t>full</w:t>
      </w:r>
      <w:r w:rsidR="00913DEE">
        <w:t>, with</w:t>
      </w:r>
      <w:r w:rsidR="007B6108">
        <w:t xml:space="preserve"> fifteen (</w:t>
      </w:r>
      <w:r w:rsidRPr="006A2C86">
        <w:t>15</w:t>
      </w:r>
      <w:r w:rsidR="007B6108">
        <w:t>)</w:t>
      </w:r>
      <w:r w:rsidRPr="006A2C86">
        <w:t xml:space="preserve"> </w:t>
      </w:r>
      <w:r w:rsidR="00987F0A">
        <w:t>to</w:t>
      </w:r>
      <w:r w:rsidR="007B6108">
        <w:t xml:space="preserve"> forty-five</w:t>
      </w:r>
      <w:r w:rsidR="00987F0A">
        <w:t xml:space="preserve"> </w:t>
      </w:r>
      <w:r w:rsidR="007B6108">
        <w:t>(</w:t>
      </w:r>
      <w:r w:rsidRPr="00721551">
        <w:t>45</w:t>
      </w:r>
      <w:r w:rsidR="007B6108">
        <w:t>)</w:t>
      </w:r>
      <w:r w:rsidRPr="00721551">
        <w:t xml:space="preserve"> </w:t>
      </w:r>
      <w:r w:rsidRPr="006A2C86">
        <w:t xml:space="preserve">hours </w:t>
      </w:r>
      <w:r w:rsidR="00913DEE">
        <w:t xml:space="preserve">of trials </w:t>
      </w:r>
      <w:r w:rsidRPr="006A2C86">
        <w:t>a day</w:t>
      </w:r>
      <w:r>
        <w:rPr>
          <w:rStyle w:val="Appelnotedebasdep"/>
        </w:rPr>
        <w:footnoteReference w:id="7"/>
      </w:r>
      <w:r w:rsidRPr="006A2C86">
        <w:t>. The community of Kangirsuk is not spared</w:t>
      </w:r>
      <w:r w:rsidR="00642DCE" w:rsidRPr="006A2C86">
        <w:t xml:space="preserve">, </w:t>
      </w:r>
      <w:r w:rsidRPr="006A2C86">
        <w:t xml:space="preserve">especially since the </w:t>
      </w:r>
      <w:r w:rsidR="009D507D">
        <w:t>C</w:t>
      </w:r>
      <w:r w:rsidR="00BB42EF" w:rsidRPr="006A2C86">
        <w:t xml:space="preserve">ourt </w:t>
      </w:r>
      <w:r w:rsidRPr="006A2C86">
        <w:t xml:space="preserve">travels to the village </w:t>
      </w:r>
      <w:r w:rsidR="009D507D">
        <w:t xml:space="preserve">only </w:t>
      </w:r>
      <w:r w:rsidRPr="006A2C86">
        <w:t xml:space="preserve">three times a year. </w:t>
      </w:r>
    </w:p>
    <w:p w14:paraId="466275F2" w14:textId="77777777" w:rsidR="002821A1" w:rsidRPr="006A2C86" w:rsidRDefault="00084D70">
      <w:pPr>
        <w:pStyle w:val="Paragraphe"/>
        <w:spacing w:line="240" w:lineRule="auto"/>
      </w:pPr>
      <w:r w:rsidRPr="006A2C86">
        <w:t xml:space="preserve">Finally, the </w:t>
      </w:r>
      <w:r w:rsidR="007B6108" w:rsidRPr="006A2C86">
        <w:t>p</w:t>
      </w:r>
      <w:r w:rsidR="007B6108">
        <w:t>rosecution</w:t>
      </w:r>
      <w:r w:rsidRPr="006A2C86">
        <w:t xml:space="preserve"> was better placed than anyone else to know the status of the docket </w:t>
      </w:r>
      <w:r w:rsidR="009D507D">
        <w:t>on</w:t>
      </w:r>
      <w:r w:rsidR="009D507D" w:rsidRPr="006A2C86">
        <w:t xml:space="preserve"> </w:t>
      </w:r>
      <w:r w:rsidRPr="006A2C86">
        <w:t>that date, and it was its constitutional obligation to inform the parties in the event that</w:t>
      </w:r>
      <w:r w:rsidR="00642DCE" w:rsidRPr="006A2C86">
        <w:t xml:space="preserve">, </w:t>
      </w:r>
      <w:r w:rsidRPr="006A2C86">
        <w:t>miraculously, a time slot was available</w:t>
      </w:r>
      <w:r w:rsidR="00C723A0" w:rsidRPr="006A2C86">
        <w:t xml:space="preserve">. </w:t>
      </w:r>
    </w:p>
    <w:p w14:paraId="4A539E87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Pr="006A2C86">
        <w:t xml:space="preserve"> </w:t>
      </w:r>
      <w:r w:rsidR="005F519F" w:rsidRPr="006A2C86">
        <w:t xml:space="preserve">wishes </w:t>
      </w:r>
      <w:r w:rsidR="00642DCE" w:rsidRPr="006A2C86">
        <w:t xml:space="preserve">to point out </w:t>
      </w:r>
      <w:r w:rsidR="005F519F" w:rsidRPr="006A2C86">
        <w:t>here that the</w:t>
      </w:r>
      <w:r w:rsidR="002212D1">
        <w:t xml:space="preserve"> </w:t>
      </w:r>
      <w:r w:rsidR="005F519F" w:rsidRPr="006A2C86">
        <w:t xml:space="preserve">evidence </w:t>
      </w:r>
      <w:r w:rsidR="00B46038" w:rsidRPr="006A2C86">
        <w:t xml:space="preserve">in relation to the charge in this file </w:t>
      </w:r>
      <w:r w:rsidR="00721551">
        <w:t>was</w:t>
      </w:r>
      <w:r w:rsidR="00721551" w:rsidRPr="006A2C86">
        <w:t xml:space="preserve"> </w:t>
      </w:r>
      <w:r w:rsidR="005F519F" w:rsidRPr="006A2C86">
        <w:t xml:space="preserve">still not complete as of </w:t>
      </w:r>
      <w:r w:rsidR="00B46038" w:rsidRPr="006A2C86">
        <w:t>October 3, 2022</w:t>
      </w:r>
      <w:r w:rsidR="005F519F" w:rsidRPr="006A2C86">
        <w:t xml:space="preserve">. The </w:t>
      </w:r>
      <w:r w:rsidR="0013080D">
        <w:t>accused</w:t>
      </w:r>
      <w:r w:rsidR="005F519F" w:rsidRPr="006A2C86">
        <w:t xml:space="preserve">'s DNA results were forwarded to the </w:t>
      </w:r>
      <w:r w:rsidR="00D60233">
        <w:t>accused</w:t>
      </w:r>
      <w:r w:rsidR="005F519F" w:rsidRPr="006A2C86">
        <w:t xml:space="preserve"> on October 13, 2022.</w:t>
      </w:r>
    </w:p>
    <w:p w14:paraId="04F5842D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Pr="006A2C86">
        <w:t xml:space="preserve"> </w:t>
      </w:r>
      <w:r w:rsidR="005F519F" w:rsidRPr="006A2C86">
        <w:t>therefore conclude</w:t>
      </w:r>
      <w:r w:rsidR="009D507D">
        <w:t>s</w:t>
      </w:r>
      <w:r w:rsidR="005F519F" w:rsidRPr="006A2C86">
        <w:t xml:space="preserve"> that </w:t>
      </w:r>
      <w:r w:rsidR="003C788D">
        <w:t>defence counsel</w:t>
      </w:r>
      <w:r w:rsidR="005F519F" w:rsidRPr="006A2C86">
        <w:t xml:space="preserve"> acquiesced </w:t>
      </w:r>
      <w:r w:rsidR="009D507D">
        <w:t>to</w:t>
      </w:r>
      <w:r w:rsidR="009D507D" w:rsidRPr="006A2C86">
        <w:t xml:space="preserve"> </w:t>
      </w:r>
      <w:r w:rsidR="005F519F" w:rsidRPr="006A2C86">
        <w:t xml:space="preserve">the inevitable and that the quickest option was to </w:t>
      </w:r>
      <w:r w:rsidR="009D507D">
        <w:t>keep</w:t>
      </w:r>
      <w:r w:rsidR="009D507D" w:rsidRPr="006A2C86">
        <w:t xml:space="preserve"> </w:t>
      </w:r>
      <w:r w:rsidR="005F519F" w:rsidRPr="006A2C86">
        <w:t xml:space="preserve">the date of January 10, 2023. At this point, the </w:t>
      </w:r>
      <w:r w:rsidR="0013080D">
        <w:t>accused</w:t>
      </w:r>
      <w:r w:rsidR="005F519F" w:rsidRPr="006A2C86">
        <w:t xml:space="preserve"> is still in</w:t>
      </w:r>
      <w:r w:rsidR="008D4DC5">
        <w:t xml:space="preserve"> detention</w:t>
      </w:r>
      <w:r w:rsidR="005F519F" w:rsidRPr="006A2C86">
        <w:t>, and it is implausible to think that he would not wish to have his trial at the earliest possible date, which is also his constitutional right.</w:t>
      </w:r>
    </w:p>
    <w:p w14:paraId="59DC71BC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This is not a </w:t>
      </w:r>
      <w:r w:rsidR="005F519F" w:rsidRPr="006A2C86">
        <w:t xml:space="preserve">time limit the </w:t>
      </w:r>
      <w:r w:rsidR="003C788D">
        <w:t>defence</w:t>
      </w:r>
      <w:r w:rsidR="005F519F" w:rsidRPr="006A2C86">
        <w:t xml:space="preserve"> has implicitly waived</w:t>
      </w:r>
      <w:r w:rsidR="00642DCE" w:rsidRPr="006A2C86">
        <w:t xml:space="preserve">, since the </w:t>
      </w:r>
      <w:r w:rsidR="000A15B5">
        <w:t>p</w:t>
      </w:r>
      <w:r w:rsidR="002212D1">
        <w:t>r</w:t>
      </w:r>
      <w:r w:rsidR="000A15B5">
        <w:t>osecution</w:t>
      </w:r>
      <w:r w:rsidR="00642DCE" w:rsidRPr="006A2C86">
        <w:t xml:space="preserve"> has not met its burden.</w:t>
      </w:r>
    </w:p>
    <w:p w14:paraId="79042CC2" w14:textId="77777777" w:rsidR="002821A1" w:rsidRPr="006A2C86" w:rsidRDefault="00084D70">
      <w:pPr>
        <w:pStyle w:val="Titre4"/>
      </w:pPr>
      <w:r w:rsidRPr="006A2C86">
        <w:t>Period from January 10, 2023 to April 11, 2023</w:t>
      </w:r>
      <w:r w:rsidR="003C788D">
        <w:t xml:space="preserve"> (</w:t>
      </w:r>
      <w:r w:rsidRPr="006A2C86">
        <w:t>91 days</w:t>
      </w:r>
      <w:r w:rsidR="003C788D">
        <w:t>)</w:t>
      </w:r>
    </w:p>
    <w:p w14:paraId="30360B29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trial </w:t>
      </w:r>
      <w:r w:rsidR="009D507D">
        <w:t>began</w:t>
      </w:r>
      <w:r w:rsidR="009D507D" w:rsidRPr="006A2C86">
        <w:t xml:space="preserve"> </w:t>
      </w:r>
      <w:r w:rsidRPr="006A2C86">
        <w:t xml:space="preserve">on January 10, 2023. On that date, the </w:t>
      </w:r>
      <w:r w:rsidR="000A15B5">
        <w:t>prosecution</w:t>
      </w:r>
      <w:r w:rsidRPr="006A2C86">
        <w:t xml:space="preserve"> intend</w:t>
      </w:r>
      <w:r w:rsidR="00F43F83">
        <w:t>ed</w:t>
      </w:r>
      <w:r w:rsidRPr="006A2C86">
        <w:t xml:space="preserve"> to file the second expert report on the </w:t>
      </w:r>
      <w:r w:rsidR="0013080D">
        <w:t>accused</w:t>
      </w:r>
      <w:r w:rsidRPr="006A2C86">
        <w:t xml:space="preserve">'s DNA evidence. </w:t>
      </w:r>
    </w:p>
    <w:p w14:paraId="2456E0F7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B4334B">
        <w:t>defence</w:t>
      </w:r>
      <w:r w:rsidRPr="006A2C86">
        <w:t xml:space="preserve"> object</w:t>
      </w:r>
      <w:r w:rsidR="00F43F83">
        <w:t>ed</w:t>
      </w:r>
      <w:r w:rsidRPr="006A2C86">
        <w:t xml:space="preserve">, </w:t>
      </w:r>
      <w:r w:rsidR="00F43F83">
        <w:t>arguing</w:t>
      </w:r>
      <w:r w:rsidR="00F43F83" w:rsidRPr="006A2C86">
        <w:t xml:space="preserve"> </w:t>
      </w:r>
      <w:r w:rsidRPr="006A2C86">
        <w:t xml:space="preserve">that the </w:t>
      </w:r>
      <w:r w:rsidR="000A15B5">
        <w:t>p</w:t>
      </w:r>
      <w:r w:rsidR="002212D1">
        <w:t>r</w:t>
      </w:r>
      <w:r w:rsidR="000A15B5">
        <w:t>osecution</w:t>
      </w:r>
      <w:r w:rsidRPr="006A2C86">
        <w:t xml:space="preserve"> ha</w:t>
      </w:r>
      <w:r w:rsidR="00F43F83">
        <w:t>d</w:t>
      </w:r>
      <w:r w:rsidRPr="006A2C86">
        <w:t xml:space="preserve"> not </w:t>
      </w:r>
      <w:r w:rsidR="00C32D6E">
        <w:t>given</w:t>
      </w:r>
      <w:r w:rsidR="00C32D6E" w:rsidRPr="006A2C86">
        <w:t xml:space="preserve"> </w:t>
      </w:r>
      <w:r w:rsidRPr="006A2C86">
        <w:t xml:space="preserve">the notice required under section 657.3(b) of the </w:t>
      </w:r>
      <w:r w:rsidRPr="00ED03F0">
        <w:rPr>
          <w:i/>
          <w:iCs/>
        </w:rPr>
        <w:t>Criminal Code</w:t>
      </w:r>
      <w:r w:rsidRPr="006A2C86">
        <w:t xml:space="preserve">. A </w:t>
      </w:r>
      <w:r w:rsidR="008D4DC5">
        <w:t>postponement</w:t>
      </w:r>
      <w:r w:rsidRPr="006A2C86">
        <w:t xml:space="preserve"> </w:t>
      </w:r>
      <w:r w:rsidR="00F43F83">
        <w:t>was</w:t>
      </w:r>
      <w:r w:rsidR="00F43F83" w:rsidRPr="006A2C86">
        <w:t xml:space="preserve"> </w:t>
      </w:r>
      <w:r w:rsidRPr="006A2C86">
        <w:t xml:space="preserve">granted as a remedy under section 657.3(4) of the </w:t>
      </w:r>
      <w:r w:rsidRPr="00ED03F0">
        <w:rPr>
          <w:i/>
          <w:iCs/>
        </w:rPr>
        <w:t xml:space="preserve">Criminal </w:t>
      </w:r>
      <w:r w:rsidR="00642DCE" w:rsidRPr="00ED03F0">
        <w:rPr>
          <w:i/>
          <w:iCs/>
        </w:rPr>
        <w:t>Code</w:t>
      </w:r>
      <w:r w:rsidR="00642DCE" w:rsidRPr="006A2C86">
        <w:t>.</w:t>
      </w:r>
    </w:p>
    <w:p w14:paraId="340118A2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2212D1">
        <w:t>prosecut</w:t>
      </w:r>
      <w:r w:rsidR="000A15B5">
        <w:t>ion</w:t>
      </w:r>
      <w:r w:rsidRPr="006A2C86">
        <w:t xml:space="preserve"> alleges that this delay should be attributable to the </w:t>
      </w:r>
      <w:r w:rsidR="00B4334B">
        <w:t>defence.</w:t>
      </w:r>
    </w:p>
    <w:p w14:paraId="291ABB78" w14:textId="77777777" w:rsidR="002821A1" w:rsidRPr="006A2C86" w:rsidRDefault="00084D70">
      <w:pPr>
        <w:pStyle w:val="Paragraphe"/>
        <w:spacing w:line="240" w:lineRule="auto"/>
      </w:pPr>
      <w:r w:rsidRPr="006A2C86">
        <w:t>The</w:t>
      </w:r>
      <w:r w:rsidR="00B4334B">
        <w:t xml:space="preserve"> </w:t>
      </w:r>
      <w:r w:rsidR="00124B4D">
        <w:t>defence</w:t>
      </w:r>
      <w:r w:rsidR="004F3845" w:rsidRPr="006A2C86">
        <w:t xml:space="preserve"> </w:t>
      </w:r>
      <w:r w:rsidRPr="006A2C86">
        <w:t xml:space="preserve">argues that the </w:t>
      </w:r>
      <w:r w:rsidR="000A15B5">
        <w:t>p</w:t>
      </w:r>
      <w:r w:rsidR="002212D1">
        <w:t>r</w:t>
      </w:r>
      <w:r w:rsidR="000A15B5">
        <w:t>osecution</w:t>
      </w:r>
      <w:r w:rsidRPr="006A2C86">
        <w:t xml:space="preserve"> should have fulfilled its </w:t>
      </w:r>
      <w:r w:rsidR="00C32EE6">
        <w:t>duty</w:t>
      </w:r>
      <w:r w:rsidR="00C32EE6" w:rsidRPr="006A2C86">
        <w:t xml:space="preserve"> </w:t>
      </w:r>
      <w:r w:rsidRPr="006A2C86">
        <w:t>to disclose evidence and compl</w:t>
      </w:r>
      <w:r w:rsidR="00F43F83">
        <w:t>ied</w:t>
      </w:r>
      <w:r w:rsidRPr="006A2C86">
        <w:t xml:space="preserve"> with its obligations under </w:t>
      </w:r>
      <w:r w:rsidRPr="00F43F83">
        <w:t>the</w:t>
      </w:r>
      <w:r w:rsidRPr="00ED03F0">
        <w:rPr>
          <w:i/>
          <w:iCs/>
        </w:rPr>
        <w:t xml:space="preserve"> Criminal Code</w:t>
      </w:r>
      <w:r w:rsidRPr="006A2C86">
        <w:t xml:space="preserve">. </w:t>
      </w:r>
    </w:p>
    <w:p w14:paraId="0196C26A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prosecution alleges that it had already </w:t>
      </w:r>
      <w:r w:rsidR="00C32D6E">
        <w:t>given</w:t>
      </w:r>
      <w:r w:rsidR="00C32D6E" w:rsidRPr="006A2C86">
        <w:t xml:space="preserve"> </w:t>
      </w:r>
      <w:r w:rsidRPr="006A2C86">
        <w:t xml:space="preserve">notice </w:t>
      </w:r>
      <w:r w:rsidR="00C32EE6">
        <w:t>of</w:t>
      </w:r>
      <w:r w:rsidRPr="006A2C86">
        <w:t xml:space="preserve"> the first expert report concerning male </w:t>
      </w:r>
      <w:r w:rsidR="00D24A91" w:rsidRPr="006A2C86">
        <w:t>DNA</w:t>
      </w:r>
      <w:r w:rsidR="00C32EE6">
        <w:t xml:space="preserve"> </w:t>
      </w:r>
      <w:r w:rsidR="00C32EE6" w:rsidRPr="006A2C86">
        <w:t>on October 26, 2021</w:t>
      </w:r>
      <w:r w:rsidR="00D14290" w:rsidRPr="006A2C86">
        <w:t xml:space="preserve">, </w:t>
      </w:r>
      <w:r w:rsidRPr="006A2C86">
        <w:t xml:space="preserve">and that </w:t>
      </w:r>
      <w:r w:rsidR="00C32EE6">
        <w:t>when it sent</w:t>
      </w:r>
      <w:r w:rsidRPr="006A2C86">
        <w:t xml:space="preserve"> the second expert report on October 13, 2022, the </w:t>
      </w:r>
      <w:r w:rsidR="00B4334B">
        <w:t>defence</w:t>
      </w:r>
      <w:r w:rsidRPr="006A2C86">
        <w:t xml:space="preserve"> should have realized that </w:t>
      </w:r>
      <w:r w:rsidR="00124B4D">
        <w:t>the prosecution</w:t>
      </w:r>
      <w:r w:rsidRPr="006A2C86">
        <w:t xml:space="preserve"> wished to file this second report in evidence.</w:t>
      </w:r>
    </w:p>
    <w:p w14:paraId="0FAD0B7E" w14:textId="77777777" w:rsidR="002821A1" w:rsidRPr="006A2C86" w:rsidRDefault="00084D70">
      <w:pPr>
        <w:pStyle w:val="Paragraphe"/>
        <w:spacing w:line="240" w:lineRule="auto"/>
      </w:pPr>
      <w:r w:rsidRPr="006A2C86">
        <w:t xml:space="preserve">It is important to remember that the </w:t>
      </w:r>
      <w:r w:rsidR="0013080D">
        <w:t>accused</w:t>
      </w:r>
      <w:r w:rsidRPr="006A2C86">
        <w:t xml:space="preserve">'s current </w:t>
      </w:r>
      <w:r w:rsidR="004F3845">
        <w:t>counsel</w:t>
      </w:r>
      <w:r w:rsidR="004F3845" w:rsidRPr="006A2C86">
        <w:t xml:space="preserve"> </w:t>
      </w:r>
      <w:r w:rsidR="00C32EE6">
        <w:t xml:space="preserve">took </w:t>
      </w:r>
      <w:r w:rsidRPr="006A2C86">
        <w:t>on the case at the end of September 2022</w:t>
      </w:r>
      <w:r w:rsidR="00C723A0" w:rsidRPr="006A2C86">
        <w:t xml:space="preserve">. </w:t>
      </w:r>
    </w:p>
    <w:p w14:paraId="7C9E8FFA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0A15B5">
        <w:t>p</w:t>
      </w:r>
      <w:r w:rsidR="002212D1">
        <w:t>r</w:t>
      </w:r>
      <w:r w:rsidR="000A15B5">
        <w:t>osecution</w:t>
      </w:r>
      <w:r w:rsidRPr="006A2C86">
        <w:t xml:space="preserve"> should have been doubly cautious and </w:t>
      </w:r>
      <w:r w:rsidR="00C32D6E">
        <w:t>given</w:t>
      </w:r>
      <w:r w:rsidRPr="006A2C86">
        <w:t xml:space="preserve"> notice</w:t>
      </w:r>
      <w:r w:rsidR="00252FF7" w:rsidRPr="006A2C86">
        <w:t xml:space="preserve">, as </w:t>
      </w:r>
      <w:r w:rsidRPr="006A2C86">
        <w:t xml:space="preserve">required by the </w:t>
      </w:r>
      <w:r w:rsidRPr="00ED03F0">
        <w:rPr>
          <w:i/>
          <w:iCs/>
        </w:rPr>
        <w:t>Criminal Code</w:t>
      </w:r>
      <w:r w:rsidRPr="006A2C86">
        <w:t xml:space="preserve">. The </w:t>
      </w:r>
      <w:r w:rsidR="002212D1">
        <w:t>prosecut</w:t>
      </w:r>
      <w:r w:rsidR="000A15B5">
        <w:t>ion</w:t>
      </w:r>
      <w:r w:rsidRPr="006A2C86">
        <w:t xml:space="preserve"> should also have ensured that the </w:t>
      </w:r>
      <w:r w:rsidR="00124B4D">
        <w:t xml:space="preserve">accused’s </w:t>
      </w:r>
      <w:r w:rsidRPr="006A2C86">
        <w:lastRenderedPageBreak/>
        <w:t xml:space="preserve">lawyer was in possession of the October 2021 notice. The argument that </w:t>
      </w:r>
      <w:r w:rsidR="00124B4D">
        <w:t xml:space="preserve">the </w:t>
      </w:r>
      <w:r w:rsidR="00D60233">
        <w:t>accused</w:t>
      </w:r>
      <w:r w:rsidR="00124B4D">
        <w:t xml:space="preserve">’s </w:t>
      </w:r>
      <w:r w:rsidRPr="006A2C86">
        <w:t xml:space="preserve">counsel must have realized that the </w:t>
      </w:r>
      <w:r w:rsidR="000A15B5">
        <w:t>p</w:t>
      </w:r>
      <w:r w:rsidR="002212D1">
        <w:t>r</w:t>
      </w:r>
      <w:r w:rsidR="000A15B5">
        <w:t>osecution</w:t>
      </w:r>
      <w:r w:rsidRPr="006A2C86">
        <w:t xml:space="preserve"> wanted to file this second report is unconvincing</w:t>
      </w:r>
      <w:r w:rsidR="00C723A0" w:rsidRPr="006A2C86">
        <w:t xml:space="preserve">. </w:t>
      </w:r>
    </w:p>
    <w:p w14:paraId="6A065FCB" w14:textId="77777777" w:rsidR="002821A1" w:rsidRPr="006A2C86" w:rsidRDefault="00084D70">
      <w:pPr>
        <w:pStyle w:val="Paragraphe"/>
        <w:spacing w:line="240" w:lineRule="auto"/>
      </w:pPr>
      <w:r w:rsidRPr="006A2C86">
        <w:t xml:space="preserve">Moreover, in his motion for a stay of proceedings, the </w:t>
      </w:r>
      <w:r w:rsidR="0013080D">
        <w:t>accused</w:t>
      </w:r>
      <w:r w:rsidR="004F3845">
        <w:t>’s counsel</w:t>
      </w:r>
      <w:r w:rsidRPr="006A2C86">
        <w:t xml:space="preserve"> alleged that he did not have the results of the October 2021 test in his possession. The </w:t>
      </w:r>
      <w:r w:rsidR="000A15B5">
        <w:t>prosecution</w:t>
      </w:r>
      <w:r w:rsidRPr="006A2C86">
        <w:t xml:space="preserve"> could not assume that </w:t>
      </w:r>
      <w:r w:rsidR="00124B4D">
        <w:t xml:space="preserve">the </w:t>
      </w:r>
      <w:r w:rsidR="00D60233">
        <w:t>accused</w:t>
      </w:r>
      <w:r w:rsidR="00124B4D">
        <w:t>’s</w:t>
      </w:r>
      <w:r w:rsidRPr="006A2C86">
        <w:t xml:space="preserve"> </w:t>
      </w:r>
      <w:r w:rsidR="00773AC0">
        <w:t xml:space="preserve">counsel </w:t>
      </w:r>
      <w:r w:rsidR="00D7572E" w:rsidRPr="006A2C86">
        <w:t xml:space="preserve">had </w:t>
      </w:r>
      <w:r w:rsidRPr="006A2C86">
        <w:t>them in his possession</w:t>
      </w:r>
      <w:r w:rsidR="00C723A0" w:rsidRPr="006A2C86">
        <w:t xml:space="preserve">. </w:t>
      </w:r>
    </w:p>
    <w:p w14:paraId="1195DB9F" w14:textId="77777777" w:rsidR="002821A1" w:rsidRPr="00ED03F0" w:rsidRDefault="00084D70">
      <w:pPr>
        <w:pStyle w:val="Paragraphe"/>
        <w:spacing w:line="240" w:lineRule="auto"/>
      </w:pPr>
      <w:r w:rsidRPr="006A2C86">
        <w:t xml:space="preserve">The </w:t>
      </w:r>
      <w:r w:rsidRPr="00ED03F0">
        <w:rPr>
          <w:i/>
          <w:iCs/>
        </w:rPr>
        <w:t>Criminal Code</w:t>
      </w:r>
      <w:r w:rsidRPr="006A2C86">
        <w:t xml:space="preserve"> is clear</w:t>
      </w:r>
      <w:r w:rsidR="00440B99">
        <w:t>.</w:t>
      </w:r>
      <w:r w:rsidRPr="006A2C86">
        <w:t xml:space="preserve"> </w:t>
      </w:r>
      <w:r w:rsidR="00440B99">
        <w:t>T</w:t>
      </w:r>
      <w:r w:rsidRPr="006A2C86">
        <w:t xml:space="preserve">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must </w:t>
      </w:r>
      <w:r w:rsidR="00C32D6E">
        <w:t>give</w:t>
      </w:r>
      <w:r w:rsidR="00C32D6E" w:rsidRPr="006A2C86">
        <w:t xml:space="preserve"> </w:t>
      </w:r>
      <w:r w:rsidRPr="006A2C86">
        <w:t xml:space="preserve">this notice to the </w:t>
      </w:r>
      <w:r w:rsidR="00124B4D">
        <w:t>defence</w:t>
      </w:r>
      <w:r w:rsidRPr="006A2C86">
        <w:t xml:space="preserve"> to allow the latter the opportunity to request the </w:t>
      </w:r>
      <w:r w:rsidR="006860DA">
        <w:t xml:space="preserve">expert </w:t>
      </w:r>
      <w:r w:rsidRPr="006A2C86">
        <w:t xml:space="preserve">witness's presence </w:t>
      </w:r>
      <w:r w:rsidR="00252FF7" w:rsidRPr="006A2C86">
        <w:t xml:space="preserve">for </w:t>
      </w:r>
      <w:r w:rsidRPr="006A2C86">
        <w:t xml:space="preserve">cross-examination and to prepare its </w:t>
      </w:r>
      <w:r w:rsidR="003C788D">
        <w:t>defence</w:t>
      </w:r>
      <w:r w:rsidRPr="006A2C86">
        <w:t xml:space="preserve">. This </w:t>
      </w:r>
      <w:r w:rsidR="00440B99">
        <w:t>conduct</w:t>
      </w:r>
      <w:r w:rsidR="00440B99" w:rsidRPr="006A2C86">
        <w:t xml:space="preserve"> </w:t>
      </w:r>
      <w:r w:rsidRPr="006A2C86">
        <w:t xml:space="preserve">is completely contrary to the </w:t>
      </w:r>
      <w:r w:rsidR="00124B4D">
        <w:t xml:space="preserve">prosecution’s </w:t>
      </w:r>
      <w:r w:rsidRPr="006A2C86">
        <w:t xml:space="preserve">proactive obligations laid down in </w:t>
      </w:r>
      <w:r w:rsidRPr="00ED03F0">
        <w:rPr>
          <w:i/>
          <w:iCs/>
        </w:rPr>
        <w:t>Jordan</w:t>
      </w:r>
      <w:r>
        <w:rPr>
          <w:rStyle w:val="Appelnotedebasdep"/>
        </w:rPr>
        <w:footnoteReference w:id="8"/>
      </w:r>
      <w:r w:rsidR="00252FF7" w:rsidRPr="006A2C86">
        <w:t>.</w:t>
      </w:r>
    </w:p>
    <w:p w14:paraId="3D171351" w14:textId="77777777" w:rsidR="002821A1" w:rsidRPr="006A2C86" w:rsidRDefault="00084D70">
      <w:pPr>
        <w:pStyle w:val="Paragraphe"/>
        <w:spacing w:line="240" w:lineRule="auto"/>
      </w:pPr>
      <w:r w:rsidRPr="006A2C86">
        <w:t xml:space="preserve">On the other hand, </w:t>
      </w:r>
      <w:r w:rsidR="003C788D">
        <w:t>defence</w:t>
      </w:r>
      <w:r w:rsidRPr="006A2C86">
        <w:t xml:space="preserve"> </w:t>
      </w:r>
      <w:r w:rsidR="00773AC0">
        <w:t>counsel</w:t>
      </w:r>
      <w:r w:rsidR="00773AC0" w:rsidRPr="006A2C86">
        <w:t xml:space="preserve"> </w:t>
      </w:r>
      <w:r w:rsidRPr="006A2C86">
        <w:t>received the report</w:t>
      </w:r>
      <w:r w:rsidR="00252FF7" w:rsidRPr="006A2C86">
        <w:t xml:space="preserve">, </w:t>
      </w:r>
      <w:r w:rsidRPr="006A2C86">
        <w:t xml:space="preserve">but not the notice. This report is the expert report confirming the </w:t>
      </w:r>
      <w:r w:rsidR="0013080D">
        <w:t>accused</w:t>
      </w:r>
      <w:r w:rsidRPr="006A2C86">
        <w:t>'s DNA.</w:t>
      </w:r>
    </w:p>
    <w:p w14:paraId="394CD8E0" w14:textId="77777777" w:rsidR="002821A1" w:rsidRPr="006A2C86" w:rsidRDefault="00084D70">
      <w:pPr>
        <w:pStyle w:val="Paragraphe"/>
        <w:spacing w:line="240" w:lineRule="auto"/>
      </w:pPr>
      <w:r w:rsidRPr="006A2C86">
        <w:t>It</w:t>
      </w:r>
      <w:r w:rsidR="00440B99">
        <w:t xml:space="preserve"> is</w:t>
      </w:r>
      <w:r w:rsidRPr="006A2C86">
        <w:t xml:space="preserve"> surprising that the </w:t>
      </w:r>
      <w:r w:rsidR="0013080D">
        <w:t>accused</w:t>
      </w:r>
      <w:r w:rsidRPr="006A2C86">
        <w:t xml:space="preserve">'s </w:t>
      </w:r>
      <w:r w:rsidR="00773AC0">
        <w:t>counsel</w:t>
      </w:r>
      <w:r w:rsidR="00773AC0" w:rsidRPr="006A2C86">
        <w:t xml:space="preserve"> </w:t>
      </w:r>
      <w:r w:rsidR="00440B99">
        <w:t>did not</w:t>
      </w:r>
      <w:r w:rsidR="00440B99" w:rsidRPr="006A2C86">
        <w:t xml:space="preserve"> </w:t>
      </w:r>
      <w:r w:rsidRPr="006A2C86">
        <w:t xml:space="preserve">think that there might have been an oversight or error and that the </w:t>
      </w:r>
      <w:r w:rsidR="000A15B5">
        <w:t>p</w:t>
      </w:r>
      <w:r w:rsidR="002212D1">
        <w:t>r</w:t>
      </w:r>
      <w:r w:rsidR="000A15B5">
        <w:t>osecution</w:t>
      </w:r>
      <w:r w:rsidRPr="006A2C86">
        <w:t xml:space="preserve"> would want to introduce this report into evidence. It would have been easy for the </w:t>
      </w:r>
      <w:r w:rsidR="0013080D">
        <w:t>accused</w:t>
      </w:r>
      <w:r w:rsidRPr="006A2C86">
        <w:t xml:space="preserve">'s </w:t>
      </w:r>
      <w:r w:rsidR="004F3845">
        <w:t>counsel</w:t>
      </w:r>
      <w:r w:rsidR="004F3845" w:rsidRPr="006A2C86">
        <w:t xml:space="preserve"> </w:t>
      </w:r>
      <w:r w:rsidRPr="006A2C86">
        <w:t xml:space="preserve">to call the </w:t>
      </w:r>
      <w:r w:rsidR="006414FC">
        <w:t>p</w:t>
      </w:r>
      <w:r w:rsidR="000A15B5">
        <w:t>r</w:t>
      </w:r>
      <w:r w:rsidR="006414FC">
        <w:t>osecution</w:t>
      </w:r>
      <w:r w:rsidRPr="006A2C86">
        <w:t xml:space="preserve"> and ascertain </w:t>
      </w:r>
      <w:r w:rsidR="00C32D6E">
        <w:t>its</w:t>
      </w:r>
      <w:r w:rsidR="00C32D6E" w:rsidRPr="006A2C86">
        <w:t xml:space="preserve"> </w:t>
      </w:r>
      <w:r w:rsidRPr="006A2C86">
        <w:t xml:space="preserve">intention. He could then have requested the expert's presence </w:t>
      </w:r>
      <w:r w:rsidR="00252FF7" w:rsidRPr="006A2C86">
        <w:t xml:space="preserve">for </w:t>
      </w:r>
      <w:r w:rsidRPr="006A2C86">
        <w:t>cross-examination</w:t>
      </w:r>
      <w:r w:rsidR="00A71681" w:rsidRPr="006A2C86">
        <w:t xml:space="preserve">, </w:t>
      </w:r>
      <w:r w:rsidRPr="006A2C86">
        <w:t xml:space="preserve">if </w:t>
      </w:r>
      <w:r w:rsidR="00252FF7" w:rsidRPr="006A2C86">
        <w:t xml:space="preserve">that </w:t>
      </w:r>
      <w:r w:rsidRPr="006A2C86">
        <w:t>was his intention.</w:t>
      </w:r>
    </w:p>
    <w:p w14:paraId="5428EA08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="00C723A0" w:rsidRPr="006A2C86">
        <w:t xml:space="preserve"> </w:t>
      </w:r>
      <w:r w:rsidRPr="006A2C86">
        <w:t xml:space="preserve">deplores the situation and blames both parties. In the </w:t>
      </w:r>
      <w:r w:rsidRPr="00ED03F0">
        <w:rPr>
          <w:i/>
          <w:iCs/>
        </w:rPr>
        <w:t>Jordan</w:t>
      </w:r>
      <w:r w:rsidRPr="006A2C86">
        <w:t xml:space="preserve"> </w:t>
      </w:r>
      <w:r w:rsidR="00D7572E" w:rsidRPr="006A2C86">
        <w:t xml:space="preserve">era, </w:t>
      </w:r>
      <w:r w:rsidRPr="006A2C86">
        <w:t xml:space="preserve">we cannot allow mistakes as simple as not sending a notice of intent to file an expert report. This is a gross error, and the delays would have been imputed to the </w:t>
      </w:r>
      <w:r w:rsidR="00124B4D">
        <w:t>defence</w:t>
      </w:r>
      <w:r w:rsidRPr="006A2C86">
        <w:t xml:space="preserve"> had it failed to send such a notice</w:t>
      </w:r>
      <w:r>
        <w:rPr>
          <w:rStyle w:val="Appelnotedebasdep"/>
          <w:lang w:val="fr-CA"/>
        </w:rPr>
        <w:footnoteReference w:id="9"/>
      </w:r>
      <w:r w:rsidR="00A708BC">
        <w:t>.</w:t>
      </w:r>
      <w:r w:rsidRPr="006A2C86">
        <w:t xml:space="preserve"> 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</w:t>
      </w:r>
      <w:r w:rsidR="00252FF7" w:rsidRPr="006A2C86">
        <w:t xml:space="preserve">has a duty to </w:t>
      </w:r>
      <w:r w:rsidRPr="006A2C86">
        <w:t xml:space="preserve">ensure that its case is ready and complete before </w:t>
      </w:r>
      <w:r w:rsidR="00BC41A7">
        <w:t>a</w:t>
      </w:r>
      <w:r w:rsidRPr="006A2C86">
        <w:t xml:space="preserve"> trial.</w:t>
      </w:r>
    </w:p>
    <w:p w14:paraId="40A71AE2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3C788D">
        <w:t>defence</w:t>
      </w:r>
      <w:r w:rsidRPr="006A2C86">
        <w:t xml:space="preserve"> also has a responsibility to minimize delays and avoid causing them</w:t>
      </w:r>
      <w:r>
        <w:rPr>
          <w:rStyle w:val="Appelnotedebasdep"/>
          <w:lang w:val="fr-CA"/>
        </w:rPr>
        <w:footnoteReference w:id="10"/>
      </w:r>
      <w:r w:rsidR="00A708BC">
        <w:t>.</w:t>
      </w:r>
      <w:r w:rsidRPr="006A2C86">
        <w:t xml:space="preserve"> It cannot wait until the morning of the trial to </w:t>
      </w:r>
      <w:r w:rsidR="001E7339" w:rsidRPr="006A2C86">
        <w:t xml:space="preserve">oppose </w:t>
      </w:r>
      <w:r w:rsidRPr="006A2C86">
        <w:t xml:space="preserve">the filing of an expert report when it is </w:t>
      </w:r>
      <w:r w:rsidR="00124B4D">
        <w:t>likely</w:t>
      </w:r>
      <w:r w:rsidRPr="006A2C86">
        <w:t xml:space="preserve"> that 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needed it to complete its case.</w:t>
      </w:r>
    </w:p>
    <w:p w14:paraId="65BF321B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="00C723A0" w:rsidRPr="006A2C86">
        <w:t xml:space="preserve"> </w:t>
      </w:r>
      <w:r w:rsidRPr="006A2C86">
        <w:t xml:space="preserve">believes that it is important to denounce the inertia of both parties </w:t>
      </w:r>
      <w:r w:rsidR="003513E0">
        <w:t>in respect of</w:t>
      </w:r>
      <w:r w:rsidR="003513E0" w:rsidRPr="006A2C86">
        <w:t xml:space="preserve"> </w:t>
      </w:r>
      <w:r w:rsidRPr="006A2C86">
        <w:t>this delay</w:t>
      </w:r>
      <w:r w:rsidR="00252FF7" w:rsidRPr="006A2C86">
        <w:t xml:space="preserve">, </w:t>
      </w:r>
      <w:r w:rsidRPr="006A2C86">
        <w:t>and for this reason</w:t>
      </w:r>
      <w:r w:rsidR="00252FF7" w:rsidRPr="006A2C86">
        <w:t xml:space="preserve">, </w:t>
      </w:r>
      <w:r w:rsidR="00DA5087">
        <w:t xml:space="preserve">it divides </w:t>
      </w:r>
      <w:r w:rsidR="007023B6" w:rsidRPr="006A2C86">
        <w:t xml:space="preserve">it </w:t>
      </w:r>
      <w:r w:rsidRPr="006A2C86">
        <w:t xml:space="preserve">between the two parties. </w:t>
      </w:r>
      <w:r w:rsidR="00C73EB1" w:rsidRPr="006A2C86">
        <w:t xml:space="preserve">The </w:t>
      </w:r>
      <w:r w:rsidR="00882F93">
        <w:t>Court</w:t>
      </w:r>
      <w:r w:rsidR="00BB42EF" w:rsidRPr="006A2C86">
        <w:t xml:space="preserve"> </w:t>
      </w:r>
      <w:r w:rsidRPr="006A2C86">
        <w:t xml:space="preserve">therefore finds a delay of 45.5 days to be attributable to the </w:t>
      </w:r>
      <w:r w:rsidR="0013080D">
        <w:t>accused</w:t>
      </w:r>
      <w:r w:rsidRPr="006A2C86">
        <w:t xml:space="preserve">. </w:t>
      </w:r>
    </w:p>
    <w:p w14:paraId="72F22620" w14:textId="77777777" w:rsidR="002821A1" w:rsidRPr="006A2C86" w:rsidRDefault="00084D70">
      <w:pPr>
        <w:pStyle w:val="Titre4"/>
      </w:pPr>
      <w:r w:rsidRPr="006A2C86">
        <w:t>Period from May 25, 2023</w:t>
      </w:r>
      <w:r w:rsidR="00DA5087">
        <w:t>,</w:t>
      </w:r>
      <w:r w:rsidRPr="006A2C86">
        <w:t xml:space="preserve"> to August 15, 2023</w:t>
      </w:r>
      <w:r w:rsidR="003C788D">
        <w:t xml:space="preserve"> (</w:t>
      </w:r>
      <w:r w:rsidRPr="006A2C86">
        <w:t>82 days</w:t>
      </w:r>
      <w:r w:rsidR="003C788D">
        <w:t>)</w:t>
      </w:r>
    </w:p>
    <w:p w14:paraId="4EAD7E2E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motion for </w:t>
      </w:r>
      <w:r w:rsidR="00252FF7" w:rsidRPr="006A2C86">
        <w:t xml:space="preserve">unreasonable </w:t>
      </w:r>
      <w:r w:rsidRPr="006A2C86">
        <w:t xml:space="preserve">delay was presentable on April 11, 2023, </w:t>
      </w:r>
      <w:r w:rsidR="00252FF7" w:rsidRPr="006A2C86">
        <w:t xml:space="preserve">but due to a </w:t>
      </w:r>
      <w:r w:rsidRPr="006A2C86">
        <w:t>clogged docket</w:t>
      </w:r>
      <w:r w:rsidR="00252FF7" w:rsidRPr="006A2C86">
        <w:t xml:space="preserve">, </w:t>
      </w:r>
      <w:r w:rsidRPr="006A2C86">
        <w:t xml:space="preserve">the case was postponed. </w:t>
      </w:r>
      <w:r w:rsidR="00252FF7" w:rsidRPr="006A2C86">
        <w:t xml:space="preserve">However, </w:t>
      </w:r>
      <w:r w:rsidRPr="006A2C86">
        <w:t xml:space="preserve">on April 12, 2023, since the </w:t>
      </w:r>
      <w:r w:rsidR="00913DEE">
        <w:t>C</w:t>
      </w:r>
      <w:r w:rsidR="00BB42EF" w:rsidRPr="006A2C86">
        <w:t xml:space="preserve">ourt </w:t>
      </w:r>
      <w:r w:rsidR="00BB42EF" w:rsidRPr="006A2C86">
        <w:lastRenderedPageBreak/>
        <w:t xml:space="preserve">was </w:t>
      </w:r>
      <w:r w:rsidRPr="006A2C86">
        <w:t xml:space="preserve">unable to travel to another community, the parties asked to proceed on this </w:t>
      </w:r>
      <w:r w:rsidR="0077504B">
        <w:t>application</w:t>
      </w:r>
      <w:r w:rsidRPr="006A2C86">
        <w:t>.</w:t>
      </w:r>
    </w:p>
    <w:p w14:paraId="70CE7B8E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case </w:t>
      </w:r>
      <w:r w:rsidR="00913DEE">
        <w:t>was</w:t>
      </w:r>
      <w:r w:rsidR="00913DEE" w:rsidRPr="006A2C86">
        <w:t xml:space="preserve"> </w:t>
      </w:r>
      <w:r w:rsidRPr="006A2C86">
        <w:t>then postponed until June 19</w:t>
      </w:r>
      <w:r w:rsidR="00BB42EF" w:rsidRPr="006A2C86">
        <w:t>, 2023</w:t>
      </w:r>
      <w:r w:rsidR="003513E0">
        <w:t>,</w:t>
      </w:r>
      <w:r w:rsidR="00BB42EF" w:rsidRPr="006A2C86">
        <w:t xml:space="preserve"> </w:t>
      </w:r>
      <w:r w:rsidRPr="006A2C86">
        <w:t xml:space="preserve">for a decision on </w:t>
      </w:r>
      <w:r w:rsidR="00913DEE">
        <w:t xml:space="preserve">the </w:t>
      </w:r>
      <w:r w:rsidRPr="00ED03F0">
        <w:rPr>
          <w:i/>
          <w:iCs/>
        </w:rPr>
        <w:t>Jordan</w:t>
      </w:r>
      <w:r w:rsidR="00913DEE">
        <w:t xml:space="preserve"> application</w:t>
      </w:r>
      <w:r w:rsidR="00C723A0" w:rsidRPr="006A2C86">
        <w:t xml:space="preserve">. </w:t>
      </w:r>
    </w:p>
    <w:p w14:paraId="3C66F66A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</w:t>
      </w:r>
      <w:r w:rsidR="00124B4D">
        <w:t xml:space="preserve">asks to set the trial on May 25, 2023. </w:t>
      </w:r>
      <w:r w:rsidR="00BC41A7">
        <w:t>S</w:t>
      </w:r>
      <w:r w:rsidR="00BC41A7" w:rsidRPr="006A2C86">
        <w:t xml:space="preserve">ince </w:t>
      </w:r>
      <w:r w:rsidR="00BC41A7">
        <w:t>t</w:t>
      </w:r>
      <w:r w:rsidR="00BC41A7" w:rsidRPr="006A2C86">
        <w:t>he</w:t>
      </w:r>
      <w:r w:rsidR="00BC41A7">
        <w:t xml:space="preserve"> accused</w:t>
      </w:r>
      <w:r w:rsidR="00BC41A7" w:rsidRPr="006A2C86">
        <w:t xml:space="preserve"> refused to proceed on May 25, 2023</w:t>
      </w:r>
      <w:r w:rsidR="00BC41A7">
        <w:t>, it</w:t>
      </w:r>
      <w:r w:rsidR="00124B4D">
        <w:t xml:space="preserve"> </w:t>
      </w:r>
      <w:r w:rsidR="00AC4C20" w:rsidRPr="006A2C86">
        <w:t xml:space="preserve">argues </w:t>
      </w:r>
      <w:r w:rsidRPr="006A2C86">
        <w:t xml:space="preserve">that </w:t>
      </w:r>
      <w:r w:rsidR="00E45E69" w:rsidRPr="006A2C86">
        <w:t xml:space="preserve">the period </w:t>
      </w:r>
      <w:r w:rsidRPr="006A2C86">
        <w:t xml:space="preserve">from May 25 to August 15, 2023 </w:t>
      </w:r>
      <w:r w:rsidR="00B46038" w:rsidRPr="006A2C86">
        <w:t xml:space="preserve">should be attributable to </w:t>
      </w:r>
      <w:r w:rsidR="00E45E69" w:rsidRPr="006A2C86">
        <w:t xml:space="preserve">the </w:t>
      </w:r>
      <w:r w:rsidR="00BC41A7">
        <w:t>defence.</w:t>
      </w:r>
    </w:p>
    <w:p w14:paraId="550815DA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944CC">
        <w:t>defence, for his part, argues that the accused has already settled another case on May 25, 2023. To avoid placing the judge of that day in a conflict of interest, the accused prefers to set the present case down for another date.</w:t>
      </w:r>
      <w:r w:rsidR="00E45E69" w:rsidRPr="006A2C86">
        <w:t xml:space="preserve"> </w:t>
      </w:r>
    </w:p>
    <w:p w14:paraId="323B21C4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This </w:t>
      </w:r>
      <w:r w:rsidR="007B01E4" w:rsidRPr="006A2C86">
        <w:t xml:space="preserve">delay should not be attributable to the </w:t>
      </w:r>
      <w:r w:rsidR="00124B4D">
        <w:t>defence</w:t>
      </w:r>
      <w:r w:rsidR="007B01E4" w:rsidRPr="006A2C86">
        <w:t xml:space="preserve"> for the </w:t>
      </w:r>
      <w:r w:rsidRPr="006A2C86">
        <w:t>following reasons</w:t>
      </w:r>
      <w:r w:rsidR="00913DEE">
        <w:t>.</w:t>
      </w:r>
      <w:r w:rsidRPr="006A2C86">
        <w:t xml:space="preserve"> </w:t>
      </w:r>
    </w:p>
    <w:p w14:paraId="218B2051" w14:textId="77777777" w:rsidR="002821A1" w:rsidRPr="006A2C86" w:rsidRDefault="00084D70">
      <w:pPr>
        <w:pStyle w:val="Paragraphe"/>
        <w:spacing w:line="240" w:lineRule="auto"/>
      </w:pPr>
      <w:r w:rsidRPr="006A2C86">
        <w:t xml:space="preserve">First, the </w:t>
      </w:r>
      <w:r w:rsidR="0013080D">
        <w:t>accused</w:t>
      </w:r>
      <w:r w:rsidRPr="006A2C86">
        <w:t xml:space="preserve">'s choice not to proceed in two different cases before the same judge is entirely justifiable, since this would be contrary to his right to </w:t>
      </w:r>
      <w:r w:rsidR="00913DEE">
        <w:t xml:space="preserve">make </w:t>
      </w:r>
      <w:r w:rsidRPr="006A2C86">
        <w:t xml:space="preserve">full </w:t>
      </w:r>
      <w:r w:rsidR="00913DEE">
        <w:t xml:space="preserve">answer and </w:t>
      </w:r>
      <w:r w:rsidR="0077504B">
        <w:t>defence</w:t>
      </w:r>
      <w:r w:rsidRPr="006A2C86">
        <w:t xml:space="preserve"> and to the presumption of innocence. </w:t>
      </w:r>
    </w:p>
    <w:p w14:paraId="71637B2B" w14:textId="77777777" w:rsidR="002821A1" w:rsidRPr="006A2C86" w:rsidRDefault="00084D70">
      <w:pPr>
        <w:pStyle w:val="Paragraphe"/>
        <w:spacing w:line="240" w:lineRule="auto"/>
      </w:pPr>
      <w:r w:rsidRPr="006A2C86">
        <w:t xml:space="preserve">Second, </w:t>
      </w:r>
      <w:r w:rsidR="007B01E4" w:rsidRPr="006A2C86">
        <w:t xml:space="preserve">proceeding while the </w:t>
      </w:r>
      <w:r w:rsidR="0013080D">
        <w:t>accused</w:t>
      </w:r>
      <w:r w:rsidR="007B01E4" w:rsidRPr="006A2C86">
        <w:t xml:space="preserve"> is awaiting judgment on a motion for unreasonable delay would be a </w:t>
      </w:r>
      <w:r w:rsidRPr="006A2C86">
        <w:t xml:space="preserve">totally counterproductive course of action. </w:t>
      </w:r>
    </w:p>
    <w:p w14:paraId="10792639" w14:textId="77777777" w:rsidR="002821A1" w:rsidRPr="006A2C86" w:rsidRDefault="00084D70">
      <w:pPr>
        <w:pStyle w:val="Paragraphe"/>
        <w:spacing w:line="240" w:lineRule="auto"/>
      </w:pPr>
      <w:r w:rsidRPr="006A2C86">
        <w:t xml:space="preserve">Finally, </w:t>
      </w:r>
      <w:r w:rsidR="00E45E69" w:rsidRPr="006A2C86">
        <w:t xml:space="preserve">on May 25, 2023, </w:t>
      </w:r>
      <w:r w:rsidR="005F519F" w:rsidRPr="006A2C86">
        <w:t xml:space="preserve">there are </w:t>
      </w:r>
      <w:r w:rsidR="0096439E" w:rsidRPr="006A2C86">
        <w:t xml:space="preserve">more than </w:t>
      </w:r>
      <w:r w:rsidR="0077504B">
        <w:t>twenty-seven (</w:t>
      </w:r>
      <w:r w:rsidR="0096439E" w:rsidRPr="006A2C86">
        <w:t>27</w:t>
      </w:r>
      <w:r w:rsidR="0077504B">
        <w:t>)</w:t>
      </w:r>
      <w:r w:rsidR="0096439E" w:rsidRPr="006A2C86">
        <w:t xml:space="preserve"> hours </w:t>
      </w:r>
      <w:r w:rsidR="004C6022">
        <w:t>earmarked</w:t>
      </w:r>
      <w:r w:rsidR="00BB42EF" w:rsidRPr="006A2C86">
        <w:t xml:space="preserve"> for </w:t>
      </w:r>
      <w:r w:rsidR="005F519F" w:rsidRPr="006A2C86">
        <w:t>trials</w:t>
      </w:r>
      <w:r w:rsidR="00C73EB1" w:rsidRPr="006A2C86">
        <w:t xml:space="preserve">. </w:t>
      </w:r>
      <w:r w:rsidR="005F519F" w:rsidRPr="006A2C86">
        <w:t xml:space="preserve">With </w:t>
      </w:r>
      <w:r w:rsidR="007B01E4" w:rsidRPr="006A2C86">
        <w:t xml:space="preserve">air transportation </w:t>
      </w:r>
      <w:r w:rsidR="005F519F" w:rsidRPr="006A2C86">
        <w:t>from Kuujjuaq to Kangirsuk, setting up the court</w:t>
      </w:r>
      <w:r w:rsidR="00C85FD7">
        <w:t>,</w:t>
      </w:r>
      <w:r w:rsidR="005F519F" w:rsidRPr="006A2C86">
        <w:t xml:space="preserve"> and keeping the pilots on schedule, there are </w:t>
      </w:r>
      <w:r w:rsidR="0096439E" w:rsidRPr="006A2C86">
        <w:t xml:space="preserve">just over four hours available </w:t>
      </w:r>
      <w:r w:rsidR="005F519F" w:rsidRPr="006A2C86">
        <w:t xml:space="preserve">to </w:t>
      </w:r>
      <w:r w:rsidR="00E45E69" w:rsidRPr="006A2C86">
        <w:t>call all the files on the docket, hear the settlements</w:t>
      </w:r>
      <w:r w:rsidR="004C6022">
        <w:t>,</w:t>
      </w:r>
      <w:r w:rsidR="00E45E69" w:rsidRPr="006A2C86">
        <w:t xml:space="preserve"> and finally </w:t>
      </w:r>
      <w:r w:rsidR="005F519F" w:rsidRPr="006A2C86">
        <w:t xml:space="preserve">proceed. </w:t>
      </w:r>
    </w:p>
    <w:p w14:paraId="12BC0717" w14:textId="77777777" w:rsidR="002821A1" w:rsidRPr="006A2C86" w:rsidRDefault="00084D70">
      <w:pPr>
        <w:pStyle w:val="Paragraphe"/>
        <w:spacing w:line="240" w:lineRule="auto"/>
      </w:pPr>
      <w:r w:rsidRPr="006A2C86">
        <w:t xml:space="preserve">It </w:t>
      </w:r>
      <w:r w:rsidR="005F519F" w:rsidRPr="006A2C86">
        <w:t xml:space="preserve">is </w:t>
      </w:r>
      <w:r w:rsidRPr="006A2C86">
        <w:t xml:space="preserve">therefore </w:t>
      </w:r>
      <w:r w:rsidR="005F519F" w:rsidRPr="006A2C86">
        <w:t xml:space="preserve">illusory to think that </w:t>
      </w:r>
      <w:r w:rsidR="00E45E69" w:rsidRPr="006A2C86">
        <w:t xml:space="preserve">this </w:t>
      </w:r>
      <w:r w:rsidR="00C85FD7">
        <w:t>case</w:t>
      </w:r>
      <w:r w:rsidR="00C85FD7" w:rsidRPr="006A2C86">
        <w:t xml:space="preserve"> </w:t>
      </w:r>
      <w:r w:rsidR="008D60DE" w:rsidRPr="006A2C86">
        <w:t xml:space="preserve">had </w:t>
      </w:r>
      <w:r w:rsidR="00E45E69" w:rsidRPr="006A2C86">
        <w:t>any chance of proceeding on May 25, 2023.</w:t>
      </w:r>
    </w:p>
    <w:p w14:paraId="5268C18A" w14:textId="77777777" w:rsidR="002821A1" w:rsidRPr="006A2C86" w:rsidRDefault="00084D70">
      <w:pPr>
        <w:pStyle w:val="Paragraphe"/>
        <w:spacing w:line="240" w:lineRule="auto"/>
      </w:pPr>
      <w:r w:rsidRPr="006A2C86">
        <w:t>The Court therefore reject</w:t>
      </w:r>
      <w:r w:rsidR="00C85FD7">
        <w:t>s</w:t>
      </w:r>
      <w:r w:rsidRPr="006A2C86">
        <w:t xml:space="preserve"> the </w:t>
      </w:r>
      <w:r w:rsidR="006414FC">
        <w:t>p</w:t>
      </w:r>
      <w:r w:rsidR="002212D1">
        <w:t>r</w:t>
      </w:r>
      <w:r w:rsidR="006414FC">
        <w:t>osecution</w:t>
      </w:r>
      <w:r w:rsidRPr="006A2C86">
        <w:t>'s argument</w:t>
      </w:r>
      <w:r w:rsidR="004C6022">
        <w:t>. T</w:t>
      </w:r>
      <w:r w:rsidR="005F519F" w:rsidRPr="006A2C86">
        <w:t xml:space="preserve">he delay </w:t>
      </w:r>
      <w:r w:rsidR="00C85FD7">
        <w:t>is</w:t>
      </w:r>
      <w:r w:rsidR="00C85FD7" w:rsidRPr="006A2C86">
        <w:t xml:space="preserve"> </w:t>
      </w:r>
      <w:r w:rsidR="005F519F" w:rsidRPr="006A2C86">
        <w:t>not attributable to th</w:t>
      </w:r>
      <w:r w:rsidR="0077504B">
        <w:t xml:space="preserve">e </w:t>
      </w:r>
      <w:r w:rsidR="00124B4D">
        <w:t>defence</w:t>
      </w:r>
      <w:r w:rsidR="005F519F" w:rsidRPr="006A2C86">
        <w:t>.</w:t>
      </w:r>
    </w:p>
    <w:p w14:paraId="17D5B037" w14:textId="77777777" w:rsidR="002821A1" w:rsidRPr="006A2C86" w:rsidRDefault="00084D70">
      <w:pPr>
        <w:pStyle w:val="Titre4"/>
        <w:rPr>
          <w:caps/>
        </w:rPr>
      </w:pPr>
      <w:r w:rsidRPr="006A2C86">
        <w:rPr>
          <w:caps/>
        </w:rPr>
        <w:t xml:space="preserve">Conclusion on delays </w:t>
      </w:r>
      <w:r w:rsidR="00217809" w:rsidRPr="006A2C86">
        <w:rPr>
          <w:caps/>
        </w:rPr>
        <w:t xml:space="preserve">attributable to </w:t>
      </w:r>
      <w:r w:rsidRPr="006A2C86">
        <w:rPr>
          <w:caps/>
        </w:rPr>
        <w:t xml:space="preserve">the </w:t>
      </w:r>
      <w:r w:rsidR="0077504B">
        <w:rPr>
          <w:caps/>
        </w:rPr>
        <w:t>defence</w:t>
      </w:r>
    </w:p>
    <w:p w14:paraId="7BD5E2BA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total time, before deductions attributable to the </w:t>
      </w:r>
      <w:r w:rsidR="0077504B">
        <w:t>defence</w:t>
      </w:r>
      <w:r w:rsidRPr="006A2C86">
        <w:t>, is 790 days</w:t>
      </w:r>
      <w:r w:rsidR="00C723A0" w:rsidRPr="006A2C86">
        <w:t xml:space="preserve">. </w:t>
      </w:r>
    </w:p>
    <w:p w14:paraId="5767F4FA" w14:textId="77777777" w:rsidR="002821A1" w:rsidRPr="006A2C86" w:rsidRDefault="00084D70">
      <w:pPr>
        <w:pStyle w:val="Paragraphe"/>
        <w:spacing w:line="240" w:lineRule="auto"/>
      </w:pPr>
      <w:r w:rsidRPr="006A2C86">
        <w:t xml:space="preserve">Considering the </w:t>
      </w:r>
      <w:r w:rsidR="00C85FD7">
        <w:t>foregoing</w:t>
      </w:r>
      <w:r w:rsidR="00C85FD7" w:rsidRPr="006A2C86">
        <w:t xml:space="preserve"> </w:t>
      </w:r>
      <w:r w:rsidRPr="006A2C86">
        <w:t xml:space="preserve">reasons, </w:t>
      </w:r>
      <w:r w:rsidR="007834FA" w:rsidRPr="006A2C86">
        <w:t xml:space="preserve">the </w:t>
      </w:r>
      <w:r w:rsidR="00882F93">
        <w:t>Court</w:t>
      </w:r>
      <w:r w:rsidR="007834FA" w:rsidRPr="006A2C86">
        <w:t xml:space="preserve"> </w:t>
      </w:r>
      <w:r w:rsidR="00C85FD7">
        <w:t>finds</w:t>
      </w:r>
      <w:r w:rsidR="00C85FD7" w:rsidRPr="006A2C86">
        <w:t xml:space="preserve"> </w:t>
      </w:r>
      <w:r w:rsidRPr="006A2C86">
        <w:t xml:space="preserve">that the only delays to be deducted from this total delay are 45.5 days </w:t>
      </w:r>
      <w:r w:rsidR="0096439E" w:rsidRPr="006A2C86">
        <w:t>resulting</w:t>
      </w:r>
      <w:r w:rsidRPr="006A2C86">
        <w:t xml:space="preserve"> from </w:t>
      </w:r>
      <w:r w:rsidR="00C85FD7">
        <w:t xml:space="preserve">the </w:t>
      </w:r>
      <w:r w:rsidR="0077504B">
        <w:t>defence</w:t>
      </w:r>
      <w:r w:rsidR="00C85FD7">
        <w:t xml:space="preserve">’s </w:t>
      </w:r>
      <w:r w:rsidRPr="006A2C86">
        <w:t>inaction in</w:t>
      </w:r>
      <w:r w:rsidR="004C6022">
        <w:t xml:space="preserve"> failing to</w:t>
      </w:r>
      <w:r w:rsidRPr="006A2C86">
        <w:t xml:space="preserve"> verify the </w:t>
      </w:r>
      <w:r w:rsidR="00C85FD7">
        <w:t xml:space="preserve">intention of 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when </w:t>
      </w:r>
      <w:r w:rsidR="00C85FD7">
        <w:t>it</w:t>
      </w:r>
      <w:r w:rsidRPr="006A2C86">
        <w:t xml:space="preserve"> </w:t>
      </w:r>
      <w:r w:rsidR="001E7339" w:rsidRPr="006A2C86">
        <w:t>sent</w:t>
      </w:r>
      <w:r w:rsidRPr="006A2C86">
        <w:t xml:space="preserve"> the second DNA test concerning the</w:t>
      </w:r>
      <w:r w:rsidR="00124B4D">
        <w:t xml:space="preserve"> </w:t>
      </w:r>
      <w:r w:rsidR="0013080D">
        <w:t>accused</w:t>
      </w:r>
      <w:r w:rsidRPr="006A2C86">
        <w:t>.</w:t>
      </w:r>
    </w:p>
    <w:p w14:paraId="4A2DFAF4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current net lead time is therefore 744.5 days, or </w:t>
      </w:r>
      <w:r w:rsidR="00C85FD7">
        <w:t>about</w:t>
      </w:r>
      <w:r w:rsidR="00C85FD7" w:rsidRPr="006A2C86">
        <w:t xml:space="preserve"> </w:t>
      </w:r>
      <w:r w:rsidRPr="006A2C86">
        <w:t xml:space="preserve">24.5 months. </w:t>
      </w:r>
    </w:p>
    <w:p w14:paraId="61013E34" w14:textId="77777777" w:rsidR="002821A1" w:rsidRPr="006A2C86" w:rsidRDefault="00084D70">
      <w:pPr>
        <w:pStyle w:val="Titre4"/>
        <w:numPr>
          <w:ilvl w:val="0"/>
          <w:numId w:val="15"/>
        </w:numPr>
        <w:ind w:left="426" w:hanging="426"/>
      </w:pPr>
      <w:r w:rsidRPr="006A2C86">
        <w:lastRenderedPageBreak/>
        <w:t xml:space="preserve">Did the </w:t>
      </w:r>
      <w:r w:rsidR="002212D1">
        <w:t>prosecut</w:t>
      </w:r>
      <w:r w:rsidR="006414FC">
        <w:t>ion</w:t>
      </w:r>
      <w:r w:rsidRPr="006A2C86">
        <w:t xml:space="preserve"> prove a </w:t>
      </w:r>
      <w:r w:rsidR="00C85FD7">
        <w:t>discrete</w:t>
      </w:r>
      <w:r w:rsidR="00C85FD7" w:rsidRPr="006A2C86">
        <w:t xml:space="preserve"> </w:t>
      </w:r>
      <w:r w:rsidRPr="006A2C86">
        <w:t xml:space="preserve">event? </w:t>
      </w:r>
    </w:p>
    <w:p w14:paraId="07BC2962" w14:textId="77777777" w:rsidR="002821A1" w:rsidRPr="006A2C86" w:rsidRDefault="00084D70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  <w:r w:rsidRPr="006A2C86">
        <w:rPr>
          <w:b/>
          <w:bCs/>
        </w:rPr>
        <w:t xml:space="preserve">Period </w:t>
      </w:r>
      <w:r w:rsidR="005F519F" w:rsidRPr="006A2C86">
        <w:rPr>
          <w:b/>
          <w:bCs/>
        </w:rPr>
        <w:t>from October 19, 2021 to March 1, 2022</w:t>
      </w:r>
      <w:r w:rsidR="0077504B">
        <w:rPr>
          <w:b/>
          <w:bCs/>
        </w:rPr>
        <w:t xml:space="preserve"> (</w:t>
      </w:r>
      <w:r w:rsidR="005F519F" w:rsidRPr="006A2C86">
        <w:rPr>
          <w:b/>
          <w:bCs/>
        </w:rPr>
        <w:t>133 days</w:t>
      </w:r>
      <w:r w:rsidR="0077504B">
        <w:rPr>
          <w:b/>
          <w:bCs/>
        </w:rPr>
        <w:t>)</w:t>
      </w:r>
    </w:p>
    <w:p w14:paraId="588C5BEF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77504B">
        <w:t>a</w:t>
      </w:r>
      <w:r w:rsidR="0013080D">
        <w:t>ccused</w:t>
      </w:r>
      <w:r w:rsidRPr="006A2C86">
        <w:t xml:space="preserve"> was on the list of </w:t>
      </w:r>
      <w:r w:rsidR="008D4DC5">
        <w:t>detainees</w:t>
      </w:r>
      <w:r w:rsidRPr="006A2C86">
        <w:t xml:space="preserve"> scheduled to travel to Kuujjuaq for </w:t>
      </w:r>
      <w:r w:rsidR="00BC41A7">
        <w:t>his</w:t>
      </w:r>
      <w:r w:rsidR="00D946AA" w:rsidRPr="006A2C86">
        <w:t xml:space="preserve"> </w:t>
      </w:r>
      <w:r w:rsidRPr="006A2C86">
        <w:t>trial set for October 19, 202</w:t>
      </w:r>
      <w:r w:rsidR="0077504B">
        <w:t>1</w:t>
      </w:r>
      <w:r w:rsidRPr="006A2C86">
        <w:t>.</w:t>
      </w:r>
    </w:p>
    <w:p w14:paraId="1BAFB6AB" w14:textId="77777777" w:rsidR="002821A1" w:rsidRPr="006A2C86" w:rsidRDefault="00084D70">
      <w:pPr>
        <w:pStyle w:val="Paragraphe"/>
        <w:spacing w:line="240" w:lineRule="auto"/>
      </w:pPr>
      <w:r w:rsidRPr="006A2C86">
        <w:t xml:space="preserve">Pandemic-related </w:t>
      </w:r>
      <w:r w:rsidR="007834FA" w:rsidRPr="006A2C86">
        <w:t xml:space="preserve">restrictions </w:t>
      </w:r>
      <w:r w:rsidR="001E7339" w:rsidRPr="006A2C86">
        <w:t>limit</w:t>
      </w:r>
      <w:r w:rsidR="00C85FD7">
        <w:t>ed</w:t>
      </w:r>
      <w:r w:rsidR="001E7339" w:rsidRPr="006A2C86">
        <w:t xml:space="preserve"> the </w:t>
      </w:r>
      <w:r w:rsidRPr="006A2C86">
        <w:t xml:space="preserve">number of </w:t>
      </w:r>
      <w:r w:rsidR="0096439E" w:rsidRPr="006A2C86">
        <w:t>d</w:t>
      </w:r>
      <w:r w:rsidR="008D4DC5">
        <w:t>etainees</w:t>
      </w:r>
      <w:r w:rsidR="0096439E" w:rsidRPr="006A2C86">
        <w:t xml:space="preserve"> </w:t>
      </w:r>
      <w:r w:rsidRPr="006A2C86">
        <w:t xml:space="preserve">who </w:t>
      </w:r>
      <w:r w:rsidR="00DD0303">
        <w:t>could</w:t>
      </w:r>
      <w:r w:rsidR="00DD0303" w:rsidRPr="006A2C86">
        <w:t xml:space="preserve"> </w:t>
      </w:r>
      <w:r w:rsidRPr="006A2C86">
        <w:t xml:space="preserve">travel on the itinerant </w:t>
      </w:r>
      <w:r w:rsidR="00BB1156" w:rsidRPr="006A2C86">
        <w:t xml:space="preserve">court </w:t>
      </w:r>
      <w:r w:rsidRPr="006A2C86">
        <w:t xml:space="preserve">flight </w:t>
      </w:r>
      <w:r w:rsidR="003C2FA7" w:rsidRPr="006A2C86">
        <w:t>for the court week of October 19, 202</w:t>
      </w:r>
      <w:r w:rsidR="0077504B">
        <w:t>1</w:t>
      </w:r>
      <w:r w:rsidR="003C2FA7" w:rsidRPr="006A2C86">
        <w:t xml:space="preserve">. </w:t>
      </w:r>
    </w:p>
    <w:p w14:paraId="3EFF859A" w14:textId="77777777" w:rsidR="002821A1" w:rsidRPr="006A2C86" w:rsidRDefault="00084D70">
      <w:pPr>
        <w:pStyle w:val="Paragraphe"/>
        <w:spacing w:line="240" w:lineRule="auto"/>
      </w:pPr>
      <w:r w:rsidRPr="006A2C86">
        <w:t xml:space="preserve">During a management session for all </w:t>
      </w:r>
      <w:r w:rsidR="00DD0303">
        <w:t xml:space="preserve">the </w:t>
      </w:r>
      <w:r w:rsidRPr="006A2C86">
        <w:t xml:space="preserve">files scheduled to proceed during the week of October 18, 2021, the parties were informed that it was impossible to transport more than three detainees </w:t>
      </w:r>
      <w:r w:rsidR="00D946AA" w:rsidRPr="006A2C86">
        <w:t xml:space="preserve">to </w:t>
      </w:r>
      <w:r w:rsidRPr="006A2C86">
        <w:t xml:space="preserve">Kuujjuaq. </w:t>
      </w:r>
    </w:p>
    <w:p w14:paraId="6BB549B9" w14:textId="77777777" w:rsidR="002821A1" w:rsidRPr="006A2C86" w:rsidRDefault="00084D70">
      <w:pPr>
        <w:pStyle w:val="Paragraphe"/>
        <w:spacing w:line="240" w:lineRule="auto"/>
      </w:pPr>
      <w:r w:rsidRPr="006A2C86">
        <w:t xml:space="preserve">Several email exchanges submitted as evidence also confirm that the </w:t>
      </w:r>
      <w:r w:rsidR="0013080D">
        <w:t>accused</w:t>
      </w:r>
      <w:r w:rsidRPr="006A2C86">
        <w:t xml:space="preserve"> had to travel with the itinerant </w:t>
      </w:r>
      <w:r w:rsidR="00BB1156" w:rsidRPr="006A2C86">
        <w:t>court</w:t>
      </w:r>
      <w:r w:rsidRPr="006A2C86">
        <w:t xml:space="preserve">, and that only </w:t>
      </w:r>
      <w:r w:rsidR="007834FA" w:rsidRPr="006A2C86">
        <w:t xml:space="preserve">three </w:t>
      </w:r>
      <w:r w:rsidR="008D4DC5">
        <w:t>detainees</w:t>
      </w:r>
      <w:r w:rsidRPr="006A2C86">
        <w:t xml:space="preserve"> could travel to Kuujjuaq</w:t>
      </w:r>
      <w:r w:rsidR="00C73EB1" w:rsidRPr="006A2C86">
        <w:t>.</w:t>
      </w:r>
    </w:p>
    <w:p w14:paraId="24DA23D0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13080D">
        <w:t>accused</w:t>
      </w:r>
      <w:r w:rsidRPr="006A2C86">
        <w:t xml:space="preserve">'s file was apparently de-assigned during the management session, as it was not a priority for the </w:t>
      </w:r>
      <w:r w:rsidR="006414FC">
        <w:t>p</w:t>
      </w:r>
      <w:r w:rsidR="002212D1">
        <w:t>r</w:t>
      </w:r>
      <w:r w:rsidR="006414FC">
        <w:t>osecution</w:t>
      </w:r>
      <w:r w:rsidRPr="006A2C86">
        <w:t>.</w:t>
      </w:r>
    </w:p>
    <w:p w14:paraId="5F9CA1BA" w14:textId="77777777" w:rsidR="002821A1" w:rsidRPr="006A2C86" w:rsidRDefault="00084D70">
      <w:pPr>
        <w:pStyle w:val="Paragraphe"/>
        <w:spacing w:line="240" w:lineRule="auto"/>
      </w:pPr>
      <w:r w:rsidRPr="006A2C86">
        <w:t>The</w:t>
      </w:r>
      <w:r w:rsidR="0077504B">
        <w:t xml:space="preserve"> </w:t>
      </w:r>
      <w:r w:rsidR="0013080D">
        <w:t>accused</w:t>
      </w:r>
      <w:r w:rsidRPr="006A2C86">
        <w:t xml:space="preserve"> did not travel during </w:t>
      </w:r>
      <w:r w:rsidR="004C6022">
        <w:t>that</w:t>
      </w:r>
      <w:r w:rsidR="004C6022" w:rsidRPr="006A2C86">
        <w:t xml:space="preserve"> </w:t>
      </w:r>
      <w:r w:rsidRPr="006A2C86">
        <w:t>week.</w:t>
      </w:r>
    </w:p>
    <w:p w14:paraId="16F53B22" w14:textId="77777777" w:rsidR="002821A1" w:rsidRPr="006A2C86" w:rsidRDefault="00084D70">
      <w:pPr>
        <w:pStyle w:val="Paragraphe"/>
        <w:spacing w:line="240" w:lineRule="auto"/>
      </w:pPr>
      <w:r w:rsidRPr="006A2C86">
        <w:t xml:space="preserve">When listening to the audio recording </w:t>
      </w:r>
      <w:r w:rsidR="00AC4C20" w:rsidRPr="006A2C86">
        <w:t xml:space="preserve">of </w:t>
      </w:r>
      <w:r w:rsidR="005F519F" w:rsidRPr="006A2C86">
        <w:t>October 19, 2021</w:t>
      </w:r>
      <w:r w:rsidR="00AC4C20" w:rsidRPr="006A2C86">
        <w:t xml:space="preserve">, </w:t>
      </w:r>
      <w:r w:rsidRPr="006A2C86">
        <w:t xml:space="preserve">we hear </w:t>
      </w:r>
      <w:r w:rsidR="005F519F" w:rsidRPr="006A2C86">
        <w:t xml:space="preserve">the </w:t>
      </w:r>
      <w:r w:rsidR="006414FC">
        <w:t>p</w:t>
      </w:r>
      <w:r w:rsidR="002212D1">
        <w:t>r</w:t>
      </w:r>
      <w:r w:rsidR="006414FC">
        <w:t>osecution</w:t>
      </w:r>
      <w:r w:rsidR="005F519F" w:rsidRPr="006A2C86">
        <w:t xml:space="preserve"> </w:t>
      </w:r>
      <w:r w:rsidRPr="006A2C86">
        <w:t xml:space="preserve">request </w:t>
      </w:r>
      <w:r w:rsidR="005F519F" w:rsidRPr="006A2C86">
        <w:t xml:space="preserve">a postponement of the trial on the grounds that a DNA report is missing from the file. </w:t>
      </w:r>
      <w:r w:rsidR="00897106">
        <w:t xml:space="preserve">The </w:t>
      </w:r>
      <w:r w:rsidR="006414FC">
        <w:t>p</w:t>
      </w:r>
      <w:r w:rsidR="002212D1">
        <w:t>r</w:t>
      </w:r>
      <w:r w:rsidR="006414FC">
        <w:t>osecution</w:t>
      </w:r>
      <w:r w:rsidR="00897106" w:rsidRPr="006A2C86">
        <w:t xml:space="preserve"> </w:t>
      </w:r>
      <w:r w:rsidR="005F519F" w:rsidRPr="006A2C86">
        <w:t xml:space="preserve">tells the judge that, should the request for a postponement be denied, they are prepared to proceed without </w:t>
      </w:r>
      <w:r w:rsidR="008D60DE" w:rsidRPr="006A2C86">
        <w:t>the report.</w:t>
      </w:r>
    </w:p>
    <w:p w14:paraId="58EA43AB" w14:textId="77777777" w:rsidR="002821A1" w:rsidRPr="006A2C86" w:rsidRDefault="00084D70">
      <w:pPr>
        <w:pStyle w:val="Paragraphe"/>
        <w:spacing w:line="240" w:lineRule="auto"/>
      </w:pPr>
      <w:r w:rsidRPr="006A2C86">
        <w:t>On the same recording</w:t>
      </w:r>
      <w:r w:rsidR="00BB1156" w:rsidRPr="006A2C86">
        <w:t>,</w:t>
      </w:r>
      <w:r w:rsidRPr="006A2C86">
        <w:t xml:space="preserve"> we later hear the </w:t>
      </w:r>
      <w:r w:rsidR="006414FC">
        <w:t>prosecution</w:t>
      </w:r>
      <w:r w:rsidRPr="006A2C86">
        <w:t xml:space="preserve"> explain</w:t>
      </w:r>
      <w:r w:rsidR="006860DA">
        <w:t>s</w:t>
      </w:r>
      <w:r w:rsidRPr="006A2C86">
        <w:t xml:space="preserve"> that this case was not one of their priorities for the day, so the </w:t>
      </w:r>
      <w:r w:rsidR="0013080D">
        <w:t>accused</w:t>
      </w:r>
      <w:r w:rsidRPr="006A2C86">
        <w:t xml:space="preserve"> did not travel. </w:t>
      </w:r>
      <w:r w:rsidR="00897106">
        <w:t xml:space="preserve">The </w:t>
      </w:r>
      <w:r w:rsidR="002212D1">
        <w:t>prosecu</w:t>
      </w:r>
      <w:r w:rsidR="006414FC">
        <w:t>tion</w:t>
      </w:r>
      <w:r w:rsidR="00897106" w:rsidRPr="006A2C86">
        <w:t xml:space="preserve"> </w:t>
      </w:r>
      <w:r w:rsidR="005F519F" w:rsidRPr="006A2C86">
        <w:t xml:space="preserve">explains that </w:t>
      </w:r>
      <w:r w:rsidR="008D60DE" w:rsidRPr="006A2C86">
        <w:t xml:space="preserve">they </w:t>
      </w:r>
      <w:r w:rsidR="005F519F" w:rsidRPr="006A2C86">
        <w:t xml:space="preserve">tried to find alternative transportation for the </w:t>
      </w:r>
      <w:r w:rsidR="0013080D">
        <w:t>accused</w:t>
      </w:r>
      <w:r w:rsidR="005F519F" w:rsidRPr="006A2C86">
        <w:t>, but that the commercial flights available were too long</w:t>
      </w:r>
      <w:r w:rsidR="0096439E" w:rsidRPr="006A2C86">
        <w:t xml:space="preserve">, </w:t>
      </w:r>
      <w:r w:rsidR="005F519F" w:rsidRPr="006A2C86">
        <w:t xml:space="preserve">from </w:t>
      </w:r>
      <w:r w:rsidR="00634225">
        <w:t>17 to 23 hours.</w:t>
      </w:r>
    </w:p>
    <w:p w14:paraId="2E32D96E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argue</w:t>
      </w:r>
      <w:r w:rsidR="008D4DC5">
        <w:t>s</w:t>
      </w:r>
      <w:r w:rsidRPr="006A2C86">
        <w:t xml:space="preserve"> that these delays were caused by the restrictions </w:t>
      </w:r>
      <w:r w:rsidR="00E90A3E" w:rsidRPr="006A2C86">
        <w:t xml:space="preserve">imposed by </w:t>
      </w:r>
      <w:r w:rsidRPr="006A2C86">
        <w:t>the pandemic</w:t>
      </w:r>
      <w:r>
        <w:t xml:space="preserve"> </w:t>
      </w:r>
      <w:r w:rsidRPr="006A2C86">
        <w:t xml:space="preserve">and </w:t>
      </w:r>
      <w:r w:rsidR="00897106">
        <w:t>were</w:t>
      </w:r>
      <w:r w:rsidR="00897106" w:rsidRPr="006A2C86">
        <w:t xml:space="preserve"> </w:t>
      </w:r>
      <w:r w:rsidRPr="006A2C86">
        <w:t xml:space="preserve">therefore a </w:t>
      </w:r>
      <w:r w:rsidR="008D4DC5">
        <w:t>discrete</w:t>
      </w:r>
      <w:r w:rsidRPr="006A2C86">
        <w:t xml:space="preserve"> event</w:t>
      </w:r>
      <w:r w:rsidR="00D946AA" w:rsidRPr="006A2C86">
        <w:t xml:space="preserve">. </w:t>
      </w:r>
      <w:r w:rsidR="00897106">
        <w:t xml:space="preserve">The </w:t>
      </w:r>
      <w:r w:rsidR="006414FC">
        <w:t>prosecution</w:t>
      </w:r>
      <w:r w:rsidR="00897106" w:rsidRPr="006A2C86">
        <w:t xml:space="preserve"> </w:t>
      </w:r>
      <w:r w:rsidRPr="006A2C86">
        <w:t xml:space="preserve">invites </w:t>
      </w:r>
      <w:r w:rsidR="00BB1156" w:rsidRPr="006A2C86">
        <w:t xml:space="preserve">the </w:t>
      </w:r>
      <w:r w:rsidR="00882F93">
        <w:t>Court</w:t>
      </w:r>
      <w:r w:rsidR="00BB1156" w:rsidRPr="006A2C86">
        <w:t xml:space="preserve"> to </w:t>
      </w:r>
      <w:r w:rsidRPr="006A2C86">
        <w:t>draw inspiration from a decision by the Honourable Marie-Chantal Brassard</w:t>
      </w:r>
      <w:r>
        <w:rPr>
          <w:rStyle w:val="Appelnotedebasdep"/>
          <w:lang w:val="fr-CA"/>
        </w:rPr>
        <w:footnoteReference w:id="11"/>
      </w:r>
      <w:r w:rsidR="00A708BC">
        <w:t>,</w:t>
      </w:r>
      <w:r w:rsidRPr="006A2C86">
        <w:t xml:space="preserve"> referring to the backlog of cases in Nunavik during the pandemic. </w:t>
      </w:r>
    </w:p>
    <w:p w14:paraId="6FCC106C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2D6FFC">
        <w:t>defence</w:t>
      </w:r>
      <w:r w:rsidRPr="006A2C86">
        <w:t xml:space="preserve">, for its part, argues that disclosure was incomplete and that this delay should not be recognized as a </w:t>
      </w:r>
      <w:r w:rsidR="00443C73">
        <w:t>discrete</w:t>
      </w:r>
      <w:r w:rsidR="00443C73" w:rsidRPr="006A2C86">
        <w:t xml:space="preserve"> </w:t>
      </w:r>
      <w:r w:rsidRPr="006A2C86">
        <w:t xml:space="preserve">event. </w:t>
      </w:r>
    </w:p>
    <w:p w14:paraId="029EF9AC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="00C723A0" w:rsidRPr="006A2C86">
        <w:t xml:space="preserve"> </w:t>
      </w:r>
      <w:r w:rsidRPr="006A2C86">
        <w:t xml:space="preserve">understands that the </w:t>
      </w:r>
      <w:r w:rsidR="0013080D">
        <w:t>accused</w:t>
      </w:r>
      <w:r w:rsidRPr="006A2C86">
        <w:t xml:space="preserve">'s </w:t>
      </w:r>
      <w:r w:rsidR="004F3845">
        <w:t>counsel</w:t>
      </w:r>
      <w:r w:rsidR="004F3845" w:rsidRPr="006A2C86">
        <w:t xml:space="preserve"> </w:t>
      </w:r>
      <w:r w:rsidR="002D6FFC">
        <w:t>was</w:t>
      </w:r>
      <w:r w:rsidRPr="006A2C86">
        <w:t xml:space="preserve"> not ready to proceed. First</w:t>
      </w:r>
      <w:r w:rsidR="0096439E" w:rsidRPr="006A2C86">
        <w:t xml:space="preserve">, </w:t>
      </w:r>
      <w:r w:rsidRPr="006A2C86">
        <w:t xml:space="preserve">his client </w:t>
      </w:r>
      <w:r w:rsidR="002D6FFC">
        <w:t>was</w:t>
      </w:r>
      <w:r w:rsidRPr="006A2C86">
        <w:t xml:space="preserve"> </w:t>
      </w:r>
      <w:r w:rsidR="002D6FFC">
        <w:t>not present</w:t>
      </w:r>
      <w:r w:rsidRPr="006A2C86">
        <w:t xml:space="preserve"> and he cannot proceed in his absence. Second, it is inconceivable </w:t>
      </w:r>
      <w:r w:rsidR="00897106">
        <w:t>for</w:t>
      </w:r>
      <w:r w:rsidR="00897106" w:rsidRPr="006A2C86">
        <w:t xml:space="preserve"> </w:t>
      </w:r>
      <w:r w:rsidRPr="006A2C86">
        <w:t>the</w:t>
      </w:r>
      <w:r w:rsidR="002D6FFC">
        <w:t xml:space="preserve"> defence</w:t>
      </w:r>
      <w:r w:rsidRPr="006A2C86">
        <w:t xml:space="preserve"> </w:t>
      </w:r>
      <w:r w:rsidR="00897106">
        <w:t>to</w:t>
      </w:r>
      <w:r w:rsidR="00897106" w:rsidRPr="006A2C86">
        <w:t xml:space="preserve"> </w:t>
      </w:r>
      <w:r w:rsidRPr="006A2C86">
        <w:t>proceed when it has just been informed that there is existing DNA evidence that has not been transmitted to it. The</w:t>
      </w:r>
      <w:r w:rsidR="002D6FFC">
        <w:t xml:space="preserve"> defence</w:t>
      </w:r>
      <w:r w:rsidRPr="006A2C86">
        <w:t xml:space="preserve"> is entitled to </w:t>
      </w:r>
      <w:r w:rsidRPr="006A2C86">
        <w:lastRenderedPageBreak/>
        <w:t xml:space="preserve">demand to see this extremely important evidence in the </w:t>
      </w:r>
      <w:r w:rsidR="00703168">
        <w:t>record</w:t>
      </w:r>
      <w:r w:rsidRPr="006A2C86">
        <w:t xml:space="preserve">. The </w:t>
      </w:r>
      <w:r w:rsidR="002D6FFC">
        <w:t>defence</w:t>
      </w:r>
      <w:r w:rsidRPr="006A2C86">
        <w:t xml:space="preserve"> has been presented with a </w:t>
      </w:r>
      <w:r w:rsidRPr="00ED03F0">
        <w:rPr>
          <w:i/>
          <w:iCs/>
        </w:rPr>
        <w:t>fait accompli</w:t>
      </w:r>
      <w:r w:rsidRPr="006A2C86">
        <w:t xml:space="preserve">, having been told that there is new evidence. </w:t>
      </w:r>
    </w:p>
    <w:p w14:paraId="27DCE778" w14:textId="77777777" w:rsidR="002821A1" w:rsidRPr="006A2C86" w:rsidRDefault="00084D70">
      <w:pPr>
        <w:pStyle w:val="Paragraphe"/>
        <w:spacing w:line="240" w:lineRule="auto"/>
      </w:pPr>
      <w:r w:rsidRPr="006A2C86">
        <w:t xml:space="preserve">Even if 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declares itself ready to proceed, the </w:t>
      </w:r>
      <w:r w:rsidR="00D60233">
        <w:t>accused</w:t>
      </w:r>
      <w:r w:rsidRPr="006A2C86">
        <w:t xml:space="preserve"> is entitled to receive this evidence</w:t>
      </w:r>
      <w:r w:rsidR="00F94705" w:rsidRPr="006A2C86">
        <w:t xml:space="preserve">. </w:t>
      </w:r>
      <w:r w:rsidRPr="006A2C86">
        <w:t xml:space="preserve">Inaction on the part of the police and </w:t>
      </w:r>
      <w:r w:rsidR="006414FC">
        <w:t>prosecution</w:t>
      </w:r>
      <w:r w:rsidRPr="006A2C86">
        <w:t xml:space="preserve"> </w:t>
      </w:r>
      <w:r w:rsidR="007834FA" w:rsidRPr="006A2C86">
        <w:t>unduly</w:t>
      </w:r>
      <w:r w:rsidRPr="006A2C86">
        <w:t xml:space="preserve"> delays the trial. It is therefore false to claim that 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is ready to proceed, since it would do so to the detriment of the</w:t>
      </w:r>
      <w:r w:rsidR="002D6FFC">
        <w:t xml:space="preserve"> </w:t>
      </w:r>
      <w:r w:rsidR="0013080D">
        <w:t>accused</w:t>
      </w:r>
      <w:r w:rsidRPr="006A2C86">
        <w:t xml:space="preserve">'s right to full disclosure of the evidence, as </w:t>
      </w:r>
      <w:r w:rsidR="00F94705" w:rsidRPr="006A2C86">
        <w:t xml:space="preserve">well as </w:t>
      </w:r>
      <w:r w:rsidRPr="006A2C86">
        <w:t xml:space="preserve">his right to a fair trial. </w:t>
      </w:r>
    </w:p>
    <w:p w14:paraId="60A8B1F9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Court understands from this situation that </w:t>
      </w:r>
      <w:r w:rsidR="00E90A3E" w:rsidRPr="006A2C86">
        <w:t xml:space="preserve">this </w:t>
      </w:r>
      <w:r w:rsidR="0096439E" w:rsidRPr="006A2C86">
        <w:t xml:space="preserve">file was not the priority of the </w:t>
      </w:r>
      <w:r w:rsidR="00124B4D">
        <w:t>prosecution</w:t>
      </w:r>
      <w:r w:rsidR="00124B4D" w:rsidRPr="006A2C86">
        <w:t xml:space="preserve"> since</w:t>
      </w:r>
      <w:r w:rsidR="00E90A3E" w:rsidRPr="006A2C86">
        <w:t xml:space="preserve"> </w:t>
      </w:r>
      <w:r w:rsidR="00897106">
        <w:t>it</w:t>
      </w:r>
      <w:r w:rsidR="00E90A3E" w:rsidRPr="006A2C86">
        <w:t xml:space="preserve"> did not have the DNA result.</w:t>
      </w:r>
    </w:p>
    <w:p w14:paraId="42C083F6" w14:textId="77777777" w:rsidR="002821A1" w:rsidRPr="006A2C86" w:rsidRDefault="00084D70">
      <w:pPr>
        <w:pStyle w:val="Paragraphe"/>
        <w:spacing w:line="240" w:lineRule="auto"/>
      </w:pPr>
      <w:r w:rsidRPr="006A2C86">
        <w:t>The evidence shows that on October 26, 2021, the</w:t>
      </w:r>
      <w:r w:rsidR="002D6FFC">
        <w:t xml:space="preserve"> </w:t>
      </w:r>
      <w:r w:rsidR="0013080D">
        <w:t>accused</w:t>
      </w:r>
      <w:r w:rsidRPr="006A2C86">
        <w:t xml:space="preserve"> received an initial expert report confirming the presence of male DNA. </w:t>
      </w:r>
    </w:p>
    <w:p w14:paraId="6E933A6C" w14:textId="77777777" w:rsidR="002821A1" w:rsidRPr="006A2C86" w:rsidRDefault="00084D70">
      <w:pPr>
        <w:pStyle w:val="Paragraphe"/>
        <w:spacing w:line="240" w:lineRule="auto"/>
      </w:pPr>
      <w:r w:rsidRPr="006A2C86">
        <w:t xml:space="preserve">A second expert report was subsequently sent to the </w:t>
      </w:r>
      <w:r w:rsidR="0013080D">
        <w:t>accused</w:t>
      </w:r>
      <w:r w:rsidRPr="006A2C86">
        <w:t xml:space="preserve"> on October 13, 2022. This evidence had been available since April 2022. This second report was given to the </w:t>
      </w:r>
      <w:r w:rsidR="0013080D">
        <w:t>accused</w:t>
      </w:r>
      <w:r w:rsidRPr="006A2C86">
        <w:t xml:space="preserve"> more than 1</w:t>
      </w:r>
      <w:r w:rsidR="006860DA">
        <w:t>6</w:t>
      </w:r>
      <w:r w:rsidRPr="006A2C86">
        <w:t xml:space="preserve"> months after his appearance</w:t>
      </w:r>
      <w:r w:rsidR="00C723A0" w:rsidRPr="006A2C86">
        <w:t xml:space="preserve">. </w:t>
      </w:r>
    </w:p>
    <w:p w14:paraId="21353B12" w14:textId="77777777" w:rsidR="002821A1" w:rsidRPr="006A2C86" w:rsidRDefault="00084D70">
      <w:pPr>
        <w:pStyle w:val="Paragraphe"/>
        <w:spacing w:line="240" w:lineRule="auto"/>
      </w:pPr>
      <w:r w:rsidRPr="006A2C86">
        <w:t>It is also important to underline the following facts</w:t>
      </w:r>
      <w:r w:rsidR="00B25F03">
        <w:t>.</w:t>
      </w:r>
    </w:p>
    <w:p w14:paraId="1227E281" w14:textId="77777777" w:rsidR="002821A1" w:rsidRPr="006A2C86" w:rsidRDefault="00084D70">
      <w:pPr>
        <w:pStyle w:val="Paragraphe"/>
        <w:spacing w:line="240" w:lineRule="auto"/>
      </w:pPr>
      <w:r w:rsidRPr="006A2C86">
        <w:t>Following receipt of additional evidence on October 13, 2022, the</w:t>
      </w:r>
      <w:r w:rsidR="002D6FFC">
        <w:t xml:space="preserve"> </w:t>
      </w:r>
      <w:r w:rsidR="0013080D">
        <w:t>accused</w:t>
      </w:r>
      <w:r w:rsidRPr="006A2C86">
        <w:t xml:space="preserve">'s </w:t>
      </w:r>
      <w:r w:rsidR="004F3845">
        <w:t>counsel</w:t>
      </w:r>
      <w:r w:rsidRPr="006A2C86">
        <w:t xml:space="preserve"> realized that several documents were missing from the evidence. On more than one occasion, he requested the following documents from 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by email: </w:t>
      </w:r>
    </w:p>
    <w:p w14:paraId="1F2934D9" w14:textId="77777777" w:rsidR="002821A1" w:rsidRDefault="00084D70">
      <w:pPr>
        <w:pStyle w:val="Paragraphe"/>
        <w:numPr>
          <w:ilvl w:val="0"/>
          <w:numId w:val="16"/>
        </w:numPr>
        <w:spacing w:before="0" w:after="0" w:line="240" w:lineRule="auto"/>
        <w:ind w:left="714" w:right="857" w:hanging="357"/>
        <w:rPr>
          <w:lang w:val="fr-CA"/>
        </w:rPr>
      </w:pPr>
      <w:r>
        <w:rPr>
          <w:lang w:val="fr-CA"/>
        </w:rPr>
        <w:t xml:space="preserve">the </w:t>
      </w:r>
      <w:r w:rsidR="00FF35DB" w:rsidRPr="00F800D6">
        <w:rPr>
          <w:lang w:val="fr-CA"/>
        </w:rPr>
        <w:t>forensic kit;</w:t>
      </w:r>
    </w:p>
    <w:p w14:paraId="0ADD3556" w14:textId="77777777" w:rsidR="002821A1" w:rsidRPr="006A2C86" w:rsidRDefault="00084D70">
      <w:pPr>
        <w:pStyle w:val="Paragraphe"/>
        <w:numPr>
          <w:ilvl w:val="0"/>
          <w:numId w:val="16"/>
        </w:numPr>
        <w:spacing w:before="0" w:after="0" w:line="240" w:lineRule="auto"/>
        <w:ind w:left="714" w:right="857" w:hanging="357"/>
      </w:pPr>
      <w:r w:rsidRPr="006A2C86">
        <w:t>the victim's blood and urine test results;</w:t>
      </w:r>
    </w:p>
    <w:p w14:paraId="6353E92D" w14:textId="77777777" w:rsidR="002821A1" w:rsidRPr="006A2C86" w:rsidRDefault="00084D70">
      <w:pPr>
        <w:pStyle w:val="Paragraphe"/>
        <w:numPr>
          <w:ilvl w:val="0"/>
          <w:numId w:val="16"/>
        </w:numPr>
        <w:spacing w:before="0" w:after="0" w:line="240" w:lineRule="auto"/>
        <w:ind w:left="714" w:right="857" w:hanging="357"/>
      </w:pPr>
      <w:r w:rsidRPr="006A2C86">
        <w:t>information required to verify the validity of DNA search warrants.</w:t>
      </w:r>
    </w:p>
    <w:p w14:paraId="25254162" w14:textId="77777777" w:rsidR="002821A1" w:rsidRPr="006A2C86" w:rsidRDefault="00084D70">
      <w:pPr>
        <w:pStyle w:val="Paragraphe"/>
        <w:spacing w:line="240" w:lineRule="auto"/>
      </w:pPr>
      <w:r w:rsidRPr="006A2C86">
        <w:t xml:space="preserve">As there was still no response, the </w:t>
      </w:r>
      <w:r w:rsidR="0013080D">
        <w:t>accused</w:t>
      </w:r>
      <w:r w:rsidRPr="006A2C86">
        <w:t xml:space="preserve">'s </w:t>
      </w:r>
      <w:r w:rsidR="004F3845">
        <w:t>counsel</w:t>
      </w:r>
      <w:r w:rsidRPr="006A2C86">
        <w:t xml:space="preserve"> was obliged to file </w:t>
      </w:r>
      <w:r w:rsidR="002D6FFC">
        <w:t>an application</w:t>
      </w:r>
      <w:r w:rsidRPr="006A2C86">
        <w:t xml:space="preserve"> for </w:t>
      </w:r>
      <w:r w:rsidR="00B25F03">
        <w:t xml:space="preserve">a </w:t>
      </w:r>
      <w:r w:rsidRPr="006A2C86">
        <w:t>stay of proceedings for failure to disclose.</w:t>
      </w:r>
    </w:p>
    <w:p w14:paraId="214A24DF" w14:textId="77777777" w:rsidR="002821A1" w:rsidRPr="006A2C86" w:rsidRDefault="00084D70">
      <w:pPr>
        <w:pStyle w:val="Paragraphe"/>
        <w:spacing w:line="240" w:lineRule="auto"/>
      </w:pPr>
      <w:r w:rsidRPr="006A2C86">
        <w:t>On December 15, 2022, the</w:t>
      </w:r>
      <w:r w:rsidR="006414FC">
        <w:t xml:space="preserve"> </w:t>
      </w:r>
      <w:r w:rsidR="0013080D">
        <w:t>accused</w:t>
      </w:r>
      <w:r w:rsidRPr="006A2C86">
        <w:t xml:space="preserve">'s </w:t>
      </w:r>
      <w:r w:rsidR="004F3845">
        <w:t>counsel</w:t>
      </w:r>
      <w:r w:rsidRPr="006A2C86">
        <w:t xml:space="preserve"> received all these documents by email, and the </w:t>
      </w:r>
      <w:r w:rsidR="006414FC">
        <w:t>prosecution</w:t>
      </w:r>
      <w:r w:rsidRPr="006A2C86">
        <w:t xml:space="preserve"> asked him if he agreed to withdraw</w:t>
      </w:r>
      <w:r w:rsidR="00124B4D">
        <w:t xml:space="preserve"> his application</w:t>
      </w:r>
      <w:r w:rsidRPr="006A2C86">
        <w:t xml:space="preserve"> </w:t>
      </w:r>
      <w:r w:rsidR="002D6FFC">
        <w:t>for failure to disclose</w:t>
      </w:r>
      <w:r w:rsidRPr="006A2C86">
        <w:t>.</w:t>
      </w:r>
    </w:p>
    <w:p w14:paraId="34753171" w14:textId="77777777" w:rsidR="002821A1" w:rsidRPr="00ED03F0" w:rsidRDefault="00084D70">
      <w:pPr>
        <w:pStyle w:val="Paragraphe"/>
        <w:spacing w:line="240" w:lineRule="auto"/>
      </w:pPr>
      <w:r w:rsidRPr="006A2C86">
        <w:t xml:space="preserve">Despite the fact that he received this information less than </w:t>
      </w:r>
      <w:r w:rsidR="00B25F03">
        <w:t>30</w:t>
      </w:r>
      <w:r w:rsidR="00B25F03" w:rsidRPr="006A2C86">
        <w:t xml:space="preserve"> </w:t>
      </w:r>
      <w:r w:rsidRPr="006A2C86">
        <w:t xml:space="preserve">days before the trial, the </w:t>
      </w:r>
      <w:r w:rsidR="0013080D">
        <w:t>accused</w:t>
      </w:r>
      <w:r w:rsidR="004F3845">
        <w:t>’s counsel</w:t>
      </w:r>
      <w:r w:rsidRPr="006A2C86">
        <w:t xml:space="preserve"> </w:t>
      </w:r>
      <w:r w:rsidR="008256D5">
        <w:t>declared</w:t>
      </w:r>
      <w:r w:rsidRPr="006A2C86">
        <w:t xml:space="preserve"> he was ready to proceed on January 10, 2023, and withdrew his motion for failure to disclose. </w:t>
      </w:r>
      <w:r w:rsidRPr="00ED03F0">
        <w:t xml:space="preserve">No further motions </w:t>
      </w:r>
      <w:r w:rsidR="00B25F03">
        <w:t>were</w:t>
      </w:r>
      <w:r w:rsidRPr="00ED03F0">
        <w:t xml:space="preserve"> filed.</w:t>
      </w:r>
    </w:p>
    <w:p w14:paraId="0EF678E5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6761CC" w:rsidRPr="006A2C86">
        <w:t xml:space="preserve">usefulness of this missing evidence </w:t>
      </w:r>
      <w:r w:rsidRPr="006A2C86">
        <w:t xml:space="preserve">for the </w:t>
      </w:r>
      <w:r w:rsidR="0013080D">
        <w:t>accused</w:t>
      </w:r>
      <w:r w:rsidRPr="006A2C86">
        <w:t xml:space="preserve">, with </w:t>
      </w:r>
      <w:r w:rsidR="006761CC" w:rsidRPr="006A2C86">
        <w:t xml:space="preserve">regard to </w:t>
      </w:r>
      <w:r w:rsidRPr="006A2C86">
        <w:t xml:space="preserve">the charge against him </w:t>
      </w:r>
      <w:r w:rsidR="006761CC" w:rsidRPr="006A2C86">
        <w:t xml:space="preserve">and also with regard to his </w:t>
      </w:r>
      <w:r w:rsidR="006414FC">
        <w:t>defence</w:t>
      </w:r>
      <w:r w:rsidR="006761CC" w:rsidRPr="006A2C86">
        <w:t xml:space="preserve"> strategies</w:t>
      </w:r>
      <w:r w:rsidR="00D946AA" w:rsidRPr="006A2C86">
        <w:t xml:space="preserve">, </w:t>
      </w:r>
      <w:r w:rsidRPr="006A2C86">
        <w:t xml:space="preserve">is </w:t>
      </w:r>
      <w:r w:rsidR="00126EC4" w:rsidRPr="006A2C86">
        <w:t xml:space="preserve">an </w:t>
      </w:r>
      <w:r w:rsidRPr="006A2C86">
        <w:t xml:space="preserve">important element to consider </w:t>
      </w:r>
      <w:r w:rsidR="006761CC" w:rsidRPr="006A2C86">
        <w:t>in the present analysis</w:t>
      </w:r>
      <w:r>
        <w:rPr>
          <w:rStyle w:val="Appelnotedebasdep"/>
          <w:lang w:val="fr-CA"/>
        </w:rPr>
        <w:footnoteReference w:id="12"/>
      </w:r>
      <w:r w:rsidR="00A708BC">
        <w:t>.</w:t>
      </w:r>
      <w:r w:rsidR="006761CC" w:rsidRPr="006A2C86">
        <w:t xml:space="preserve">  </w:t>
      </w:r>
    </w:p>
    <w:p w14:paraId="2088AF8D" w14:textId="77777777" w:rsidR="002821A1" w:rsidRPr="00ED03F0" w:rsidRDefault="00084D70">
      <w:pPr>
        <w:pStyle w:val="Paragraphe"/>
        <w:spacing w:line="240" w:lineRule="auto"/>
      </w:pPr>
      <w:r w:rsidRPr="006A2C86">
        <w:lastRenderedPageBreak/>
        <w:t xml:space="preserve">The </w:t>
      </w:r>
      <w:r w:rsidR="006414FC">
        <w:t>p</w:t>
      </w:r>
      <w:r w:rsidR="002212D1">
        <w:t>r</w:t>
      </w:r>
      <w:r w:rsidR="006414FC">
        <w:t>osecution</w:t>
      </w:r>
      <w:r w:rsidRPr="006A2C86">
        <w:t xml:space="preserve"> had a constitutional duty of disclosure</w:t>
      </w:r>
      <w:r w:rsidR="00B25F03">
        <w:t>,</w:t>
      </w:r>
      <w:r w:rsidRPr="006A2C86">
        <w:t xml:space="preserve"> and these delays are inexcusable. </w:t>
      </w:r>
      <w:r w:rsidRPr="00ED03F0">
        <w:rPr>
          <w:i/>
          <w:iCs/>
        </w:rPr>
        <w:t>Jordan</w:t>
      </w:r>
      <w:r>
        <w:rPr>
          <w:rStyle w:val="Appelnotedebasdep"/>
          <w:lang w:val="fr-CA"/>
        </w:rPr>
        <w:footnoteReference w:id="13"/>
      </w:r>
      <w:r w:rsidRPr="006A2C86">
        <w:t xml:space="preserve"> and </w:t>
      </w:r>
      <w:r w:rsidRPr="00ED03F0">
        <w:rPr>
          <w:i/>
          <w:iCs/>
        </w:rPr>
        <w:t>Cody</w:t>
      </w:r>
      <w:r>
        <w:rPr>
          <w:rStyle w:val="Appelnotedebasdep"/>
          <w:lang w:val="fr-CA"/>
        </w:rPr>
        <w:footnoteReference w:id="14"/>
      </w:r>
      <w:r w:rsidRPr="006A2C86">
        <w:t xml:space="preserve"> refer to a change in culture that requires parties, including the</w:t>
      </w:r>
      <w:r w:rsidR="006414FC">
        <w:t xml:space="preserve"> </w:t>
      </w:r>
      <w:r w:rsidR="002212D1">
        <w:t>prosecu</w:t>
      </w:r>
      <w:r w:rsidR="006414FC">
        <w:t>tion</w:t>
      </w:r>
      <w:r w:rsidRPr="006A2C86">
        <w:t xml:space="preserve">, to be proactive in order to reduce delays. In the present case, the </w:t>
      </w:r>
      <w:r w:rsidR="00882F93">
        <w:t>Court</w:t>
      </w:r>
      <w:r w:rsidR="00C723A0" w:rsidRPr="006A2C86">
        <w:t xml:space="preserve"> </w:t>
      </w:r>
      <w:r w:rsidRPr="006A2C86">
        <w:t xml:space="preserve">understands that neither the </w:t>
      </w:r>
      <w:r w:rsidR="002212D1">
        <w:t>prosecut</w:t>
      </w:r>
      <w:r w:rsidR="006414FC">
        <w:t>ion</w:t>
      </w:r>
      <w:r w:rsidRPr="006A2C86">
        <w:t xml:space="preserve"> nor the police were proactive. </w:t>
      </w:r>
      <w:r w:rsidRPr="00ED03F0">
        <w:t xml:space="preserve">These practices must not be tolerated. </w:t>
      </w:r>
    </w:p>
    <w:p w14:paraId="36C37D34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inertia of the police and the </w:t>
      </w:r>
      <w:r w:rsidR="006414FC">
        <w:t>prosecution</w:t>
      </w:r>
      <w:r w:rsidRPr="006A2C86">
        <w:t xml:space="preserve"> with regard to the disclosure of evidence and the progress of the investigation while the </w:t>
      </w:r>
      <w:r w:rsidR="0013080D">
        <w:t>accused</w:t>
      </w:r>
      <w:r w:rsidRPr="006A2C86">
        <w:t xml:space="preserve"> is being held in preventive custody</w:t>
      </w:r>
      <w:r w:rsidR="0096439E" w:rsidRPr="006A2C86">
        <w:t xml:space="preserve"> </w:t>
      </w:r>
      <w:r w:rsidRPr="006A2C86">
        <w:t>is unacceptable.</w:t>
      </w:r>
    </w:p>
    <w:p w14:paraId="04A70A96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882F93">
        <w:t>Court</w:t>
      </w:r>
      <w:r w:rsidRPr="006A2C86">
        <w:t xml:space="preserve"> </w:t>
      </w:r>
      <w:r w:rsidR="00E90A3E" w:rsidRPr="006A2C86">
        <w:t xml:space="preserve">concludes that the prosecution </w:t>
      </w:r>
      <w:r w:rsidR="0015316C" w:rsidRPr="006A2C86">
        <w:t xml:space="preserve">has not discharged its burden of establishing, on a balance of probabilities, that the delays are reasonable since they arise from a distinct event. </w:t>
      </w:r>
    </w:p>
    <w:p w14:paraId="174DD60A" w14:textId="77777777" w:rsidR="002821A1" w:rsidRPr="006A2C86" w:rsidRDefault="00084D70">
      <w:pPr>
        <w:pStyle w:val="Paragraphe"/>
        <w:spacing w:line="240" w:lineRule="auto"/>
      </w:pPr>
      <w:r w:rsidRPr="006A2C86">
        <w:t>These delays are caused primarily by the inaction of state representatives.</w:t>
      </w:r>
    </w:p>
    <w:p w14:paraId="2019044B" w14:textId="77777777" w:rsidR="002821A1" w:rsidRDefault="00084D70">
      <w:pPr>
        <w:pStyle w:val="Titre4"/>
        <w:rPr>
          <w:caps/>
        </w:rPr>
      </w:pPr>
      <w:r w:rsidRPr="00F800D6">
        <w:rPr>
          <w:caps/>
        </w:rPr>
        <w:t>S</w:t>
      </w:r>
      <w:r w:rsidR="00CE17E8">
        <w:rPr>
          <w:caps/>
        </w:rPr>
        <w:t>TAY OF</w:t>
      </w:r>
      <w:r w:rsidRPr="00F800D6">
        <w:rPr>
          <w:caps/>
        </w:rPr>
        <w:t xml:space="preserve"> proceedings </w:t>
      </w:r>
    </w:p>
    <w:p w14:paraId="7AC66FBC" w14:textId="77777777" w:rsidR="002821A1" w:rsidRDefault="00084D70">
      <w:pPr>
        <w:pStyle w:val="Paragraphe"/>
        <w:spacing w:line="240" w:lineRule="auto"/>
      </w:pPr>
      <w:r w:rsidRPr="006A2C86">
        <w:t xml:space="preserve">The current net lead time is therefore 744.5 days, or </w:t>
      </w:r>
      <w:r w:rsidR="00AD7C7D">
        <w:t>about</w:t>
      </w:r>
      <w:r w:rsidR="00AD7C7D" w:rsidRPr="006A2C86">
        <w:t xml:space="preserve"> </w:t>
      </w:r>
      <w:r w:rsidRPr="006A2C86">
        <w:t xml:space="preserve">24.5 months. </w:t>
      </w:r>
      <w:r w:rsidRPr="00F800D6">
        <w:t xml:space="preserve">This </w:t>
      </w:r>
      <w:r w:rsidR="006862EE" w:rsidRPr="00F800D6">
        <w:t xml:space="preserve">exceeds the </w:t>
      </w:r>
      <w:r w:rsidRPr="00F800D6">
        <w:t xml:space="preserve">18-month ceiling. </w:t>
      </w:r>
    </w:p>
    <w:p w14:paraId="29B96BDF" w14:textId="77777777" w:rsidR="002821A1" w:rsidRPr="006A2C86" w:rsidRDefault="00084D70">
      <w:pPr>
        <w:pStyle w:val="Paragraphe"/>
        <w:spacing w:line="240" w:lineRule="auto"/>
      </w:pPr>
      <w:r w:rsidRPr="006A2C86">
        <w:t xml:space="preserve">According to the </w:t>
      </w:r>
      <w:r w:rsidRPr="00ED03F0">
        <w:rPr>
          <w:i/>
          <w:iCs/>
        </w:rPr>
        <w:t>Jordan</w:t>
      </w:r>
      <w:r w:rsidRPr="006A2C86">
        <w:t xml:space="preserve"> framework, once a time limit has been exceeded, delays are presumed to be unreasonable. </w:t>
      </w:r>
      <w:r w:rsidR="005F519F" w:rsidRPr="006A2C86">
        <w:t xml:space="preserve">These </w:t>
      </w:r>
      <w:r w:rsidR="005F519F" w:rsidRPr="00ED03F0">
        <w:rPr>
          <w:i/>
          <w:iCs/>
        </w:rPr>
        <w:t>Jordan</w:t>
      </w:r>
      <w:r w:rsidR="005F519F" w:rsidRPr="006A2C86">
        <w:t xml:space="preserve"> ceilings</w:t>
      </w:r>
      <w:r>
        <w:rPr>
          <w:rStyle w:val="Appelnotedebasdep"/>
          <w:lang w:val="fr-CA"/>
        </w:rPr>
        <w:footnoteReference w:id="15"/>
      </w:r>
      <w:r w:rsidR="005F519F" w:rsidRPr="006A2C86">
        <w:t xml:space="preserve"> are already quite lenient, and the </w:t>
      </w:r>
      <w:r w:rsidR="00F94705" w:rsidRPr="006A2C86">
        <w:t xml:space="preserve">majority of </w:t>
      </w:r>
      <w:r w:rsidR="005F519F" w:rsidRPr="006A2C86">
        <w:t xml:space="preserve">cases </w:t>
      </w:r>
      <w:r w:rsidR="00F94705" w:rsidRPr="006A2C86">
        <w:t xml:space="preserve">should be </w:t>
      </w:r>
      <w:r w:rsidR="005F519F" w:rsidRPr="006A2C86">
        <w:t xml:space="preserve">resolved before </w:t>
      </w:r>
      <w:r w:rsidR="009E7F16">
        <w:t>they</w:t>
      </w:r>
      <w:r w:rsidR="005F519F" w:rsidRPr="006A2C86">
        <w:t xml:space="preserve"> are reached</w:t>
      </w:r>
      <w:r>
        <w:rPr>
          <w:rStyle w:val="Appelnotedebasdep"/>
          <w:lang w:val="fr-CA"/>
        </w:rPr>
        <w:footnoteReference w:id="16"/>
      </w:r>
      <w:r w:rsidR="00A708BC">
        <w:t>.</w:t>
      </w:r>
      <w:r w:rsidR="005F519F" w:rsidRPr="006A2C86">
        <w:t xml:space="preserve"> </w:t>
      </w:r>
      <w:r w:rsidRPr="006A2C86">
        <w:t xml:space="preserve">This presumptive ceiling was deemed necessary by the Supreme Court to give clear guidance to the </w:t>
      </w:r>
      <w:r w:rsidR="00AD7C7D">
        <w:t>S</w:t>
      </w:r>
      <w:r w:rsidRPr="006A2C86">
        <w:t xml:space="preserve">tate </w:t>
      </w:r>
      <w:r w:rsidR="003F3A60">
        <w:t xml:space="preserve">on how to comply </w:t>
      </w:r>
      <w:r w:rsidR="000F674F" w:rsidRPr="006A2C86">
        <w:t>with its constitutional obligations</w:t>
      </w:r>
      <w:r w:rsidR="00D946AA" w:rsidRPr="006A2C86">
        <w:t xml:space="preserve">, </w:t>
      </w:r>
      <w:r w:rsidR="000F674F" w:rsidRPr="006A2C86">
        <w:t xml:space="preserve">but also to those who play an important role in ensuring that trials are </w:t>
      </w:r>
      <w:r w:rsidR="002739F8" w:rsidRPr="006A2C86">
        <w:t xml:space="preserve">held within a </w:t>
      </w:r>
      <w:r w:rsidR="000F674F" w:rsidRPr="006A2C86">
        <w:t>reasonable time. These actors include court administration officials, police officers, the</w:t>
      </w:r>
      <w:r w:rsidR="002212D1">
        <w:t xml:space="preserve"> crown</w:t>
      </w:r>
      <w:r w:rsidR="000F674F" w:rsidRPr="006A2C86">
        <w:t xml:space="preserve"> </w:t>
      </w:r>
      <w:r w:rsidR="002212D1">
        <w:t>prosecutors</w:t>
      </w:r>
      <w:r w:rsidR="000F674F" w:rsidRPr="006A2C86">
        <w:t xml:space="preserve">, defendants and their </w:t>
      </w:r>
      <w:r w:rsidR="004F3845">
        <w:t>counsel</w:t>
      </w:r>
      <w:r w:rsidR="00D946AA" w:rsidRPr="006A2C86">
        <w:t xml:space="preserve">, as well as </w:t>
      </w:r>
      <w:r w:rsidR="000F674F" w:rsidRPr="006A2C86">
        <w:t>judges</w:t>
      </w:r>
      <w:r>
        <w:rPr>
          <w:rStyle w:val="Appelnotedebasdep"/>
          <w:lang w:val="fr-CA"/>
        </w:rPr>
        <w:footnoteReference w:id="17"/>
      </w:r>
      <w:r w:rsidR="00A708BC">
        <w:t>.</w:t>
      </w:r>
    </w:p>
    <w:p w14:paraId="496C0521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="00535839" w:rsidRPr="006A2C86">
        <w:t xml:space="preserve">State </w:t>
      </w:r>
      <w:r w:rsidRPr="006A2C86">
        <w:t xml:space="preserve">must </w:t>
      </w:r>
      <w:r w:rsidR="009E7F16">
        <w:t xml:space="preserve">comply with </w:t>
      </w:r>
      <w:r w:rsidRPr="006A2C86">
        <w:t xml:space="preserve">constitutional requirements by ensuring that the criminal justice system in Nunavik is </w:t>
      </w:r>
      <w:r w:rsidR="00BB1156" w:rsidRPr="006A2C86">
        <w:t xml:space="preserve">adequately </w:t>
      </w:r>
      <w:r w:rsidRPr="006A2C86">
        <w:t>resourced to avoid delays.</w:t>
      </w:r>
    </w:p>
    <w:p w14:paraId="500DA8E4" w14:textId="77777777" w:rsidR="002821A1" w:rsidRPr="006A2C86" w:rsidRDefault="00084D70">
      <w:pPr>
        <w:pStyle w:val="Paragraphe"/>
        <w:spacing w:line="240" w:lineRule="auto"/>
      </w:pPr>
      <w:r w:rsidRPr="006A2C86">
        <w:t xml:space="preserve">In the present case, it cannot </w:t>
      </w:r>
      <w:r w:rsidR="005F519F" w:rsidRPr="006A2C86">
        <w:t xml:space="preserve">be ruled out that the </w:t>
      </w:r>
      <w:r w:rsidR="0013080D">
        <w:t>accused</w:t>
      </w:r>
      <w:r w:rsidR="005F519F" w:rsidRPr="006A2C86">
        <w:t xml:space="preserve"> may </w:t>
      </w:r>
      <w:r w:rsidR="00307D3A" w:rsidRPr="006A2C86">
        <w:t xml:space="preserve">have suffered </w:t>
      </w:r>
      <w:r w:rsidR="005F519F" w:rsidRPr="006A2C86">
        <w:t xml:space="preserve">prejudice </w:t>
      </w:r>
      <w:r w:rsidR="00307D3A" w:rsidRPr="006A2C86">
        <w:t xml:space="preserve">before </w:t>
      </w:r>
      <w:r w:rsidR="000F674F" w:rsidRPr="006A2C86">
        <w:t>reaching 18 months</w:t>
      </w:r>
      <w:r w:rsidR="005F519F" w:rsidRPr="006A2C86">
        <w:t xml:space="preserve">, </w:t>
      </w:r>
      <w:r w:rsidR="000F674F" w:rsidRPr="006A2C86">
        <w:t xml:space="preserve">since he </w:t>
      </w:r>
      <w:r w:rsidR="008D60DE" w:rsidRPr="006A2C86">
        <w:t xml:space="preserve">has been </w:t>
      </w:r>
      <w:r w:rsidR="005F519F" w:rsidRPr="006A2C86">
        <w:t>in preventive detention</w:t>
      </w:r>
      <w:bookmarkStart w:id="6" w:name="_Hlk137588660"/>
      <w:bookmarkEnd w:id="6"/>
      <w:r w:rsidR="008D60DE" w:rsidRPr="006A2C86">
        <w:t xml:space="preserve"> for </w:t>
      </w:r>
      <w:r w:rsidR="009E7F16">
        <w:t xml:space="preserve">about </w:t>
      </w:r>
      <w:r w:rsidR="00AB7DAE" w:rsidRPr="006A2C86">
        <w:t xml:space="preserve">19 months. Calculated </w:t>
      </w:r>
      <w:r w:rsidR="009E7F16">
        <w:t xml:space="preserve">at </w:t>
      </w:r>
      <w:r w:rsidR="00AB7DAE" w:rsidRPr="006A2C86">
        <w:t>time and a half, this amounts to approximately 28.5 months</w:t>
      </w:r>
      <w:r>
        <w:rPr>
          <w:rStyle w:val="Appelnotedebasdep"/>
          <w:lang w:val="fr-CA"/>
        </w:rPr>
        <w:footnoteReference w:id="18"/>
      </w:r>
      <w:r w:rsidR="00A708BC">
        <w:t>.</w:t>
      </w:r>
      <w:r w:rsidR="00AB7DAE" w:rsidRPr="006A2C86">
        <w:t xml:space="preserve"> </w:t>
      </w:r>
    </w:p>
    <w:p w14:paraId="37150DDE" w14:textId="77777777" w:rsidR="002821A1" w:rsidRPr="006A2C86" w:rsidRDefault="00084D70">
      <w:pPr>
        <w:pStyle w:val="Paragraphe"/>
        <w:spacing w:line="240" w:lineRule="auto"/>
      </w:pPr>
      <w:r w:rsidRPr="006A2C86">
        <w:lastRenderedPageBreak/>
        <w:t xml:space="preserve">Pre-trial detention conditions are difficult for an </w:t>
      </w:r>
      <w:r w:rsidR="0013080D">
        <w:t>accused</w:t>
      </w:r>
      <w:r w:rsidRPr="006A2C86">
        <w:t>, especially one living in Nunavik</w:t>
      </w:r>
      <w:r w:rsidR="000B591A" w:rsidRPr="006A2C86">
        <w:t xml:space="preserve">. As </w:t>
      </w:r>
      <w:r w:rsidR="009E7F16">
        <w:t xml:space="preserve">stated </w:t>
      </w:r>
      <w:r w:rsidR="000B591A" w:rsidRPr="006A2C86">
        <w:t xml:space="preserve">by the Human Rights Commission and </w:t>
      </w:r>
      <w:r w:rsidR="002739F8" w:rsidRPr="006A2C86">
        <w:t xml:space="preserve">catalogued </w:t>
      </w:r>
      <w:r w:rsidR="000B591A" w:rsidRPr="006A2C86">
        <w:t xml:space="preserve">by the Viens Commission, detention conditions for </w:t>
      </w:r>
      <w:r w:rsidR="00126EC4" w:rsidRPr="006A2C86">
        <w:t xml:space="preserve">Nunavimiut </w:t>
      </w:r>
      <w:r w:rsidR="000B591A" w:rsidRPr="006A2C86">
        <w:t>are particularly difficult</w:t>
      </w:r>
      <w:r>
        <w:rPr>
          <w:rStyle w:val="Appelnotedebasdep"/>
          <w:lang w:val="fr-CA"/>
        </w:rPr>
        <w:footnoteReference w:id="19"/>
      </w:r>
      <w:r w:rsidR="00A708BC">
        <w:t>.</w:t>
      </w:r>
      <w:r w:rsidR="000B591A" w:rsidRPr="006A2C86">
        <w:t xml:space="preserve"> </w:t>
      </w:r>
    </w:p>
    <w:p w14:paraId="3DC1CBB9" w14:textId="77777777" w:rsidR="002821A1" w:rsidRPr="006A2C86" w:rsidRDefault="00084D70">
      <w:pPr>
        <w:pStyle w:val="Paragraphe"/>
        <w:spacing w:line="240" w:lineRule="auto"/>
      </w:pPr>
      <w:r w:rsidRPr="006A2C86">
        <w:t xml:space="preserve">In the eyes of the </w:t>
      </w:r>
      <w:r w:rsidR="00882F93">
        <w:t>Court</w:t>
      </w:r>
      <w:r w:rsidR="00C723A0" w:rsidRPr="006A2C86">
        <w:t xml:space="preserve">, </w:t>
      </w:r>
      <w:r w:rsidRPr="006A2C86">
        <w:t xml:space="preserve">this detention period </w:t>
      </w:r>
      <w:r w:rsidR="00AB7DAE" w:rsidRPr="006A2C86">
        <w:t xml:space="preserve">alone is </w:t>
      </w:r>
      <w:r w:rsidRPr="006A2C86">
        <w:t>unreasonable</w:t>
      </w:r>
      <w:r w:rsidR="00AB7DAE" w:rsidRPr="006A2C86">
        <w:t>.</w:t>
      </w:r>
    </w:p>
    <w:p w14:paraId="4EB15C63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historical argument of mass volume and a dysfunctional system in Nunavik does not justify exceeding the </w:t>
      </w:r>
      <w:r w:rsidR="00BE0646" w:rsidRPr="006A2C86">
        <w:t xml:space="preserve">18-month </w:t>
      </w:r>
      <w:r w:rsidRPr="006A2C86">
        <w:t xml:space="preserve">threshold. Nor can </w:t>
      </w:r>
      <w:r w:rsidR="002739F8" w:rsidRPr="006A2C86">
        <w:t>chronic institutional and systemic delays serve as a basis for exceeding the</w:t>
      </w:r>
      <w:r w:rsidR="00CE17E8">
        <w:t xml:space="preserve"> celling</w:t>
      </w:r>
      <w:r>
        <w:rPr>
          <w:rStyle w:val="Appelnotedebasdep"/>
          <w:lang w:val="fr-CA"/>
        </w:rPr>
        <w:footnoteReference w:id="20"/>
      </w:r>
      <w:r w:rsidR="00A708BC">
        <w:t>.</w:t>
      </w:r>
      <w:r w:rsidRPr="006A2C86">
        <w:t xml:space="preserve"> </w:t>
      </w:r>
    </w:p>
    <w:p w14:paraId="05321630" w14:textId="77777777" w:rsidR="002821A1" w:rsidRPr="006A2C86" w:rsidRDefault="00084D70">
      <w:pPr>
        <w:pStyle w:val="Paragraphe"/>
        <w:spacing w:line="240" w:lineRule="auto"/>
      </w:pPr>
      <w:r w:rsidRPr="006A2C86">
        <w:t xml:space="preserve">Citizens' confidence in the justice system is </w:t>
      </w:r>
      <w:r w:rsidR="00BE0646" w:rsidRPr="006A2C86">
        <w:t xml:space="preserve">undermined </w:t>
      </w:r>
      <w:r w:rsidRPr="006A2C86">
        <w:t>by extended delays. This trust is essential to the system's survival. Without community support</w:t>
      </w:r>
      <w:r w:rsidR="00BE0646" w:rsidRPr="006A2C86">
        <w:t xml:space="preserve">, </w:t>
      </w:r>
      <w:r w:rsidRPr="006A2C86">
        <w:t>the system loses its equilibrium</w:t>
      </w:r>
      <w:r>
        <w:rPr>
          <w:rStyle w:val="Appelnotedebasdep"/>
          <w:lang w:val="fr-CA"/>
        </w:rPr>
        <w:footnoteReference w:id="21"/>
      </w:r>
      <w:r w:rsidR="00A708BC">
        <w:t>.</w:t>
      </w:r>
      <w:r w:rsidRPr="006A2C86">
        <w:t xml:space="preserve"> </w:t>
      </w:r>
    </w:p>
    <w:p w14:paraId="6D89E934" w14:textId="77777777" w:rsidR="002821A1" w:rsidRPr="006A2C86" w:rsidRDefault="00084D70">
      <w:pPr>
        <w:pStyle w:val="Paragraphe"/>
        <w:spacing w:line="240" w:lineRule="auto"/>
      </w:pPr>
      <w:r w:rsidRPr="006A2C86">
        <w:t>Moreover, unreasonable delays amplify victims' suffering and prevent them from moving on</w:t>
      </w:r>
      <w:r>
        <w:rPr>
          <w:rStyle w:val="Appelnotedebasdep"/>
          <w:lang w:val="fr-CA"/>
        </w:rPr>
        <w:footnoteReference w:id="22"/>
      </w:r>
      <w:r w:rsidR="00A708BC">
        <w:t>.</w:t>
      </w:r>
      <w:r w:rsidRPr="006A2C86">
        <w:t xml:space="preserve"> </w:t>
      </w:r>
    </w:p>
    <w:p w14:paraId="5EC471D1" w14:textId="77777777" w:rsidR="002821A1" w:rsidRPr="006A2C86" w:rsidRDefault="00084D70">
      <w:pPr>
        <w:pStyle w:val="Paragraphe"/>
        <w:spacing w:line="240" w:lineRule="auto"/>
      </w:pPr>
      <w:r w:rsidRPr="006A2C86">
        <w:t xml:space="preserve">The </w:t>
      </w:r>
      <w:r w:rsidRPr="00ED03F0">
        <w:rPr>
          <w:i/>
          <w:iCs/>
        </w:rPr>
        <w:t>Jordan</w:t>
      </w:r>
      <w:r w:rsidRPr="006A2C86">
        <w:t xml:space="preserve"> ruling does not distinguish between regions, and the right to a trial within a reasonable time is a right for all citizens. </w:t>
      </w:r>
    </w:p>
    <w:p w14:paraId="314F3791" w14:textId="77777777" w:rsidR="002821A1" w:rsidRPr="006A2C86" w:rsidRDefault="00084D70">
      <w:pPr>
        <w:pStyle w:val="Paragraphe"/>
        <w:spacing w:line="240" w:lineRule="auto"/>
      </w:pPr>
      <w:r w:rsidRPr="006A2C86">
        <w:t xml:space="preserve">In this case, the </w:t>
      </w:r>
      <w:r w:rsidR="00882F93">
        <w:t>Court</w:t>
      </w:r>
      <w:r w:rsidR="00C723A0" w:rsidRPr="006A2C86">
        <w:t xml:space="preserve"> </w:t>
      </w:r>
      <w:r w:rsidRPr="006A2C86">
        <w:t>has no choice but to declare a stay of proceedings. This step must be taken in order to promote a functional justice system for the benefit of the community, the victim</w:t>
      </w:r>
      <w:r w:rsidR="009E7F16">
        <w:t>,</w:t>
      </w:r>
      <w:r w:rsidRPr="006A2C86">
        <w:t xml:space="preserve"> and the </w:t>
      </w:r>
      <w:r w:rsidR="0013080D">
        <w:t>accused</w:t>
      </w:r>
      <w:r w:rsidRPr="006A2C86">
        <w:t>.</w:t>
      </w:r>
    </w:p>
    <w:p w14:paraId="47138AF2" w14:textId="77777777" w:rsidR="002821A1" w:rsidRPr="006A2C86" w:rsidRDefault="00084D70">
      <w:pPr>
        <w:pStyle w:val="Titre4"/>
        <w:rPr>
          <w:caps/>
        </w:rPr>
      </w:pPr>
      <w:r w:rsidRPr="006A2C86">
        <w:rPr>
          <w:caps/>
        </w:rPr>
        <w:t xml:space="preserve">For these reasons, the </w:t>
      </w:r>
      <w:r w:rsidR="00C723A0" w:rsidRPr="006A2C86">
        <w:rPr>
          <w:caps/>
        </w:rPr>
        <w:t>Court</w:t>
      </w:r>
      <w:r w:rsidR="00542AEE">
        <w:rPr>
          <w:caps/>
        </w:rPr>
        <w:t xml:space="preserve"> </w:t>
      </w:r>
      <w:r w:rsidRPr="006A2C86">
        <w:rPr>
          <w:caps/>
        </w:rPr>
        <w:t xml:space="preserve">: </w:t>
      </w:r>
    </w:p>
    <w:p w14:paraId="53C63483" w14:textId="77777777" w:rsidR="002821A1" w:rsidRDefault="00084D70">
      <w:pPr>
        <w:pStyle w:val="Paragraphe"/>
        <w:spacing w:line="240" w:lineRule="auto"/>
      </w:pPr>
      <w:r>
        <w:rPr>
          <w:b/>
          <w:bCs/>
        </w:rPr>
        <w:t>DECLARES</w:t>
      </w:r>
      <w:r w:rsidR="00FF35DB" w:rsidRPr="00F800D6">
        <w:rPr>
          <w:b/>
          <w:bCs/>
        </w:rPr>
        <w:t xml:space="preserve"> </w:t>
      </w:r>
      <w:r w:rsidR="00634225">
        <w:t>that the right of the accused to be judge in a reasonable delay</w:t>
      </w:r>
      <w:r>
        <w:t xml:space="preserve">, </w:t>
      </w:r>
      <w:r w:rsidR="00634225">
        <w:t xml:space="preserve">as stated in section 11b) of the </w:t>
      </w:r>
      <w:r w:rsidR="00634225">
        <w:rPr>
          <w:i/>
          <w:iCs/>
        </w:rPr>
        <w:t>Canadian Charter of Rights and Freedoms</w:t>
      </w:r>
      <w:r>
        <w:t>,</w:t>
      </w:r>
      <w:r w:rsidR="00634225">
        <w:rPr>
          <w:i/>
          <w:iCs/>
        </w:rPr>
        <w:t xml:space="preserve"> </w:t>
      </w:r>
      <w:r w:rsidR="00634225">
        <w:t>was violated.</w:t>
      </w:r>
    </w:p>
    <w:p w14:paraId="75D9742E" w14:textId="77777777" w:rsidR="00274255" w:rsidRPr="00F800D6" w:rsidRDefault="00084D70" w:rsidP="00224FAE">
      <w:pPr>
        <w:pStyle w:val="Paragraphe"/>
        <w:spacing w:line="240" w:lineRule="auto"/>
      </w:pPr>
      <w:r>
        <w:rPr>
          <w:b/>
          <w:bCs/>
        </w:rPr>
        <w:t xml:space="preserve">ORDERS </w:t>
      </w:r>
      <w:r>
        <w:t>a stay of proceedings</w:t>
      </w:r>
      <w:r w:rsidR="005F1AA8">
        <w:t xml:space="preserve"> pursuant to section 24(1) of the </w:t>
      </w:r>
      <w:r w:rsidR="005F1AA8">
        <w:rPr>
          <w:i/>
          <w:iCs/>
        </w:rPr>
        <w:t>Canadian Charter of Rights and Freedoms</w:t>
      </w:r>
      <w:r w:rsidR="005F1AA8">
        <w:t>.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799"/>
        <w:gridCol w:w="4638"/>
      </w:tblGrid>
      <w:tr w:rsidR="002C00C4" w14:paraId="04374409" w14:textId="77777777" w:rsidTr="007834FA">
        <w:trPr>
          <w:trHeight w:val="576"/>
        </w:trPr>
        <w:tc>
          <w:tcPr>
            <w:tcW w:w="9505" w:type="dxa"/>
            <w:gridSpan w:val="3"/>
          </w:tcPr>
          <w:p w14:paraId="324B0CD0" w14:textId="77777777" w:rsidR="00D91EEA" w:rsidRPr="00F800D6" w:rsidRDefault="00D91EEA">
            <w:pPr>
              <w:keepNext/>
              <w:keepLines/>
            </w:pPr>
          </w:p>
        </w:tc>
      </w:tr>
      <w:tr w:rsidR="002C00C4" w:rsidRPr="00150063" w14:paraId="3BD17C24" w14:textId="77777777" w:rsidTr="007834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867" w:type="dxa"/>
            <w:gridSpan w:val="2"/>
          </w:tcPr>
          <w:p w14:paraId="5739B0C9" w14:textId="77777777" w:rsidR="00D91EEA" w:rsidRPr="00F800D6" w:rsidRDefault="00D91EEA"/>
        </w:tc>
        <w:tc>
          <w:tcPr>
            <w:tcW w:w="4638" w:type="dxa"/>
          </w:tcPr>
          <w:p w14:paraId="5B3FEC9B" w14:textId="77777777" w:rsidR="002821A1" w:rsidRDefault="00084D70">
            <w:pPr>
              <w:pStyle w:val="zSoquijdatSignature3Juge"/>
              <w:rPr>
                <w:lang w:val="fr-CA"/>
              </w:rPr>
            </w:pPr>
            <w:r w:rsidRPr="00F800D6">
              <w:rPr>
                <w:lang w:val="fr-CA"/>
              </w:rPr>
              <w:t>__________________________________</w:t>
            </w:r>
          </w:p>
          <w:p w14:paraId="3E64CB21" w14:textId="77777777" w:rsidR="002821A1" w:rsidRDefault="00084D70">
            <w:pPr>
              <w:pStyle w:val="zSoquijdatSignature3Juge"/>
              <w:rPr>
                <w:b/>
                <w:bCs/>
                <w:lang w:val="fr-CA"/>
              </w:rPr>
            </w:pPr>
            <w:r w:rsidRPr="00F800D6">
              <w:rPr>
                <w:b/>
                <w:bCs/>
                <w:lang w:val="fr-CA"/>
              </w:rPr>
              <w:t>NATHALIE SAMSON, J.C.Q.</w:t>
            </w:r>
          </w:p>
        </w:tc>
      </w:tr>
      <w:tr w:rsidR="002C00C4" w:rsidRPr="00150063" w14:paraId="4B1BFEC2" w14:textId="77777777" w:rsidTr="007834FA">
        <w:tc>
          <w:tcPr>
            <w:tcW w:w="9505" w:type="dxa"/>
            <w:gridSpan w:val="3"/>
          </w:tcPr>
          <w:p w14:paraId="6E945208" w14:textId="77777777" w:rsidR="00D91EEA" w:rsidRPr="00F800D6" w:rsidRDefault="00D91EEA">
            <w:pPr>
              <w:rPr>
                <w:lang w:val="fr-CA"/>
              </w:rPr>
            </w:pPr>
          </w:p>
        </w:tc>
      </w:tr>
      <w:tr w:rsidR="002C00C4" w14:paraId="569FED53" w14:textId="77777777" w:rsidTr="007834FA">
        <w:trPr>
          <w:cantSplit/>
        </w:trPr>
        <w:tc>
          <w:tcPr>
            <w:tcW w:w="9505" w:type="dxa"/>
            <w:gridSpan w:val="3"/>
          </w:tcPr>
          <w:p w14:paraId="0C092A14" w14:textId="77777777" w:rsidR="002821A1" w:rsidRDefault="00084D70">
            <w:pPr>
              <w:pStyle w:val="zSoquijdatNomProcureurDem"/>
              <w:rPr>
                <w:lang w:val="fr-CA"/>
              </w:rPr>
            </w:pPr>
            <w:r w:rsidRPr="00F800D6">
              <w:t>M</w:t>
            </w:r>
            <w:r>
              <w:rPr>
                <w:vertAlign w:val="superscript"/>
              </w:rPr>
              <w:t>tre</w:t>
            </w:r>
            <w:r w:rsidRPr="00F800D6">
              <w:t xml:space="preserve"> Franc</w:t>
            </w:r>
            <w:r w:rsidR="00A70D36">
              <w:t>el</w:t>
            </w:r>
            <w:r w:rsidRPr="00F800D6">
              <w:t xml:space="preserve">ine Lamoureux-Auclair </w:t>
            </w:r>
          </w:p>
        </w:tc>
      </w:tr>
      <w:tr w:rsidR="002C00C4" w14:paraId="1BA308E1" w14:textId="77777777" w:rsidTr="007834FA">
        <w:trPr>
          <w:cantSplit/>
        </w:trPr>
        <w:tc>
          <w:tcPr>
            <w:tcW w:w="9505" w:type="dxa"/>
            <w:gridSpan w:val="3"/>
          </w:tcPr>
          <w:p w14:paraId="50605B7F" w14:textId="77777777" w:rsidR="002821A1" w:rsidRPr="006A2C86" w:rsidRDefault="00084D70">
            <w:pPr>
              <w:pStyle w:val="zSoquijdatCabinetProcureurDem"/>
            </w:pPr>
            <w:r w:rsidRPr="006A2C86">
              <w:t>Director of Criminal and Penal Prosecutions</w:t>
            </w:r>
          </w:p>
        </w:tc>
      </w:tr>
      <w:tr w:rsidR="002C00C4" w14:paraId="6AF04648" w14:textId="77777777" w:rsidTr="007834FA">
        <w:trPr>
          <w:cantSplit/>
        </w:trPr>
        <w:tc>
          <w:tcPr>
            <w:tcW w:w="9505" w:type="dxa"/>
            <w:gridSpan w:val="3"/>
          </w:tcPr>
          <w:p w14:paraId="58986F3C" w14:textId="77777777" w:rsidR="002821A1" w:rsidRPr="00E44FD9" w:rsidRDefault="00084D70">
            <w:pPr>
              <w:pStyle w:val="zSoquijdatCabinetProcureurDem"/>
            </w:pPr>
            <w:r w:rsidRPr="00E44FD9">
              <w:t xml:space="preserve">Counsel for the </w:t>
            </w:r>
            <w:r w:rsidR="00E44FD9">
              <w:t>respondent-prosecutor</w:t>
            </w:r>
          </w:p>
        </w:tc>
      </w:tr>
      <w:tr w:rsidR="002C00C4" w14:paraId="0DFBFF96" w14:textId="77777777" w:rsidTr="007834FA">
        <w:trPr>
          <w:cantSplit/>
        </w:trPr>
        <w:tc>
          <w:tcPr>
            <w:tcW w:w="9505" w:type="dxa"/>
            <w:gridSpan w:val="3"/>
          </w:tcPr>
          <w:p w14:paraId="1EC5312B" w14:textId="77777777" w:rsidR="00D91EEA" w:rsidRPr="00F800D6" w:rsidRDefault="00D91EEA"/>
        </w:tc>
      </w:tr>
      <w:tr w:rsidR="002C00C4" w14:paraId="798B8BD2" w14:textId="77777777" w:rsidTr="007834FA">
        <w:trPr>
          <w:cantSplit/>
        </w:trPr>
        <w:tc>
          <w:tcPr>
            <w:tcW w:w="9505" w:type="dxa"/>
            <w:gridSpan w:val="3"/>
          </w:tcPr>
          <w:p w14:paraId="1788E37A" w14:textId="77777777" w:rsidR="00B54914" w:rsidRPr="00F800D6" w:rsidRDefault="00B54914"/>
        </w:tc>
      </w:tr>
      <w:tr w:rsidR="002C00C4" w14:paraId="234A7D63" w14:textId="77777777" w:rsidTr="007834FA">
        <w:trPr>
          <w:cantSplit/>
        </w:trPr>
        <w:tc>
          <w:tcPr>
            <w:tcW w:w="9505" w:type="dxa"/>
            <w:gridSpan w:val="3"/>
          </w:tcPr>
          <w:p w14:paraId="797FE295" w14:textId="77777777" w:rsidR="002821A1" w:rsidRPr="006A2C86" w:rsidRDefault="00084D70">
            <w:pPr>
              <w:pStyle w:val="zSoquijdatNomProcureurDef"/>
            </w:pPr>
            <w:r w:rsidRPr="006A2C86">
              <w:lastRenderedPageBreak/>
              <w:t>M</w:t>
            </w:r>
            <w:r>
              <w:rPr>
                <w:vertAlign w:val="superscript"/>
              </w:rPr>
              <w:t>tre</w:t>
            </w:r>
            <w:r w:rsidRPr="006A2C86">
              <w:t xml:space="preserve"> Simon Gosselin</w:t>
            </w:r>
          </w:p>
          <w:p w14:paraId="3A247287" w14:textId="77777777" w:rsidR="002821A1" w:rsidRPr="006A2C86" w:rsidRDefault="00084D70">
            <w:pPr>
              <w:pStyle w:val="zSoquijdatNomProcureurDef"/>
            </w:pPr>
            <w:r w:rsidRPr="006A2C86">
              <w:t>Kuujjuaq Legal Aid Office</w:t>
            </w:r>
          </w:p>
        </w:tc>
      </w:tr>
      <w:tr w:rsidR="002C00C4" w14:paraId="021CC083" w14:textId="77777777" w:rsidTr="007834FA">
        <w:trPr>
          <w:cantSplit/>
        </w:trPr>
        <w:tc>
          <w:tcPr>
            <w:tcW w:w="9505" w:type="dxa"/>
            <w:gridSpan w:val="3"/>
          </w:tcPr>
          <w:p w14:paraId="7BB8F85B" w14:textId="77777777" w:rsidR="002821A1" w:rsidRDefault="00084D70">
            <w:pPr>
              <w:pStyle w:val="zSoquijlblProcureurDef"/>
            </w:pPr>
            <w:r w:rsidRPr="00F800D6">
              <w:t xml:space="preserve">Counsel for the </w:t>
            </w:r>
            <w:r w:rsidR="0013080D">
              <w:t>applicant-accused</w:t>
            </w:r>
          </w:p>
        </w:tc>
      </w:tr>
      <w:tr w:rsidR="002C00C4" w14:paraId="61E4DFB2" w14:textId="77777777" w:rsidTr="007834FA">
        <w:tc>
          <w:tcPr>
            <w:tcW w:w="9505" w:type="dxa"/>
            <w:gridSpan w:val="3"/>
          </w:tcPr>
          <w:p w14:paraId="24120209" w14:textId="77777777" w:rsidR="00D91EEA" w:rsidRPr="00F800D6" w:rsidRDefault="00D91EEA"/>
        </w:tc>
      </w:tr>
      <w:tr w:rsidR="002C00C4" w14:paraId="470CA549" w14:textId="77777777" w:rsidTr="007834FA">
        <w:tc>
          <w:tcPr>
            <w:tcW w:w="2068" w:type="dxa"/>
          </w:tcPr>
          <w:p w14:paraId="2466AAFF" w14:textId="77777777" w:rsidR="002821A1" w:rsidRDefault="00084D70">
            <w:pPr>
              <w:pStyle w:val="zSoquijlblDateAudience"/>
            </w:pPr>
            <w:r w:rsidRPr="00F800D6">
              <w:t>Hearing date:</w:t>
            </w:r>
          </w:p>
        </w:tc>
        <w:tc>
          <w:tcPr>
            <w:tcW w:w="7437" w:type="dxa"/>
            <w:gridSpan w:val="2"/>
          </w:tcPr>
          <w:p w14:paraId="11BAD1BB" w14:textId="77777777" w:rsidR="002821A1" w:rsidRDefault="00084D70">
            <w:pPr>
              <w:pStyle w:val="zSoquijdatDateAudience"/>
              <w:rPr>
                <w:lang w:val="fr-CA"/>
              </w:rPr>
            </w:pPr>
            <w:r w:rsidRPr="00F800D6">
              <w:rPr>
                <w:lang w:val="fr-CA"/>
              </w:rPr>
              <w:t>April 12, 2023</w:t>
            </w:r>
          </w:p>
        </w:tc>
      </w:tr>
    </w:tbl>
    <w:p w14:paraId="4B2DBDC2" w14:textId="77777777" w:rsidR="00D91EEA" w:rsidRPr="007834FA" w:rsidRDefault="00D91EEA">
      <w:pPr>
        <w:rPr>
          <w:lang w:val="fr-CA"/>
        </w:rPr>
      </w:pPr>
    </w:p>
    <w:sectPr w:rsidR="00D91EEA" w:rsidRPr="007834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4D3B" w14:textId="77777777" w:rsidR="00184E1B" w:rsidRDefault="00084D70">
      <w:r>
        <w:separator/>
      </w:r>
    </w:p>
  </w:endnote>
  <w:endnote w:type="continuationSeparator" w:id="0">
    <w:p w14:paraId="1AB7A04B" w14:textId="77777777" w:rsidR="00184E1B" w:rsidRDefault="0008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F750" w14:textId="77777777" w:rsidR="002821A1" w:rsidRDefault="00084D70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150063">
      <w:fldChar w:fldCharType="separate"/>
    </w:r>
    <w:r>
      <w:fldChar w:fldCharType="end"/>
    </w:r>
  </w:p>
  <w:p w14:paraId="5E8E5EA6" w14:textId="77777777" w:rsidR="00D91EEA" w:rsidRDefault="00D91EE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909" w14:textId="77777777" w:rsidR="00AC6934" w:rsidRDefault="00AC69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8E28" w14:textId="77777777" w:rsidR="00AC6934" w:rsidRDefault="00AC69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CAE3" w14:textId="77777777" w:rsidR="00AC221F" w:rsidRDefault="00084D70">
      <w:r>
        <w:separator/>
      </w:r>
    </w:p>
  </w:footnote>
  <w:footnote w:type="continuationSeparator" w:id="0">
    <w:p w14:paraId="4D9A562F" w14:textId="77777777" w:rsidR="00AC221F" w:rsidRDefault="00084D70">
      <w:r>
        <w:continuationSeparator/>
      </w:r>
    </w:p>
  </w:footnote>
  <w:footnote w:id="1">
    <w:p w14:paraId="4089CF2E" w14:textId="77777777" w:rsidR="002821A1" w:rsidRPr="006A2C86" w:rsidRDefault="00084D70">
      <w:pPr>
        <w:pStyle w:val="Notedebasdepage"/>
        <w:ind w:left="142" w:hanging="142"/>
        <w:rPr>
          <w:i/>
          <w:iCs/>
        </w:rPr>
      </w:pPr>
      <w:r>
        <w:rPr>
          <w:rStyle w:val="Appelnotedebasdep"/>
        </w:rPr>
        <w:footnoteRef/>
      </w:r>
      <w:r w:rsidRPr="006A2C86">
        <w:t xml:space="preserve"> Judgment was delivered orally on this date </w:t>
      </w:r>
      <w:r w:rsidR="00557D51" w:rsidRPr="006A2C86">
        <w:t xml:space="preserve">as provided for in </w:t>
      </w:r>
      <w:r w:rsidRPr="006A2C86">
        <w:rPr>
          <w:i/>
          <w:iCs/>
        </w:rPr>
        <w:t>Kellogg's v. P.G.Q.</w:t>
      </w:r>
      <w:r w:rsidRPr="006A2C86">
        <w:t xml:space="preserve">, </w:t>
      </w:r>
      <w:r w:rsidR="00576DC9">
        <w:t xml:space="preserve">a </w:t>
      </w:r>
      <w:r w:rsidR="007504AE">
        <w:t xml:space="preserve">1978 </w:t>
      </w:r>
      <w:r w:rsidR="00576DC9">
        <w:t>decision of the</w:t>
      </w:r>
      <w:r w:rsidRPr="006A2C86">
        <w:t xml:space="preserve"> Court of Appeal </w:t>
      </w:r>
      <w:r w:rsidR="00576DC9">
        <w:t xml:space="preserve">of Quebec </w:t>
      </w:r>
      <w:r w:rsidRPr="006A2C86">
        <w:t xml:space="preserve">(SOQUIJ AZ-78011031), </w:t>
      </w:r>
      <w:r w:rsidR="007504AE">
        <w:t xml:space="preserve">and </w:t>
      </w:r>
      <w:r w:rsidRPr="006A2C86">
        <w:t>the Court reserv</w:t>
      </w:r>
      <w:r w:rsidR="007504AE">
        <w:t>es</w:t>
      </w:r>
      <w:r w:rsidRPr="006A2C86">
        <w:t xml:space="preserve"> the right to redraft t</w:t>
      </w:r>
      <w:r w:rsidR="008944CC">
        <w:t>his</w:t>
      </w:r>
      <w:r w:rsidRPr="006A2C86">
        <w:t xml:space="preserve"> judgment, </w:t>
      </w:r>
      <w:r w:rsidR="007504AE">
        <w:t xml:space="preserve">while </w:t>
      </w:r>
      <w:r w:rsidRPr="006A2C86">
        <w:t>making no substantial change</w:t>
      </w:r>
      <w:r w:rsidR="007504AE">
        <w:t>s</w:t>
      </w:r>
      <w:r w:rsidRPr="006A2C86">
        <w:t xml:space="preserve"> in content or structure.</w:t>
      </w:r>
    </w:p>
  </w:footnote>
  <w:footnote w:id="2">
    <w:p w14:paraId="01DDE797" w14:textId="77777777" w:rsidR="002821A1" w:rsidRPr="006A2C86" w:rsidRDefault="00084D70">
      <w:pPr>
        <w:pStyle w:val="Notedebasdepage"/>
      </w:pPr>
      <w:r>
        <w:rPr>
          <w:rStyle w:val="Appelnotedebasdep"/>
        </w:rPr>
        <w:footnoteRef/>
      </w:r>
      <w:r w:rsidR="00314E74" w:rsidRPr="00500E16">
        <w:rPr>
          <w:i/>
          <w:iCs/>
        </w:rPr>
        <w:t xml:space="preserve"> </w:t>
      </w:r>
      <w:r w:rsidR="00E31905" w:rsidRPr="006A2C86">
        <w:rPr>
          <w:i/>
          <w:iCs/>
        </w:rPr>
        <w:t xml:space="preserve">R. </w:t>
      </w:r>
      <w:r w:rsidR="00E31905" w:rsidRPr="00ED03F0">
        <w:rPr>
          <w:i/>
          <w:iCs/>
        </w:rPr>
        <w:t>v.</w:t>
      </w:r>
      <w:r w:rsidR="00E31905" w:rsidRPr="006A2C86">
        <w:t xml:space="preserve"> </w:t>
      </w:r>
      <w:r w:rsidR="00E31905" w:rsidRPr="006A2C86">
        <w:rPr>
          <w:i/>
          <w:iCs/>
        </w:rPr>
        <w:t>Jordan</w:t>
      </w:r>
      <w:r w:rsidR="00E31905" w:rsidRPr="006A2C86">
        <w:t>, 2016 SCC 27</w:t>
      </w:r>
      <w:r w:rsidR="00E31905">
        <w:t xml:space="preserve"> at paras. </w:t>
      </w:r>
      <w:r w:rsidR="00E31905" w:rsidRPr="008944CC">
        <w:t xml:space="preserve">46-48; </w:t>
      </w:r>
      <w:bookmarkStart w:id="0" w:name="_Hlk138708923"/>
      <w:r w:rsidR="00314E74" w:rsidRPr="008944CC">
        <w:rPr>
          <w:i/>
          <w:iCs/>
        </w:rPr>
        <w:t>R. v.</w:t>
      </w:r>
      <w:r w:rsidR="00314E74" w:rsidRPr="008944CC">
        <w:t xml:space="preserve"> </w:t>
      </w:r>
      <w:r w:rsidR="007C2321" w:rsidRPr="008944CC">
        <w:rPr>
          <w:i/>
          <w:iCs/>
        </w:rPr>
        <w:t>Rice</w:t>
      </w:r>
      <w:r w:rsidRPr="008944CC">
        <w:t xml:space="preserve">, </w:t>
      </w:r>
      <w:r w:rsidR="00314E74" w:rsidRPr="008944CC">
        <w:t>2018 QCCA 198</w:t>
      </w:r>
      <w:r w:rsidR="00BC41A7" w:rsidRPr="008944CC">
        <w:t>,</w:t>
      </w:r>
      <w:r w:rsidR="00743372" w:rsidRPr="008944CC">
        <w:t xml:space="preserve"> at</w:t>
      </w:r>
      <w:r w:rsidRPr="008944CC">
        <w:t xml:space="preserve"> par</w:t>
      </w:r>
      <w:r w:rsidR="00743372" w:rsidRPr="008944CC">
        <w:t>as</w:t>
      </w:r>
      <w:r w:rsidRPr="008944CC">
        <w:t xml:space="preserve">. </w:t>
      </w:r>
      <w:r w:rsidRPr="006A2C86">
        <w:t>36</w:t>
      </w:r>
      <w:r w:rsidR="00743372">
        <w:t>–</w:t>
      </w:r>
      <w:r w:rsidRPr="006A2C86">
        <w:t>38.</w:t>
      </w:r>
      <w:bookmarkEnd w:id="0"/>
    </w:p>
  </w:footnote>
  <w:footnote w:id="3">
    <w:p w14:paraId="390A3118" w14:textId="77777777" w:rsidR="002821A1" w:rsidRPr="006A2C86" w:rsidRDefault="00084D70">
      <w:pPr>
        <w:pStyle w:val="Notedebasdepage"/>
      </w:pPr>
      <w:r>
        <w:rPr>
          <w:rStyle w:val="Appelnotedebasdep"/>
        </w:rPr>
        <w:footnoteRef/>
      </w:r>
      <w:r w:rsidRPr="006A2C86">
        <w:rPr>
          <w:i/>
          <w:iCs/>
        </w:rPr>
        <w:t xml:space="preserve"> R. </w:t>
      </w:r>
      <w:r w:rsidRPr="00ED03F0">
        <w:rPr>
          <w:i/>
          <w:iCs/>
        </w:rPr>
        <w:t>v.</w:t>
      </w:r>
      <w:r w:rsidRPr="006A2C86">
        <w:t xml:space="preserve"> </w:t>
      </w:r>
      <w:r w:rsidRPr="006A2C86">
        <w:rPr>
          <w:i/>
          <w:iCs/>
        </w:rPr>
        <w:t>Jordan</w:t>
      </w:r>
      <w:r w:rsidRPr="006A2C86">
        <w:t xml:space="preserve">, </w:t>
      </w:r>
      <w:r w:rsidR="00F950AD">
        <w:t>supra, note 2.</w:t>
      </w:r>
    </w:p>
  </w:footnote>
  <w:footnote w:id="4">
    <w:p w14:paraId="570A4A20" w14:textId="77777777" w:rsidR="002821A1" w:rsidRPr="006A2C86" w:rsidRDefault="00084D70">
      <w:pPr>
        <w:pStyle w:val="Notedebasdepage"/>
      </w:pPr>
      <w:r>
        <w:rPr>
          <w:rStyle w:val="Appelnotedebasdep"/>
        </w:rPr>
        <w:footnoteRef/>
      </w:r>
      <w:r w:rsidRPr="006A2C86">
        <w:t xml:space="preserve"> </w:t>
      </w:r>
      <w:r w:rsidR="00F950AD" w:rsidRPr="006A2C86">
        <w:rPr>
          <w:i/>
          <w:iCs/>
        </w:rPr>
        <w:t xml:space="preserve">R. </w:t>
      </w:r>
      <w:r w:rsidR="00F950AD" w:rsidRPr="00ED03F0">
        <w:rPr>
          <w:i/>
          <w:iCs/>
        </w:rPr>
        <w:t>v.</w:t>
      </w:r>
      <w:r w:rsidR="00F950AD" w:rsidRPr="006A2C86">
        <w:t xml:space="preserve"> </w:t>
      </w:r>
      <w:r w:rsidR="00F950AD" w:rsidRPr="006A2C86">
        <w:rPr>
          <w:i/>
          <w:iCs/>
        </w:rPr>
        <w:t>Jordan</w:t>
      </w:r>
      <w:r w:rsidR="00F950AD" w:rsidRPr="006A2C86">
        <w:t xml:space="preserve">, </w:t>
      </w:r>
      <w:r w:rsidR="00F950AD">
        <w:t xml:space="preserve">supra, note 2, </w:t>
      </w:r>
      <w:r w:rsidR="00882F93">
        <w:t>at</w:t>
      </w:r>
      <w:r w:rsidRPr="006A2C86">
        <w:t xml:space="preserve"> par</w:t>
      </w:r>
      <w:r w:rsidR="00882F93">
        <w:t>a</w:t>
      </w:r>
      <w:r w:rsidRPr="006A2C86">
        <w:t>. 61.</w:t>
      </w:r>
    </w:p>
  </w:footnote>
  <w:footnote w:id="5">
    <w:p w14:paraId="40CA8764" w14:textId="77777777" w:rsidR="002821A1" w:rsidRPr="006A2C86" w:rsidRDefault="00084D70">
      <w:pPr>
        <w:pStyle w:val="Notedebasdepage"/>
      </w:pPr>
      <w:r>
        <w:rPr>
          <w:rStyle w:val="Appelnotedebasdep"/>
        </w:rPr>
        <w:footnoteRef/>
      </w:r>
      <w:r w:rsidRPr="006A2C86">
        <w:t xml:space="preserve"> </w:t>
      </w:r>
      <w:r w:rsidR="00F950AD" w:rsidRPr="006A2C86">
        <w:rPr>
          <w:i/>
          <w:iCs/>
        </w:rPr>
        <w:t xml:space="preserve">R. </w:t>
      </w:r>
      <w:r w:rsidR="00F950AD" w:rsidRPr="00ED03F0">
        <w:rPr>
          <w:i/>
          <w:iCs/>
        </w:rPr>
        <w:t>v.</w:t>
      </w:r>
      <w:r w:rsidR="00F950AD" w:rsidRPr="006A2C86">
        <w:t xml:space="preserve"> </w:t>
      </w:r>
      <w:r w:rsidR="00F950AD" w:rsidRPr="006A2C86">
        <w:rPr>
          <w:i/>
          <w:iCs/>
        </w:rPr>
        <w:t>Jordan</w:t>
      </w:r>
      <w:r w:rsidR="00F950AD" w:rsidRPr="006A2C86">
        <w:t xml:space="preserve">, </w:t>
      </w:r>
      <w:r w:rsidR="00F950AD">
        <w:t xml:space="preserve">supra, note 2, </w:t>
      </w:r>
      <w:r w:rsidR="00FF356F">
        <w:t xml:space="preserve">at </w:t>
      </w:r>
      <w:r w:rsidRPr="006A2C86">
        <w:t>par</w:t>
      </w:r>
      <w:r w:rsidR="00882F93">
        <w:t>as</w:t>
      </w:r>
      <w:r w:rsidR="00BB42EF" w:rsidRPr="006A2C86">
        <w:t xml:space="preserve">. </w:t>
      </w:r>
      <w:r w:rsidRPr="006A2C86">
        <w:t xml:space="preserve">63 and 66. </w:t>
      </w:r>
    </w:p>
  </w:footnote>
  <w:footnote w:id="6">
    <w:p w14:paraId="34B8D208" w14:textId="77777777" w:rsidR="002821A1" w:rsidRPr="00ED03F0" w:rsidRDefault="00084D70">
      <w:pPr>
        <w:pStyle w:val="Notedebasdepage"/>
      </w:pPr>
      <w:r>
        <w:rPr>
          <w:rStyle w:val="Appelnotedebasdep"/>
        </w:rPr>
        <w:footnoteRef/>
      </w:r>
      <w:r w:rsidRPr="00ED03F0">
        <w:t xml:space="preserve"> 2016 QCCA 1549</w:t>
      </w:r>
      <w:r w:rsidR="00BB42EF" w:rsidRPr="00ED03F0">
        <w:t>.</w:t>
      </w:r>
    </w:p>
  </w:footnote>
  <w:footnote w:id="7">
    <w:p w14:paraId="315E5A6B" w14:textId="77777777" w:rsidR="00634225" w:rsidRPr="00634225" w:rsidRDefault="00084D7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34225">
        <w:t>O</w:t>
      </w:r>
      <w:r>
        <w:t>nly one judge travels with the itinerant court during a court week.</w:t>
      </w:r>
    </w:p>
  </w:footnote>
  <w:footnote w:id="8">
    <w:p w14:paraId="0BBF88BA" w14:textId="77777777" w:rsidR="000B587E" w:rsidRPr="000B587E" w:rsidRDefault="00084D7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3" w:name="_Hlk138927874"/>
      <w:r w:rsidR="00F950AD" w:rsidRPr="006A2C86">
        <w:rPr>
          <w:i/>
          <w:iCs/>
        </w:rPr>
        <w:t xml:space="preserve">R. </w:t>
      </w:r>
      <w:r w:rsidR="00F950AD" w:rsidRPr="00ED03F0">
        <w:rPr>
          <w:i/>
          <w:iCs/>
        </w:rPr>
        <w:t>v.</w:t>
      </w:r>
      <w:r w:rsidR="00F950AD" w:rsidRPr="006A2C86">
        <w:t xml:space="preserve"> </w:t>
      </w:r>
      <w:r w:rsidR="00F950AD" w:rsidRPr="006A2C86">
        <w:rPr>
          <w:i/>
          <w:iCs/>
        </w:rPr>
        <w:t>Jordan</w:t>
      </w:r>
      <w:r w:rsidR="00F950AD" w:rsidRPr="006A2C86">
        <w:t xml:space="preserve">, </w:t>
      </w:r>
      <w:r w:rsidR="00F950AD">
        <w:t xml:space="preserve">supra, note 2, </w:t>
      </w:r>
      <w:bookmarkEnd w:id="3"/>
      <w:r w:rsidR="00F950AD">
        <w:t>at</w:t>
      </w:r>
      <w:r w:rsidR="00F950AD" w:rsidRPr="006A2C86">
        <w:t xml:space="preserve"> par</w:t>
      </w:r>
      <w:r w:rsidR="00F950AD">
        <w:t>a</w:t>
      </w:r>
      <w:r w:rsidR="00F950AD" w:rsidRPr="006A2C86">
        <w:t xml:space="preserve">. </w:t>
      </w:r>
      <w:r w:rsidR="00F950AD">
        <w:t>50</w:t>
      </w:r>
      <w:r w:rsidR="00F950AD" w:rsidRPr="006A2C86">
        <w:t>.</w:t>
      </w:r>
    </w:p>
  </w:footnote>
  <w:footnote w:id="9">
    <w:p w14:paraId="4DECF07B" w14:textId="77777777" w:rsidR="002821A1" w:rsidRPr="00ED03F0" w:rsidRDefault="00084D70">
      <w:pPr>
        <w:pStyle w:val="Notedebasdepage"/>
      </w:pPr>
      <w:r>
        <w:rPr>
          <w:rStyle w:val="Appelnotedebasdep"/>
        </w:rPr>
        <w:footnoteRef/>
      </w:r>
      <w:bookmarkStart w:id="4" w:name="_Hlk137112183"/>
      <w:r w:rsidR="003C788D" w:rsidRPr="00500E16">
        <w:rPr>
          <w:i/>
          <w:iCs/>
        </w:rPr>
        <w:t xml:space="preserve"> </w:t>
      </w:r>
      <w:bookmarkStart w:id="5" w:name="_Hlk138926746"/>
      <w:r w:rsidR="003C788D" w:rsidRPr="00500E16">
        <w:rPr>
          <w:i/>
          <w:iCs/>
        </w:rPr>
        <w:t>R. v.</w:t>
      </w:r>
      <w:r w:rsidR="003C788D" w:rsidRPr="00500E16">
        <w:t xml:space="preserve"> </w:t>
      </w:r>
      <w:r w:rsidR="003C788D" w:rsidRPr="00500E16">
        <w:rPr>
          <w:i/>
          <w:iCs/>
        </w:rPr>
        <w:t>Rice</w:t>
      </w:r>
      <w:r w:rsidR="003C788D" w:rsidRPr="00500E16">
        <w:t xml:space="preserve">, </w:t>
      </w:r>
      <w:r w:rsidR="00F950AD">
        <w:t>supra, note 2,</w:t>
      </w:r>
      <w:r w:rsidR="003C788D" w:rsidRPr="00500E16">
        <w:t xml:space="preserve"> </w:t>
      </w:r>
      <w:bookmarkEnd w:id="4"/>
      <w:r w:rsidR="00440B99" w:rsidRPr="00ED03F0">
        <w:t>at</w:t>
      </w:r>
      <w:r w:rsidRPr="00ED03F0">
        <w:t xml:space="preserve"> par</w:t>
      </w:r>
      <w:r w:rsidR="00440B99" w:rsidRPr="00ED03F0">
        <w:t>a</w:t>
      </w:r>
      <w:r w:rsidRPr="00ED03F0">
        <w:t xml:space="preserve">. </w:t>
      </w:r>
      <w:bookmarkEnd w:id="5"/>
      <w:r w:rsidRPr="00ED03F0">
        <w:t>66.</w:t>
      </w:r>
    </w:p>
  </w:footnote>
  <w:footnote w:id="10">
    <w:p w14:paraId="15D27F45" w14:textId="77777777" w:rsidR="002821A1" w:rsidRPr="00ED03F0" w:rsidRDefault="00084D70">
      <w:pPr>
        <w:pStyle w:val="Notedebasdepage"/>
      </w:pPr>
      <w:r>
        <w:rPr>
          <w:rStyle w:val="Appelnotedebasdep"/>
        </w:rPr>
        <w:footnoteRef/>
      </w:r>
      <w:r w:rsidR="00F950AD" w:rsidRPr="00500E16">
        <w:rPr>
          <w:i/>
          <w:iCs/>
        </w:rPr>
        <w:t>R. v.</w:t>
      </w:r>
      <w:r w:rsidR="00F950AD" w:rsidRPr="00500E16">
        <w:t xml:space="preserve"> </w:t>
      </w:r>
      <w:r w:rsidR="00F950AD" w:rsidRPr="00500E16">
        <w:rPr>
          <w:i/>
          <w:iCs/>
        </w:rPr>
        <w:t>Rice</w:t>
      </w:r>
      <w:r w:rsidR="00F950AD" w:rsidRPr="00500E16">
        <w:t xml:space="preserve">, </w:t>
      </w:r>
      <w:r w:rsidR="00F950AD">
        <w:t>supra, note 2,</w:t>
      </w:r>
      <w:r w:rsidR="00F950AD" w:rsidRPr="00500E16">
        <w:t xml:space="preserve"> </w:t>
      </w:r>
      <w:r w:rsidR="00F950AD" w:rsidRPr="00ED03F0">
        <w:t>at para</w:t>
      </w:r>
      <w:r w:rsidR="00BB42EF" w:rsidRPr="00ED03F0">
        <w:t xml:space="preserve">. </w:t>
      </w:r>
      <w:r w:rsidRPr="00ED03F0">
        <w:t>58.</w:t>
      </w:r>
    </w:p>
  </w:footnote>
  <w:footnote w:id="11">
    <w:p w14:paraId="476932B6" w14:textId="77777777" w:rsidR="002821A1" w:rsidRPr="008944CC" w:rsidRDefault="00084D70">
      <w:pPr>
        <w:pStyle w:val="Notedebasdepage"/>
      </w:pPr>
      <w:r>
        <w:rPr>
          <w:rStyle w:val="Appelnotedebasdep"/>
        </w:rPr>
        <w:footnoteRef/>
      </w:r>
      <w:r w:rsidR="00557D51" w:rsidRPr="00ED03F0">
        <w:rPr>
          <w:i/>
          <w:iCs/>
        </w:rPr>
        <w:t xml:space="preserve"> Kooktook v.</w:t>
      </w:r>
      <w:r w:rsidR="00557D51" w:rsidRPr="00ED03F0">
        <w:t xml:space="preserve"> </w:t>
      </w:r>
      <w:r w:rsidR="00557D51" w:rsidRPr="00ED03F0">
        <w:rPr>
          <w:i/>
          <w:iCs/>
        </w:rPr>
        <w:t xml:space="preserve">R., </w:t>
      </w:r>
      <w:r w:rsidR="00557D51" w:rsidRPr="00ED03F0">
        <w:t>2022 QCCQ 9413</w:t>
      </w:r>
      <w:r w:rsidR="00897106" w:rsidRPr="00ED03F0">
        <w:t xml:space="preserve"> at</w:t>
      </w:r>
      <w:r w:rsidR="00557D51" w:rsidRPr="00ED03F0">
        <w:t xml:space="preserve"> par</w:t>
      </w:r>
      <w:r w:rsidR="00897106" w:rsidRPr="00ED03F0">
        <w:t>as</w:t>
      </w:r>
      <w:r w:rsidR="00557D51" w:rsidRPr="00ED03F0">
        <w:t xml:space="preserve">. </w:t>
      </w:r>
      <w:r w:rsidR="00557D51" w:rsidRPr="008944CC">
        <w:t>11</w:t>
      </w:r>
      <w:r w:rsidR="00897106" w:rsidRPr="008944CC">
        <w:t>–</w:t>
      </w:r>
      <w:r w:rsidR="00557D51" w:rsidRPr="008944CC">
        <w:t>15.</w:t>
      </w:r>
    </w:p>
  </w:footnote>
  <w:footnote w:id="12">
    <w:p w14:paraId="29CB563F" w14:textId="77777777" w:rsidR="002821A1" w:rsidRPr="0013080D" w:rsidRDefault="00084D70" w:rsidP="00ED03F0">
      <w:pPr>
        <w:pStyle w:val="Notedebasdepage"/>
        <w:ind w:left="170" w:hanging="170"/>
      </w:pPr>
      <w:r>
        <w:rPr>
          <w:rStyle w:val="Appelnotedebasdep"/>
        </w:rPr>
        <w:footnoteRef/>
      </w:r>
      <w:r w:rsidR="00856574" w:rsidRPr="008944CC">
        <w:rPr>
          <w:rFonts w:cs="Arial"/>
          <w:i/>
          <w:iCs/>
          <w:color w:val="212121"/>
          <w:shd w:val="clear" w:color="auto" w:fill="FFFFFF"/>
        </w:rPr>
        <w:t xml:space="preserve"> </w:t>
      </w:r>
      <w:r w:rsidR="00F950AD" w:rsidRPr="008944CC">
        <w:rPr>
          <w:i/>
          <w:iCs/>
        </w:rPr>
        <w:t>R. v.</w:t>
      </w:r>
      <w:r w:rsidR="00F950AD" w:rsidRPr="008944CC">
        <w:t xml:space="preserve"> </w:t>
      </w:r>
      <w:r w:rsidR="00F950AD" w:rsidRPr="008944CC">
        <w:rPr>
          <w:i/>
          <w:iCs/>
        </w:rPr>
        <w:t>Rice</w:t>
      </w:r>
      <w:r w:rsidR="00F950AD" w:rsidRPr="008944CC">
        <w:t>, supra, note 2,</w:t>
      </w:r>
      <w:r w:rsidR="002C5879" w:rsidRPr="008944CC">
        <w:rPr>
          <w:rFonts w:cs="Arial"/>
          <w:i/>
          <w:iCs/>
          <w:color w:val="212121"/>
          <w:shd w:val="clear" w:color="auto" w:fill="FFFFFF"/>
        </w:rPr>
        <w:t xml:space="preserve"> at paras. 143-144; </w:t>
      </w:r>
      <w:r w:rsidR="00856574" w:rsidRPr="008944CC">
        <w:rPr>
          <w:rFonts w:cs="Arial"/>
          <w:i/>
          <w:iCs/>
          <w:color w:val="212121"/>
          <w:shd w:val="clear" w:color="auto" w:fill="FFFFFF"/>
        </w:rPr>
        <w:t xml:space="preserve">Richard </w:t>
      </w:r>
      <w:r w:rsidR="00856574" w:rsidRPr="008944CC">
        <w:rPr>
          <w:rFonts w:cs="Arial"/>
          <w:color w:val="212121"/>
          <w:shd w:val="clear" w:color="auto" w:fill="FFFFFF"/>
        </w:rPr>
        <w:t xml:space="preserve">v. </w:t>
      </w:r>
      <w:r w:rsidR="00856574" w:rsidRPr="008944CC">
        <w:rPr>
          <w:rFonts w:cs="Arial"/>
          <w:i/>
          <w:iCs/>
          <w:color w:val="212121"/>
          <w:shd w:val="clear" w:color="auto" w:fill="FFFFFF"/>
        </w:rPr>
        <w:t xml:space="preserve">R., </w:t>
      </w:r>
      <w:r w:rsidR="00856574" w:rsidRPr="008944CC">
        <w:rPr>
          <w:rFonts w:cs="Arial"/>
          <w:color w:val="212121"/>
          <w:shd w:val="clear" w:color="auto" w:fill="FFFFFF"/>
        </w:rPr>
        <w:t>2022 QCCQ 10228</w:t>
      </w:r>
      <w:r w:rsidR="008C4AC8" w:rsidRPr="008944CC">
        <w:rPr>
          <w:rFonts w:cs="Arial"/>
          <w:color w:val="212121"/>
          <w:shd w:val="clear" w:color="auto" w:fill="FFFFFF"/>
        </w:rPr>
        <w:t>, at para. 40</w:t>
      </w:r>
      <w:r w:rsidR="00856574" w:rsidRPr="008944CC">
        <w:rPr>
          <w:rFonts w:cs="Arial"/>
          <w:color w:val="212121"/>
          <w:shd w:val="clear" w:color="auto" w:fill="FFFFFF"/>
        </w:rPr>
        <w:t xml:space="preserve">; </w:t>
      </w:r>
      <w:r w:rsidR="001815AD" w:rsidRPr="008944CC">
        <w:rPr>
          <w:rStyle w:val="fs-small"/>
          <w:rFonts w:cs="Arial"/>
          <w:i/>
          <w:iCs/>
          <w:color w:val="212121"/>
          <w:shd w:val="clear" w:color="auto" w:fill="FFFFFF"/>
        </w:rPr>
        <w:t>R. v. Taillefer; R</w:t>
      </w:r>
      <w:r w:rsidR="00856574" w:rsidRPr="008944CC">
        <w:rPr>
          <w:rStyle w:val="fs-small"/>
          <w:rFonts w:cs="Arial"/>
          <w:color w:val="212121"/>
          <w:shd w:val="clear" w:color="auto" w:fill="FFFFFF"/>
        </w:rPr>
        <w:t>. v</w:t>
      </w:r>
      <w:r w:rsidR="00856574" w:rsidRPr="008944CC">
        <w:rPr>
          <w:rStyle w:val="fs-small"/>
          <w:rFonts w:cs="Arial"/>
          <w:i/>
          <w:iCs/>
          <w:color w:val="212121"/>
          <w:shd w:val="clear" w:color="auto" w:fill="FFFFFF"/>
        </w:rPr>
        <w:t>. Duguay</w:t>
      </w:r>
      <w:r w:rsidR="001815AD" w:rsidRPr="008944CC">
        <w:rPr>
          <w:rStyle w:val="fs-small"/>
          <w:rFonts w:cs="Arial"/>
          <w:color w:val="212121"/>
          <w:shd w:val="clear" w:color="auto" w:fill="FFFFFF"/>
        </w:rPr>
        <w:t xml:space="preserve">, </w:t>
      </w:r>
      <w:r w:rsidR="001815AD" w:rsidRPr="008944CC">
        <w:rPr>
          <w:rStyle w:val="Accentuation"/>
          <w:i w:val="0"/>
          <w:iCs w:val="0"/>
        </w:rPr>
        <w:t>[</w:t>
      </w:r>
      <w:r w:rsidR="00856574" w:rsidRPr="008944CC">
        <w:rPr>
          <w:rStyle w:val="Accentuation"/>
          <w:i w:val="0"/>
          <w:iCs w:val="0"/>
        </w:rPr>
        <w:t>2003</w:t>
      </w:r>
      <w:r w:rsidR="001815AD" w:rsidRPr="008944CC">
        <w:rPr>
          <w:rStyle w:val="Accentuation"/>
          <w:i w:val="0"/>
          <w:iCs w:val="0"/>
        </w:rPr>
        <w:t>] 3 S.C.R. 307</w:t>
      </w:r>
      <w:r w:rsidR="00F950AD" w:rsidRPr="008944CC">
        <w:rPr>
          <w:rStyle w:val="Accentuation"/>
          <w:i w:val="0"/>
          <w:iCs w:val="0"/>
        </w:rPr>
        <w:t>,</w:t>
      </w:r>
      <w:r w:rsidR="009E7F16" w:rsidRPr="008944CC">
        <w:rPr>
          <w:rStyle w:val="fs-small"/>
          <w:rFonts w:cs="Arial"/>
          <w:color w:val="212121"/>
          <w:shd w:val="clear" w:color="auto" w:fill="FFFFFF"/>
        </w:rPr>
        <w:t xml:space="preserve"> at</w:t>
      </w:r>
      <w:r w:rsidR="001815AD" w:rsidRPr="008944CC">
        <w:rPr>
          <w:rStyle w:val="fs-small"/>
          <w:rFonts w:cs="Arial"/>
          <w:color w:val="212121"/>
          <w:shd w:val="clear" w:color="auto" w:fill="FFFFFF"/>
        </w:rPr>
        <w:t xml:space="preserve"> par</w:t>
      </w:r>
      <w:r w:rsidR="009E7F16" w:rsidRPr="008944CC">
        <w:rPr>
          <w:rStyle w:val="fs-small"/>
          <w:rFonts w:cs="Arial"/>
          <w:color w:val="212121"/>
          <w:shd w:val="clear" w:color="auto" w:fill="FFFFFF"/>
        </w:rPr>
        <w:t>as</w:t>
      </w:r>
      <w:r w:rsidR="001815AD" w:rsidRPr="008944CC">
        <w:rPr>
          <w:rStyle w:val="fs-small"/>
          <w:rFonts w:cs="Arial"/>
          <w:color w:val="212121"/>
          <w:shd w:val="clear" w:color="auto" w:fill="FFFFFF"/>
        </w:rPr>
        <w:t xml:space="preserve">. </w:t>
      </w:r>
      <w:r w:rsidR="001815AD" w:rsidRPr="001815AD">
        <w:rPr>
          <w:rStyle w:val="fs-small"/>
          <w:rFonts w:cs="Arial"/>
          <w:color w:val="212121"/>
          <w:shd w:val="clear" w:color="auto" w:fill="FFFFFF"/>
          <w:lang w:val="fr-CA"/>
        </w:rPr>
        <w:t>92</w:t>
      </w:r>
      <w:r w:rsidR="009E7F16">
        <w:rPr>
          <w:rStyle w:val="fs-small"/>
          <w:rFonts w:cs="Arial"/>
          <w:color w:val="212121"/>
          <w:shd w:val="clear" w:color="auto" w:fill="FFFFFF"/>
          <w:lang w:val="fr-CA"/>
        </w:rPr>
        <w:t>–</w:t>
      </w:r>
      <w:r w:rsidR="001815AD" w:rsidRPr="001815AD">
        <w:rPr>
          <w:rStyle w:val="fs-small"/>
          <w:rFonts w:cs="Arial"/>
          <w:color w:val="212121"/>
          <w:shd w:val="clear" w:color="auto" w:fill="FFFFFF"/>
          <w:lang w:val="fr-CA"/>
        </w:rPr>
        <w:t>93</w:t>
      </w:r>
      <w:r w:rsidR="00856574">
        <w:rPr>
          <w:rStyle w:val="fs-small"/>
          <w:rFonts w:cs="Arial"/>
          <w:color w:val="212121"/>
          <w:shd w:val="clear" w:color="auto" w:fill="FFFFFF"/>
          <w:lang w:val="fr-CA"/>
        </w:rPr>
        <w:t xml:space="preserve">, </w:t>
      </w:r>
      <w:r>
        <w:rPr>
          <w:lang w:val="fr-CA"/>
        </w:rPr>
        <w:t xml:space="preserve">Martin </w:t>
      </w:r>
      <w:r w:rsidR="00AD7C7D">
        <w:rPr>
          <w:lang w:val="fr-CA"/>
        </w:rPr>
        <w:t>Vauclair</w:t>
      </w:r>
      <w:r w:rsidRPr="008D60DE">
        <w:rPr>
          <w:lang w:val="fr-CA"/>
        </w:rPr>
        <w:t xml:space="preserve">, </w:t>
      </w:r>
      <w:r w:rsidRPr="00ED03F0">
        <w:rPr>
          <w:i/>
          <w:iCs/>
          <w:lang w:val="fr-CA"/>
        </w:rPr>
        <w:t>Traité général de preuve et de procédure pénale</w:t>
      </w:r>
      <w:r w:rsidRPr="008D60DE">
        <w:rPr>
          <w:lang w:val="fr-CA"/>
        </w:rPr>
        <w:t xml:space="preserve">, </w:t>
      </w:r>
      <w:r w:rsidR="001815AD" w:rsidRPr="008D60DE">
        <w:rPr>
          <w:lang w:val="fr-CA"/>
        </w:rPr>
        <w:t>29</w:t>
      </w:r>
      <w:r w:rsidR="009E7F16">
        <w:rPr>
          <w:lang w:val="fr-CA"/>
        </w:rPr>
        <w:t>th</w:t>
      </w:r>
      <w:r w:rsidRPr="008D60DE">
        <w:rPr>
          <w:lang w:val="fr-CA"/>
        </w:rPr>
        <w:t xml:space="preserve"> ed. </w:t>
      </w:r>
      <w:r w:rsidR="009E7F16" w:rsidRPr="0013080D">
        <w:t>(</w:t>
      </w:r>
      <w:r w:rsidRPr="0013080D">
        <w:t>Montr</w:t>
      </w:r>
      <w:r w:rsidR="009E7F16" w:rsidRPr="0013080D">
        <w:t>e</w:t>
      </w:r>
      <w:r w:rsidRPr="0013080D">
        <w:t>al</w:t>
      </w:r>
      <w:r w:rsidR="009E7F16" w:rsidRPr="0013080D">
        <w:t>:</w:t>
      </w:r>
      <w:r w:rsidRPr="0013080D">
        <w:t xml:space="preserve"> Yvon Blais, </w:t>
      </w:r>
      <w:r w:rsidR="001815AD" w:rsidRPr="0013080D">
        <w:t>2022</w:t>
      </w:r>
      <w:r w:rsidR="009E7F16" w:rsidRPr="0013080D">
        <w:t>) at</w:t>
      </w:r>
      <w:r w:rsidRPr="0013080D">
        <w:t xml:space="preserve"> par</w:t>
      </w:r>
      <w:r w:rsidR="009E7F16" w:rsidRPr="0013080D">
        <w:t>a</w:t>
      </w:r>
      <w:r w:rsidRPr="0013080D">
        <w:t xml:space="preserve">. </w:t>
      </w:r>
      <w:r w:rsidR="001815AD" w:rsidRPr="0013080D">
        <w:t>21.68</w:t>
      </w:r>
      <w:r w:rsidRPr="0013080D">
        <w:t>.</w:t>
      </w:r>
    </w:p>
  </w:footnote>
  <w:footnote w:id="13">
    <w:p w14:paraId="78B87877" w14:textId="77777777" w:rsidR="002821A1" w:rsidRPr="00ED03F0" w:rsidRDefault="00084D70">
      <w:pPr>
        <w:pStyle w:val="Notedebasdepage"/>
        <w:ind w:left="284" w:hanging="284"/>
      </w:pPr>
      <w:r>
        <w:rPr>
          <w:rStyle w:val="Appelnotedebasdep"/>
        </w:rPr>
        <w:footnoteRef/>
      </w:r>
      <w:r w:rsidR="00C10B55">
        <w:rPr>
          <w:i/>
          <w:iCs/>
        </w:rPr>
        <w:t xml:space="preserve"> </w:t>
      </w:r>
      <w:r w:rsidR="00C10B55" w:rsidRPr="006A2C86">
        <w:rPr>
          <w:i/>
          <w:iCs/>
        </w:rPr>
        <w:t xml:space="preserve">R. </w:t>
      </w:r>
      <w:r w:rsidR="00C10B55" w:rsidRPr="00ED03F0">
        <w:rPr>
          <w:i/>
          <w:iCs/>
        </w:rPr>
        <w:t>v.</w:t>
      </w:r>
      <w:r w:rsidR="00C10B55" w:rsidRPr="006A2C86">
        <w:t xml:space="preserve"> </w:t>
      </w:r>
      <w:r w:rsidR="00C10B55" w:rsidRPr="006A2C86">
        <w:rPr>
          <w:i/>
          <w:iCs/>
        </w:rPr>
        <w:t>Jordan</w:t>
      </w:r>
      <w:r w:rsidR="00C10B55" w:rsidRPr="006A2C86">
        <w:t xml:space="preserve">, </w:t>
      </w:r>
      <w:r w:rsidR="00C10B55">
        <w:t>supra, note 2</w:t>
      </w:r>
      <w:r w:rsidR="008C4AC8">
        <w:t>,</w:t>
      </w:r>
      <w:r w:rsidR="006860DA">
        <w:t xml:space="preserve"> at paras. 50 and 137</w:t>
      </w:r>
      <w:r w:rsidRPr="00ED03F0">
        <w:t>.</w:t>
      </w:r>
    </w:p>
  </w:footnote>
  <w:footnote w:id="14">
    <w:p w14:paraId="57F2554E" w14:textId="77777777" w:rsidR="002821A1" w:rsidRPr="00ED03F0" w:rsidRDefault="00084D70">
      <w:pPr>
        <w:pStyle w:val="Notedebasdepage"/>
        <w:ind w:left="284" w:hanging="284"/>
      </w:pPr>
      <w:r>
        <w:rPr>
          <w:rStyle w:val="Appelnotedebasdep"/>
        </w:rPr>
        <w:footnoteRef/>
      </w:r>
      <w:r w:rsidR="00C10B55">
        <w:rPr>
          <w:i/>
          <w:iCs/>
        </w:rPr>
        <w:t xml:space="preserve"> </w:t>
      </w:r>
      <w:r w:rsidRPr="00ED03F0">
        <w:rPr>
          <w:i/>
          <w:iCs/>
        </w:rPr>
        <w:t>R.</w:t>
      </w:r>
      <w:r w:rsidR="009E7F16" w:rsidRPr="00ED03F0">
        <w:rPr>
          <w:i/>
          <w:iCs/>
        </w:rPr>
        <w:t xml:space="preserve"> v</w:t>
      </w:r>
      <w:r w:rsidRPr="00ED03F0">
        <w:t xml:space="preserve">. </w:t>
      </w:r>
      <w:r w:rsidRPr="00ED03F0">
        <w:rPr>
          <w:i/>
          <w:iCs/>
        </w:rPr>
        <w:t>Cody</w:t>
      </w:r>
      <w:r w:rsidRPr="00ED03F0">
        <w:t>, 20</w:t>
      </w:r>
      <w:r w:rsidR="002C5879">
        <w:t>1</w:t>
      </w:r>
      <w:r w:rsidRPr="00ED03F0">
        <w:t>7 SCC 31</w:t>
      </w:r>
      <w:r w:rsidR="008C4AC8">
        <w:t>,</w:t>
      </w:r>
      <w:r w:rsidR="006860DA">
        <w:t xml:space="preserve"> at para. 36</w:t>
      </w:r>
      <w:r w:rsidRPr="00ED03F0">
        <w:t>.</w:t>
      </w:r>
    </w:p>
  </w:footnote>
  <w:footnote w:id="15">
    <w:p w14:paraId="06BF76B8" w14:textId="77777777" w:rsidR="002821A1" w:rsidRPr="0013080D" w:rsidRDefault="00084D70">
      <w:pPr>
        <w:pStyle w:val="Notedebasdepage"/>
        <w:ind w:left="284" w:hanging="284"/>
      </w:pPr>
      <w:r>
        <w:rPr>
          <w:rStyle w:val="Appelnotedebasdep"/>
        </w:rPr>
        <w:footnoteRef/>
      </w:r>
      <w:r w:rsidR="00C10B55">
        <w:rPr>
          <w:i/>
          <w:iCs/>
        </w:rPr>
        <w:t xml:space="preserve"> </w:t>
      </w:r>
      <w:r w:rsidR="00C10B55" w:rsidRPr="006A2C86">
        <w:rPr>
          <w:i/>
          <w:iCs/>
        </w:rPr>
        <w:t xml:space="preserve">R. </w:t>
      </w:r>
      <w:r w:rsidR="00C10B55" w:rsidRPr="00ED03F0">
        <w:rPr>
          <w:i/>
          <w:iCs/>
        </w:rPr>
        <w:t>v.</w:t>
      </w:r>
      <w:r w:rsidR="00C10B55" w:rsidRPr="006A2C86">
        <w:t xml:space="preserve"> </w:t>
      </w:r>
      <w:r w:rsidR="00C10B55" w:rsidRPr="006A2C86">
        <w:rPr>
          <w:i/>
          <w:iCs/>
        </w:rPr>
        <w:t>Jordan</w:t>
      </w:r>
      <w:r w:rsidR="00C10B55" w:rsidRPr="006A2C86">
        <w:t xml:space="preserve">, </w:t>
      </w:r>
      <w:r w:rsidR="00C10B55">
        <w:t>supra, note 2</w:t>
      </w:r>
      <w:r w:rsidR="008C4AC8">
        <w:t>,</w:t>
      </w:r>
      <w:r w:rsidR="006860DA">
        <w:t xml:space="preserve"> at paras. 50-52</w:t>
      </w:r>
      <w:r w:rsidRPr="0013080D">
        <w:t>.</w:t>
      </w:r>
    </w:p>
  </w:footnote>
  <w:footnote w:id="16">
    <w:p w14:paraId="7A3A1B1A" w14:textId="77777777" w:rsidR="002821A1" w:rsidRPr="0013080D" w:rsidRDefault="00084D70">
      <w:pPr>
        <w:pStyle w:val="Notedebasdepage"/>
        <w:ind w:left="284" w:hanging="284"/>
      </w:pPr>
      <w:r>
        <w:rPr>
          <w:rStyle w:val="Appelnotedebasdep"/>
        </w:rPr>
        <w:footnoteRef/>
      </w:r>
      <w:r w:rsidR="00C10B55">
        <w:rPr>
          <w:i/>
          <w:iCs/>
        </w:rPr>
        <w:t xml:space="preserve"> </w:t>
      </w:r>
      <w:r w:rsidR="00C10B55" w:rsidRPr="006A2C86">
        <w:rPr>
          <w:i/>
          <w:iCs/>
        </w:rPr>
        <w:t xml:space="preserve">R. </w:t>
      </w:r>
      <w:r w:rsidR="00C10B55" w:rsidRPr="00ED03F0">
        <w:rPr>
          <w:i/>
          <w:iCs/>
        </w:rPr>
        <w:t>v.</w:t>
      </w:r>
      <w:r w:rsidR="00C10B55" w:rsidRPr="006A2C86">
        <w:t xml:space="preserve"> </w:t>
      </w:r>
      <w:r w:rsidR="00C10B55" w:rsidRPr="006A2C86">
        <w:rPr>
          <w:i/>
          <w:iCs/>
        </w:rPr>
        <w:t>Jordan</w:t>
      </w:r>
      <w:r w:rsidR="00C10B55" w:rsidRPr="006A2C86">
        <w:t xml:space="preserve">, </w:t>
      </w:r>
      <w:r w:rsidR="00C10B55">
        <w:t xml:space="preserve">supra, note 2, </w:t>
      </w:r>
      <w:r w:rsidR="009E7F16" w:rsidRPr="0013080D">
        <w:t>at</w:t>
      </w:r>
      <w:r w:rsidRPr="0013080D">
        <w:t xml:space="preserve"> par</w:t>
      </w:r>
      <w:r w:rsidR="009E7F16" w:rsidRPr="0013080D">
        <w:t>as</w:t>
      </w:r>
      <w:r w:rsidRPr="0013080D">
        <w:t>. 56 and 83.</w:t>
      </w:r>
    </w:p>
  </w:footnote>
  <w:footnote w:id="17">
    <w:p w14:paraId="222E9F5F" w14:textId="77777777" w:rsidR="002821A1" w:rsidRPr="008944CC" w:rsidRDefault="00084D70">
      <w:pPr>
        <w:pStyle w:val="Notedebasdepage"/>
        <w:tabs>
          <w:tab w:val="left" w:pos="142"/>
        </w:tabs>
        <w:ind w:left="284" w:hanging="284"/>
        <w:rPr>
          <w:lang w:val="fr-CA"/>
        </w:rPr>
      </w:pPr>
      <w:r>
        <w:rPr>
          <w:rStyle w:val="Appelnotedebasdep"/>
        </w:rPr>
        <w:footnoteRef/>
      </w:r>
      <w:r w:rsidR="00C10B55">
        <w:rPr>
          <w:i/>
          <w:iCs/>
        </w:rPr>
        <w:t xml:space="preserve"> </w:t>
      </w:r>
      <w:r w:rsidR="00C10B55" w:rsidRPr="006A2C86">
        <w:rPr>
          <w:i/>
          <w:iCs/>
        </w:rPr>
        <w:t xml:space="preserve">R. </w:t>
      </w:r>
      <w:r w:rsidR="00C10B55" w:rsidRPr="00ED03F0">
        <w:rPr>
          <w:i/>
          <w:iCs/>
        </w:rPr>
        <w:t>v.</w:t>
      </w:r>
      <w:r w:rsidR="00C10B55" w:rsidRPr="006A2C86">
        <w:t xml:space="preserve"> </w:t>
      </w:r>
      <w:r w:rsidR="00C10B55" w:rsidRPr="006A2C86">
        <w:rPr>
          <w:i/>
          <w:iCs/>
        </w:rPr>
        <w:t>Jordan</w:t>
      </w:r>
      <w:r w:rsidR="00C10B55" w:rsidRPr="006A2C86">
        <w:t xml:space="preserve">, </w:t>
      </w:r>
      <w:r w:rsidR="00C10B55">
        <w:t xml:space="preserve">supra, note 2, </w:t>
      </w:r>
      <w:r w:rsidR="009E7F16" w:rsidRPr="0013080D">
        <w:t>at</w:t>
      </w:r>
      <w:r w:rsidRPr="0013080D">
        <w:t xml:space="preserve"> par</w:t>
      </w:r>
      <w:r w:rsidR="009E7F16" w:rsidRPr="0013080D">
        <w:t>a</w:t>
      </w:r>
      <w:r w:rsidRPr="0013080D">
        <w:t xml:space="preserve">. </w:t>
      </w:r>
      <w:r w:rsidRPr="008944CC">
        <w:rPr>
          <w:lang w:val="fr-CA"/>
        </w:rPr>
        <w:t xml:space="preserve">50. </w:t>
      </w:r>
    </w:p>
  </w:footnote>
  <w:footnote w:id="18">
    <w:p w14:paraId="71A4BAC7" w14:textId="77777777" w:rsidR="002821A1" w:rsidRPr="00190618" w:rsidRDefault="00084D70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190618">
        <w:rPr>
          <w:lang w:val="fr-CA"/>
        </w:rPr>
        <w:t xml:space="preserve"> </w:t>
      </w:r>
      <w:r w:rsidR="00190618" w:rsidRPr="00190618">
        <w:rPr>
          <w:i/>
          <w:iCs/>
          <w:lang w:val="fr-CA"/>
        </w:rPr>
        <w:t>Criminal Code</w:t>
      </w:r>
      <w:r w:rsidR="00190618" w:rsidRPr="00190618">
        <w:rPr>
          <w:lang w:val="fr-CA"/>
        </w:rPr>
        <w:t>, R.S.C., (1985), c. C-46, s</w:t>
      </w:r>
      <w:r w:rsidR="009E7F16" w:rsidRPr="00190618">
        <w:rPr>
          <w:lang w:val="fr-CA"/>
        </w:rPr>
        <w:t>ection</w:t>
      </w:r>
      <w:r w:rsidRPr="00190618">
        <w:rPr>
          <w:lang w:val="fr-CA"/>
        </w:rPr>
        <w:t xml:space="preserve"> 719(3.1)</w:t>
      </w:r>
      <w:r w:rsidR="00190618" w:rsidRPr="00190618">
        <w:rPr>
          <w:lang w:val="fr-CA"/>
        </w:rPr>
        <w:t>.</w:t>
      </w:r>
    </w:p>
  </w:footnote>
  <w:footnote w:id="19">
    <w:p w14:paraId="579E5822" w14:textId="77777777" w:rsidR="002821A1" w:rsidRPr="006A2C86" w:rsidRDefault="00084D70">
      <w:pPr>
        <w:pStyle w:val="Notedebasdepage"/>
      </w:pPr>
      <w:r>
        <w:rPr>
          <w:rStyle w:val="Appelnotedebasdep"/>
        </w:rPr>
        <w:footnoteRef/>
      </w:r>
      <w:r w:rsidRPr="006A2C86">
        <w:t xml:space="preserve"> www.cerp.gouv.qc.ca/fileadmin/Fichiers_clients/Rapport/Rapport_final.pdf</w:t>
      </w:r>
      <w:r w:rsidR="009E7F16">
        <w:t xml:space="preserve"> at </w:t>
      </w:r>
      <w:r w:rsidRPr="006A2C86">
        <w:t>169</w:t>
      </w:r>
      <w:r w:rsidR="009E7F16">
        <w:t>–</w:t>
      </w:r>
      <w:r w:rsidRPr="006A2C86">
        <w:t>181</w:t>
      </w:r>
      <w:r w:rsidR="00BB1156" w:rsidRPr="006A2C86">
        <w:t>.</w:t>
      </w:r>
    </w:p>
  </w:footnote>
  <w:footnote w:id="20">
    <w:p w14:paraId="70A7E34B" w14:textId="77777777" w:rsidR="002821A1" w:rsidRPr="00ED03F0" w:rsidRDefault="00084D70">
      <w:pPr>
        <w:pStyle w:val="Notedebasdepage"/>
      </w:pPr>
      <w:r>
        <w:rPr>
          <w:rStyle w:val="Appelnotedebasdep"/>
        </w:rPr>
        <w:footnoteRef/>
      </w:r>
      <w:r w:rsidRPr="00ED03F0">
        <w:t xml:space="preserve"> </w:t>
      </w:r>
      <w:r w:rsidR="00190618" w:rsidRPr="006A2C86">
        <w:rPr>
          <w:i/>
          <w:iCs/>
        </w:rPr>
        <w:t xml:space="preserve">R. </w:t>
      </w:r>
      <w:r w:rsidR="00190618" w:rsidRPr="00ED03F0">
        <w:rPr>
          <w:i/>
          <w:iCs/>
        </w:rPr>
        <w:t>v.</w:t>
      </w:r>
      <w:r w:rsidR="00190618" w:rsidRPr="006A2C86">
        <w:t xml:space="preserve"> </w:t>
      </w:r>
      <w:r w:rsidR="00190618" w:rsidRPr="006A2C86">
        <w:rPr>
          <w:i/>
          <w:iCs/>
        </w:rPr>
        <w:t>Jordan</w:t>
      </w:r>
      <w:r w:rsidR="00190618" w:rsidRPr="006A2C86">
        <w:t xml:space="preserve">, </w:t>
      </w:r>
      <w:r w:rsidR="00190618">
        <w:t xml:space="preserve">supra, note 2, </w:t>
      </w:r>
      <w:r w:rsidR="009E7F16" w:rsidRPr="00ED03F0">
        <w:t>at</w:t>
      </w:r>
      <w:r w:rsidRPr="00ED03F0">
        <w:t xml:space="preserve"> par</w:t>
      </w:r>
      <w:r w:rsidR="009E7F16" w:rsidRPr="00ED03F0">
        <w:t>as</w:t>
      </w:r>
      <w:r w:rsidRPr="00ED03F0">
        <w:t>. 81 and 131.</w:t>
      </w:r>
    </w:p>
  </w:footnote>
  <w:footnote w:id="21">
    <w:p w14:paraId="73C7B75E" w14:textId="77777777" w:rsidR="002821A1" w:rsidRPr="00ED03F0" w:rsidRDefault="00084D70">
      <w:pPr>
        <w:pStyle w:val="Notedebasdepage"/>
      </w:pPr>
      <w:r>
        <w:rPr>
          <w:rStyle w:val="Appelnotedebasdep"/>
        </w:rPr>
        <w:footnoteRef/>
      </w:r>
      <w:r w:rsidRPr="00ED03F0">
        <w:t xml:space="preserve"> </w:t>
      </w:r>
      <w:r w:rsidR="00190618" w:rsidRPr="006A2C86">
        <w:rPr>
          <w:i/>
          <w:iCs/>
        </w:rPr>
        <w:t xml:space="preserve">R. </w:t>
      </w:r>
      <w:r w:rsidR="00190618" w:rsidRPr="00ED03F0">
        <w:rPr>
          <w:i/>
          <w:iCs/>
        </w:rPr>
        <w:t>v.</w:t>
      </w:r>
      <w:r w:rsidR="00190618" w:rsidRPr="006A2C86">
        <w:t xml:space="preserve"> </w:t>
      </w:r>
      <w:r w:rsidR="00190618" w:rsidRPr="006A2C86">
        <w:rPr>
          <w:i/>
          <w:iCs/>
        </w:rPr>
        <w:t>Jordan</w:t>
      </w:r>
      <w:r w:rsidR="00190618" w:rsidRPr="006A2C86">
        <w:t xml:space="preserve">, </w:t>
      </w:r>
      <w:r w:rsidR="00190618">
        <w:t xml:space="preserve">supra, note 2, </w:t>
      </w:r>
      <w:r w:rsidR="009E7F16" w:rsidRPr="00ED03F0">
        <w:t>at</w:t>
      </w:r>
      <w:r w:rsidRPr="00ED03F0">
        <w:t xml:space="preserve"> par</w:t>
      </w:r>
      <w:r w:rsidR="009E7F16" w:rsidRPr="00ED03F0">
        <w:t>as</w:t>
      </w:r>
      <w:r w:rsidRPr="00ED03F0">
        <w:t>. 26 and 50.</w:t>
      </w:r>
    </w:p>
  </w:footnote>
  <w:footnote w:id="22">
    <w:p w14:paraId="4FD28C8E" w14:textId="77777777" w:rsidR="002821A1" w:rsidRPr="00ED03F0" w:rsidRDefault="00084D70">
      <w:pPr>
        <w:pStyle w:val="Notedebasdepage"/>
        <w:ind w:left="0" w:firstLine="0"/>
      </w:pPr>
      <w:r>
        <w:rPr>
          <w:rStyle w:val="Appelnotedebasdep"/>
        </w:rPr>
        <w:footnoteRef/>
      </w:r>
      <w:r w:rsidRPr="00ED03F0">
        <w:t xml:space="preserve"> </w:t>
      </w:r>
      <w:r w:rsidR="00190618" w:rsidRPr="006A2C86">
        <w:rPr>
          <w:i/>
          <w:iCs/>
        </w:rPr>
        <w:t xml:space="preserve">R. </w:t>
      </w:r>
      <w:r w:rsidR="00190618" w:rsidRPr="00ED03F0">
        <w:rPr>
          <w:i/>
          <w:iCs/>
        </w:rPr>
        <w:t>v.</w:t>
      </w:r>
      <w:r w:rsidR="00190618" w:rsidRPr="006A2C86">
        <w:t xml:space="preserve"> </w:t>
      </w:r>
      <w:r w:rsidR="00190618" w:rsidRPr="006A2C86">
        <w:rPr>
          <w:i/>
          <w:iCs/>
        </w:rPr>
        <w:t>Jordan</w:t>
      </w:r>
      <w:r w:rsidR="00190618" w:rsidRPr="006A2C86">
        <w:t xml:space="preserve">, </w:t>
      </w:r>
      <w:r w:rsidR="00190618">
        <w:t>supra, note 2,</w:t>
      </w:r>
      <w:r w:rsidR="009E7F16">
        <w:t xml:space="preserve"> at</w:t>
      </w:r>
      <w:r w:rsidRPr="00ED03F0">
        <w:t xml:space="preserve"> par</w:t>
      </w:r>
      <w:r w:rsidR="009E7F16">
        <w:t>a</w:t>
      </w:r>
      <w:r w:rsidRPr="00ED03F0">
        <w:t>. 23</w:t>
      </w:r>
      <w:r w:rsidR="00BB1156" w:rsidRPr="00ED03F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F55F" w14:textId="5D37283A" w:rsidR="00AC6934" w:rsidRDefault="00150063">
    <w:pPr>
      <w:pStyle w:val="En-tte"/>
    </w:pPr>
    <w:r>
      <w:rPr>
        <w:noProof/>
      </w:rPr>
      <w:pict w14:anchorId="111B3E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123329" o:spid="_x0000_s2050" type="#_x0000_t136" style="position:absolute;margin-left:0;margin-top:0;width:594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urtesy Transl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F218" w14:textId="29B4E257" w:rsidR="002821A1" w:rsidRDefault="00150063">
    <w:pPr>
      <w:tabs>
        <w:tab w:val="center" w:pos="4709"/>
        <w:tab w:val="right" w:pos="9360"/>
      </w:tabs>
      <w:ind w:right="524"/>
      <w:rPr>
        <w:lang w:val="fr-CA"/>
      </w:rPr>
    </w:pPr>
    <w:r>
      <w:rPr>
        <w:noProof/>
      </w:rPr>
      <w:pict w14:anchorId="297FD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123330" o:spid="_x0000_s2051" type="#_x0000_t136" style="position:absolute;margin-left:0;margin-top:0;width:594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urtesy Translation"/>
        </v:shape>
      </w:pict>
    </w:r>
    <w:r w:rsidR="00084D70">
      <w:t>635-01-020425-212</w:t>
    </w:r>
    <w:r w:rsidR="00D91EEA" w:rsidRPr="00D91EEA">
      <w:rPr>
        <w:lang w:val="fr-CA"/>
      </w:rPr>
      <w:tab/>
    </w:r>
    <w:r w:rsidR="00D91EEA" w:rsidRPr="00D91EEA">
      <w:rPr>
        <w:lang w:val="fr-CA"/>
      </w:rPr>
      <w:tab/>
      <w:t xml:space="preserve">PAGE: </w:t>
    </w:r>
    <w:r w:rsidR="00D91EEA">
      <w:fldChar w:fldCharType="begin"/>
    </w:r>
    <w:r w:rsidR="00D91EEA">
      <w:rPr>
        <w:lang w:val="fr-CA"/>
      </w:rPr>
      <w:instrText xml:space="preserve"> PAGE </w:instrText>
    </w:r>
    <w:r w:rsidR="00D91EEA">
      <w:fldChar w:fldCharType="separate"/>
    </w:r>
    <w:r w:rsidR="00D91EEA">
      <w:rPr>
        <w:lang w:val="fr-CA"/>
      </w:rPr>
      <w:t>13</w:t>
    </w:r>
    <w:r w:rsidR="00D91EEA">
      <w:fldChar w:fldCharType="end"/>
    </w:r>
  </w:p>
  <w:p w14:paraId="04103D9E" w14:textId="77777777" w:rsidR="00D91EEA" w:rsidRDefault="00D91EEA">
    <w:pPr>
      <w:tabs>
        <w:tab w:val="center" w:pos="4709"/>
        <w:tab w:val="right" w:pos="9090"/>
      </w:tabs>
      <w:ind w:right="524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ECE5" w14:textId="665410BD" w:rsidR="00AC6934" w:rsidRDefault="00150063">
    <w:pPr>
      <w:pStyle w:val="En-tte"/>
    </w:pPr>
    <w:r>
      <w:rPr>
        <w:noProof/>
      </w:rPr>
      <w:pict w14:anchorId="67F61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123328" o:spid="_x0000_s2049" type="#_x0000_t136" style="position:absolute;margin-left:0;margin-top:0;width:594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urtesy Transla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E4F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92E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F0D5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FA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A68F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EC7F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67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D3C87"/>
    <w:multiLevelType w:val="hybridMultilevel"/>
    <w:tmpl w:val="7BB40C84"/>
    <w:lvl w:ilvl="0" w:tplc="92F68A60">
      <w:start w:val="1"/>
      <w:numFmt w:val="decimal"/>
      <w:lvlText w:val="%1)"/>
      <w:lvlJc w:val="left"/>
      <w:pPr>
        <w:ind w:left="1287" w:hanging="360"/>
      </w:pPr>
    </w:lvl>
    <w:lvl w:ilvl="1" w:tplc="FF5E4B48">
      <w:start w:val="1"/>
      <w:numFmt w:val="lowerLetter"/>
      <w:lvlText w:val="%2."/>
      <w:lvlJc w:val="left"/>
      <w:pPr>
        <w:ind w:left="2007" w:hanging="360"/>
      </w:pPr>
    </w:lvl>
    <w:lvl w:ilvl="2" w:tplc="569E76DE" w:tentative="1">
      <w:start w:val="1"/>
      <w:numFmt w:val="lowerRoman"/>
      <w:lvlText w:val="%3."/>
      <w:lvlJc w:val="right"/>
      <w:pPr>
        <w:ind w:left="2727" w:hanging="180"/>
      </w:pPr>
    </w:lvl>
    <w:lvl w:ilvl="3" w:tplc="8FB6ACA2" w:tentative="1">
      <w:start w:val="1"/>
      <w:numFmt w:val="decimal"/>
      <w:lvlText w:val="%4."/>
      <w:lvlJc w:val="left"/>
      <w:pPr>
        <w:ind w:left="3447" w:hanging="360"/>
      </w:pPr>
    </w:lvl>
    <w:lvl w:ilvl="4" w:tplc="60D68F8A" w:tentative="1">
      <w:start w:val="1"/>
      <w:numFmt w:val="lowerLetter"/>
      <w:lvlText w:val="%5."/>
      <w:lvlJc w:val="left"/>
      <w:pPr>
        <w:ind w:left="4167" w:hanging="360"/>
      </w:pPr>
    </w:lvl>
    <w:lvl w:ilvl="5" w:tplc="21AE7A44" w:tentative="1">
      <w:start w:val="1"/>
      <w:numFmt w:val="lowerRoman"/>
      <w:lvlText w:val="%6."/>
      <w:lvlJc w:val="right"/>
      <w:pPr>
        <w:ind w:left="4887" w:hanging="180"/>
      </w:pPr>
    </w:lvl>
    <w:lvl w:ilvl="6" w:tplc="26DE8D42" w:tentative="1">
      <w:start w:val="1"/>
      <w:numFmt w:val="decimal"/>
      <w:lvlText w:val="%7."/>
      <w:lvlJc w:val="left"/>
      <w:pPr>
        <w:ind w:left="5607" w:hanging="360"/>
      </w:pPr>
    </w:lvl>
    <w:lvl w:ilvl="7" w:tplc="9FC4A5C4" w:tentative="1">
      <w:start w:val="1"/>
      <w:numFmt w:val="lowerLetter"/>
      <w:lvlText w:val="%8."/>
      <w:lvlJc w:val="left"/>
      <w:pPr>
        <w:ind w:left="6327" w:hanging="360"/>
      </w:pPr>
    </w:lvl>
    <w:lvl w:ilvl="8" w:tplc="D30897A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1605642"/>
    <w:multiLevelType w:val="hybridMultilevel"/>
    <w:tmpl w:val="B896FAE6"/>
    <w:lvl w:ilvl="0" w:tplc="80A0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0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200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EF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21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9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0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2A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2A5"/>
    <w:multiLevelType w:val="hybridMultilevel"/>
    <w:tmpl w:val="9CB2CF48"/>
    <w:lvl w:ilvl="0" w:tplc="A8369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0E44C">
      <w:start w:val="1"/>
      <w:numFmt w:val="decimal"/>
      <w:lvlText w:val="(%2)"/>
      <w:lvlJc w:val="left"/>
      <w:pPr>
        <w:ind w:left="1440" w:hanging="360"/>
      </w:pPr>
      <w:rPr>
        <w:rFonts w:hint="default"/>
        <w:u w:val="none"/>
      </w:rPr>
    </w:lvl>
    <w:lvl w:ilvl="2" w:tplc="CD98CC28" w:tentative="1">
      <w:start w:val="1"/>
      <w:numFmt w:val="lowerRoman"/>
      <w:lvlText w:val="%3."/>
      <w:lvlJc w:val="right"/>
      <w:pPr>
        <w:ind w:left="2160" w:hanging="180"/>
      </w:pPr>
    </w:lvl>
    <w:lvl w:ilvl="3" w:tplc="A76A08AA" w:tentative="1">
      <w:start w:val="1"/>
      <w:numFmt w:val="decimal"/>
      <w:lvlText w:val="%4."/>
      <w:lvlJc w:val="left"/>
      <w:pPr>
        <w:ind w:left="2880" w:hanging="360"/>
      </w:pPr>
    </w:lvl>
    <w:lvl w:ilvl="4" w:tplc="9DE015E6" w:tentative="1">
      <w:start w:val="1"/>
      <w:numFmt w:val="lowerLetter"/>
      <w:lvlText w:val="%5."/>
      <w:lvlJc w:val="left"/>
      <w:pPr>
        <w:ind w:left="3600" w:hanging="360"/>
      </w:pPr>
    </w:lvl>
    <w:lvl w:ilvl="5" w:tplc="5AEA173C" w:tentative="1">
      <w:start w:val="1"/>
      <w:numFmt w:val="lowerRoman"/>
      <w:lvlText w:val="%6."/>
      <w:lvlJc w:val="right"/>
      <w:pPr>
        <w:ind w:left="4320" w:hanging="180"/>
      </w:pPr>
    </w:lvl>
    <w:lvl w:ilvl="6" w:tplc="C666B438" w:tentative="1">
      <w:start w:val="1"/>
      <w:numFmt w:val="decimal"/>
      <w:lvlText w:val="%7."/>
      <w:lvlJc w:val="left"/>
      <w:pPr>
        <w:ind w:left="5040" w:hanging="360"/>
      </w:pPr>
    </w:lvl>
    <w:lvl w:ilvl="7" w:tplc="5816AF40" w:tentative="1">
      <w:start w:val="1"/>
      <w:numFmt w:val="lowerLetter"/>
      <w:lvlText w:val="%8."/>
      <w:lvlJc w:val="left"/>
      <w:pPr>
        <w:ind w:left="5760" w:hanging="360"/>
      </w:pPr>
    </w:lvl>
    <w:lvl w:ilvl="8" w:tplc="97B8F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3DD1"/>
    <w:multiLevelType w:val="hybridMultilevel"/>
    <w:tmpl w:val="0E80A15E"/>
    <w:lvl w:ilvl="0" w:tplc="C31C97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28DFA2" w:tentative="1">
      <w:start w:val="1"/>
      <w:numFmt w:val="lowerLetter"/>
      <w:lvlText w:val="%2."/>
      <w:lvlJc w:val="left"/>
      <w:pPr>
        <w:ind w:left="1440" w:hanging="360"/>
      </w:pPr>
    </w:lvl>
    <w:lvl w:ilvl="2" w:tplc="0C241276" w:tentative="1">
      <w:start w:val="1"/>
      <w:numFmt w:val="lowerRoman"/>
      <w:lvlText w:val="%3."/>
      <w:lvlJc w:val="right"/>
      <w:pPr>
        <w:ind w:left="2160" w:hanging="180"/>
      </w:pPr>
    </w:lvl>
    <w:lvl w:ilvl="3" w:tplc="9E14050A" w:tentative="1">
      <w:start w:val="1"/>
      <w:numFmt w:val="decimal"/>
      <w:lvlText w:val="%4."/>
      <w:lvlJc w:val="left"/>
      <w:pPr>
        <w:ind w:left="2880" w:hanging="360"/>
      </w:pPr>
    </w:lvl>
    <w:lvl w:ilvl="4" w:tplc="8F16DD98" w:tentative="1">
      <w:start w:val="1"/>
      <w:numFmt w:val="lowerLetter"/>
      <w:lvlText w:val="%5."/>
      <w:lvlJc w:val="left"/>
      <w:pPr>
        <w:ind w:left="3600" w:hanging="360"/>
      </w:pPr>
    </w:lvl>
    <w:lvl w:ilvl="5" w:tplc="BD120DC4" w:tentative="1">
      <w:start w:val="1"/>
      <w:numFmt w:val="lowerRoman"/>
      <w:lvlText w:val="%6."/>
      <w:lvlJc w:val="right"/>
      <w:pPr>
        <w:ind w:left="4320" w:hanging="180"/>
      </w:pPr>
    </w:lvl>
    <w:lvl w:ilvl="6" w:tplc="70386FC0" w:tentative="1">
      <w:start w:val="1"/>
      <w:numFmt w:val="decimal"/>
      <w:lvlText w:val="%7."/>
      <w:lvlJc w:val="left"/>
      <w:pPr>
        <w:ind w:left="5040" w:hanging="360"/>
      </w:pPr>
    </w:lvl>
    <w:lvl w:ilvl="7" w:tplc="A3766EF6" w:tentative="1">
      <w:start w:val="1"/>
      <w:numFmt w:val="lowerLetter"/>
      <w:lvlText w:val="%8."/>
      <w:lvlJc w:val="left"/>
      <w:pPr>
        <w:ind w:left="5760" w:hanging="360"/>
      </w:pPr>
    </w:lvl>
    <w:lvl w:ilvl="8" w:tplc="4A087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DB0B1B"/>
    <w:multiLevelType w:val="hybridMultilevel"/>
    <w:tmpl w:val="64D0E5B6"/>
    <w:lvl w:ilvl="0" w:tplc="5A5AA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2841E" w:tentative="1">
      <w:start w:val="1"/>
      <w:numFmt w:val="lowerLetter"/>
      <w:lvlText w:val="%2."/>
      <w:lvlJc w:val="left"/>
      <w:pPr>
        <w:ind w:left="1440" w:hanging="360"/>
      </w:pPr>
    </w:lvl>
    <w:lvl w:ilvl="2" w:tplc="078AB560" w:tentative="1">
      <w:start w:val="1"/>
      <w:numFmt w:val="lowerRoman"/>
      <w:lvlText w:val="%3."/>
      <w:lvlJc w:val="right"/>
      <w:pPr>
        <w:ind w:left="2160" w:hanging="180"/>
      </w:pPr>
    </w:lvl>
    <w:lvl w:ilvl="3" w:tplc="CE3EC0FA" w:tentative="1">
      <w:start w:val="1"/>
      <w:numFmt w:val="decimal"/>
      <w:lvlText w:val="%4."/>
      <w:lvlJc w:val="left"/>
      <w:pPr>
        <w:ind w:left="2880" w:hanging="360"/>
      </w:pPr>
    </w:lvl>
    <w:lvl w:ilvl="4" w:tplc="DCC62DBA" w:tentative="1">
      <w:start w:val="1"/>
      <w:numFmt w:val="lowerLetter"/>
      <w:lvlText w:val="%5."/>
      <w:lvlJc w:val="left"/>
      <w:pPr>
        <w:ind w:left="3600" w:hanging="360"/>
      </w:pPr>
    </w:lvl>
    <w:lvl w:ilvl="5" w:tplc="9F6675F0" w:tentative="1">
      <w:start w:val="1"/>
      <w:numFmt w:val="lowerRoman"/>
      <w:lvlText w:val="%6."/>
      <w:lvlJc w:val="right"/>
      <w:pPr>
        <w:ind w:left="4320" w:hanging="180"/>
      </w:pPr>
    </w:lvl>
    <w:lvl w:ilvl="6" w:tplc="1ADA983C" w:tentative="1">
      <w:start w:val="1"/>
      <w:numFmt w:val="decimal"/>
      <w:lvlText w:val="%7."/>
      <w:lvlJc w:val="left"/>
      <w:pPr>
        <w:ind w:left="5040" w:hanging="360"/>
      </w:pPr>
    </w:lvl>
    <w:lvl w:ilvl="7" w:tplc="D5D862A6" w:tentative="1">
      <w:start w:val="1"/>
      <w:numFmt w:val="lowerLetter"/>
      <w:lvlText w:val="%8."/>
      <w:lvlJc w:val="left"/>
      <w:pPr>
        <w:ind w:left="5760" w:hanging="360"/>
      </w:pPr>
    </w:lvl>
    <w:lvl w:ilvl="8" w:tplc="D1E4CB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7528">
    <w:abstractNumId w:val="14"/>
  </w:num>
  <w:num w:numId="2" w16cid:durableId="2146845282">
    <w:abstractNumId w:val="14"/>
  </w:num>
  <w:num w:numId="3" w16cid:durableId="1142573689">
    <w:abstractNumId w:val="14"/>
  </w:num>
  <w:num w:numId="4" w16cid:durableId="735590931">
    <w:abstractNumId w:val="8"/>
  </w:num>
  <w:num w:numId="5" w16cid:durableId="295454649">
    <w:abstractNumId w:val="3"/>
  </w:num>
  <w:num w:numId="6" w16cid:durableId="1224484406">
    <w:abstractNumId w:val="2"/>
  </w:num>
  <w:num w:numId="7" w16cid:durableId="768087873">
    <w:abstractNumId w:val="1"/>
  </w:num>
  <w:num w:numId="8" w16cid:durableId="2047173469">
    <w:abstractNumId w:val="0"/>
  </w:num>
  <w:num w:numId="9" w16cid:durableId="2115205698">
    <w:abstractNumId w:val="9"/>
  </w:num>
  <w:num w:numId="10" w16cid:durableId="187379244">
    <w:abstractNumId w:val="7"/>
  </w:num>
  <w:num w:numId="11" w16cid:durableId="1297494233">
    <w:abstractNumId w:val="6"/>
  </w:num>
  <w:num w:numId="12" w16cid:durableId="1643996684">
    <w:abstractNumId w:val="5"/>
  </w:num>
  <w:num w:numId="13" w16cid:durableId="866792596">
    <w:abstractNumId w:val="4"/>
  </w:num>
  <w:num w:numId="14" w16cid:durableId="171535403">
    <w:abstractNumId w:val="15"/>
  </w:num>
  <w:num w:numId="15" w16cid:durableId="1311982743">
    <w:abstractNumId w:val="12"/>
  </w:num>
  <w:num w:numId="16" w16cid:durableId="859927409">
    <w:abstractNumId w:val="11"/>
  </w:num>
  <w:num w:numId="17" w16cid:durableId="414857820">
    <w:abstractNumId w:val="13"/>
  </w:num>
  <w:num w:numId="18" w16cid:durableId="1190143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FF"/>
    <w:rsid w:val="00012DD3"/>
    <w:rsid w:val="00074EE2"/>
    <w:rsid w:val="00083E6D"/>
    <w:rsid w:val="00084D70"/>
    <w:rsid w:val="000A15B5"/>
    <w:rsid w:val="000A1F5B"/>
    <w:rsid w:val="000B587E"/>
    <w:rsid w:val="000B591A"/>
    <w:rsid w:val="000F3E3D"/>
    <w:rsid w:val="000F674F"/>
    <w:rsid w:val="00124B4D"/>
    <w:rsid w:val="00126EC4"/>
    <w:rsid w:val="0013080D"/>
    <w:rsid w:val="00133F5A"/>
    <w:rsid w:val="00150063"/>
    <w:rsid w:val="0015316C"/>
    <w:rsid w:val="001533B6"/>
    <w:rsid w:val="001815AD"/>
    <w:rsid w:val="00184E1B"/>
    <w:rsid w:val="00190618"/>
    <w:rsid w:val="001E7339"/>
    <w:rsid w:val="001F4C96"/>
    <w:rsid w:val="00201ED2"/>
    <w:rsid w:val="00211032"/>
    <w:rsid w:val="00217809"/>
    <w:rsid w:val="002212D1"/>
    <w:rsid w:val="00222308"/>
    <w:rsid w:val="002231CB"/>
    <w:rsid w:val="00224FAE"/>
    <w:rsid w:val="00226C15"/>
    <w:rsid w:val="002369D7"/>
    <w:rsid w:val="00244843"/>
    <w:rsid w:val="00252FF7"/>
    <w:rsid w:val="00256325"/>
    <w:rsid w:val="002641D4"/>
    <w:rsid w:val="00264CBF"/>
    <w:rsid w:val="00272805"/>
    <w:rsid w:val="002739F8"/>
    <w:rsid w:val="00274255"/>
    <w:rsid w:val="002821A1"/>
    <w:rsid w:val="00295C83"/>
    <w:rsid w:val="002C00C4"/>
    <w:rsid w:val="002C35CC"/>
    <w:rsid w:val="002C5879"/>
    <w:rsid w:val="002D290A"/>
    <w:rsid w:val="002D6FFC"/>
    <w:rsid w:val="00307D3A"/>
    <w:rsid w:val="00314E74"/>
    <w:rsid w:val="003308EF"/>
    <w:rsid w:val="003513E0"/>
    <w:rsid w:val="0035178B"/>
    <w:rsid w:val="00372EAE"/>
    <w:rsid w:val="003C2FA7"/>
    <w:rsid w:val="003C788D"/>
    <w:rsid w:val="003F3A60"/>
    <w:rsid w:val="00437321"/>
    <w:rsid w:val="00440B99"/>
    <w:rsid w:val="00443C73"/>
    <w:rsid w:val="00454F0F"/>
    <w:rsid w:val="00471C9F"/>
    <w:rsid w:val="004C6022"/>
    <w:rsid w:val="004F3845"/>
    <w:rsid w:val="00500E16"/>
    <w:rsid w:val="00510ECD"/>
    <w:rsid w:val="00535839"/>
    <w:rsid w:val="00542AEE"/>
    <w:rsid w:val="00550A54"/>
    <w:rsid w:val="005513F2"/>
    <w:rsid w:val="0055236E"/>
    <w:rsid w:val="00557D51"/>
    <w:rsid w:val="00576DC9"/>
    <w:rsid w:val="005A33F0"/>
    <w:rsid w:val="005D1895"/>
    <w:rsid w:val="005E7031"/>
    <w:rsid w:val="005F1AA8"/>
    <w:rsid w:val="005F25F5"/>
    <w:rsid w:val="005F519F"/>
    <w:rsid w:val="00627C4D"/>
    <w:rsid w:val="00634225"/>
    <w:rsid w:val="006414FC"/>
    <w:rsid w:val="00642DCE"/>
    <w:rsid w:val="0065676D"/>
    <w:rsid w:val="006761CC"/>
    <w:rsid w:val="006860DA"/>
    <w:rsid w:val="006862EE"/>
    <w:rsid w:val="006A2C86"/>
    <w:rsid w:val="006A3D47"/>
    <w:rsid w:val="007023B6"/>
    <w:rsid w:val="00703168"/>
    <w:rsid w:val="00716D48"/>
    <w:rsid w:val="00721551"/>
    <w:rsid w:val="00722ECB"/>
    <w:rsid w:val="00743372"/>
    <w:rsid w:val="007504AE"/>
    <w:rsid w:val="007721DC"/>
    <w:rsid w:val="00773AC0"/>
    <w:rsid w:val="0077504B"/>
    <w:rsid w:val="007834FA"/>
    <w:rsid w:val="007B01E4"/>
    <w:rsid w:val="007B6108"/>
    <w:rsid w:val="007C1CF1"/>
    <w:rsid w:val="007C2321"/>
    <w:rsid w:val="00810175"/>
    <w:rsid w:val="008256D5"/>
    <w:rsid w:val="00833B52"/>
    <w:rsid w:val="00852631"/>
    <w:rsid w:val="0085308B"/>
    <w:rsid w:val="00856574"/>
    <w:rsid w:val="00882F93"/>
    <w:rsid w:val="008944CC"/>
    <w:rsid w:val="00897106"/>
    <w:rsid w:val="008C2E2F"/>
    <w:rsid w:val="008C4AC8"/>
    <w:rsid w:val="008D346A"/>
    <w:rsid w:val="008D4DC5"/>
    <w:rsid w:val="008D60DE"/>
    <w:rsid w:val="009027D0"/>
    <w:rsid w:val="00913DEE"/>
    <w:rsid w:val="00923E4A"/>
    <w:rsid w:val="0096439E"/>
    <w:rsid w:val="00973603"/>
    <w:rsid w:val="00987F0A"/>
    <w:rsid w:val="00990E48"/>
    <w:rsid w:val="009D507D"/>
    <w:rsid w:val="009E38AC"/>
    <w:rsid w:val="009E7F16"/>
    <w:rsid w:val="00A36109"/>
    <w:rsid w:val="00A708BC"/>
    <w:rsid w:val="00A70D36"/>
    <w:rsid w:val="00A71681"/>
    <w:rsid w:val="00AB3B24"/>
    <w:rsid w:val="00AB7DAE"/>
    <w:rsid w:val="00AC221F"/>
    <w:rsid w:val="00AC4C20"/>
    <w:rsid w:val="00AC6635"/>
    <w:rsid w:val="00AC6934"/>
    <w:rsid w:val="00AD72E4"/>
    <w:rsid w:val="00AD7C7D"/>
    <w:rsid w:val="00B0326D"/>
    <w:rsid w:val="00B051D7"/>
    <w:rsid w:val="00B158E8"/>
    <w:rsid w:val="00B16ADF"/>
    <w:rsid w:val="00B25F03"/>
    <w:rsid w:val="00B4334B"/>
    <w:rsid w:val="00B445C7"/>
    <w:rsid w:val="00B46038"/>
    <w:rsid w:val="00B52FF7"/>
    <w:rsid w:val="00B54914"/>
    <w:rsid w:val="00B57BFF"/>
    <w:rsid w:val="00BB1156"/>
    <w:rsid w:val="00BB42EF"/>
    <w:rsid w:val="00BC41A7"/>
    <w:rsid w:val="00BD66CA"/>
    <w:rsid w:val="00BE0646"/>
    <w:rsid w:val="00BE1955"/>
    <w:rsid w:val="00C10B55"/>
    <w:rsid w:val="00C32D6E"/>
    <w:rsid w:val="00C32EE6"/>
    <w:rsid w:val="00C723A0"/>
    <w:rsid w:val="00C73AC8"/>
    <w:rsid w:val="00C73EB1"/>
    <w:rsid w:val="00C85FD7"/>
    <w:rsid w:val="00CA296C"/>
    <w:rsid w:val="00CC5BA2"/>
    <w:rsid w:val="00CD24FF"/>
    <w:rsid w:val="00CE17E8"/>
    <w:rsid w:val="00D0786F"/>
    <w:rsid w:val="00D14290"/>
    <w:rsid w:val="00D24A91"/>
    <w:rsid w:val="00D441D2"/>
    <w:rsid w:val="00D60233"/>
    <w:rsid w:val="00D7572E"/>
    <w:rsid w:val="00D91EEA"/>
    <w:rsid w:val="00D946AA"/>
    <w:rsid w:val="00DA026B"/>
    <w:rsid w:val="00DA5087"/>
    <w:rsid w:val="00DC20A8"/>
    <w:rsid w:val="00DD0303"/>
    <w:rsid w:val="00E01F7C"/>
    <w:rsid w:val="00E20B0C"/>
    <w:rsid w:val="00E25C59"/>
    <w:rsid w:val="00E31905"/>
    <w:rsid w:val="00E44FD9"/>
    <w:rsid w:val="00E45E69"/>
    <w:rsid w:val="00E71A0C"/>
    <w:rsid w:val="00E90A3E"/>
    <w:rsid w:val="00E978CE"/>
    <w:rsid w:val="00ED03F0"/>
    <w:rsid w:val="00F20140"/>
    <w:rsid w:val="00F37536"/>
    <w:rsid w:val="00F43F83"/>
    <w:rsid w:val="00F60724"/>
    <w:rsid w:val="00F800D6"/>
    <w:rsid w:val="00F94705"/>
    <w:rsid w:val="00F950AD"/>
    <w:rsid w:val="00FC7E6C"/>
    <w:rsid w:val="00FE3EA9"/>
    <w:rsid w:val="00FF356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E4217A0"/>
  <w15:chartTrackingRefBased/>
  <w15:docId w15:val="{0DBBB9D7-45B5-42C7-968B-BCE7088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CA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pPr>
      <w:numPr>
        <w:numId w:val="2"/>
      </w:numPr>
      <w:spacing w:before="120" w:after="120" w:line="500" w:lineRule="exact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basedOn w:val="Policepardfaut"/>
    <w:rPr>
      <w:rFonts w:ascii="Arial" w:hAnsi="Arial"/>
      <w:i/>
      <w:noProof w:val="0"/>
      <w:sz w:val="22"/>
      <w:lang w:val="en-CA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semiHidden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pPr>
      <w:jc w:val="center"/>
    </w:pPr>
    <w:rPr>
      <w:b/>
      <w:sz w:val="36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  <w:pPr>
      <w:ind w:left="70"/>
    </w:pPr>
  </w:style>
  <w:style w:type="paragraph" w:customStyle="1" w:styleId="zSoquijdatGreffe">
    <w:name w:val="zSoquij_datGreffe"/>
    <w:basedOn w:val="Normal"/>
    <w:pPr>
      <w:ind w:left="29"/>
    </w:p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pPr>
      <w:ind w:left="70"/>
    </w:pPr>
    <w:rPr>
      <w:b/>
    </w:rPr>
  </w:style>
  <w:style w:type="paragraph" w:customStyle="1" w:styleId="zSoquijdatQteJuge">
    <w:name w:val="zSoquij_datQteJuge"/>
    <w:basedOn w:val="Normal"/>
    <w:pPr>
      <w:ind w:left="29"/>
    </w:pPr>
    <w:rPr>
      <w:b/>
    </w:rPr>
  </w:style>
  <w:style w:type="paragraph" w:customStyle="1" w:styleId="zSoquijdatJuge">
    <w:name w:val="zSoquij_datJuge"/>
    <w:basedOn w:val="Normal"/>
    <w:pPr>
      <w:ind w:left="52"/>
    </w:pPr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pPr>
      <w:jc w:val="center"/>
    </w:p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Pr>
      <w:lang w:val="en-CA"/>
    </w:rPr>
  </w:style>
  <w:style w:type="paragraph" w:customStyle="1" w:styleId="zSoquijlblTitrePartie">
    <w:name w:val="zSoquij_lblTitrePartie"/>
    <w:basedOn w:val="Normal"/>
  </w:style>
  <w:style w:type="paragraph" w:customStyle="1" w:styleId="zSoquijdatSignature3Juge">
    <w:name w:val="zSoquij_datSignature3Juge"/>
    <w:basedOn w:val="Normal"/>
  </w:style>
  <w:style w:type="paragraph" w:customStyle="1" w:styleId="ParagNonNum">
    <w:name w:val="ParagNonNum"/>
    <w:basedOn w:val="Paragraphe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pPr>
      <w:jc w:val="center"/>
    </w:pPr>
    <w:rPr>
      <w:sz w:val="20"/>
    </w:rPr>
  </w:style>
  <w:style w:type="paragraph" w:customStyle="1" w:styleId="Sous-paragraphe">
    <w:name w:val="Sous-paragraphe"/>
    <w:basedOn w:val="Normal"/>
    <w:pPr>
      <w:widowControl w:val="0"/>
      <w:numPr>
        <w:ilvl w:val="1"/>
        <w:numId w:val="2"/>
      </w:numPr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</w:style>
  <w:style w:type="paragraph" w:customStyle="1" w:styleId="zSoquijdatNomProcureurDef">
    <w:name w:val="zSoquij_datNomProcureurDef"/>
    <w:basedOn w:val="zSoquijlblProcureurDef"/>
  </w:style>
  <w:style w:type="paragraph" w:customStyle="1" w:styleId="zSoquijdatCabinetProcureurDem">
    <w:name w:val="zSoquij_datCabinetProcureurDem"/>
    <w:basedOn w:val="Normal"/>
  </w:style>
  <w:style w:type="paragraph" w:customStyle="1" w:styleId="zSoquijdatCabinetProcureurDef">
    <w:name w:val="zSoquij_datCabinetProcureurDef"/>
    <w:basedOn w:val="zSoquijlblProcureurDef"/>
  </w:style>
  <w:style w:type="paragraph" w:customStyle="1" w:styleId="zSoquijdatSignatureJuge1">
    <w:name w:val="zSoquij_datSignatureJuge1"/>
    <w:basedOn w:val="Normal"/>
  </w:style>
  <w:style w:type="paragraph" w:customStyle="1" w:styleId="zSoquijdatSignatureJuge2">
    <w:name w:val="zSoquij_datSignatureJuge2"/>
    <w:basedOn w:val="Normal"/>
  </w:style>
  <w:style w:type="paragraph" w:customStyle="1" w:styleId="zSoquijdatSignatureJuge3">
    <w:name w:val="zSoquij_datSignatureJuge3"/>
    <w:basedOn w:val="Normal"/>
  </w:style>
  <w:style w:type="paragraph" w:customStyle="1" w:styleId="zSoquijdatRepertorie">
    <w:name w:val="zSoquij_datRepertorie"/>
    <w:basedOn w:val="zSoquijlblCour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</w:style>
  <w:style w:type="paragraph" w:customStyle="1" w:styleId="ParagAlaMarge">
    <w:name w:val="ParagAlaMarge"/>
    <w:basedOn w:val="ParagNonNum"/>
    <w:pPr>
      <w:ind w:firstLine="0"/>
    </w:pPr>
  </w:style>
  <w:style w:type="paragraph" w:customStyle="1" w:styleId="zSoquijlblAssesseurs">
    <w:name w:val="zSoquij_lblAssesseurs"/>
    <w:basedOn w:val="Normal"/>
    <w:pPr>
      <w:ind w:left="14" w:right="-67"/>
    </w:pPr>
  </w:style>
  <w:style w:type="paragraph" w:customStyle="1" w:styleId="zSoquijdatAssesseurs">
    <w:name w:val="zSoquij_datAssesseurs"/>
    <w:basedOn w:val="Normal"/>
    <w:pPr>
      <w:ind w:left="14" w:right="-67"/>
    </w:pPr>
  </w:style>
  <w:style w:type="paragraph" w:customStyle="1" w:styleId="zSoquijlblLocalite">
    <w:name w:val="zSoquij_lblLocalite"/>
    <w:basedOn w:val="zSoquijlblGreffe"/>
  </w:style>
  <w:style w:type="paragraph" w:customStyle="1" w:styleId="zSoquijdatLocalite">
    <w:name w:val="zSoquij_datLocalite"/>
    <w:basedOn w:val="zSoquijdatGreffe"/>
  </w:style>
  <w:style w:type="character" w:styleId="Appeldenotedefin">
    <w:name w:val="endnote reference"/>
    <w:basedOn w:val="Policepardfaut"/>
    <w:rsid w:val="00E978CE"/>
    <w:rPr>
      <w:vertAlign w:val="superscript"/>
    </w:rPr>
  </w:style>
  <w:style w:type="character" w:styleId="Appelnotedebasdep">
    <w:name w:val="footnote reference"/>
    <w:basedOn w:val="Policepardfaut"/>
    <w:uiPriority w:val="99"/>
    <w:rsid w:val="00E978CE"/>
    <w:rPr>
      <w:vertAlign w:val="superscript"/>
    </w:rPr>
  </w:style>
  <w:style w:type="paragraph" w:styleId="En-tte">
    <w:name w:val="header"/>
    <w:basedOn w:val="Normal"/>
    <w:link w:val="En-tteCar"/>
    <w:rsid w:val="005F51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F519F"/>
    <w:rPr>
      <w:rFonts w:ascii="Arial" w:hAnsi="Arial"/>
      <w:sz w:val="24"/>
      <w:lang w:val="en-CA" w:eastAsia="fr-FR"/>
    </w:rPr>
  </w:style>
  <w:style w:type="paragraph" w:styleId="Pieddepage">
    <w:name w:val="footer"/>
    <w:basedOn w:val="Normal"/>
    <w:link w:val="PieddepageCar"/>
    <w:rsid w:val="005F51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F519F"/>
    <w:rPr>
      <w:rFonts w:ascii="Arial" w:hAnsi="Arial"/>
      <w:sz w:val="24"/>
      <w:lang w:val="en-CA" w:eastAsia="fr-FR"/>
    </w:rPr>
  </w:style>
  <w:style w:type="character" w:customStyle="1" w:styleId="fs-small">
    <w:name w:val="fs-small"/>
    <w:basedOn w:val="Policepardfaut"/>
    <w:rsid w:val="001815AD"/>
  </w:style>
  <w:style w:type="character" w:customStyle="1" w:styleId="ermark">
    <w:name w:val="er_mark"/>
    <w:basedOn w:val="Policepardfaut"/>
    <w:rsid w:val="001815AD"/>
  </w:style>
  <w:style w:type="character" w:styleId="Hyperlien">
    <w:name w:val="Hyperlink"/>
    <w:basedOn w:val="Policepardfaut"/>
    <w:uiPriority w:val="99"/>
    <w:unhideWhenUsed/>
    <w:rsid w:val="001815AD"/>
    <w:rPr>
      <w:color w:val="0000FF"/>
      <w:u w:val="single"/>
    </w:rPr>
  </w:style>
  <w:style w:type="character" w:styleId="Accentuation">
    <w:name w:val="Emphasis"/>
    <w:basedOn w:val="Policepardfaut"/>
    <w:qFormat/>
    <w:rsid w:val="0085657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591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76DC9"/>
    <w:rPr>
      <w:rFonts w:ascii="Arial" w:hAnsi="Arial"/>
      <w:sz w:val="24"/>
      <w:lang w:val="en-CA" w:eastAsia="fr-FR"/>
    </w:rPr>
  </w:style>
  <w:style w:type="character" w:styleId="Marquedecommentaire">
    <w:name w:val="annotation reference"/>
    <w:basedOn w:val="Policepardfaut"/>
    <w:rsid w:val="00074EE2"/>
    <w:rPr>
      <w:sz w:val="16"/>
      <w:szCs w:val="16"/>
    </w:rPr>
  </w:style>
  <w:style w:type="paragraph" w:styleId="Commentaire">
    <w:name w:val="annotation text"/>
    <w:basedOn w:val="Normal"/>
    <w:link w:val="CommentaireCar"/>
    <w:rsid w:val="00074EE2"/>
    <w:rPr>
      <w:sz w:val="20"/>
    </w:rPr>
  </w:style>
  <w:style w:type="character" w:customStyle="1" w:styleId="CommentaireCar">
    <w:name w:val="Commentaire Car"/>
    <w:basedOn w:val="Policepardfaut"/>
    <w:link w:val="Commentaire"/>
    <w:rsid w:val="00074EE2"/>
    <w:rPr>
      <w:rFonts w:ascii="Arial" w:hAnsi="Arial"/>
      <w:lang w:val="en-CA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74E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74EE2"/>
    <w:rPr>
      <w:rFonts w:ascii="Arial" w:hAnsi="Arial"/>
      <w:b/>
      <w:bCs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QIntraCQAuteur xmlns="25c7e276-5b5d-4173-a6e8-415c3a5ebbf5" xsi:nil="true"/>
    <MJQIntraCQDateDuDocument xmlns="25c7e276-5b5d-4173-a6e8-415c3a5ebbf5">2017-01-26T05:00:00+00:00</MJQIntraCQDateDuDocument>
    <MJQIntraCQSujets xmlns="25c7e276-5b5d-4173-a6e8-415c3a5ebbf5">
      <Value>Documentation relative au jugement</Value>
      <Value>Documentation à l'intention des adjointes à la magistrature</Value>
    </MJQIntraCQSujets>
    <MJQIntraCQAfficherPageAccueil xmlns="25c7e276-5b5d-4173-a6e8-415c3a5ebbf5">false</MJQIntraCQAfficherPageAccueil>
    <MJQIntraCQCategories xmlns="25c7e276-5b5d-4173-a6e8-415c3a5ebbf5">
      <Value>Rubriques d’intérêt</Value>
    </MJQIntraCQCategories>
    <MJQIntraCQStatutDocument xmlns="25c7e276-5b5d-4173-a6e8-415c3a5ebb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administratif" ma:contentTypeID="0x0101003C4F88E49357B54CAF26D27CBA89EAD400B1121FE403AC274996FE19F486FEDCB3" ma:contentTypeVersion="17" ma:contentTypeDescription="" ma:contentTypeScope="" ma:versionID="ddf53a5fa7cf9e38966e74ca2b86e35c">
  <xsd:schema xmlns:xsd="http://www.w3.org/2001/XMLSchema" xmlns:xs="http://www.w3.org/2001/XMLSchema" xmlns:p="http://schemas.microsoft.com/office/2006/metadata/properties" xmlns:ns2="25c7e276-5b5d-4173-a6e8-415c3a5ebbf5" xmlns:ns3="62255a5f-d26d-4874-b543-8a4ae1cc1f4b" targetNamespace="http://schemas.microsoft.com/office/2006/metadata/properties" ma:root="true" ma:fieldsID="b6468a090e8260005993ab8693bdb866" ns2:_="" ns3:_="">
    <xsd:import namespace="25c7e276-5b5d-4173-a6e8-415c3a5ebbf5"/>
    <xsd:import namespace="62255a5f-d26d-4874-b543-8a4ae1cc1f4b"/>
    <xsd:element name="properties">
      <xsd:complexType>
        <xsd:sequence>
          <xsd:element name="documentManagement">
            <xsd:complexType>
              <xsd:all>
                <xsd:element ref="ns2:MJQIntraCQAuteur" minOccurs="0"/>
                <xsd:element ref="ns2:MJQIntraCQDateDuDocument" minOccurs="0"/>
                <xsd:element ref="ns2:MJQIntraCQCategories" minOccurs="0"/>
                <xsd:element ref="ns2:MJQIntraCQSujets" minOccurs="0"/>
                <xsd:element ref="ns2:MJQIntraCQStatutDocument" minOccurs="0"/>
                <xsd:element ref="ns2:MJQIntraCQAfficherPageAccuei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7e276-5b5d-4173-a6e8-415c3a5ebbf5" elementFormDefault="qualified">
    <xsd:import namespace="http://schemas.microsoft.com/office/2006/documentManagement/types"/>
    <xsd:import namespace="http://schemas.microsoft.com/office/infopath/2007/PartnerControls"/>
    <xsd:element name="MJQIntraCQAuteur" ma:index="2" nillable="true" ma:displayName="Auteur" ma:internalName="MJQIntraCQAuteur" ma:readOnly="false">
      <xsd:simpleType>
        <xsd:restriction base="dms:Text">
          <xsd:maxLength value="255"/>
        </xsd:restriction>
      </xsd:simpleType>
    </xsd:element>
    <xsd:element name="MJQIntraCQDateDuDocument" ma:index="3" nillable="true" ma:displayName="Date du document" ma:format="DateOnly" ma:internalName="MJQIntraCQDateDuDocument" ma:readOnly="false">
      <xsd:simpleType>
        <xsd:restriction base="dms:DateTime"/>
      </xsd:simpleType>
    </xsd:element>
    <xsd:element name="MJQIntraCQCategories" ma:index="4" nillable="true" ma:displayName="Catégorie(s)" ma:internalName="MJQIntraCQCategorie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ocution"/>
                        <xsd:enumeration value="Capsule"/>
                        <xsd:enumeration value="Comité"/>
                        <xsd:enumeration value="Communiqué"/>
                        <xsd:enumeration value="Compte rendu"/>
                        <xsd:enumeration value="Rubriques d’intérêt"/>
                        <xsd:enumeration value="Tribunal des professions"/>
                        <xsd:enumeration value="Tribunal des droits de la personn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JQIntraCQSujets" ma:index="5" nillable="true" ma:displayName="Sujet(s)" ma:internalName="MJQIntraCQSuje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ssignations des juges"/>
                        <xsd:enumeration value="Audience en salle semi-virtuelle"/>
                        <xsd:enumeration value="Communications et médias"/>
                        <xsd:enumeration value="Forums de discussions"/>
                        <xsd:enumeration value="Modernisation et outils technologiques"/>
                        <xsd:enumeration value="Organigrammes"/>
                        <xsd:enumeration value="Papeterie et logo"/>
                        <xsd:enumeration value="Perfectionnement"/>
                        <xsd:enumeration value="Politiques, programmes et protocoles"/>
                        <xsd:enumeration value="Programme de consultation pour la magistrature"/>
                        <xsd:enumeration value="Publication"/>
                        <xsd:enumeration value="Rapports des comités"/>
                        <xsd:enumeration value="Remboursement des dépenses"/>
                        <xsd:enumeration value="Rémunération et avantages sociaux"/>
                        <xsd:enumeration value="Retraite"/>
                        <xsd:enumeration value="Sécurité des juges"/>
                        <xsd:enumeration value="Service de recherche"/>
                        <xsd:enumeration value="Statistiques sur les activités judiciaires"/>
                        <xsd:enumeration value="Transformation de la justi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JQIntraCQStatutDocument" ma:index="6" nillable="true" ma:displayName="Statut du document" ma:format="Dropdown" ma:internalName="MJQIntraCQStatutDocument" ma:readOnly="false">
      <xsd:simpleType>
        <xsd:restriction base="dms:Choice">
          <xsd:enumeration value="Nouveau"/>
          <xsd:enumeration value="Mis à jour"/>
        </xsd:restriction>
      </xsd:simpleType>
    </xsd:element>
    <xsd:element name="MJQIntraCQAfficherPageAccueil" ma:index="7" nillable="true" ma:displayName="Afficher sur la page d'accueil" ma:default="0" ma:internalName="MJQIntraCQAfficherPageAccueil" ma:readOnly="false">
      <xsd:simpleType>
        <xsd:restriction base="dms:Boolean"/>
      </xsd:simple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55a5f-d26d-4874-b543-8a4ae1cc1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D1CC2-C06A-470F-89A7-56B647284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B7B16-12AE-4993-9704-14601CF82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A7454-BD82-49BE-9077-14CFB21ABC4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2255a5f-d26d-4874-b543-8a4ae1cc1f4b"/>
    <ds:schemaRef ds:uri="25c7e276-5b5d-4173-a6e8-415c3a5ebbf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3EE918-E7AF-4199-BBC4-6B54D1BC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7e276-5b5d-4173-a6e8-415c3a5ebbf5"/>
    <ds:schemaRef ds:uri="62255a5f-d26d-4874-b543-8a4ae1cc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4004</Words>
  <Characters>19491</Characters>
  <Application>Microsoft Office Word</Application>
  <DocSecurity>0</DocSecurity>
  <Lines>162</Lines>
  <Paragraphs>46</Paragraphs>
  <ScaleCrop>false</ScaleCrop>
  <Company/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trad-rev</cp:lastModifiedBy>
  <cp:revision>2</cp:revision>
  <dcterms:created xsi:type="dcterms:W3CDTF">2023-07-20T20:18:00Z</dcterms:created>
  <dcterms:modified xsi:type="dcterms:W3CDTF">2023-07-21T15:02:00Z</dcterms:modified>
</cp:coreProperties>
</file>