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4E48" w14:textId="67AEC67A" w:rsidR="00716485" w:rsidRPr="00017291" w:rsidRDefault="00D37C91">
      <w:pPr>
        <w:rPr>
          <w:lang w:val="en-CA"/>
        </w:rPr>
      </w:pPr>
      <w:r>
        <w:rPr>
          <w:lang w:val="en-CA"/>
        </w:rPr>
        <w:t>Unofficial English Translation of the Judgment of the Court</w:t>
      </w:r>
    </w:p>
    <w:tbl>
      <w:tblPr>
        <w:tblW w:w="9356" w:type="dxa"/>
        <w:tblLayout w:type="fixed"/>
        <w:tblCellMar>
          <w:left w:w="70" w:type="dxa"/>
          <w:right w:w="70" w:type="dxa"/>
        </w:tblCellMar>
        <w:tblLook w:val="01E0" w:firstRow="1" w:lastRow="1" w:firstColumn="1" w:lastColumn="1" w:noHBand="0" w:noVBand="0"/>
      </w:tblPr>
      <w:tblGrid>
        <w:gridCol w:w="7086"/>
        <w:gridCol w:w="2270"/>
      </w:tblGrid>
      <w:tr w:rsidR="007C67A4" w:rsidRPr="00017291" w14:paraId="53AC84A5" w14:textId="77777777" w:rsidTr="0012535D">
        <w:tc>
          <w:tcPr>
            <w:tcW w:w="7086" w:type="dxa"/>
          </w:tcPr>
          <w:p w14:paraId="0BB86672" w14:textId="50684019" w:rsidR="00AA54CC" w:rsidRPr="0028360A" w:rsidRDefault="00334F76" w:rsidP="00635F78">
            <w:pPr>
              <w:pStyle w:val="zSoquijdatRepertorie"/>
              <w:rPr>
                <w:rFonts w:cs="Arial"/>
              </w:rPr>
            </w:pPr>
            <w:r w:rsidRPr="0028360A">
              <w:rPr>
                <w:rFonts w:cs="Arial"/>
              </w:rPr>
              <w:t>Downer c. Procureure générale du Québec</w:t>
            </w:r>
          </w:p>
        </w:tc>
        <w:tc>
          <w:tcPr>
            <w:tcW w:w="2270" w:type="dxa"/>
          </w:tcPr>
          <w:p w14:paraId="3C3EE38E" w14:textId="7A8E9F7C" w:rsidR="00AA54CC" w:rsidRPr="00017291" w:rsidRDefault="00334F76" w:rsidP="0012535D">
            <w:pPr>
              <w:pStyle w:val="zSoquijdatRefNeutre"/>
              <w:jc w:val="right"/>
              <w:rPr>
                <w:rFonts w:cs="Arial"/>
                <w:lang w:val="en-CA"/>
              </w:rPr>
            </w:pPr>
            <w:r w:rsidRPr="00017291">
              <w:rPr>
                <w:rFonts w:cs="Arial"/>
                <w:lang w:val="en-CA"/>
              </w:rPr>
              <w:t>20</w:t>
            </w:r>
            <w:r w:rsidR="00F67C6D">
              <w:rPr>
                <w:rFonts w:cs="Arial"/>
                <w:lang w:val="en-CA"/>
              </w:rPr>
              <w:t>19</w:t>
            </w:r>
            <w:r w:rsidRPr="00017291">
              <w:rPr>
                <w:rFonts w:cs="Arial"/>
                <w:lang w:val="en-CA"/>
              </w:rPr>
              <w:t xml:space="preserve"> QCCA 18</w:t>
            </w:r>
            <w:r w:rsidR="0012535D">
              <w:rPr>
                <w:rFonts w:cs="Arial"/>
                <w:lang w:val="en-CA"/>
              </w:rPr>
              <w:t>93</w:t>
            </w:r>
          </w:p>
        </w:tc>
      </w:tr>
    </w:tbl>
    <w:p w14:paraId="1C69816A" w14:textId="77777777" w:rsidR="00AA54CC" w:rsidRPr="00017291" w:rsidRDefault="00AA54CC">
      <w:pPr>
        <w:rPr>
          <w:lang w:val="en-CA"/>
        </w:rPr>
      </w:pPr>
    </w:p>
    <w:tbl>
      <w:tblPr>
        <w:tblStyle w:val="Grilledutableau"/>
        <w:tblW w:w="0" w:type="auto"/>
        <w:tblLook w:val="04A0" w:firstRow="1" w:lastRow="0" w:firstColumn="1" w:lastColumn="0" w:noHBand="0" w:noVBand="1"/>
      </w:tblPr>
      <w:tblGrid>
        <w:gridCol w:w="3936"/>
        <w:gridCol w:w="5424"/>
      </w:tblGrid>
      <w:tr w:rsidR="007C67A4" w:rsidRPr="00017291" w14:paraId="26C5A833" w14:textId="77777777" w:rsidTr="0037521E">
        <w:tc>
          <w:tcPr>
            <w:tcW w:w="9360" w:type="dxa"/>
            <w:gridSpan w:val="2"/>
            <w:tcBorders>
              <w:top w:val="nil"/>
              <w:left w:val="nil"/>
              <w:bottom w:val="nil"/>
              <w:right w:val="nil"/>
            </w:tcBorders>
          </w:tcPr>
          <w:p w14:paraId="16968053" w14:textId="28946A0E" w:rsidR="00DF7D37" w:rsidRPr="00017291" w:rsidRDefault="00334F76" w:rsidP="00A12875">
            <w:pPr>
              <w:spacing w:before="200" w:after="200" w:line="240" w:lineRule="auto"/>
              <w:jc w:val="center"/>
              <w:rPr>
                <w:lang w:val="en-CA"/>
              </w:rPr>
            </w:pPr>
            <w:r w:rsidRPr="00017291">
              <w:rPr>
                <w:b/>
                <w:sz w:val="36"/>
                <w:szCs w:val="36"/>
                <w:lang w:val="en-CA"/>
              </w:rPr>
              <w:t>COURT OF APPEAL</w:t>
            </w:r>
          </w:p>
        </w:tc>
      </w:tr>
      <w:tr w:rsidR="007C67A4" w:rsidRPr="00017291" w14:paraId="31B61E9E" w14:textId="77777777" w:rsidTr="0037521E">
        <w:tc>
          <w:tcPr>
            <w:tcW w:w="9360" w:type="dxa"/>
            <w:gridSpan w:val="2"/>
            <w:tcBorders>
              <w:top w:val="nil"/>
              <w:left w:val="nil"/>
              <w:bottom w:val="nil"/>
              <w:right w:val="nil"/>
            </w:tcBorders>
          </w:tcPr>
          <w:p w14:paraId="07D28146" w14:textId="2521E065" w:rsidR="00DF7D37" w:rsidRPr="00017291" w:rsidRDefault="00334F76" w:rsidP="002C7179">
            <w:pPr>
              <w:ind w:left="-108"/>
              <w:rPr>
                <w:lang w:val="en-CA"/>
              </w:rPr>
            </w:pPr>
            <w:r w:rsidRPr="00017291">
              <w:rPr>
                <w:lang w:val="en-CA"/>
              </w:rPr>
              <w:t xml:space="preserve">CANADA </w:t>
            </w:r>
          </w:p>
        </w:tc>
      </w:tr>
      <w:tr w:rsidR="007C67A4" w:rsidRPr="00017291" w14:paraId="3D77FDA6" w14:textId="77777777" w:rsidTr="0037521E">
        <w:tc>
          <w:tcPr>
            <w:tcW w:w="9360" w:type="dxa"/>
            <w:gridSpan w:val="2"/>
            <w:tcBorders>
              <w:top w:val="nil"/>
              <w:left w:val="nil"/>
              <w:bottom w:val="nil"/>
              <w:right w:val="nil"/>
            </w:tcBorders>
          </w:tcPr>
          <w:p w14:paraId="32C1521D" w14:textId="08713E01" w:rsidR="00DF7D37" w:rsidRPr="00017291" w:rsidRDefault="00334F76" w:rsidP="002C7179">
            <w:pPr>
              <w:ind w:left="-108"/>
              <w:rPr>
                <w:lang w:val="en-CA"/>
              </w:rPr>
            </w:pPr>
            <w:r w:rsidRPr="00017291">
              <w:rPr>
                <w:lang w:val="en-CA"/>
              </w:rPr>
              <w:t>PROVINCE OF QUEBEC</w:t>
            </w:r>
          </w:p>
        </w:tc>
      </w:tr>
      <w:tr w:rsidR="007C67A4" w:rsidRPr="00017291" w14:paraId="2CA99C64" w14:textId="77777777" w:rsidTr="0037521E">
        <w:tc>
          <w:tcPr>
            <w:tcW w:w="9360" w:type="dxa"/>
            <w:gridSpan w:val="2"/>
            <w:tcBorders>
              <w:top w:val="nil"/>
              <w:left w:val="nil"/>
              <w:bottom w:val="nil"/>
              <w:right w:val="nil"/>
            </w:tcBorders>
          </w:tcPr>
          <w:p w14:paraId="3F4A9E59" w14:textId="5239A9BF" w:rsidR="00DF7D37" w:rsidRPr="00017291" w:rsidRDefault="00334F76" w:rsidP="00F95FC5">
            <w:pPr>
              <w:pStyle w:val="zSoquijdatGreffe"/>
              <w:rPr>
                <w:lang w:val="en-CA"/>
              </w:rPr>
            </w:pPr>
            <w:r w:rsidRPr="00017291">
              <w:rPr>
                <w:lang w:val="en-CA"/>
              </w:rPr>
              <w:t>REGISTRY OF MONTREAL</w:t>
            </w:r>
          </w:p>
        </w:tc>
      </w:tr>
      <w:tr w:rsidR="007C67A4" w:rsidRPr="00017291" w14:paraId="42824659" w14:textId="77777777" w:rsidTr="0037521E">
        <w:tc>
          <w:tcPr>
            <w:tcW w:w="9360" w:type="dxa"/>
            <w:gridSpan w:val="2"/>
            <w:tcBorders>
              <w:top w:val="nil"/>
              <w:left w:val="nil"/>
              <w:bottom w:val="nil"/>
              <w:right w:val="nil"/>
            </w:tcBorders>
          </w:tcPr>
          <w:p w14:paraId="01E17CED" w14:textId="77777777" w:rsidR="00F55CD4" w:rsidRPr="00017291" w:rsidRDefault="00F55CD4" w:rsidP="002C7179">
            <w:pPr>
              <w:ind w:left="-108"/>
              <w:rPr>
                <w:lang w:val="en-CA"/>
              </w:rPr>
            </w:pPr>
          </w:p>
        </w:tc>
      </w:tr>
      <w:tr w:rsidR="007C67A4" w:rsidRPr="00017291" w14:paraId="73D9873F" w14:textId="77777777" w:rsidTr="0037521E">
        <w:tc>
          <w:tcPr>
            <w:tcW w:w="9360" w:type="dxa"/>
            <w:gridSpan w:val="2"/>
            <w:tcBorders>
              <w:top w:val="nil"/>
              <w:left w:val="nil"/>
              <w:bottom w:val="nil"/>
              <w:right w:val="nil"/>
            </w:tcBorders>
          </w:tcPr>
          <w:p w14:paraId="1AD18B4B" w14:textId="5E066F5A" w:rsidR="00EC57E1" w:rsidRPr="00017291" w:rsidRDefault="00334F76" w:rsidP="00160465">
            <w:pPr>
              <w:pStyle w:val="zSoquijdatNoDossier"/>
              <w:rPr>
                <w:lang w:val="en-CA"/>
              </w:rPr>
            </w:pPr>
            <w:r w:rsidRPr="00017291">
              <w:rPr>
                <w:lang w:val="en-CA"/>
              </w:rPr>
              <w:t>No.: 500-09-028317-196</w:t>
            </w:r>
          </w:p>
        </w:tc>
      </w:tr>
      <w:tr w:rsidR="007C67A4" w:rsidRPr="00017291" w14:paraId="0D6DBBCD" w14:textId="77777777" w:rsidTr="0037521E">
        <w:tc>
          <w:tcPr>
            <w:tcW w:w="9360" w:type="dxa"/>
            <w:gridSpan w:val="2"/>
            <w:tcBorders>
              <w:top w:val="nil"/>
              <w:left w:val="nil"/>
              <w:bottom w:val="nil"/>
              <w:right w:val="nil"/>
            </w:tcBorders>
          </w:tcPr>
          <w:p w14:paraId="7B267544" w14:textId="77777777" w:rsidR="00EC57E1" w:rsidRPr="00017291" w:rsidRDefault="00334F76" w:rsidP="00160465">
            <w:pPr>
              <w:pStyle w:val="zSoquijdatNoDossierAnt"/>
              <w:rPr>
                <w:lang w:val="en-CA"/>
              </w:rPr>
            </w:pPr>
            <w:r w:rsidRPr="00017291">
              <w:rPr>
                <w:lang w:val="en-CA"/>
              </w:rPr>
              <w:t xml:space="preserve">      (</w:t>
            </w:r>
            <w:bookmarkStart w:id="0" w:name="DossierAnt"/>
            <w:r w:rsidR="00DD6D17" w:rsidRPr="00017291">
              <w:rPr>
                <w:lang w:val="en-CA"/>
              </w:rPr>
              <w:t>760-17-004897-172</w:t>
            </w:r>
            <w:bookmarkEnd w:id="0"/>
            <w:r w:rsidRPr="00017291">
              <w:rPr>
                <w:lang w:val="en-CA"/>
              </w:rPr>
              <w:t>)</w:t>
            </w:r>
          </w:p>
        </w:tc>
      </w:tr>
      <w:tr w:rsidR="007C67A4" w:rsidRPr="00017291" w14:paraId="7DB6FD77" w14:textId="77777777" w:rsidTr="0037521E">
        <w:tc>
          <w:tcPr>
            <w:tcW w:w="9360" w:type="dxa"/>
            <w:gridSpan w:val="2"/>
            <w:tcBorders>
              <w:top w:val="nil"/>
              <w:left w:val="nil"/>
              <w:bottom w:val="single" w:sz="4" w:space="0" w:color="auto"/>
              <w:right w:val="nil"/>
            </w:tcBorders>
          </w:tcPr>
          <w:p w14:paraId="45CA51F5" w14:textId="77777777" w:rsidR="00EC57E1" w:rsidRPr="00017291" w:rsidRDefault="00EC57E1">
            <w:pPr>
              <w:rPr>
                <w:lang w:val="en-CA"/>
              </w:rPr>
            </w:pPr>
          </w:p>
        </w:tc>
      </w:tr>
      <w:tr w:rsidR="007C67A4" w:rsidRPr="00017291" w14:paraId="18B24218" w14:textId="77777777" w:rsidTr="0037521E">
        <w:tc>
          <w:tcPr>
            <w:tcW w:w="9360" w:type="dxa"/>
            <w:gridSpan w:val="2"/>
            <w:tcBorders>
              <w:top w:val="single" w:sz="4" w:space="0" w:color="auto"/>
              <w:left w:val="nil"/>
              <w:bottom w:val="nil"/>
              <w:right w:val="nil"/>
            </w:tcBorders>
          </w:tcPr>
          <w:p w14:paraId="7026B9C9" w14:textId="77777777" w:rsidR="00EC57E1" w:rsidRPr="00017291" w:rsidRDefault="00EC57E1">
            <w:pPr>
              <w:rPr>
                <w:lang w:val="en-CA"/>
              </w:rPr>
            </w:pPr>
          </w:p>
        </w:tc>
      </w:tr>
      <w:tr w:rsidR="007C67A4" w:rsidRPr="00017291" w14:paraId="170088F6" w14:textId="77777777" w:rsidTr="0037521E">
        <w:tc>
          <w:tcPr>
            <w:tcW w:w="9360" w:type="dxa"/>
            <w:gridSpan w:val="2"/>
            <w:tcBorders>
              <w:top w:val="nil"/>
              <w:left w:val="nil"/>
              <w:bottom w:val="nil"/>
              <w:right w:val="nil"/>
            </w:tcBorders>
          </w:tcPr>
          <w:p w14:paraId="099E3FC1" w14:textId="404BA062" w:rsidR="00EC57E1" w:rsidRPr="00017291" w:rsidRDefault="00334F76" w:rsidP="00F55CD4">
            <w:pPr>
              <w:jc w:val="center"/>
              <w:rPr>
                <w:lang w:val="en-CA"/>
              </w:rPr>
            </w:pPr>
            <w:r w:rsidRPr="00017291">
              <w:rPr>
                <w:lang w:val="en-CA"/>
              </w:rPr>
              <w:t>MINUTES OF HEARING</w:t>
            </w:r>
          </w:p>
        </w:tc>
      </w:tr>
      <w:tr w:rsidR="007C67A4" w:rsidRPr="00017291" w14:paraId="44AEB924" w14:textId="77777777" w:rsidTr="0037521E">
        <w:tc>
          <w:tcPr>
            <w:tcW w:w="9360" w:type="dxa"/>
            <w:gridSpan w:val="2"/>
            <w:tcBorders>
              <w:top w:val="nil"/>
              <w:left w:val="nil"/>
              <w:bottom w:val="single" w:sz="4" w:space="0" w:color="auto"/>
              <w:right w:val="nil"/>
            </w:tcBorders>
          </w:tcPr>
          <w:p w14:paraId="0A93018A" w14:textId="77777777" w:rsidR="00EC57E1" w:rsidRPr="00017291" w:rsidRDefault="00EC57E1">
            <w:pPr>
              <w:rPr>
                <w:lang w:val="en-CA"/>
              </w:rPr>
            </w:pPr>
          </w:p>
        </w:tc>
      </w:tr>
      <w:tr w:rsidR="007C67A4" w:rsidRPr="00017291" w14:paraId="16112F58" w14:textId="77777777" w:rsidTr="0037521E">
        <w:tc>
          <w:tcPr>
            <w:tcW w:w="9360" w:type="dxa"/>
            <w:gridSpan w:val="2"/>
            <w:tcBorders>
              <w:top w:val="single" w:sz="4" w:space="0" w:color="auto"/>
              <w:left w:val="nil"/>
              <w:bottom w:val="nil"/>
              <w:right w:val="nil"/>
            </w:tcBorders>
          </w:tcPr>
          <w:p w14:paraId="7E0161C8" w14:textId="77777777" w:rsidR="002A295B" w:rsidRPr="00017291" w:rsidRDefault="002A295B">
            <w:pPr>
              <w:rPr>
                <w:lang w:val="en-CA"/>
              </w:rPr>
            </w:pPr>
          </w:p>
        </w:tc>
      </w:tr>
      <w:tr w:rsidR="007C67A4" w:rsidRPr="00017291" w14:paraId="5F51461E" w14:textId="77777777" w:rsidTr="0037521E">
        <w:tc>
          <w:tcPr>
            <w:tcW w:w="9360" w:type="dxa"/>
            <w:gridSpan w:val="2"/>
            <w:tcBorders>
              <w:top w:val="nil"/>
              <w:left w:val="nil"/>
              <w:bottom w:val="nil"/>
              <w:right w:val="nil"/>
            </w:tcBorders>
          </w:tcPr>
          <w:p w14:paraId="2C51F5D9" w14:textId="3628A96D" w:rsidR="002A295B" w:rsidRPr="00017291" w:rsidRDefault="00334F76" w:rsidP="00160465">
            <w:pPr>
              <w:pStyle w:val="zSoquijdatDateJugement"/>
              <w:rPr>
                <w:lang w:val="en-CA"/>
              </w:rPr>
            </w:pPr>
            <w:r w:rsidRPr="00017291">
              <w:rPr>
                <w:lang w:val="en-CA"/>
              </w:rPr>
              <w:t xml:space="preserve">DATE: </w:t>
            </w:r>
            <w:r w:rsidR="00017291" w:rsidRPr="00017291">
              <w:rPr>
                <w:lang w:val="en-CA"/>
              </w:rPr>
              <w:t>November 8, 2019</w:t>
            </w:r>
          </w:p>
        </w:tc>
      </w:tr>
      <w:tr w:rsidR="007C67A4" w:rsidRPr="00017291" w14:paraId="19E39A35" w14:textId="77777777" w:rsidTr="0037521E">
        <w:tc>
          <w:tcPr>
            <w:tcW w:w="9360" w:type="dxa"/>
            <w:gridSpan w:val="2"/>
            <w:tcBorders>
              <w:top w:val="nil"/>
              <w:left w:val="nil"/>
              <w:bottom w:val="nil"/>
              <w:right w:val="nil"/>
            </w:tcBorders>
          </w:tcPr>
          <w:p w14:paraId="4BFBE742" w14:textId="77777777" w:rsidR="002A295B" w:rsidRPr="00017291" w:rsidRDefault="002A295B" w:rsidP="002C7179">
            <w:pPr>
              <w:ind w:left="-108"/>
              <w:rPr>
                <w:lang w:val="en-CA"/>
              </w:rPr>
            </w:pPr>
          </w:p>
        </w:tc>
      </w:tr>
      <w:tr w:rsidR="007C67A4" w:rsidRPr="0028360A" w14:paraId="20A4B825" w14:textId="77777777" w:rsidTr="0037521E">
        <w:tc>
          <w:tcPr>
            <w:tcW w:w="3936" w:type="dxa"/>
            <w:tcBorders>
              <w:top w:val="nil"/>
              <w:left w:val="nil"/>
              <w:bottom w:val="nil"/>
              <w:right w:val="nil"/>
            </w:tcBorders>
          </w:tcPr>
          <w:p w14:paraId="4B9FA4D1" w14:textId="2A163ACD" w:rsidR="00B451C3" w:rsidRPr="00017291" w:rsidRDefault="00334F76" w:rsidP="002C7179">
            <w:pPr>
              <w:spacing w:before="20" w:after="20" w:line="240" w:lineRule="auto"/>
              <w:ind w:left="-108"/>
              <w:rPr>
                <w:lang w:val="en-CA"/>
              </w:rPr>
            </w:pPr>
            <w:r w:rsidRPr="00017291">
              <w:rPr>
                <w:lang w:val="en-CA"/>
              </w:rPr>
              <w:t xml:space="preserve">PANEL: THE HONOURABLE </w:t>
            </w:r>
          </w:p>
        </w:tc>
        <w:tc>
          <w:tcPr>
            <w:tcW w:w="5424" w:type="dxa"/>
            <w:tcBorders>
              <w:top w:val="nil"/>
              <w:left w:val="nil"/>
              <w:bottom w:val="nil"/>
              <w:right w:val="nil"/>
            </w:tcBorders>
          </w:tcPr>
          <w:p w14:paraId="4682BD4B" w14:textId="271E7971" w:rsidR="00B451C3" w:rsidRPr="00017291" w:rsidRDefault="00334F76" w:rsidP="0037521E">
            <w:pPr>
              <w:pStyle w:val="zSoquijdatJuge"/>
              <w:ind w:left="-84"/>
              <w:rPr>
                <w:lang w:val="en-CA"/>
              </w:rPr>
            </w:pPr>
            <w:r w:rsidRPr="00017291">
              <w:rPr>
                <w:lang w:val="en-CA"/>
              </w:rPr>
              <w:t>ALLAN R. HILTON, J.A.</w:t>
            </w:r>
          </w:p>
        </w:tc>
      </w:tr>
      <w:tr w:rsidR="007C67A4" w:rsidRPr="00017291" w14:paraId="2BFEF68A" w14:textId="77777777" w:rsidTr="0037521E">
        <w:tc>
          <w:tcPr>
            <w:tcW w:w="3936" w:type="dxa"/>
            <w:tcBorders>
              <w:top w:val="nil"/>
              <w:left w:val="nil"/>
              <w:bottom w:val="nil"/>
              <w:right w:val="nil"/>
            </w:tcBorders>
          </w:tcPr>
          <w:p w14:paraId="6A392B5F" w14:textId="77777777" w:rsidR="00B451C3" w:rsidRPr="00017291" w:rsidRDefault="00B451C3" w:rsidP="002C7179">
            <w:pPr>
              <w:spacing w:before="20" w:after="20" w:line="240" w:lineRule="auto"/>
              <w:ind w:left="-108"/>
              <w:rPr>
                <w:lang w:val="en-CA"/>
              </w:rPr>
            </w:pPr>
          </w:p>
        </w:tc>
        <w:tc>
          <w:tcPr>
            <w:tcW w:w="5424" w:type="dxa"/>
            <w:tcBorders>
              <w:top w:val="nil"/>
              <w:left w:val="nil"/>
              <w:bottom w:val="nil"/>
              <w:right w:val="nil"/>
            </w:tcBorders>
          </w:tcPr>
          <w:p w14:paraId="2E41C3BD" w14:textId="72D845A4" w:rsidR="00B451C3" w:rsidRPr="00017291" w:rsidRDefault="00334F76" w:rsidP="0037521E">
            <w:pPr>
              <w:pStyle w:val="zSoquijdatJuge"/>
              <w:ind w:left="-84"/>
              <w:rPr>
                <w:lang w:val="en-CA"/>
              </w:rPr>
            </w:pPr>
            <w:r w:rsidRPr="00017291">
              <w:rPr>
                <w:lang w:val="en-CA"/>
              </w:rPr>
              <w:t>CLAUDINE ROY, J.A.</w:t>
            </w:r>
          </w:p>
        </w:tc>
      </w:tr>
      <w:tr w:rsidR="007C67A4" w:rsidRPr="00017291" w14:paraId="14D21A06" w14:textId="77777777" w:rsidTr="0037521E">
        <w:tc>
          <w:tcPr>
            <w:tcW w:w="3936" w:type="dxa"/>
            <w:tcBorders>
              <w:top w:val="nil"/>
              <w:left w:val="nil"/>
              <w:bottom w:val="nil"/>
              <w:right w:val="nil"/>
            </w:tcBorders>
          </w:tcPr>
          <w:p w14:paraId="6F44CD8B" w14:textId="77777777" w:rsidR="00B451C3" w:rsidRPr="00017291" w:rsidRDefault="00B451C3" w:rsidP="00B451C3">
            <w:pPr>
              <w:spacing w:before="20" w:after="20" w:line="240" w:lineRule="auto"/>
              <w:rPr>
                <w:lang w:val="en-CA"/>
              </w:rPr>
            </w:pPr>
          </w:p>
        </w:tc>
        <w:tc>
          <w:tcPr>
            <w:tcW w:w="5424" w:type="dxa"/>
            <w:tcBorders>
              <w:top w:val="nil"/>
              <w:left w:val="nil"/>
              <w:bottom w:val="nil"/>
              <w:right w:val="nil"/>
            </w:tcBorders>
          </w:tcPr>
          <w:p w14:paraId="3D8E3D4A" w14:textId="0F40E64C" w:rsidR="00B451C3" w:rsidRPr="00017291" w:rsidRDefault="00334F76" w:rsidP="0037521E">
            <w:pPr>
              <w:pStyle w:val="zSoquijdatJuge"/>
              <w:ind w:left="-84"/>
              <w:rPr>
                <w:lang w:val="en-CA"/>
              </w:rPr>
            </w:pPr>
            <w:r w:rsidRPr="00017291">
              <w:rPr>
                <w:lang w:val="en-CA"/>
              </w:rPr>
              <w:t>GENEVIÈVE COTNAM, J.A.</w:t>
            </w:r>
          </w:p>
        </w:tc>
      </w:tr>
    </w:tbl>
    <w:p w14:paraId="5B3D1F5C" w14:textId="77777777" w:rsidR="00887EEB" w:rsidRPr="00017291" w:rsidRDefault="00887EEB" w:rsidP="00887EEB">
      <w:pPr>
        <w:spacing w:line="240" w:lineRule="auto"/>
        <w:jc w:val="both"/>
        <w:rPr>
          <w:rFonts w:cs="Arial"/>
          <w:szCs w:val="24"/>
          <w:lang w:val="en-CA"/>
        </w:rPr>
      </w:pPr>
    </w:p>
    <w:tbl>
      <w:tblPr>
        <w:tblStyle w:val="Grilledutableau1"/>
        <w:tblW w:w="0" w:type="auto"/>
        <w:tblInd w:w="-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900"/>
      </w:tblGrid>
      <w:tr w:rsidR="007C67A4" w:rsidRPr="00017291" w14:paraId="2E581B36" w14:textId="77777777" w:rsidTr="00933C5F">
        <w:tc>
          <w:tcPr>
            <w:tcW w:w="4455" w:type="dxa"/>
          </w:tcPr>
          <w:p w14:paraId="52E8FBB1" w14:textId="5EA9628F" w:rsidR="00DD6D17" w:rsidRPr="00017291" w:rsidRDefault="00334F76" w:rsidP="00933C5F">
            <w:pPr>
              <w:spacing w:before="40" w:after="40" w:line="240" w:lineRule="auto"/>
              <w:jc w:val="center"/>
              <w:rPr>
                <w:rFonts w:cs="Arial"/>
                <w:kern w:val="28"/>
                <w:szCs w:val="24"/>
                <w:lang w:val="en-CA"/>
              </w:rPr>
            </w:pPr>
            <w:r w:rsidRPr="00017291">
              <w:rPr>
                <w:rFonts w:cs="Arial"/>
                <w:kern w:val="28"/>
                <w:szCs w:val="24"/>
                <w:lang w:val="en-CA"/>
              </w:rPr>
              <w:t>APPELLANTS</w:t>
            </w:r>
          </w:p>
        </w:tc>
        <w:tc>
          <w:tcPr>
            <w:tcW w:w="4900" w:type="dxa"/>
            <w:vAlign w:val="center"/>
          </w:tcPr>
          <w:p w14:paraId="4F0C8506" w14:textId="1051FC94" w:rsidR="00DD6D17" w:rsidRPr="00017291" w:rsidRDefault="00334F76" w:rsidP="00933C5F">
            <w:pPr>
              <w:spacing w:before="40" w:after="40" w:line="240" w:lineRule="auto"/>
              <w:jc w:val="center"/>
              <w:rPr>
                <w:rFonts w:cs="Arial"/>
                <w:kern w:val="28"/>
                <w:szCs w:val="24"/>
                <w:lang w:val="en-CA"/>
              </w:rPr>
            </w:pPr>
            <w:r w:rsidRPr="00017291">
              <w:rPr>
                <w:rFonts w:cs="Arial"/>
                <w:kern w:val="28"/>
                <w:szCs w:val="24"/>
                <w:lang w:val="en-CA"/>
              </w:rPr>
              <w:t>COUNSEL</w:t>
            </w:r>
          </w:p>
        </w:tc>
      </w:tr>
      <w:tr w:rsidR="007C67A4" w:rsidRPr="00017291" w14:paraId="0728E59C" w14:textId="77777777" w:rsidTr="00933C5F">
        <w:tc>
          <w:tcPr>
            <w:tcW w:w="4455" w:type="dxa"/>
          </w:tcPr>
          <w:p w14:paraId="0518ACE7" w14:textId="77777777" w:rsidR="00DD6D17" w:rsidRPr="00017291" w:rsidRDefault="00DD6D17" w:rsidP="00933C5F">
            <w:pPr>
              <w:tabs>
                <w:tab w:val="center" w:pos="2162"/>
              </w:tabs>
              <w:spacing w:line="240" w:lineRule="auto"/>
              <w:jc w:val="center"/>
              <w:rPr>
                <w:b/>
                <w:lang w:val="en-CA"/>
              </w:rPr>
            </w:pPr>
          </w:p>
          <w:p w14:paraId="1EADDBEF" w14:textId="77777777" w:rsidR="00DD6D17" w:rsidRPr="00017291" w:rsidRDefault="00334F76" w:rsidP="00933C5F">
            <w:pPr>
              <w:pStyle w:val="zSoquijdatNomPartieDem"/>
              <w:tabs>
                <w:tab w:val="center" w:pos="2412"/>
              </w:tabs>
              <w:rPr>
                <w:caps/>
                <w:lang w:val="en-CA"/>
              </w:rPr>
            </w:pPr>
            <w:bookmarkStart w:id="1" w:name="App"/>
            <w:bookmarkEnd w:id="1"/>
            <w:r w:rsidRPr="00017291">
              <w:rPr>
                <w:caps/>
                <w:lang w:val="en-CA"/>
              </w:rPr>
              <w:t>Vanessa Downer</w:t>
            </w:r>
          </w:p>
          <w:p w14:paraId="0EDB1447" w14:textId="77777777" w:rsidR="00DD6D17" w:rsidRPr="00017291" w:rsidRDefault="00334F76" w:rsidP="00933C5F">
            <w:pPr>
              <w:pStyle w:val="zSoquijdatNomPartieDem"/>
              <w:tabs>
                <w:tab w:val="center" w:pos="2412"/>
              </w:tabs>
              <w:rPr>
                <w:caps/>
                <w:lang w:val="en-CA"/>
              </w:rPr>
            </w:pPr>
            <w:r w:rsidRPr="00017291">
              <w:rPr>
                <w:caps/>
                <w:lang w:val="en-CA"/>
              </w:rPr>
              <w:t>WELLINGTON DOWNER</w:t>
            </w:r>
          </w:p>
          <w:p w14:paraId="05A5A0F8" w14:textId="3221C345" w:rsidR="00DD6D17" w:rsidRPr="00017291" w:rsidRDefault="00334F76" w:rsidP="00933C5F">
            <w:pPr>
              <w:pStyle w:val="zSoquijdatNomPartieDem"/>
              <w:tabs>
                <w:tab w:val="center" w:pos="2412"/>
              </w:tabs>
              <w:rPr>
                <w:caps/>
                <w:lang w:val="en-CA"/>
              </w:rPr>
            </w:pPr>
            <w:r w:rsidRPr="00017291">
              <w:rPr>
                <w:caps/>
                <w:lang w:val="en-CA"/>
              </w:rPr>
              <w:t xml:space="preserve">WELLINGTON DOWNER, </w:t>
            </w:r>
            <w:r w:rsidRPr="00CA3D7D">
              <w:rPr>
                <w:lang w:val="en-CA"/>
              </w:rPr>
              <w:t xml:space="preserve">in his capacity </w:t>
            </w:r>
            <w:r w:rsidR="00CA3D7D">
              <w:rPr>
                <w:lang w:val="en-CA"/>
              </w:rPr>
              <w:t>as</w:t>
            </w:r>
            <w:r w:rsidRPr="00CA3D7D">
              <w:rPr>
                <w:lang w:val="en-CA"/>
              </w:rPr>
              <w:t xml:space="preserve"> liquidator of the succession of Carole Marie Yolande Downer (</w:t>
            </w:r>
            <w:r w:rsidR="00CA3D7D" w:rsidRPr="00CA3D7D">
              <w:rPr>
                <w:lang w:val="en-CA"/>
              </w:rPr>
              <w:t>née</w:t>
            </w:r>
            <w:r w:rsidRPr="00CA3D7D">
              <w:rPr>
                <w:lang w:val="en-CA"/>
              </w:rPr>
              <w:t xml:space="preserve"> Debien</w:t>
            </w:r>
            <w:r w:rsidRPr="00017291">
              <w:rPr>
                <w:caps/>
                <w:lang w:val="en-CA"/>
              </w:rPr>
              <w:t>)</w:t>
            </w:r>
          </w:p>
          <w:p w14:paraId="3E1CEDE9" w14:textId="77777777" w:rsidR="00DD6D17" w:rsidRPr="00017291" w:rsidRDefault="00DD6D17" w:rsidP="00933C5F">
            <w:pPr>
              <w:pStyle w:val="zSoquijdatNomPartieDem"/>
              <w:tabs>
                <w:tab w:val="center" w:pos="2412"/>
              </w:tabs>
              <w:rPr>
                <w:lang w:val="en-CA"/>
              </w:rPr>
            </w:pPr>
          </w:p>
        </w:tc>
        <w:tc>
          <w:tcPr>
            <w:tcW w:w="4900" w:type="dxa"/>
          </w:tcPr>
          <w:p w14:paraId="76DFD6BD" w14:textId="77777777" w:rsidR="00DD6D17" w:rsidRPr="00017291" w:rsidRDefault="00DD6D17" w:rsidP="00933C5F">
            <w:pPr>
              <w:spacing w:line="240" w:lineRule="auto"/>
              <w:jc w:val="center"/>
              <w:rPr>
                <w:rFonts w:cs="Arial"/>
                <w:szCs w:val="24"/>
                <w:lang w:val="en-CA"/>
              </w:rPr>
            </w:pPr>
          </w:p>
          <w:p w14:paraId="043DFB5D" w14:textId="77777777" w:rsidR="00DD6D17" w:rsidRPr="00017291" w:rsidRDefault="00DD6D17" w:rsidP="00933C5F">
            <w:pPr>
              <w:pStyle w:val="zSoquijdatCabinetProcureurDem"/>
              <w:rPr>
                <w:lang w:val="en-CA"/>
              </w:rPr>
            </w:pPr>
          </w:p>
          <w:p w14:paraId="58E0C513" w14:textId="59A573E0" w:rsidR="00DD6D17" w:rsidRPr="00017291" w:rsidRDefault="00334F76" w:rsidP="00933C5F">
            <w:pPr>
              <w:pStyle w:val="zSoquijdatCabinetProcureurDem"/>
              <w:rPr>
                <w:lang w:val="en-CA"/>
              </w:rPr>
            </w:pPr>
            <w:r w:rsidRPr="00017291">
              <w:rPr>
                <w:lang w:val="en-CA"/>
              </w:rPr>
              <w:t xml:space="preserve">Mtre PATRYCJA NOWAKOWSKA </w:t>
            </w:r>
          </w:p>
          <w:p w14:paraId="41F53CC6" w14:textId="77777777" w:rsidR="00DD6D17" w:rsidRPr="00017291" w:rsidRDefault="00334F76" w:rsidP="00933C5F">
            <w:pPr>
              <w:pStyle w:val="zSoquijdatNomProcureurDem"/>
              <w:rPr>
                <w:lang w:val="en-CA"/>
              </w:rPr>
            </w:pPr>
            <w:r w:rsidRPr="00017291">
              <w:rPr>
                <w:i/>
                <w:lang w:val="en-CA"/>
              </w:rPr>
              <w:t>(Gravenor Beck)</w:t>
            </w:r>
          </w:p>
          <w:p w14:paraId="78294DB8" w14:textId="3562D0FD" w:rsidR="00DD6D17" w:rsidRPr="00017291" w:rsidRDefault="00334F76" w:rsidP="00933C5F">
            <w:pPr>
              <w:pStyle w:val="zSoquijdatNomProcureurDem"/>
              <w:rPr>
                <w:lang w:val="en-CA"/>
              </w:rPr>
            </w:pPr>
            <w:r w:rsidRPr="00017291">
              <w:rPr>
                <w:lang w:val="en-CA"/>
              </w:rPr>
              <w:t>Mtre Adam Eidelmann</w:t>
            </w:r>
          </w:p>
          <w:p w14:paraId="63978B38" w14:textId="127E2C43" w:rsidR="00DD6D17" w:rsidRPr="00017291" w:rsidRDefault="00334F76" w:rsidP="00933C5F">
            <w:pPr>
              <w:pStyle w:val="zSoquijdatCabinetProcureurDem"/>
              <w:rPr>
                <w:i/>
                <w:lang w:val="en-CA"/>
              </w:rPr>
            </w:pPr>
            <w:r w:rsidRPr="00017291">
              <w:rPr>
                <w:i/>
                <w:lang w:val="en-CA"/>
              </w:rPr>
              <w:t>(Eidelmann Avocat Inc.)</w:t>
            </w:r>
          </w:p>
          <w:p w14:paraId="47C4DB74" w14:textId="54CF58A7" w:rsidR="00DD6D17" w:rsidRPr="00017291" w:rsidRDefault="00334F76" w:rsidP="00933C5F">
            <w:pPr>
              <w:pStyle w:val="zSoquijdatCabinetProcureurDem"/>
              <w:rPr>
                <w:lang w:val="en-CA"/>
              </w:rPr>
            </w:pPr>
            <w:r w:rsidRPr="00017291">
              <w:rPr>
                <w:lang w:val="en-CA"/>
              </w:rPr>
              <w:t>Absent</w:t>
            </w:r>
          </w:p>
          <w:p w14:paraId="6623D17F" w14:textId="77777777" w:rsidR="00DD6D17" w:rsidRPr="00017291" w:rsidRDefault="00DD6D17" w:rsidP="00933C5F">
            <w:pPr>
              <w:spacing w:line="240" w:lineRule="auto"/>
              <w:jc w:val="center"/>
              <w:rPr>
                <w:rFonts w:cs="Arial"/>
                <w:szCs w:val="24"/>
                <w:lang w:val="en-CA"/>
              </w:rPr>
            </w:pPr>
          </w:p>
        </w:tc>
      </w:tr>
      <w:tr w:rsidR="007C67A4" w:rsidRPr="00017291" w14:paraId="0FC133B9" w14:textId="77777777" w:rsidTr="00933C5F">
        <w:tc>
          <w:tcPr>
            <w:tcW w:w="4455" w:type="dxa"/>
          </w:tcPr>
          <w:p w14:paraId="46FD3770" w14:textId="6C8486C3" w:rsidR="00DD6D17" w:rsidRPr="00017291" w:rsidRDefault="00334F76" w:rsidP="00933C5F">
            <w:pPr>
              <w:spacing w:before="40" w:after="40" w:line="240" w:lineRule="auto"/>
              <w:jc w:val="center"/>
              <w:rPr>
                <w:rFonts w:cs="Arial"/>
                <w:kern w:val="28"/>
                <w:szCs w:val="24"/>
                <w:lang w:val="en-CA"/>
              </w:rPr>
            </w:pPr>
            <w:r w:rsidRPr="00017291">
              <w:rPr>
                <w:rFonts w:cs="Arial"/>
                <w:kern w:val="28"/>
                <w:szCs w:val="24"/>
                <w:lang w:val="en-CA"/>
              </w:rPr>
              <w:t>RESPONDENT</w:t>
            </w:r>
          </w:p>
        </w:tc>
        <w:tc>
          <w:tcPr>
            <w:tcW w:w="4900" w:type="dxa"/>
            <w:vAlign w:val="center"/>
          </w:tcPr>
          <w:p w14:paraId="7B448C24" w14:textId="429A0589" w:rsidR="00DD6D17" w:rsidRPr="00017291" w:rsidRDefault="00334F76" w:rsidP="00933C5F">
            <w:pPr>
              <w:spacing w:before="40" w:after="40" w:line="240" w:lineRule="auto"/>
              <w:jc w:val="center"/>
              <w:rPr>
                <w:rFonts w:cs="Arial"/>
                <w:kern w:val="28"/>
                <w:szCs w:val="24"/>
                <w:lang w:val="en-CA"/>
              </w:rPr>
            </w:pPr>
            <w:r w:rsidRPr="00017291">
              <w:rPr>
                <w:rFonts w:cs="Arial"/>
                <w:kern w:val="28"/>
                <w:szCs w:val="24"/>
                <w:lang w:val="en-CA"/>
              </w:rPr>
              <w:t>COUNSEL</w:t>
            </w:r>
          </w:p>
        </w:tc>
      </w:tr>
      <w:tr w:rsidR="007C67A4" w:rsidRPr="00017291" w14:paraId="4CF4006E" w14:textId="77777777" w:rsidTr="00933C5F">
        <w:tc>
          <w:tcPr>
            <w:tcW w:w="4455" w:type="dxa"/>
          </w:tcPr>
          <w:p w14:paraId="01E9F064" w14:textId="77777777" w:rsidR="00DD6D17" w:rsidRPr="00017291" w:rsidRDefault="00DD6D17" w:rsidP="00933C5F">
            <w:pPr>
              <w:pStyle w:val="zSoquijdatNomPartieDef"/>
              <w:tabs>
                <w:tab w:val="center" w:pos="2412"/>
              </w:tabs>
              <w:rPr>
                <w:lang w:val="en-CA"/>
              </w:rPr>
            </w:pPr>
          </w:p>
          <w:p w14:paraId="06B7D7F1" w14:textId="24079657" w:rsidR="00DD6D17" w:rsidRPr="00017291" w:rsidRDefault="00334F76" w:rsidP="00933C5F">
            <w:pPr>
              <w:pStyle w:val="zSoquijdatNomPartieDef"/>
              <w:tabs>
                <w:tab w:val="center" w:pos="2412"/>
              </w:tabs>
              <w:rPr>
                <w:lang w:val="en-CA"/>
              </w:rPr>
            </w:pPr>
            <w:bookmarkStart w:id="2" w:name="Intimé"/>
            <w:bookmarkEnd w:id="2"/>
            <w:r w:rsidRPr="00017291">
              <w:rPr>
                <w:lang w:val="en-CA"/>
              </w:rPr>
              <w:t>ATTORNEY GENERAL OF QUEBEC</w:t>
            </w:r>
          </w:p>
        </w:tc>
        <w:tc>
          <w:tcPr>
            <w:tcW w:w="4900" w:type="dxa"/>
          </w:tcPr>
          <w:p w14:paraId="55E3E117" w14:textId="77777777" w:rsidR="00DD6D17" w:rsidRPr="00017291" w:rsidRDefault="00DD6D17" w:rsidP="00933C5F">
            <w:pPr>
              <w:spacing w:line="240" w:lineRule="auto"/>
              <w:jc w:val="center"/>
              <w:rPr>
                <w:rFonts w:cs="Arial"/>
                <w:szCs w:val="24"/>
                <w:lang w:val="en-CA"/>
              </w:rPr>
            </w:pPr>
          </w:p>
          <w:p w14:paraId="223F0418" w14:textId="4C544AE3" w:rsidR="00DD6D17" w:rsidRPr="00017291" w:rsidRDefault="00334F76" w:rsidP="00933C5F">
            <w:pPr>
              <w:pStyle w:val="zSoquijdatNomProcureurDef"/>
              <w:rPr>
                <w:lang w:val="en-CA"/>
              </w:rPr>
            </w:pPr>
            <w:r w:rsidRPr="00017291">
              <w:rPr>
                <w:lang w:val="en-CA"/>
              </w:rPr>
              <w:t>Mtre ALEXANDRA HODDER</w:t>
            </w:r>
          </w:p>
          <w:p w14:paraId="668CC19E" w14:textId="5252DA6F" w:rsidR="00DD6D17" w:rsidRPr="00017291" w:rsidRDefault="00334F76" w:rsidP="00933C5F">
            <w:pPr>
              <w:pStyle w:val="zSoquijdatCabinetProcureurDef"/>
              <w:rPr>
                <w:i/>
                <w:lang w:val="en-CA"/>
              </w:rPr>
            </w:pPr>
            <w:r w:rsidRPr="00017291">
              <w:rPr>
                <w:i/>
                <w:lang w:val="en-CA"/>
              </w:rPr>
              <w:t>(Bernard, Roy (Justice-Québec))</w:t>
            </w:r>
          </w:p>
          <w:p w14:paraId="40ECAD61" w14:textId="77777777" w:rsidR="00DD6D17" w:rsidRPr="00017291" w:rsidRDefault="00DD6D17" w:rsidP="00933C5F">
            <w:pPr>
              <w:spacing w:line="240" w:lineRule="auto"/>
              <w:jc w:val="center"/>
              <w:rPr>
                <w:rFonts w:cs="Arial"/>
                <w:szCs w:val="24"/>
                <w:lang w:val="en-CA"/>
              </w:rPr>
            </w:pPr>
            <w:bookmarkStart w:id="3" w:name="Présent_int"/>
            <w:bookmarkEnd w:id="3"/>
          </w:p>
          <w:p w14:paraId="52C43A0E" w14:textId="77777777" w:rsidR="00DD6D17" w:rsidRPr="00017291" w:rsidRDefault="00DD6D17" w:rsidP="00933C5F">
            <w:pPr>
              <w:spacing w:line="240" w:lineRule="auto"/>
              <w:jc w:val="center"/>
              <w:rPr>
                <w:rFonts w:cs="Arial"/>
                <w:szCs w:val="24"/>
                <w:lang w:val="en-CA"/>
              </w:rPr>
            </w:pPr>
          </w:p>
        </w:tc>
      </w:tr>
      <w:tr w:rsidR="007C67A4" w:rsidRPr="00017291" w14:paraId="603EB010" w14:textId="77777777" w:rsidTr="00933C5F">
        <w:tc>
          <w:tcPr>
            <w:tcW w:w="4455" w:type="dxa"/>
            <w:vAlign w:val="center"/>
          </w:tcPr>
          <w:p w14:paraId="47C15187" w14:textId="49DCCB2B" w:rsidR="00DD6D17" w:rsidRPr="00017291" w:rsidRDefault="00334F76" w:rsidP="00933C5F">
            <w:pPr>
              <w:spacing w:before="40" w:after="40" w:line="240" w:lineRule="auto"/>
              <w:jc w:val="center"/>
              <w:rPr>
                <w:rFonts w:cs="Arial"/>
                <w:kern w:val="28"/>
                <w:szCs w:val="24"/>
                <w:lang w:val="en-CA"/>
              </w:rPr>
            </w:pPr>
            <w:r w:rsidRPr="00017291">
              <w:rPr>
                <w:rFonts w:cs="Arial"/>
                <w:kern w:val="28"/>
                <w:szCs w:val="24"/>
                <w:lang w:val="en-CA"/>
              </w:rPr>
              <w:t>IMPLEADED PARTY</w:t>
            </w:r>
          </w:p>
        </w:tc>
        <w:tc>
          <w:tcPr>
            <w:tcW w:w="4900" w:type="dxa"/>
            <w:vAlign w:val="center"/>
          </w:tcPr>
          <w:p w14:paraId="5E619284" w14:textId="469C3E96" w:rsidR="00DD6D17" w:rsidRPr="00017291" w:rsidRDefault="00334F76" w:rsidP="00933C5F">
            <w:pPr>
              <w:framePr w:hSpace="141" w:wrap="around" w:vAnchor="text" w:hAnchor="text" w:y="1"/>
              <w:spacing w:before="40" w:after="40" w:line="240" w:lineRule="auto"/>
              <w:suppressOverlap/>
              <w:jc w:val="center"/>
              <w:rPr>
                <w:rFonts w:cs="Arial"/>
                <w:kern w:val="28"/>
                <w:szCs w:val="24"/>
                <w:lang w:val="en-CA"/>
              </w:rPr>
            </w:pPr>
            <w:r w:rsidRPr="00017291">
              <w:rPr>
                <w:rFonts w:cs="Arial"/>
                <w:kern w:val="28"/>
                <w:szCs w:val="24"/>
                <w:lang w:val="en-CA"/>
              </w:rPr>
              <w:t>COUNSEL</w:t>
            </w:r>
          </w:p>
        </w:tc>
      </w:tr>
      <w:tr w:rsidR="007C67A4" w:rsidRPr="00017291" w14:paraId="282F19AE" w14:textId="77777777" w:rsidTr="00933C5F">
        <w:tc>
          <w:tcPr>
            <w:tcW w:w="4455" w:type="dxa"/>
          </w:tcPr>
          <w:p w14:paraId="5FF5350B" w14:textId="77777777" w:rsidR="00DD6D17" w:rsidRPr="0028360A" w:rsidRDefault="00DD6D17" w:rsidP="00933C5F">
            <w:pPr>
              <w:pStyle w:val="zSoquijdatNomPartieMec"/>
            </w:pPr>
          </w:p>
          <w:p w14:paraId="5D00E207" w14:textId="4291B846" w:rsidR="00DD6D17" w:rsidRPr="0028360A" w:rsidRDefault="00334F76" w:rsidP="00933C5F">
            <w:pPr>
              <w:pStyle w:val="zSoquijdatNomPartieMec"/>
              <w:tabs>
                <w:tab w:val="center" w:pos="2322"/>
              </w:tabs>
            </w:pPr>
            <w:bookmarkStart w:id="4" w:name="MeC"/>
            <w:bookmarkEnd w:id="4"/>
            <w:r w:rsidRPr="0028360A">
              <w:rPr>
                <w:caps/>
              </w:rPr>
              <w:t>Société de l'assurance automobile du Québec</w:t>
            </w:r>
          </w:p>
        </w:tc>
        <w:tc>
          <w:tcPr>
            <w:tcW w:w="4900" w:type="dxa"/>
          </w:tcPr>
          <w:p w14:paraId="05EC0A20" w14:textId="77777777" w:rsidR="00DD6D17" w:rsidRPr="0028360A" w:rsidRDefault="00DD6D17" w:rsidP="00933C5F">
            <w:pPr>
              <w:spacing w:line="240" w:lineRule="auto"/>
              <w:jc w:val="center"/>
              <w:rPr>
                <w:rFonts w:cs="Arial"/>
                <w:szCs w:val="24"/>
              </w:rPr>
            </w:pPr>
          </w:p>
          <w:p w14:paraId="4B4D3076" w14:textId="712A6CA3" w:rsidR="00DD6D17" w:rsidRPr="0028360A" w:rsidRDefault="00334F76" w:rsidP="00933C5F">
            <w:pPr>
              <w:pStyle w:val="zSoquijdatNomProcureurMec"/>
              <w:rPr>
                <w:caps/>
              </w:rPr>
            </w:pPr>
            <w:r w:rsidRPr="0028360A">
              <w:t>Mtre Édith-Geneviève Giasson</w:t>
            </w:r>
          </w:p>
          <w:p w14:paraId="6B48F99A" w14:textId="43E5F71A" w:rsidR="00DD6D17" w:rsidRPr="0028360A" w:rsidRDefault="00334F76" w:rsidP="00933C5F">
            <w:pPr>
              <w:pStyle w:val="zSoquijdatNomProcureurMec"/>
            </w:pPr>
            <w:r w:rsidRPr="0028360A">
              <w:t>Mtre MÉLANIE LÉTOURNEAU</w:t>
            </w:r>
          </w:p>
          <w:p w14:paraId="699C87DF" w14:textId="77777777" w:rsidR="00DD6D17" w:rsidRPr="00017291" w:rsidRDefault="00334F76" w:rsidP="00933C5F">
            <w:pPr>
              <w:pStyle w:val="zSoquijdatNomProcureurMec"/>
              <w:rPr>
                <w:lang w:val="en-CA"/>
              </w:rPr>
            </w:pPr>
            <w:r w:rsidRPr="00017291">
              <w:rPr>
                <w:lang w:val="en-CA"/>
              </w:rPr>
              <w:t>(</w:t>
            </w:r>
            <w:bookmarkStart w:id="5" w:name="Bureau_Avocat_MeC"/>
            <w:r w:rsidRPr="00017291">
              <w:rPr>
                <w:i/>
                <w:lang w:val="en-CA"/>
              </w:rPr>
              <w:t>Boisvert Gauthier</w:t>
            </w:r>
            <w:bookmarkEnd w:id="5"/>
            <w:r w:rsidRPr="00017291">
              <w:rPr>
                <w:lang w:val="en-CA"/>
              </w:rPr>
              <w:t>)</w:t>
            </w:r>
            <w:bookmarkStart w:id="6" w:name="Présent_MEC"/>
            <w:bookmarkEnd w:id="6"/>
          </w:p>
          <w:p w14:paraId="35156AD3" w14:textId="4B4341C5" w:rsidR="005C6799" w:rsidRPr="00017291" w:rsidRDefault="00334F76" w:rsidP="00933C5F">
            <w:pPr>
              <w:pStyle w:val="zSoquijdatNomProcureurMec"/>
              <w:rPr>
                <w:lang w:val="en-CA"/>
              </w:rPr>
            </w:pPr>
            <w:r w:rsidRPr="00017291">
              <w:rPr>
                <w:lang w:val="en-CA"/>
              </w:rPr>
              <w:t>Absent</w:t>
            </w:r>
          </w:p>
          <w:p w14:paraId="11B00150" w14:textId="77777777" w:rsidR="00DD6D17" w:rsidRPr="00017291" w:rsidRDefault="00DD6D17" w:rsidP="00933C5F">
            <w:pPr>
              <w:spacing w:line="240" w:lineRule="auto"/>
              <w:jc w:val="center"/>
              <w:rPr>
                <w:rFonts w:cs="Arial"/>
                <w:szCs w:val="24"/>
                <w:lang w:val="en-CA"/>
              </w:rPr>
            </w:pPr>
          </w:p>
        </w:tc>
      </w:tr>
    </w:tbl>
    <w:p w14:paraId="31F8E3DB" w14:textId="77777777" w:rsidR="00DD6D17" w:rsidRPr="00017291" w:rsidRDefault="00DD6D17" w:rsidP="00DD6D17">
      <w:pPr>
        <w:spacing w:line="240" w:lineRule="auto"/>
        <w:jc w:val="both"/>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9360"/>
      </w:tblGrid>
      <w:tr w:rsidR="007C67A4" w:rsidRPr="0028360A" w14:paraId="18B51025" w14:textId="77777777" w:rsidTr="00933C5F">
        <w:tc>
          <w:tcPr>
            <w:tcW w:w="9450" w:type="dxa"/>
          </w:tcPr>
          <w:p w14:paraId="344A1284" w14:textId="02EFC1BD" w:rsidR="00DD6D17" w:rsidRPr="00017291" w:rsidRDefault="00334F76" w:rsidP="00933C5F">
            <w:pPr>
              <w:spacing w:line="240" w:lineRule="auto"/>
              <w:ind w:left="-108"/>
              <w:jc w:val="both"/>
              <w:rPr>
                <w:lang w:val="en-CA"/>
              </w:rPr>
            </w:pPr>
            <w:bookmarkStart w:id="7" w:name="District"/>
            <w:bookmarkEnd w:id="7"/>
            <w:r w:rsidRPr="00017291">
              <w:rPr>
                <w:lang w:val="en-CA"/>
              </w:rPr>
              <w:t>On appeal from a judgment rendered on April 5, 2019, by the Honourable Guylène Beaugé of the Superior Court, District of Beauharnois.</w:t>
            </w:r>
          </w:p>
        </w:tc>
      </w:tr>
    </w:tbl>
    <w:p w14:paraId="75392C23" w14:textId="77777777" w:rsidR="00DD6D17" w:rsidRPr="00017291" w:rsidRDefault="00DD6D17" w:rsidP="00DD6D17">
      <w:pPr>
        <w:spacing w:line="240" w:lineRule="auto"/>
        <w:jc w:val="both"/>
        <w:rPr>
          <w:rFonts w:cs="Arial"/>
          <w:szCs w:val="24"/>
          <w:lang w:val="en-CA"/>
        </w:rPr>
      </w:pPr>
    </w:p>
    <w:p w14:paraId="2D5F2C9B" w14:textId="77777777" w:rsidR="00DD6D17" w:rsidRPr="00017291" w:rsidRDefault="00DD6D17" w:rsidP="00DD6D17">
      <w:pPr>
        <w:spacing w:line="240" w:lineRule="auto"/>
        <w:jc w:val="both"/>
        <w:rPr>
          <w:rFonts w:cs="Arial"/>
          <w:szCs w:val="24"/>
          <w:lang w:val="en-CA"/>
        </w:rPr>
      </w:pPr>
    </w:p>
    <w:p w14:paraId="373F13BF" w14:textId="77777777" w:rsidR="00DD6D17" w:rsidRPr="00017291" w:rsidRDefault="00DD6D17" w:rsidP="00DD6D17">
      <w:pPr>
        <w:spacing w:line="240" w:lineRule="auto"/>
        <w:jc w:val="both"/>
        <w:rPr>
          <w:rFonts w:cs="Arial"/>
          <w:szCs w:val="24"/>
          <w:lang w:val="en-CA"/>
        </w:rPr>
      </w:pPr>
    </w:p>
    <w:tbl>
      <w:tblPr>
        <w:tblStyle w:val="Grilledutableau1"/>
        <w:tblW w:w="9360" w:type="dxa"/>
        <w:tblBorders>
          <w:top w:val="none" w:sz="0" w:space="0" w:color="auto"/>
          <w:bottom w:val="none" w:sz="0" w:space="0" w:color="auto"/>
        </w:tblBorders>
        <w:tblLook w:val="04A0" w:firstRow="1" w:lastRow="0" w:firstColumn="1" w:lastColumn="0" w:noHBand="0" w:noVBand="1"/>
      </w:tblPr>
      <w:tblGrid>
        <w:gridCol w:w="2790"/>
        <w:gridCol w:w="6570"/>
      </w:tblGrid>
      <w:tr w:rsidR="007C67A4" w:rsidRPr="0028360A" w14:paraId="64A74613" w14:textId="77777777" w:rsidTr="00933C5F">
        <w:tc>
          <w:tcPr>
            <w:tcW w:w="2790" w:type="dxa"/>
            <w:shd w:val="clear" w:color="auto" w:fill="auto"/>
          </w:tcPr>
          <w:p w14:paraId="09E54D46" w14:textId="602B3548" w:rsidR="00DD6D17" w:rsidRPr="00017291" w:rsidRDefault="00334F76" w:rsidP="00933C5F">
            <w:pPr>
              <w:spacing w:line="240" w:lineRule="auto"/>
              <w:ind w:left="-108"/>
              <w:jc w:val="both"/>
              <w:rPr>
                <w:rFonts w:cs="Arial"/>
                <w:kern w:val="28"/>
                <w:szCs w:val="24"/>
                <w:lang w:val="en-CA"/>
              </w:rPr>
            </w:pPr>
            <w:r w:rsidRPr="00017291">
              <w:rPr>
                <w:rFonts w:cs="Arial"/>
                <w:kern w:val="28"/>
                <w:szCs w:val="24"/>
                <w:lang w:val="en-CA"/>
              </w:rPr>
              <w:t>NATURE OF APPEAL:</w:t>
            </w:r>
          </w:p>
        </w:tc>
        <w:tc>
          <w:tcPr>
            <w:tcW w:w="6570" w:type="dxa"/>
            <w:vAlign w:val="center"/>
          </w:tcPr>
          <w:p w14:paraId="3CD22376" w14:textId="2915ADE3" w:rsidR="00DD6D17" w:rsidRPr="00017291" w:rsidRDefault="00414463" w:rsidP="00933C5F">
            <w:pPr>
              <w:spacing w:line="240" w:lineRule="auto"/>
              <w:jc w:val="both"/>
              <w:rPr>
                <w:rFonts w:cs="Arial"/>
                <w:b/>
                <w:kern w:val="28"/>
                <w:szCs w:val="24"/>
                <w:lang w:val="en-CA"/>
              </w:rPr>
            </w:pPr>
            <w:bookmarkStart w:id="8" w:name="Nature"/>
            <w:bookmarkEnd w:id="8"/>
            <w:r w:rsidRPr="00017291">
              <w:rPr>
                <w:rFonts w:cs="Arial"/>
                <w:b/>
                <w:kern w:val="28"/>
                <w:szCs w:val="24"/>
                <w:lang w:val="en-CA"/>
              </w:rPr>
              <w:t xml:space="preserve">Application to dismiss an action for punitive damages allowed by the Superior Court - </w:t>
            </w:r>
            <w:r w:rsidR="00CA3D7D">
              <w:rPr>
                <w:rFonts w:cs="Arial"/>
                <w:b/>
                <w:kern w:val="28"/>
                <w:szCs w:val="24"/>
                <w:lang w:val="en-CA"/>
              </w:rPr>
              <w:t>A</w:t>
            </w:r>
            <w:r w:rsidRPr="00017291">
              <w:rPr>
                <w:rFonts w:cs="Arial"/>
                <w:b/>
                <w:kern w:val="28"/>
                <w:szCs w:val="24"/>
                <w:lang w:val="en-CA"/>
              </w:rPr>
              <w:t>utomobile accident.</w:t>
            </w:r>
          </w:p>
        </w:tc>
      </w:tr>
    </w:tbl>
    <w:p w14:paraId="00382970" w14:textId="77777777" w:rsidR="00DD6D17" w:rsidRPr="00017291" w:rsidRDefault="00DD6D17" w:rsidP="00DD6D17">
      <w:pPr>
        <w:spacing w:line="240" w:lineRule="auto"/>
        <w:jc w:val="both"/>
        <w:rPr>
          <w:rFonts w:cs="Arial"/>
          <w:szCs w:val="24"/>
          <w:lang w:val="en-CA"/>
        </w:rPr>
      </w:pPr>
    </w:p>
    <w:tbl>
      <w:tblPr>
        <w:tblW w:w="936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930"/>
        <w:gridCol w:w="4430"/>
      </w:tblGrid>
      <w:tr w:rsidR="007C67A4" w:rsidRPr="00017291" w14:paraId="1408B535" w14:textId="77777777" w:rsidTr="00933C5F">
        <w:trPr>
          <w:cantSplit/>
          <w:trHeight w:val="397"/>
        </w:trPr>
        <w:tc>
          <w:tcPr>
            <w:tcW w:w="4930" w:type="dxa"/>
            <w:tcBorders>
              <w:top w:val="single" w:sz="4" w:space="0" w:color="auto"/>
              <w:bottom w:val="single" w:sz="4" w:space="0" w:color="auto"/>
              <w:right w:val="single" w:sz="4" w:space="0" w:color="auto"/>
            </w:tcBorders>
            <w:vAlign w:val="center"/>
          </w:tcPr>
          <w:p w14:paraId="059A5BB3" w14:textId="26BE8C55" w:rsidR="00DD6D17" w:rsidRPr="00017291" w:rsidRDefault="00334F76" w:rsidP="00DD6D17">
            <w:pPr>
              <w:spacing w:before="120" w:after="120" w:line="240" w:lineRule="auto"/>
              <w:rPr>
                <w:rFonts w:cs="Arial"/>
                <w:szCs w:val="24"/>
                <w:lang w:val="en-CA"/>
              </w:rPr>
            </w:pPr>
            <w:bookmarkStart w:id="9" w:name="Greffier"/>
            <w:bookmarkEnd w:id="9"/>
            <w:r w:rsidRPr="00017291">
              <w:rPr>
                <w:rFonts w:cs="Arial"/>
                <w:szCs w:val="24"/>
                <w:lang w:val="en-CA"/>
              </w:rPr>
              <w:t>Court clerk: Élisabeth Lepage</w:t>
            </w:r>
          </w:p>
        </w:tc>
        <w:tc>
          <w:tcPr>
            <w:tcW w:w="4430" w:type="dxa"/>
            <w:tcBorders>
              <w:left w:val="single" w:sz="4" w:space="0" w:color="auto"/>
            </w:tcBorders>
            <w:vAlign w:val="center"/>
          </w:tcPr>
          <w:p w14:paraId="0DBC8360" w14:textId="4A76A81F" w:rsidR="00DD6D17" w:rsidRPr="00017291" w:rsidRDefault="00334F76" w:rsidP="00933C5F">
            <w:pPr>
              <w:spacing w:line="240" w:lineRule="auto"/>
              <w:jc w:val="both"/>
              <w:rPr>
                <w:rFonts w:eastAsiaTheme="minorHAnsi" w:cs="Arial"/>
                <w:szCs w:val="24"/>
                <w:lang w:val="en-CA" w:eastAsia="en-US"/>
              </w:rPr>
            </w:pPr>
            <w:r w:rsidRPr="00017291">
              <w:rPr>
                <w:rFonts w:cs="Arial"/>
                <w:szCs w:val="24"/>
                <w:lang w:val="en-CA"/>
              </w:rPr>
              <w:t>Courtroom: Pierre-Basile-Mignault</w:t>
            </w:r>
            <w:r w:rsidRPr="00017291">
              <w:rPr>
                <w:rFonts w:cs="Arial"/>
                <w:szCs w:val="24"/>
                <w:lang w:val="en-CA"/>
              </w:rPr>
              <w:fldChar w:fldCharType="begin"/>
            </w:r>
            <w:r w:rsidRPr="00017291">
              <w:rPr>
                <w:rFonts w:cs="Arial"/>
                <w:szCs w:val="24"/>
                <w:lang w:val="en-CA"/>
              </w:rPr>
              <w:instrText xml:space="preserve">  </w:instrText>
            </w:r>
            <w:r w:rsidRPr="00017291">
              <w:rPr>
                <w:rFonts w:cs="Arial"/>
                <w:szCs w:val="24"/>
                <w:lang w:val="en-CA"/>
              </w:rPr>
              <w:fldChar w:fldCharType="end"/>
            </w:r>
          </w:p>
        </w:tc>
      </w:tr>
    </w:tbl>
    <w:p w14:paraId="2D1C6FCF" w14:textId="77777777" w:rsidR="00DD6D17" w:rsidRPr="00017291" w:rsidRDefault="00DD6D17" w:rsidP="00DD6D17">
      <w:pPr>
        <w:spacing w:line="240" w:lineRule="auto"/>
        <w:jc w:val="both"/>
        <w:rPr>
          <w:rFonts w:cs="Arial"/>
          <w:szCs w:val="24"/>
          <w:lang w:val="en-CA"/>
        </w:rPr>
      </w:pPr>
    </w:p>
    <w:p w14:paraId="36FA2736" w14:textId="77777777" w:rsidR="00E06061" w:rsidRPr="00017291" w:rsidRDefault="00E06061" w:rsidP="00887EEB">
      <w:pPr>
        <w:spacing w:line="240" w:lineRule="auto"/>
        <w:jc w:val="both"/>
        <w:rPr>
          <w:rFonts w:cs="Arial"/>
          <w:szCs w:val="24"/>
          <w:lang w:val="en-CA"/>
        </w:rPr>
      </w:pPr>
    </w:p>
    <w:p w14:paraId="35BF1DFE" w14:textId="77777777" w:rsidR="0081523C" w:rsidRPr="00017291" w:rsidRDefault="0081523C" w:rsidP="00887EEB">
      <w:pPr>
        <w:spacing w:line="240" w:lineRule="auto"/>
        <w:jc w:val="both"/>
        <w:rPr>
          <w:rFonts w:cs="Arial"/>
          <w:szCs w:val="24"/>
          <w:lang w:val="en-CA"/>
        </w:rPr>
      </w:pPr>
    </w:p>
    <w:p w14:paraId="7FEE737C" w14:textId="77777777" w:rsidR="0081523C" w:rsidRPr="00017291" w:rsidRDefault="0081523C" w:rsidP="00887EEB">
      <w:pPr>
        <w:spacing w:line="240" w:lineRule="auto"/>
        <w:jc w:val="both"/>
        <w:rPr>
          <w:rFonts w:cs="Arial"/>
          <w:szCs w:val="24"/>
          <w:lang w:val="en-CA"/>
        </w:rPr>
      </w:pPr>
    </w:p>
    <w:p w14:paraId="79D1508F" w14:textId="77777777" w:rsidR="0081523C" w:rsidRPr="00017291" w:rsidRDefault="0081523C" w:rsidP="00887EEB">
      <w:pPr>
        <w:spacing w:line="240" w:lineRule="auto"/>
        <w:jc w:val="both"/>
        <w:rPr>
          <w:rFonts w:cs="Arial"/>
          <w:szCs w:val="24"/>
          <w:lang w:val="en-CA"/>
        </w:rPr>
      </w:pPr>
    </w:p>
    <w:p w14:paraId="6E0C692B" w14:textId="77777777" w:rsidR="0081523C" w:rsidRPr="00017291" w:rsidRDefault="0081523C" w:rsidP="00887EEB">
      <w:pPr>
        <w:spacing w:line="240" w:lineRule="auto"/>
        <w:jc w:val="both"/>
        <w:rPr>
          <w:rFonts w:cs="Arial"/>
          <w:szCs w:val="24"/>
          <w:lang w:val="en-CA"/>
        </w:rPr>
      </w:pPr>
    </w:p>
    <w:p w14:paraId="6D2B9420" w14:textId="77777777" w:rsidR="0081523C" w:rsidRPr="00017291" w:rsidRDefault="0081523C" w:rsidP="00887EEB">
      <w:pPr>
        <w:spacing w:line="240" w:lineRule="auto"/>
        <w:jc w:val="both"/>
        <w:rPr>
          <w:rFonts w:cs="Arial"/>
          <w:szCs w:val="24"/>
          <w:lang w:val="en-CA"/>
        </w:rPr>
      </w:pPr>
    </w:p>
    <w:p w14:paraId="3BDE730E" w14:textId="77777777" w:rsidR="0081523C" w:rsidRPr="00017291" w:rsidRDefault="0081523C" w:rsidP="00887EEB">
      <w:pPr>
        <w:spacing w:line="240" w:lineRule="auto"/>
        <w:jc w:val="both"/>
        <w:rPr>
          <w:rFonts w:cs="Arial"/>
          <w:szCs w:val="24"/>
          <w:lang w:val="en-CA"/>
        </w:rPr>
      </w:pPr>
    </w:p>
    <w:p w14:paraId="5FF0BB6C" w14:textId="77777777" w:rsidR="0081523C" w:rsidRPr="00017291" w:rsidRDefault="0081523C" w:rsidP="00887EEB">
      <w:pPr>
        <w:spacing w:line="240" w:lineRule="auto"/>
        <w:jc w:val="both"/>
        <w:rPr>
          <w:rFonts w:cs="Arial"/>
          <w:szCs w:val="24"/>
          <w:lang w:val="en-CA"/>
        </w:rPr>
      </w:pPr>
    </w:p>
    <w:p w14:paraId="3153082F" w14:textId="77777777" w:rsidR="0081523C" w:rsidRPr="00017291" w:rsidRDefault="0081523C" w:rsidP="00887EEB">
      <w:pPr>
        <w:spacing w:line="240" w:lineRule="auto"/>
        <w:jc w:val="both"/>
        <w:rPr>
          <w:rFonts w:cs="Arial"/>
          <w:szCs w:val="24"/>
          <w:lang w:val="en-CA"/>
        </w:rPr>
      </w:pPr>
    </w:p>
    <w:p w14:paraId="596DC6C5" w14:textId="77777777" w:rsidR="0081523C" w:rsidRPr="00017291" w:rsidRDefault="0081523C" w:rsidP="00887EEB">
      <w:pPr>
        <w:spacing w:line="240" w:lineRule="auto"/>
        <w:jc w:val="both"/>
        <w:rPr>
          <w:rFonts w:cs="Arial"/>
          <w:szCs w:val="24"/>
          <w:lang w:val="en-CA"/>
        </w:rPr>
      </w:pPr>
    </w:p>
    <w:p w14:paraId="636F4948" w14:textId="77777777" w:rsidR="0081523C" w:rsidRPr="00017291" w:rsidRDefault="0081523C" w:rsidP="00887EEB">
      <w:pPr>
        <w:spacing w:line="240" w:lineRule="auto"/>
        <w:jc w:val="both"/>
        <w:rPr>
          <w:rFonts w:cs="Arial"/>
          <w:szCs w:val="24"/>
          <w:lang w:val="en-CA"/>
        </w:rPr>
      </w:pPr>
    </w:p>
    <w:p w14:paraId="3F5B4791" w14:textId="77777777" w:rsidR="0081523C" w:rsidRPr="00017291" w:rsidRDefault="0081523C" w:rsidP="00887EEB">
      <w:pPr>
        <w:spacing w:line="240" w:lineRule="auto"/>
        <w:jc w:val="both"/>
        <w:rPr>
          <w:rFonts w:cs="Arial"/>
          <w:szCs w:val="24"/>
          <w:lang w:val="en-CA"/>
        </w:rPr>
      </w:pPr>
    </w:p>
    <w:p w14:paraId="2BD55B8C" w14:textId="77777777" w:rsidR="0081523C" w:rsidRPr="00017291" w:rsidRDefault="0081523C" w:rsidP="00887EEB">
      <w:pPr>
        <w:spacing w:line="240" w:lineRule="auto"/>
        <w:jc w:val="both"/>
        <w:rPr>
          <w:rFonts w:cs="Arial"/>
          <w:szCs w:val="24"/>
          <w:lang w:val="en-CA"/>
        </w:rPr>
      </w:pPr>
    </w:p>
    <w:p w14:paraId="3325C37B" w14:textId="77777777" w:rsidR="0081523C" w:rsidRPr="00017291" w:rsidRDefault="0081523C" w:rsidP="00887EEB">
      <w:pPr>
        <w:spacing w:line="240" w:lineRule="auto"/>
        <w:jc w:val="both"/>
        <w:rPr>
          <w:rFonts w:cs="Arial"/>
          <w:szCs w:val="24"/>
          <w:lang w:val="en-CA"/>
        </w:rPr>
      </w:pPr>
    </w:p>
    <w:p w14:paraId="4AC9134F" w14:textId="77777777" w:rsidR="0081523C" w:rsidRPr="00017291" w:rsidRDefault="0081523C" w:rsidP="00887EEB">
      <w:pPr>
        <w:spacing w:line="240" w:lineRule="auto"/>
        <w:jc w:val="both"/>
        <w:rPr>
          <w:rFonts w:cs="Arial"/>
          <w:szCs w:val="24"/>
          <w:lang w:val="en-CA"/>
        </w:rPr>
      </w:pPr>
    </w:p>
    <w:p w14:paraId="1EF69E6F" w14:textId="77777777" w:rsidR="0081523C" w:rsidRPr="00017291" w:rsidRDefault="0081523C" w:rsidP="00887EEB">
      <w:pPr>
        <w:spacing w:line="240" w:lineRule="auto"/>
        <w:jc w:val="both"/>
        <w:rPr>
          <w:rFonts w:cs="Arial"/>
          <w:szCs w:val="24"/>
          <w:lang w:val="en-CA"/>
        </w:rPr>
      </w:pPr>
    </w:p>
    <w:p w14:paraId="7628CEE7" w14:textId="77777777" w:rsidR="0081523C" w:rsidRPr="00017291" w:rsidRDefault="0081523C" w:rsidP="00887EEB">
      <w:pPr>
        <w:spacing w:line="240" w:lineRule="auto"/>
        <w:jc w:val="both"/>
        <w:rPr>
          <w:rFonts w:cs="Arial"/>
          <w:szCs w:val="24"/>
          <w:lang w:val="en-CA"/>
        </w:rPr>
      </w:pPr>
    </w:p>
    <w:p w14:paraId="1696782B" w14:textId="77777777" w:rsidR="0081523C" w:rsidRPr="00017291" w:rsidRDefault="0081523C" w:rsidP="00887EEB">
      <w:pPr>
        <w:spacing w:line="240" w:lineRule="auto"/>
        <w:jc w:val="both"/>
        <w:rPr>
          <w:rFonts w:cs="Arial"/>
          <w:szCs w:val="24"/>
          <w:lang w:val="en-CA"/>
        </w:rPr>
      </w:pPr>
    </w:p>
    <w:p w14:paraId="258CD407" w14:textId="77777777" w:rsidR="0081523C" w:rsidRPr="00017291" w:rsidRDefault="0081523C" w:rsidP="00887EEB">
      <w:pPr>
        <w:spacing w:line="240" w:lineRule="auto"/>
        <w:jc w:val="both"/>
        <w:rPr>
          <w:rFonts w:cs="Arial"/>
          <w:szCs w:val="24"/>
          <w:lang w:val="en-CA"/>
        </w:rPr>
      </w:pPr>
    </w:p>
    <w:p w14:paraId="26AED22F" w14:textId="77777777" w:rsidR="0081523C" w:rsidRPr="00017291" w:rsidRDefault="0081523C" w:rsidP="00887EEB">
      <w:pPr>
        <w:spacing w:line="240" w:lineRule="auto"/>
        <w:jc w:val="both"/>
        <w:rPr>
          <w:rFonts w:cs="Arial"/>
          <w:szCs w:val="24"/>
          <w:lang w:val="en-CA"/>
        </w:rPr>
      </w:pPr>
    </w:p>
    <w:p w14:paraId="1BC20D0C" w14:textId="77777777" w:rsidR="0081523C" w:rsidRPr="00017291" w:rsidRDefault="0081523C" w:rsidP="00887EEB">
      <w:pPr>
        <w:spacing w:line="240" w:lineRule="auto"/>
        <w:jc w:val="both"/>
        <w:rPr>
          <w:rFonts w:cs="Arial"/>
          <w:szCs w:val="24"/>
          <w:lang w:val="en-CA"/>
        </w:rPr>
      </w:pPr>
    </w:p>
    <w:p w14:paraId="7E7B5322" w14:textId="77777777" w:rsidR="0081523C" w:rsidRPr="00017291" w:rsidRDefault="0081523C" w:rsidP="00887EEB">
      <w:pPr>
        <w:spacing w:line="240" w:lineRule="auto"/>
        <w:jc w:val="both"/>
        <w:rPr>
          <w:rFonts w:cs="Arial"/>
          <w:szCs w:val="24"/>
          <w:lang w:val="en-CA"/>
        </w:rPr>
      </w:pPr>
    </w:p>
    <w:p w14:paraId="5C312E05" w14:textId="77777777" w:rsidR="0081523C" w:rsidRPr="00017291" w:rsidRDefault="0081523C" w:rsidP="00887EEB">
      <w:pPr>
        <w:spacing w:line="240" w:lineRule="auto"/>
        <w:jc w:val="both"/>
        <w:rPr>
          <w:rFonts w:cs="Arial"/>
          <w:szCs w:val="24"/>
          <w:lang w:val="en-CA"/>
        </w:rPr>
      </w:pPr>
    </w:p>
    <w:p w14:paraId="65BF5A98" w14:textId="77777777" w:rsidR="0081523C" w:rsidRPr="00017291" w:rsidRDefault="0081523C" w:rsidP="00887EEB">
      <w:pPr>
        <w:spacing w:line="240" w:lineRule="auto"/>
        <w:jc w:val="both"/>
        <w:rPr>
          <w:rFonts w:cs="Arial"/>
          <w:szCs w:val="24"/>
          <w:lang w:val="en-CA"/>
        </w:rPr>
      </w:pPr>
    </w:p>
    <w:p w14:paraId="79035ED1" w14:textId="77777777" w:rsidR="0081523C" w:rsidRPr="00017291" w:rsidRDefault="0081523C" w:rsidP="00887EEB">
      <w:pPr>
        <w:spacing w:line="240" w:lineRule="auto"/>
        <w:jc w:val="both"/>
        <w:rPr>
          <w:rFonts w:cs="Arial"/>
          <w:szCs w:val="24"/>
          <w:lang w:val="en-CA"/>
        </w:rPr>
      </w:pPr>
    </w:p>
    <w:p w14:paraId="115983D2" w14:textId="77777777" w:rsidR="0081523C" w:rsidRPr="00017291" w:rsidRDefault="0081523C" w:rsidP="00887EEB">
      <w:pPr>
        <w:spacing w:line="240" w:lineRule="auto"/>
        <w:jc w:val="both"/>
        <w:rPr>
          <w:rFonts w:cs="Arial"/>
          <w:szCs w:val="24"/>
          <w:lang w:val="en-CA"/>
        </w:rPr>
      </w:pPr>
    </w:p>
    <w:p w14:paraId="3222C790" w14:textId="77777777" w:rsidR="0081523C" w:rsidRPr="00017291" w:rsidRDefault="0081523C" w:rsidP="00887EEB">
      <w:pPr>
        <w:spacing w:line="240" w:lineRule="auto"/>
        <w:jc w:val="both"/>
        <w:rPr>
          <w:rFonts w:cs="Arial"/>
          <w:szCs w:val="24"/>
          <w:lang w:val="en-CA"/>
        </w:rPr>
      </w:pPr>
    </w:p>
    <w:p w14:paraId="7B4EA298" w14:textId="77777777" w:rsidR="0081523C" w:rsidRPr="00017291" w:rsidRDefault="0081523C" w:rsidP="00887EEB">
      <w:pPr>
        <w:spacing w:line="240" w:lineRule="auto"/>
        <w:jc w:val="both"/>
        <w:rPr>
          <w:rFonts w:cs="Arial"/>
          <w:szCs w:val="24"/>
          <w:lang w:val="en-CA"/>
        </w:rPr>
      </w:pPr>
    </w:p>
    <w:p w14:paraId="12C0A5C5" w14:textId="77777777" w:rsidR="0081523C" w:rsidRPr="00017291" w:rsidRDefault="0081523C" w:rsidP="00887EEB">
      <w:pPr>
        <w:spacing w:line="240" w:lineRule="auto"/>
        <w:jc w:val="both"/>
        <w:rPr>
          <w:rFonts w:cs="Arial"/>
          <w:szCs w:val="24"/>
          <w:lang w:val="en-CA"/>
        </w:rPr>
      </w:pPr>
    </w:p>
    <w:p w14:paraId="03A4367C" w14:textId="77777777" w:rsidR="0081523C" w:rsidRPr="00017291" w:rsidRDefault="0081523C" w:rsidP="00887EEB">
      <w:pPr>
        <w:spacing w:line="240" w:lineRule="auto"/>
        <w:jc w:val="both"/>
        <w:rPr>
          <w:rFonts w:cs="Arial"/>
          <w:szCs w:val="24"/>
          <w:lang w:val="en-CA"/>
        </w:rPr>
      </w:pPr>
    </w:p>
    <w:p w14:paraId="4DCAE433" w14:textId="77777777" w:rsidR="0081523C" w:rsidRPr="00017291" w:rsidRDefault="0081523C" w:rsidP="00887EEB">
      <w:pPr>
        <w:spacing w:line="240" w:lineRule="auto"/>
        <w:jc w:val="both"/>
        <w:rPr>
          <w:rFonts w:cs="Arial"/>
          <w:szCs w:val="24"/>
          <w:lang w:val="en-CA"/>
        </w:rPr>
      </w:pPr>
    </w:p>
    <w:p w14:paraId="7BA1585B" w14:textId="77777777" w:rsidR="00E06061" w:rsidRPr="00017291" w:rsidRDefault="00E06061">
      <w:pPr>
        <w:spacing w:line="240" w:lineRule="auto"/>
        <w:rPr>
          <w:rFonts w:cs="Arial"/>
          <w:szCs w:val="24"/>
          <w:lang w:val="en-CA"/>
        </w:rPr>
      </w:pPr>
    </w:p>
    <w:tbl>
      <w:tblPr>
        <w:tblStyle w:val="Grilledutableau1"/>
        <w:tblW w:w="9360" w:type="dxa"/>
        <w:tblBorders>
          <w:insideH w:val="single" w:sz="4" w:space="0" w:color="auto"/>
          <w:insideV w:val="single" w:sz="4" w:space="0" w:color="auto"/>
        </w:tblBorders>
        <w:tblLook w:val="04A0" w:firstRow="1" w:lastRow="0" w:firstColumn="1" w:lastColumn="0" w:noHBand="0" w:noVBand="1"/>
      </w:tblPr>
      <w:tblGrid>
        <w:gridCol w:w="9360"/>
      </w:tblGrid>
      <w:tr w:rsidR="007C67A4" w:rsidRPr="00017291" w14:paraId="4170B615" w14:textId="77777777" w:rsidTr="00FB3369">
        <w:tc>
          <w:tcPr>
            <w:tcW w:w="9360" w:type="dxa"/>
            <w:vAlign w:val="center"/>
          </w:tcPr>
          <w:p w14:paraId="77C7A779" w14:textId="73F3310B" w:rsidR="00887EEB" w:rsidRPr="00017291" w:rsidRDefault="00334F76" w:rsidP="00887EEB">
            <w:pPr>
              <w:spacing w:before="240" w:after="240" w:line="240" w:lineRule="auto"/>
              <w:jc w:val="center"/>
              <w:rPr>
                <w:lang w:val="en-CA"/>
              </w:rPr>
            </w:pPr>
            <w:r w:rsidRPr="00017291">
              <w:rPr>
                <w:lang w:val="en-CA"/>
              </w:rPr>
              <w:t>HEARING</w:t>
            </w:r>
          </w:p>
        </w:tc>
      </w:tr>
    </w:tbl>
    <w:tbl>
      <w:tblPr>
        <w:tblW w:w="936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8100"/>
      </w:tblGrid>
      <w:tr w:rsidR="007C67A4" w:rsidRPr="0028360A" w14:paraId="2C447496" w14:textId="77777777" w:rsidTr="00FB3369">
        <w:trPr>
          <w:trHeight w:val="260"/>
        </w:trPr>
        <w:tc>
          <w:tcPr>
            <w:tcW w:w="1260" w:type="dxa"/>
            <w:tcBorders>
              <w:top w:val="nil"/>
              <w:bottom w:val="single" w:sz="4" w:space="0" w:color="auto"/>
              <w:right w:val="nil"/>
            </w:tcBorders>
          </w:tcPr>
          <w:p w14:paraId="1C06177A" w14:textId="3F0F89F3" w:rsidR="00887EEB" w:rsidRPr="00017291" w:rsidRDefault="00334F76" w:rsidP="005C6799">
            <w:pPr>
              <w:spacing w:before="120" w:after="120" w:line="240" w:lineRule="auto"/>
              <w:jc w:val="both"/>
              <w:rPr>
                <w:rFonts w:cs="Arial"/>
                <w:szCs w:val="24"/>
                <w:lang w:val="en-CA"/>
              </w:rPr>
            </w:pPr>
            <w:r w:rsidRPr="00017291">
              <w:rPr>
                <w:rFonts w:cs="Arial"/>
                <w:szCs w:val="24"/>
                <w:lang w:val="en-CA"/>
              </w:rPr>
              <w:lastRenderedPageBreak/>
              <w:t>9:33 a.m.</w:t>
            </w:r>
          </w:p>
        </w:tc>
        <w:tc>
          <w:tcPr>
            <w:tcW w:w="8100" w:type="dxa"/>
            <w:tcBorders>
              <w:top w:val="nil"/>
              <w:left w:val="nil"/>
              <w:bottom w:val="single" w:sz="4" w:space="0" w:color="auto"/>
            </w:tcBorders>
          </w:tcPr>
          <w:p w14:paraId="30BF609D" w14:textId="40789944" w:rsidR="00DD6D17" w:rsidRPr="00017291" w:rsidRDefault="00334F76" w:rsidP="00DD6D17">
            <w:pPr>
              <w:spacing w:before="120" w:after="120" w:line="240" w:lineRule="auto"/>
              <w:jc w:val="both"/>
              <w:rPr>
                <w:rFonts w:cs="Arial"/>
                <w:bCs/>
                <w:iCs/>
                <w:szCs w:val="24"/>
                <w:lang w:val="en-CA" w:eastAsia="fr-CA"/>
              </w:rPr>
            </w:pPr>
            <w:r w:rsidRPr="00017291">
              <w:rPr>
                <w:rFonts w:cs="Arial"/>
                <w:bCs/>
                <w:iCs/>
                <w:szCs w:val="24"/>
                <w:lang w:val="en-CA" w:eastAsia="fr-CA"/>
              </w:rPr>
              <w:t>Commencement of hearing.</w:t>
            </w:r>
          </w:p>
          <w:p w14:paraId="38EA30D7" w14:textId="44444EDB" w:rsidR="00887EEB" w:rsidRPr="00017291" w:rsidRDefault="00CA3D7D" w:rsidP="00DD6D17">
            <w:pPr>
              <w:spacing w:before="120" w:after="120" w:line="240" w:lineRule="auto"/>
              <w:jc w:val="both"/>
              <w:rPr>
                <w:rFonts w:cs="Arial"/>
                <w:iCs/>
                <w:szCs w:val="24"/>
                <w:lang w:val="en-CA" w:eastAsia="fr-CA"/>
              </w:rPr>
            </w:pPr>
            <w:r w:rsidRPr="00017291">
              <w:rPr>
                <w:rFonts w:cs="Arial"/>
                <w:iCs/>
                <w:szCs w:val="24"/>
                <w:lang w:val="en-CA" w:eastAsia="fr-CA"/>
              </w:rPr>
              <w:t>Continuation</w:t>
            </w:r>
            <w:r w:rsidR="00334F76" w:rsidRPr="00017291">
              <w:rPr>
                <w:rFonts w:cs="Arial"/>
                <w:iCs/>
                <w:szCs w:val="24"/>
                <w:lang w:val="en-CA" w:eastAsia="fr-CA"/>
              </w:rPr>
              <w:t xml:space="preserve"> of hearing of November 6, 2019. The parties were excused from attending Court.</w:t>
            </w:r>
          </w:p>
          <w:p w14:paraId="0B607EBA" w14:textId="7A388423" w:rsidR="00DD6D17" w:rsidRPr="00CA3D7D" w:rsidRDefault="00334F76" w:rsidP="00DD6D17">
            <w:pPr>
              <w:spacing w:before="120" w:after="120" w:line="240" w:lineRule="auto"/>
              <w:jc w:val="both"/>
              <w:rPr>
                <w:rFonts w:cs="Arial"/>
                <w:bCs/>
                <w:szCs w:val="24"/>
                <w:lang w:val="en-CA"/>
              </w:rPr>
            </w:pPr>
            <w:r w:rsidRPr="00017291">
              <w:rPr>
                <w:rFonts w:cs="Arial"/>
                <w:b/>
                <w:szCs w:val="24"/>
                <w:lang w:val="en-CA"/>
              </w:rPr>
              <w:t xml:space="preserve">PER CURIAM: </w:t>
            </w:r>
            <w:r w:rsidRPr="00CA3D7D">
              <w:rPr>
                <w:rFonts w:cs="Arial"/>
                <w:bCs/>
                <w:szCs w:val="24"/>
                <w:lang w:val="en-CA"/>
              </w:rPr>
              <w:t xml:space="preserve">Judgment </w:t>
            </w:r>
            <w:r w:rsidR="00CA3D7D">
              <w:rPr>
                <w:rFonts w:cs="Arial"/>
                <w:bCs/>
                <w:szCs w:val="24"/>
                <w:lang w:val="en-CA"/>
              </w:rPr>
              <w:t>–</w:t>
            </w:r>
            <w:r w:rsidRPr="00CA3D7D">
              <w:rPr>
                <w:rFonts w:cs="Arial"/>
                <w:bCs/>
                <w:szCs w:val="24"/>
                <w:lang w:val="en-CA"/>
              </w:rPr>
              <w:t xml:space="preserve"> page 4.</w:t>
            </w:r>
          </w:p>
          <w:p w14:paraId="0FEA5826" w14:textId="0D5744C8" w:rsidR="00DD6D17" w:rsidRPr="00017291" w:rsidRDefault="00334F76" w:rsidP="00DD6D17">
            <w:pPr>
              <w:spacing w:before="120" w:after="120" w:line="240" w:lineRule="auto"/>
              <w:jc w:val="both"/>
              <w:rPr>
                <w:rFonts w:cs="Arial"/>
                <w:szCs w:val="24"/>
                <w:lang w:val="en-CA"/>
              </w:rPr>
            </w:pPr>
            <w:r w:rsidRPr="00017291">
              <w:rPr>
                <w:rFonts w:cs="Arial"/>
                <w:szCs w:val="24"/>
                <w:lang w:val="en-CA"/>
              </w:rPr>
              <w:t>End of hearing.</w:t>
            </w:r>
          </w:p>
        </w:tc>
      </w:tr>
      <w:tr w:rsidR="007C67A4" w:rsidRPr="0028360A" w14:paraId="6070BD11" w14:textId="77777777" w:rsidTr="00FB3369">
        <w:trPr>
          <w:trHeight w:val="251"/>
        </w:trPr>
        <w:tc>
          <w:tcPr>
            <w:tcW w:w="1260" w:type="dxa"/>
            <w:tcBorders>
              <w:top w:val="single" w:sz="4" w:space="0" w:color="auto"/>
              <w:bottom w:val="nil"/>
              <w:right w:val="nil"/>
            </w:tcBorders>
          </w:tcPr>
          <w:p w14:paraId="59395C9B" w14:textId="77777777" w:rsidR="00887EEB" w:rsidRPr="00017291" w:rsidRDefault="00887EEB" w:rsidP="00887EEB">
            <w:pPr>
              <w:spacing w:before="120" w:after="120" w:line="240" w:lineRule="auto"/>
              <w:jc w:val="both"/>
              <w:rPr>
                <w:rFonts w:cs="Arial"/>
                <w:szCs w:val="24"/>
                <w:lang w:val="en-CA"/>
              </w:rPr>
            </w:pPr>
          </w:p>
        </w:tc>
        <w:tc>
          <w:tcPr>
            <w:tcW w:w="8100" w:type="dxa"/>
            <w:tcBorders>
              <w:top w:val="single" w:sz="4" w:space="0" w:color="auto"/>
              <w:left w:val="nil"/>
            </w:tcBorders>
          </w:tcPr>
          <w:p w14:paraId="08A29668" w14:textId="77777777" w:rsidR="00887EEB" w:rsidRPr="00017291" w:rsidRDefault="00887EEB" w:rsidP="00887EEB">
            <w:pPr>
              <w:spacing w:before="120" w:after="120" w:line="240" w:lineRule="auto"/>
              <w:jc w:val="both"/>
              <w:rPr>
                <w:rFonts w:cs="Arial"/>
                <w:szCs w:val="24"/>
                <w:lang w:val="en-CA"/>
              </w:rPr>
            </w:pPr>
          </w:p>
        </w:tc>
      </w:tr>
    </w:tbl>
    <w:p w14:paraId="6012123C" w14:textId="77777777" w:rsidR="00887EEB" w:rsidRPr="00017291" w:rsidRDefault="00887EEB" w:rsidP="00887EEB">
      <w:pPr>
        <w:spacing w:line="240" w:lineRule="auto"/>
        <w:rPr>
          <w:rFonts w:cs="Arial"/>
          <w:szCs w:val="24"/>
          <w:lang w:val="en-CA"/>
        </w:rPr>
      </w:pPr>
    </w:p>
    <w:tbl>
      <w:tblPr>
        <w:tblStyle w:val="Grilledutableau1"/>
        <w:tblW w:w="0" w:type="auto"/>
        <w:tblBorders>
          <w:top w:val="none" w:sz="0" w:space="0" w:color="auto"/>
          <w:bottom w:val="none" w:sz="0" w:space="0" w:color="auto"/>
        </w:tblBorders>
        <w:tblLook w:val="04A0" w:firstRow="1" w:lastRow="0" w:firstColumn="1" w:lastColumn="0" w:noHBand="0" w:noVBand="1"/>
      </w:tblPr>
      <w:tblGrid>
        <w:gridCol w:w="4770"/>
      </w:tblGrid>
      <w:tr w:rsidR="007C67A4" w:rsidRPr="0028360A" w14:paraId="66E81450" w14:textId="77777777" w:rsidTr="002159AA">
        <w:tc>
          <w:tcPr>
            <w:tcW w:w="4770" w:type="dxa"/>
            <w:tcBorders>
              <w:bottom w:val="single" w:sz="4" w:space="0" w:color="auto"/>
            </w:tcBorders>
          </w:tcPr>
          <w:p w14:paraId="30527891" w14:textId="77777777" w:rsidR="00887EEB" w:rsidRPr="00017291" w:rsidRDefault="00887EEB" w:rsidP="00887EEB">
            <w:pPr>
              <w:spacing w:line="240" w:lineRule="auto"/>
              <w:jc w:val="both"/>
              <w:rPr>
                <w:rFonts w:cs="Arial"/>
                <w:szCs w:val="24"/>
                <w:lang w:val="en-CA"/>
              </w:rPr>
            </w:pPr>
          </w:p>
        </w:tc>
      </w:tr>
      <w:tr w:rsidR="007C67A4" w:rsidRPr="00017291" w14:paraId="32A159D5" w14:textId="77777777" w:rsidTr="002159AA">
        <w:tc>
          <w:tcPr>
            <w:tcW w:w="4770" w:type="dxa"/>
            <w:tcBorders>
              <w:top w:val="single" w:sz="4" w:space="0" w:color="auto"/>
            </w:tcBorders>
          </w:tcPr>
          <w:p w14:paraId="70601F65" w14:textId="01D64A09" w:rsidR="00887EEB" w:rsidRPr="00017291" w:rsidRDefault="00334F76" w:rsidP="00887EEB">
            <w:pPr>
              <w:spacing w:line="240" w:lineRule="auto"/>
              <w:jc w:val="both"/>
              <w:rPr>
                <w:rFonts w:cs="Arial"/>
                <w:szCs w:val="24"/>
                <w:lang w:val="en-CA"/>
              </w:rPr>
            </w:pPr>
            <w:r w:rsidRPr="00017291">
              <w:rPr>
                <w:rFonts w:cs="Arial"/>
                <w:szCs w:val="24"/>
                <w:lang w:val="en-CA"/>
              </w:rPr>
              <w:t>Élisabeth Lepage</w:t>
            </w:r>
            <w:r w:rsidRPr="00017291">
              <w:rPr>
                <w:rFonts w:cs="Arial"/>
                <w:szCs w:val="24"/>
                <w:lang w:val="en-CA"/>
              </w:rPr>
              <w:fldChar w:fldCharType="begin"/>
            </w:r>
            <w:r w:rsidRPr="00017291">
              <w:rPr>
                <w:rFonts w:cs="Arial"/>
                <w:szCs w:val="24"/>
                <w:lang w:val="en-CA"/>
              </w:rPr>
              <w:instrText xml:space="preserve"> REF Nom_greffier \h </w:instrText>
            </w:r>
            <w:r w:rsidRPr="00017291">
              <w:rPr>
                <w:rFonts w:cs="Arial"/>
                <w:szCs w:val="24"/>
                <w:lang w:val="en-CA"/>
              </w:rPr>
            </w:r>
            <w:r w:rsidR="00000000">
              <w:rPr>
                <w:rFonts w:cs="Arial"/>
                <w:szCs w:val="24"/>
                <w:lang w:val="en-CA"/>
              </w:rPr>
              <w:fldChar w:fldCharType="separate"/>
            </w:r>
            <w:r w:rsidRPr="00017291">
              <w:rPr>
                <w:rFonts w:cs="Arial"/>
                <w:szCs w:val="24"/>
                <w:lang w:val="en-CA"/>
              </w:rPr>
              <w:fldChar w:fldCharType="end"/>
            </w:r>
            <w:r w:rsidRPr="00017291">
              <w:rPr>
                <w:rFonts w:cs="Arial"/>
                <w:szCs w:val="24"/>
                <w:lang w:val="en-CA"/>
              </w:rPr>
              <w:t xml:space="preserve">, Court Clerk </w:t>
            </w:r>
            <w:r w:rsidRPr="00017291">
              <w:rPr>
                <w:rFonts w:cs="Arial"/>
                <w:szCs w:val="24"/>
                <w:lang w:val="en-CA"/>
              </w:rPr>
              <w:fldChar w:fldCharType="begin"/>
            </w:r>
            <w:r w:rsidRPr="00017291">
              <w:rPr>
                <w:rFonts w:cs="Arial"/>
                <w:szCs w:val="24"/>
                <w:lang w:val="en-CA"/>
              </w:rPr>
              <w:instrText xml:space="preserve"> REF Greffier \h </w:instrText>
            </w:r>
            <w:r w:rsidRPr="00017291">
              <w:rPr>
                <w:rFonts w:cs="Arial"/>
                <w:szCs w:val="24"/>
                <w:lang w:val="en-CA"/>
              </w:rPr>
            </w:r>
            <w:r w:rsidR="00000000">
              <w:rPr>
                <w:rFonts w:cs="Arial"/>
                <w:szCs w:val="24"/>
                <w:lang w:val="en-CA"/>
              </w:rPr>
              <w:fldChar w:fldCharType="separate"/>
            </w:r>
            <w:r w:rsidRPr="00017291">
              <w:rPr>
                <w:rFonts w:cs="Arial"/>
                <w:szCs w:val="24"/>
                <w:lang w:val="en-CA"/>
              </w:rPr>
              <w:fldChar w:fldCharType="end"/>
            </w:r>
          </w:p>
        </w:tc>
      </w:tr>
    </w:tbl>
    <w:p w14:paraId="730008D5" w14:textId="77777777" w:rsidR="002C7179" w:rsidRPr="00017291" w:rsidRDefault="002C7179" w:rsidP="002C7179">
      <w:pPr>
        <w:spacing w:after="160" w:line="259" w:lineRule="auto"/>
        <w:rPr>
          <w:rFonts w:cs="Arial"/>
          <w:szCs w:val="24"/>
          <w:lang w:val="en-CA"/>
        </w:rPr>
      </w:pPr>
    </w:p>
    <w:p w14:paraId="635FC604" w14:textId="77777777" w:rsidR="002C7179" w:rsidRPr="00017291" w:rsidRDefault="00334F76">
      <w:pPr>
        <w:spacing w:line="240" w:lineRule="auto"/>
        <w:rPr>
          <w:rFonts w:cs="Arial"/>
          <w:szCs w:val="24"/>
          <w:lang w:val="en-CA"/>
        </w:rPr>
      </w:pPr>
      <w:r w:rsidRPr="00017291">
        <w:rPr>
          <w:rFonts w:cs="Arial"/>
          <w:szCs w:val="24"/>
          <w:lang w:val="en-CA"/>
        </w:rPr>
        <w:br w:type="page"/>
      </w:r>
    </w:p>
    <w:tbl>
      <w:tblPr>
        <w:tblStyle w:val="Grilledutableau1"/>
        <w:tblW w:w="9360" w:type="dxa"/>
        <w:tblBorders>
          <w:top w:val="single" w:sz="8" w:space="0" w:color="auto"/>
          <w:bottom w:val="single" w:sz="8" w:space="0" w:color="auto"/>
        </w:tblBorders>
        <w:tblLook w:val="04A0" w:firstRow="1" w:lastRow="0" w:firstColumn="1" w:lastColumn="0" w:noHBand="0" w:noVBand="1"/>
      </w:tblPr>
      <w:tblGrid>
        <w:gridCol w:w="9360"/>
      </w:tblGrid>
      <w:tr w:rsidR="007C67A4" w:rsidRPr="00017291" w14:paraId="68AE8F64" w14:textId="77777777" w:rsidTr="00FB3369">
        <w:tc>
          <w:tcPr>
            <w:tcW w:w="9360" w:type="dxa"/>
            <w:vAlign w:val="center"/>
          </w:tcPr>
          <w:p w14:paraId="6C3C845B" w14:textId="61528288" w:rsidR="00887EEB" w:rsidRPr="00017291" w:rsidRDefault="00334F76" w:rsidP="00887EEB">
            <w:pPr>
              <w:spacing w:before="240" w:after="240" w:line="240" w:lineRule="exact"/>
              <w:jc w:val="center"/>
              <w:rPr>
                <w:lang w:val="en-CA"/>
              </w:rPr>
            </w:pPr>
            <w:r w:rsidRPr="00017291">
              <w:rPr>
                <w:lang w:val="en-CA"/>
              </w:rPr>
              <w:lastRenderedPageBreak/>
              <w:t>JUDGMENT</w:t>
            </w:r>
          </w:p>
        </w:tc>
      </w:tr>
    </w:tbl>
    <w:p w14:paraId="0BBFE4BF" w14:textId="77777777" w:rsidR="00887EEB" w:rsidRPr="00017291" w:rsidRDefault="00887EEB" w:rsidP="00887EEB">
      <w:pPr>
        <w:spacing w:line="240" w:lineRule="auto"/>
        <w:jc w:val="both"/>
        <w:rPr>
          <w:lang w:val="en-CA"/>
        </w:rPr>
      </w:pPr>
    </w:p>
    <w:p w14:paraId="5BB718B3" w14:textId="77777777" w:rsidR="00887EEB" w:rsidRPr="00017291" w:rsidRDefault="00887EEB" w:rsidP="00E06061">
      <w:pPr>
        <w:spacing w:line="240" w:lineRule="auto"/>
        <w:jc w:val="both"/>
        <w:rPr>
          <w:lang w:val="en-CA"/>
        </w:rPr>
      </w:pPr>
      <w:bookmarkStart w:id="10" w:name="ORDONNANCE_DE"/>
      <w:bookmarkEnd w:id="10"/>
    </w:p>
    <w:p w14:paraId="1A3B7667" w14:textId="77777777" w:rsidR="00887EEB" w:rsidRPr="00017291" w:rsidRDefault="00887EEB" w:rsidP="00887EEB">
      <w:pPr>
        <w:spacing w:line="240" w:lineRule="auto"/>
        <w:jc w:val="both"/>
        <w:rPr>
          <w:lang w:val="en-CA"/>
        </w:rPr>
      </w:pPr>
    </w:p>
    <w:p w14:paraId="763A0C0E" w14:textId="7A1893CD"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The appellants appeal from a judgment rendered on April 5, 2019, by the Honourable Guylène Beaugé of the Superior Court, District of Beauharnois, which allowed the respondent’s application to dismiss, thereby rejecting their originating application.</w:t>
      </w:r>
    </w:p>
    <w:p w14:paraId="2BED6F98" w14:textId="36CC0955"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The appellants were victims of a motor vehicle accident that they attribute to the fact that a driver was going the wrong direction on the highway because of</w:t>
      </w:r>
      <w:r w:rsidR="00821EBB">
        <w:rPr>
          <w:szCs w:val="24"/>
          <w:lang w:val="en-CA"/>
        </w:rPr>
        <w:t xml:space="preserve"> </w:t>
      </w:r>
      <w:r w:rsidR="00954E6F">
        <w:rPr>
          <w:szCs w:val="24"/>
          <w:lang w:val="en-CA"/>
        </w:rPr>
        <w:t>inadequate</w:t>
      </w:r>
      <w:r w:rsidRPr="00017291">
        <w:rPr>
          <w:szCs w:val="24"/>
          <w:lang w:val="en-CA"/>
        </w:rPr>
        <w:t xml:space="preserve"> </w:t>
      </w:r>
      <w:r w:rsidR="002D66AA">
        <w:rPr>
          <w:szCs w:val="24"/>
          <w:lang w:val="en-CA"/>
        </w:rPr>
        <w:t xml:space="preserve">road and traffic </w:t>
      </w:r>
      <w:r w:rsidRPr="00017291">
        <w:rPr>
          <w:szCs w:val="24"/>
          <w:lang w:val="en-CA"/>
        </w:rPr>
        <w:t>signs</w:t>
      </w:r>
      <w:r w:rsidR="002D66AA">
        <w:rPr>
          <w:szCs w:val="24"/>
          <w:lang w:val="en-CA"/>
        </w:rPr>
        <w:t xml:space="preserve"> and signals</w:t>
      </w:r>
      <w:r w:rsidRPr="00017291">
        <w:rPr>
          <w:szCs w:val="24"/>
          <w:lang w:val="en-CA"/>
        </w:rPr>
        <w:t xml:space="preserve">. They were compensated by the Société de l’assurance automobile du Québec under the </w:t>
      </w:r>
      <w:r w:rsidRPr="00540FD0">
        <w:rPr>
          <w:i/>
          <w:iCs/>
          <w:szCs w:val="24"/>
          <w:lang w:val="en-CA"/>
        </w:rPr>
        <w:t>Automobile Insurance Act</w:t>
      </w:r>
      <w:r w:rsidRPr="00017291">
        <w:rPr>
          <w:rStyle w:val="Appelnotedebasdep"/>
          <w:szCs w:val="24"/>
          <w:lang w:val="en-CA"/>
        </w:rPr>
        <w:footnoteReference w:id="1"/>
      </w:r>
      <w:r w:rsidRPr="00017291">
        <w:rPr>
          <w:szCs w:val="24"/>
          <w:lang w:val="en-CA"/>
        </w:rPr>
        <w:t xml:space="preserve"> (</w:t>
      </w:r>
      <w:r w:rsidR="00DA4BCD">
        <w:rPr>
          <w:szCs w:val="24"/>
          <w:lang w:val="en-CA"/>
        </w:rPr>
        <w:t>“</w:t>
      </w:r>
      <w:r w:rsidRPr="00540FD0">
        <w:rPr>
          <w:i/>
          <w:iCs/>
          <w:szCs w:val="24"/>
          <w:lang w:val="en-CA"/>
        </w:rPr>
        <w:t>AIA</w:t>
      </w:r>
      <w:r w:rsidRPr="00017291">
        <w:rPr>
          <w:szCs w:val="24"/>
          <w:lang w:val="en-CA"/>
        </w:rPr>
        <w:t xml:space="preserve">”)). They </w:t>
      </w:r>
      <w:r w:rsidR="000B54B8">
        <w:rPr>
          <w:szCs w:val="24"/>
          <w:lang w:val="en-CA"/>
        </w:rPr>
        <w:t>blame</w:t>
      </w:r>
      <w:r w:rsidR="000B54B8" w:rsidRPr="00017291">
        <w:rPr>
          <w:szCs w:val="24"/>
          <w:lang w:val="en-CA"/>
        </w:rPr>
        <w:t xml:space="preserve"> </w:t>
      </w:r>
      <w:r w:rsidRPr="00017291">
        <w:rPr>
          <w:szCs w:val="24"/>
          <w:lang w:val="en-CA"/>
        </w:rPr>
        <w:t>the Ministère des Transports, de la Mobilité durable et de l’Électrification des transports (</w:t>
      </w:r>
      <w:r w:rsidR="00DA4BCD">
        <w:rPr>
          <w:szCs w:val="24"/>
          <w:lang w:val="en-CA"/>
        </w:rPr>
        <w:t>“</w:t>
      </w:r>
      <w:r w:rsidRPr="00017291">
        <w:rPr>
          <w:szCs w:val="24"/>
          <w:lang w:val="en-CA"/>
        </w:rPr>
        <w:t xml:space="preserve">MTQ”) for </w:t>
      </w:r>
      <w:r w:rsidR="000B54B8">
        <w:rPr>
          <w:szCs w:val="24"/>
          <w:lang w:val="en-CA"/>
        </w:rPr>
        <w:t xml:space="preserve">its </w:t>
      </w:r>
      <w:r w:rsidRPr="00017291">
        <w:rPr>
          <w:szCs w:val="24"/>
          <w:lang w:val="en-CA"/>
        </w:rPr>
        <w:t xml:space="preserve">negligence </w:t>
      </w:r>
      <w:r w:rsidR="000B54B8">
        <w:rPr>
          <w:szCs w:val="24"/>
          <w:lang w:val="en-CA"/>
        </w:rPr>
        <w:t>in</w:t>
      </w:r>
      <w:r w:rsidR="000B54B8" w:rsidRPr="00017291">
        <w:rPr>
          <w:szCs w:val="24"/>
          <w:lang w:val="en-CA"/>
        </w:rPr>
        <w:t xml:space="preserve"> </w:t>
      </w:r>
      <w:r w:rsidRPr="00017291">
        <w:rPr>
          <w:szCs w:val="24"/>
          <w:lang w:val="en-CA"/>
        </w:rPr>
        <w:t xml:space="preserve">installing and maintaining </w:t>
      </w:r>
      <w:r w:rsidR="0028360A">
        <w:rPr>
          <w:szCs w:val="24"/>
          <w:lang w:val="en-CA"/>
        </w:rPr>
        <w:t xml:space="preserve">a </w:t>
      </w:r>
      <w:r w:rsidR="000B54B8">
        <w:rPr>
          <w:szCs w:val="24"/>
          <w:lang w:val="en-CA"/>
        </w:rPr>
        <w:t xml:space="preserve">road and traffic </w:t>
      </w:r>
      <w:r w:rsidRPr="00017291">
        <w:rPr>
          <w:szCs w:val="24"/>
          <w:lang w:val="en-CA"/>
        </w:rPr>
        <w:t xml:space="preserve">sign that it knew was </w:t>
      </w:r>
      <w:r w:rsidR="000B54B8">
        <w:rPr>
          <w:szCs w:val="24"/>
          <w:lang w:val="en-CA"/>
        </w:rPr>
        <w:t>unsuitable</w:t>
      </w:r>
      <w:r w:rsidR="000B54B8" w:rsidRPr="00017291">
        <w:rPr>
          <w:szCs w:val="24"/>
          <w:lang w:val="en-CA"/>
        </w:rPr>
        <w:t xml:space="preserve"> </w:t>
      </w:r>
      <w:r w:rsidRPr="00017291">
        <w:rPr>
          <w:szCs w:val="24"/>
          <w:lang w:val="en-CA"/>
        </w:rPr>
        <w:t xml:space="preserve">and dangerous. They claim $4 million in punitive damages for the </w:t>
      </w:r>
      <w:r w:rsidR="00B95578">
        <w:rPr>
          <w:szCs w:val="24"/>
          <w:lang w:val="en-CA"/>
        </w:rPr>
        <w:t>infringement</w:t>
      </w:r>
      <w:r w:rsidRPr="00017291">
        <w:rPr>
          <w:szCs w:val="24"/>
          <w:lang w:val="en-CA"/>
        </w:rPr>
        <w:t xml:space="preserve"> of their right to life and security </w:t>
      </w:r>
      <w:r w:rsidR="00821EBB">
        <w:rPr>
          <w:szCs w:val="24"/>
          <w:lang w:val="en-CA"/>
        </w:rPr>
        <w:t xml:space="preserve">of the person </w:t>
      </w:r>
      <w:r w:rsidRPr="00017291">
        <w:rPr>
          <w:szCs w:val="24"/>
          <w:lang w:val="en-CA"/>
        </w:rPr>
        <w:t xml:space="preserve">guaranteed under </w:t>
      </w:r>
      <w:r w:rsidR="00C33B2C">
        <w:rPr>
          <w:szCs w:val="24"/>
          <w:lang w:val="en-CA"/>
        </w:rPr>
        <w:t xml:space="preserve">s. </w:t>
      </w:r>
      <w:r w:rsidRPr="00017291">
        <w:rPr>
          <w:szCs w:val="24"/>
          <w:lang w:val="en-CA"/>
        </w:rPr>
        <w:t xml:space="preserve"> 7 of the </w:t>
      </w:r>
      <w:r w:rsidRPr="00017291">
        <w:rPr>
          <w:i/>
          <w:szCs w:val="24"/>
          <w:lang w:val="en-CA"/>
        </w:rPr>
        <w:t>Canadian Charter of Rights and Freedoms</w:t>
      </w:r>
      <w:r w:rsidRPr="00017291">
        <w:rPr>
          <w:rStyle w:val="Appelnotedebasdep"/>
          <w:szCs w:val="24"/>
          <w:lang w:val="en-CA"/>
        </w:rPr>
        <w:footnoteReference w:id="2"/>
      </w:r>
      <w:r w:rsidRPr="00017291">
        <w:rPr>
          <w:szCs w:val="24"/>
          <w:lang w:val="en-CA"/>
        </w:rPr>
        <w:t xml:space="preserve"> (</w:t>
      </w:r>
      <w:r w:rsidR="004E5A85">
        <w:rPr>
          <w:szCs w:val="24"/>
          <w:lang w:val="en-CA"/>
        </w:rPr>
        <w:t>the “</w:t>
      </w:r>
      <w:r w:rsidR="004E5A85">
        <w:rPr>
          <w:i/>
          <w:iCs/>
          <w:szCs w:val="24"/>
          <w:lang w:val="en-CA"/>
        </w:rPr>
        <w:t>C</w:t>
      </w:r>
      <w:r w:rsidRPr="00017291">
        <w:rPr>
          <w:i/>
          <w:szCs w:val="24"/>
          <w:lang w:val="en-CA"/>
        </w:rPr>
        <w:t>harter</w:t>
      </w:r>
      <w:r w:rsidRPr="00017291">
        <w:rPr>
          <w:szCs w:val="24"/>
          <w:lang w:val="en-CA"/>
        </w:rPr>
        <w:t>”)</w:t>
      </w:r>
      <w:r w:rsidR="004E5A85">
        <w:rPr>
          <w:szCs w:val="24"/>
          <w:lang w:val="en-CA"/>
        </w:rPr>
        <w:t>.</w:t>
      </w:r>
      <w:r w:rsidRPr="00017291">
        <w:rPr>
          <w:szCs w:val="24"/>
          <w:lang w:val="en-CA"/>
        </w:rPr>
        <w:t xml:space="preserve"> </w:t>
      </w:r>
    </w:p>
    <w:p w14:paraId="4EDEF375" w14:textId="0180A95E"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 xml:space="preserve">At first instance, the judge found that the </w:t>
      </w:r>
      <w:r w:rsidR="00821EBB" w:rsidRPr="00017291">
        <w:rPr>
          <w:szCs w:val="24"/>
          <w:lang w:val="en-CA"/>
        </w:rPr>
        <w:t>compensation</w:t>
      </w:r>
      <w:r w:rsidRPr="00017291">
        <w:rPr>
          <w:szCs w:val="24"/>
          <w:lang w:val="en-CA"/>
        </w:rPr>
        <w:t xml:space="preserve"> regime in the </w:t>
      </w:r>
      <w:r w:rsidRPr="00821EBB">
        <w:rPr>
          <w:i/>
          <w:iCs/>
          <w:szCs w:val="24"/>
          <w:lang w:val="en-CA"/>
        </w:rPr>
        <w:t>AIA</w:t>
      </w:r>
      <w:r w:rsidRPr="00017291">
        <w:rPr>
          <w:szCs w:val="24"/>
          <w:lang w:val="en-CA"/>
        </w:rPr>
        <w:t xml:space="preserve"> prevented the appellants from seeking punitive damages under the </w:t>
      </w:r>
      <w:r w:rsidRPr="00821EBB">
        <w:rPr>
          <w:i/>
          <w:iCs/>
          <w:szCs w:val="24"/>
          <w:lang w:val="en-CA"/>
        </w:rPr>
        <w:t>Charter</w:t>
      </w:r>
      <w:r w:rsidRPr="00017291">
        <w:rPr>
          <w:szCs w:val="24"/>
          <w:lang w:val="en-CA"/>
        </w:rPr>
        <w:t xml:space="preserve">. She also rejected the argument that </w:t>
      </w:r>
      <w:r w:rsidR="00C33B2C">
        <w:rPr>
          <w:szCs w:val="24"/>
          <w:lang w:val="en-CA"/>
        </w:rPr>
        <w:t xml:space="preserve">s. </w:t>
      </w:r>
      <w:r w:rsidRPr="00017291">
        <w:rPr>
          <w:szCs w:val="24"/>
          <w:lang w:val="en-CA"/>
        </w:rPr>
        <w:t xml:space="preserve">83.57 </w:t>
      </w:r>
      <w:r w:rsidRPr="00821EBB">
        <w:rPr>
          <w:i/>
          <w:iCs/>
          <w:szCs w:val="24"/>
          <w:lang w:val="en-CA"/>
        </w:rPr>
        <w:t>AIA</w:t>
      </w:r>
      <w:r w:rsidRPr="00017291">
        <w:rPr>
          <w:szCs w:val="24"/>
          <w:lang w:val="en-CA"/>
        </w:rPr>
        <w:t xml:space="preserve"> does not </w:t>
      </w:r>
      <w:r w:rsidR="00821EBB" w:rsidRPr="00017291">
        <w:rPr>
          <w:szCs w:val="24"/>
          <w:lang w:val="en-CA"/>
        </w:rPr>
        <w:t>respect</w:t>
      </w:r>
      <w:r w:rsidRPr="00017291">
        <w:rPr>
          <w:szCs w:val="24"/>
          <w:lang w:val="en-CA"/>
        </w:rPr>
        <w:t xml:space="preserve"> the appellants’ </w:t>
      </w:r>
      <w:r w:rsidR="00821EBB" w:rsidRPr="00821EBB">
        <w:rPr>
          <w:i/>
          <w:iCs/>
          <w:szCs w:val="24"/>
          <w:lang w:val="en-CA"/>
        </w:rPr>
        <w:t>Charter</w:t>
      </w:r>
      <w:r w:rsidR="00821EBB">
        <w:rPr>
          <w:szCs w:val="24"/>
          <w:lang w:val="en-CA"/>
        </w:rPr>
        <w:t xml:space="preserve"> </w:t>
      </w:r>
      <w:r w:rsidRPr="00017291">
        <w:rPr>
          <w:szCs w:val="24"/>
          <w:lang w:val="en-CA"/>
        </w:rPr>
        <w:t xml:space="preserve">right to life and security </w:t>
      </w:r>
      <w:r w:rsidR="00821EBB">
        <w:rPr>
          <w:szCs w:val="24"/>
          <w:lang w:val="en-CA"/>
        </w:rPr>
        <w:t>of the person</w:t>
      </w:r>
      <w:r w:rsidRPr="00017291">
        <w:rPr>
          <w:szCs w:val="24"/>
          <w:lang w:val="en-CA"/>
        </w:rPr>
        <w:t xml:space="preserve">. </w:t>
      </w:r>
    </w:p>
    <w:p w14:paraId="5A2EB628" w14:textId="1991F5C7"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The appellants raise three issues in appeal:</w:t>
      </w:r>
    </w:p>
    <w:p w14:paraId="4D0EF087" w14:textId="2288E223" w:rsidR="008C02E2" w:rsidRPr="00017291" w:rsidRDefault="00334F76" w:rsidP="008C02E2">
      <w:pPr>
        <w:pStyle w:val="Paragraphe"/>
        <w:widowControl w:val="0"/>
        <w:numPr>
          <w:ilvl w:val="0"/>
          <w:numId w:val="20"/>
        </w:numPr>
        <w:rPr>
          <w:szCs w:val="24"/>
          <w:lang w:val="en-CA"/>
        </w:rPr>
      </w:pPr>
      <w:r w:rsidRPr="00017291">
        <w:rPr>
          <w:szCs w:val="24"/>
          <w:lang w:val="en-CA"/>
        </w:rPr>
        <w:t xml:space="preserve">Does the </w:t>
      </w:r>
      <w:r w:rsidRPr="00B95578">
        <w:rPr>
          <w:i/>
          <w:iCs/>
          <w:szCs w:val="24"/>
          <w:lang w:val="en-CA"/>
        </w:rPr>
        <w:t>AIA</w:t>
      </w:r>
      <w:r w:rsidRPr="00017291">
        <w:rPr>
          <w:szCs w:val="24"/>
          <w:lang w:val="en-CA"/>
        </w:rPr>
        <w:t xml:space="preserve"> apply to a situation of risk to public</w:t>
      </w:r>
      <w:r w:rsidR="0017299E">
        <w:rPr>
          <w:szCs w:val="24"/>
          <w:lang w:val="en-CA"/>
        </w:rPr>
        <w:t xml:space="preserve"> safety</w:t>
      </w:r>
      <w:r w:rsidRPr="00017291">
        <w:rPr>
          <w:szCs w:val="24"/>
          <w:lang w:val="en-CA"/>
        </w:rPr>
        <w:t xml:space="preserve"> created by the </w:t>
      </w:r>
      <w:r w:rsidR="0017299E">
        <w:rPr>
          <w:szCs w:val="24"/>
          <w:lang w:val="en-CA"/>
        </w:rPr>
        <w:t>s</w:t>
      </w:r>
      <w:r w:rsidRPr="00017291">
        <w:rPr>
          <w:szCs w:val="24"/>
          <w:lang w:val="en-CA"/>
        </w:rPr>
        <w:t>tate?</w:t>
      </w:r>
    </w:p>
    <w:p w14:paraId="512E3645" w14:textId="04970876" w:rsidR="008C02E2" w:rsidRPr="00017291" w:rsidRDefault="00334F76" w:rsidP="008C02E2">
      <w:pPr>
        <w:pStyle w:val="Paragraphe"/>
        <w:widowControl w:val="0"/>
        <w:numPr>
          <w:ilvl w:val="0"/>
          <w:numId w:val="20"/>
        </w:numPr>
        <w:rPr>
          <w:szCs w:val="24"/>
          <w:lang w:val="en-CA"/>
        </w:rPr>
      </w:pPr>
      <w:r w:rsidRPr="00017291">
        <w:rPr>
          <w:szCs w:val="24"/>
          <w:lang w:val="en-CA"/>
        </w:rPr>
        <w:t xml:space="preserve">If the </w:t>
      </w:r>
      <w:r w:rsidRPr="00B95578">
        <w:rPr>
          <w:i/>
          <w:iCs/>
          <w:szCs w:val="24"/>
          <w:lang w:val="en-CA"/>
        </w:rPr>
        <w:t>AIA</w:t>
      </w:r>
      <w:r w:rsidRPr="00017291">
        <w:rPr>
          <w:szCs w:val="24"/>
          <w:lang w:val="en-CA"/>
        </w:rPr>
        <w:t xml:space="preserve"> applies to such a situation, does the prohibition </w:t>
      </w:r>
      <w:r w:rsidR="0017299E">
        <w:rPr>
          <w:szCs w:val="24"/>
          <w:lang w:val="en-CA"/>
        </w:rPr>
        <w:t xml:space="preserve">it contains </w:t>
      </w:r>
      <w:r w:rsidRPr="00017291">
        <w:rPr>
          <w:szCs w:val="24"/>
          <w:lang w:val="en-CA"/>
        </w:rPr>
        <w:t>against compensatory damages extend to action</w:t>
      </w:r>
      <w:r w:rsidR="009B13B4">
        <w:rPr>
          <w:szCs w:val="24"/>
          <w:lang w:val="en-CA"/>
        </w:rPr>
        <w:t>s</w:t>
      </w:r>
      <w:r w:rsidRPr="00017291">
        <w:rPr>
          <w:szCs w:val="24"/>
          <w:lang w:val="en-CA"/>
        </w:rPr>
        <w:t xml:space="preserve"> in punitive damages against the </w:t>
      </w:r>
      <w:r w:rsidR="0017299E">
        <w:rPr>
          <w:szCs w:val="24"/>
          <w:lang w:val="en-CA"/>
        </w:rPr>
        <w:t>s</w:t>
      </w:r>
      <w:r w:rsidRPr="00017291">
        <w:rPr>
          <w:szCs w:val="24"/>
          <w:lang w:val="en-CA"/>
        </w:rPr>
        <w:t xml:space="preserve">tate based on the </w:t>
      </w:r>
      <w:r w:rsidRPr="00B95578">
        <w:rPr>
          <w:i/>
          <w:iCs/>
          <w:szCs w:val="24"/>
          <w:lang w:val="en-CA"/>
        </w:rPr>
        <w:t xml:space="preserve">Canadian </w:t>
      </w:r>
      <w:r w:rsidR="00B95578" w:rsidRPr="00B95578">
        <w:rPr>
          <w:i/>
          <w:iCs/>
          <w:szCs w:val="24"/>
          <w:lang w:val="en-CA"/>
        </w:rPr>
        <w:t>Charter</w:t>
      </w:r>
      <w:r w:rsidRPr="00017291">
        <w:rPr>
          <w:szCs w:val="24"/>
          <w:lang w:val="en-CA"/>
        </w:rPr>
        <w:t xml:space="preserve">, or </w:t>
      </w:r>
      <w:r w:rsidR="00C33B2C">
        <w:rPr>
          <w:szCs w:val="24"/>
          <w:lang w:val="en-CA"/>
        </w:rPr>
        <w:t>can the two</w:t>
      </w:r>
      <w:r w:rsidRPr="00017291">
        <w:rPr>
          <w:szCs w:val="24"/>
          <w:lang w:val="en-CA"/>
        </w:rPr>
        <w:t xml:space="preserve"> regimes</w:t>
      </w:r>
      <w:r w:rsidR="00C33B2C">
        <w:rPr>
          <w:szCs w:val="24"/>
          <w:lang w:val="en-CA"/>
        </w:rPr>
        <w:t xml:space="preserve"> be reconciled</w:t>
      </w:r>
      <w:r w:rsidRPr="00017291">
        <w:rPr>
          <w:szCs w:val="24"/>
          <w:lang w:val="en-CA"/>
        </w:rPr>
        <w:t>?</w:t>
      </w:r>
    </w:p>
    <w:p w14:paraId="74E4DCFD" w14:textId="0C2458BE" w:rsidR="008C02E2" w:rsidRPr="00017291" w:rsidRDefault="00334F76" w:rsidP="008C02E2">
      <w:pPr>
        <w:pStyle w:val="Paragraphe"/>
        <w:widowControl w:val="0"/>
        <w:numPr>
          <w:ilvl w:val="0"/>
          <w:numId w:val="20"/>
        </w:numPr>
        <w:rPr>
          <w:szCs w:val="24"/>
          <w:lang w:val="en-CA"/>
        </w:rPr>
      </w:pPr>
      <w:r w:rsidRPr="00017291">
        <w:rPr>
          <w:szCs w:val="24"/>
          <w:lang w:val="en-CA"/>
        </w:rPr>
        <w:t xml:space="preserve">If the </w:t>
      </w:r>
      <w:r w:rsidRPr="00B95578">
        <w:rPr>
          <w:i/>
          <w:iCs/>
          <w:szCs w:val="24"/>
          <w:lang w:val="en-CA"/>
        </w:rPr>
        <w:t>AIA</w:t>
      </w:r>
      <w:r w:rsidR="00C33B2C">
        <w:rPr>
          <w:szCs w:val="24"/>
          <w:lang w:val="en-CA"/>
        </w:rPr>
        <w:t>’s compensatory</w:t>
      </w:r>
      <w:r w:rsidRPr="00017291">
        <w:rPr>
          <w:szCs w:val="24"/>
          <w:lang w:val="en-CA"/>
        </w:rPr>
        <w:t xml:space="preserve"> regime cannot be reconciled with the </w:t>
      </w:r>
      <w:r w:rsidR="00034B8A" w:rsidRPr="00034B8A">
        <w:rPr>
          <w:i/>
          <w:iCs/>
          <w:szCs w:val="24"/>
          <w:lang w:val="en-CA"/>
        </w:rPr>
        <w:t>Charter’</w:t>
      </w:r>
      <w:r w:rsidR="00034B8A" w:rsidRPr="00954E6F">
        <w:rPr>
          <w:szCs w:val="24"/>
          <w:lang w:val="en-CA"/>
        </w:rPr>
        <w:t xml:space="preserve">s </w:t>
      </w:r>
      <w:r w:rsidRPr="00017291">
        <w:rPr>
          <w:szCs w:val="24"/>
          <w:lang w:val="en-CA"/>
        </w:rPr>
        <w:t xml:space="preserve">punitive regime, thereby preventing the </w:t>
      </w:r>
      <w:r w:rsidR="0017299E">
        <w:rPr>
          <w:szCs w:val="24"/>
          <w:lang w:val="en-CA"/>
        </w:rPr>
        <w:t>enforcement</w:t>
      </w:r>
      <w:r w:rsidRPr="00017291">
        <w:rPr>
          <w:szCs w:val="24"/>
          <w:lang w:val="en-CA"/>
        </w:rPr>
        <w:t xml:space="preserve"> of </w:t>
      </w:r>
      <w:r w:rsidR="009310E9">
        <w:rPr>
          <w:i/>
          <w:iCs/>
          <w:szCs w:val="24"/>
          <w:lang w:val="en-CA"/>
        </w:rPr>
        <w:t xml:space="preserve">Charter </w:t>
      </w:r>
      <w:r w:rsidR="0017299E">
        <w:rPr>
          <w:szCs w:val="24"/>
          <w:lang w:val="en-CA"/>
        </w:rPr>
        <w:t>rights</w:t>
      </w:r>
      <w:r w:rsidRPr="00017291">
        <w:rPr>
          <w:szCs w:val="24"/>
          <w:lang w:val="en-CA"/>
        </w:rPr>
        <w:t xml:space="preserve">, does </w:t>
      </w:r>
      <w:r w:rsidR="0017299E">
        <w:rPr>
          <w:szCs w:val="24"/>
          <w:lang w:val="en-CA"/>
        </w:rPr>
        <w:t>s.</w:t>
      </w:r>
      <w:r w:rsidR="00D73B6D">
        <w:rPr>
          <w:szCs w:val="24"/>
          <w:lang w:val="en-CA"/>
        </w:rPr>
        <w:t> </w:t>
      </w:r>
      <w:r w:rsidRPr="00017291">
        <w:rPr>
          <w:szCs w:val="24"/>
          <w:lang w:val="en-CA"/>
        </w:rPr>
        <w:t xml:space="preserve">83.57 </w:t>
      </w:r>
      <w:r w:rsidR="00132E1F">
        <w:rPr>
          <w:szCs w:val="24"/>
          <w:lang w:val="en-CA"/>
        </w:rPr>
        <w:t xml:space="preserve">of the </w:t>
      </w:r>
      <w:r w:rsidR="00132E1F">
        <w:rPr>
          <w:i/>
          <w:iCs/>
          <w:szCs w:val="24"/>
          <w:lang w:val="en-CA"/>
        </w:rPr>
        <w:t xml:space="preserve">AIA </w:t>
      </w:r>
      <w:r w:rsidR="00C33B2C">
        <w:rPr>
          <w:szCs w:val="24"/>
          <w:lang w:val="en-CA"/>
        </w:rPr>
        <w:t xml:space="preserve">pass the </w:t>
      </w:r>
      <w:r w:rsidRPr="00017291">
        <w:rPr>
          <w:szCs w:val="24"/>
          <w:lang w:val="en-CA"/>
        </w:rPr>
        <w:t>proportional balancing</w:t>
      </w:r>
      <w:r w:rsidR="00C33B2C">
        <w:rPr>
          <w:szCs w:val="24"/>
          <w:lang w:val="en-CA"/>
        </w:rPr>
        <w:t xml:space="preserve"> test </w:t>
      </w:r>
      <w:r w:rsidRPr="00017291">
        <w:rPr>
          <w:szCs w:val="24"/>
          <w:lang w:val="en-CA"/>
        </w:rPr>
        <w:t xml:space="preserve">or is </w:t>
      </w:r>
      <w:r w:rsidR="00C33B2C">
        <w:rPr>
          <w:szCs w:val="24"/>
          <w:lang w:val="en-CA"/>
        </w:rPr>
        <w:t>reading down the appropriate approach?</w:t>
      </w:r>
    </w:p>
    <w:p w14:paraId="0AFED3A5" w14:textId="033CD4D3"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At the stage of an application to dismiss, the only real question is whether the appellants’ application is unfounded in law, even if the facts alleged may be true (art</w:t>
      </w:r>
      <w:r w:rsidR="007D51F8">
        <w:rPr>
          <w:szCs w:val="24"/>
          <w:lang w:val="en-CA"/>
        </w:rPr>
        <w:t>.</w:t>
      </w:r>
      <w:r w:rsidRPr="00017291">
        <w:rPr>
          <w:szCs w:val="24"/>
          <w:lang w:val="en-CA"/>
        </w:rPr>
        <w:t xml:space="preserve"> 168 C.C.P.). </w:t>
      </w:r>
    </w:p>
    <w:p w14:paraId="6D0A0C9F" w14:textId="312C434D"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lastRenderedPageBreak/>
        <w:t>We find that this is the case.</w:t>
      </w:r>
    </w:p>
    <w:p w14:paraId="35932BFE" w14:textId="4B5B421F" w:rsidR="008C02E2" w:rsidRPr="00017291" w:rsidRDefault="00C33B2C" w:rsidP="008C02E2">
      <w:pPr>
        <w:pStyle w:val="Paragraphe"/>
        <w:widowControl w:val="0"/>
        <w:numPr>
          <w:ilvl w:val="0"/>
          <w:numId w:val="19"/>
        </w:numPr>
        <w:tabs>
          <w:tab w:val="clear" w:pos="360"/>
        </w:tabs>
        <w:rPr>
          <w:szCs w:val="24"/>
          <w:lang w:val="en-CA"/>
        </w:rPr>
      </w:pPr>
      <w:r>
        <w:rPr>
          <w:szCs w:val="24"/>
          <w:lang w:val="en-CA"/>
        </w:rPr>
        <w:t>F</w:t>
      </w:r>
      <w:r w:rsidR="00334F76" w:rsidRPr="00017291">
        <w:rPr>
          <w:szCs w:val="24"/>
          <w:lang w:val="en-CA"/>
        </w:rPr>
        <w:t xml:space="preserve">irst, there is no doubt that </w:t>
      </w:r>
      <w:r>
        <w:rPr>
          <w:szCs w:val="24"/>
          <w:lang w:val="en-CA"/>
        </w:rPr>
        <w:t xml:space="preserve">s. </w:t>
      </w:r>
      <w:r w:rsidR="00334F76" w:rsidRPr="00017291">
        <w:rPr>
          <w:szCs w:val="24"/>
          <w:lang w:val="en-CA"/>
        </w:rPr>
        <w:t xml:space="preserve">83.57 of the </w:t>
      </w:r>
      <w:r w:rsidR="00334F76" w:rsidRPr="00B95578">
        <w:rPr>
          <w:i/>
          <w:iCs/>
          <w:szCs w:val="24"/>
          <w:lang w:val="en-CA"/>
        </w:rPr>
        <w:t>A</w:t>
      </w:r>
      <w:r w:rsidR="00B95578" w:rsidRPr="00B95578">
        <w:rPr>
          <w:i/>
          <w:iCs/>
          <w:szCs w:val="24"/>
          <w:lang w:val="en-CA"/>
        </w:rPr>
        <w:t>IA</w:t>
      </w:r>
      <w:r w:rsidR="00334F76" w:rsidRPr="00017291">
        <w:rPr>
          <w:szCs w:val="24"/>
          <w:lang w:val="en-CA"/>
        </w:rPr>
        <w:t xml:space="preserve"> prohibits </w:t>
      </w:r>
      <w:r w:rsidR="007D51F8">
        <w:rPr>
          <w:szCs w:val="24"/>
          <w:lang w:val="en-CA"/>
        </w:rPr>
        <w:t>the</w:t>
      </w:r>
      <w:r w:rsidR="00334F76" w:rsidRPr="00017291">
        <w:rPr>
          <w:szCs w:val="24"/>
          <w:lang w:val="en-CA"/>
        </w:rPr>
        <w:t xml:space="preserve"> victim of a motor vehicle accident from suing </w:t>
      </w:r>
      <w:r w:rsidR="007D51F8">
        <w:rPr>
          <w:szCs w:val="24"/>
          <w:lang w:val="en-CA"/>
        </w:rPr>
        <w:t>the</w:t>
      </w:r>
      <w:r w:rsidR="00334F76" w:rsidRPr="00017291">
        <w:rPr>
          <w:szCs w:val="24"/>
          <w:lang w:val="en-CA"/>
        </w:rPr>
        <w:t xml:space="preserve"> person responsible for the accident </w:t>
      </w:r>
      <w:r w:rsidR="007D51F8">
        <w:rPr>
          <w:szCs w:val="24"/>
          <w:lang w:val="en-CA"/>
        </w:rPr>
        <w:t xml:space="preserve">for </w:t>
      </w:r>
      <w:r w:rsidR="00334F76" w:rsidRPr="00017291">
        <w:rPr>
          <w:szCs w:val="24"/>
          <w:lang w:val="en-CA"/>
        </w:rPr>
        <w:t xml:space="preserve">punitive damages. This </w:t>
      </w:r>
      <w:r w:rsidR="007D51F8">
        <w:rPr>
          <w:szCs w:val="24"/>
          <w:lang w:val="en-CA"/>
        </w:rPr>
        <w:t xml:space="preserve">legislative </w:t>
      </w:r>
      <w:r w:rsidR="00334F76" w:rsidRPr="00017291">
        <w:rPr>
          <w:szCs w:val="24"/>
          <w:lang w:val="en-CA"/>
        </w:rPr>
        <w:t xml:space="preserve">provision </w:t>
      </w:r>
      <w:r w:rsidR="007D51F8">
        <w:rPr>
          <w:szCs w:val="24"/>
          <w:lang w:val="en-CA"/>
        </w:rPr>
        <w:t>states</w:t>
      </w:r>
      <w:r w:rsidR="00334F76" w:rsidRPr="00017291">
        <w:rPr>
          <w:szCs w:val="24"/>
          <w:lang w:val="en-CA"/>
        </w:rPr>
        <w:t xml:space="preserve"> that compensation under the act stands in lieu of “all rights and remedies by reason of bodily injury and no action in </w:t>
      </w:r>
      <w:r w:rsidR="00B518D7" w:rsidRPr="00017291">
        <w:rPr>
          <w:szCs w:val="24"/>
          <w:lang w:val="en-CA"/>
        </w:rPr>
        <w:t>that</w:t>
      </w:r>
      <w:r w:rsidR="00334F76" w:rsidRPr="00017291">
        <w:rPr>
          <w:szCs w:val="24"/>
          <w:lang w:val="en-CA"/>
        </w:rPr>
        <w:t xml:space="preserve"> respect shall be admitted before any court of justice / tous les droits et recours en raison d‘un préjudice corporel et nulle action à ce sujet n’est reçue devant un tribunal”.</w:t>
      </w:r>
      <w:r w:rsidR="00334F76" w:rsidRPr="00017291">
        <w:rPr>
          <w:rStyle w:val="Appelnotedebasdep"/>
          <w:szCs w:val="24"/>
          <w:lang w:val="en-CA"/>
        </w:rPr>
        <w:footnoteReference w:id="3"/>
      </w:r>
    </w:p>
    <w:p w14:paraId="6A0B8F67" w14:textId="74E8FC9E"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 xml:space="preserve">The appellants argue, however, that </w:t>
      </w:r>
      <w:r w:rsidR="00C33B2C">
        <w:rPr>
          <w:szCs w:val="24"/>
          <w:lang w:val="en-CA"/>
        </w:rPr>
        <w:t xml:space="preserve">s. </w:t>
      </w:r>
      <w:r w:rsidRPr="00017291">
        <w:rPr>
          <w:szCs w:val="24"/>
          <w:lang w:val="en-CA"/>
        </w:rPr>
        <w:t xml:space="preserve">83.57 of the </w:t>
      </w:r>
      <w:r w:rsidRPr="00B95578">
        <w:rPr>
          <w:i/>
          <w:iCs/>
          <w:szCs w:val="24"/>
          <w:lang w:val="en-CA"/>
        </w:rPr>
        <w:t>A</w:t>
      </w:r>
      <w:r w:rsidR="00B95578" w:rsidRPr="00B95578">
        <w:rPr>
          <w:i/>
          <w:iCs/>
          <w:szCs w:val="24"/>
          <w:lang w:val="en-CA"/>
        </w:rPr>
        <w:t>IA</w:t>
      </w:r>
      <w:r w:rsidRPr="00017291">
        <w:rPr>
          <w:szCs w:val="24"/>
          <w:lang w:val="en-CA"/>
        </w:rPr>
        <w:t xml:space="preserve"> cannot prohibit a claim for a remedy under </w:t>
      </w:r>
      <w:r w:rsidR="00C33B2C">
        <w:rPr>
          <w:szCs w:val="24"/>
          <w:lang w:val="en-CA"/>
        </w:rPr>
        <w:t xml:space="preserve">s. </w:t>
      </w:r>
      <w:r w:rsidRPr="00017291">
        <w:rPr>
          <w:szCs w:val="24"/>
          <w:lang w:val="en-CA"/>
        </w:rPr>
        <w:t xml:space="preserve">24. (1) of the </w:t>
      </w:r>
      <w:r w:rsidRPr="00017291">
        <w:rPr>
          <w:i/>
          <w:szCs w:val="24"/>
          <w:lang w:val="en-CA"/>
        </w:rPr>
        <w:t>Charter</w:t>
      </w:r>
      <w:r w:rsidRPr="00017291">
        <w:rPr>
          <w:szCs w:val="24"/>
          <w:lang w:val="en-CA"/>
        </w:rPr>
        <w:t xml:space="preserve">. After outlining the facts at the basis of their claim, they simply allege that they have the right to a remedy under the </w:t>
      </w:r>
      <w:r w:rsidRPr="007D51F8">
        <w:rPr>
          <w:i/>
          <w:iCs/>
          <w:szCs w:val="24"/>
          <w:lang w:val="en-CA"/>
        </w:rPr>
        <w:t>Charter</w:t>
      </w:r>
      <w:r w:rsidRPr="00017291">
        <w:rPr>
          <w:szCs w:val="24"/>
          <w:lang w:val="en-CA"/>
        </w:rPr>
        <w:t>:</w:t>
      </w:r>
    </w:p>
    <w:p w14:paraId="58896458" w14:textId="0B832FAD" w:rsidR="008C02E2" w:rsidRPr="00017291" w:rsidRDefault="00334F76" w:rsidP="008C02E2">
      <w:pPr>
        <w:pStyle w:val="Citationenretrait"/>
        <w:spacing w:line="240" w:lineRule="auto"/>
        <w:rPr>
          <w:lang w:val="en-CA"/>
        </w:rPr>
      </w:pPr>
      <w:r w:rsidRPr="00017291">
        <w:rPr>
          <w:lang w:val="en-CA"/>
        </w:rPr>
        <w:t>31. The Plaintiffs are nonetheless asking the Court to sanction the MTQ and award punitive damages to sanction, under section 24 (1) of the Canadian Charter of Rights and Freedoms, the reckless disregard, incompetence or lack of care of the MRQ and the resulting violation of Plaintiff’s right to life and security of the person, as provided for by section 7 of the Charter.</w:t>
      </w:r>
    </w:p>
    <w:p w14:paraId="29DB5C76" w14:textId="07C90F04"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 xml:space="preserve">Before arguing that they are entitled to a remedy under </w:t>
      </w:r>
      <w:r w:rsidR="00C33B2C">
        <w:rPr>
          <w:szCs w:val="24"/>
          <w:lang w:val="en-CA"/>
        </w:rPr>
        <w:t xml:space="preserve">s. </w:t>
      </w:r>
      <w:r w:rsidRPr="00017291">
        <w:rPr>
          <w:szCs w:val="24"/>
          <w:lang w:val="en-CA"/>
        </w:rPr>
        <w:t xml:space="preserve">24(1) of the </w:t>
      </w:r>
      <w:r w:rsidRPr="00832BFC">
        <w:rPr>
          <w:i/>
          <w:iCs/>
          <w:szCs w:val="24"/>
          <w:lang w:val="en-CA"/>
        </w:rPr>
        <w:t>Charter</w:t>
      </w:r>
      <w:r w:rsidRPr="00017291">
        <w:rPr>
          <w:szCs w:val="24"/>
          <w:lang w:val="en-CA"/>
        </w:rPr>
        <w:t xml:space="preserve">, the appellants must establish that they were victims of an infringement of a right guaranteed under </w:t>
      </w:r>
      <w:r w:rsidR="00C33B2C">
        <w:rPr>
          <w:szCs w:val="24"/>
          <w:lang w:val="en-CA"/>
        </w:rPr>
        <w:t xml:space="preserve">s. </w:t>
      </w:r>
      <w:r w:rsidRPr="00017291">
        <w:rPr>
          <w:szCs w:val="24"/>
          <w:lang w:val="en-CA"/>
        </w:rPr>
        <w:t xml:space="preserve">7 of the </w:t>
      </w:r>
      <w:r w:rsidRPr="00832BFC">
        <w:rPr>
          <w:i/>
          <w:iCs/>
          <w:szCs w:val="24"/>
          <w:lang w:val="en-CA"/>
        </w:rPr>
        <w:t>Charter</w:t>
      </w:r>
      <w:r w:rsidRPr="00017291">
        <w:rPr>
          <w:szCs w:val="24"/>
          <w:lang w:val="en-CA"/>
        </w:rPr>
        <w:t>:</w:t>
      </w:r>
    </w:p>
    <w:tbl>
      <w:tblPr>
        <w:tblW w:w="7938" w:type="dxa"/>
        <w:tblInd w:w="567" w:type="dxa"/>
        <w:tblLayout w:type="fixed"/>
        <w:tblCellMar>
          <w:left w:w="70" w:type="dxa"/>
          <w:right w:w="70" w:type="dxa"/>
        </w:tblCellMar>
        <w:tblLook w:val="0000" w:firstRow="0" w:lastRow="0" w:firstColumn="0" w:lastColumn="0" w:noHBand="0" w:noVBand="0"/>
      </w:tblPr>
      <w:tblGrid>
        <w:gridCol w:w="4111"/>
        <w:gridCol w:w="3827"/>
      </w:tblGrid>
      <w:tr w:rsidR="007C67A4" w:rsidRPr="007D51F8" w14:paraId="70DCDD10" w14:textId="77777777" w:rsidTr="006C3164">
        <w:tc>
          <w:tcPr>
            <w:tcW w:w="4111" w:type="dxa"/>
            <w:shd w:val="clear" w:color="auto" w:fill="auto"/>
          </w:tcPr>
          <w:p w14:paraId="735F1C9C" w14:textId="77777777" w:rsidR="007D51F8" w:rsidRPr="007D51F8" w:rsidRDefault="007D51F8" w:rsidP="007D51F8">
            <w:pPr>
              <w:shd w:val="clear" w:color="auto" w:fill="FFFFFF"/>
              <w:spacing w:before="120" w:after="120" w:line="240" w:lineRule="auto"/>
              <w:ind w:left="214" w:right="213"/>
              <w:jc w:val="both"/>
              <w:rPr>
                <w:rFonts w:cs="Arial"/>
                <w:b/>
                <w:lang w:val="en-CA"/>
              </w:rPr>
            </w:pPr>
            <w:bookmarkStart w:id="11" w:name="se:393"/>
            <w:bookmarkStart w:id="12" w:name="se:393-ss:1"/>
            <w:bookmarkStart w:id="13" w:name="se:394"/>
            <w:bookmarkStart w:id="14" w:name="se:394-ss:1"/>
            <w:bookmarkStart w:id="15" w:name="ga:l_i-gb:l_xiii-gc:l_iii-h1"/>
            <w:bookmarkStart w:id="16" w:name="se:395"/>
            <w:bookmarkStart w:id="17" w:name="se:395-ss:1"/>
            <w:bookmarkStart w:id="18" w:name="ga:l_i-gb:l_xiii-gc:l_iii-gd:l_3-h1"/>
            <w:bookmarkStart w:id="19" w:name="se:400_1"/>
            <w:bookmarkStart w:id="20" w:name="se:400_1-ss:1"/>
            <w:bookmarkStart w:id="21" w:name="se:401"/>
            <w:bookmarkStart w:id="22" w:name="se:401-ss:1"/>
            <w:bookmarkStart w:id="23" w:name="se:402"/>
            <w:bookmarkStart w:id="24" w:name="se:402-ss:1"/>
            <w:bookmarkStart w:id="25" w:name="ga:l_i-gb:l_xiii-gc:l_iii-gd:l_4-h1"/>
            <w:bookmarkStart w:id="26" w:name="se:408"/>
            <w:bookmarkStart w:id="27" w:name="se:408-ss:1"/>
            <w:bookmarkStart w:id="28" w:name="se:409"/>
            <w:bookmarkStart w:id="29" w:name="se:409-ss:1"/>
            <w:bookmarkStart w:id="30" w:name="se:410"/>
            <w:bookmarkStart w:id="31" w:name="se:410-ss:1"/>
            <w:bookmarkStart w:id="32" w:name="se:411"/>
            <w:bookmarkStart w:id="33" w:name="se:411-ss:1"/>
            <w:bookmarkStart w:id="34" w:name="se:412"/>
            <w:bookmarkStart w:id="35" w:name="se:412-ss:1"/>
            <w:bookmarkStart w:id="36" w:name="se:413"/>
            <w:bookmarkStart w:id="37" w:name="se:413-ss:1"/>
            <w:bookmarkStart w:id="38" w:name="se:427"/>
            <w:bookmarkStart w:id="39" w:name="se:427-ss:1"/>
            <w:bookmarkStart w:id="40" w:name="se:428"/>
            <w:bookmarkStart w:id="41" w:name="se:428-ss:1"/>
            <w:bookmarkStart w:id="42" w:name="se:429"/>
            <w:bookmarkStart w:id="43" w:name="se:429-ss:1"/>
            <w:bookmarkStart w:id="44" w:name="ga:l_i-gb:l_xiii-gc:l_iv-gd:l_2-h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D51F8">
              <w:rPr>
                <w:rFonts w:cs="Arial"/>
                <w:b/>
                <w:lang w:val="en-CA"/>
              </w:rPr>
              <w:t>Legal rights</w:t>
            </w:r>
          </w:p>
          <w:p w14:paraId="6ED0955E" w14:textId="22D98456" w:rsidR="008C02E2" w:rsidRPr="00017291" w:rsidRDefault="007D51F8" w:rsidP="007D51F8">
            <w:pPr>
              <w:shd w:val="clear" w:color="auto" w:fill="FFFFFF"/>
              <w:spacing w:before="120" w:after="120" w:line="240" w:lineRule="auto"/>
              <w:ind w:left="214" w:right="213"/>
              <w:jc w:val="both"/>
              <w:rPr>
                <w:rFonts w:cs="Arial"/>
                <w:i/>
                <w:iCs/>
                <w:color w:val="333333"/>
                <w:lang w:val="en-CA"/>
              </w:rPr>
            </w:pPr>
            <w:r w:rsidRPr="007D51F8">
              <w:rPr>
                <w:rFonts w:cs="Arial"/>
                <w:bCs/>
                <w:lang w:val="en-CA"/>
              </w:rPr>
              <w:t>7.</w:t>
            </w:r>
            <w:r w:rsidRPr="007D51F8">
              <w:rPr>
                <w:rFonts w:cs="Arial"/>
                <w:b/>
                <w:lang w:val="en-CA"/>
              </w:rPr>
              <w:t xml:space="preserve"> [life, liberty and security of person] </w:t>
            </w:r>
            <w:r w:rsidRPr="007D51F8">
              <w:rPr>
                <w:rFonts w:cs="Arial"/>
                <w:bCs/>
                <w:lang w:val="en-CA"/>
              </w:rPr>
              <w:t>Everyone has the right to life, liberty and security of the person and the right not to be deprived thereof except in accordance with the principles of fundamental justice.</w:t>
            </w:r>
          </w:p>
        </w:tc>
        <w:tc>
          <w:tcPr>
            <w:tcW w:w="3827" w:type="dxa"/>
            <w:shd w:val="clear" w:color="auto" w:fill="auto"/>
          </w:tcPr>
          <w:p w14:paraId="4A19C901" w14:textId="77777777" w:rsidR="007D51F8" w:rsidRPr="007D51F8" w:rsidRDefault="007D51F8" w:rsidP="007D51F8">
            <w:pPr>
              <w:shd w:val="clear" w:color="auto" w:fill="FFFFFF"/>
              <w:spacing w:before="120" w:after="120" w:line="240" w:lineRule="auto"/>
              <w:ind w:left="214" w:right="213"/>
              <w:jc w:val="both"/>
              <w:rPr>
                <w:rFonts w:cs="Arial"/>
                <w:b/>
                <w:lang w:eastAsia="fr-CA"/>
              </w:rPr>
            </w:pPr>
            <w:r w:rsidRPr="007D51F8">
              <w:rPr>
                <w:rFonts w:cs="Arial"/>
                <w:b/>
                <w:lang w:eastAsia="fr-CA"/>
              </w:rPr>
              <w:t>Garanties juridiques</w:t>
            </w:r>
          </w:p>
          <w:p w14:paraId="213B0934" w14:textId="5A40F95D" w:rsidR="008C02E2" w:rsidRPr="007D51F8" w:rsidRDefault="007D51F8" w:rsidP="007D51F8">
            <w:pPr>
              <w:shd w:val="clear" w:color="auto" w:fill="FFFFFF"/>
              <w:spacing w:before="120" w:after="120" w:line="240" w:lineRule="auto"/>
              <w:ind w:left="214" w:right="213"/>
              <w:jc w:val="both"/>
            </w:pPr>
            <w:r w:rsidRPr="007D51F8">
              <w:rPr>
                <w:rFonts w:cs="Arial"/>
                <w:bCs/>
                <w:lang w:eastAsia="fr-CA"/>
              </w:rPr>
              <w:t>7.</w:t>
            </w:r>
            <w:r w:rsidRPr="007D51F8">
              <w:rPr>
                <w:rFonts w:cs="Arial"/>
                <w:b/>
                <w:lang w:eastAsia="fr-CA"/>
              </w:rPr>
              <w:t xml:space="preserve"> [vie, liberté et sécutité] </w:t>
            </w:r>
            <w:r w:rsidRPr="007D51F8">
              <w:rPr>
                <w:rFonts w:cs="Arial"/>
                <w:bCs/>
                <w:lang w:eastAsia="fr-CA"/>
              </w:rPr>
              <w:t>Chacun a droit à la vie, à la liberté et à la sécurité de sa personne; il ne peut être porté atteinte à ce droit qu’en conformité avec les principes de justice fondamentale</w:t>
            </w:r>
          </w:p>
        </w:tc>
      </w:tr>
    </w:tbl>
    <w:p w14:paraId="6419B276" w14:textId="632858E2"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t>Therefore, they must establish</w:t>
      </w:r>
      <w:r w:rsidRPr="00017291">
        <w:rPr>
          <w:rStyle w:val="Appelnotedebasdep"/>
          <w:szCs w:val="24"/>
          <w:lang w:val="en-CA"/>
        </w:rPr>
        <w:footnoteReference w:id="4"/>
      </w:r>
      <w:r w:rsidR="00DC13BC" w:rsidRPr="00017291">
        <w:rPr>
          <w:szCs w:val="24"/>
          <w:lang w:val="en-CA"/>
        </w:rPr>
        <w:t xml:space="preserve"> not only</w:t>
      </w:r>
      <w:r w:rsidRPr="00017291">
        <w:rPr>
          <w:szCs w:val="24"/>
          <w:lang w:val="en-CA"/>
        </w:rPr>
        <w:t xml:space="preserve"> that the MTQ’s negligence (1) violated their right to life or security of the person, but also that </w:t>
      </w:r>
      <w:r w:rsidR="00DC13BC" w:rsidRPr="00017291">
        <w:rPr>
          <w:szCs w:val="24"/>
          <w:lang w:val="en-CA"/>
        </w:rPr>
        <w:t xml:space="preserve">(2) </w:t>
      </w:r>
      <w:r w:rsidRPr="00017291">
        <w:rPr>
          <w:szCs w:val="24"/>
          <w:lang w:val="en-CA"/>
        </w:rPr>
        <w:t>this violation was contrary to a principle of fundamental justice.</w:t>
      </w:r>
      <w:r w:rsidRPr="00017291">
        <w:rPr>
          <w:rStyle w:val="Appelnotedebasdep"/>
          <w:szCs w:val="24"/>
          <w:lang w:val="en-CA"/>
        </w:rPr>
        <w:t xml:space="preserve"> </w:t>
      </w:r>
      <w:r w:rsidRPr="00017291">
        <w:rPr>
          <w:rStyle w:val="Appelnotedebasdep"/>
          <w:szCs w:val="24"/>
          <w:lang w:val="en-CA"/>
        </w:rPr>
        <w:footnoteReference w:id="5"/>
      </w:r>
    </w:p>
    <w:p w14:paraId="48E03840" w14:textId="0665E4D7" w:rsidR="008C02E2" w:rsidRPr="00017291" w:rsidRDefault="00334F76" w:rsidP="008C02E2">
      <w:pPr>
        <w:pStyle w:val="Paragraphe"/>
        <w:widowControl w:val="0"/>
        <w:numPr>
          <w:ilvl w:val="0"/>
          <w:numId w:val="19"/>
        </w:numPr>
        <w:tabs>
          <w:tab w:val="clear" w:pos="360"/>
        </w:tabs>
        <w:rPr>
          <w:szCs w:val="24"/>
          <w:lang w:val="en-CA"/>
        </w:rPr>
      </w:pPr>
      <w:r w:rsidRPr="00017291">
        <w:rPr>
          <w:szCs w:val="24"/>
          <w:lang w:val="en-CA"/>
        </w:rPr>
        <w:lastRenderedPageBreak/>
        <w:t>As the Supreme Court state</w:t>
      </w:r>
      <w:r w:rsidR="00DD52DD">
        <w:rPr>
          <w:szCs w:val="24"/>
          <w:lang w:val="en-CA"/>
        </w:rPr>
        <w:t>d</w:t>
      </w:r>
      <w:r w:rsidRPr="00017291">
        <w:rPr>
          <w:szCs w:val="24"/>
          <w:lang w:val="en-CA"/>
        </w:rPr>
        <w:t xml:space="preserve"> in </w:t>
      </w:r>
      <w:r w:rsidRPr="00017291">
        <w:rPr>
          <w:i/>
          <w:iCs/>
          <w:szCs w:val="24"/>
          <w:lang w:val="en-CA"/>
        </w:rPr>
        <w:t>Carter</w:t>
      </w:r>
      <w:r w:rsidRPr="00017291">
        <w:rPr>
          <w:szCs w:val="24"/>
          <w:lang w:val="en-CA"/>
        </w:rPr>
        <w:t>:</w:t>
      </w:r>
      <w:r w:rsidRPr="00017291">
        <w:rPr>
          <w:rStyle w:val="Appelnotedebasdep"/>
          <w:szCs w:val="24"/>
          <w:lang w:val="en-CA"/>
        </w:rPr>
        <w:t xml:space="preserve"> </w:t>
      </w:r>
      <w:r w:rsidRPr="00017291">
        <w:rPr>
          <w:rStyle w:val="Appelnotedebasdep"/>
          <w:szCs w:val="24"/>
          <w:lang w:val="en-CA"/>
        </w:rPr>
        <w:footnoteReference w:id="6"/>
      </w:r>
    </w:p>
    <w:p w14:paraId="5CDAD1DB" w14:textId="578D6359" w:rsidR="008C02E2" w:rsidRPr="00017291" w:rsidRDefault="00334F76" w:rsidP="008C02E2">
      <w:pPr>
        <w:pStyle w:val="Citationenretrait"/>
        <w:spacing w:line="240" w:lineRule="auto"/>
        <w:rPr>
          <w:lang w:val="en-CA"/>
        </w:rPr>
      </w:pPr>
      <w:r w:rsidRPr="00017291">
        <w:rPr>
          <w:lang w:val="en-CA"/>
        </w:rPr>
        <w:t xml:space="preserve">[71] </w:t>
      </w:r>
      <w:r w:rsidR="00B518D7" w:rsidRPr="00017291">
        <w:rPr>
          <w:lang w:val="en-CA"/>
        </w:rPr>
        <w:t xml:space="preserve">Section 7 does not promise that the state will never interfere with a person’s life, liberty or security of the person — laws do this all the time — but rather that </w:t>
      </w:r>
      <w:r w:rsidR="00B518D7" w:rsidRPr="00DD52DD">
        <w:rPr>
          <w:u w:val="single"/>
          <w:lang w:val="en-CA"/>
        </w:rPr>
        <w:t>the state will not do so in a way that violates the principles of fundamental justice</w:t>
      </w:r>
      <w:r w:rsidRPr="00017291">
        <w:rPr>
          <w:lang w:val="en-CA"/>
        </w:rPr>
        <w:t xml:space="preserve">. </w:t>
      </w:r>
    </w:p>
    <w:p w14:paraId="51B199E5" w14:textId="324F54A6" w:rsidR="008C02E2" w:rsidRPr="00017291" w:rsidRDefault="00334F76" w:rsidP="008C02E2">
      <w:pPr>
        <w:pStyle w:val="Citationenretrait"/>
        <w:spacing w:line="240" w:lineRule="auto"/>
        <w:jc w:val="right"/>
        <w:rPr>
          <w:lang w:val="en-CA"/>
        </w:rPr>
      </w:pPr>
      <w:r w:rsidRPr="00017291">
        <w:rPr>
          <w:lang w:val="en-CA"/>
        </w:rPr>
        <w:t>(</w:t>
      </w:r>
      <w:r w:rsidR="00B518D7" w:rsidRPr="00017291">
        <w:rPr>
          <w:lang w:val="en-CA"/>
        </w:rPr>
        <w:t>Emphasis added.</w:t>
      </w:r>
      <w:r w:rsidRPr="00017291">
        <w:rPr>
          <w:lang w:val="en-CA"/>
        </w:rPr>
        <w:t>)</w:t>
      </w:r>
    </w:p>
    <w:p w14:paraId="2569D024" w14:textId="595DE387" w:rsidR="008C02E2" w:rsidRPr="00017291" w:rsidRDefault="00B518D7" w:rsidP="008C02E2">
      <w:pPr>
        <w:pStyle w:val="Paragraphe"/>
        <w:widowControl w:val="0"/>
        <w:numPr>
          <w:ilvl w:val="0"/>
          <w:numId w:val="19"/>
        </w:numPr>
        <w:rPr>
          <w:szCs w:val="24"/>
          <w:lang w:val="en-CA"/>
        </w:rPr>
      </w:pPr>
      <w:r w:rsidRPr="00017291">
        <w:rPr>
          <w:szCs w:val="24"/>
          <w:lang w:val="en-CA"/>
        </w:rPr>
        <w:t>As</w:t>
      </w:r>
      <w:r w:rsidR="00334F76" w:rsidRPr="00017291">
        <w:rPr>
          <w:szCs w:val="24"/>
          <w:lang w:val="en-CA"/>
        </w:rPr>
        <w:t xml:space="preserve"> Iacobucci </w:t>
      </w:r>
      <w:r w:rsidRPr="00017291">
        <w:rPr>
          <w:szCs w:val="24"/>
          <w:lang w:val="en-CA"/>
        </w:rPr>
        <w:t xml:space="preserve">J. </w:t>
      </w:r>
      <w:r w:rsidR="00DD52DD">
        <w:rPr>
          <w:szCs w:val="24"/>
          <w:lang w:val="en-CA"/>
        </w:rPr>
        <w:t>affirmed</w:t>
      </w:r>
      <w:r w:rsidRPr="00017291">
        <w:rPr>
          <w:szCs w:val="24"/>
          <w:lang w:val="en-CA"/>
        </w:rPr>
        <w:t>, “Correspondingly, if no principle of fundamental justice is contravened, s. 7 is not violated and there is no need to consider whether there has been a deprivation of life, liberty or security of the person”.</w:t>
      </w:r>
      <w:r w:rsidR="00334F76" w:rsidRPr="00017291">
        <w:rPr>
          <w:rStyle w:val="Appelnotedebasdep"/>
          <w:szCs w:val="24"/>
          <w:lang w:val="en-CA"/>
        </w:rPr>
        <w:footnoteReference w:id="7"/>
      </w:r>
    </w:p>
    <w:p w14:paraId="6762C8C5" w14:textId="5DF5CCF4" w:rsidR="008C02E2" w:rsidRPr="00017291" w:rsidRDefault="00B518D7" w:rsidP="008C02E2">
      <w:pPr>
        <w:pStyle w:val="Paragraphe"/>
        <w:widowControl w:val="0"/>
        <w:numPr>
          <w:ilvl w:val="0"/>
          <w:numId w:val="19"/>
        </w:numPr>
        <w:rPr>
          <w:szCs w:val="24"/>
          <w:lang w:val="en-CA"/>
        </w:rPr>
      </w:pPr>
      <w:r w:rsidRPr="00017291">
        <w:rPr>
          <w:szCs w:val="24"/>
          <w:lang w:val="en-CA"/>
        </w:rPr>
        <w:t xml:space="preserve">The notion of </w:t>
      </w:r>
      <w:r w:rsidR="009B13B4">
        <w:rPr>
          <w:szCs w:val="24"/>
          <w:lang w:val="en-CA"/>
        </w:rPr>
        <w:t>“</w:t>
      </w:r>
      <w:r w:rsidRPr="00017291">
        <w:rPr>
          <w:szCs w:val="24"/>
          <w:lang w:val="en-CA"/>
        </w:rPr>
        <w:t>principle of fundamental justice</w:t>
      </w:r>
      <w:r w:rsidR="009B13B4">
        <w:rPr>
          <w:szCs w:val="24"/>
          <w:lang w:val="en-CA"/>
        </w:rPr>
        <w:t>”</w:t>
      </w:r>
      <w:r w:rsidR="00E843C9" w:rsidRPr="00017291">
        <w:rPr>
          <w:szCs w:val="24"/>
          <w:lang w:val="en-CA"/>
        </w:rPr>
        <w:t xml:space="preserve"> refers to</w:t>
      </w:r>
      <w:r w:rsidR="00334F76" w:rsidRPr="00017291">
        <w:rPr>
          <w:szCs w:val="24"/>
          <w:lang w:val="en-CA"/>
        </w:rPr>
        <w:t>:</w:t>
      </w:r>
    </w:p>
    <w:p w14:paraId="53BD29A6" w14:textId="02420213" w:rsidR="008C02E2" w:rsidRPr="00017291" w:rsidRDefault="009B13B4" w:rsidP="008C02E2">
      <w:pPr>
        <w:pStyle w:val="Paragraphe"/>
        <w:widowControl w:val="0"/>
        <w:numPr>
          <w:ilvl w:val="0"/>
          <w:numId w:val="21"/>
        </w:numPr>
        <w:rPr>
          <w:szCs w:val="24"/>
          <w:lang w:val="en-CA"/>
        </w:rPr>
      </w:pPr>
      <w:r>
        <w:rPr>
          <w:szCs w:val="24"/>
          <w:lang w:val="en-CA"/>
        </w:rPr>
        <w:t xml:space="preserve">A </w:t>
      </w:r>
      <w:r w:rsidR="00E843C9" w:rsidRPr="00017291">
        <w:rPr>
          <w:szCs w:val="24"/>
          <w:lang w:val="en-CA"/>
        </w:rPr>
        <w:t>legal principle</w:t>
      </w:r>
      <w:r w:rsidR="00334F76" w:rsidRPr="00017291">
        <w:rPr>
          <w:szCs w:val="24"/>
          <w:lang w:val="en-CA"/>
        </w:rPr>
        <w:t xml:space="preserve">, </w:t>
      </w:r>
    </w:p>
    <w:p w14:paraId="1AF3975B" w14:textId="3FD671E5" w:rsidR="008C02E2" w:rsidRPr="00017291" w:rsidRDefault="009B13B4" w:rsidP="008C02E2">
      <w:pPr>
        <w:pStyle w:val="Paragraphe"/>
        <w:widowControl w:val="0"/>
        <w:numPr>
          <w:ilvl w:val="0"/>
          <w:numId w:val="21"/>
        </w:numPr>
        <w:rPr>
          <w:szCs w:val="24"/>
          <w:lang w:val="en-CA"/>
        </w:rPr>
      </w:pPr>
      <w:r>
        <w:rPr>
          <w:szCs w:val="24"/>
          <w:lang w:val="en-CA"/>
        </w:rPr>
        <w:t>a</w:t>
      </w:r>
      <w:r w:rsidR="00E843C9" w:rsidRPr="00017291">
        <w:rPr>
          <w:szCs w:val="24"/>
          <w:lang w:val="en-CA"/>
        </w:rPr>
        <w:t>bout which there is significant societal consensus that it is fundamental to the way in which the legal system ought fairly to operate, and</w:t>
      </w:r>
    </w:p>
    <w:p w14:paraId="0E022D91" w14:textId="5F87B2A6" w:rsidR="008C02E2" w:rsidRPr="00017291" w:rsidRDefault="009B13B4" w:rsidP="008C02E2">
      <w:pPr>
        <w:pStyle w:val="Paragraphe"/>
        <w:widowControl w:val="0"/>
        <w:numPr>
          <w:ilvl w:val="0"/>
          <w:numId w:val="21"/>
        </w:numPr>
        <w:rPr>
          <w:szCs w:val="24"/>
          <w:lang w:val="en-CA"/>
        </w:rPr>
      </w:pPr>
      <w:r>
        <w:rPr>
          <w:szCs w:val="24"/>
          <w:lang w:val="en-CA"/>
        </w:rPr>
        <w:t>that i</w:t>
      </w:r>
      <w:r w:rsidR="00E843C9" w:rsidRPr="00017291">
        <w:rPr>
          <w:szCs w:val="24"/>
          <w:lang w:val="en-CA"/>
        </w:rPr>
        <w:t>s identified with sufficient precision to yield a manageable standard against which to measure deprivations of life, liberty or security of the person.</w:t>
      </w:r>
      <w:r w:rsidR="00334F76" w:rsidRPr="00017291">
        <w:rPr>
          <w:rStyle w:val="Appelnotedebasdep"/>
          <w:szCs w:val="24"/>
          <w:lang w:val="en-CA"/>
        </w:rPr>
        <w:footnoteReference w:id="8"/>
      </w:r>
    </w:p>
    <w:p w14:paraId="049ACD4D" w14:textId="23D5BAD0" w:rsidR="008C02E2" w:rsidRPr="00017291" w:rsidRDefault="00414463" w:rsidP="008C02E2">
      <w:pPr>
        <w:pStyle w:val="Paragraphe"/>
        <w:widowControl w:val="0"/>
        <w:numPr>
          <w:ilvl w:val="0"/>
          <w:numId w:val="19"/>
        </w:numPr>
        <w:rPr>
          <w:szCs w:val="24"/>
          <w:lang w:val="en-CA"/>
        </w:rPr>
      </w:pPr>
      <w:r w:rsidRPr="00017291">
        <w:rPr>
          <w:szCs w:val="24"/>
          <w:lang w:val="en-CA"/>
        </w:rPr>
        <w:t xml:space="preserve">The appellants </w:t>
      </w:r>
      <w:r w:rsidR="009B13B4">
        <w:rPr>
          <w:szCs w:val="24"/>
          <w:lang w:val="en-CA"/>
        </w:rPr>
        <w:t>were required</w:t>
      </w:r>
      <w:r w:rsidRPr="00017291">
        <w:rPr>
          <w:szCs w:val="24"/>
          <w:lang w:val="en-CA"/>
        </w:rPr>
        <w:t xml:space="preserve"> to identify the principle of fundamental justice at issue and allege the facts supporting the argument that it was not respected.</w:t>
      </w:r>
      <w:r w:rsidR="00334F76" w:rsidRPr="00017291">
        <w:rPr>
          <w:szCs w:val="24"/>
          <w:lang w:val="en-CA"/>
        </w:rPr>
        <w:t xml:space="preserve"> </w:t>
      </w:r>
      <w:r w:rsidR="009B13B4">
        <w:rPr>
          <w:szCs w:val="24"/>
          <w:lang w:val="en-CA"/>
        </w:rPr>
        <w:t xml:space="preserve">However, in </w:t>
      </w:r>
      <w:r w:rsidRPr="00017291">
        <w:rPr>
          <w:szCs w:val="24"/>
          <w:lang w:val="en-CA"/>
        </w:rPr>
        <w:t>their proceedings, the appellants invoke no violation by the respondent of any principle of fundamental justice whatsoever.</w:t>
      </w:r>
      <w:r w:rsidR="00334F76" w:rsidRPr="00017291">
        <w:rPr>
          <w:szCs w:val="24"/>
          <w:lang w:val="en-CA"/>
        </w:rPr>
        <w:t xml:space="preserve"> </w:t>
      </w:r>
      <w:r w:rsidRPr="00017291">
        <w:rPr>
          <w:szCs w:val="24"/>
          <w:lang w:val="en-CA"/>
        </w:rPr>
        <w:t xml:space="preserve">In their </w:t>
      </w:r>
      <w:r w:rsidR="009B13B4">
        <w:rPr>
          <w:szCs w:val="24"/>
          <w:lang w:val="en-CA"/>
        </w:rPr>
        <w:t>notice to</w:t>
      </w:r>
      <w:r w:rsidRPr="00017291">
        <w:rPr>
          <w:szCs w:val="24"/>
          <w:lang w:val="en-CA"/>
        </w:rPr>
        <w:t xml:space="preserve"> the Attorney General of Quebec, they simply allege that the MTQ </w:t>
      </w:r>
      <w:r w:rsidR="009B13B4">
        <w:rPr>
          <w:szCs w:val="24"/>
          <w:lang w:val="en-CA"/>
        </w:rPr>
        <w:t>violated</w:t>
      </w:r>
      <w:r w:rsidRPr="00017291">
        <w:rPr>
          <w:szCs w:val="24"/>
          <w:lang w:val="en-CA"/>
        </w:rPr>
        <w:t xml:space="preserve"> certain provisions in the </w:t>
      </w:r>
      <w:r w:rsidRPr="009B13B4">
        <w:rPr>
          <w:i/>
          <w:iCs/>
          <w:szCs w:val="24"/>
          <w:lang w:val="en-CA"/>
        </w:rPr>
        <w:t>Highway Safety Code</w:t>
      </w:r>
      <w:r w:rsidRPr="00017291">
        <w:rPr>
          <w:rStyle w:val="Appelnotedebasdep"/>
          <w:szCs w:val="24"/>
          <w:lang w:val="en-CA"/>
        </w:rPr>
        <w:footnoteReference w:id="9"/>
      </w:r>
      <w:r w:rsidRPr="00017291">
        <w:rPr>
          <w:szCs w:val="24"/>
          <w:lang w:val="en-CA"/>
        </w:rPr>
        <w:t xml:space="preserve"> respecting </w:t>
      </w:r>
      <w:r w:rsidR="00AF4E19">
        <w:rPr>
          <w:szCs w:val="24"/>
          <w:lang w:val="en-CA"/>
        </w:rPr>
        <w:t xml:space="preserve">road and traffic </w:t>
      </w:r>
      <w:r w:rsidRPr="00017291">
        <w:rPr>
          <w:szCs w:val="24"/>
          <w:lang w:val="en-CA"/>
        </w:rPr>
        <w:t>signs and signals.</w:t>
      </w:r>
      <w:r w:rsidR="00334F76" w:rsidRPr="00017291">
        <w:rPr>
          <w:szCs w:val="24"/>
          <w:lang w:val="en-CA"/>
        </w:rPr>
        <w:t xml:space="preserve"> </w:t>
      </w:r>
      <w:r w:rsidRPr="00017291">
        <w:rPr>
          <w:szCs w:val="24"/>
          <w:lang w:val="en-CA"/>
        </w:rPr>
        <w:t xml:space="preserve">At the hearing, they added that the failure to promptly correct the </w:t>
      </w:r>
      <w:r w:rsidR="00E70719">
        <w:rPr>
          <w:szCs w:val="24"/>
          <w:lang w:val="en-CA"/>
        </w:rPr>
        <w:t>inadequate</w:t>
      </w:r>
      <w:r w:rsidRPr="00017291">
        <w:rPr>
          <w:szCs w:val="24"/>
          <w:lang w:val="en-CA"/>
        </w:rPr>
        <w:t xml:space="preserve"> </w:t>
      </w:r>
      <w:r w:rsidR="0028360A">
        <w:rPr>
          <w:szCs w:val="24"/>
          <w:lang w:val="en-CA"/>
        </w:rPr>
        <w:t>signage</w:t>
      </w:r>
      <w:r w:rsidRPr="00017291">
        <w:rPr>
          <w:szCs w:val="24"/>
          <w:lang w:val="en-CA"/>
        </w:rPr>
        <w:t xml:space="preserve"> </w:t>
      </w:r>
      <w:r w:rsidR="009B13B4">
        <w:rPr>
          <w:szCs w:val="24"/>
          <w:lang w:val="en-CA"/>
        </w:rPr>
        <w:t>was</w:t>
      </w:r>
      <w:r w:rsidRPr="00017291">
        <w:rPr>
          <w:szCs w:val="24"/>
          <w:lang w:val="en-CA"/>
        </w:rPr>
        <w:t xml:space="preserve"> arbitrary conduct tantamount to </w:t>
      </w:r>
      <w:r w:rsidR="009B13B4">
        <w:rPr>
          <w:szCs w:val="24"/>
          <w:lang w:val="en-CA"/>
        </w:rPr>
        <w:t>the</w:t>
      </w:r>
      <w:r w:rsidRPr="00017291">
        <w:rPr>
          <w:szCs w:val="24"/>
          <w:lang w:val="en-CA"/>
        </w:rPr>
        <w:t xml:space="preserve"> violation of a principle of fundamental justice.</w:t>
      </w:r>
      <w:r w:rsidR="00334F76" w:rsidRPr="00017291">
        <w:rPr>
          <w:szCs w:val="24"/>
          <w:lang w:val="en-CA"/>
        </w:rPr>
        <w:t xml:space="preserve"> </w:t>
      </w:r>
      <w:r w:rsidRPr="00017291">
        <w:rPr>
          <w:szCs w:val="24"/>
          <w:lang w:val="en-CA"/>
        </w:rPr>
        <w:t xml:space="preserve">These allegations do not meet the criteria established in </w:t>
      </w:r>
      <w:r w:rsidRPr="009B13B4">
        <w:rPr>
          <w:i/>
          <w:iCs/>
          <w:szCs w:val="24"/>
          <w:lang w:val="en-CA"/>
        </w:rPr>
        <w:t>Malmo-Levine</w:t>
      </w:r>
      <w:r w:rsidRPr="00017291">
        <w:rPr>
          <w:szCs w:val="24"/>
          <w:lang w:val="en-CA"/>
        </w:rPr>
        <w:t xml:space="preserve"> set out above.</w:t>
      </w:r>
      <w:r w:rsidR="00334F76" w:rsidRPr="00017291">
        <w:rPr>
          <w:szCs w:val="24"/>
          <w:lang w:val="en-CA"/>
        </w:rPr>
        <w:t xml:space="preserve"> </w:t>
      </w:r>
    </w:p>
    <w:p w14:paraId="41C2AA3C" w14:textId="61CB9C57" w:rsidR="008C02E2" w:rsidRPr="00017291" w:rsidRDefault="00414463" w:rsidP="008C02E2">
      <w:pPr>
        <w:pStyle w:val="Paragraphe"/>
        <w:widowControl w:val="0"/>
        <w:numPr>
          <w:ilvl w:val="0"/>
          <w:numId w:val="19"/>
        </w:numPr>
        <w:rPr>
          <w:szCs w:val="24"/>
          <w:lang w:val="en-CA"/>
        </w:rPr>
      </w:pPr>
      <w:r w:rsidRPr="00017291">
        <w:rPr>
          <w:szCs w:val="24"/>
          <w:lang w:val="en-CA"/>
        </w:rPr>
        <w:t xml:space="preserve">In reality, the appellants are trying to circumvent the effect of s. 83.57 of the </w:t>
      </w:r>
      <w:r w:rsidR="00B95578" w:rsidRPr="00B95578">
        <w:rPr>
          <w:i/>
          <w:iCs/>
          <w:szCs w:val="24"/>
          <w:lang w:val="en-CA"/>
        </w:rPr>
        <w:t>AIA</w:t>
      </w:r>
      <w:r w:rsidRPr="00017291">
        <w:rPr>
          <w:szCs w:val="24"/>
          <w:lang w:val="en-CA"/>
        </w:rPr>
        <w:t xml:space="preserve"> by invoking </w:t>
      </w:r>
      <w:r w:rsidR="00C33B2C">
        <w:rPr>
          <w:szCs w:val="24"/>
          <w:lang w:val="en-CA"/>
        </w:rPr>
        <w:t xml:space="preserve">s. </w:t>
      </w:r>
      <w:r w:rsidRPr="00017291">
        <w:rPr>
          <w:szCs w:val="24"/>
          <w:lang w:val="en-CA"/>
        </w:rPr>
        <w:t xml:space="preserve">7 of the </w:t>
      </w:r>
      <w:r w:rsidRPr="009B13B4">
        <w:rPr>
          <w:i/>
          <w:iCs/>
          <w:szCs w:val="24"/>
          <w:lang w:val="en-CA"/>
        </w:rPr>
        <w:t>Charter</w:t>
      </w:r>
      <w:r w:rsidRPr="00017291">
        <w:rPr>
          <w:szCs w:val="24"/>
          <w:lang w:val="en-CA"/>
        </w:rPr>
        <w:t xml:space="preserve"> to claim damages because of what they consider </w:t>
      </w:r>
      <w:r w:rsidR="009B13B4">
        <w:rPr>
          <w:szCs w:val="24"/>
          <w:lang w:val="en-CA"/>
        </w:rPr>
        <w:t xml:space="preserve">to have been </w:t>
      </w:r>
      <w:r w:rsidRPr="00017291">
        <w:rPr>
          <w:szCs w:val="24"/>
          <w:lang w:val="en-CA"/>
        </w:rPr>
        <w:t>gross fault committed by the MTQ.</w:t>
      </w:r>
      <w:r w:rsidR="00334F76" w:rsidRPr="00017291">
        <w:rPr>
          <w:szCs w:val="24"/>
          <w:lang w:val="en-CA"/>
        </w:rPr>
        <w:t xml:space="preserve"> </w:t>
      </w:r>
      <w:r w:rsidRPr="00017291">
        <w:rPr>
          <w:szCs w:val="24"/>
          <w:lang w:val="en-CA"/>
        </w:rPr>
        <w:t xml:space="preserve">Accepting this reasoning would be tantamount to creating a parallel state </w:t>
      </w:r>
      <w:r w:rsidR="009B13B4" w:rsidRPr="00017291">
        <w:rPr>
          <w:szCs w:val="24"/>
          <w:lang w:val="en-CA"/>
        </w:rPr>
        <w:t>liability</w:t>
      </w:r>
      <w:r w:rsidRPr="00017291">
        <w:rPr>
          <w:szCs w:val="24"/>
          <w:lang w:val="en-CA"/>
        </w:rPr>
        <w:t xml:space="preserve"> system based on the </w:t>
      </w:r>
      <w:r w:rsidRPr="00563FA6">
        <w:rPr>
          <w:i/>
          <w:iCs/>
          <w:szCs w:val="24"/>
          <w:lang w:val="en-CA"/>
        </w:rPr>
        <w:t>Charter</w:t>
      </w:r>
      <w:r w:rsidRPr="00017291">
        <w:rPr>
          <w:szCs w:val="24"/>
          <w:lang w:val="en-CA"/>
        </w:rPr>
        <w:t xml:space="preserve">. It would also recognize an autonomous right to the protection of life and security of the person that completely ignores the principle of fundamental justice inherent in s. 7 of the </w:t>
      </w:r>
      <w:r w:rsidRPr="00563FA6">
        <w:rPr>
          <w:i/>
          <w:iCs/>
          <w:szCs w:val="24"/>
          <w:lang w:val="en-CA"/>
        </w:rPr>
        <w:t>Charter</w:t>
      </w:r>
      <w:r w:rsidRPr="00017291">
        <w:rPr>
          <w:szCs w:val="24"/>
          <w:lang w:val="en-CA"/>
        </w:rPr>
        <w:t>.</w:t>
      </w:r>
      <w:r w:rsidR="00334F76" w:rsidRPr="00017291">
        <w:rPr>
          <w:szCs w:val="24"/>
          <w:lang w:val="en-CA"/>
        </w:rPr>
        <w:t xml:space="preserve"> </w:t>
      </w:r>
    </w:p>
    <w:p w14:paraId="6409A087" w14:textId="596C7023" w:rsidR="008C02E2" w:rsidRPr="00017291" w:rsidRDefault="00414463" w:rsidP="008C02E2">
      <w:pPr>
        <w:pStyle w:val="Paragraphe"/>
        <w:widowControl w:val="0"/>
        <w:numPr>
          <w:ilvl w:val="0"/>
          <w:numId w:val="19"/>
        </w:numPr>
        <w:rPr>
          <w:szCs w:val="24"/>
          <w:lang w:val="en-CA"/>
        </w:rPr>
      </w:pPr>
      <w:r w:rsidRPr="00017291">
        <w:rPr>
          <w:szCs w:val="24"/>
          <w:lang w:val="en-CA"/>
        </w:rPr>
        <w:t>In such circumstances, the appellants would never be able to meet the</w:t>
      </w:r>
      <w:r w:rsidR="00C53DE0">
        <w:rPr>
          <w:szCs w:val="24"/>
          <w:lang w:val="en-CA"/>
        </w:rPr>
        <w:t>ir</w:t>
      </w:r>
      <w:r w:rsidRPr="00017291">
        <w:rPr>
          <w:szCs w:val="24"/>
          <w:lang w:val="en-CA"/>
        </w:rPr>
        <w:t xml:space="preserve"> burden </w:t>
      </w:r>
      <w:r w:rsidR="00C53DE0">
        <w:rPr>
          <w:szCs w:val="24"/>
          <w:lang w:val="en-CA"/>
        </w:rPr>
        <w:t>of proof</w:t>
      </w:r>
      <w:r w:rsidRPr="00017291">
        <w:rPr>
          <w:szCs w:val="24"/>
          <w:lang w:val="en-CA"/>
        </w:rPr>
        <w:t>.</w:t>
      </w:r>
      <w:r w:rsidR="00334F76" w:rsidRPr="00017291">
        <w:rPr>
          <w:szCs w:val="24"/>
          <w:lang w:val="en-CA"/>
        </w:rPr>
        <w:t xml:space="preserve"> </w:t>
      </w:r>
      <w:r w:rsidRPr="00017291">
        <w:rPr>
          <w:szCs w:val="24"/>
          <w:lang w:val="en-CA"/>
        </w:rPr>
        <w:t xml:space="preserve">The remedy sought under s. 24(1) of the </w:t>
      </w:r>
      <w:r w:rsidRPr="00563FA6">
        <w:rPr>
          <w:i/>
          <w:iCs/>
          <w:szCs w:val="24"/>
          <w:lang w:val="en-CA"/>
        </w:rPr>
        <w:t>Charter</w:t>
      </w:r>
      <w:r w:rsidRPr="00017291">
        <w:rPr>
          <w:szCs w:val="24"/>
          <w:lang w:val="en-CA"/>
        </w:rPr>
        <w:t xml:space="preserve"> is clearly unfounded in law.</w:t>
      </w:r>
    </w:p>
    <w:p w14:paraId="606047FD" w14:textId="282B0BC5" w:rsidR="008C02E2" w:rsidRPr="00017291" w:rsidRDefault="00414463" w:rsidP="008C02E2">
      <w:pPr>
        <w:pStyle w:val="Paragraphe"/>
        <w:numPr>
          <w:ilvl w:val="0"/>
          <w:numId w:val="0"/>
        </w:numPr>
        <w:rPr>
          <w:szCs w:val="24"/>
          <w:lang w:val="en-CA"/>
        </w:rPr>
      </w:pPr>
      <w:r w:rsidRPr="00017291">
        <w:rPr>
          <w:b/>
          <w:szCs w:val="24"/>
          <w:lang w:val="en-CA"/>
        </w:rPr>
        <w:lastRenderedPageBreak/>
        <w:t>FOR THESE REASONS, THE COURT:</w:t>
      </w:r>
    </w:p>
    <w:p w14:paraId="68B692CB" w14:textId="4729E89D" w:rsidR="008C02E2" w:rsidRPr="00563FA6" w:rsidRDefault="00414463" w:rsidP="008C02E2">
      <w:pPr>
        <w:pStyle w:val="Paragraphe"/>
        <w:widowControl w:val="0"/>
        <w:numPr>
          <w:ilvl w:val="0"/>
          <w:numId w:val="19"/>
        </w:numPr>
        <w:rPr>
          <w:bCs/>
          <w:szCs w:val="24"/>
          <w:lang w:val="en-CA"/>
        </w:rPr>
      </w:pPr>
      <w:r w:rsidRPr="00017291">
        <w:rPr>
          <w:b/>
          <w:szCs w:val="24"/>
          <w:lang w:val="en-CA"/>
        </w:rPr>
        <w:t xml:space="preserve">DISMISSES </w:t>
      </w:r>
      <w:r w:rsidRPr="00563FA6">
        <w:rPr>
          <w:bCs/>
          <w:szCs w:val="24"/>
          <w:lang w:val="en-CA"/>
        </w:rPr>
        <w:t>the appeal;</w:t>
      </w:r>
    </w:p>
    <w:p w14:paraId="3F2A6670" w14:textId="4339890D" w:rsidR="008C02E2" w:rsidRPr="00017291" w:rsidRDefault="00414463" w:rsidP="008C02E2">
      <w:pPr>
        <w:pStyle w:val="Paragraphe"/>
        <w:widowControl w:val="0"/>
        <w:numPr>
          <w:ilvl w:val="0"/>
          <w:numId w:val="19"/>
        </w:numPr>
        <w:rPr>
          <w:szCs w:val="24"/>
          <w:lang w:val="en-CA"/>
        </w:rPr>
      </w:pPr>
      <w:r w:rsidRPr="00017291">
        <w:rPr>
          <w:b/>
          <w:szCs w:val="24"/>
          <w:lang w:val="en-CA"/>
        </w:rPr>
        <w:t xml:space="preserve">THE WHOLE </w:t>
      </w:r>
      <w:r w:rsidRPr="00563FA6">
        <w:rPr>
          <w:bCs/>
          <w:szCs w:val="24"/>
          <w:lang w:val="en-CA"/>
        </w:rPr>
        <w:t>with legal costs.</w:t>
      </w:r>
    </w:p>
    <w:p w14:paraId="58A8B7B8" w14:textId="77777777" w:rsidR="00E51293" w:rsidRPr="00017291" w:rsidRDefault="00E51293" w:rsidP="008C02E2">
      <w:pPr>
        <w:pStyle w:val="Paragraphe"/>
        <w:numPr>
          <w:ilvl w:val="0"/>
          <w:numId w:val="0"/>
        </w:numPr>
        <w:rPr>
          <w:lang w:val="en-CA"/>
        </w:rPr>
      </w:pPr>
    </w:p>
    <w:p w14:paraId="5B9CF04C" w14:textId="77777777" w:rsidR="008C02E2" w:rsidRPr="00017291" w:rsidRDefault="008C02E2" w:rsidP="008C02E2">
      <w:pPr>
        <w:pStyle w:val="Paragraphe"/>
        <w:numPr>
          <w:ilvl w:val="0"/>
          <w:numId w:val="0"/>
        </w:numPr>
        <w:rPr>
          <w:lang w:val="en-CA"/>
        </w:rPr>
      </w:pPr>
    </w:p>
    <w:p w14:paraId="2EBB8760" w14:textId="77777777" w:rsidR="008C02E2" w:rsidRPr="00017291" w:rsidRDefault="008C02E2" w:rsidP="008C02E2">
      <w:pPr>
        <w:pStyle w:val="Paragraphe"/>
        <w:numPr>
          <w:ilvl w:val="0"/>
          <w:numId w:val="0"/>
        </w:numPr>
        <w:rPr>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7C67A4" w:rsidRPr="0028360A" w14:paraId="3C459D14" w14:textId="77777777" w:rsidTr="00FB3369">
        <w:tc>
          <w:tcPr>
            <w:tcW w:w="4500" w:type="dxa"/>
          </w:tcPr>
          <w:p w14:paraId="6B4539B3" w14:textId="77777777" w:rsidR="00887EEB" w:rsidRPr="00017291" w:rsidRDefault="00887EEB" w:rsidP="00887EEB">
            <w:pPr>
              <w:keepNext/>
              <w:spacing w:line="240" w:lineRule="auto"/>
              <w:jc w:val="both"/>
              <w:rPr>
                <w:rFonts w:cs="Arial"/>
                <w:szCs w:val="24"/>
                <w:lang w:val="en-CA"/>
              </w:rPr>
            </w:pPr>
          </w:p>
        </w:tc>
        <w:tc>
          <w:tcPr>
            <w:tcW w:w="4860" w:type="dxa"/>
            <w:tcBorders>
              <w:top w:val="single" w:sz="4" w:space="0" w:color="auto"/>
            </w:tcBorders>
          </w:tcPr>
          <w:p w14:paraId="59C38156" w14:textId="5AA86B64" w:rsidR="00887EEB" w:rsidRPr="00017291" w:rsidRDefault="00334F76" w:rsidP="00887EEB">
            <w:pPr>
              <w:keepNext/>
              <w:spacing w:line="240" w:lineRule="auto"/>
              <w:rPr>
                <w:rFonts w:cs="Arial"/>
                <w:caps/>
                <w:szCs w:val="24"/>
                <w:lang w:val="en-CA"/>
              </w:rPr>
            </w:pPr>
            <w:r w:rsidRPr="00017291">
              <w:rPr>
                <w:lang w:val="en-CA"/>
              </w:rPr>
              <w:t>ALLAN R. HILTON, J.A.</w:t>
            </w:r>
          </w:p>
        </w:tc>
      </w:tr>
    </w:tbl>
    <w:p w14:paraId="55A7E420" w14:textId="77777777" w:rsidR="00887EEB" w:rsidRPr="00017291" w:rsidRDefault="00887EEB" w:rsidP="00887EEB">
      <w:pPr>
        <w:keepNext/>
        <w:spacing w:line="240" w:lineRule="auto"/>
        <w:jc w:val="both"/>
        <w:rPr>
          <w:rFonts w:cs="Arial"/>
          <w:szCs w:val="24"/>
          <w:lang w:val="en-CA"/>
        </w:rPr>
      </w:pPr>
    </w:p>
    <w:p w14:paraId="24E793FE" w14:textId="77777777" w:rsidR="00887EEB" w:rsidRPr="00017291" w:rsidRDefault="00887EEB"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7C67A4" w:rsidRPr="00017291" w14:paraId="26337AB5" w14:textId="77777777" w:rsidTr="00FB3369">
        <w:tc>
          <w:tcPr>
            <w:tcW w:w="4500" w:type="dxa"/>
          </w:tcPr>
          <w:p w14:paraId="63252E1E" w14:textId="77777777" w:rsidR="00887EEB" w:rsidRPr="00017291" w:rsidRDefault="00887EEB" w:rsidP="00887EEB">
            <w:pPr>
              <w:keepNext/>
              <w:spacing w:line="240" w:lineRule="auto"/>
              <w:jc w:val="both"/>
              <w:rPr>
                <w:rFonts w:cs="Arial"/>
                <w:szCs w:val="24"/>
                <w:lang w:val="en-CA"/>
              </w:rPr>
            </w:pPr>
          </w:p>
        </w:tc>
        <w:tc>
          <w:tcPr>
            <w:tcW w:w="4860" w:type="dxa"/>
            <w:tcBorders>
              <w:top w:val="single" w:sz="4" w:space="0" w:color="auto"/>
            </w:tcBorders>
          </w:tcPr>
          <w:p w14:paraId="2467339B" w14:textId="5AAD9DA5" w:rsidR="00887EEB" w:rsidRPr="00017291" w:rsidRDefault="00334F76" w:rsidP="00887EEB">
            <w:pPr>
              <w:keepNext/>
              <w:spacing w:line="240" w:lineRule="auto"/>
              <w:rPr>
                <w:rFonts w:cs="Arial"/>
                <w:caps/>
                <w:szCs w:val="24"/>
                <w:lang w:val="en-CA"/>
              </w:rPr>
            </w:pPr>
            <w:r w:rsidRPr="00017291">
              <w:rPr>
                <w:lang w:val="en-CA"/>
              </w:rPr>
              <w:t>CLAUDINE ROY, J.A.</w:t>
            </w:r>
          </w:p>
        </w:tc>
      </w:tr>
    </w:tbl>
    <w:p w14:paraId="1FF72A7A" w14:textId="77777777" w:rsidR="00887EEB" w:rsidRPr="00017291" w:rsidRDefault="00887EEB" w:rsidP="00887EEB">
      <w:pPr>
        <w:keepNext/>
        <w:spacing w:line="240" w:lineRule="auto"/>
        <w:jc w:val="both"/>
        <w:rPr>
          <w:rFonts w:cs="Arial"/>
          <w:szCs w:val="24"/>
          <w:lang w:val="en-CA"/>
        </w:rPr>
      </w:pPr>
    </w:p>
    <w:p w14:paraId="6825510D" w14:textId="77777777" w:rsidR="00887EEB" w:rsidRPr="00017291" w:rsidRDefault="00887EEB" w:rsidP="00887EEB">
      <w:pPr>
        <w:keepNext/>
        <w:spacing w:line="240" w:lineRule="auto"/>
        <w:jc w:val="both"/>
        <w:rPr>
          <w:rFonts w:cs="Arial"/>
          <w:szCs w:val="24"/>
          <w:lang w:val="en-CA"/>
        </w:rPr>
      </w:pPr>
    </w:p>
    <w:tbl>
      <w:tblPr>
        <w:tblW w:w="9360" w:type="dxa"/>
        <w:tblLayout w:type="fixed"/>
        <w:tblCellMar>
          <w:left w:w="70" w:type="dxa"/>
          <w:right w:w="70" w:type="dxa"/>
        </w:tblCellMar>
        <w:tblLook w:val="0000" w:firstRow="0" w:lastRow="0" w:firstColumn="0" w:lastColumn="0" w:noHBand="0" w:noVBand="0"/>
      </w:tblPr>
      <w:tblGrid>
        <w:gridCol w:w="4500"/>
        <w:gridCol w:w="4860"/>
      </w:tblGrid>
      <w:tr w:rsidR="007C67A4" w:rsidRPr="00017291" w14:paraId="45EF54D8" w14:textId="77777777" w:rsidTr="00FB3369">
        <w:tc>
          <w:tcPr>
            <w:tcW w:w="4500" w:type="dxa"/>
          </w:tcPr>
          <w:p w14:paraId="7AA34B8B" w14:textId="77777777" w:rsidR="00887EEB" w:rsidRPr="00017291" w:rsidRDefault="00887EEB" w:rsidP="00887EEB">
            <w:pPr>
              <w:keepNext/>
              <w:spacing w:line="240" w:lineRule="auto"/>
              <w:jc w:val="both"/>
              <w:rPr>
                <w:rFonts w:cs="Arial"/>
                <w:szCs w:val="24"/>
                <w:lang w:val="en-CA"/>
              </w:rPr>
            </w:pPr>
          </w:p>
        </w:tc>
        <w:tc>
          <w:tcPr>
            <w:tcW w:w="4860" w:type="dxa"/>
            <w:tcBorders>
              <w:top w:val="single" w:sz="4" w:space="0" w:color="auto"/>
            </w:tcBorders>
          </w:tcPr>
          <w:p w14:paraId="6595FBF2" w14:textId="021464A7" w:rsidR="00887EEB" w:rsidRPr="00017291" w:rsidRDefault="00334F76" w:rsidP="00887EEB">
            <w:pPr>
              <w:keepNext/>
              <w:spacing w:line="240" w:lineRule="auto"/>
              <w:rPr>
                <w:rFonts w:cs="Arial"/>
                <w:caps/>
                <w:szCs w:val="24"/>
                <w:lang w:val="en-CA"/>
              </w:rPr>
            </w:pPr>
            <w:r w:rsidRPr="00017291">
              <w:rPr>
                <w:lang w:val="en-CA"/>
              </w:rPr>
              <w:t>GENEVIÈVE COTNAM, J.A.</w:t>
            </w:r>
          </w:p>
        </w:tc>
      </w:tr>
    </w:tbl>
    <w:p w14:paraId="0996CBD2" w14:textId="77777777" w:rsidR="00887EEB" w:rsidRPr="00017291" w:rsidRDefault="00887EEB" w:rsidP="00887EEB">
      <w:pPr>
        <w:spacing w:line="240" w:lineRule="auto"/>
        <w:jc w:val="both"/>
        <w:rPr>
          <w:rFonts w:cs="Arial"/>
          <w:szCs w:val="24"/>
          <w:lang w:val="en-CA"/>
        </w:rPr>
      </w:pPr>
    </w:p>
    <w:p w14:paraId="7915F999" w14:textId="77777777" w:rsidR="00AC5BB3" w:rsidRPr="00017291" w:rsidRDefault="00AC5BB3" w:rsidP="00E06061">
      <w:pPr>
        <w:pStyle w:val="Paragraphe"/>
        <w:numPr>
          <w:ilvl w:val="0"/>
          <w:numId w:val="0"/>
        </w:numPr>
        <w:rPr>
          <w:lang w:val="en-CA"/>
        </w:rPr>
      </w:pPr>
    </w:p>
    <w:p w14:paraId="5B155944" w14:textId="77777777" w:rsidR="005B4976" w:rsidRPr="00017291" w:rsidRDefault="005B4976" w:rsidP="00E06061">
      <w:pPr>
        <w:pStyle w:val="Paragraphe"/>
        <w:numPr>
          <w:ilvl w:val="0"/>
          <w:numId w:val="0"/>
        </w:numPr>
        <w:rPr>
          <w:lang w:val="en-CA"/>
        </w:rPr>
      </w:pPr>
    </w:p>
    <w:p w14:paraId="5D0E7B1D" w14:textId="77777777" w:rsidR="005B4976" w:rsidRPr="00017291" w:rsidRDefault="005B4976" w:rsidP="00E06061">
      <w:pPr>
        <w:pStyle w:val="Paragraphe"/>
        <w:numPr>
          <w:ilvl w:val="0"/>
          <w:numId w:val="0"/>
        </w:numPr>
        <w:rPr>
          <w:lang w:val="en-CA"/>
        </w:rPr>
      </w:pPr>
    </w:p>
    <w:p w14:paraId="0F95F994" w14:textId="77777777" w:rsidR="005B4976" w:rsidRPr="00017291" w:rsidRDefault="005B4976" w:rsidP="00E06061">
      <w:pPr>
        <w:pStyle w:val="Paragraphe"/>
        <w:numPr>
          <w:ilvl w:val="0"/>
          <w:numId w:val="0"/>
        </w:numPr>
        <w:rPr>
          <w:lang w:val="en-CA"/>
        </w:rPr>
      </w:pPr>
    </w:p>
    <w:p w14:paraId="079467C7" w14:textId="77777777" w:rsidR="005B4976" w:rsidRPr="00017291" w:rsidRDefault="005B4976" w:rsidP="00E06061">
      <w:pPr>
        <w:pStyle w:val="Paragraphe"/>
        <w:numPr>
          <w:ilvl w:val="0"/>
          <w:numId w:val="0"/>
        </w:numPr>
        <w:rPr>
          <w:lang w:val="en-CA"/>
        </w:rPr>
      </w:pPr>
    </w:p>
    <w:p w14:paraId="635DFBEE" w14:textId="77777777" w:rsidR="005B4976" w:rsidRPr="00017291" w:rsidRDefault="005B4976" w:rsidP="00E06061">
      <w:pPr>
        <w:pStyle w:val="Paragraphe"/>
        <w:numPr>
          <w:ilvl w:val="0"/>
          <w:numId w:val="0"/>
        </w:numPr>
        <w:rPr>
          <w:lang w:val="en-CA"/>
        </w:rPr>
      </w:pPr>
    </w:p>
    <w:sectPr w:rsidR="005B4976" w:rsidRPr="00017291" w:rsidSect="0081523C">
      <w:headerReference w:type="default" r:id="rId8"/>
      <w:footnotePr>
        <w:numRestart w:val="eachSect"/>
      </w:footnotePr>
      <w:pgSz w:w="12242" w:h="15842" w:code="1"/>
      <w:pgMar w:top="720" w:right="1262" w:bottom="1296" w:left="1620" w:header="1440" w:footer="792"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9674" w14:textId="77777777" w:rsidR="0022415D" w:rsidRDefault="0022415D">
      <w:pPr>
        <w:spacing w:line="240" w:lineRule="auto"/>
      </w:pPr>
      <w:r>
        <w:separator/>
      </w:r>
    </w:p>
  </w:endnote>
  <w:endnote w:type="continuationSeparator" w:id="0">
    <w:p w14:paraId="6F07499E" w14:textId="77777777" w:rsidR="0022415D" w:rsidRDefault="0022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9B79" w14:textId="77777777" w:rsidR="0022415D" w:rsidRDefault="0022415D">
      <w:r>
        <w:separator/>
      </w:r>
    </w:p>
  </w:footnote>
  <w:footnote w:type="continuationSeparator" w:id="0">
    <w:p w14:paraId="19A142AE" w14:textId="77777777" w:rsidR="0022415D" w:rsidRDefault="0022415D">
      <w:r>
        <w:continuationSeparator/>
      </w:r>
    </w:p>
  </w:footnote>
  <w:footnote w:id="1">
    <w:p w14:paraId="1FDB3C5B" w14:textId="4E6A1FF7" w:rsidR="00334F76" w:rsidRPr="002C3588" w:rsidRDefault="00334F76" w:rsidP="00334F76">
      <w:pPr>
        <w:pStyle w:val="Notedebasdepage"/>
        <w:tabs>
          <w:tab w:val="left" w:pos="567"/>
        </w:tabs>
        <w:ind w:left="567" w:hanging="567"/>
        <w:rPr>
          <w:lang w:val="en-CA"/>
        </w:rPr>
      </w:pPr>
      <w:r>
        <w:rPr>
          <w:rStyle w:val="Appelnotedebasdep"/>
        </w:rPr>
        <w:footnoteRef/>
      </w:r>
      <w:r w:rsidRPr="002C3588">
        <w:rPr>
          <w:lang w:val="en-CA"/>
        </w:rPr>
        <w:tab/>
      </w:r>
      <w:r w:rsidR="00414463" w:rsidRPr="002C3588">
        <w:rPr>
          <w:i/>
          <w:lang w:val="en-CA"/>
        </w:rPr>
        <w:t>Automobile Insurance Act</w:t>
      </w:r>
      <w:r w:rsidR="00414463" w:rsidRPr="002C3588">
        <w:rPr>
          <w:lang w:val="en-CA"/>
        </w:rPr>
        <w:t>, CQLR, c. A-25.</w:t>
      </w:r>
    </w:p>
  </w:footnote>
  <w:footnote w:id="2">
    <w:p w14:paraId="5696BFA1" w14:textId="613ABB22" w:rsidR="00334F76" w:rsidRPr="00334F76" w:rsidRDefault="00334F76" w:rsidP="00334F76">
      <w:pPr>
        <w:pStyle w:val="Notedebasdepage"/>
        <w:ind w:left="567" w:hanging="567"/>
        <w:rPr>
          <w:rFonts w:cs="Arial"/>
          <w:lang w:val="en-CA"/>
        </w:rPr>
      </w:pPr>
      <w:r w:rsidRPr="0067628E">
        <w:rPr>
          <w:rStyle w:val="Appelnotedebasdep"/>
          <w:rFonts w:cs="Arial"/>
        </w:rPr>
        <w:footnoteRef/>
      </w:r>
      <w:r w:rsidRPr="002C3588">
        <w:rPr>
          <w:rFonts w:cs="Arial"/>
          <w:lang w:val="en-CA"/>
        </w:rPr>
        <w:t xml:space="preserve"> </w:t>
      </w:r>
      <w:r w:rsidRPr="002C3588">
        <w:rPr>
          <w:rFonts w:cs="Arial"/>
          <w:lang w:val="en-CA"/>
        </w:rPr>
        <w:tab/>
      </w:r>
      <w:r w:rsidR="00414463" w:rsidRPr="002C3588">
        <w:rPr>
          <w:rFonts w:cs="Arial"/>
          <w:lang w:val="en-CA"/>
        </w:rPr>
        <w:t xml:space="preserve">Part 1 of the </w:t>
      </w:r>
      <w:r w:rsidR="00414463" w:rsidRPr="00080757">
        <w:rPr>
          <w:rFonts w:cs="Arial"/>
          <w:i/>
          <w:iCs/>
          <w:lang w:val="en-CA"/>
        </w:rPr>
        <w:t>Constitution Act, 1982</w:t>
      </w:r>
      <w:r w:rsidR="00414463" w:rsidRPr="002C3588">
        <w:rPr>
          <w:rFonts w:cs="Arial"/>
          <w:lang w:val="en-CA"/>
        </w:rPr>
        <w:t xml:space="preserve">, being Schedule B of the </w:t>
      </w:r>
      <w:r w:rsidR="00414463" w:rsidRPr="00080757">
        <w:rPr>
          <w:rFonts w:cs="Arial"/>
          <w:i/>
          <w:iCs/>
          <w:lang w:val="en-CA"/>
        </w:rPr>
        <w:t>Canada Act 1982</w:t>
      </w:r>
      <w:r w:rsidR="00414463" w:rsidRPr="002C3588">
        <w:rPr>
          <w:rFonts w:cs="Arial"/>
          <w:lang w:val="en-CA"/>
        </w:rPr>
        <w:t>, U.K., c. 11; R.S.C. (1985), App</w:t>
      </w:r>
      <w:r w:rsidR="004E5A85">
        <w:rPr>
          <w:rFonts w:cs="Arial"/>
          <w:lang w:val="en-CA"/>
        </w:rPr>
        <w:t>endix</w:t>
      </w:r>
      <w:r w:rsidR="00414463" w:rsidRPr="002C3588">
        <w:rPr>
          <w:rFonts w:cs="Arial"/>
          <w:lang w:val="en-CA"/>
        </w:rPr>
        <w:t xml:space="preserve"> II, No. 44.</w:t>
      </w:r>
    </w:p>
  </w:footnote>
  <w:footnote w:id="3">
    <w:p w14:paraId="0AF0B941" w14:textId="60E652DF" w:rsidR="00334F76" w:rsidRPr="002C3588" w:rsidRDefault="00334F76" w:rsidP="00334F76">
      <w:pPr>
        <w:pStyle w:val="Notedebasdepage"/>
        <w:ind w:left="567" w:hanging="567"/>
        <w:rPr>
          <w:rFonts w:cs="Arial"/>
          <w:lang w:val="en-CA"/>
        </w:rPr>
      </w:pPr>
      <w:r>
        <w:rPr>
          <w:rStyle w:val="Appelnotedebasdep"/>
        </w:rPr>
        <w:footnoteRef/>
      </w:r>
      <w:r w:rsidRPr="00334F76">
        <w:rPr>
          <w:lang w:val="en-CA"/>
        </w:rPr>
        <w:t xml:space="preserve"> </w:t>
      </w:r>
      <w:r w:rsidRPr="00334F76">
        <w:rPr>
          <w:lang w:val="en-CA"/>
        </w:rPr>
        <w:tab/>
      </w:r>
      <w:r w:rsidR="00414463" w:rsidRPr="00414463">
        <w:rPr>
          <w:rFonts w:cs="Arial"/>
          <w:i/>
          <w:szCs w:val="24"/>
          <w:lang w:val="en-CA"/>
        </w:rPr>
        <w:t>De Montigny v. Brossard (Succession)</w:t>
      </w:r>
      <w:r w:rsidR="00414463" w:rsidRPr="00414463">
        <w:rPr>
          <w:rFonts w:cs="Arial"/>
          <w:szCs w:val="24"/>
          <w:lang w:val="en-CA"/>
        </w:rPr>
        <w:t>, [2010] 3 S.C.R.</w:t>
      </w:r>
      <w:r w:rsidRPr="00334F76">
        <w:rPr>
          <w:rFonts w:cs="Arial"/>
          <w:szCs w:val="24"/>
          <w:lang w:val="en-CA"/>
        </w:rPr>
        <w:t xml:space="preserve"> </w:t>
      </w:r>
      <w:r w:rsidR="00414463" w:rsidRPr="002C3588">
        <w:rPr>
          <w:rFonts w:cs="Arial"/>
          <w:szCs w:val="24"/>
          <w:lang w:val="en-CA"/>
        </w:rPr>
        <w:t xml:space="preserve">64; </w:t>
      </w:r>
      <w:r w:rsidR="00414463" w:rsidRPr="002C3588">
        <w:rPr>
          <w:rFonts w:cs="Arial"/>
          <w:i/>
          <w:szCs w:val="24"/>
          <w:lang w:val="en-CA"/>
        </w:rPr>
        <w:t>Béliveau St-Jacques v. Fédérations des employées et employés de services publics inc.</w:t>
      </w:r>
      <w:r w:rsidR="00414463" w:rsidRPr="002C3588">
        <w:rPr>
          <w:rFonts w:cs="Arial"/>
          <w:szCs w:val="24"/>
          <w:lang w:val="en-CA"/>
        </w:rPr>
        <w:t>, [1996] 2 S.C.R.</w:t>
      </w:r>
      <w:r w:rsidRPr="002C3588">
        <w:rPr>
          <w:rFonts w:cs="Arial"/>
          <w:szCs w:val="24"/>
          <w:lang w:val="en-CA"/>
        </w:rPr>
        <w:t xml:space="preserve"> </w:t>
      </w:r>
      <w:r w:rsidR="00414463" w:rsidRPr="002C3588">
        <w:rPr>
          <w:rFonts w:cs="Arial"/>
          <w:szCs w:val="24"/>
          <w:lang w:val="en-CA"/>
        </w:rPr>
        <w:t xml:space="preserve">345, regarding an action for punitive damages under the </w:t>
      </w:r>
      <w:r w:rsidR="00414463" w:rsidRPr="00832BFC">
        <w:rPr>
          <w:rFonts w:cs="Arial"/>
          <w:i/>
          <w:iCs/>
          <w:szCs w:val="24"/>
          <w:lang w:val="en-CA"/>
        </w:rPr>
        <w:t>Charter of human rights and freedoms</w:t>
      </w:r>
      <w:r w:rsidR="00414463" w:rsidRPr="002C3588">
        <w:rPr>
          <w:rFonts w:cs="Arial"/>
          <w:szCs w:val="24"/>
          <w:lang w:val="en-CA"/>
        </w:rPr>
        <w:t>, CQLR, c. C-12.</w:t>
      </w:r>
    </w:p>
  </w:footnote>
  <w:footnote w:id="4">
    <w:p w14:paraId="29C9EF66" w14:textId="37CD801D" w:rsidR="00334F76" w:rsidRPr="0028360A" w:rsidRDefault="00334F76" w:rsidP="00334F76">
      <w:pPr>
        <w:pStyle w:val="Notedebasdepage"/>
        <w:tabs>
          <w:tab w:val="left" w:pos="567"/>
        </w:tabs>
        <w:ind w:left="567" w:hanging="567"/>
        <w:rPr>
          <w:rFonts w:cs="Arial"/>
          <w:lang w:val="en-CA"/>
        </w:rPr>
      </w:pPr>
      <w:r w:rsidRPr="00C70437">
        <w:rPr>
          <w:rStyle w:val="Appelnotedebasdep"/>
          <w:rFonts w:cs="Arial"/>
        </w:rPr>
        <w:footnoteRef/>
      </w:r>
      <w:r w:rsidRPr="002C3588">
        <w:rPr>
          <w:rFonts w:cs="Arial"/>
          <w:lang w:val="en-CA"/>
        </w:rPr>
        <w:t xml:space="preserve"> </w:t>
      </w:r>
      <w:r w:rsidRPr="002C3588">
        <w:rPr>
          <w:rFonts w:cs="Arial"/>
          <w:lang w:val="en-CA"/>
        </w:rPr>
        <w:tab/>
      </w:r>
      <w:r w:rsidR="00414463" w:rsidRPr="002C3588">
        <w:rPr>
          <w:rFonts w:cs="Arial"/>
          <w:lang w:val="en-CA"/>
        </w:rPr>
        <w:t xml:space="preserve">The burden of proof lies on the appellants: </w:t>
      </w:r>
      <w:r w:rsidR="00414463" w:rsidRPr="002C3588">
        <w:rPr>
          <w:rFonts w:cs="Arial"/>
          <w:i/>
          <w:lang w:val="en-CA"/>
        </w:rPr>
        <w:t>Malmo-Levine</w:t>
      </w:r>
      <w:r w:rsidR="00414463" w:rsidRPr="002C3588">
        <w:rPr>
          <w:rFonts w:cs="Arial"/>
          <w:lang w:val="en-CA"/>
        </w:rPr>
        <w:t xml:space="preserve">; </w:t>
      </w:r>
      <w:r w:rsidR="00414463" w:rsidRPr="002C3588">
        <w:rPr>
          <w:rFonts w:cs="Arial"/>
          <w:i/>
          <w:lang w:val="en-CA"/>
        </w:rPr>
        <w:t>R v</w:t>
      </w:r>
      <w:r w:rsidR="00414463" w:rsidRPr="002C3588">
        <w:rPr>
          <w:rFonts w:cs="Arial"/>
          <w:lang w:val="en-CA"/>
        </w:rPr>
        <w:t xml:space="preserve">. </w:t>
      </w:r>
      <w:r w:rsidR="00414463" w:rsidRPr="002C3588">
        <w:rPr>
          <w:rFonts w:cs="Arial"/>
          <w:i/>
          <w:lang w:val="en-CA"/>
        </w:rPr>
        <w:t>Caine</w:t>
      </w:r>
      <w:r w:rsidR="00414463" w:rsidRPr="002C3588">
        <w:rPr>
          <w:rFonts w:cs="Arial"/>
          <w:lang w:val="en-CA"/>
        </w:rPr>
        <w:t>, [2003] 3 S.C.R.</w:t>
      </w:r>
      <w:r w:rsidRPr="002C3588">
        <w:rPr>
          <w:rFonts w:cs="Arial"/>
          <w:lang w:val="en-CA"/>
        </w:rPr>
        <w:t xml:space="preserve"> </w:t>
      </w:r>
      <w:r w:rsidR="00414463" w:rsidRPr="002C3588">
        <w:rPr>
          <w:rFonts w:cs="Arial"/>
          <w:lang w:val="en-CA"/>
        </w:rPr>
        <w:t>571</w:t>
      </w:r>
      <w:r w:rsidR="00832BFC">
        <w:rPr>
          <w:rFonts w:cs="Arial"/>
          <w:lang w:val="en-CA"/>
        </w:rPr>
        <w:t>,</w:t>
      </w:r>
      <w:r w:rsidR="00414463" w:rsidRPr="002C3588">
        <w:rPr>
          <w:rFonts w:cs="Arial"/>
          <w:lang w:val="en-CA"/>
        </w:rPr>
        <w:t xml:space="preserve"> </w:t>
      </w:r>
      <w:r w:rsidR="00414463" w:rsidRPr="00832BFC">
        <w:rPr>
          <w:rFonts w:cs="Arial"/>
          <w:lang w:val="en-CA"/>
        </w:rPr>
        <w:t>2003 SCC 74 at para.</w:t>
      </w:r>
      <w:r w:rsidRPr="00832BFC">
        <w:rPr>
          <w:rFonts w:cs="Arial"/>
          <w:lang w:val="en-CA"/>
        </w:rPr>
        <w:t xml:space="preserve"> </w:t>
      </w:r>
      <w:r w:rsidRPr="0028360A">
        <w:rPr>
          <w:rFonts w:cs="Arial"/>
          <w:lang w:val="en-CA"/>
        </w:rPr>
        <w:t>97.</w:t>
      </w:r>
    </w:p>
  </w:footnote>
  <w:footnote w:id="5">
    <w:p w14:paraId="5A0142CE" w14:textId="1F1EAE32" w:rsidR="00334F76" w:rsidRPr="00334F76" w:rsidRDefault="00334F76" w:rsidP="00334F76">
      <w:pPr>
        <w:pStyle w:val="Notedebasdepage"/>
        <w:tabs>
          <w:tab w:val="left" w:pos="567"/>
        </w:tabs>
        <w:ind w:left="567" w:hanging="567"/>
        <w:rPr>
          <w:lang w:val="en-CA"/>
        </w:rPr>
      </w:pPr>
      <w:r w:rsidRPr="00C70437">
        <w:rPr>
          <w:rStyle w:val="Appelnotedebasdep"/>
          <w:rFonts w:cs="Arial"/>
        </w:rPr>
        <w:footnoteRef/>
      </w:r>
      <w:r w:rsidRPr="002C3588">
        <w:rPr>
          <w:rFonts w:cs="Arial"/>
          <w:lang w:val="en-CA"/>
        </w:rPr>
        <w:t xml:space="preserve"> </w:t>
      </w:r>
      <w:r w:rsidRPr="002C3588">
        <w:rPr>
          <w:rFonts w:cs="Arial"/>
          <w:lang w:val="en-CA"/>
        </w:rPr>
        <w:tab/>
      </w:r>
      <w:r w:rsidR="00414463" w:rsidRPr="002C3588">
        <w:rPr>
          <w:rStyle w:val="Hyperlien"/>
          <w:i/>
          <w:color w:val="auto"/>
          <w:u w:val="none"/>
          <w:lang w:val="en-CA"/>
        </w:rPr>
        <w:t>Pearlman</w:t>
      </w:r>
      <w:r w:rsidR="00414463" w:rsidRPr="002C3588">
        <w:rPr>
          <w:rStyle w:val="Hyperlien"/>
          <w:color w:val="auto"/>
          <w:u w:val="none"/>
          <w:lang w:val="en-CA"/>
        </w:rPr>
        <w:t xml:space="preserve"> </w:t>
      </w:r>
      <w:r w:rsidR="00414463" w:rsidRPr="002C3588">
        <w:rPr>
          <w:rStyle w:val="Hyperlien"/>
          <w:i/>
          <w:color w:val="auto"/>
          <w:u w:val="none"/>
          <w:lang w:val="en-CA"/>
        </w:rPr>
        <w:t>v</w:t>
      </w:r>
      <w:r w:rsidR="00414463" w:rsidRPr="002C3588">
        <w:rPr>
          <w:rStyle w:val="Hyperlien"/>
          <w:color w:val="auto"/>
          <w:u w:val="none"/>
          <w:lang w:val="en-CA"/>
        </w:rPr>
        <w:t xml:space="preserve">. </w:t>
      </w:r>
      <w:r w:rsidR="00414463" w:rsidRPr="002C3588">
        <w:rPr>
          <w:rStyle w:val="Hyperlien"/>
          <w:i/>
          <w:color w:val="auto"/>
          <w:u w:val="none"/>
          <w:lang w:val="en-CA"/>
        </w:rPr>
        <w:t>Manitoba Law Society Judicial Committee</w:t>
      </w:r>
      <w:r w:rsidR="00414463" w:rsidRPr="002C3588">
        <w:rPr>
          <w:rStyle w:val="Hyperlien"/>
          <w:color w:val="auto"/>
          <w:u w:val="none"/>
          <w:lang w:val="en-CA"/>
        </w:rPr>
        <w:t xml:space="preserve">, [1991] 2 </w:t>
      </w:r>
      <w:r w:rsidR="00832BFC">
        <w:rPr>
          <w:rStyle w:val="Hyperlien"/>
          <w:color w:val="auto"/>
          <w:u w:val="none"/>
          <w:lang w:val="en-CA"/>
        </w:rPr>
        <w:t>S.C.R</w:t>
      </w:r>
      <w:r w:rsidR="00414463" w:rsidRPr="002C3588">
        <w:rPr>
          <w:rStyle w:val="Hyperlien"/>
          <w:color w:val="auto"/>
          <w:u w:val="none"/>
          <w:lang w:val="en-CA"/>
        </w:rPr>
        <w:t>.</w:t>
      </w:r>
      <w:r w:rsidRPr="002C3588">
        <w:rPr>
          <w:rStyle w:val="Hyperlien"/>
          <w:color w:val="auto"/>
          <w:u w:val="none"/>
          <w:lang w:val="en-CA"/>
        </w:rPr>
        <w:t xml:space="preserve"> </w:t>
      </w:r>
      <w:r w:rsidR="00414463" w:rsidRPr="00414463">
        <w:rPr>
          <w:rStyle w:val="Hyperlien"/>
          <w:color w:val="auto"/>
          <w:u w:val="none"/>
          <w:lang w:val="en-CA"/>
        </w:rPr>
        <w:t xml:space="preserve">869 at 881; </w:t>
      </w:r>
      <w:r w:rsidR="00414463" w:rsidRPr="00414463">
        <w:rPr>
          <w:rStyle w:val="Hyperlien"/>
          <w:i/>
          <w:color w:val="auto"/>
          <w:u w:val="none"/>
          <w:lang w:val="en-CA"/>
        </w:rPr>
        <w:t>R. v</w:t>
      </w:r>
      <w:r w:rsidR="00414463" w:rsidRPr="00414463">
        <w:rPr>
          <w:rStyle w:val="Hyperlien"/>
          <w:color w:val="auto"/>
          <w:u w:val="none"/>
          <w:lang w:val="en-CA"/>
        </w:rPr>
        <w:t>. </w:t>
      </w:r>
      <w:r w:rsidR="00414463" w:rsidRPr="00414463">
        <w:rPr>
          <w:rStyle w:val="Hyperlien"/>
          <w:i/>
          <w:color w:val="auto"/>
          <w:u w:val="none"/>
          <w:lang w:val="en-CA"/>
        </w:rPr>
        <w:t>Beare</w:t>
      </w:r>
      <w:r w:rsidR="00414463" w:rsidRPr="00414463">
        <w:rPr>
          <w:rStyle w:val="Hyperlien"/>
          <w:color w:val="auto"/>
          <w:u w:val="none"/>
          <w:lang w:val="en-CA"/>
        </w:rPr>
        <w:t>, [1988] 2 S.C.R.</w:t>
      </w:r>
      <w:r w:rsidRPr="00334F76">
        <w:rPr>
          <w:rStyle w:val="Hyperlien"/>
          <w:color w:val="auto"/>
          <w:u w:val="none"/>
          <w:lang w:val="en-CA"/>
        </w:rPr>
        <w:t xml:space="preserve"> </w:t>
      </w:r>
      <w:r w:rsidR="00414463" w:rsidRPr="00414463">
        <w:rPr>
          <w:rStyle w:val="Hyperlien"/>
          <w:color w:val="auto"/>
          <w:u w:val="none"/>
          <w:lang w:val="en-CA"/>
        </w:rPr>
        <w:t xml:space="preserve">387 at 401; Henri Brun, Guy Tremblay &amp; Eugénie Brouillet, </w:t>
      </w:r>
      <w:r w:rsidR="00414463" w:rsidRPr="00414463">
        <w:rPr>
          <w:rStyle w:val="Hyperlien"/>
          <w:i/>
          <w:color w:val="auto"/>
          <w:u w:val="none"/>
          <w:lang w:val="en-CA"/>
        </w:rPr>
        <w:t>Droit constitutionnel</w:t>
      </w:r>
      <w:r w:rsidR="00414463" w:rsidRPr="00414463">
        <w:rPr>
          <w:rStyle w:val="Hyperlien"/>
          <w:color w:val="auto"/>
          <w:u w:val="none"/>
          <w:lang w:val="en-CA"/>
        </w:rPr>
        <w:t xml:space="preserve">, 6th ed. (Cowansville, Que.: Yvon Blais, 2014) at 1154; Margot Young, “The Other Section 7” in Errol Mendes &amp; Stéphane Beaulac (eds.), </w:t>
      </w:r>
      <w:r w:rsidR="00414463" w:rsidRPr="00414463">
        <w:rPr>
          <w:rStyle w:val="Hyperlien"/>
          <w:i/>
          <w:color w:val="auto"/>
          <w:u w:val="none"/>
          <w:lang w:val="en-CA"/>
        </w:rPr>
        <w:t xml:space="preserve">Canadian Charter of Rights and Freedoms, </w:t>
      </w:r>
      <w:r w:rsidR="00832BFC">
        <w:rPr>
          <w:rStyle w:val="Hyperlien"/>
          <w:color w:val="auto"/>
          <w:u w:val="none"/>
          <w:lang w:val="en-CA"/>
        </w:rPr>
        <w:t>5th ed.</w:t>
      </w:r>
      <w:r w:rsidR="00414463" w:rsidRPr="00414463">
        <w:rPr>
          <w:rStyle w:val="Hyperlien"/>
          <w:color w:val="auto"/>
          <w:u w:val="none"/>
          <w:lang w:val="en-CA"/>
        </w:rPr>
        <w:t xml:space="preserve"> (Markham, Ont.: Lexis Nexis, 2013) at 656; Hamish Stewart, </w:t>
      </w:r>
      <w:r w:rsidR="00414463" w:rsidRPr="00414463">
        <w:rPr>
          <w:rStyle w:val="Hyperlien"/>
          <w:i/>
          <w:color w:val="auto"/>
          <w:u w:val="none"/>
          <w:lang w:val="en-CA"/>
        </w:rPr>
        <w:t>Fundamental Justice: Section 7 of the Canadian Charter of Rights and Freedoms</w:t>
      </w:r>
      <w:r w:rsidR="00414463" w:rsidRPr="00414463">
        <w:rPr>
          <w:rStyle w:val="Hyperlien"/>
          <w:color w:val="auto"/>
          <w:u w:val="none"/>
          <w:lang w:val="en-CA"/>
        </w:rPr>
        <w:t>, 2nd ed. (Toronto: Irwin Law, 2019) at 70.</w:t>
      </w:r>
    </w:p>
  </w:footnote>
  <w:footnote w:id="6">
    <w:p w14:paraId="25174019" w14:textId="150B2827" w:rsidR="00334F76" w:rsidRPr="002C3588" w:rsidRDefault="00334F76" w:rsidP="00334F76">
      <w:pPr>
        <w:pStyle w:val="Notedebasdepage"/>
        <w:tabs>
          <w:tab w:val="left" w:pos="567"/>
        </w:tabs>
        <w:ind w:left="567" w:hanging="567"/>
        <w:rPr>
          <w:rFonts w:cs="Arial"/>
          <w:lang w:val="en-CA"/>
        </w:rPr>
      </w:pPr>
      <w:r w:rsidRPr="00C70437">
        <w:rPr>
          <w:rStyle w:val="Appelnotedebasdep"/>
          <w:rFonts w:cs="Arial"/>
        </w:rPr>
        <w:footnoteRef/>
      </w:r>
      <w:r w:rsidRPr="00334F76">
        <w:rPr>
          <w:rFonts w:cs="Arial"/>
          <w:lang w:val="en-CA"/>
        </w:rPr>
        <w:tab/>
      </w:r>
      <w:r w:rsidR="00414463" w:rsidRPr="00414463">
        <w:rPr>
          <w:rFonts w:cs="Arial"/>
          <w:i/>
          <w:lang w:val="en-CA"/>
        </w:rPr>
        <w:t>Carter</w:t>
      </w:r>
      <w:r w:rsidR="00414463" w:rsidRPr="00414463">
        <w:rPr>
          <w:rFonts w:cs="Arial"/>
          <w:lang w:val="en-CA"/>
        </w:rPr>
        <w:t xml:space="preserve"> </w:t>
      </w:r>
      <w:r w:rsidR="00414463" w:rsidRPr="00414463">
        <w:rPr>
          <w:rFonts w:cs="Arial"/>
          <w:i/>
          <w:lang w:val="en-CA"/>
        </w:rPr>
        <w:t>v.</w:t>
      </w:r>
      <w:r w:rsidR="00414463" w:rsidRPr="00414463">
        <w:rPr>
          <w:rFonts w:cs="Arial"/>
          <w:lang w:val="en-CA"/>
        </w:rPr>
        <w:t xml:space="preserve"> </w:t>
      </w:r>
      <w:r w:rsidR="00414463" w:rsidRPr="00414463">
        <w:rPr>
          <w:rFonts w:cs="Arial"/>
          <w:i/>
          <w:lang w:val="en-CA"/>
        </w:rPr>
        <w:t>Canada (Attorney General),</w:t>
      </w:r>
      <w:r w:rsidR="00414463" w:rsidRPr="00414463">
        <w:rPr>
          <w:rFonts w:cs="Arial"/>
          <w:lang w:val="en-CA"/>
        </w:rPr>
        <w:t xml:space="preserve"> [2015] 1 S.C.R.</w:t>
      </w:r>
      <w:r w:rsidRPr="00334F76">
        <w:rPr>
          <w:rFonts w:cs="Arial"/>
          <w:lang w:val="en-CA"/>
        </w:rPr>
        <w:t xml:space="preserve"> </w:t>
      </w:r>
      <w:r w:rsidR="00414463" w:rsidRPr="002C3588">
        <w:rPr>
          <w:rFonts w:cs="Arial"/>
          <w:lang w:val="en-CA"/>
        </w:rPr>
        <w:t>331, 2015 SCC 5.</w:t>
      </w:r>
    </w:p>
  </w:footnote>
  <w:footnote w:id="7">
    <w:p w14:paraId="5E5BF773" w14:textId="4EF06E88" w:rsidR="008C02E2" w:rsidRPr="00334F76" w:rsidRDefault="00334F76" w:rsidP="008C02E2">
      <w:pPr>
        <w:pStyle w:val="Notedebasdepage"/>
        <w:tabs>
          <w:tab w:val="left" w:pos="567"/>
        </w:tabs>
        <w:ind w:left="567" w:hanging="567"/>
        <w:rPr>
          <w:rFonts w:cs="Arial"/>
          <w:lang w:val="en-CA"/>
        </w:rPr>
      </w:pPr>
      <w:r w:rsidRPr="00C70437">
        <w:rPr>
          <w:rStyle w:val="Appelnotedebasdep"/>
          <w:rFonts w:cs="Arial"/>
        </w:rPr>
        <w:footnoteRef/>
      </w:r>
      <w:r w:rsidRPr="002C3588">
        <w:rPr>
          <w:lang w:val="en-CA"/>
        </w:rPr>
        <w:tab/>
      </w:r>
      <w:r w:rsidR="00414463" w:rsidRPr="002C3588">
        <w:rPr>
          <w:rStyle w:val="Hyperlien"/>
          <w:rFonts w:cs="Arial"/>
          <w:i/>
          <w:color w:val="auto"/>
          <w:u w:val="none"/>
          <w:lang w:val="en-CA"/>
        </w:rPr>
        <w:t>Pearlman</w:t>
      </w:r>
      <w:r w:rsidR="00414463" w:rsidRPr="002C3588">
        <w:rPr>
          <w:rStyle w:val="Hyperlien"/>
          <w:rFonts w:cs="Arial"/>
          <w:color w:val="auto"/>
          <w:u w:val="none"/>
          <w:lang w:val="en-CA"/>
        </w:rPr>
        <w:t xml:space="preserve"> </w:t>
      </w:r>
      <w:r w:rsidR="00414463" w:rsidRPr="002C3588">
        <w:rPr>
          <w:rStyle w:val="Hyperlien"/>
          <w:rFonts w:cs="Arial"/>
          <w:i/>
          <w:color w:val="auto"/>
          <w:u w:val="none"/>
          <w:lang w:val="en-CA"/>
        </w:rPr>
        <w:t>v</w:t>
      </w:r>
      <w:r w:rsidR="00414463" w:rsidRPr="002C3588">
        <w:rPr>
          <w:rStyle w:val="Hyperlien"/>
          <w:rFonts w:cs="Arial"/>
          <w:color w:val="auto"/>
          <w:u w:val="none"/>
          <w:lang w:val="en-CA"/>
        </w:rPr>
        <w:t xml:space="preserve">. </w:t>
      </w:r>
      <w:r w:rsidR="00414463" w:rsidRPr="002C3588">
        <w:rPr>
          <w:rStyle w:val="Hyperlien"/>
          <w:rFonts w:cs="Arial"/>
          <w:i/>
          <w:color w:val="auto"/>
          <w:u w:val="none"/>
          <w:lang w:val="en-CA"/>
        </w:rPr>
        <w:t>Manitoba Law Society Judicial Committee</w:t>
      </w:r>
      <w:r w:rsidR="00414463" w:rsidRPr="002C3588">
        <w:rPr>
          <w:rStyle w:val="Hyperlien"/>
          <w:rFonts w:cs="Arial"/>
          <w:color w:val="auto"/>
          <w:u w:val="none"/>
          <w:lang w:val="en-CA"/>
        </w:rPr>
        <w:t>, [1991] 2 R.C.S.</w:t>
      </w:r>
      <w:r w:rsidRPr="002C3588">
        <w:rPr>
          <w:rStyle w:val="Hyperlien"/>
          <w:rFonts w:cs="Arial"/>
          <w:color w:val="auto"/>
          <w:u w:val="none"/>
          <w:lang w:val="en-CA"/>
        </w:rPr>
        <w:t xml:space="preserve"> </w:t>
      </w:r>
      <w:r w:rsidR="00414463">
        <w:rPr>
          <w:rStyle w:val="Hyperlien"/>
          <w:rFonts w:cs="Arial"/>
          <w:color w:val="auto"/>
          <w:u w:val="none"/>
          <w:lang w:val="en-CA"/>
        </w:rPr>
        <w:t>869 at 881.</w:t>
      </w:r>
    </w:p>
  </w:footnote>
  <w:footnote w:id="8">
    <w:p w14:paraId="0930E4ED" w14:textId="5742F05C" w:rsidR="008C02E2" w:rsidRPr="00334F76" w:rsidRDefault="00334F76" w:rsidP="008C02E2">
      <w:pPr>
        <w:pStyle w:val="Notedebasdepage"/>
        <w:tabs>
          <w:tab w:val="left" w:pos="567"/>
        </w:tabs>
        <w:ind w:left="567" w:hanging="567"/>
        <w:rPr>
          <w:rFonts w:cs="Arial"/>
          <w:lang w:val="en-CA"/>
        </w:rPr>
      </w:pPr>
      <w:r w:rsidRPr="00486526">
        <w:rPr>
          <w:rStyle w:val="Appelnotedebasdep"/>
          <w:rFonts w:cs="Arial"/>
        </w:rPr>
        <w:footnoteRef/>
      </w:r>
      <w:r w:rsidRPr="00BA2A4E">
        <w:rPr>
          <w:rFonts w:cs="Arial"/>
          <w:i/>
          <w:lang w:val="en-CA"/>
        </w:rPr>
        <w:tab/>
      </w:r>
      <w:r w:rsidR="00414463" w:rsidRPr="00414463">
        <w:rPr>
          <w:rFonts w:cs="Arial"/>
          <w:i/>
          <w:lang w:val="en-CA"/>
        </w:rPr>
        <w:t>R. v</w:t>
      </w:r>
      <w:r w:rsidR="00414463" w:rsidRPr="00414463">
        <w:rPr>
          <w:rFonts w:cs="Arial"/>
          <w:lang w:val="en-CA"/>
        </w:rPr>
        <w:t xml:space="preserve">. </w:t>
      </w:r>
      <w:r w:rsidR="00414463" w:rsidRPr="00414463">
        <w:rPr>
          <w:rFonts w:cs="Arial"/>
          <w:i/>
          <w:lang w:val="en-CA"/>
        </w:rPr>
        <w:t>Malmo-Levine</w:t>
      </w:r>
      <w:r w:rsidR="00414463" w:rsidRPr="00414463">
        <w:rPr>
          <w:rFonts w:cs="Arial"/>
          <w:lang w:val="en-CA"/>
        </w:rPr>
        <w:t xml:space="preserve"> [2003] 3 S.C.R.</w:t>
      </w:r>
      <w:r w:rsidRPr="00BA2A4E">
        <w:rPr>
          <w:rFonts w:cs="Arial"/>
          <w:lang w:val="en-CA"/>
        </w:rPr>
        <w:t xml:space="preserve"> </w:t>
      </w:r>
      <w:r w:rsidR="00414463">
        <w:rPr>
          <w:rFonts w:cs="Arial"/>
          <w:lang w:val="en-CA"/>
        </w:rPr>
        <w:t>571, 2003 SCC 74 at para.</w:t>
      </w:r>
      <w:r w:rsidRPr="00BA2A4E">
        <w:rPr>
          <w:rFonts w:cs="Arial"/>
          <w:lang w:val="en-CA"/>
        </w:rPr>
        <w:t xml:space="preserve"> </w:t>
      </w:r>
      <w:r w:rsidR="00A068D8" w:rsidRPr="00334F76">
        <w:rPr>
          <w:rFonts w:cs="Arial"/>
          <w:lang w:val="en-CA"/>
        </w:rPr>
        <w:t>113.</w:t>
      </w:r>
    </w:p>
  </w:footnote>
  <w:footnote w:id="9">
    <w:p w14:paraId="0AD847EA" w14:textId="35A78576" w:rsidR="00414463" w:rsidRPr="00486526" w:rsidRDefault="00414463" w:rsidP="00414463">
      <w:pPr>
        <w:pStyle w:val="Notedebasdepage"/>
        <w:ind w:left="567" w:hanging="567"/>
        <w:rPr>
          <w:rFonts w:cs="Arial"/>
        </w:rPr>
      </w:pPr>
      <w:r w:rsidRPr="00486526">
        <w:rPr>
          <w:rStyle w:val="Appelnotedebasdep"/>
          <w:rFonts w:cs="Arial"/>
        </w:rPr>
        <w:footnoteRef/>
      </w:r>
      <w:r w:rsidRPr="00334F76">
        <w:rPr>
          <w:rFonts w:cs="Arial"/>
          <w:lang w:val="en-CA"/>
        </w:rPr>
        <w:tab/>
      </w:r>
      <w:r w:rsidRPr="002C3588">
        <w:rPr>
          <w:rFonts w:cs="Arial"/>
          <w:lang w:val="en-CA"/>
        </w:rPr>
        <w:t>CQLR, c. 24.2, s</w:t>
      </w:r>
      <w:r w:rsidR="00C53DE0">
        <w:rPr>
          <w:rFonts w:cs="Arial"/>
          <w:lang w:val="en-CA"/>
        </w:rPr>
        <w:t>s</w:t>
      </w:r>
      <w:r w:rsidRPr="002C3588">
        <w:rPr>
          <w:rFonts w:cs="Arial"/>
          <w:lang w:val="en-CA"/>
        </w:rPr>
        <w:t>. 289 and 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5" w:name="EntDossier" w:displacedByCustomXml="next"/>
  <w:sdt>
    <w:sdtPr>
      <w:id w:val="-2053148733"/>
      <w:docPartObj>
        <w:docPartGallery w:val="Page Numbers (Top of Page)"/>
        <w:docPartUnique/>
      </w:docPartObj>
    </w:sdtPr>
    <w:sdtContent>
      <w:p w14:paraId="2216DFB5" w14:textId="77777777" w:rsidR="0081523C" w:rsidRDefault="00334F76">
        <w:pPr>
          <w:pStyle w:val="En-tte"/>
          <w:jc w:val="right"/>
        </w:pPr>
        <w:r>
          <w:t>500-09-028317-196</w:t>
        </w:r>
        <w:bookmarkEnd w:id="45"/>
        <w:r>
          <w:t xml:space="preserve">                                                                                                          </w:t>
        </w:r>
        <w:r w:rsidRPr="0081523C">
          <w:fldChar w:fldCharType="begin"/>
        </w:r>
        <w:r w:rsidRPr="0081523C">
          <w:instrText>PAGE   \* MERGEFORMAT</w:instrText>
        </w:r>
        <w:r w:rsidRPr="0081523C">
          <w:fldChar w:fldCharType="separate"/>
        </w:r>
        <w:r w:rsidR="000E5C0F" w:rsidRPr="000E5C0F">
          <w:rPr>
            <w:noProof/>
            <w:lang w:val="fr-FR"/>
          </w:rPr>
          <w:t>2</w:t>
        </w:r>
        <w:r w:rsidRPr="0081523C">
          <w:fldChar w:fldCharType="end"/>
        </w:r>
      </w:p>
    </w:sdtContent>
  </w:sdt>
  <w:p w14:paraId="6290D8A0" w14:textId="77777777" w:rsidR="001009B2" w:rsidRDefault="001009B2">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5C103B16"/>
    <w:lvl w:ilvl="0">
      <w:start w:val="1"/>
      <w:numFmt w:val="decimal"/>
      <w:pStyle w:val="Paragraphe"/>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93376EE"/>
    <w:multiLevelType w:val="hybridMultilevel"/>
    <w:tmpl w:val="67CEC570"/>
    <w:lvl w:ilvl="0" w:tplc="13286A24">
      <w:start w:val="1"/>
      <w:numFmt w:val="decimal"/>
      <w:lvlText w:val="%1-"/>
      <w:lvlJc w:val="left"/>
      <w:pPr>
        <w:ind w:left="1068" w:hanging="360"/>
      </w:pPr>
      <w:rPr>
        <w:rFonts w:hint="default"/>
      </w:rPr>
    </w:lvl>
    <w:lvl w:ilvl="1" w:tplc="3FE837E2" w:tentative="1">
      <w:start w:val="1"/>
      <w:numFmt w:val="lowerLetter"/>
      <w:lvlText w:val="%2."/>
      <w:lvlJc w:val="left"/>
      <w:pPr>
        <w:ind w:left="1788" w:hanging="360"/>
      </w:pPr>
    </w:lvl>
    <w:lvl w:ilvl="2" w:tplc="37B2FC3A" w:tentative="1">
      <w:start w:val="1"/>
      <w:numFmt w:val="lowerRoman"/>
      <w:lvlText w:val="%3."/>
      <w:lvlJc w:val="right"/>
      <w:pPr>
        <w:ind w:left="2508" w:hanging="180"/>
      </w:pPr>
    </w:lvl>
    <w:lvl w:ilvl="3" w:tplc="00A03BBC" w:tentative="1">
      <w:start w:val="1"/>
      <w:numFmt w:val="decimal"/>
      <w:lvlText w:val="%4."/>
      <w:lvlJc w:val="left"/>
      <w:pPr>
        <w:ind w:left="3228" w:hanging="360"/>
      </w:pPr>
    </w:lvl>
    <w:lvl w:ilvl="4" w:tplc="1CD0B5F4" w:tentative="1">
      <w:start w:val="1"/>
      <w:numFmt w:val="lowerLetter"/>
      <w:lvlText w:val="%5."/>
      <w:lvlJc w:val="left"/>
      <w:pPr>
        <w:ind w:left="3948" w:hanging="360"/>
      </w:pPr>
    </w:lvl>
    <w:lvl w:ilvl="5" w:tplc="EFAE6E28" w:tentative="1">
      <w:start w:val="1"/>
      <w:numFmt w:val="lowerRoman"/>
      <w:lvlText w:val="%6."/>
      <w:lvlJc w:val="right"/>
      <w:pPr>
        <w:ind w:left="4668" w:hanging="180"/>
      </w:pPr>
    </w:lvl>
    <w:lvl w:ilvl="6" w:tplc="51603CCC" w:tentative="1">
      <w:start w:val="1"/>
      <w:numFmt w:val="decimal"/>
      <w:lvlText w:val="%7."/>
      <w:lvlJc w:val="left"/>
      <w:pPr>
        <w:ind w:left="5388" w:hanging="360"/>
      </w:pPr>
    </w:lvl>
    <w:lvl w:ilvl="7" w:tplc="EDDE266A" w:tentative="1">
      <w:start w:val="1"/>
      <w:numFmt w:val="lowerLetter"/>
      <w:lvlText w:val="%8."/>
      <w:lvlJc w:val="left"/>
      <w:pPr>
        <w:ind w:left="6108" w:hanging="360"/>
      </w:pPr>
    </w:lvl>
    <w:lvl w:ilvl="8" w:tplc="102266D8" w:tentative="1">
      <w:start w:val="1"/>
      <w:numFmt w:val="lowerRoman"/>
      <w:lvlText w:val="%9."/>
      <w:lvlJc w:val="right"/>
      <w:pPr>
        <w:ind w:left="6828" w:hanging="180"/>
      </w:pPr>
    </w:lvl>
  </w:abstractNum>
  <w:abstractNum w:abstractNumId="12"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023D56"/>
    <w:multiLevelType w:val="hybridMultilevel"/>
    <w:tmpl w:val="0CA69550"/>
    <w:lvl w:ilvl="0" w:tplc="FA0062B0">
      <w:start w:val="1"/>
      <w:numFmt w:val="decimal"/>
      <w:lvlText w:val="%1-"/>
      <w:lvlJc w:val="left"/>
      <w:pPr>
        <w:ind w:left="1152" w:hanging="360"/>
      </w:pPr>
      <w:rPr>
        <w:rFonts w:hint="default"/>
      </w:rPr>
    </w:lvl>
    <w:lvl w:ilvl="1" w:tplc="7764C138" w:tentative="1">
      <w:start w:val="1"/>
      <w:numFmt w:val="lowerLetter"/>
      <w:lvlText w:val="%2."/>
      <w:lvlJc w:val="left"/>
      <w:pPr>
        <w:ind w:left="1872" w:hanging="360"/>
      </w:pPr>
    </w:lvl>
    <w:lvl w:ilvl="2" w:tplc="3AD67ED8" w:tentative="1">
      <w:start w:val="1"/>
      <w:numFmt w:val="lowerRoman"/>
      <w:lvlText w:val="%3."/>
      <w:lvlJc w:val="right"/>
      <w:pPr>
        <w:ind w:left="2592" w:hanging="180"/>
      </w:pPr>
    </w:lvl>
    <w:lvl w:ilvl="3" w:tplc="B9CAFFA6" w:tentative="1">
      <w:start w:val="1"/>
      <w:numFmt w:val="decimal"/>
      <w:lvlText w:val="%4."/>
      <w:lvlJc w:val="left"/>
      <w:pPr>
        <w:ind w:left="3312" w:hanging="360"/>
      </w:pPr>
    </w:lvl>
    <w:lvl w:ilvl="4" w:tplc="24E48CAA" w:tentative="1">
      <w:start w:val="1"/>
      <w:numFmt w:val="lowerLetter"/>
      <w:lvlText w:val="%5."/>
      <w:lvlJc w:val="left"/>
      <w:pPr>
        <w:ind w:left="4032" w:hanging="360"/>
      </w:pPr>
    </w:lvl>
    <w:lvl w:ilvl="5" w:tplc="B8C868D6" w:tentative="1">
      <w:start w:val="1"/>
      <w:numFmt w:val="lowerRoman"/>
      <w:lvlText w:val="%6."/>
      <w:lvlJc w:val="right"/>
      <w:pPr>
        <w:ind w:left="4752" w:hanging="180"/>
      </w:pPr>
    </w:lvl>
    <w:lvl w:ilvl="6" w:tplc="4DDC794C" w:tentative="1">
      <w:start w:val="1"/>
      <w:numFmt w:val="decimal"/>
      <w:lvlText w:val="%7."/>
      <w:lvlJc w:val="left"/>
      <w:pPr>
        <w:ind w:left="5472" w:hanging="360"/>
      </w:pPr>
    </w:lvl>
    <w:lvl w:ilvl="7" w:tplc="FCE20DBC" w:tentative="1">
      <w:start w:val="1"/>
      <w:numFmt w:val="lowerLetter"/>
      <w:lvlText w:val="%8."/>
      <w:lvlJc w:val="left"/>
      <w:pPr>
        <w:ind w:left="6192" w:hanging="360"/>
      </w:pPr>
    </w:lvl>
    <w:lvl w:ilvl="8" w:tplc="44AA9BE6" w:tentative="1">
      <w:start w:val="1"/>
      <w:numFmt w:val="lowerRoman"/>
      <w:lvlText w:val="%9."/>
      <w:lvlJc w:val="right"/>
      <w:pPr>
        <w:ind w:left="6912" w:hanging="180"/>
      </w:pPr>
    </w:lvl>
  </w:abstractNum>
  <w:num w:numId="1" w16cid:durableId="1791435574">
    <w:abstractNumId w:val="13"/>
  </w:num>
  <w:num w:numId="2" w16cid:durableId="515078840">
    <w:abstractNumId w:val="13"/>
  </w:num>
  <w:num w:numId="3" w16cid:durableId="331569879">
    <w:abstractNumId w:val="13"/>
  </w:num>
  <w:num w:numId="4" w16cid:durableId="1846020253">
    <w:abstractNumId w:val="8"/>
  </w:num>
  <w:num w:numId="5" w16cid:durableId="534852467">
    <w:abstractNumId w:val="3"/>
  </w:num>
  <w:num w:numId="6" w16cid:durableId="969215116">
    <w:abstractNumId w:val="2"/>
  </w:num>
  <w:num w:numId="7" w16cid:durableId="699353295">
    <w:abstractNumId w:val="1"/>
  </w:num>
  <w:num w:numId="8" w16cid:durableId="1975715909">
    <w:abstractNumId w:val="0"/>
  </w:num>
  <w:num w:numId="9" w16cid:durableId="1033926335">
    <w:abstractNumId w:val="9"/>
  </w:num>
  <w:num w:numId="10" w16cid:durableId="1872181365">
    <w:abstractNumId w:val="7"/>
  </w:num>
  <w:num w:numId="11" w16cid:durableId="1202673723">
    <w:abstractNumId w:val="6"/>
  </w:num>
  <w:num w:numId="12" w16cid:durableId="112133577">
    <w:abstractNumId w:val="5"/>
  </w:num>
  <w:num w:numId="13" w16cid:durableId="1582904549">
    <w:abstractNumId w:val="4"/>
  </w:num>
  <w:num w:numId="14" w16cid:durableId="1383363395">
    <w:abstractNumId w:val="13"/>
  </w:num>
  <w:num w:numId="15" w16cid:durableId="2145151647">
    <w:abstractNumId w:val="13"/>
  </w:num>
  <w:num w:numId="16" w16cid:durableId="1482698957">
    <w:abstractNumId w:val="13"/>
  </w:num>
  <w:num w:numId="17" w16cid:durableId="1288271231">
    <w:abstractNumId w:val="12"/>
  </w:num>
  <w:num w:numId="18" w16cid:durableId="1598902306">
    <w:abstractNumId w:val="10"/>
  </w:num>
  <w:num w:numId="19" w16cid:durableId="1777018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971545">
    <w:abstractNumId w:val="11"/>
  </w:num>
  <w:num w:numId="21" w16cid:durableId="2104178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E3"/>
    <w:rsid w:val="00005741"/>
    <w:rsid w:val="00017291"/>
    <w:rsid w:val="000250C2"/>
    <w:rsid w:val="000259B7"/>
    <w:rsid w:val="00033ACA"/>
    <w:rsid w:val="00034B8A"/>
    <w:rsid w:val="000503AA"/>
    <w:rsid w:val="00064FB5"/>
    <w:rsid w:val="00075207"/>
    <w:rsid w:val="00080757"/>
    <w:rsid w:val="00080D1F"/>
    <w:rsid w:val="00082F0A"/>
    <w:rsid w:val="00085A2A"/>
    <w:rsid w:val="00092D4E"/>
    <w:rsid w:val="000B54B8"/>
    <w:rsid w:val="000B60BA"/>
    <w:rsid w:val="000C54D9"/>
    <w:rsid w:val="000D2D77"/>
    <w:rsid w:val="000D6083"/>
    <w:rsid w:val="000E1E97"/>
    <w:rsid w:val="000E3231"/>
    <w:rsid w:val="000E5673"/>
    <w:rsid w:val="000E5C0F"/>
    <w:rsid w:val="000F74B3"/>
    <w:rsid w:val="001009B2"/>
    <w:rsid w:val="00103275"/>
    <w:rsid w:val="00104397"/>
    <w:rsid w:val="00106BD1"/>
    <w:rsid w:val="0012535D"/>
    <w:rsid w:val="00132E1F"/>
    <w:rsid w:val="00135014"/>
    <w:rsid w:val="00137252"/>
    <w:rsid w:val="00146ED1"/>
    <w:rsid w:val="00151498"/>
    <w:rsid w:val="00160465"/>
    <w:rsid w:val="0017299E"/>
    <w:rsid w:val="00175437"/>
    <w:rsid w:val="00186B64"/>
    <w:rsid w:val="001A4667"/>
    <w:rsid w:val="001B1B44"/>
    <w:rsid w:val="001D56AC"/>
    <w:rsid w:val="001E13E3"/>
    <w:rsid w:val="00200696"/>
    <w:rsid w:val="00203F7E"/>
    <w:rsid w:val="0021091C"/>
    <w:rsid w:val="00215559"/>
    <w:rsid w:val="002159AA"/>
    <w:rsid w:val="00217C49"/>
    <w:rsid w:val="00221170"/>
    <w:rsid w:val="0022415D"/>
    <w:rsid w:val="0022417B"/>
    <w:rsid w:val="0023213C"/>
    <w:rsid w:val="00263A55"/>
    <w:rsid w:val="00264CE4"/>
    <w:rsid w:val="00266D03"/>
    <w:rsid w:val="002745AE"/>
    <w:rsid w:val="0028360A"/>
    <w:rsid w:val="002A0B7A"/>
    <w:rsid w:val="002A295B"/>
    <w:rsid w:val="002A5174"/>
    <w:rsid w:val="002C153C"/>
    <w:rsid w:val="002C1B95"/>
    <w:rsid w:val="002C3588"/>
    <w:rsid w:val="002C4107"/>
    <w:rsid w:val="002C7179"/>
    <w:rsid w:val="002D2A36"/>
    <w:rsid w:val="002D66AA"/>
    <w:rsid w:val="002E7403"/>
    <w:rsid w:val="003041AF"/>
    <w:rsid w:val="00320C2D"/>
    <w:rsid w:val="0033020E"/>
    <w:rsid w:val="00334F76"/>
    <w:rsid w:val="0037521E"/>
    <w:rsid w:val="0039120A"/>
    <w:rsid w:val="003B65F2"/>
    <w:rsid w:val="003E5AF3"/>
    <w:rsid w:val="003F7F98"/>
    <w:rsid w:val="00400728"/>
    <w:rsid w:val="00413CDB"/>
    <w:rsid w:val="00414463"/>
    <w:rsid w:val="00424BE3"/>
    <w:rsid w:val="004331C4"/>
    <w:rsid w:val="004361DD"/>
    <w:rsid w:val="004505FD"/>
    <w:rsid w:val="004546D6"/>
    <w:rsid w:val="004630AB"/>
    <w:rsid w:val="00463A43"/>
    <w:rsid w:val="00486526"/>
    <w:rsid w:val="0049788A"/>
    <w:rsid w:val="004D37E3"/>
    <w:rsid w:val="004D3CB0"/>
    <w:rsid w:val="004E5A85"/>
    <w:rsid w:val="004F15FC"/>
    <w:rsid w:val="00501E09"/>
    <w:rsid w:val="005244DB"/>
    <w:rsid w:val="00540690"/>
    <w:rsid w:val="00540FD0"/>
    <w:rsid w:val="0054437A"/>
    <w:rsid w:val="005504D5"/>
    <w:rsid w:val="005569D6"/>
    <w:rsid w:val="00563FA6"/>
    <w:rsid w:val="00566BF6"/>
    <w:rsid w:val="005A7CC9"/>
    <w:rsid w:val="005B4976"/>
    <w:rsid w:val="005C6799"/>
    <w:rsid w:val="005D1522"/>
    <w:rsid w:val="005D29E7"/>
    <w:rsid w:val="005F0450"/>
    <w:rsid w:val="00610D49"/>
    <w:rsid w:val="00635F78"/>
    <w:rsid w:val="00637D6F"/>
    <w:rsid w:val="0065602B"/>
    <w:rsid w:val="006578C6"/>
    <w:rsid w:val="0067628E"/>
    <w:rsid w:val="00692E06"/>
    <w:rsid w:val="006C2D65"/>
    <w:rsid w:val="006C6451"/>
    <w:rsid w:val="006D1CB1"/>
    <w:rsid w:val="006E2949"/>
    <w:rsid w:val="006E3720"/>
    <w:rsid w:val="00702C6D"/>
    <w:rsid w:val="00711DD5"/>
    <w:rsid w:val="007149F6"/>
    <w:rsid w:val="00716485"/>
    <w:rsid w:val="0073154F"/>
    <w:rsid w:val="00732C01"/>
    <w:rsid w:val="007377D2"/>
    <w:rsid w:val="00740A17"/>
    <w:rsid w:val="00747420"/>
    <w:rsid w:val="007519EA"/>
    <w:rsid w:val="00752373"/>
    <w:rsid w:val="007547CE"/>
    <w:rsid w:val="00757467"/>
    <w:rsid w:val="007629D5"/>
    <w:rsid w:val="0077096E"/>
    <w:rsid w:val="00770C57"/>
    <w:rsid w:val="007818B0"/>
    <w:rsid w:val="007953F3"/>
    <w:rsid w:val="007C17F4"/>
    <w:rsid w:val="007C678F"/>
    <w:rsid w:val="007C67A4"/>
    <w:rsid w:val="007C796B"/>
    <w:rsid w:val="007D13F3"/>
    <w:rsid w:val="007D51F8"/>
    <w:rsid w:val="007D632A"/>
    <w:rsid w:val="007F2157"/>
    <w:rsid w:val="0081523C"/>
    <w:rsid w:val="00816414"/>
    <w:rsid w:val="00821EBB"/>
    <w:rsid w:val="00827B04"/>
    <w:rsid w:val="00831C53"/>
    <w:rsid w:val="00832BFC"/>
    <w:rsid w:val="008430CA"/>
    <w:rsid w:val="00850063"/>
    <w:rsid w:val="00854C3E"/>
    <w:rsid w:val="008655CB"/>
    <w:rsid w:val="008757BD"/>
    <w:rsid w:val="00882210"/>
    <w:rsid w:val="00887EEB"/>
    <w:rsid w:val="00893C15"/>
    <w:rsid w:val="008A1AD8"/>
    <w:rsid w:val="008C02E2"/>
    <w:rsid w:val="008C2ABD"/>
    <w:rsid w:val="008D2FB6"/>
    <w:rsid w:val="008E0ED5"/>
    <w:rsid w:val="008F2ACD"/>
    <w:rsid w:val="008F364A"/>
    <w:rsid w:val="00907492"/>
    <w:rsid w:val="009310E9"/>
    <w:rsid w:val="00933C5F"/>
    <w:rsid w:val="00933FA1"/>
    <w:rsid w:val="0093677F"/>
    <w:rsid w:val="00950F4A"/>
    <w:rsid w:val="00950FA6"/>
    <w:rsid w:val="00953B63"/>
    <w:rsid w:val="009542F2"/>
    <w:rsid w:val="00954DC2"/>
    <w:rsid w:val="00954E6F"/>
    <w:rsid w:val="00996C51"/>
    <w:rsid w:val="009A2428"/>
    <w:rsid w:val="009B13B4"/>
    <w:rsid w:val="009B593D"/>
    <w:rsid w:val="009B77AF"/>
    <w:rsid w:val="009C3ACF"/>
    <w:rsid w:val="009D1618"/>
    <w:rsid w:val="009F0E98"/>
    <w:rsid w:val="00A00FEB"/>
    <w:rsid w:val="00A068D8"/>
    <w:rsid w:val="00A12875"/>
    <w:rsid w:val="00A61F6F"/>
    <w:rsid w:val="00A62FEE"/>
    <w:rsid w:val="00A87DBF"/>
    <w:rsid w:val="00A96DA3"/>
    <w:rsid w:val="00AA0AE4"/>
    <w:rsid w:val="00AA54CC"/>
    <w:rsid w:val="00AB56C5"/>
    <w:rsid w:val="00AC5BB3"/>
    <w:rsid w:val="00AE1C2E"/>
    <w:rsid w:val="00AF4E19"/>
    <w:rsid w:val="00AF5327"/>
    <w:rsid w:val="00B15536"/>
    <w:rsid w:val="00B451C3"/>
    <w:rsid w:val="00B518D7"/>
    <w:rsid w:val="00B55DA0"/>
    <w:rsid w:val="00B71E57"/>
    <w:rsid w:val="00B77422"/>
    <w:rsid w:val="00B82A13"/>
    <w:rsid w:val="00B95578"/>
    <w:rsid w:val="00BA2A4E"/>
    <w:rsid w:val="00BB0501"/>
    <w:rsid w:val="00BB2FC4"/>
    <w:rsid w:val="00BB483F"/>
    <w:rsid w:val="00BC4C41"/>
    <w:rsid w:val="00BD243C"/>
    <w:rsid w:val="00BD31B6"/>
    <w:rsid w:val="00BE2FA2"/>
    <w:rsid w:val="00BF09C1"/>
    <w:rsid w:val="00BF1A06"/>
    <w:rsid w:val="00C1429C"/>
    <w:rsid w:val="00C30F2F"/>
    <w:rsid w:val="00C33B2C"/>
    <w:rsid w:val="00C40A6B"/>
    <w:rsid w:val="00C47029"/>
    <w:rsid w:val="00C47211"/>
    <w:rsid w:val="00C477EB"/>
    <w:rsid w:val="00C53DE0"/>
    <w:rsid w:val="00C5729C"/>
    <w:rsid w:val="00C617FC"/>
    <w:rsid w:val="00C70437"/>
    <w:rsid w:val="00C92E57"/>
    <w:rsid w:val="00C96021"/>
    <w:rsid w:val="00CA3D7D"/>
    <w:rsid w:val="00CA5121"/>
    <w:rsid w:val="00CB62A6"/>
    <w:rsid w:val="00CC7EE5"/>
    <w:rsid w:val="00CD10CF"/>
    <w:rsid w:val="00CD58FC"/>
    <w:rsid w:val="00D10DD0"/>
    <w:rsid w:val="00D16F74"/>
    <w:rsid w:val="00D2423B"/>
    <w:rsid w:val="00D26AB1"/>
    <w:rsid w:val="00D37C91"/>
    <w:rsid w:val="00D54AF1"/>
    <w:rsid w:val="00D57AC7"/>
    <w:rsid w:val="00D67052"/>
    <w:rsid w:val="00D73B6D"/>
    <w:rsid w:val="00D85DBB"/>
    <w:rsid w:val="00DA4BCD"/>
    <w:rsid w:val="00DC13BC"/>
    <w:rsid w:val="00DD3A24"/>
    <w:rsid w:val="00DD52DD"/>
    <w:rsid w:val="00DD6D17"/>
    <w:rsid w:val="00DE3438"/>
    <w:rsid w:val="00DF3EE2"/>
    <w:rsid w:val="00DF7D37"/>
    <w:rsid w:val="00E06061"/>
    <w:rsid w:val="00E25C04"/>
    <w:rsid w:val="00E311DC"/>
    <w:rsid w:val="00E50F09"/>
    <w:rsid w:val="00E51293"/>
    <w:rsid w:val="00E55CDF"/>
    <w:rsid w:val="00E70719"/>
    <w:rsid w:val="00E843C9"/>
    <w:rsid w:val="00E85342"/>
    <w:rsid w:val="00EC2D0A"/>
    <w:rsid w:val="00EC57E1"/>
    <w:rsid w:val="00F02530"/>
    <w:rsid w:val="00F050F0"/>
    <w:rsid w:val="00F12661"/>
    <w:rsid w:val="00F1760F"/>
    <w:rsid w:val="00F257C5"/>
    <w:rsid w:val="00F3537E"/>
    <w:rsid w:val="00F44D2D"/>
    <w:rsid w:val="00F47DB9"/>
    <w:rsid w:val="00F55CD4"/>
    <w:rsid w:val="00F67C6D"/>
    <w:rsid w:val="00F7072E"/>
    <w:rsid w:val="00F72BD0"/>
    <w:rsid w:val="00F853BE"/>
    <w:rsid w:val="00F903C2"/>
    <w:rsid w:val="00F9071C"/>
    <w:rsid w:val="00F919CF"/>
    <w:rsid w:val="00F943C5"/>
    <w:rsid w:val="00F95FC5"/>
    <w:rsid w:val="00FB3369"/>
    <w:rsid w:val="00FB3A36"/>
    <w:rsid w:val="00FC03D0"/>
    <w:rsid w:val="00FC1957"/>
    <w:rsid w:val="00FD34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2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E06061"/>
    <w:pPr>
      <w:numPr>
        <w:numId w:val="18"/>
      </w:numPr>
      <w:spacing w:before="120" w:after="120" w:line="240" w:lineRule="auto"/>
      <w:jc w:val="both"/>
    </w:pPr>
  </w:style>
  <w:style w:type="paragraph" w:customStyle="1" w:styleId="Citationenretrait">
    <w:name w:val="Citation en retrait"/>
    <w:basedOn w:val="Normal"/>
    <w:link w:val="CitationenretraitCar"/>
    <w:qFormat/>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rsid w:val="00F95FC5"/>
    <w:pPr>
      <w:ind w:left="-108"/>
    </w:pPr>
    <w:rPr>
      <w:rFonts w:eastAsiaTheme="minorHAnsi" w:cs="Arial"/>
      <w:szCs w:val="24"/>
    </w:r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rsid w:val="00160465"/>
    <w:pPr>
      <w:ind w:left="-108"/>
    </w:pPr>
    <w:rPr>
      <w:rFonts w:eastAsiaTheme="minorHAnsi" w:cs="Arial"/>
      <w:szCs w:val="24"/>
    </w:rPr>
  </w:style>
  <w:style w:type="paragraph" w:customStyle="1" w:styleId="zSoquijdatNoDossierAnt">
    <w:name w:val="zSoquij_datNoDossierAnt"/>
    <w:basedOn w:val="Normal"/>
    <w:rsid w:val="00160465"/>
    <w:pPr>
      <w:ind w:left="-108"/>
    </w:pPr>
    <w:rPr>
      <w:rFonts w:eastAsiaTheme="minorHAnsi" w:cs="Arial"/>
      <w:szCs w:val="24"/>
    </w:rPr>
  </w:style>
  <w:style w:type="paragraph" w:customStyle="1" w:styleId="zSoquijdatDateJugement">
    <w:name w:val="zSoquij_datDateJugement"/>
    <w:basedOn w:val="Normal"/>
    <w:rsid w:val="00160465"/>
    <w:pPr>
      <w:ind w:left="-108"/>
    </w:pPr>
    <w:rPr>
      <w:rFonts w:eastAsiaTheme="minorHAnsi" w:cs="Arial"/>
      <w:szCs w:val="24"/>
    </w:rPr>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sid w:val="0022417B"/>
    <w:rPr>
      <w:rFonts w:eastAsiaTheme="minorHAnsi" w:cs="Arial"/>
      <w:szCs w:val="24"/>
    </w:rPr>
  </w:style>
  <w:style w:type="paragraph" w:customStyle="1" w:styleId="zSoquijdatNomPartieDem">
    <w:name w:val="zSoquij_datNomPartieDem"/>
    <w:basedOn w:val="Normal"/>
    <w:rsid w:val="00F12661"/>
    <w:pPr>
      <w:jc w:val="center"/>
    </w:pPr>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sid w:val="007519EA"/>
    <w:pPr>
      <w:jc w:val="center"/>
    </w:pPr>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rsid w:val="00F12661"/>
    <w:pPr>
      <w:keepNext/>
      <w:jc w:val="center"/>
    </w:pPr>
  </w:style>
  <w:style w:type="paragraph" w:customStyle="1" w:styleId="zSoquijdatNomProcureurDef">
    <w:name w:val="zSoquij_datNomProcureurDef"/>
    <w:basedOn w:val="zSoquijlblProcureurDef"/>
    <w:rsid w:val="002E7403"/>
    <w:pPr>
      <w:keepNext/>
      <w:jc w:val="center"/>
    </w:pPr>
  </w:style>
  <w:style w:type="paragraph" w:customStyle="1" w:styleId="zSoquijdatCabinetProcureurDem">
    <w:name w:val="zSoquij_datCabinetProcureurDem"/>
    <w:basedOn w:val="Normal"/>
    <w:rsid w:val="00F12661"/>
    <w:pPr>
      <w:keepNext/>
      <w:jc w:val="center"/>
    </w:pPr>
    <w:rPr>
      <w:lang w:val="es-ES"/>
    </w:rPr>
  </w:style>
  <w:style w:type="paragraph" w:customStyle="1" w:styleId="zSoquijdatCabinetProcureurDef">
    <w:name w:val="zSoquij_datCabinetProcureurDef"/>
    <w:basedOn w:val="zSoquijlblProcureurDef"/>
    <w:rsid w:val="002E7403"/>
    <w:pPr>
      <w:keepNext/>
      <w:jc w:val="center"/>
    </w:pPr>
    <w:rPr>
      <w:lang w:val="es-ES"/>
    </w:rPr>
  </w:style>
  <w:style w:type="paragraph" w:styleId="En-tte">
    <w:name w:val="header"/>
    <w:basedOn w:val="Normal"/>
    <w:link w:val="En-tteCar"/>
    <w:uiPriority w:val="99"/>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link w:val="TableaudroiteanglaisCar"/>
    <w:pPr>
      <w:ind w:left="144" w:right="720"/>
      <w:jc w:val="both"/>
    </w:pPr>
    <w:rPr>
      <w:lang w:val="en-CA"/>
    </w:rPr>
  </w:style>
  <w:style w:type="paragraph" w:customStyle="1" w:styleId="Tableaugauchefranais">
    <w:name w:val="Tableau gauche français"/>
    <w:basedOn w:val="Normal"/>
    <w:link w:val="TableaugauchefranaisCar"/>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character" w:customStyle="1" w:styleId="NotedebasdepageCar">
    <w:name w:val="Note de bas de page Car"/>
    <w:basedOn w:val="Policepardfaut"/>
    <w:link w:val="Notedebasdepage"/>
    <w:rsid w:val="00FB3A36"/>
    <w:rPr>
      <w:rFonts w:ascii="Arial" w:hAnsi="Arial"/>
      <w:lang w:eastAsia="fr-FR"/>
    </w:rPr>
  </w:style>
  <w:style w:type="character" w:customStyle="1" w:styleId="ParagrapheCar">
    <w:name w:val="Paragraphe Car"/>
    <w:link w:val="Paragraphe"/>
    <w:qFormat/>
    <w:rsid w:val="00E06061"/>
    <w:rPr>
      <w:rFonts w:ascii="Arial" w:hAnsi="Arial"/>
      <w:sz w:val="24"/>
      <w:lang w:eastAsia="fr-FR"/>
    </w:rPr>
  </w:style>
  <w:style w:type="paragraph" w:styleId="Textedebulles">
    <w:name w:val="Balloon Text"/>
    <w:basedOn w:val="Normal"/>
    <w:link w:val="TextedebullesCar"/>
    <w:uiPriority w:val="99"/>
    <w:semiHidden/>
    <w:unhideWhenUsed/>
    <w:rsid w:val="00082F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F0A"/>
    <w:rPr>
      <w:rFonts w:ascii="Segoe UI" w:hAnsi="Segoe UI" w:cs="Segoe UI"/>
      <w:sz w:val="18"/>
      <w:szCs w:val="18"/>
      <w:lang w:eastAsia="fr-FR"/>
    </w:rPr>
  </w:style>
  <w:style w:type="character" w:styleId="Hyperlien">
    <w:name w:val="Hyperlink"/>
    <w:uiPriority w:val="99"/>
    <w:rsid w:val="00711DD5"/>
    <w:rPr>
      <w:noProof w:val="0"/>
      <w:color w:val="0000FF"/>
      <w:u w:val="single"/>
      <w:lang w:val="fr-CA"/>
    </w:rPr>
  </w:style>
  <w:style w:type="character" w:customStyle="1" w:styleId="TableaugauchefranaisCar">
    <w:name w:val="Tableau gauche français Car"/>
    <w:link w:val="Tableaugauchefranais"/>
    <w:rsid w:val="00711DD5"/>
    <w:rPr>
      <w:rFonts w:ascii="Arial" w:hAnsi="Arial"/>
      <w:sz w:val="22"/>
      <w:lang w:eastAsia="fr-FR"/>
    </w:rPr>
  </w:style>
  <w:style w:type="character" w:customStyle="1" w:styleId="TableaudroiteanglaisCar">
    <w:name w:val="Tableau droite anglais Car"/>
    <w:link w:val="Tableaudroiteanglais"/>
    <w:rsid w:val="00711DD5"/>
    <w:rPr>
      <w:rFonts w:ascii="Arial" w:hAnsi="Arial"/>
      <w:sz w:val="22"/>
      <w:lang w:val="en-CA" w:eastAsia="fr-FR"/>
    </w:rPr>
  </w:style>
  <w:style w:type="character" w:customStyle="1" w:styleId="CitationenretraitCar">
    <w:name w:val="Citation en retrait Car"/>
    <w:link w:val="Citationenretrait"/>
    <w:rsid w:val="00711DD5"/>
    <w:rPr>
      <w:rFonts w:ascii="Arial" w:hAnsi="Arial"/>
      <w:kern w:val="24"/>
      <w:sz w:val="22"/>
      <w:lang w:eastAsia="fr-FR"/>
    </w:rPr>
  </w:style>
  <w:style w:type="character" w:styleId="Marquedecommentaire">
    <w:name w:val="annotation reference"/>
    <w:basedOn w:val="Policepardfaut"/>
    <w:uiPriority w:val="99"/>
    <w:semiHidden/>
    <w:unhideWhenUsed/>
    <w:rsid w:val="00711DD5"/>
    <w:rPr>
      <w:sz w:val="16"/>
      <w:szCs w:val="16"/>
    </w:rPr>
  </w:style>
  <w:style w:type="paragraph" w:styleId="Commentaire">
    <w:name w:val="annotation text"/>
    <w:basedOn w:val="Normal"/>
    <w:link w:val="CommentaireCar"/>
    <w:uiPriority w:val="99"/>
    <w:unhideWhenUsed/>
    <w:rsid w:val="00711DD5"/>
    <w:pPr>
      <w:spacing w:line="240" w:lineRule="auto"/>
    </w:pPr>
    <w:rPr>
      <w:sz w:val="20"/>
    </w:rPr>
  </w:style>
  <w:style w:type="character" w:customStyle="1" w:styleId="CommentaireCar">
    <w:name w:val="Commentaire Car"/>
    <w:basedOn w:val="Policepardfaut"/>
    <w:link w:val="Commentaire"/>
    <w:uiPriority w:val="99"/>
    <w:rsid w:val="00711DD5"/>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711DD5"/>
    <w:rPr>
      <w:b/>
      <w:bCs/>
    </w:rPr>
  </w:style>
  <w:style w:type="character" w:customStyle="1" w:styleId="ObjetducommentaireCar">
    <w:name w:val="Objet du commentaire Car"/>
    <w:basedOn w:val="CommentaireCar"/>
    <w:link w:val="Objetducommentaire"/>
    <w:uiPriority w:val="99"/>
    <w:semiHidden/>
    <w:rsid w:val="00711DD5"/>
    <w:rPr>
      <w:rFonts w:ascii="Arial" w:hAnsi="Arial"/>
      <w:b/>
      <w:bCs/>
      <w:lang w:eastAsia="fr-FR"/>
    </w:rPr>
  </w:style>
  <w:style w:type="table" w:styleId="Grilledutableau">
    <w:name w:val="Table Grid"/>
    <w:basedOn w:val="TableauNormal"/>
    <w:uiPriority w:val="39"/>
    <w:rsid w:val="002C1B95"/>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009B2"/>
    <w:rPr>
      <w:color w:val="808080"/>
    </w:rPr>
  </w:style>
  <w:style w:type="table" w:customStyle="1" w:styleId="Grilledutableau1">
    <w:name w:val="Grille du tableau1"/>
    <w:basedOn w:val="TableauNormal"/>
    <w:next w:val="Grilledutableau"/>
    <w:uiPriority w:val="39"/>
    <w:rsid w:val="00887EEB"/>
    <w:rPr>
      <w:rFonts w:ascii="Arial" w:hAnsi="Arial"/>
      <w:sz w:val="24"/>
    </w:rPr>
    <w:tblPr>
      <w:tblBorders>
        <w:top w:val="single" w:sz="4" w:space="0" w:color="auto"/>
        <w:bottom w:val="single" w:sz="4" w:space="0" w:color="auto"/>
      </w:tblBorders>
    </w:tblPr>
  </w:style>
  <w:style w:type="paragraph" w:customStyle="1" w:styleId="zSoquijdatNomPartieMec">
    <w:name w:val="zSoquij_datNomPartieMec"/>
    <w:basedOn w:val="Normal"/>
    <w:qFormat/>
    <w:rsid w:val="002E7403"/>
    <w:pPr>
      <w:spacing w:line="240" w:lineRule="auto"/>
      <w:jc w:val="center"/>
    </w:pPr>
    <w:rPr>
      <w:b/>
      <w:bCs/>
    </w:rPr>
  </w:style>
  <w:style w:type="paragraph" w:customStyle="1" w:styleId="zSoquijdatNomProcureurMec">
    <w:name w:val="zSoquij_datNomProcureurMec"/>
    <w:basedOn w:val="Normal"/>
    <w:qFormat/>
    <w:rsid w:val="00F3537E"/>
    <w:pPr>
      <w:spacing w:line="240" w:lineRule="auto"/>
      <w:jc w:val="center"/>
    </w:pPr>
  </w:style>
  <w:style w:type="paragraph" w:customStyle="1" w:styleId="zSoquijdatCabinetProcureurMec">
    <w:name w:val="zSoquij_datCabinetProcureurMec"/>
    <w:basedOn w:val="Normal"/>
    <w:qFormat/>
    <w:rsid w:val="00F3537E"/>
    <w:pPr>
      <w:spacing w:line="240" w:lineRule="auto"/>
      <w:jc w:val="center"/>
    </w:pPr>
    <w:rPr>
      <w:lang w:val="es-ES"/>
    </w:rPr>
  </w:style>
  <w:style w:type="character" w:customStyle="1" w:styleId="En-tteCar">
    <w:name w:val="En-tête Car"/>
    <w:basedOn w:val="Policepardfaut"/>
    <w:link w:val="En-tte"/>
    <w:uiPriority w:val="99"/>
    <w:rsid w:val="0081523C"/>
    <w:rPr>
      <w:rFonts w:ascii="Arial" w:hAnsi="Arial"/>
      <w:sz w:val="24"/>
      <w:lang w:eastAsia="fr-FR"/>
    </w:rPr>
  </w:style>
  <w:style w:type="character" w:styleId="Mentionnonrsolue">
    <w:name w:val="Unresolved Mention"/>
    <w:basedOn w:val="Policepardfaut"/>
    <w:uiPriority w:val="99"/>
    <w:semiHidden/>
    <w:unhideWhenUsed/>
    <w:rsid w:val="009B13B4"/>
    <w:rPr>
      <w:color w:val="605E5C"/>
      <w:shd w:val="clear" w:color="auto" w:fill="E1DFDD"/>
    </w:rPr>
  </w:style>
  <w:style w:type="paragraph" w:styleId="Rvision">
    <w:name w:val="Revision"/>
    <w:hidden/>
    <w:uiPriority w:val="99"/>
    <w:semiHidden/>
    <w:rsid w:val="00D37C91"/>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995B-40D8-4F0E-9DD8-BC637E56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1260</Words>
  <Characters>6935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2023-07-26T18:16:00Z</dcterms:created>
  <dcterms:modified xsi:type="dcterms:W3CDTF">2023-08-02T18:09:00Z</dcterms:modified>
</cp:coreProperties>
</file>