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0059" w14:textId="2A694C6F" w:rsidR="0055016F" w:rsidRPr="0055016F" w:rsidRDefault="0055016F" w:rsidP="0055016F">
      <w:pPr>
        <w:rPr>
          <w:lang w:val="en-CA"/>
        </w:rPr>
      </w:pPr>
      <w:r w:rsidRPr="0055016F">
        <w:rPr>
          <w:lang w:val="en-CA"/>
        </w:rPr>
        <w:t>Unofficial English Translation of the Judgment of the Court</w:t>
      </w:r>
    </w:p>
    <w:tbl>
      <w:tblPr>
        <w:tblW w:w="9621" w:type="dxa"/>
        <w:tblLayout w:type="fixed"/>
        <w:tblCellMar>
          <w:left w:w="0" w:type="dxa"/>
          <w:right w:w="0" w:type="dxa"/>
        </w:tblCellMar>
        <w:tblLook w:val="0000" w:firstRow="0" w:lastRow="0" w:firstColumn="0" w:lastColumn="0" w:noHBand="0" w:noVBand="0"/>
      </w:tblPr>
      <w:tblGrid>
        <w:gridCol w:w="1030"/>
        <w:gridCol w:w="671"/>
        <w:gridCol w:w="2350"/>
        <w:gridCol w:w="3575"/>
        <w:gridCol w:w="1815"/>
        <w:gridCol w:w="173"/>
        <w:gridCol w:w="7"/>
      </w:tblGrid>
      <w:tr w:rsidR="008F364A" w:rsidRPr="009A7DB9" w14:paraId="71F20C8F" w14:textId="77777777" w:rsidTr="009D08E2">
        <w:trPr>
          <w:gridAfter w:val="1"/>
          <w:wAfter w:w="7" w:type="dxa"/>
          <w:trHeight w:val="248"/>
        </w:trPr>
        <w:tc>
          <w:tcPr>
            <w:tcW w:w="7626" w:type="dxa"/>
            <w:gridSpan w:val="4"/>
          </w:tcPr>
          <w:p w14:paraId="1D0852F5" w14:textId="0F510F92" w:rsidR="008F364A" w:rsidRPr="00251249" w:rsidRDefault="000645B9" w:rsidP="000645B9">
            <w:pPr>
              <w:pStyle w:val="zSoquijdatRepertorie"/>
              <w:rPr>
                <w:rFonts w:cs="Arial"/>
                <w:lang w:val="en-CA"/>
              </w:rPr>
            </w:pPr>
            <w:r w:rsidRPr="00251249">
              <w:rPr>
                <w:rFonts w:cs="Arial"/>
                <w:lang w:val="en-CA"/>
              </w:rPr>
              <w:t>Chatillon c. R.</w:t>
            </w:r>
          </w:p>
        </w:tc>
        <w:tc>
          <w:tcPr>
            <w:tcW w:w="1988" w:type="dxa"/>
            <w:gridSpan w:val="2"/>
          </w:tcPr>
          <w:p w14:paraId="63634244" w14:textId="3A25D9EE" w:rsidR="008F364A" w:rsidRPr="00251249" w:rsidRDefault="00D3751F" w:rsidP="00D3751F">
            <w:pPr>
              <w:pStyle w:val="zSoquijdatRefNeutre"/>
              <w:jc w:val="right"/>
              <w:rPr>
                <w:rFonts w:cs="Arial"/>
                <w:lang w:val="en-CA"/>
              </w:rPr>
            </w:pPr>
            <w:r w:rsidRPr="00251249">
              <w:rPr>
                <w:rFonts w:cs="Arial"/>
                <w:lang w:val="en-CA"/>
              </w:rPr>
              <w:t>2022 QCCA 1072</w:t>
            </w:r>
          </w:p>
        </w:tc>
      </w:tr>
      <w:tr w:rsidR="008F364A" w:rsidRPr="009A7DB9" w14:paraId="2C57FF63" w14:textId="77777777" w:rsidTr="009D08E2">
        <w:trPr>
          <w:gridAfter w:val="1"/>
          <w:wAfter w:w="7" w:type="dxa"/>
          <w:trHeight w:val="247"/>
        </w:trPr>
        <w:tc>
          <w:tcPr>
            <w:tcW w:w="9614" w:type="dxa"/>
            <w:gridSpan w:val="6"/>
          </w:tcPr>
          <w:p w14:paraId="6DD8AC54" w14:textId="6BA72A0F" w:rsidR="008F364A" w:rsidRPr="00251249" w:rsidRDefault="00DB128D" w:rsidP="00752B64">
            <w:pPr>
              <w:pStyle w:val="zSoquijlblCour"/>
              <w:spacing w:before="120" w:line="280" w:lineRule="exact"/>
              <w:rPr>
                <w:lang w:val="en-CA"/>
              </w:rPr>
            </w:pPr>
            <w:r w:rsidRPr="00251249">
              <w:rPr>
                <w:lang w:val="en-CA"/>
              </w:rPr>
              <w:t>COURT OF APPEAL</w:t>
            </w:r>
          </w:p>
        </w:tc>
      </w:tr>
      <w:tr w:rsidR="008F364A" w:rsidRPr="009A7DB9" w14:paraId="19213F6D" w14:textId="77777777" w:rsidTr="009D08E2">
        <w:trPr>
          <w:gridAfter w:val="1"/>
          <w:wAfter w:w="7" w:type="dxa"/>
          <w:trHeight w:val="540"/>
        </w:trPr>
        <w:tc>
          <w:tcPr>
            <w:tcW w:w="9614" w:type="dxa"/>
            <w:gridSpan w:val="6"/>
          </w:tcPr>
          <w:p w14:paraId="46ED4FF5" w14:textId="77777777" w:rsidR="008F364A" w:rsidRPr="009A7DB9" w:rsidRDefault="008F364A" w:rsidP="00A00453">
            <w:pPr>
              <w:pStyle w:val="zSoquijdatDivision"/>
              <w:rPr>
                <w:lang w:val="en-CA"/>
              </w:rPr>
            </w:pPr>
          </w:p>
        </w:tc>
      </w:tr>
      <w:tr w:rsidR="008F364A" w:rsidRPr="009A7DB9" w14:paraId="0BF6E1EC" w14:textId="77777777" w:rsidTr="009D08E2">
        <w:trPr>
          <w:gridAfter w:val="1"/>
          <w:wAfter w:w="7" w:type="dxa"/>
        </w:trPr>
        <w:tc>
          <w:tcPr>
            <w:tcW w:w="9614" w:type="dxa"/>
            <w:gridSpan w:val="6"/>
          </w:tcPr>
          <w:p w14:paraId="2B8AEEC6" w14:textId="77777777" w:rsidR="008F364A" w:rsidRPr="009A7DB9" w:rsidRDefault="00740A17" w:rsidP="00A00453">
            <w:pPr>
              <w:pStyle w:val="zSoquijlblPays"/>
              <w:rPr>
                <w:lang w:val="en-CA"/>
              </w:rPr>
            </w:pPr>
            <w:r w:rsidRPr="009A7DB9">
              <w:rPr>
                <w:lang w:val="en-CA"/>
              </w:rPr>
              <w:t>CANADA</w:t>
            </w:r>
          </w:p>
        </w:tc>
      </w:tr>
      <w:tr w:rsidR="008F364A" w:rsidRPr="009A7DB9" w14:paraId="26B6F746" w14:textId="77777777" w:rsidTr="009D08E2">
        <w:trPr>
          <w:gridAfter w:val="1"/>
          <w:wAfter w:w="7" w:type="dxa"/>
        </w:trPr>
        <w:tc>
          <w:tcPr>
            <w:tcW w:w="9614" w:type="dxa"/>
            <w:gridSpan w:val="6"/>
          </w:tcPr>
          <w:p w14:paraId="1945D2DC" w14:textId="2D45D307" w:rsidR="008F364A" w:rsidRPr="009A7DB9" w:rsidRDefault="00740A17" w:rsidP="00A00453">
            <w:pPr>
              <w:pStyle w:val="zSoquijlblProvince"/>
              <w:rPr>
                <w:lang w:val="en-CA"/>
              </w:rPr>
            </w:pPr>
            <w:r w:rsidRPr="009A7DB9">
              <w:rPr>
                <w:lang w:val="en-CA"/>
              </w:rPr>
              <w:t xml:space="preserve">PROVINCE </w:t>
            </w:r>
            <w:r w:rsidR="009D08E2" w:rsidRPr="009A7DB9">
              <w:rPr>
                <w:lang w:val="en-CA"/>
              </w:rPr>
              <w:t>OF</w:t>
            </w:r>
            <w:r w:rsidRPr="009A7DB9">
              <w:rPr>
                <w:lang w:val="en-CA"/>
              </w:rPr>
              <w:t xml:space="preserve"> QU</w:t>
            </w:r>
            <w:r w:rsidR="009D08E2" w:rsidRPr="009A7DB9">
              <w:rPr>
                <w:lang w:val="en-CA"/>
              </w:rPr>
              <w:t>E</w:t>
            </w:r>
            <w:r w:rsidRPr="009A7DB9">
              <w:rPr>
                <w:lang w:val="en-CA"/>
              </w:rPr>
              <w:t>BEC</w:t>
            </w:r>
          </w:p>
        </w:tc>
      </w:tr>
      <w:tr w:rsidR="008F364A" w:rsidRPr="009A7DB9" w14:paraId="6DE3B932" w14:textId="77777777" w:rsidTr="009D08E2">
        <w:tc>
          <w:tcPr>
            <w:tcW w:w="1701" w:type="dxa"/>
            <w:gridSpan w:val="2"/>
          </w:tcPr>
          <w:p w14:paraId="5438F87E" w14:textId="4F6972DC" w:rsidR="008F364A" w:rsidRPr="009A7DB9" w:rsidRDefault="009D08E2" w:rsidP="00A00453">
            <w:pPr>
              <w:pStyle w:val="zSoquijlblGreffe"/>
              <w:rPr>
                <w:lang w:val="en-CA"/>
              </w:rPr>
            </w:pPr>
            <w:r w:rsidRPr="009A7DB9">
              <w:rPr>
                <w:lang w:val="en-CA"/>
              </w:rPr>
              <w:t>REGISTRY OF</w:t>
            </w:r>
          </w:p>
          <w:p w14:paraId="28A1DF3A" w14:textId="77777777" w:rsidR="008F364A" w:rsidRPr="009A7DB9" w:rsidRDefault="008F364A" w:rsidP="00A00453">
            <w:pPr>
              <w:pStyle w:val="zSoquijlblGreffe"/>
              <w:rPr>
                <w:lang w:val="en-CA"/>
              </w:rPr>
            </w:pPr>
          </w:p>
        </w:tc>
        <w:tc>
          <w:tcPr>
            <w:tcW w:w="7920" w:type="dxa"/>
            <w:gridSpan w:val="5"/>
          </w:tcPr>
          <w:p w14:paraId="64FD8BA9" w14:textId="77777777" w:rsidR="008F364A" w:rsidRPr="009A7DB9" w:rsidRDefault="00694A55" w:rsidP="00A00453">
            <w:pPr>
              <w:pStyle w:val="zSoquijdatGreffe"/>
              <w:rPr>
                <w:lang w:val="en-CA"/>
              </w:rPr>
            </w:pPr>
            <w:bookmarkStart w:id="0" w:name="NomGreffe"/>
            <w:r w:rsidRPr="009A7DB9">
              <w:rPr>
                <w:lang w:val="en-CA"/>
              </w:rPr>
              <w:t>MONTRÉAL</w:t>
            </w:r>
            <w:bookmarkEnd w:id="0"/>
          </w:p>
        </w:tc>
      </w:tr>
      <w:tr w:rsidR="008F364A" w:rsidRPr="009A7DB9" w14:paraId="5A378BB8" w14:textId="77777777" w:rsidTr="009D08E2">
        <w:trPr>
          <w:gridAfter w:val="1"/>
          <w:wAfter w:w="7" w:type="dxa"/>
        </w:trPr>
        <w:tc>
          <w:tcPr>
            <w:tcW w:w="1030" w:type="dxa"/>
          </w:tcPr>
          <w:p w14:paraId="54449518" w14:textId="0B629E36" w:rsidR="008F364A" w:rsidRPr="009A7DB9" w:rsidRDefault="00740A17" w:rsidP="00A00453">
            <w:pPr>
              <w:pStyle w:val="zSoquijlblNoDossier"/>
              <w:rPr>
                <w:lang w:val="en-CA"/>
              </w:rPr>
            </w:pPr>
            <w:r w:rsidRPr="009A7DB9">
              <w:rPr>
                <w:lang w:val="en-CA"/>
              </w:rPr>
              <w:t>N</w:t>
            </w:r>
            <w:r w:rsidR="00EC1B26">
              <w:rPr>
                <w:lang w:val="en-CA"/>
              </w:rPr>
              <w:t>o.</w:t>
            </w:r>
            <w:r w:rsidRPr="009A7DB9">
              <w:rPr>
                <w:lang w:val="en-CA"/>
              </w:rPr>
              <w:t>:</w:t>
            </w:r>
          </w:p>
        </w:tc>
        <w:tc>
          <w:tcPr>
            <w:tcW w:w="8584" w:type="dxa"/>
            <w:gridSpan w:val="5"/>
          </w:tcPr>
          <w:p w14:paraId="6618A324" w14:textId="77777777" w:rsidR="008F364A" w:rsidRPr="009A7DB9" w:rsidRDefault="00694A55" w:rsidP="00A00453">
            <w:pPr>
              <w:pStyle w:val="zSoquijdatNoDossier"/>
              <w:rPr>
                <w:lang w:val="en-CA"/>
              </w:rPr>
            </w:pPr>
            <w:bookmarkStart w:id="1" w:name="NoDossier"/>
            <w:r w:rsidRPr="009A7DB9">
              <w:rPr>
                <w:lang w:val="en-CA"/>
              </w:rPr>
              <w:t>500-10-007350-208</w:t>
            </w:r>
            <w:bookmarkEnd w:id="1"/>
          </w:p>
        </w:tc>
      </w:tr>
      <w:tr w:rsidR="00694A55" w:rsidRPr="009A7DB9" w14:paraId="08CDFF92" w14:textId="77777777" w:rsidTr="009D08E2">
        <w:trPr>
          <w:gridAfter w:val="1"/>
          <w:wAfter w:w="7" w:type="dxa"/>
        </w:trPr>
        <w:tc>
          <w:tcPr>
            <w:tcW w:w="9614" w:type="dxa"/>
            <w:gridSpan w:val="6"/>
          </w:tcPr>
          <w:p w14:paraId="1FF80469" w14:textId="77777777" w:rsidR="00694A55" w:rsidRPr="009A7DB9" w:rsidRDefault="00694A55" w:rsidP="00A00453">
            <w:pPr>
              <w:pStyle w:val="zSoquijdatNoDossierAnt"/>
              <w:rPr>
                <w:lang w:val="en-CA"/>
              </w:rPr>
            </w:pPr>
            <w:r w:rsidRPr="009A7DB9">
              <w:rPr>
                <w:lang w:val="en-CA"/>
              </w:rPr>
              <w:t>(455-01-016160-180)</w:t>
            </w:r>
          </w:p>
        </w:tc>
      </w:tr>
      <w:tr w:rsidR="008F364A" w:rsidRPr="009A7DB9" w14:paraId="5BC1F0EE" w14:textId="77777777" w:rsidTr="009D08E2">
        <w:trPr>
          <w:gridAfter w:val="1"/>
          <w:wAfter w:w="7" w:type="dxa"/>
        </w:trPr>
        <w:tc>
          <w:tcPr>
            <w:tcW w:w="9614" w:type="dxa"/>
            <w:gridSpan w:val="6"/>
          </w:tcPr>
          <w:p w14:paraId="61D24C31" w14:textId="77777777" w:rsidR="008F364A" w:rsidRPr="009A7DB9" w:rsidRDefault="008F364A" w:rsidP="00A00453">
            <w:pPr>
              <w:rPr>
                <w:lang w:val="en-CA"/>
              </w:rPr>
            </w:pPr>
          </w:p>
        </w:tc>
      </w:tr>
      <w:tr w:rsidR="008F364A" w:rsidRPr="009A7DB9" w14:paraId="4931EF4E" w14:textId="77777777" w:rsidTr="009D08E2">
        <w:trPr>
          <w:gridAfter w:val="1"/>
          <w:wAfter w:w="7" w:type="dxa"/>
        </w:trPr>
        <w:tc>
          <w:tcPr>
            <w:tcW w:w="1030" w:type="dxa"/>
          </w:tcPr>
          <w:p w14:paraId="3A44C157" w14:textId="615C477F" w:rsidR="008F364A" w:rsidRPr="009A7DB9" w:rsidRDefault="00740A17" w:rsidP="00A00453">
            <w:pPr>
              <w:pStyle w:val="zSoquijlblDateJugement"/>
              <w:rPr>
                <w:lang w:val="en-CA"/>
              </w:rPr>
            </w:pPr>
            <w:r w:rsidRPr="009A7DB9">
              <w:rPr>
                <w:lang w:val="en-CA"/>
              </w:rPr>
              <w:t>DATE:</w:t>
            </w:r>
          </w:p>
        </w:tc>
        <w:tc>
          <w:tcPr>
            <w:tcW w:w="8584" w:type="dxa"/>
            <w:gridSpan w:val="5"/>
          </w:tcPr>
          <w:p w14:paraId="7AB9E923" w14:textId="490D9AC6" w:rsidR="008F364A" w:rsidRPr="009A7DB9" w:rsidRDefault="00EC1B26" w:rsidP="00A00453">
            <w:pPr>
              <w:pStyle w:val="zSoquijdatDateJugement"/>
              <w:rPr>
                <w:lang w:val="en-CA"/>
              </w:rPr>
            </w:pPr>
            <w:r>
              <w:rPr>
                <w:lang w:val="en-CA"/>
              </w:rPr>
              <w:t xml:space="preserve">August 1, </w:t>
            </w:r>
            <w:r w:rsidR="00D65A98" w:rsidRPr="009A7DB9">
              <w:rPr>
                <w:lang w:val="en-CA"/>
              </w:rPr>
              <w:t>2022</w:t>
            </w:r>
          </w:p>
        </w:tc>
      </w:tr>
      <w:tr w:rsidR="008F364A" w:rsidRPr="009A7DB9" w14:paraId="406BBEA3" w14:textId="77777777" w:rsidTr="009D08E2">
        <w:trPr>
          <w:gridAfter w:val="1"/>
          <w:wAfter w:w="7" w:type="dxa"/>
        </w:trPr>
        <w:tc>
          <w:tcPr>
            <w:tcW w:w="9614" w:type="dxa"/>
            <w:gridSpan w:val="6"/>
            <w:tcBorders>
              <w:bottom w:val="single" w:sz="8" w:space="0" w:color="auto"/>
            </w:tcBorders>
          </w:tcPr>
          <w:p w14:paraId="1BB66C76" w14:textId="77777777" w:rsidR="008F364A" w:rsidRPr="009A7DB9" w:rsidRDefault="008F364A" w:rsidP="00A00453">
            <w:pPr>
              <w:rPr>
                <w:lang w:val="en-CA"/>
              </w:rPr>
            </w:pPr>
          </w:p>
        </w:tc>
      </w:tr>
      <w:tr w:rsidR="008F364A" w:rsidRPr="009A7DB9" w14:paraId="626F1ED7" w14:textId="77777777" w:rsidTr="009D08E2">
        <w:trPr>
          <w:gridAfter w:val="1"/>
          <w:wAfter w:w="7" w:type="dxa"/>
        </w:trPr>
        <w:tc>
          <w:tcPr>
            <w:tcW w:w="9614" w:type="dxa"/>
            <w:gridSpan w:val="6"/>
            <w:tcBorders>
              <w:top w:val="single" w:sz="8" w:space="0" w:color="auto"/>
            </w:tcBorders>
          </w:tcPr>
          <w:p w14:paraId="007D4FE8" w14:textId="77777777" w:rsidR="008F364A" w:rsidRPr="009A7DB9" w:rsidRDefault="008F364A" w:rsidP="00A00453">
            <w:pPr>
              <w:rPr>
                <w:lang w:val="en-CA"/>
              </w:rPr>
            </w:pPr>
          </w:p>
        </w:tc>
      </w:tr>
      <w:tr w:rsidR="008F364A" w:rsidRPr="009A7DB9" w14:paraId="6E733416" w14:textId="77777777" w:rsidTr="009D08E2">
        <w:trPr>
          <w:gridAfter w:val="2"/>
          <w:wAfter w:w="180" w:type="dxa"/>
        </w:trPr>
        <w:tc>
          <w:tcPr>
            <w:tcW w:w="1701" w:type="dxa"/>
            <w:gridSpan w:val="2"/>
          </w:tcPr>
          <w:p w14:paraId="5BFF1AB6" w14:textId="12FD85DD" w:rsidR="008F364A" w:rsidRPr="009A7DB9" w:rsidRDefault="009D08E2" w:rsidP="00A00453">
            <w:pPr>
              <w:pStyle w:val="zSoquijlblJuge"/>
              <w:ind w:right="-142"/>
              <w:rPr>
                <w:lang w:val="en-CA"/>
              </w:rPr>
            </w:pPr>
            <w:bookmarkStart w:id="2" w:name="FORMATION"/>
            <w:r w:rsidRPr="009A7DB9">
              <w:rPr>
                <w:lang w:val="en-CA"/>
              </w:rPr>
              <w:t>CORAM</w:t>
            </w:r>
            <w:r w:rsidR="00740A17" w:rsidRPr="009A7DB9">
              <w:rPr>
                <w:lang w:val="en-CA"/>
              </w:rPr>
              <w:t>:</w:t>
            </w:r>
            <w:bookmarkEnd w:id="2"/>
          </w:p>
        </w:tc>
        <w:tc>
          <w:tcPr>
            <w:tcW w:w="2350" w:type="dxa"/>
          </w:tcPr>
          <w:p w14:paraId="64B0A00A" w14:textId="67298747" w:rsidR="008F364A" w:rsidRPr="009A7DB9" w:rsidRDefault="009D08E2" w:rsidP="00A00453">
            <w:pPr>
              <w:pStyle w:val="zSoquijdatQteJuge"/>
              <w:rPr>
                <w:lang w:val="en-CA"/>
              </w:rPr>
            </w:pPr>
            <w:r w:rsidRPr="009A7DB9">
              <w:rPr>
                <w:lang w:val="en-CA"/>
              </w:rPr>
              <w:t>THE HONOURABLE</w:t>
            </w:r>
          </w:p>
        </w:tc>
        <w:tc>
          <w:tcPr>
            <w:tcW w:w="5390" w:type="dxa"/>
            <w:gridSpan w:val="2"/>
          </w:tcPr>
          <w:p w14:paraId="66F89D5C" w14:textId="2D695BD9" w:rsidR="008F364A" w:rsidRPr="00251249" w:rsidRDefault="00694A55" w:rsidP="00A00453">
            <w:pPr>
              <w:pStyle w:val="zSoquijdatJuge"/>
            </w:pPr>
            <w:bookmarkStart w:id="3" w:name="NomJuge1"/>
            <w:r w:rsidRPr="00251249">
              <w:t>MARTIN VAUCLAIR, J.A.</w:t>
            </w:r>
            <w:bookmarkEnd w:id="3"/>
          </w:p>
          <w:p w14:paraId="6AB9CAAE" w14:textId="0835D6EC" w:rsidR="008F364A" w:rsidRPr="00251249" w:rsidRDefault="00694A55" w:rsidP="00A00453">
            <w:pPr>
              <w:pStyle w:val="zSoquijdatJuge"/>
            </w:pPr>
            <w:bookmarkStart w:id="4" w:name="NomJuge2"/>
            <w:r w:rsidRPr="00251249">
              <w:t>ROBERT M. MAINVILLE, J.A.</w:t>
            </w:r>
            <w:bookmarkEnd w:id="4"/>
          </w:p>
          <w:p w14:paraId="74A16381" w14:textId="7B5F44C0" w:rsidR="005A78BF" w:rsidRPr="009A7DB9" w:rsidRDefault="00694A55" w:rsidP="00A00453">
            <w:pPr>
              <w:pStyle w:val="zSoquijdatJuge"/>
              <w:rPr>
                <w:lang w:val="en-CA"/>
              </w:rPr>
            </w:pPr>
            <w:bookmarkStart w:id="5" w:name="_Hlt520513784"/>
            <w:bookmarkStart w:id="6" w:name="NomJuge3"/>
            <w:bookmarkEnd w:id="5"/>
            <w:r w:rsidRPr="009A7DB9">
              <w:rPr>
                <w:lang w:val="en-CA"/>
              </w:rPr>
              <w:t>PATRICK HEALY, J.A.</w:t>
            </w:r>
            <w:bookmarkEnd w:id="6"/>
          </w:p>
        </w:tc>
      </w:tr>
      <w:tr w:rsidR="008F364A" w:rsidRPr="009A7DB9" w14:paraId="6B315627" w14:textId="77777777" w:rsidTr="009D08E2">
        <w:trPr>
          <w:gridAfter w:val="1"/>
          <w:wAfter w:w="7" w:type="dxa"/>
        </w:trPr>
        <w:tc>
          <w:tcPr>
            <w:tcW w:w="9614" w:type="dxa"/>
            <w:gridSpan w:val="6"/>
            <w:tcBorders>
              <w:bottom w:val="single" w:sz="8" w:space="0" w:color="auto"/>
            </w:tcBorders>
          </w:tcPr>
          <w:p w14:paraId="54A2234E" w14:textId="77777777" w:rsidR="008F364A" w:rsidRPr="009A7DB9" w:rsidRDefault="008F364A" w:rsidP="00A00453">
            <w:pPr>
              <w:rPr>
                <w:lang w:val="en-CA"/>
              </w:rPr>
            </w:pPr>
          </w:p>
        </w:tc>
      </w:tr>
      <w:tr w:rsidR="008F364A" w:rsidRPr="009A7DB9" w14:paraId="7B35C3BD" w14:textId="77777777" w:rsidTr="009D08E2">
        <w:trPr>
          <w:gridAfter w:val="1"/>
          <w:wAfter w:w="7" w:type="dxa"/>
        </w:trPr>
        <w:tc>
          <w:tcPr>
            <w:tcW w:w="9614" w:type="dxa"/>
            <w:gridSpan w:val="6"/>
          </w:tcPr>
          <w:p w14:paraId="5EC308CF" w14:textId="77777777" w:rsidR="008F364A" w:rsidRPr="009A7DB9" w:rsidRDefault="008F364A" w:rsidP="00A00453">
            <w:pPr>
              <w:pStyle w:val="zSoquijlblTitrePartie"/>
              <w:rPr>
                <w:lang w:val="en-CA"/>
              </w:rPr>
            </w:pPr>
          </w:p>
        </w:tc>
      </w:tr>
      <w:tr w:rsidR="008F364A" w:rsidRPr="009A7DB9" w14:paraId="055C02B1" w14:textId="77777777" w:rsidTr="009D08E2">
        <w:trPr>
          <w:gridAfter w:val="1"/>
          <w:wAfter w:w="7" w:type="dxa"/>
        </w:trPr>
        <w:tc>
          <w:tcPr>
            <w:tcW w:w="9614" w:type="dxa"/>
            <w:gridSpan w:val="6"/>
          </w:tcPr>
          <w:p w14:paraId="58A321FE" w14:textId="0291E5B3" w:rsidR="008F364A" w:rsidRPr="009A7DB9" w:rsidRDefault="00694A55" w:rsidP="00A00453">
            <w:pPr>
              <w:pStyle w:val="zSoquijdatNomPartieDem"/>
              <w:rPr>
                <w:lang w:val="en-CA"/>
              </w:rPr>
            </w:pPr>
            <w:r w:rsidRPr="009A7DB9">
              <w:rPr>
                <w:lang w:val="en-CA"/>
              </w:rPr>
              <w:t>OLIVIER CH</w:t>
            </w:r>
            <w:r w:rsidR="002B7677" w:rsidRPr="009A7DB9">
              <w:rPr>
                <w:lang w:val="en-CA"/>
              </w:rPr>
              <w:t>A</w:t>
            </w:r>
            <w:r w:rsidRPr="009A7DB9">
              <w:rPr>
                <w:lang w:val="en-CA"/>
              </w:rPr>
              <w:t>TILLON</w:t>
            </w:r>
          </w:p>
        </w:tc>
      </w:tr>
      <w:tr w:rsidR="008F364A" w:rsidRPr="009A7DB9" w14:paraId="6978A368" w14:textId="77777777" w:rsidTr="009D08E2">
        <w:trPr>
          <w:gridAfter w:val="1"/>
          <w:wAfter w:w="7" w:type="dxa"/>
        </w:trPr>
        <w:tc>
          <w:tcPr>
            <w:tcW w:w="9614" w:type="dxa"/>
            <w:gridSpan w:val="6"/>
          </w:tcPr>
          <w:p w14:paraId="35DFE59E" w14:textId="5E361160" w:rsidR="008F364A" w:rsidRPr="009A7DB9" w:rsidRDefault="00694A55" w:rsidP="00A00453">
            <w:pPr>
              <w:pStyle w:val="zSoquijdatQtePartieDem"/>
              <w:rPr>
                <w:lang w:val="en-CA"/>
              </w:rPr>
            </w:pPr>
            <w:r w:rsidRPr="009A7DB9">
              <w:rPr>
                <w:lang w:val="en-CA"/>
              </w:rPr>
              <w:t>APPE</w:t>
            </w:r>
            <w:r w:rsidR="009D08E2" w:rsidRPr="009A7DB9">
              <w:rPr>
                <w:lang w:val="en-CA"/>
              </w:rPr>
              <w:t>L</w:t>
            </w:r>
            <w:r w:rsidRPr="009A7DB9">
              <w:rPr>
                <w:lang w:val="en-CA"/>
              </w:rPr>
              <w:t xml:space="preserve">LANT – </w:t>
            </w:r>
            <w:r w:rsidR="006953DA">
              <w:rPr>
                <w:lang w:val="en-CA"/>
              </w:rPr>
              <w:t>A</w:t>
            </w:r>
            <w:r w:rsidRPr="009A7DB9">
              <w:rPr>
                <w:lang w:val="en-CA"/>
              </w:rPr>
              <w:t>ccus</w:t>
            </w:r>
            <w:r w:rsidR="009D08E2" w:rsidRPr="009A7DB9">
              <w:rPr>
                <w:lang w:val="en-CA"/>
              </w:rPr>
              <w:t>ed</w:t>
            </w:r>
            <w:r w:rsidRPr="009A7DB9">
              <w:rPr>
                <w:lang w:val="en-CA"/>
              </w:rPr>
              <w:t xml:space="preserve"> </w:t>
            </w:r>
          </w:p>
        </w:tc>
      </w:tr>
      <w:tr w:rsidR="008F364A" w:rsidRPr="009A7DB9" w14:paraId="2BAE402A" w14:textId="77777777" w:rsidTr="009D08E2">
        <w:trPr>
          <w:gridAfter w:val="1"/>
          <w:wAfter w:w="7" w:type="dxa"/>
        </w:trPr>
        <w:tc>
          <w:tcPr>
            <w:tcW w:w="9614" w:type="dxa"/>
            <w:gridSpan w:val="6"/>
          </w:tcPr>
          <w:p w14:paraId="5421B1C9" w14:textId="621F3643" w:rsidR="008F364A" w:rsidRPr="009A7DB9" w:rsidRDefault="009D08E2" w:rsidP="00A00453">
            <w:pPr>
              <w:pStyle w:val="zSoquijlblLienParties"/>
              <w:rPr>
                <w:lang w:val="en-CA"/>
              </w:rPr>
            </w:pPr>
            <w:r w:rsidRPr="009A7DB9">
              <w:rPr>
                <w:lang w:val="en-CA"/>
              </w:rPr>
              <w:t>v</w:t>
            </w:r>
            <w:r w:rsidR="00740A17" w:rsidRPr="009A7DB9">
              <w:rPr>
                <w:lang w:val="en-CA"/>
              </w:rPr>
              <w:t>.</w:t>
            </w:r>
          </w:p>
        </w:tc>
      </w:tr>
      <w:tr w:rsidR="008F364A" w:rsidRPr="009A7DB9" w14:paraId="797962EA" w14:textId="77777777" w:rsidTr="009D08E2">
        <w:trPr>
          <w:gridAfter w:val="1"/>
          <w:wAfter w:w="7" w:type="dxa"/>
        </w:trPr>
        <w:tc>
          <w:tcPr>
            <w:tcW w:w="9614" w:type="dxa"/>
            <w:gridSpan w:val="6"/>
          </w:tcPr>
          <w:p w14:paraId="56E0646C" w14:textId="77777777" w:rsidR="008F364A" w:rsidRPr="009A7DB9" w:rsidRDefault="008F364A" w:rsidP="00A00453">
            <w:pPr>
              <w:rPr>
                <w:lang w:val="en-CA"/>
              </w:rPr>
            </w:pPr>
          </w:p>
        </w:tc>
      </w:tr>
      <w:tr w:rsidR="008F364A" w:rsidRPr="009A7DB9" w14:paraId="3976EB44" w14:textId="77777777" w:rsidTr="009D08E2">
        <w:trPr>
          <w:gridAfter w:val="1"/>
          <w:wAfter w:w="7" w:type="dxa"/>
        </w:trPr>
        <w:tc>
          <w:tcPr>
            <w:tcW w:w="9614" w:type="dxa"/>
            <w:gridSpan w:val="6"/>
          </w:tcPr>
          <w:p w14:paraId="40D4A97D" w14:textId="3A5C8B22" w:rsidR="008F364A" w:rsidRPr="009A7DB9" w:rsidRDefault="009D08E2" w:rsidP="00A00453">
            <w:pPr>
              <w:pStyle w:val="zSoquijdatNomPartieDef"/>
              <w:rPr>
                <w:lang w:val="en-CA"/>
              </w:rPr>
            </w:pPr>
            <w:r w:rsidRPr="009A7DB9">
              <w:rPr>
                <w:lang w:val="en-CA"/>
              </w:rPr>
              <w:t>HER MAJESTY THE QUEEN</w:t>
            </w:r>
          </w:p>
        </w:tc>
      </w:tr>
      <w:tr w:rsidR="008F364A" w:rsidRPr="009A7DB9" w14:paraId="19BD8EFE" w14:textId="77777777" w:rsidTr="009D08E2">
        <w:trPr>
          <w:gridAfter w:val="1"/>
          <w:wAfter w:w="7" w:type="dxa"/>
        </w:trPr>
        <w:tc>
          <w:tcPr>
            <w:tcW w:w="9614" w:type="dxa"/>
            <w:gridSpan w:val="6"/>
          </w:tcPr>
          <w:p w14:paraId="222C54CA" w14:textId="75672F8D" w:rsidR="008F364A" w:rsidRPr="009A7DB9" w:rsidRDefault="009D08E2" w:rsidP="00A00453">
            <w:pPr>
              <w:pStyle w:val="zSoquijdatQtePartieDef"/>
              <w:rPr>
                <w:lang w:val="en-CA"/>
              </w:rPr>
            </w:pPr>
            <w:r w:rsidRPr="009A7DB9">
              <w:rPr>
                <w:lang w:val="en-CA"/>
              </w:rPr>
              <w:t>RESPONDENT</w:t>
            </w:r>
            <w:r w:rsidR="00694A55" w:rsidRPr="009A7DB9">
              <w:rPr>
                <w:lang w:val="en-CA"/>
              </w:rPr>
              <w:t xml:space="preserve"> – </w:t>
            </w:r>
            <w:r w:rsidR="006953DA">
              <w:rPr>
                <w:lang w:val="en-CA"/>
              </w:rPr>
              <w:t>P</w:t>
            </w:r>
            <w:r w:rsidRPr="009A7DB9">
              <w:rPr>
                <w:lang w:val="en-CA"/>
              </w:rPr>
              <w:t>rosecut</w:t>
            </w:r>
            <w:r w:rsidR="006953DA">
              <w:rPr>
                <w:lang w:val="en-CA"/>
              </w:rPr>
              <w:t>or</w:t>
            </w:r>
          </w:p>
        </w:tc>
      </w:tr>
      <w:tr w:rsidR="008F364A" w:rsidRPr="009A7DB9" w14:paraId="237E1B27" w14:textId="77777777" w:rsidTr="009D08E2">
        <w:trPr>
          <w:gridAfter w:val="1"/>
          <w:wAfter w:w="7" w:type="dxa"/>
        </w:trPr>
        <w:tc>
          <w:tcPr>
            <w:tcW w:w="9614" w:type="dxa"/>
            <w:gridSpan w:val="6"/>
          </w:tcPr>
          <w:p w14:paraId="1823764D" w14:textId="77777777" w:rsidR="008F364A" w:rsidRPr="009A7DB9" w:rsidRDefault="008F364A" w:rsidP="00A00453">
            <w:pPr>
              <w:rPr>
                <w:lang w:val="en-CA"/>
              </w:rPr>
            </w:pPr>
          </w:p>
        </w:tc>
      </w:tr>
      <w:tr w:rsidR="008F364A" w:rsidRPr="009A7DB9" w14:paraId="4ECF599B" w14:textId="77777777" w:rsidTr="009D08E2">
        <w:trPr>
          <w:gridAfter w:val="1"/>
          <w:wAfter w:w="7" w:type="dxa"/>
        </w:trPr>
        <w:tc>
          <w:tcPr>
            <w:tcW w:w="9614" w:type="dxa"/>
            <w:gridSpan w:val="6"/>
            <w:tcBorders>
              <w:top w:val="single" w:sz="8" w:space="0" w:color="auto"/>
            </w:tcBorders>
          </w:tcPr>
          <w:p w14:paraId="37E45CF8" w14:textId="77777777" w:rsidR="008F364A" w:rsidRPr="009A7DB9" w:rsidRDefault="008F364A" w:rsidP="00A00453">
            <w:pPr>
              <w:rPr>
                <w:lang w:val="en-CA"/>
              </w:rPr>
            </w:pPr>
            <w:bookmarkStart w:id="7" w:name="Arret"/>
          </w:p>
        </w:tc>
      </w:tr>
      <w:tr w:rsidR="008F364A" w:rsidRPr="009A7DB9" w14:paraId="2CB09F1C" w14:textId="77777777" w:rsidTr="009D08E2">
        <w:trPr>
          <w:gridAfter w:val="1"/>
          <w:wAfter w:w="7" w:type="dxa"/>
        </w:trPr>
        <w:tc>
          <w:tcPr>
            <w:tcW w:w="9614" w:type="dxa"/>
            <w:gridSpan w:val="6"/>
          </w:tcPr>
          <w:p w14:paraId="03AD5C0A" w14:textId="132DA5D0" w:rsidR="008F364A" w:rsidRPr="009A7DB9" w:rsidRDefault="00B813B0" w:rsidP="00A00453">
            <w:pPr>
              <w:pStyle w:val="zSoquijlblTypeDocument"/>
              <w:rPr>
                <w:lang w:val="en-CA"/>
              </w:rPr>
            </w:pPr>
            <w:r>
              <w:rPr>
                <w:lang w:val="en-CA"/>
              </w:rPr>
              <w:t>JUDGMENT</w:t>
            </w:r>
          </w:p>
        </w:tc>
      </w:tr>
      <w:tr w:rsidR="008F364A" w:rsidRPr="009A7DB9" w14:paraId="13DD25DC" w14:textId="77777777" w:rsidTr="009D08E2">
        <w:trPr>
          <w:gridAfter w:val="1"/>
          <w:wAfter w:w="7" w:type="dxa"/>
        </w:trPr>
        <w:tc>
          <w:tcPr>
            <w:tcW w:w="9614" w:type="dxa"/>
            <w:gridSpan w:val="6"/>
            <w:tcBorders>
              <w:bottom w:val="single" w:sz="8" w:space="0" w:color="auto"/>
            </w:tcBorders>
          </w:tcPr>
          <w:p w14:paraId="0ED4C6D9" w14:textId="77777777" w:rsidR="008F364A" w:rsidRPr="009A7DB9" w:rsidRDefault="008F364A" w:rsidP="00A00453">
            <w:pPr>
              <w:rPr>
                <w:lang w:val="en-CA"/>
              </w:rPr>
            </w:pPr>
          </w:p>
        </w:tc>
      </w:tr>
      <w:tr w:rsidR="008F364A" w:rsidRPr="00163D95" w14:paraId="3E0A788F" w14:textId="77777777" w:rsidTr="009D08E2">
        <w:trPr>
          <w:gridAfter w:val="1"/>
          <w:wAfter w:w="7" w:type="dxa"/>
        </w:trPr>
        <w:tc>
          <w:tcPr>
            <w:tcW w:w="9614" w:type="dxa"/>
            <w:gridSpan w:val="6"/>
            <w:tcBorders>
              <w:top w:val="single" w:sz="8" w:space="0" w:color="auto"/>
            </w:tcBorders>
          </w:tcPr>
          <w:p w14:paraId="5F2DA09C" w14:textId="3344141B" w:rsidR="00760E1E" w:rsidRPr="009A7DB9" w:rsidRDefault="00033C97" w:rsidP="00A00453">
            <w:pPr>
              <w:autoSpaceDE w:val="0"/>
              <w:autoSpaceDN w:val="0"/>
              <w:adjustRightInd w:val="0"/>
              <w:spacing w:before="120"/>
              <w:jc w:val="center"/>
              <w:rPr>
                <w:rFonts w:asciiTheme="minorHAnsi" w:hAnsiTheme="minorHAnsi" w:cstheme="minorHAnsi"/>
                <w:b/>
                <w:szCs w:val="24"/>
                <w:lang w:val="en-CA" w:eastAsia="fr-CA"/>
              </w:rPr>
            </w:pPr>
            <w:r>
              <w:rPr>
                <w:rFonts w:asciiTheme="minorHAnsi" w:hAnsiTheme="minorHAnsi" w:cstheme="minorHAnsi"/>
                <w:b/>
                <w:szCs w:val="24"/>
                <w:lang w:val="en-CA" w:eastAsia="fr-CA"/>
              </w:rPr>
              <w:t>ORDER OF</w:t>
            </w:r>
            <w:r w:rsidR="00760E1E" w:rsidRPr="009A7DB9">
              <w:rPr>
                <w:rFonts w:asciiTheme="minorHAnsi" w:hAnsiTheme="minorHAnsi" w:cstheme="minorHAnsi"/>
                <w:b/>
                <w:szCs w:val="24"/>
                <w:lang w:val="en-CA" w:eastAsia="fr-CA"/>
              </w:rPr>
              <w:t xml:space="preserve"> NON-PUBLICATION</w:t>
            </w:r>
          </w:p>
          <w:p w14:paraId="74775C02" w14:textId="54E6246E" w:rsidR="00760E1E" w:rsidRPr="009A7DB9" w:rsidRDefault="00033C97" w:rsidP="00A00453">
            <w:pPr>
              <w:jc w:val="center"/>
              <w:rPr>
                <w:rFonts w:asciiTheme="minorHAnsi" w:hAnsiTheme="minorHAnsi" w:cstheme="minorHAnsi"/>
                <w:b/>
                <w:szCs w:val="24"/>
                <w:lang w:val="en-CA"/>
              </w:rPr>
            </w:pPr>
            <w:r>
              <w:rPr>
                <w:rFonts w:asciiTheme="minorHAnsi" w:hAnsiTheme="minorHAnsi" w:cstheme="minorHAnsi"/>
                <w:b/>
                <w:szCs w:val="24"/>
                <w:lang w:val="en-CA" w:eastAsia="fr-CA"/>
              </w:rPr>
              <w:t xml:space="preserve">The </w:t>
            </w:r>
            <w:r w:rsidR="00253C79">
              <w:rPr>
                <w:rFonts w:asciiTheme="minorHAnsi" w:hAnsiTheme="minorHAnsi" w:cstheme="minorHAnsi"/>
                <w:b/>
                <w:szCs w:val="24"/>
                <w:lang w:val="en-CA" w:eastAsia="fr-CA"/>
              </w:rPr>
              <w:t xml:space="preserve">order of </w:t>
            </w:r>
            <w:r w:rsidR="00C950E0">
              <w:rPr>
                <w:rFonts w:asciiTheme="minorHAnsi" w:hAnsiTheme="minorHAnsi" w:cstheme="minorHAnsi"/>
                <w:b/>
                <w:szCs w:val="24"/>
                <w:lang w:val="en-CA" w:eastAsia="fr-CA"/>
              </w:rPr>
              <w:t>non-publication</w:t>
            </w:r>
            <w:r>
              <w:rPr>
                <w:rFonts w:asciiTheme="minorHAnsi" w:hAnsiTheme="minorHAnsi" w:cstheme="minorHAnsi"/>
                <w:b/>
                <w:szCs w:val="24"/>
                <w:lang w:val="en-CA" w:eastAsia="fr-CA"/>
              </w:rPr>
              <w:t xml:space="preserve"> issued at first instance remains in force</w:t>
            </w:r>
            <w:r w:rsidR="002A22CD">
              <w:rPr>
                <w:rFonts w:asciiTheme="minorHAnsi" w:hAnsiTheme="minorHAnsi" w:cstheme="minorHAnsi"/>
                <w:b/>
                <w:szCs w:val="24"/>
                <w:lang w:val="en-CA" w:eastAsia="fr-CA"/>
              </w:rPr>
              <w:t>.</w:t>
            </w:r>
          </w:p>
          <w:p w14:paraId="26023726" w14:textId="77777777" w:rsidR="008F364A" w:rsidRPr="009A7DB9" w:rsidRDefault="008F364A" w:rsidP="00A00453">
            <w:pPr>
              <w:rPr>
                <w:lang w:val="en-CA"/>
              </w:rPr>
            </w:pPr>
          </w:p>
        </w:tc>
      </w:tr>
    </w:tbl>
    <w:p w14:paraId="32BFD1ED" w14:textId="753ABDF4" w:rsidR="008F364A" w:rsidRPr="009A7DB9" w:rsidRDefault="00D65A98" w:rsidP="00A00453">
      <w:pPr>
        <w:pStyle w:val="Paragraphe"/>
        <w:spacing w:line="280" w:lineRule="exact"/>
        <w:rPr>
          <w:lang w:val="en-CA"/>
        </w:rPr>
      </w:pPr>
      <w:r w:rsidRPr="00382A09">
        <w:rPr>
          <w:lang w:val="en-CA"/>
        </w:rPr>
        <w:t>Olivier Chatillon</w:t>
      </w:r>
      <w:r w:rsidRPr="009A7DB9">
        <w:rPr>
          <w:lang w:val="en-CA"/>
        </w:rPr>
        <w:t xml:space="preserve"> </w:t>
      </w:r>
      <w:r w:rsidR="00251249">
        <w:rPr>
          <w:lang w:val="en-CA"/>
        </w:rPr>
        <w:t xml:space="preserve">(“the appellant”) </w:t>
      </w:r>
      <w:r w:rsidR="00390EAA">
        <w:rPr>
          <w:lang w:val="en-CA"/>
        </w:rPr>
        <w:t xml:space="preserve">seeks to </w:t>
      </w:r>
      <w:r w:rsidR="0041380F">
        <w:rPr>
          <w:lang w:val="en-CA"/>
        </w:rPr>
        <w:t xml:space="preserve">appeal from a judgment rendered </w:t>
      </w:r>
      <w:r w:rsidR="00C950E0">
        <w:rPr>
          <w:lang w:val="en-CA"/>
        </w:rPr>
        <w:t xml:space="preserve">on </w:t>
      </w:r>
      <w:r w:rsidR="00B751F2">
        <w:rPr>
          <w:lang w:val="en-CA"/>
        </w:rPr>
        <w:t>J</w:t>
      </w:r>
      <w:r w:rsidR="0041380F">
        <w:rPr>
          <w:lang w:val="en-CA"/>
        </w:rPr>
        <w:t>une</w:t>
      </w:r>
      <w:r w:rsidR="00390EAA">
        <w:rPr>
          <w:lang w:val="en-CA"/>
        </w:rPr>
        <w:t> </w:t>
      </w:r>
      <w:r w:rsidR="0041380F">
        <w:rPr>
          <w:lang w:val="en-CA"/>
        </w:rPr>
        <w:t>1, 2020</w:t>
      </w:r>
      <w:r w:rsidR="00B813B0">
        <w:rPr>
          <w:lang w:val="en-CA"/>
        </w:rPr>
        <w:t>,</w:t>
      </w:r>
      <w:r w:rsidR="0041380F">
        <w:rPr>
          <w:lang w:val="en-CA"/>
        </w:rPr>
        <w:t xml:space="preserve"> by the Honourable </w:t>
      </w:r>
      <w:r w:rsidRPr="009A7DB9">
        <w:rPr>
          <w:lang w:val="en-CA"/>
        </w:rPr>
        <w:t xml:space="preserve">Serge Champoux </w:t>
      </w:r>
      <w:r w:rsidR="0041380F">
        <w:rPr>
          <w:lang w:val="en-CA"/>
        </w:rPr>
        <w:t>of the Court of</w:t>
      </w:r>
      <w:r w:rsidRPr="009A7DB9">
        <w:rPr>
          <w:lang w:val="en-CA"/>
        </w:rPr>
        <w:t xml:space="preserve"> Québec, </w:t>
      </w:r>
      <w:r w:rsidR="0041380F">
        <w:rPr>
          <w:lang w:val="en-CA"/>
        </w:rPr>
        <w:t>Di</w:t>
      </w:r>
      <w:r w:rsidRPr="009A7DB9">
        <w:rPr>
          <w:lang w:val="en-CA"/>
        </w:rPr>
        <w:t xml:space="preserve">strict </w:t>
      </w:r>
      <w:r w:rsidR="0041380F">
        <w:rPr>
          <w:lang w:val="en-CA"/>
        </w:rPr>
        <w:t>of</w:t>
      </w:r>
      <w:r w:rsidRPr="009A7DB9">
        <w:rPr>
          <w:lang w:val="en-CA"/>
        </w:rPr>
        <w:t xml:space="preserve"> Bedford</w:t>
      </w:r>
      <w:r w:rsidR="00390EAA">
        <w:rPr>
          <w:lang w:val="en-CA"/>
        </w:rPr>
        <w:t>. The judgment</w:t>
      </w:r>
      <w:r w:rsidR="00832856">
        <w:rPr>
          <w:lang w:val="en-CA"/>
        </w:rPr>
        <w:t xml:space="preserve"> convict</w:t>
      </w:r>
      <w:r w:rsidR="00390EAA">
        <w:rPr>
          <w:lang w:val="en-CA"/>
        </w:rPr>
        <w:t>s</w:t>
      </w:r>
      <w:r w:rsidR="00832856">
        <w:rPr>
          <w:lang w:val="en-CA"/>
        </w:rPr>
        <w:t xml:space="preserve"> him </w:t>
      </w:r>
      <w:r w:rsidR="00B813B0">
        <w:rPr>
          <w:lang w:val="en-CA"/>
        </w:rPr>
        <w:t>o</w:t>
      </w:r>
      <w:r w:rsidR="00C950E0">
        <w:rPr>
          <w:lang w:val="en-CA"/>
        </w:rPr>
        <w:t>n</w:t>
      </w:r>
      <w:r w:rsidR="0041380F">
        <w:rPr>
          <w:lang w:val="en-CA"/>
        </w:rPr>
        <w:t xml:space="preserve"> one count of sexual </w:t>
      </w:r>
      <w:r w:rsidR="00B775BD">
        <w:rPr>
          <w:lang w:val="en-CA"/>
        </w:rPr>
        <w:t xml:space="preserve">assault </w:t>
      </w:r>
      <w:r w:rsidR="002D0CFF">
        <w:rPr>
          <w:lang w:val="en-CA"/>
        </w:rPr>
        <w:t>against</w:t>
      </w:r>
      <w:r w:rsidR="0041380F">
        <w:rPr>
          <w:lang w:val="en-CA"/>
        </w:rPr>
        <w:t xml:space="preserve"> a child</w:t>
      </w:r>
      <w:r w:rsidRPr="009A7DB9">
        <w:rPr>
          <w:lang w:val="en-CA"/>
        </w:rPr>
        <w:t>.</w:t>
      </w:r>
    </w:p>
    <w:p w14:paraId="23C19FBC" w14:textId="015CA994" w:rsidR="00D65A98" w:rsidRPr="009A7DB9" w:rsidRDefault="00E73B8D" w:rsidP="00A00453">
      <w:pPr>
        <w:pStyle w:val="Paragraphe"/>
        <w:spacing w:line="280" w:lineRule="exact"/>
        <w:rPr>
          <w:lang w:val="en-CA"/>
        </w:rPr>
      </w:pPr>
      <w:r>
        <w:rPr>
          <w:lang w:val="en-CA"/>
        </w:rPr>
        <w:t>For the reasons of</w:t>
      </w:r>
      <w:r w:rsidR="00D65A98" w:rsidRPr="009A7DB9">
        <w:rPr>
          <w:lang w:val="en-CA"/>
        </w:rPr>
        <w:t xml:space="preserve"> Vauclair, </w:t>
      </w:r>
      <w:r>
        <w:rPr>
          <w:lang w:val="en-CA"/>
        </w:rPr>
        <w:t xml:space="preserve">J.A., </w:t>
      </w:r>
      <w:r w:rsidR="007E7E4D">
        <w:rPr>
          <w:lang w:val="en-CA"/>
        </w:rPr>
        <w:t xml:space="preserve">with which </w:t>
      </w:r>
      <w:r w:rsidR="00D65A98" w:rsidRPr="009A7DB9">
        <w:rPr>
          <w:lang w:val="en-CA"/>
        </w:rPr>
        <w:t>Healy</w:t>
      </w:r>
      <w:r w:rsidR="00D65A98" w:rsidRPr="00F8148D">
        <w:rPr>
          <w:lang w:val="en-CA"/>
        </w:rPr>
        <w:t>,</w:t>
      </w:r>
      <w:r>
        <w:rPr>
          <w:b/>
          <w:bCs/>
          <w:lang w:val="en-CA"/>
        </w:rPr>
        <w:t xml:space="preserve"> </w:t>
      </w:r>
      <w:r w:rsidRPr="00E73B8D">
        <w:rPr>
          <w:lang w:val="en-CA"/>
        </w:rPr>
        <w:t xml:space="preserve">J.A. </w:t>
      </w:r>
      <w:r w:rsidR="00237CDA">
        <w:rPr>
          <w:lang w:val="en-CA"/>
        </w:rPr>
        <w:t>concurs</w:t>
      </w:r>
      <w:r w:rsidRPr="00E73B8D">
        <w:rPr>
          <w:lang w:val="en-CA"/>
        </w:rPr>
        <w:t>,</w:t>
      </w:r>
      <w:r w:rsidR="00D65A98" w:rsidRPr="009A7DB9">
        <w:rPr>
          <w:b/>
          <w:bCs/>
          <w:lang w:val="en-CA"/>
        </w:rPr>
        <w:t xml:space="preserve"> </w:t>
      </w:r>
      <w:r>
        <w:rPr>
          <w:b/>
          <w:bCs/>
          <w:lang w:val="en-CA"/>
        </w:rPr>
        <w:t>THE COURT</w:t>
      </w:r>
      <w:r w:rsidR="00D65A98" w:rsidRPr="009A7DB9">
        <w:rPr>
          <w:lang w:val="en-CA"/>
        </w:rPr>
        <w:t>:</w:t>
      </w:r>
    </w:p>
    <w:p w14:paraId="2DB75BF0" w14:textId="79A897D8" w:rsidR="00D65A98" w:rsidRPr="009A7DB9" w:rsidRDefault="00E73B8D" w:rsidP="00A00453">
      <w:pPr>
        <w:pStyle w:val="Paragraphe"/>
        <w:spacing w:line="280" w:lineRule="exact"/>
        <w:rPr>
          <w:lang w:val="en-CA"/>
        </w:rPr>
      </w:pPr>
      <w:r>
        <w:rPr>
          <w:b/>
          <w:bCs/>
          <w:lang w:val="en-CA"/>
        </w:rPr>
        <w:t>ALLOWS</w:t>
      </w:r>
      <w:r w:rsidR="00D65A98" w:rsidRPr="009A7DB9">
        <w:rPr>
          <w:lang w:val="en-CA"/>
        </w:rPr>
        <w:t xml:space="preserve"> </w:t>
      </w:r>
      <w:r>
        <w:rPr>
          <w:lang w:val="en-CA"/>
        </w:rPr>
        <w:t>the application for leave to appeal</w:t>
      </w:r>
      <w:r w:rsidR="00D65A98" w:rsidRPr="009A7DB9">
        <w:rPr>
          <w:lang w:val="en-CA"/>
        </w:rPr>
        <w:t>;</w:t>
      </w:r>
    </w:p>
    <w:p w14:paraId="41F452BD" w14:textId="417ACC10" w:rsidR="00541D1E" w:rsidRPr="009A7DB9" w:rsidRDefault="00B02C1E" w:rsidP="00541D1E">
      <w:pPr>
        <w:pStyle w:val="Paragraphe"/>
        <w:spacing w:line="280" w:lineRule="exact"/>
        <w:rPr>
          <w:lang w:val="en-CA"/>
        </w:rPr>
      </w:pPr>
      <w:r>
        <w:rPr>
          <w:b/>
          <w:bCs/>
          <w:lang w:val="en-CA"/>
        </w:rPr>
        <w:t>ALLOWS</w:t>
      </w:r>
      <w:r w:rsidR="00541D1E" w:rsidRPr="009A7DB9">
        <w:rPr>
          <w:lang w:val="en-CA"/>
        </w:rPr>
        <w:t xml:space="preserve"> </w:t>
      </w:r>
      <w:r>
        <w:rPr>
          <w:lang w:val="en-CA"/>
        </w:rPr>
        <w:t>the appeal</w:t>
      </w:r>
      <w:r w:rsidR="00E73B8D">
        <w:rPr>
          <w:lang w:val="en-CA"/>
        </w:rPr>
        <w:t>;</w:t>
      </w:r>
      <w:r w:rsidR="00B813B0">
        <w:rPr>
          <w:lang w:val="en-CA"/>
        </w:rPr>
        <w:t xml:space="preserve"> </w:t>
      </w:r>
      <w:r w:rsidR="007E7E4D">
        <w:rPr>
          <w:lang w:val="en-CA"/>
        </w:rPr>
        <w:t>and</w:t>
      </w:r>
    </w:p>
    <w:p w14:paraId="2A7071F8" w14:textId="106F9907" w:rsidR="00D65A98" w:rsidRPr="009A7DB9" w:rsidRDefault="00D65A98" w:rsidP="00A00453">
      <w:pPr>
        <w:pStyle w:val="Paragraphe"/>
        <w:spacing w:line="280" w:lineRule="exact"/>
        <w:rPr>
          <w:lang w:val="en-CA"/>
        </w:rPr>
      </w:pPr>
      <w:r w:rsidRPr="009A7DB9">
        <w:rPr>
          <w:b/>
          <w:bCs/>
          <w:lang w:val="en-CA"/>
        </w:rPr>
        <w:t>ACQUIT</w:t>
      </w:r>
      <w:r w:rsidR="0086070C">
        <w:rPr>
          <w:b/>
          <w:bCs/>
          <w:lang w:val="en-CA"/>
        </w:rPr>
        <w:t>S</w:t>
      </w:r>
      <w:r w:rsidRPr="009A7DB9">
        <w:rPr>
          <w:lang w:val="en-CA"/>
        </w:rPr>
        <w:t xml:space="preserve"> </w:t>
      </w:r>
      <w:r w:rsidR="0086070C">
        <w:rPr>
          <w:lang w:val="en-CA"/>
        </w:rPr>
        <w:t>the appellant</w:t>
      </w:r>
      <w:r w:rsidRPr="009A7DB9">
        <w:rPr>
          <w:lang w:val="en-CA"/>
        </w:rPr>
        <w:t>.</w:t>
      </w:r>
    </w:p>
    <w:p w14:paraId="23275557" w14:textId="18B0C019" w:rsidR="00D65A98" w:rsidRPr="009A7DB9" w:rsidRDefault="00D65A98" w:rsidP="00A00453">
      <w:pPr>
        <w:pStyle w:val="Paragraphe"/>
        <w:spacing w:line="280" w:lineRule="exact"/>
        <w:rPr>
          <w:lang w:val="en-CA"/>
        </w:rPr>
      </w:pPr>
      <w:r w:rsidRPr="009A7DB9">
        <w:rPr>
          <w:lang w:val="en-CA"/>
        </w:rPr>
        <w:lastRenderedPageBreak/>
        <w:t>Mainville</w:t>
      </w:r>
      <w:r w:rsidR="0086070C">
        <w:rPr>
          <w:lang w:val="en-CA"/>
        </w:rPr>
        <w:t>, J.A. would have dismissed the appeal on the basis that the appellant’s admissions were admissible.</w:t>
      </w:r>
      <w:r w:rsidRPr="009A7DB9">
        <w:rPr>
          <w:lang w:val="en-CA"/>
        </w:rPr>
        <w:t xml:space="preserve"> </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F364A" w:rsidRPr="00163D95" w14:paraId="0F86DEB5" w14:textId="77777777" w:rsidTr="003E3239">
        <w:trPr>
          <w:trHeight w:val="576"/>
        </w:trPr>
        <w:tc>
          <w:tcPr>
            <w:tcW w:w="9362" w:type="dxa"/>
            <w:gridSpan w:val="3"/>
            <w:tcBorders>
              <w:top w:val="nil"/>
              <w:bottom w:val="nil"/>
            </w:tcBorders>
          </w:tcPr>
          <w:p w14:paraId="03E551FC" w14:textId="77777777" w:rsidR="008F364A" w:rsidRPr="009A7DB9" w:rsidRDefault="008F364A" w:rsidP="00A00453">
            <w:pPr>
              <w:keepNext/>
              <w:rPr>
                <w:lang w:val="en-CA"/>
              </w:rPr>
            </w:pPr>
          </w:p>
        </w:tc>
      </w:tr>
      <w:tr w:rsidR="008F364A" w:rsidRPr="00163D95" w14:paraId="54BC2152" w14:textId="77777777" w:rsidTr="00117914">
        <w:trPr>
          <w:trHeight w:val="283"/>
        </w:trPr>
        <w:tc>
          <w:tcPr>
            <w:tcW w:w="4682" w:type="dxa"/>
            <w:gridSpan w:val="2"/>
            <w:tcBorders>
              <w:top w:val="nil"/>
              <w:bottom w:val="nil"/>
            </w:tcBorders>
          </w:tcPr>
          <w:p w14:paraId="441A7509" w14:textId="77777777" w:rsidR="008F364A" w:rsidRPr="009A7DB9" w:rsidRDefault="008F364A" w:rsidP="00A00453">
            <w:pPr>
              <w:keepNext/>
              <w:rPr>
                <w:lang w:val="en-CA"/>
              </w:rPr>
            </w:pPr>
          </w:p>
        </w:tc>
        <w:tc>
          <w:tcPr>
            <w:tcW w:w="4680" w:type="dxa"/>
            <w:tcBorders>
              <w:top w:val="nil"/>
              <w:bottom w:val="single" w:sz="8" w:space="0" w:color="auto"/>
            </w:tcBorders>
          </w:tcPr>
          <w:p w14:paraId="4608A559" w14:textId="77777777" w:rsidR="008F364A" w:rsidRPr="009A7DB9" w:rsidRDefault="008F364A" w:rsidP="00A00453">
            <w:pPr>
              <w:keepNext/>
              <w:rPr>
                <w:lang w:val="en-CA"/>
              </w:rPr>
            </w:pPr>
          </w:p>
        </w:tc>
      </w:tr>
      <w:tr w:rsidR="008F364A" w:rsidRPr="009A7DB9" w14:paraId="65A0E1DD" w14:textId="77777777" w:rsidTr="00117914">
        <w:trPr>
          <w:trHeight w:val="283"/>
        </w:trPr>
        <w:tc>
          <w:tcPr>
            <w:tcW w:w="4682" w:type="dxa"/>
            <w:gridSpan w:val="2"/>
            <w:tcBorders>
              <w:top w:val="nil"/>
            </w:tcBorders>
          </w:tcPr>
          <w:p w14:paraId="50572666" w14:textId="77777777" w:rsidR="008F364A" w:rsidRPr="009A7DB9" w:rsidRDefault="008F364A" w:rsidP="00A00453">
            <w:pPr>
              <w:keepNext/>
              <w:rPr>
                <w:lang w:val="en-CA"/>
              </w:rPr>
            </w:pPr>
          </w:p>
        </w:tc>
        <w:tc>
          <w:tcPr>
            <w:tcW w:w="4680" w:type="dxa"/>
            <w:tcBorders>
              <w:top w:val="single" w:sz="8" w:space="0" w:color="auto"/>
            </w:tcBorders>
          </w:tcPr>
          <w:p w14:paraId="3A68E834" w14:textId="5FC99068" w:rsidR="008F364A" w:rsidRPr="009A7DB9" w:rsidRDefault="00F97A83" w:rsidP="00A00453">
            <w:pPr>
              <w:rPr>
                <w:lang w:val="en-CA"/>
              </w:rPr>
            </w:pPr>
            <w:r w:rsidRPr="009A7DB9">
              <w:rPr>
                <w:lang w:val="en-CA"/>
              </w:rPr>
              <w:t>MARTIN VAUCLAIR, J.A.</w:t>
            </w:r>
          </w:p>
        </w:tc>
      </w:tr>
      <w:tr w:rsidR="008F364A" w:rsidRPr="009A7DB9" w14:paraId="0F2B85DB" w14:textId="77777777" w:rsidTr="00117914">
        <w:trPr>
          <w:trHeight w:val="283"/>
        </w:trPr>
        <w:tc>
          <w:tcPr>
            <w:tcW w:w="4682" w:type="dxa"/>
            <w:gridSpan w:val="2"/>
            <w:tcBorders>
              <w:top w:val="nil"/>
            </w:tcBorders>
          </w:tcPr>
          <w:p w14:paraId="6805C65B" w14:textId="77777777" w:rsidR="008F364A" w:rsidRPr="009A7DB9" w:rsidRDefault="008F364A" w:rsidP="00A00453">
            <w:pPr>
              <w:keepNext/>
              <w:rPr>
                <w:lang w:val="en-CA"/>
              </w:rPr>
            </w:pPr>
            <w:bookmarkStart w:id="8" w:name="Signature2"/>
          </w:p>
        </w:tc>
        <w:tc>
          <w:tcPr>
            <w:tcW w:w="4680" w:type="dxa"/>
            <w:tcBorders>
              <w:top w:val="nil"/>
            </w:tcBorders>
          </w:tcPr>
          <w:p w14:paraId="4097808D" w14:textId="77777777" w:rsidR="008F364A" w:rsidRPr="009A7DB9" w:rsidRDefault="008F364A" w:rsidP="00A00453">
            <w:pPr>
              <w:keepNext/>
              <w:rPr>
                <w:lang w:val="en-CA"/>
              </w:rPr>
            </w:pPr>
          </w:p>
        </w:tc>
      </w:tr>
      <w:tr w:rsidR="008F364A" w:rsidRPr="009A7DB9" w14:paraId="2348401D" w14:textId="77777777" w:rsidTr="00117914">
        <w:trPr>
          <w:trHeight w:val="283"/>
        </w:trPr>
        <w:tc>
          <w:tcPr>
            <w:tcW w:w="4682" w:type="dxa"/>
            <w:gridSpan w:val="2"/>
            <w:tcBorders>
              <w:top w:val="nil"/>
              <w:bottom w:val="nil"/>
            </w:tcBorders>
          </w:tcPr>
          <w:p w14:paraId="13BAD3DD" w14:textId="77777777" w:rsidR="008F364A" w:rsidRPr="009A7DB9" w:rsidRDefault="008F364A" w:rsidP="00A00453">
            <w:pPr>
              <w:keepNext/>
              <w:rPr>
                <w:lang w:val="en-CA"/>
              </w:rPr>
            </w:pPr>
          </w:p>
        </w:tc>
        <w:tc>
          <w:tcPr>
            <w:tcW w:w="4680" w:type="dxa"/>
            <w:tcBorders>
              <w:top w:val="nil"/>
              <w:bottom w:val="single" w:sz="8" w:space="0" w:color="auto"/>
            </w:tcBorders>
          </w:tcPr>
          <w:p w14:paraId="015E8CB2" w14:textId="77777777" w:rsidR="008F364A" w:rsidRPr="009A7DB9" w:rsidRDefault="008F364A" w:rsidP="00A00453">
            <w:pPr>
              <w:keepNext/>
              <w:rPr>
                <w:lang w:val="en-CA"/>
              </w:rPr>
            </w:pPr>
          </w:p>
        </w:tc>
      </w:tr>
      <w:tr w:rsidR="008F364A" w:rsidRPr="009A7DB9" w14:paraId="67C45F32" w14:textId="77777777" w:rsidTr="00117914">
        <w:trPr>
          <w:trHeight w:val="283"/>
        </w:trPr>
        <w:tc>
          <w:tcPr>
            <w:tcW w:w="4682" w:type="dxa"/>
            <w:gridSpan w:val="2"/>
            <w:tcBorders>
              <w:top w:val="nil"/>
            </w:tcBorders>
          </w:tcPr>
          <w:p w14:paraId="25D05BE6" w14:textId="77777777" w:rsidR="008F364A" w:rsidRPr="009A7DB9" w:rsidRDefault="008F364A" w:rsidP="00A00453">
            <w:pPr>
              <w:keepNext/>
              <w:rPr>
                <w:lang w:val="en-CA"/>
              </w:rPr>
            </w:pPr>
          </w:p>
        </w:tc>
        <w:tc>
          <w:tcPr>
            <w:tcW w:w="4680" w:type="dxa"/>
            <w:tcBorders>
              <w:top w:val="single" w:sz="8" w:space="0" w:color="auto"/>
            </w:tcBorders>
          </w:tcPr>
          <w:p w14:paraId="456250D9" w14:textId="25CF1708" w:rsidR="008F364A" w:rsidRPr="00251249" w:rsidRDefault="00F97A83" w:rsidP="00A00453">
            <w:pPr>
              <w:keepNext/>
            </w:pPr>
            <w:r w:rsidRPr="00251249">
              <w:t>ROBERT M. MAINVILLE, J.A.</w:t>
            </w:r>
          </w:p>
        </w:tc>
      </w:tr>
      <w:tr w:rsidR="008F364A" w:rsidRPr="009A7DB9" w14:paraId="6952481B" w14:textId="77777777" w:rsidTr="00117914">
        <w:trPr>
          <w:trHeight w:val="283"/>
        </w:trPr>
        <w:tc>
          <w:tcPr>
            <w:tcW w:w="4682" w:type="dxa"/>
            <w:gridSpan w:val="2"/>
            <w:tcBorders>
              <w:top w:val="nil"/>
            </w:tcBorders>
          </w:tcPr>
          <w:p w14:paraId="7384F8E6" w14:textId="77777777" w:rsidR="008F364A" w:rsidRPr="00251249" w:rsidRDefault="008F364A" w:rsidP="00A00453">
            <w:pPr>
              <w:keepNext/>
            </w:pPr>
            <w:bookmarkStart w:id="9" w:name="Signature3"/>
            <w:bookmarkEnd w:id="8"/>
          </w:p>
        </w:tc>
        <w:tc>
          <w:tcPr>
            <w:tcW w:w="4680" w:type="dxa"/>
            <w:tcBorders>
              <w:top w:val="nil"/>
            </w:tcBorders>
          </w:tcPr>
          <w:p w14:paraId="4F4D736F" w14:textId="77777777" w:rsidR="008F364A" w:rsidRPr="00251249" w:rsidRDefault="008F364A" w:rsidP="00A00453">
            <w:pPr>
              <w:keepNext/>
            </w:pPr>
          </w:p>
        </w:tc>
      </w:tr>
      <w:tr w:rsidR="008F364A" w:rsidRPr="009A7DB9" w14:paraId="568C08CD" w14:textId="77777777" w:rsidTr="00117914">
        <w:trPr>
          <w:trHeight w:val="283"/>
        </w:trPr>
        <w:tc>
          <w:tcPr>
            <w:tcW w:w="4682" w:type="dxa"/>
            <w:gridSpan w:val="2"/>
            <w:tcBorders>
              <w:top w:val="nil"/>
              <w:bottom w:val="nil"/>
            </w:tcBorders>
          </w:tcPr>
          <w:p w14:paraId="14A52B66" w14:textId="77777777" w:rsidR="008F364A" w:rsidRPr="00251249" w:rsidRDefault="008F364A" w:rsidP="00A00453">
            <w:pPr>
              <w:keepNext/>
            </w:pPr>
          </w:p>
        </w:tc>
        <w:tc>
          <w:tcPr>
            <w:tcW w:w="4680" w:type="dxa"/>
            <w:tcBorders>
              <w:top w:val="nil"/>
              <w:bottom w:val="single" w:sz="8" w:space="0" w:color="auto"/>
            </w:tcBorders>
          </w:tcPr>
          <w:p w14:paraId="1F7E97A3" w14:textId="77777777" w:rsidR="008F364A" w:rsidRPr="00251249" w:rsidRDefault="008F364A" w:rsidP="00A00453">
            <w:pPr>
              <w:keepNext/>
            </w:pPr>
          </w:p>
        </w:tc>
      </w:tr>
      <w:tr w:rsidR="008F364A" w:rsidRPr="009A7DB9" w14:paraId="6399418A" w14:textId="77777777" w:rsidTr="00117914">
        <w:trPr>
          <w:trHeight w:val="283"/>
        </w:trPr>
        <w:tc>
          <w:tcPr>
            <w:tcW w:w="4682" w:type="dxa"/>
            <w:gridSpan w:val="2"/>
            <w:tcBorders>
              <w:top w:val="nil"/>
            </w:tcBorders>
          </w:tcPr>
          <w:p w14:paraId="553A9057" w14:textId="77777777" w:rsidR="008F364A" w:rsidRPr="00251249" w:rsidRDefault="008F364A" w:rsidP="00A00453">
            <w:pPr>
              <w:keepNext/>
            </w:pPr>
          </w:p>
        </w:tc>
        <w:tc>
          <w:tcPr>
            <w:tcW w:w="4680" w:type="dxa"/>
            <w:tcBorders>
              <w:top w:val="single" w:sz="8" w:space="0" w:color="auto"/>
            </w:tcBorders>
          </w:tcPr>
          <w:p w14:paraId="42C03AB6" w14:textId="415ADF2A" w:rsidR="008F364A" w:rsidRPr="009A7DB9" w:rsidRDefault="00F97A83" w:rsidP="00A00453">
            <w:pPr>
              <w:keepNext/>
              <w:rPr>
                <w:lang w:val="en-CA"/>
              </w:rPr>
            </w:pPr>
            <w:r w:rsidRPr="009A7DB9">
              <w:rPr>
                <w:lang w:val="en-CA"/>
              </w:rPr>
              <w:t>PATRICK HEALY, J.A.</w:t>
            </w:r>
          </w:p>
        </w:tc>
      </w:tr>
      <w:bookmarkEnd w:id="9"/>
      <w:tr w:rsidR="005A78BF" w:rsidRPr="009A7DB9" w14:paraId="4AFFB07F" w14:textId="77777777" w:rsidTr="00423DF1">
        <w:tc>
          <w:tcPr>
            <w:tcW w:w="9362" w:type="dxa"/>
            <w:gridSpan w:val="3"/>
          </w:tcPr>
          <w:p w14:paraId="09743AC8" w14:textId="77777777" w:rsidR="005A78BF" w:rsidRPr="009A7DB9" w:rsidRDefault="005A78BF" w:rsidP="00A00453">
            <w:pPr>
              <w:rPr>
                <w:lang w:val="en-CA"/>
              </w:rPr>
            </w:pPr>
          </w:p>
        </w:tc>
      </w:tr>
      <w:tr w:rsidR="005A78BF" w:rsidRPr="009A7DB9" w14:paraId="274EA778" w14:textId="77777777" w:rsidTr="00423DF1">
        <w:tc>
          <w:tcPr>
            <w:tcW w:w="9362" w:type="dxa"/>
            <w:gridSpan w:val="3"/>
          </w:tcPr>
          <w:p w14:paraId="4E22C78F" w14:textId="3DC46822" w:rsidR="005A78BF" w:rsidRPr="009A7DB9" w:rsidRDefault="00694A55" w:rsidP="00A00453">
            <w:pPr>
              <w:pStyle w:val="zSoquijdatNomProcureurDem"/>
              <w:rPr>
                <w:lang w:val="en-CA"/>
              </w:rPr>
            </w:pPr>
            <w:r w:rsidRPr="009A7DB9">
              <w:rPr>
                <w:lang w:val="en-CA"/>
              </w:rPr>
              <w:t>M</w:t>
            </w:r>
            <w:r w:rsidR="00923515">
              <w:rPr>
                <w:lang w:val="en-CA"/>
              </w:rPr>
              <w:t>tr</w:t>
            </w:r>
            <w:r w:rsidRPr="009A7DB9">
              <w:rPr>
                <w:lang w:val="en-CA"/>
              </w:rPr>
              <w:t>e Nicolas Lemyre-Cossette</w:t>
            </w:r>
          </w:p>
        </w:tc>
      </w:tr>
      <w:tr w:rsidR="005A78BF" w:rsidRPr="009A7DB9" w14:paraId="0F85194D" w14:textId="77777777" w:rsidTr="00423DF1">
        <w:tc>
          <w:tcPr>
            <w:tcW w:w="9362" w:type="dxa"/>
            <w:gridSpan w:val="3"/>
          </w:tcPr>
          <w:p w14:paraId="0F7B7D5D" w14:textId="77777777" w:rsidR="005A78BF" w:rsidRPr="009A7DB9" w:rsidRDefault="00694A55" w:rsidP="00A00453">
            <w:pPr>
              <w:pStyle w:val="zSoquijdatCabinetProcureurDem"/>
              <w:rPr>
                <w:lang w:val="en-CA"/>
              </w:rPr>
            </w:pPr>
            <w:r w:rsidRPr="009A7DB9">
              <w:rPr>
                <w:lang w:val="en-CA"/>
              </w:rPr>
              <w:t>POITRAS FOURNIER COSSETTE AVOCATS</w:t>
            </w:r>
          </w:p>
        </w:tc>
      </w:tr>
      <w:tr w:rsidR="005A78BF" w:rsidRPr="009A7DB9" w14:paraId="28319D75" w14:textId="77777777" w:rsidTr="00423DF1">
        <w:tc>
          <w:tcPr>
            <w:tcW w:w="9362" w:type="dxa"/>
            <w:gridSpan w:val="3"/>
          </w:tcPr>
          <w:p w14:paraId="00286183" w14:textId="72671319" w:rsidR="005A78BF" w:rsidRPr="009A7DB9" w:rsidRDefault="00923515" w:rsidP="00752B64">
            <w:pPr>
              <w:pStyle w:val="zSoquijlblProcureurDem"/>
              <w:rPr>
                <w:lang w:val="en-CA"/>
              </w:rPr>
            </w:pPr>
            <w:r>
              <w:rPr>
                <w:lang w:val="en-CA"/>
              </w:rPr>
              <w:t>For the appellant</w:t>
            </w:r>
          </w:p>
        </w:tc>
      </w:tr>
      <w:tr w:rsidR="005A78BF" w:rsidRPr="009A7DB9" w14:paraId="4714B6FD" w14:textId="77777777" w:rsidTr="00423DF1">
        <w:tc>
          <w:tcPr>
            <w:tcW w:w="9362" w:type="dxa"/>
            <w:gridSpan w:val="3"/>
          </w:tcPr>
          <w:p w14:paraId="12725432" w14:textId="77777777" w:rsidR="005A78BF" w:rsidRPr="009A7DB9" w:rsidRDefault="005A78BF" w:rsidP="00A00453">
            <w:pPr>
              <w:rPr>
                <w:lang w:val="en-CA"/>
              </w:rPr>
            </w:pPr>
          </w:p>
        </w:tc>
      </w:tr>
      <w:tr w:rsidR="005A78BF" w:rsidRPr="009A7DB9" w14:paraId="6980B0AB" w14:textId="77777777" w:rsidTr="00423DF1">
        <w:tc>
          <w:tcPr>
            <w:tcW w:w="9362" w:type="dxa"/>
            <w:gridSpan w:val="3"/>
          </w:tcPr>
          <w:p w14:paraId="00BCE3ED" w14:textId="341DC8FB" w:rsidR="005A78BF" w:rsidRPr="009A7DB9" w:rsidRDefault="00694A55" w:rsidP="00A00453">
            <w:pPr>
              <w:pStyle w:val="zSoquijdatNomProcureurDef"/>
              <w:rPr>
                <w:lang w:val="en-CA"/>
              </w:rPr>
            </w:pPr>
            <w:r w:rsidRPr="009A7DB9">
              <w:rPr>
                <w:lang w:val="en-CA"/>
              </w:rPr>
              <w:t>M</w:t>
            </w:r>
            <w:r w:rsidR="00923515">
              <w:rPr>
                <w:lang w:val="en-CA"/>
              </w:rPr>
              <w:t>tr</w:t>
            </w:r>
            <w:r w:rsidRPr="009A7DB9">
              <w:rPr>
                <w:lang w:val="en-CA"/>
              </w:rPr>
              <w:t>e Maxime Hébrard</w:t>
            </w:r>
          </w:p>
        </w:tc>
      </w:tr>
      <w:tr w:rsidR="005A78BF" w:rsidRPr="00163D95" w14:paraId="5B20C5B1" w14:textId="77777777" w:rsidTr="00423DF1">
        <w:tc>
          <w:tcPr>
            <w:tcW w:w="9362" w:type="dxa"/>
            <w:gridSpan w:val="3"/>
          </w:tcPr>
          <w:p w14:paraId="09068B75" w14:textId="01D3114A" w:rsidR="005A78BF" w:rsidRPr="009A7DB9" w:rsidRDefault="00694A55" w:rsidP="00A00453">
            <w:pPr>
              <w:pStyle w:val="zSoquijdatCabinetProcureurDef"/>
              <w:rPr>
                <w:lang w:val="en-CA"/>
              </w:rPr>
            </w:pPr>
            <w:r w:rsidRPr="009A7DB9">
              <w:rPr>
                <w:lang w:val="en-CA"/>
              </w:rPr>
              <w:t>DIRECT</w:t>
            </w:r>
            <w:r w:rsidR="003B2594">
              <w:rPr>
                <w:lang w:val="en-CA"/>
              </w:rPr>
              <w:t>O</w:t>
            </w:r>
            <w:r w:rsidRPr="009A7DB9">
              <w:rPr>
                <w:lang w:val="en-CA"/>
              </w:rPr>
              <w:t xml:space="preserve">R </w:t>
            </w:r>
            <w:r w:rsidR="003B2594">
              <w:rPr>
                <w:lang w:val="en-CA"/>
              </w:rPr>
              <w:t>OF CRIMINAL AND PENAL PROSECUTION</w:t>
            </w:r>
            <w:r w:rsidRPr="009A7DB9">
              <w:rPr>
                <w:lang w:val="en-CA"/>
              </w:rPr>
              <w:t>S</w:t>
            </w:r>
          </w:p>
        </w:tc>
      </w:tr>
      <w:tr w:rsidR="005A78BF" w:rsidRPr="009A7DB9" w14:paraId="0E2CD151" w14:textId="77777777" w:rsidTr="00423DF1">
        <w:tc>
          <w:tcPr>
            <w:tcW w:w="9362" w:type="dxa"/>
            <w:gridSpan w:val="3"/>
          </w:tcPr>
          <w:p w14:paraId="134D0E5D" w14:textId="0F02B64B" w:rsidR="005A78BF" w:rsidRPr="009A7DB9" w:rsidRDefault="00923515" w:rsidP="00A00453">
            <w:pPr>
              <w:pStyle w:val="zSoquijlblProcureurDef"/>
              <w:rPr>
                <w:lang w:val="en-CA"/>
              </w:rPr>
            </w:pPr>
            <w:r>
              <w:rPr>
                <w:lang w:val="en-CA"/>
              </w:rPr>
              <w:t>For the respondent</w:t>
            </w:r>
          </w:p>
        </w:tc>
      </w:tr>
      <w:tr w:rsidR="005A78BF" w:rsidRPr="009A7DB9" w14:paraId="4A004062" w14:textId="77777777" w:rsidTr="00423DF1">
        <w:tc>
          <w:tcPr>
            <w:tcW w:w="9362" w:type="dxa"/>
            <w:gridSpan w:val="3"/>
          </w:tcPr>
          <w:p w14:paraId="6866C77F" w14:textId="77777777" w:rsidR="005A78BF" w:rsidRPr="009A7DB9" w:rsidRDefault="005A78BF" w:rsidP="00A00453">
            <w:pPr>
              <w:rPr>
                <w:lang w:val="en-CA"/>
              </w:rPr>
            </w:pPr>
          </w:p>
        </w:tc>
      </w:tr>
      <w:tr w:rsidR="005A78BF" w:rsidRPr="009A7DB9" w14:paraId="0B949101" w14:textId="77777777" w:rsidTr="00423DF1">
        <w:tc>
          <w:tcPr>
            <w:tcW w:w="1997" w:type="dxa"/>
          </w:tcPr>
          <w:p w14:paraId="06B2C300" w14:textId="770F3017" w:rsidR="005A78BF" w:rsidRPr="009A7DB9" w:rsidRDefault="005A78BF" w:rsidP="00A00453">
            <w:pPr>
              <w:pStyle w:val="zSoquijlblDateAudience"/>
              <w:rPr>
                <w:lang w:val="en-CA"/>
              </w:rPr>
            </w:pPr>
            <w:r w:rsidRPr="009A7DB9">
              <w:rPr>
                <w:lang w:val="en-CA"/>
              </w:rPr>
              <w:t xml:space="preserve">Date </w:t>
            </w:r>
            <w:r w:rsidR="00923515">
              <w:rPr>
                <w:lang w:val="en-CA"/>
              </w:rPr>
              <w:t>of hearing:</w:t>
            </w:r>
          </w:p>
        </w:tc>
        <w:tc>
          <w:tcPr>
            <w:tcW w:w="7365" w:type="dxa"/>
            <w:gridSpan w:val="2"/>
          </w:tcPr>
          <w:p w14:paraId="12EF90D9" w14:textId="6AE247CE" w:rsidR="005A78BF" w:rsidRPr="009A7DB9" w:rsidRDefault="00694A55" w:rsidP="00A00453">
            <w:pPr>
              <w:pStyle w:val="zSoquijdatDateAudience"/>
              <w:rPr>
                <w:lang w:val="en-CA"/>
              </w:rPr>
            </w:pPr>
            <w:r w:rsidRPr="009A7DB9">
              <w:rPr>
                <w:lang w:val="en-CA"/>
              </w:rPr>
              <w:t xml:space="preserve"> </w:t>
            </w:r>
            <w:r w:rsidR="00923515">
              <w:rPr>
                <w:lang w:val="en-CA"/>
              </w:rPr>
              <w:t xml:space="preserve">June </w:t>
            </w:r>
            <w:r w:rsidRPr="009A7DB9">
              <w:rPr>
                <w:lang w:val="en-CA"/>
              </w:rPr>
              <w:t>7</w:t>
            </w:r>
            <w:r w:rsidR="00923515">
              <w:rPr>
                <w:lang w:val="en-CA"/>
              </w:rPr>
              <w:t>,</w:t>
            </w:r>
            <w:r w:rsidRPr="009A7DB9">
              <w:rPr>
                <w:lang w:val="en-CA"/>
              </w:rPr>
              <w:t xml:space="preserve"> 2021</w:t>
            </w:r>
          </w:p>
        </w:tc>
      </w:tr>
    </w:tbl>
    <w:p w14:paraId="39D23582" w14:textId="77777777" w:rsidR="00A00453" w:rsidRPr="009A7DB9" w:rsidRDefault="00A00453" w:rsidP="00A00453">
      <w:pPr>
        <w:rPr>
          <w:lang w:val="en-CA"/>
        </w:rPr>
        <w:sectPr w:rsidR="00A00453" w:rsidRPr="009A7DB9" w:rsidSect="00F43559">
          <w:headerReference w:type="default" r:id="rId8"/>
          <w:pgSz w:w="12242" w:h="15842" w:code="1"/>
          <w:pgMar w:top="1440" w:right="1008" w:bottom="1440" w:left="1872" w:header="1440" w:footer="792" w:gutter="0"/>
          <w:cols w:space="720"/>
          <w:formProt w:val="0"/>
          <w:titlePg/>
        </w:sectPr>
      </w:pPr>
      <w:bookmarkStart w:id="10" w:name="Opinion"/>
      <w:bookmarkEnd w:id="7"/>
    </w:p>
    <w:tbl>
      <w:tblPr>
        <w:tblW w:w="0" w:type="auto"/>
        <w:tblLayout w:type="fixed"/>
        <w:tblCellMar>
          <w:left w:w="0" w:type="dxa"/>
          <w:right w:w="0" w:type="dxa"/>
        </w:tblCellMar>
        <w:tblLook w:val="0000" w:firstRow="0" w:lastRow="0" w:firstColumn="0" w:lastColumn="0" w:noHBand="0" w:noVBand="0"/>
      </w:tblPr>
      <w:tblGrid>
        <w:gridCol w:w="9360"/>
      </w:tblGrid>
      <w:tr w:rsidR="00A00453" w:rsidRPr="009A7DB9" w14:paraId="380DFD8F" w14:textId="77777777" w:rsidTr="002631A2">
        <w:tc>
          <w:tcPr>
            <w:tcW w:w="9360" w:type="dxa"/>
            <w:tcBorders>
              <w:bottom w:val="single" w:sz="8" w:space="0" w:color="auto"/>
            </w:tcBorders>
          </w:tcPr>
          <w:p w14:paraId="505B8821" w14:textId="77777777" w:rsidR="00A00453" w:rsidRPr="009A7DB9" w:rsidRDefault="00A00453" w:rsidP="00A00453">
            <w:pPr>
              <w:rPr>
                <w:lang w:val="en-CA"/>
              </w:rPr>
            </w:pPr>
            <w:r w:rsidRPr="009A7DB9">
              <w:rPr>
                <w:lang w:val="en-CA"/>
              </w:rPr>
              <w:lastRenderedPageBreak/>
              <w:br w:type="page"/>
            </w:r>
          </w:p>
          <w:p w14:paraId="628233E7" w14:textId="77777777" w:rsidR="00A00453" w:rsidRPr="009A7DB9" w:rsidRDefault="00A00453" w:rsidP="00A00453">
            <w:pPr>
              <w:rPr>
                <w:lang w:val="en-CA"/>
              </w:rPr>
            </w:pPr>
          </w:p>
        </w:tc>
      </w:tr>
      <w:tr w:rsidR="00A00453" w:rsidRPr="009A7DB9" w14:paraId="263E2EF2" w14:textId="77777777" w:rsidTr="002631A2">
        <w:tc>
          <w:tcPr>
            <w:tcW w:w="9360" w:type="dxa"/>
            <w:tcBorders>
              <w:top w:val="single" w:sz="8" w:space="0" w:color="auto"/>
            </w:tcBorders>
          </w:tcPr>
          <w:p w14:paraId="0BC52C39" w14:textId="77777777" w:rsidR="00A00453" w:rsidRPr="009A7DB9" w:rsidRDefault="00A00453" w:rsidP="00A00453">
            <w:pPr>
              <w:rPr>
                <w:lang w:val="en-CA"/>
              </w:rPr>
            </w:pPr>
          </w:p>
        </w:tc>
      </w:tr>
      <w:tr w:rsidR="00A00453" w:rsidRPr="00163D95" w14:paraId="0473E32E" w14:textId="77777777" w:rsidTr="002631A2">
        <w:tc>
          <w:tcPr>
            <w:tcW w:w="9360" w:type="dxa"/>
          </w:tcPr>
          <w:p w14:paraId="3A9BC225" w14:textId="2D7470BD" w:rsidR="00A00453" w:rsidRPr="009A7DB9" w:rsidRDefault="009D08E2" w:rsidP="00F97A83">
            <w:pPr>
              <w:pStyle w:val="zSoquijlblOpinionJuge"/>
              <w:rPr>
                <w:lang w:val="en-CA"/>
              </w:rPr>
            </w:pPr>
            <w:r w:rsidRPr="009A7DB9">
              <w:rPr>
                <w:lang w:val="en-CA"/>
              </w:rPr>
              <w:t>REASONS OF</w:t>
            </w:r>
            <w:r w:rsidR="00A00453" w:rsidRPr="009A7DB9">
              <w:rPr>
                <w:lang w:val="en-CA"/>
              </w:rPr>
              <w:t xml:space="preserve"> </w:t>
            </w:r>
            <w:r w:rsidR="00F97A83" w:rsidRPr="009A7DB9">
              <w:rPr>
                <w:lang w:val="en-CA"/>
              </w:rPr>
              <w:t>VAUCLAIR</w:t>
            </w:r>
            <w:r w:rsidRPr="009A7DB9">
              <w:rPr>
                <w:lang w:val="en-CA"/>
              </w:rPr>
              <w:t>, J.A.</w:t>
            </w:r>
          </w:p>
        </w:tc>
      </w:tr>
      <w:tr w:rsidR="00A00453" w:rsidRPr="00163D95" w14:paraId="45AC86B8" w14:textId="77777777" w:rsidTr="002631A2">
        <w:tc>
          <w:tcPr>
            <w:tcW w:w="9360" w:type="dxa"/>
            <w:tcBorders>
              <w:bottom w:val="single" w:sz="8" w:space="0" w:color="auto"/>
            </w:tcBorders>
          </w:tcPr>
          <w:p w14:paraId="6CDF181A" w14:textId="77777777" w:rsidR="00A00453" w:rsidRPr="009A7DB9" w:rsidRDefault="00A00453" w:rsidP="00A00453">
            <w:pPr>
              <w:rPr>
                <w:lang w:val="en-CA"/>
              </w:rPr>
            </w:pPr>
          </w:p>
        </w:tc>
      </w:tr>
      <w:tr w:rsidR="00A00453" w:rsidRPr="00163D95" w14:paraId="2479AE83" w14:textId="77777777" w:rsidTr="002631A2">
        <w:tc>
          <w:tcPr>
            <w:tcW w:w="9360" w:type="dxa"/>
            <w:tcBorders>
              <w:top w:val="single" w:sz="8" w:space="0" w:color="auto"/>
            </w:tcBorders>
          </w:tcPr>
          <w:p w14:paraId="42968BB0" w14:textId="77777777" w:rsidR="00A00453" w:rsidRPr="009A7DB9" w:rsidRDefault="00A00453" w:rsidP="00541D1E">
            <w:pPr>
              <w:jc w:val="center"/>
              <w:rPr>
                <w:lang w:val="en-CA"/>
              </w:rPr>
            </w:pPr>
          </w:p>
        </w:tc>
      </w:tr>
    </w:tbl>
    <w:p w14:paraId="6B28ADAE" w14:textId="243DACFA" w:rsidR="00A00453" w:rsidRPr="009A7DB9" w:rsidRDefault="00A00453" w:rsidP="00A00453">
      <w:pPr>
        <w:pStyle w:val="JgtParagraphe"/>
        <w:numPr>
          <w:ilvl w:val="0"/>
          <w:numId w:val="18"/>
        </w:numPr>
        <w:spacing w:line="280" w:lineRule="exact"/>
        <w:rPr>
          <w:lang w:val="en-CA"/>
        </w:rPr>
      </w:pPr>
      <w:r w:rsidRPr="009A7DB9">
        <w:rPr>
          <w:lang w:val="en-CA"/>
        </w:rPr>
        <w:t xml:space="preserve">Olivier Chatillon </w:t>
      </w:r>
      <w:r w:rsidR="005A480C">
        <w:rPr>
          <w:lang w:val="en-CA"/>
        </w:rPr>
        <w:t xml:space="preserve">(“the appellant”) </w:t>
      </w:r>
      <w:r w:rsidR="009D08E2" w:rsidRPr="009A7DB9">
        <w:rPr>
          <w:lang w:val="en-CA"/>
        </w:rPr>
        <w:t xml:space="preserve">wanted help. He knew he was suffering from a substance abuse problem and </w:t>
      </w:r>
      <w:r w:rsidR="000424CE">
        <w:rPr>
          <w:lang w:val="en-CA"/>
        </w:rPr>
        <w:t>a</w:t>
      </w:r>
      <w:r w:rsidR="000270C3">
        <w:rPr>
          <w:lang w:val="en-CA"/>
        </w:rPr>
        <w:t xml:space="preserve"> sexual deviance</w:t>
      </w:r>
      <w:r w:rsidR="000424CE">
        <w:rPr>
          <w:lang w:val="en-CA"/>
        </w:rPr>
        <w:t xml:space="preserve"> problem</w:t>
      </w:r>
      <w:r w:rsidRPr="009A7DB9">
        <w:rPr>
          <w:lang w:val="en-CA"/>
        </w:rPr>
        <w:t xml:space="preserve">. </w:t>
      </w:r>
      <w:r w:rsidR="004D1A38" w:rsidRPr="009A7DB9">
        <w:rPr>
          <w:lang w:val="en-CA"/>
        </w:rPr>
        <w:t xml:space="preserve">He undertook a completely voluntary effort to </w:t>
      </w:r>
      <w:r w:rsidR="00806FBA" w:rsidRPr="009A7DB9">
        <w:rPr>
          <w:lang w:val="en-CA"/>
        </w:rPr>
        <w:t>receive</w:t>
      </w:r>
      <w:r w:rsidR="004D1A38" w:rsidRPr="009A7DB9">
        <w:rPr>
          <w:lang w:val="en-CA"/>
        </w:rPr>
        <w:t xml:space="preserve"> care and, at the </w:t>
      </w:r>
      <w:r w:rsidR="005A480C">
        <w:rPr>
          <w:lang w:val="en-CA"/>
        </w:rPr>
        <w:t>urging</w:t>
      </w:r>
      <w:r w:rsidR="005A480C" w:rsidRPr="009A7DB9">
        <w:rPr>
          <w:lang w:val="en-CA"/>
        </w:rPr>
        <w:t xml:space="preserve"> </w:t>
      </w:r>
      <w:r w:rsidR="004D1A38" w:rsidRPr="009A7DB9">
        <w:rPr>
          <w:lang w:val="en-CA"/>
        </w:rPr>
        <w:t xml:space="preserve">of </w:t>
      </w:r>
      <w:r w:rsidR="005A480C">
        <w:rPr>
          <w:lang w:val="en-CA"/>
        </w:rPr>
        <w:t xml:space="preserve">the </w:t>
      </w:r>
      <w:r w:rsidR="004D1A38" w:rsidRPr="009A7DB9">
        <w:rPr>
          <w:lang w:val="en-CA"/>
        </w:rPr>
        <w:t xml:space="preserve">professionals </w:t>
      </w:r>
      <w:r w:rsidR="00117774">
        <w:rPr>
          <w:lang w:val="en-CA"/>
        </w:rPr>
        <w:t>from whom he was receiving treatment</w:t>
      </w:r>
      <w:r w:rsidR="004D1A38" w:rsidRPr="009A7DB9">
        <w:rPr>
          <w:lang w:val="en-CA"/>
        </w:rPr>
        <w:t xml:space="preserve">, </w:t>
      </w:r>
      <w:r w:rsidR="00806FBA" w:rsidRPr="009A7DB9">
        <w:rPr>
          <w:lang w:val="en-CA"/>
        </w:rPr>
        <w:t>admitted</w:t>
      </w:r>
      <w:r w:rsidR="004D1A38" w:rsidRPr="009A7DB9">
        <w:rPr>
          <w:lang w:val="en-CA"/>
        </w:rPr>
        <w:t xml:space="preserve"> </w:t>
      </w:r>
      <w:r w:rsidR="005C293A">
        <w:rPr>
          <w:lang w:val="en-CA"/>
        </w:rPr>
        <w:t xml:space="preserve">to </w:t>
      </w:r>
      <w:r w:rsidR="004D1A38" w:rsidRPr="009A7DB9">
        <w:rPr>
          <w:lang w:val="en-CA"/>
        </w:rPr>
        <w:t>his problems, which</w:t>
      </w:r>
      <w:r w:rsidR="002577A1">
        <w:rPr>
          <w:lang w:val="en-CA"/>
        </w:rPr>
        <w:t xml:space="preserve"> were</w:t>
      </w:r>
      <w:r w:rsidR="00464AF1">
        <w:rPr>
          <w:lang w:val="en-CA"/>
        </w:rPr>
        <w:t xml:space="preserve"> </w:t>
      </w:r>
      <w:r w:rsidR="004D1A38" w:rsidRPr="009A7DB9">
        <w:rPr>
          <w:lang w:val="en-CA"/>
        </w:rPr>
        <w:t>crimes</w:t>
      </w:r>
      <w:r w:rsidR="002577A1">
        <w:rPr>
          <w:lang w:val="en-CA"/>
        </w:rPr>
        <w:t xml:space="preserve"> under the circumstances</w:t>
      </w:r>
      <w:r w:rsidR="004D1A38" w:rsidRPr="009A7DB9">
        <w:rPr>
          <w:lang w:val="en-CA"/>
        </w:rPr>
        <w:t>.</w:t>
      </w:r>
    </w:p>
    <w:p w14:paraId="129BE11A" w14:textId="36D92A8A" w:rsidR="00A00453" w:rsidRPr="009A7DB9" w:rsidRDefault="004D1A38" w:rsidP="00A00453">
      <w:pPr>
        <w:pStyle w:val="JgtParagraphe"/>
        <w:numPr>
          <w:ilvl w:val="0"/>
          <w:numId w:val="18"/>
        </w:numPr>
        <w:spacing w:line="280" w:lineRule="exact"/>
        <w:rPr>
          <w:lang w:val="en-CA"/>
        </w:rPr>
      </w:pPr>
      <w:r w:rsidRPr="009A7DB9">
        <w:rPr>
          <w:lang w:val="en-CA"/>
        </w:rPr>
        <w:t xml:space="preserve">The question </w:t>
      </w:r>
      <w:r w:rsidR="00705071">
        <w:rPr>
          <w:lang w:val="en-CA"/>
        </w:rPr>
        <w:t>in this</w:t>
      </w:r>
      <w:r w:rsidRPr="009A7DB9">
        <w:rPr>
          <w:lang w:val="en-CA"/>
        </w:rPr>
        <w:t xml:space="preserve"> appeal is whether admissions </w:t>
      </w:r>
      <w:r w:rsidR="00C94266">
        <w:rPr>
          <w:lang w:val="en-CA"/>
        </w:rPr>
        <w:t>the appellant</w:t>
      </w:r>
      <w:r w:rsidR="00806FBA" w:rsidRPr="009A7DB9">
        <w:rPr>
          <w:lang w:val="en-CA"/>
        </w:rPr>
        <w:t xml:space="preserve"> made to </w:t>
      </w:r>
      <w:r w:rsidR="00F878A3">
        <w:rPr>
          <w:lang w:val="en-CA"/>
        </w:rPr>
        <w:t xml:space="preserve">the medical </w:t>
      </w:r>
      <w:r w:rsidR="00806FBA" w:rsidRPr="009A7DB9">
        <w:rPr>
          <w:lang w:val="en-CA"/>
        </w:rPr>
        <w:t xml:space="preserve">team regarding his criminal conduct were protected by </w:t>
      </w:r>
      <w:r w:rsidR="0006048A">
        <w:rPr>
          <w:lang w:val="en-CA"/>
        </w:rPr>
        <w:t>privilege in the</w:t>
      </w:r>
      <w:r w:rsidR="00806FBA" w:rsidRPr="009A7DB9">
        <w:rPr>
          <w:lang w:val="en-CA"/>
        </w:rPr>
        <w:t xml:space="preserve"> criminal law </w:t>
      </w:r>
      <w:r w:rsidR="006671D8">
        <w:rPr>
          <w:lang w:val="en-CA"/>
        </w:rPr>
        <w:t xml:space="preserve">context </w:t>
      </w:r>
      <w:r w:rsidR="002577A1">
        <w:rPr>
          <w:lang w:val="en-CA"/>
        </w:rPr>
        <w:t>and</w:t>
      </w:r>
      <w:r w:rsidR="00237CDA">
        <w:rPr>
          <w:lang w:val="en-CA"/>
        </w:rPr>
        <w:t>,</w:t>
      </w:r>
      <w:r w:rsidR="002F0514">
        <w:rPr>
          <w:lang w:val="en-CA"/>
        </w:rPr>
        <w:t xml:space="preserve"> accordingly</w:t>
      </w:r>
      <w:r w:rsidR="002577A1">
        <w:rPr>
          <w:lang w:val="en-CA"/>
        </w:rPr>
        <w:t xml:space="preserve">, whether </w:t>
      </w:r>
      <w:r w:rsidR="00A40641">
        <w:rPr>
          <w:lang w:val="en-CA"/>
        </w:rPr>
        <w:t xml:space="preserve">those </w:t>
      </w:r>
      <w:r w:rsidR="002577A1">
        <w:rPr>
          <w:lang w:val="en-CA"/>
        </w:rPr>
        <w:t xml:space="preserve">admissions </w:t>
      </w:r>
      <w:r w:rsidR="00705071">
        <w:rPr>
          <w:lang w:val="en-CA"/>
        </w:rPr>
        <w:t>were admissible</w:t>
      </w:r>
      <w:r w:rsidR="002577A1">
        <w:rPr>
          <w:lang w:val="en-CA"/>
        </w:rPr>
        <w:t xml:space="preserve"> in</w:t>
      </w:r>
      <w:r w:rsidR="001837FE">
        <w:rPr>
          <w:lang w:val="en-CA"/>
        </w:rPr>
        <w:t xml:space="preserve"> evidence</w:t>
      </w:r>
      <w:r w:rsidR="002577A1">
        <w:rPr>
          <w:lang w:val="en-CA"/>
        </w:rPr>
        <w:t xml:space="preserve"> against him</w:t>
      </w:r>
      <w:r w:rsidR="001837FE">
        <w:rPr>
          <w:lang w:val="en-CA"/>
        </w:rPr>
        <w:t>.</w:t>
      </w:r>
      <w:r w:rsidR="00806FBA" w:rsidRPr="009A7DB9">
        <w:rPr>
          <w:lang w:val="en-CA"/>
        </w:rPr>
        <w:t xml:space="preserve"> </w:t>
      </w:r>
      <w:r w:rsidR="00A05D11" w:rsidRPr="00C94266">
        <w:rPr>
          <w:lang w:val="en-CA"/>
        </w:rPr>
        <w:t>In</w:t>
      </w:r>
      <w:r w:rsidR="00A63EBB">
        <w:rPr>
          <w:lang w:val="en-CA"/>
        </w:rPr>
        <w:t> </w:t>
      </w:r>
      <w:r w:rsidR="00A05D11" w:rsidRPr="00C94266">
        <w:rPr>
          <w:lang w:val="en-CA"/>
        </w:rPr>
        <w:t xml:space="preserve">addition to </w:t>
      </w:r>
      <w:r w:rsidR="002E1C3A">
        <w:rPr>
          <w:lang w:val="en-CA"/>
        </w:rPr>
        <w:t>his</w:t>
      </w:r>
      <w:r w:rsidR="00A05D11" w:rsidRPr="00C94266">
        <w:rPr>
          <w:lang w:val="en-CA"/>
        </w:rPr>
        <w:t xml:space="preserve"> notice of appeal, </w:t>
      </w:r>
      <w:r w:rsidR="007C2919" w:rsidRPr="00C94266">
        <w:rPr>
          <w:lang w:val="en-CA"/>
        </w:rPr>
        <w:t>an</w:t>
      </w:r>
      <w:r w:rsidR="00A05D11" w:rsidRPr="00C94266">
        <w:rPr>
          <w:lang w:val="en-CA"/>
        </w:rPr>
        <w:t xml:space="preserve"> application for leave to appeal was referred to this panel</w:t>
      </w:r>
      <w:r w:rsidR="00541D1E" w:rsidRPr="00C94266">
        <w:rPr>
          <w:lang w:val="en-CA"/>
        </w:rPr>
        <w:t>.</w:t>
      </w:r>
    </w:p>
    <w:p w14:paraId="011763B6" w14:textId="689AEB2E" w:rsidR="00A00453" w:rsidRPr="009A7DB9" w:rsidRDefault="00806FBA" w:rsidP="00A00453">
      <w:pPr>
        <w:pStyle w:val="JgtParagraphe"/>
        <w:numPr>
          <w:ilvl w:val="0"/>
          <w:numId w:val="18"/>
        </w:numPr>
        <w:spacing w:line="280" w:lineRule="exact"/>
        <w:rPr>
          <w:lang w:val="en-CA"/>
        </w:rPr>
      </w:pPr>
      <w:r w:rsidRPr="009A7DB9">
        <w:rPr>
          <w:lang w:val="en-CA"/>
        </w:rPr>
        <w:t>The trial judge found that the prosecution’</w:t>
      </w:r>
      <w:r w:rsidR="005D4495" w:rsidRPr="009A7DB9">
        <w:rPr>
          <w:lang w:val="en-CA"/>
        </w:rPr>
        <w:t xml:space="preserve">s case could validly be based on the admissions the appellant made to the professionals who were assessing him. </w:t>
      </w:r>
      <w:r w:rsidR="00B15E14">
        <w:rPr>
          <w:lang w:val="en-CA"/>
        </w:rPr>
        <w:t xml:space="preserve">The parties agree, as they did </w:t>
      </w:r>
      <w:r w:rsidR="00BC7657">
        <w:rPr>
          <w:lang w:val="en-CA"/>
        </w:rPr>
        <w:t>in</w:t>
      </w:r>
      <w:r w:rsidR="00B15E14">
        <w:rPr>
          <w:lang w:val="en-CA"/>
        </w:rPr>
        <w:t xml:space="preserve"> the court below, that </w:t>
      </w:r>
      <w:r w:rsidR="005D4495" w:rsidRPr="009A7DB9">
        <w:rPr>
          <w:lang w:val="en-CA"/>
        </w:rPr>
        <w:t xml:space="preserve">the appeal and </w:t>
      </w:r>
      <w:r w:rsidR="001C5F02">
        <w:rPr>
          <w:lang w:val="en-CA"/>
        </w:rPr>
        <w:t xml:space="preserve">the </w:t>
      </w:r>
      <w:r w:rsidR="005D4495" w:rsidRPr="009A7DB9">
        <w:rPr>
          <w:lang w:val="en-CA"/>
        </w:rPr>
        <w:t>verdict</w:t>
      </w:r>
      <w:r w:rsidR="00B15E14">
        <w:rPr>
          <w:lang w:val="en-CA"/>
        </w:rPr>
        <w:t xml:space="preserve"> hinge on </w:t>
      </w:r>
      <w:r w:rsidR="00BC7657">
        <w:rPr>
          <w:lang w:val="en-CA"/>
        </w:rPr>
        <w:t>this</w:t>
      </w:r>
      <w:r w:rsidR="00386BAA">
        <w:rPr>
          <w:lang w:val="en-CA"/>
        </w:rPr>
        <w:t xml:space="preserve"> point</w:t>
      </w:r>
      <w:r w:rsidR="005D4495" w:rsidRPr="009A7DB9">
        <w:rPr>
          <w:lang w:val="en-CA"/>
        </w:rPr>
        <w:t>.</w:t>
      </w:r>
    </w:p>
    <w:p w14:paraId="7958F89B" w14:textId="4E8282F3" w:rsidR="00A00453" w:rsidRPr="009A7DB9" w:rsidRDefault="005D4495" w:rsidP="00A00453">
      <w:pPr>
        <w:pStyle w:val="JgtParagraphe"/>
        <w:numPr>
          <w:ilvl w:val="0"/>
          <w:numId w:val="18"/>
        </w:numPr>
        <w:spacing w:line="280" w:lineRule="exact"/>
        <w:rPr>
          <w:lang w:val="en-CA"/>
        </w:rPr>
      </w:pPr>
      <w:r w:rsidRPr="009A7DB9">
        <w:rPr>
          <w:lang w:val="en-CA"/>
        </w:rPr>
        <w:t xml:space="preserve">For the following reasons, I would </w:t>
      </w:r>
      <w:r w:rsidR="0077343E">
        <w:rPr>
          <w:lang w:val="en-CA"/>
        </w:rPr>
        <w:t>quash</w:t>
      </w:r>
      <w:r w:rsidRPr="009A7DB9">
        <w:rPr>
          <w:lang w:val="en-CA"/>
        </w:rPr>
        <w:t xml:space="preserve"> the trial judge’s decision, declare the appellant’s admissions inadmissible</w:t>
      </w:r>
      <w:r w:rsidR="0068289A">
        <w:rPr>
          <w:lang w:val="en-CA"/>
        </w:rPr>
        <w:t xml:space="preserve"> in evidence</w:t>
      </w:r>
      <w:r w:rsidR="009253AF">
        <w:rPr>
          <w:lang w:val="en-CA"/>
        </w:rPr>
        <w:t>,</w:t>
      </w:r>
      <w:r w:rsidRPr="009A7DB9">
        <w:rPr>
          <w:lang w:val="en-CA"/>
        </w:rPr>
        <w:t xml:space="preserve"> and acquit him.</w:t>
      </w:r>
    </w:p>
    <w:p w14:paraId="65465B0D" w14:textId="5734CD78" w:rsidR="00A00453" w:rsidRPr="009A7DB9" w:rsidRDefault="009A7DB9" w:rsidP="00A00453">
      <w:pPr>
        <w:pStyle w:val="JgtQuestions"/>
        <w:rPr>
          <w:lang w:val="en-CA"/>
        </w:rPr>
      </w:pPr>
      <w:r w:rsidRPr="009A7DB9">
        <w:rPr>
          <w:lang w:val="en-CA"/>
        </w:rPr>
        <w:t>Background</w:t>
      </w:r>
    </w:p>
    <w:p w14:paraId="571FFA22" w14:textId="7CEAC7FF" w:rsidR="00A00453" w:rsidRPr="009A7DB9" w:rsidRDefault="009A7DB9" w:rsidP="00A00453">
      <w:pPr>
        <w:pStyle w:val="JgtParagraphe"/>
        <w:numPr>
          <w:ilvl w:val="0"/>
          <w:numId w:val="18"/>
        </w:numPr>
        <w:spacing w:line="280" w:lineRule="exact"/>
        <w:rPr>
          <w:lang w:val="en-CA"/>
        </w:rPr>
      </w:pPr>
      <w:r w:rsidRPr="009A7DB9">
        <w:rPr>
          <w:lang w:val="en-CA"/>
        </w:rPr>
        <w:t xml:space="preserve">The appellant had </w:t>
      </w:r>
      <w:r w:rsidR="0048384A">
        <w:rPr>
          <w:lang w:val="en-CA"/>
        </w:rPr>
        <w:t xml:space="preserve">an </w:t>
      </w:r>
      <w:r w:rsidR="00160F31">
        <w:rPr>
          <w:lang w:val="en-CA"/>
        </w:rPr>
        <w:t>addiction</w:t>
      </w:r>
      <w:r w:rsidRPr="009A7DB9">
        <w:rPr>
          <w:lang w:val="en-CA"/>
        </w:rPr>
        <w:t xml:space="preserve"> </w:t>
      </w:r>
      <w:r w:rsidR="00F60262">
        <w:rPr>
          <w:lang w:val="en-CA"/>
        </w:rPr>
        <w:t>problem</w:t>
      </w:r>
      <w:r w:rsidRPr="009A7DB9">
        <w:rPr>
          <w:lang w:val="en-CA"/>
        </w:rPr>
        <w:t xml:space="preserve"> </w:t>
      </w:r>
      <w:r w:rsidR="00E81C56">
        <w:rPr>
          <w:lang w:val="en-CA"/>
        </w:rPr>
        <w:t>involving</w:t>
      </w:r>
      <w:r w:rsidRPr="009A7DB9">
        <w:rPr>
          <w:lang w:val="en-CA"/>
        </w:rPr>
        <w:t xml:space="preserve"> </w:t>
      </w:r>
      <w:r w:rsidR="00160F31">
        <w:rPr>
          <w:lang w:val="en-CA"/>
        </w:rPr>
        <w:t xml:space="preserve">certain </w:t>
      </w:r>
      <w:r w:rsidRPr="009A7DB9">
        <w:rPr>
          <w:lang w:val="en-CA"/>
        </w:rPr>
        <w:t xml:space="preserve">intoxicating substances. In August 2016, he had a short-term relationship with a woman. At two distinct times while alone with her </w:t>
      </w:r>
      <w:r w:rsidR="002F0514">
        <w:rPr>
          <w:lang w:val="en-CA"/>
        </w:rPr>
        <w:t>4</w:t>
      </w:r>
      <w:r w:rsidR="00F606B9">
        <w:rPr>
          <w:lang w:val="en-CA"/>
        </w:rPr>
        <w:noBreakHyphen/>
      </w:r>
      <w:r w:rsidRPr="009A7DB9">
        <w:rPr>
          <w:lang w:val="en-CA"/>
        </w:rPr>
        <w:t>year</w:t>
      </w:r>
      <w:r w:rsidR="00F606B9">
        <w:rPr>
          <w:lang w:val="en-CA"/>
        </w:rPr>
        <w:noBreakHyphen/>
      </w:r>
      <w:r w:rsidRPr="009A7DB9">
        <w:rPr>
          <w:lang w:val="en-CA"/>
        </w:rPr>
        <w:t xml:space="preserve">old child, he </w:t>
      </w:r>
      <w:r w:rsidR="006940BE">
        <w:rPr>
          <w:lang w:val="en-CA"/>
        </w:rPr>
        <w:t>committed</w:t>
      </w:r>
      <w:r w:rsidRPr="009A7DB9">
        <w:rPr>
          <w:lang w:val="en-CA"/>
        </w:rPr>
        <w:t xml:space="preserve"> sexual acts </w:t>
      </w:r>
      <w:r w:rsidR="0048384A">
        <w:rPr>
          <w:lang w:val="en-CA"/>
        </w:rPr>
        <w:t>upon</w:t>
      </w:r>
      <w:r w:rsidRPr="009A7DB9">
        <w:rPr>
          <w:lang w:val="en-CA"/>
        </w:rPr>
        <w:t xml:space="preserve"> th</w:t>
      </w:r>
      <w:r w:rsidR="00BC041C">
        <w:rPr>
          <w:lang w:val="en-CA"/>
        </w:rPr>
        <w:t>at</w:t>
      </w:r>
      <w:r w:rsidRPr="009A7DB9">
        <w:rPr>
          <w:lang w:val="en-CA"/>
        </w:rPr>
        <w:t xml:space="preserve"> child.</w:t>
      </w:r>
      <w:r w:rsidR="00A00453" w:rsidRPr="009A7DB9">
        <w:rPr>
          <w:lang w:val="en-CA"/>
        </w:rPr>
        <w:t xml:space="preserve"> </w:t>
      </w:r>
    </w:p>
    <w:p w14:paraId="00CBC039" w14:textId="684D361F" w:rsidR="00A00453" w:rsidRPr="009A7DB9" w:rsidRDefault="00A00453" w:rsidP="00A00453">
      <w:pPr>
        <w:pStyle w:val="JgtParagraphe"/>
        <w:numPr>
          <w:ilvl w:val="0"/>
          <w:numId w:val="18"/>
        </w:numPr>
        <w:spacing w:line="280" w:lineRule="exact"/>
        <w:rPr>
          <w:lang w:val="en-CA"/>
        </w:rPr>
      </w:pPr>
      <w:r w:rsidRPr="009A7DB9">
        <w:rPr>
          <w:lang w:val="en-CA"/>
        </w:rPr>
        <w:t>I</w:t>
      </w:r>
      <w:r w:rsidR="009A7DB9" w:rsidRPr="009A7DB9">
        <w:rPr>
          <w:lang w:val="en-CA"/>
        </w:rPr>
        <w:t>t is admitted that</w:t>
      </w:r>
      <w:r w:rsidR="00E665A2">
        <w:rPr>
          <w:lang w:val="en-CA"/>
        </w:rPr>
        <w:t xml:space="preserve">, </w:t>
      </w:r>
      <w:r w:rsidR="009A7DB9" w:rsidRPr="009A7DB9">
        <w:rPr>
          <w:lang w:val="en-CA"/>
        </w:rPr>
        <w:t xml:space="preserve">during the first incident, he rubbed his penis on the child’s genitals while the child was sitting on </w:t>
      </w:r>
      <w:r w:rsidR="00E95D02">
        <w:rPr>
          <w:lang w:val="en-CA"/>
        </w:rPr>
        <w:t>his lap</w:t>
      </w:r>
      <w:r w:rsidR="009A7DB9" w:rsidRPr="009A7DB9">
        <w:rPr>
          <w:lang w:val="en-CA"/>
        </w:rPr>
        <w:t>. Both he and the child were clothed, and the conduct lasted only a few seconds. In the second incident, he covered the child’s eyes and placed his penis on the child’s tongue, also for a few seconds.</w:t>
      </w:r>
    </w:p>
    <w:p w14:paraId="239A0454" w14:textId="281F802B" w:rsidR="00A00453" w:rsidRPr="009A7DB9" w:rsidRDefault="009A7DB9" w:rsidP="00A00453">
      <w:pPr>
        <w:pStyle w:val="JgtParagraphe"/>
        <w:numPr>
          <w:ilvl w:val="0"/>
          <w:numId w:val="18"/>
        </w:numPr>
        <w:spacing w:line="280" w:lineRule="exact"/>
        <w:rPr>
          <w:lang w:val="en-CA"/>
        </w:rPr>
      </w:pPr>
      <w:r w:rsidRPr="009A7DB9">
        <w:rPr>
          <w:lang w:val="en-CA"/>
        </w:rPr>
        <w:t xml:space="preserve">Those are the appellant’s crimes </w:t>
      </w:r>
      <w:r>
        <w:rPr>
          <w:lang w:val="en-CA"/>
        </w:rPr>
        <w:t>(“the crimes”).</w:t>
      </w:r>
    </w:p>
    <w:p w14:paraId="66A4D824" w14:textId="0C039F0C" w:rsidR="00A00453" w:rsidRPr="009A7DB9" w:rsidRDefault="009A7DB9" w:rsidP="00A00453">
      <w:pPr>
        <w:pStyle w:val="JgtParagraphe"/>
        <w:numPr>
          <w:ilvl w:val="0"/>
          <w:numId w:val="18"/>
        </w:numPr>
        <w:spacing w:line="280" w:lineRule="exact"/>
        <w:rPr>
          <w:lang w:val="en-CA"/>
        </w:rPr>
      </w:pPr>
      <w:r>
        <w:rPr>
          <w:lang w:val="en-CA"/>
        </w:rPr>
        <w:t xml:space="preserve">In late August, his relationship with the woman ended </w:t>
      </w:r>
      <w:r w:rsidR="009B212C">
        <w:rPr>
          <w:lang w:val="en-CA"/>
        </w:rPr>
        <w:t>for other reasons</w:t>
      </w:r>
      <w:r w:rsidR="002F0514">
        <w:rPr>
          <w:lang w:val="en-CA"/>
        </w:rPr>
        <w:t>,</w:t>
      </w:r>
      <w:r w:rsidR="009B212C">
        <w:rPr>
          <w:lang w:val="en-CA"/>
        </w:rPr>
        <w:t xml:space="preserve"> </w:t>
      </w:r>
      <w:r>
        <w:rPr>
          <w:lang w:val="en-CA"/>
        </w:rPr>
        <w:t xml:space="preserve">and </w:t>
      </w:r>
      <w:r w:rsidR="004F2482">
        <w:rPr>
          <w:lang w:val="en-CA"/>
        </w:rPr>
        <w:t xml:space="preserve">from that point forward, </w:t>
      </w:r>
      <w:r>
        <w:rPr>
          <w:lang w:val="en-CA"/>
        </w:rPr>
        <w:t xml:space="preserve">he no longer </w:t>
      </w:r>
      <w:r w:rsidR="00685DE1">
        <w:rPr>
          <w:lang w:val="en-CA"/>
        </w:rPr>
        <w:t xml:space="preserve">had any contact with her </w:t>
      </w:r>
      <w:r w:rsidR="00972430">
        <w:rPr>
          <w:lang w:val="en-CA"/>
        </w:rPr>
        <w:t>household</w:t>
      </w:r>
      <w:r w:rsidR="00A00453" w:rsidRPr="009A7DB9">
        <w:rPr>
          <w:lang w:val="en-CA"/>
        </w:rPr>
        <w:t>.</w:t>
      </w:r>
    </w:p>
    <w:p w14:paraId="5D04C950" w14:textId="45284260" w:rsidR="00A00453" w:rsidRPr="00F8148D" w:rsidRDefault="00685DE1" w:rsidP="00A00453">
      <w:pPr>
        <w:pStyle w:val="JgtParagraphe"/>
        <w:numPr>
          <w:ilvl w:val="0"/>
          <w:numId w:val="18"/>
        </w:numPr>
        <w:spacing w:line="280" w:lineRule="exact"/>
        <w:rPr>
          <w:lang w:val="en-CA"/>
        </w:rPr>
      </w:pPr>
      <w:r>
        <w:rPr>
          <w:lang w:val="en-CA"/>
        </w:rPr>
        <w:t>Soon thereafter, he voluntarily undertook treatment for his substance addiction</w:t>
      </w:r>
      <w:r w:rsidR="00A00453" w:rsidRPr="009A7DB9">
        <w:rPr>
          <w:lang w:val="en-CA"/>
        </w:rPr>
        <w:t xml:space="preserve">. </w:t>
      </w:r>
      <w:r>
        <w:rPr>
          <w:lang w:val="en-CA"/>
        </w:rPr>
        <w:t xml:space="preserve">This </w:t>
      </w:r>
      <w:r w:rsidR="004150F4">
        <w:rPr>
          <w:lang w:val="en-CA"/>
        </w:rPr>
        <w:t>was not</w:t>
      </w:r>
      <w:r>
        <w:rPr>
          <w:lang w:val="en-CA"/>
        </w:rPr>
        <w:t xml:space="preserve"> his first time in treatment</w:t>
      </w:r>
      <w:r w:rsidR="00A00453" w:rsidRPr="009A7DB9">
        <w:rPr>
          <w:lang w:val="en-CA"/>
        </w:rPr>
        <w:t xml:space="preserve">. </w:t>
      </w:r>
      <w:r>
        <w:rPr>
          <w:lang w:val="en-CA"/>
        </w:rPr>
        <w:t>The treatment took several months and included detox</w:t>
      </w:r>
      <w:r w:rsidR="00423F47">
        <w:rPr>
          <w:lang w:val="en-CA"/>
        </w:rPr>
        <w:t>ification</w:t>
      </w:r>
      <w:r>
        <w:rPr>
          <w:lang w:val="en-CA"/>
        </w:rPr>
        <w:t xml:space="preserve"> and gradual rehabilitation.</w:t>
      </w:r>
      <w:r w:rsidR="00A00453" w:rsidRPr="009A7DB9">
        <w:rPr>
          <w:lang w:val="en-CA"/>
        </w:rPr>
        <w:t xml:space="preserve"> </w:t>
      </w:r>
      <w:r>
        <w:rPr>
          <w:lang w:val="en-CA"/>
        </w:rPr>
        <w:t xml:space="preserve">In the course of his treatment, he </w:t>
      </w:r>
      <w:r w:rsidR="00D84D6F">
        <w:rPr>
          <w:lang w:val="en-CA"/>
        </w:rPr>
        <w:t xml:space="preserve">discussed </w:t>
      </w:r>
      <w:r>
        <w:rPr>
          <w:lang w:val="en-CA"/>
        </w:rPr>
        <w:t xml:space="preserve">a </w:t>
      </w:r>
      <w:r>
        <w:rPr>
          <w:lang w:val="en-CA"/>
        </w:rPr>
        <w:lastRenderedPageBreak/>
        <w:t xml:space="preserve">possible sexual deviance </w:t>
      </w:r>
      <w:r w:rsidR="00BD5D77">
        <w:rPr>
          <w:lang w:val="en-CA"/>
        </w:rPr>
        <w:t xml:space="preserve">problem </w:t>
      </w:r>
      <w:r w:rsidR="00D84D6F">
        <w:rPr>
          <w:lang w:val="en-CA"/>
        </w:rPr>
        <w:t xml:space="preserve">with </w:t>
      </w:r>
      <w:r>
        <w:rPr>
          <w:lang w:val="en-CA"/>
        </w:rPr>
        <w:t>a physician</w:t>
      </w:r>
      <w:r w:rsidR="009073BC">
        <w:rPr>
          <w:lang w:val="en-CA"/>
        </w:rPr>
        <w:t>, who</w:t>
      </w:r>
      <w:r>
        <w:rPr>
          <w:lang w:val="en-CA"/>
        </w:rPr>
        <w:t xml:space="preserve"> </w:t>
      </w:r>
      <w:r w:rsidR="00B93729">
        <w:rPr>
          <w:lang w:val="en-CA"/>
        </w:rPr>
        <w:t>referred</w:t>
      </w:r>
      <w:r>
        <w:rPr>
          <w:lang w:val="en-CA"/>
        </w:rPr>
        <w:t xml:space="preserve"> him to the </w:t>
      </w:r>
      <w:r w:rsidR="00EB61A7">
        <w:rPr>
          <w:lang w:val="en-CA"/>
        </w:rPr>
        <w:t xml:space="preserve">professionals at </w:t>
      </w:r>
      <w:r w:rsidR="00EB61A7" w:rsidRPr="00F8148D">
        <w:rPr>
          <w:lang w:val="en-CA"/>
        </w:rPr>
        <w:t xml:space="preserve">the </w:t>
      </w:r>
      <w:r w:rsidR="00E31B48" w:rsidRPr="00F8148D">
        <w:rPr>
          <w:lang w:val="en-CA"/>
        </w:rPr>
        <w:t>Institut Philippe-Pinel (“</w:t>
      </w:r>
      <w:r w:rsidR="00792507" w:rsidRPr="00F8148D">
        <w:rPr>
          <w:lang w:val="en-CA"/>
        </w:rPr>
        <w:t xml:space="preserve">the </w:t>
      </w:r>
      <w:r w:rsidR="00E31B48" w:rsidRPr="00F8148D">
        <w:rPr>
          <w:lang w:val="en-CA"/>
        </w:rPr>
        <w:t>Pinel</w:t>
      </w:r>
      <w:r w:rsidR="00792507" w:rsidRPr="00F8148D">
        <w:rPr>
          <w:lang w:val="en-CA"/>
        </w:rPr>
        <w:t xml:space="preserve"> institute</w:t>
      </w:r>
      <w:r w:rsidR="00E31B48" w:rsidRPr="00F8148D">
        <w:rPr>
          <w:lang w:val="en-CA"/>
        </w:rPr>
        <w:t>”)</w:t>
      </w:r>
      <w:r w:rsidR="00A00453" w:rsidRPr="00F8148D">
        <w:rPr>
          <w:lang w:val="en-CA"/>
        </w:rPr>
        <w:t>.</w:t>
      </w:r>
    </w:p>
    <w:p w14:paraId="1BABD755" w14:textId="3CC767C0" w:rsidR="00A00453" w:rsidRPr="009A7DB9" w:rsidRDefault="00EB61A7" w:rsidP="00A00453">
      <w:pPr>
        <w:pStyle w:val="JgtParagraphe"/>
        <w:numPr>
          <w:ilvl w:val="0"/>
          <w:numId w:val="18"/>
        </w:numPr>
        <w:spacing w:line="280" w:lineRule="exact"/>
        <w:rPr>
          <w:lang w:val="en-CA"/>
        </w:rPr>
      </w:pPr>
      <w:r>
        <w:rPr>
          <w:lang w:val="en-CA"/>
        </w:rPr>
        <w:t xml:space="preserve">The first </w:t>
      </w:r>
      <w:r w:rsidR="00DF3A9C">
        <w:rPr>
          <w:lang w:val="en-CA"/>
        </w:rPr>
        <w:t>professionals</w:t>
      </w:r>
      <w:r>
        <w:rPr>
          <w:lang w:val="en-CA"/>
        </w:rPr>
        <w:t xml:space="preserve"> he met there</w:t>
      </w:r>
      <w:r w:rsidR="009E3912">
        <w:rPr>
          <w:rFonts w:cs="Arial"/>
          <w:lang w:val="en-CA"/>
        </w:rPr>
        <w:t>—</w:t>
      </w:r>
      <w:r w:rsidR="009E3912">
        <w:rPr>
          <w:lang w:val="en-CA"/>
        </w:rPr>
        <w:t xml:space="preserve">this was </w:t>
      </w:r>
      <w:r>
        <w:rPr>
          <w:lang w:val="en-CA"/>
        </w:rPr>
        <w:t>in May 2017</w:t>
      </w:r>
      <w:r w:rsidR="009E3912">
        <w:rPr>
          <w:rFonts w:cs="Arial"/>
          <w:lang w:val="en-CA"/>
        </w:rPr>
        <w:t>—</w:t>
      </w:r>
      <w:r>
        <w:rPr>
          <w:lang w:val="en-CA"/>
        </w:rPr>
        <w:t xml:space="preserve">were criminologist </w:t>
      </w:r>
      <w:r w:rsidR="00A00453" w:rsidRPr="009A7DB9">
        <w:rPr>
          <w:lang w:val="en-CA"/>
        </w:rPr>
        <w:t xml:space="preserve">Geneviève Ruest </w:t>
      </w:r>
      <w:r>
        <w:rPr>
          <w:lang w:val="en-CA"/>
        </w:rPr>
        <w:t>and psychiatrist</w:t>
      </w:r>
      <w:r w:rsidR="00A00453" w:rsidRPr="009A7DB9">
        <w:rPr>
          <w:lang w:val="en-CA"/>
        </w:rPr>
        <w:t xml:space="preserve"> Benoit Dassylva. </w:t>
      </w:r>
      <w:r>
        <w:rPr>
          <w:lang w:val="en-CA"/>
        </w:rPr>
        <w:t>Neither of them testified</w:t>
      </w:r>
      <w:r w:rsidR="00A00453" w:rsidRPr="009A7DB9">
        <w:rPr>
          <w:lang w:val="en-CA"/>
        </w:rPr>
        <w:t>.</w:t>
      </w:r>
    </w:p>
    <w:p w14:paraId="2A70A67B" w14:textId="3D3BEA71" w:rsidR="00A00453" w:rsidRPr="009A7DB9" w:rsidRDefault="002073FD" w:rsidP="00A00453">
      <w:pPr>
        <w:pStyle w:val="JgtParagraphe"/>
        <w:numPr>
          <w:ilvl w:val="0"/>
          <w:numId w:val="18"/>
        </w:numPr>
        <w:spacing w:line="280" w:lineRule="exact"/>
        <w:rPr>
          <w:lang w:val="en-CA"/>
        </w:rPr>
      </w:pPr>
      <w:r>
        <w:rPr>
          <w:lang w:val="en-CA"/>
        </w:rPr>
        <w:t>As</w:t>
      </w:r>
      <w:r w:rsidR="00F6359E">
        <w:rPr>
          <w:lang w:val="en-CA"/>
        </w:rPr>
        <w:t xml:space="preserve"> part of</w:t>
      </w:r>
      <w:r w:rsidR="005F50F6">
        <w:rPr>
          <w:lang w:val="en-CA"/>
        </w:rPr>
        <w:t xml:space="preserve"> the </w:t>
      </w:r>
      <w:r w:rsidR="009C3C09">
        <w:rPr>
          <w:lang w:val="en-CA"/>
        </w:rPr>
        <w:t>intake</w:t>
      </w:r>
      <w:r w:rsidR="005F50F6">
        <w:rPr>
          <w:lang w:val="en-CA"/>
        </w:rPr>
        <w:t xml:space="preserve"> assessment </w:t>
      </w:r>
      <w:r w:rsidR="00F34A3C">
        <w:rPr>
          <w:lang w:val="en-CA"/>
        </w:rPr>
        <w:t xml:space="preserve">at </w:t>
      </w:r>
      <w:r w:rsidR="00792507">
        <w:rPr>
          <w:lang w:val="en-CA"/>
        </w:rPr>
        <w:t xml:space="preserve">the </w:t>
      </w:r>
      <w:r w:rsidR="00F34A3C">
        <w:rPr>
          <w:lang w:val="en-CA"/>
        </w:rPr>
        <w:t>Pinel</w:t>
      </w:r>
      <w:r w:rsidR="00792507">
        <w:rPr>
          <w:lang w:val="en-CA"/>
        </w:rPr>
        <w:t xml:space="preserve"> institute</w:t>
      </w:r>
      <w:r w:rsidR="005F50F6">
        <w:rPr>
          <w:lang w:val="en-CA"/>
        </w:rPr>
        <w:t>, he spoke about everything, including the two incidents described above (“the crimes”)</w:t>
      </w:r>
      <w:r w:rsidR="00A00453" w:rsidRPr="009A7DB9">
        <w:rPr>
          <w:lang w:val="en-CA"/>
        </w:rPr>
        <w:t xml:space="preserve">, </w:t>
      </w:r>
      <w:r w:rsidR="005F50F6">
        <w:rPr>
          <w:lang w:val="en-CA"/>
        </w:rPr>
        <w:t>which had occurred nine months earlier</w:t>
      </w:r>
      <w:r w:rsidR="00A00453" w:rsidRPr="009A7DB9">
        <w:rPr>
          <w:lang w:val="en-CA"/>
        </w:rPr>
        <w:t>.</w:t>
      </w:r>
      <w:r w:rsidR="004D5101">
        <w:rPr>
          <w:lang w:val="en-CA"/>
        </w:rPr>
        <w:t xml:space="preserve"> He felt he was</w:t>
      </w:r>
      <w:r w:rsidR="005F50F6">
        <w:rPr>
          <w:lang w:val="en-CA"/>
        </w:rPr>
        <w:t xml:space="preserve"> imparting </w:t>
      </w:r>
      <w:r w:rsidR="004D5101">
        <w:rPr>
          <w:lang w:val="en-CA"/>
        </w:rPr>
        <w:t xml:space="preserve">information </w:t>
      </w:r>
      <w:r w:rsidR="005F50F6">
        <w:rPr>
          <w:lang w:val="en-CA"/>
        </w:rPr>
        <w:t xml:space="preserve">to health care professionals </w:t>
      </w:r>
      <w:r w:rsidR="004D5101">
        <w:rPr>
          <w:lang w:val="en-CA"/>
        </w:rPr>
        <w:t xml:space="preserve">that was </w:t>
      </w:r>
      <w:r w:rsidR="00AF1E5A">
        <w:rPr>
          <w:lang w:val="en-CA"/>
        </w:rPr>
        <w:t xml:space="preserve">to be kept </w:t>
      </w:r>
      <w:r w:rsidR="005F50F6">
        <w:rPr>
          <w:lang w:val="en-CA"/>
        </w:rPr>
        <w:t xml:space="preserve">confidential </w:t>
      </w:r>
      <w:r w:rsidR="004D5101">
        <w:rPr>
          <w:lang w:val="en-CA"/>
        </w:rPr>
        <w:t xml:space="preserve">and </w:t>
      </w:r>
      <w:r w:rsidR="00AF1E5A">
        <w:rPr>
          <w:lang w:val="en-CA"/>
        </w:rPr>
        <w:t xml:space="preserve">was </w:t>
      </w:r>
      <w:r w:rsidR="004D5101">
        <w:rPr>
          <w:lang w:val="en-CA"/>
        </w:rPr>
        <w:t>protected by professional secrecy;</w:t>
      </w:r>
      <w:r w:rsidR="00FE09B1">
        <w:rPr>
          <w:lang w:val="en-CA"/>
        </w:rPr>
        <w:t xml:space="preserve"> </w:t>
      </w:r>
      <w:r w:rsidR="005F50F6">
        <w:rPr>
          <w:lang w:val="en-CA"/>
        </w:rPr>
        <w:t xml:space="preserve">this </w:t>
      </w:r>
      <w:r w:rsidR="00625453">
        <w:rPr>
          <w:lang w:val="en-CA"/>
        </w:rPr>
        <w:t>was</w:t>
      </w:r>
      <w:r w:rsidR="005F50F6">
        <w:rPr>
          <w:lang w:val="en-CA"/>
        </w:rPr>
        <w:t xml:space="preserve"> </w:t>
      </w:r>
      <w:r w:rsidR="004D5101">
        <w:rPr>
          <w:lang w:val="en-CA"/>
        </w:rPr>
        <w:t>confirmed, in his view,</w:t>
      </w:r>
      <w:r w:rsidR="005F50F6">
        <w:rPr>
          <w:lang w:val="en-CA"/>
        </w:rPr>
        <w:t xml:space="preserve"> by his past experiences with </w:t>
      </w:r>
      <w:r w:rsidR="0095643E">
        <w:rPr>
          <w:lang w:val="en-CA"/>
        </w:rPr>
        <w:t xml:space="preserve">other </w:t>
      </w:r>
      <w:r w:rsidR="004C525F">
        <w:rPr>
          <w:lang w:val="en-CA"/>
        </w:rPr>
        <w:t>workers</w:t>
      </w:r>
      <w:r w:rsidR="005F50F6">
        <w:rPr>
          <w:lang w:val="en-CA"/>
        </w:rPr>
        <w:t xml:space="preserve">. He did not believe it necessary to </w:t>
      </w:r>
      <w:r w:rsidR="00FE09B1">
        <w:rPr>
          <w:lang w:val="en-CA"/>
        </w:rPr>
        <w:t>specify</w:t>
      </w:r>
      <w:r w:rsidR="005F50F6">
        <w:rPr>
          <w:lang w:val="en-CA"/>
        </w:rPr>
        <w:t xml:space="preserve"> </w:t>
      </w:r>
      <w:r w:rsidR="000A15FE">
        <w:rPr>
          <w:lang w:val="en-CA"/>
        </w:rPr>
        <w:t xml:space="preserve">that </w:t>
      </w:r>
      <w:r w:rsidR="005F50F6">
        <w:rPr>
          <w:lang w:val="en-CA"/>
        </w:rPr>
        <w:t xml:space="preserve">his statements were confidential. He </w:t>
      </w:r>
      <w:r w:rsidR="005A2753">
        <w:rPr>
          <w:lang w:val="en-CA"/>
        </w:rPr>
        <w:t>is categorical</w:t>
      </w:r>
      <w:r w:rsidR="005F50F6">
        <w:rPr>
          <w:lang w:val="en-CA"/>
        </w:rPr>
        <w:t xml:space="preserve"> that Ms. </w:t>
      </w:r>
      <w:r w:rsidR="00A00453" w:rsidRPr="009A7DB9">
        <w:rPr>
          <w:lang w:val="en-CA"/>
        </w:rPr>
        <w:t>Ruest</w:t>
      </w:r>
      <w:r w:rsidR="005F50F6">
        <w:rPr>
          <w:lang w:val="en-CA"/>
        </w:rPr>
        <w:t>, the criminologist, never told him</w:t>
      </w:r>
      <w:r w:rsidR="00ED01E8">
        <w:rPr>
          <w:lang w:val="en-CA"/>
        </w:rPr>
        <w:t xml:space="preserve"> that</w:t>
      </w:r>
      <w:r w:rsidR="005F50F6">
        <w:rPr>
          <w:lang w:val="en-CA"/>
        </w:rPr>
        <w:t xml:space="preserve"> the information imparted to her could b</w:t>
      </w:r>
      <w:r w:rsidR="00091C0E">
        <w:rPr>
          <w:lang w:val="en-CA"/>
        </w:rPr>
        <w:t xml:space="preserve">e </w:t>
      </w:r>
      <w:r w:rsidR="00251BA9">
        <w:rPr>
          <w:lang w:val="en-CA"/>
        </w:rPr>
        <w:t>provided</w:t>
      </w:r>
      <w:r w:rsidR="001E0804">
        <w:rPr>
          <w:lang w:val="en-CA"/>
        </w:rPr>
        <w:t xml:space="preserve"> </w:t>
      </w:r>
      <w:r w:rsidR="00091C0E">
        <w:rPr>
          <w:lang w:val="en-CA"/>
        </w:rPr>
        <w:t>to</w:t>
      </w:r>
      <w:r w:rsidR="005F50F6">
        <w:rPr>
          <w:lang w:val="en-CA"/>
        </w:rPr>
        <w:t xml:space="preserve"> the police.</w:t>
      </w:r>
    </w:p>
    <w:p w14:paraId="3EAF84EA" w14:textId="4F78F173" w:rsidR="00A00453" w:rsidRPr="009A7DB9" w:rsidRDefault="005A51FD" w:rsidP="00A00453">
      <w:pPr>
        <w:pStyle w:val="JgtParagraphe"/>
        <w:numPr>
          <w:ilvl w:val="0"/>
          <w:numId w:val="18"/>
        </w:numPr>
        <w:spacing w:line="280" w:lineRule="exact"/>
        <w:rPr>
          <w:lang w:val="en-CA"/>
        </w:rPr>
      </w:pPr>
      <w:r>
        <w:rPr>
          <w:lang w:val="en-CA"/>
        </w:rPr>
        <w:t xml:space="preserve">A few days later, </w:t>
      </w:r>
      <w:r w:rsidR="007C5CF1">
        <w:rPr>
          <w:lang w:val="en-CA"/>
        </w:rPr>
        <w:t>the appellant</w:t>
      </w:r>
      <w:r>
        <w:rPr>
          <w:lang w:val="en-CA"/>
        </w:rPr>
        <w:t xml:space="preserve"> met </w:t>
      </w:r>
      <w:r w:rsidR="007C5CF1">
        <w:rPr>
          <w:lang w:val="en-CA"/>
        </w:rPr>
        <w:t xml:space="preserve">with </w:t>
      </w:r>
      <w:r>
        <w:rPr>
          <w:lang w:val="en-CA"/>
        </w:rPr>
        <w:t>Dr. </w:t>
      </w:r>
      <w:r w:rsidR="00A00453" w:rsidRPr="009A7DB9">
        <w:rPr>
          <w:lang w:val="en-CA"/>
        </w:rPr>
        <w:t>Dassylva</w:t>
      </w:r>
      <w:r w:rsidR="007C5CF1">
        <w:rPr>
          <w:lang w:val="en-CA"/>
        </w:rPr>
        <w:t>,</w:t>
      </w:r>
      <w:r w:rsidR="00A00453" w:rsidRPr="009A7DB9">
        <w:rPr>
          <w:lang w:val="en-CA"/>
        </w:rPr>
        <w:t xml:space="preserve"> </w:t>
      </w:r>
      <w:r w:rsidR="00DD0B95">
        <w:rPr>
          <w:lang w:val="en-CA"/>
        </w:rPr>
        <w:t xml:space="preserve">who </w:t>
      </w:r>
      <w:r w:rsidR="003A344E">
        <w:rPr>
          <w:lang w:val="en-CA"/>
        </w:rPr>
        <w:t xml:space="preserve">he says was in possession of the criminologist’s report. They spoke about the crimes. </w:t>
      </w:r>
      <w:r w:rsidR="00A00453" w:rsidRPr="009A7DB9">
        <w:rPr>
          <w:lang w:val="en-CA"/>
        </w:rPr>
        <w:t>Dr</w:t>
      </w:r>
      <w:r w:rsidR="003A344E">
        <w:rPr>
          <w:lang w:val="en-CA"/>
        </w:rPr>
        <w:t>.</w:t>
      </w:r>
      <w:r w:rsidR="00A00453" w:rsidRPr="009A7DB9">
        <w:rPr>
          <w:lang w:val="en-CA"/>
        </w:rPr>
        <w:t xml:space="preserve"> Dassylva </w:t>
      </w:r>
      <w:r w:rsidR="003A344E">
        <w:rPr>
          <w:lang w:val="en-CA"/>
        </w:rPr>
        <w:t xml:space="preserve">did not specifically tell the appellant </w:t>
      </w:r>
      <w:r w:rsidR="000615B9">
        <w:rPr>
          <w:lang w:val="en-CA"/>
        </w:rPr>
        <w:t xml:space="preserve">he </w:t>
      </w:r>
      <w:r w:rsidR="003A344E">
        <w:rPr>
          <w:lang w:val="en-CA"/>
        </w:rPr>
        <w:t>ha</w:t>
      </w:r>
      <w:r w:rsidR="00983263">
        <w:rPr>
          <w:lang w:val="en-CA"/>
        </w:rPr>
        <w:t>d</w:t>
      </w:r>
      <w:r w:rsidR="003A344E">
        <w:rPr>
          <w:lang w:val="en-CA"/>
        </w:rPr>
        <w:t xml:space="preserve"> </w:t>
      </w:r>
      <w:r w:rsidR="00F32E3B">
        <w:rPr>
          <w:lang w:val="en-CA"/>
        </w:rPr>
        <w:t xml:space="preserve">a duty to </w:t>
      </w:r>
      <w:r w:rsidR="00F76B9B">
        <w:rPr>
          <w:lang w:val="en-CA"/>
        </w:rPr>
        <w:t xml:space="preserve">make a </w:t>
      </w:r>
      <w:r w:rsidR="00F32E3B">
        <w:rPr>
          <w:lang w:val="en-CA"/>
        </w:rPr>
        <w:t>report to</w:t>
      </w:r>
      <w:r w:rsidR="003A344E">
        <w:rPr>
          <w:lang w:val="en-CA"/>
        </w:rPr>
        <w:t xml:space="preserve"> </w:t>
      </w:r>
      <w:r w:rsidR="004575C7">
        <w:rPr>
          <w:lang w:val="en-CA"/>
        </w:rPr>
        <w:t xml:space="preserve">the </w:t>
      </w:r>
      <w:r w:rsidR="003A344E" w:rsidRPr="00D84D6F">
        <w:rPr>
          <w:lang w:val="en-CA"/>
        </w:rPr>
        <w:t>D</w:t>
      </w:r>
      <w:r w:rsidR="00465CF9" w:rsidRPr="00D84D6F">
        <w:rPr>
          <w:lang w:val="en-CA"/>
        </w:rPr>
        <w:t>irect</w:t>
      </w:r>
      <w:r w:rsidR="00804B00" w:rsidRPr="00D84D6F">
        <w:rPr>
          <w:lang w:val="en-CA"/>
        </w:rPr>
        <w:t>ion</w:t>
      </w:r>
      <w:r w:rsidR="00465CF9" w:rsidRPr="00D84D6F">
        <w:rPr>
          <w:lang w:val="en-CA"/>
        </w:rPr>
        <w:t xml:space="preserve"> </w:t>
      </w:r>
      <w:r w:rsidR="00465CF9" w:rsidRPr="00804B00">
        <w:rPr>
          <w:lang w:val="en-CA"/>
        </w:rPr>
        <w:t>de la protection de la jeunesse</w:t>
      </w:r>
      <w:r w:rsidR="004575C7" w:rsidRPr="00804B00">
        <w:rPr>
          <w:lang w:val="en-CA"/>
        </w:rPr>
        <w:t xml:space="preserve"> (“Youth Protection”)</w:t>
      </w:r>
      <w:r w:rsidR="003A344E" w:rsidRPr="00804B00">
        <w:rPr>
          <w:lang w:val="en-CA"/>
        </w:rPr>
        <w:t>.</w:t>
      </w:r>
      <w:r w:rsidR="00A00453" w:rsidRPr="009A7DB9">
        <w:rPr>
          <w:lang w:val="en-CA"/>
        </w:rPr>
        <w:t xml:space="preserve"> </w:t>
      </w:r>
      <w:r w:rsidR="002A5F8E">
        <w:rPr>
          <w:lang w:val="en-CA"/>
        </w:rPr>
        <w:t xml:space="preserve">From </w:t>
      </w:r>
      <w:r w:rsidR="003A344E">
        <w:rPr>
          <w:lang w:val="en-CA"/>
        </w:rPr>
        <w:t>Dr. Dassylva</w:t>
      </w:r>
      <w:r w:rsidR="002A5F8E">
        <w:rPr>
          <w:lang w:val="en-CA"/>
        </w:rPr>
        <w:t xml:space="preserve">’s comments, the appellant took it that Dr. Dassylva was emphasizing the </w:t>
      </w:r>
      <w:r w:rsidR="00843063">
        <w:rPr>
          <w:lang w:val="en-CA"/>
        </w:rPr>
        <w:t>opportunity to</w:t>
      </w:r>
      <w:r w:rsidR="003A344E">
        <w:rPr>
          <w:lang w:val="en-CA"/>
        </w:rPr>
        <w:t xml:space="preserve"> help the victim, </w:t>
      </w:r>
      <w:r w:rsidR="00465CF9">
        <w:rPr>
          <w:lang w:val="en-CA"/>
        </w:rPr>
        <w:t>that</w:t>
      </w:r>
      <w:r w:rsidR="003A344E">
        <w:rPr>
          <w:lang w:val="en-CA"/>
        </w:rPr>
        <w:t xml:space="preserve"> this was a therapeutic process</w:t>
      </w:r>
      <w:r w:rsidR="003C56FC">
        <w:rPr>
          <w:lang w:val="en-CA"/>
        </w:rPr>
        <w:t>,</w:t>
      </w:r>
      <w:r w:rsidR="003A344E">
        <w:rPr>
          <w:lang w:val="en-CA"/>
        </w:rPr>
        <w:t xml:space="preserve"> and that he needed to be honest and transparent. The</w:t>
      </w:r>
      <w:r w:rsidR="00843063">
        <w:rPr>
          <w:lang w:val="en-CA"/>
        </w:rPr>
        <w:t> </w:t>
      </w:r>
      <w:r w:rsidR="003A344E">
        <w:rPr>
          <w:lang w:val="en-CA"/>
        </w:rPr>
        <w:t xml:space="preserve">appellant hoped to be admitted so he could </w:t>
      </w:r>
      <w:r w:rsidR="00A503C7">
        <w:rPr>
          <w:lang w:val="en-CA"/>
        </w:rPr>
        <w:t>get</w:t>
      </w:r>
      <w:r w:rsidR="003A344E">
        <w:rPr>
          <w:lang w:val="en-CA"/>
        </w:rPr>
        <w:t xml:space="preserve"> the help he </w:t>
      </w:r>
      <w:r w:rsidR="00505286">
        <w:rPr>
          <w:lang w:val="en-CA"/>
        </w:rPr>
        <w:t>wanted</w:t>
      </w:r>
      <w:r w:rsidR="003A344E">
        <w:rPr>
          <w:lang w:val="en-CA"/>
        </w:rPr>
        <w:t xml:space="preserve">. He </w:t>
      </w:r>
      <w:r w:rsidR="00505286">
        <w:rPr>
          <w:lang w:val="en-CA"/>
        </w:rPr>
        <w:t xml:space="preserve">felt he </w:t>
      </w:r>
      <w:r w:rsidR="003A344E">
        <w:rPr>
          <w:lang w:val="en-CA"/>
        </w:rPr>
        <w:t xml:space="preserve">needed to </w:t>
      </w:r>
      <w:r w:rsidR="00997596">
        <w:rPr>
          <w:lang w:val="en-CA"/>
        </w:rPr>
        <w:t>put</w:t>
      </w:r>
      <w:r w:rsidR="003A344E">
        <w:rPr>
          <w:lang w:val="en-CA"/>
        </w:rPr>
        <w:t xml:space="preserve"> his cards on the table</w:t>
      </w:r>
      <w:r w:rsidR="002E49DB">
        <w:rPr>
          <w:lang w:val="en-CA"/>
        </w:rPr>
        <w:t>,</w:t>
      </w:r>
      <w:r w:rsidR="003A344E">
        <w:rPr>
          <w:lang w:val="en-CA"/>
        </w:rPr>
        <w:t xml:space="preserve"> and agreed to contact Youth Protection</w:t>
      </w:r>
      <w:r w:rsidR="00E13A7D">
        <w:rPr>
          <w:lang w:val="en-CA"/>
        </w:rPr>
        <w:t>,</w:t>
      </w:r>
      <w:r w:rsidR="003A344E">
        <w:rPr>
          <w:lang w:val="en-CA"/>
        </w:rPr>
        <w:t xml:space="preserve"> in much the same way as he took part in test</w:t>
      </w:r>
      <w:r w:rsidR="002E7449">
        <w:rPr>
          <w:lang w:val="en-CA"/>
        </w:rPr>
        <w:t>ing,</w:t>
      </w:r>
      <w:r w:rsidR="003A344E">
        <w:rPr>
          <w:lang w:val="en-CA"/>
        </w:rPr>
        <w:t xml:space="preserve"> such as </w:t>
      </w:r>
      <w:r w:rsidR="00465CF9">
        <w:rPr>
          <w:lang w:val="en-CA"/>
        </w:rPr>
        <w:t>a penile plethysmography</w:t>
      </w:r>
      <w:r w:rsidR="002E7449">
        <w:rPr>
          <w:lang w:val="en-CA"/>
        </w:rPr>
        <w:t>, to secure his admission</w:t>
      </w:r>
      <w:r w:rsidR="00526CAC">
        <w:rPr>
          <w:lang w:val="en-CA"/>
        </w:rPr>
        <w:t xml:space="preserve"> to treatment</w:t>
      </w:r>
      <w:r w:rsidR="002E7449">
        <w:rPr>
          <w:lang w:val="en-CA"/>
        </w:rPr>
        <w:t>. When</w:t>
      </w:r>
      <w:r w:rsidR="002A5F8E">
        <w:rPr>
          <w:lang w:val="en-CA"/>
        </w:rPr>
        <w:t> </w:t>
      </w:r>
      <w:r w:rsidR="002E7449">
        <w:rPr>
          <w:lang w:val="en-CA"/>
        </w:rPr>
        <w:t xml:space="preserve">questioned, he said he </w:t>
      </w:r>
      <w:r w:rsidR="002A5F8E">
        <w:rPr>
          <w:lang w:val="en-CA"/>
        </w:rPr>
        <w:t>could not</w:t>
      </w:r>
      <w:r w:rsidR="002E7449">
        <w:rPr>
          <w:lang w:val="en-CA"/>
        </w:rPr>
        <w:t xml:space="preserve"> recall whether the police </w:t>
      </w:r>
      <w:r w:rsidR="007B1B74">
        <w:rPr>
          <w:lang w:val="en-CA"/>
        </w:rPr>
        <w:t>were</w:t>
      </w:r>
      <w:r w:rsidR="002E7449">
        <w:rPr>
          <w:lang w:val="en-CA"/>
        </w:rPr>
        <w:t xml:space="preserve"> mentioned at th</w:t>
      </w:r>
      <w:r w:rsidR="006A328C">
        <w:rPr>
          <w:lang w:val="en-CA"/>
        </w:rPr>
        <w:t>is</w:t>
      </w:r>
      <w:r w:rsidR="002E7449">
        <w:rPr>
          <w:lang w:val="en-CA"/>
        </w:rPr>
        <w:t xml:space="preserve"> meeting.</w:t>
      </w:r>
      <w:r w:rsidR="00A00453" w:rsidRPr="009A7DB9">
        <w:rPr>
          <w:lang w:val="en-CA"/>
        </w:rPr>
        <w:t xml:space="preserve"> </w:t>
      </w:r>
    </w:p>
    <w:p w14:paraId="6E8AE2BE" w14:textId="7E964E78" w:rsidR="00A00453" w:rsidRPr="009A7DB9" w:rsidRDefault="005B73E3" w:rsidP="00A00453">
      <w:pPr>
        <w:pStyle w:val="JgtParagraphe"/>
        <w:numPr>
          <w:ilvl w:val="0"/>
          <w:numId w:val="18"/>
        </w:numPr>
        <w:spacing w:line="280" w:lineRule="exact"/>
        <w:rPr>
          <w:lang w:val="en-CA"/>
        </w:rPr>
      </w:pPr>
      <w:r>
        <w:rPr>
          <w:lang w:val="en-CA"/>
        </w:rPr>
        <w:t>The appellant’s understanding from</w:t>
      </w:r>
      <w:r w:rsidR="00A00453" w:rsidRPr="009A7DB9">
        <w:rPr>
          <w:lang w:val="en-CA"/>
        </w:rPr>
        <w:t xml:space="preserve"> Dr</w:t>
      </w:r>
      <w:r w:rsidR="002E7449">
        <w:rPr>
          <w:lang w:val="en-CA"/>
        </w:rPr>
        <w:t>.</w:t>
      </w:r>
      <w:r w:rsidR="00A00453" w:rsidRPr="009A7DB9">
        <w:rPr>
          <w:lang w:val="en-CA"/>
        </w:rPr>
        <w:t xml:space="preserve"> Dassylva</w:t>
      </w:r>
      <w:r w:rsidR="002E7449">
        <w:rPr>
          <w:lang w:val="en-CA"/>
        </w:rPr>
        <w:t>’s statements</w:t>
      </w:r>
      <w:r>
        <w:rPr>
          <w:lang w:val="en-CA"/>
        </w:rPr>
        <w:t xml:space="preserve"> was </w:t>
      </w:r>
      <w:r w:rsidR="002E7449">
        <w:rPr>
          <w:lang w:val="en-CA"/>
        </w:rPr>
        <w:t xml:space="preserve">that admitting to his crimes </w:t>
      </w:r>
      <w:r w:rsidR="004B7275">
        <w:rPr>
          <w:lang w:val="en-CA"/>
        </w:rPr>
        <w:t>was</w:t>
      </w:r>
      <w:r w:rsidR="002E7449">
        <w:rPr>
          <w:lang w:val="en-CA"/>
        </w:rPr>
        <w:t xml:space="preserve"> important </w:t>
      </w:r>
      <w:r w:rsidR="003C4EF0">
        <w:rPr>
          <w:lang w:val="en-CA"/>
        </w:rPr>
        <w:t>for</w:t>
      </w:r>
      <w:r w:rsidR="002E7449">
        <w:rPr>
          <w:lang w:val="en-CA"/>
        </w:rPr>
        <w:t xml:space="preserve"> his treatment. He </w:t>
      </w:r>
      <w:r w:rsidR="00B92C07">
        <w:rPr>
          <w:lang w:val="en-CA"/>
        </w:rPr>
        <w:t>concedes</w:t>
      </w:r>
      <w:r w:rsidR="002E7449">
        <w:rPr>
          <w:lang w:val="en-CA"/>
        </w:rPr>
        <w:t xml:space="preserve"> he was never </w:t>
      </w:r>
      <w:r w:rsidR="00795E6E">
        <w:rPr>
          <w:lang w:val="en-CA"/>
        </w:rPr>
        <w:t>told outright</w:t>
      </w:r>
      <w:r w:rsidR="002E7449">
        <w:rPr>
          <w:lang w:val="en-CA"/>
        </w:rPr>
        <w:t xml:space="preserve"> that </w:t>
      </w:r>
      <w:r w:rsidR="004B7275">
        <w:rPr>
          <w:lang w:val="en-CA"/>
        </w:rPr>
        <w:t>this</w:t>
      </w:r>
      <w:r w:rsidR="002E7449">
        <w:rPr>
          <w:lang w:val="en-CA"/>
        </w:rPr>
        <w:t xml:space="preserve"> was a condition </w:t>
      </w:r>
      <w:r w:rsidR="002E7449" w:rsidRPr="00D1131C">
        <w:rPr>
          <w:lang w:val="en-CA"/>
        </w:rPr>
        <w:t xml:space="preserve">for </w:t>
      </w:r>
      <w:r w:rsidR="003C56FC">
        <w:rPr>
          <w:lang w:val="en-CA"/>
        </w:rPr>
        <w:t xml:space="preserve">entering </w:t>
      </w:r>
      <w:r w:rsidR="003A7F58">
        <w:rPr>
          <w:lang w:val="en-CA"/>
        </w:rPr>
        <w:t xml:space="preserve">the </w:t>
      </w:r>
      <w:r w:rsidR="003C56FC">
        <w:rPr>
          <w:lang w:val="en-CA"/>
        </w:rPr>
        <w:t>treatment</w:t>
      </w:r>
      <w:r w:rsidR="00372BC6">
        <w:rPr>
          <w:lang w:val="en-CA"/>
        </w:rPr>
        <w:t xml:space="preserve">; </w:t>
      </w:r>
      <w:r w:rsidR="003A7F58">
        <w:rPr>
          <w:lang w:val="en-CA"/>
        </w:rPr>
        <w:t xml:space="preserve">his </w:t>
      </w:r>
      <w:r w:rsidR="00520592" w:rsidRPr="00D1131C">
        <w:rPr>
          <w:lang w:val="en-CA"/>
        </w:rPr>
        <w:t xml:space="preserve">understanding stemmed from the requirements of honesty and transparency, </w:t>
      </w:r>
      <w:r w:rsidR="00520592">
        <w:rPr>
          <w:lang w:val="en-CA"/>
        </w:rPr>
        <w:t xml:space="preserve">necessary for the therapy, that </w:t>
      </w:r>
      <w:r w:rsidR="004B7275">
        <w:rPr>
          <w:lang w:val="en-CA"/>
        </w:rPr>
        <w:t xml:space="preserve">the clinicians </w:t>
      </w:r>
      <w:r w:rsidR="00520592">
        <w:rPr>
          <w:lang w:val="en-CA"/>
        </w:rPr>
        <w:t>expected him to meet</w:t>
      </w:r>
      <w:r w:rsidR="007B1B74">
        <w:rPr>
          <w:lang w:val="en-CA"/>
        </w:rPr>
        <w:t xml:space="preserve">. </w:t>
      </w:r>
      <w:r w:rsidR="00D2431E">
        <w:rPr>
          <w:lang w:val="en-CA"/>
        </w:rPr>
        <w:t>Still</w:t>
      </w:r>
      <w:r w:rsidR="00CA5064">
        <w:rPr>
          <w:lang w:val="en-CA"/>
        </w:rPr>
        <w:t>, the</w:t>
      </w:r>
      <w:r w:rsidR="00520592">
        <w:rPr>
          <w:lang w:val="en-CA"/>
        </w:rPr>
        <w:t xml:space="preserve"> appellant</w:t>
      </w:r>
      <w:r w:rsidR="007B1B74">
        <w:rPr>
          <w:lang w:val="en-CA"/>
        </w:rPr>
        <w:t xml:space="preserve"> wanted to be honest and transparent, as was </w:t>
      </w:r>
      <w:r w:rsidR="00520592">
        <w:rPr>
          <w:lang w:val="en-CA"/>
        </w:rPr>
        <w:t>required from</w:t>
      </w:r>
      <w:r w:rsidR="007B1B74">
        <w:rPr>
          <w:lang w:val="en-CA"/>
        </w:rPr>
        <w:t xml:space="preserve"> him</w:t>
      </w:r>
      <w:r w:rsidR="00A00453" w:rsidRPr="009A7DB9">
        <w:rPr>
          <w:lang w:val="en-CA"/>
        </w:rPr>
        <w:t>.</w:t>
      </w:r>
    </w:p>
    <w:p w14:paraId="612975C7" w14:textId="1868C509" w:rsidR="00A00453" w:rsidRPr="009A7DB9" w:rsidRDefault="00F1254D" w:rsidP="00A00453">
      <w:pPr>
        <w:pStyle w:val="JgtParagraphe"/>
        <w:numPr>
          <w:ilvl w:val="0"/>
          <w:numId w:val="18"/>
        </w:numPr>
        <w:spacing w:line="280" w:lineRule="exact"/>
        <w:rPr>
          <w:lang w:val="en-CA"/>
        </w:rPr>
      </w:pPr>
      <w:r>
        <w:rPr>
          <w:lang w:val="en-CA"/>
        </w:rPr>
        <w:t xml:space="preserve">With respect to this point, </w:t>
      </w:r>
      <w:r w:rsidR="00F0434E">
        <w:rPr>
          <w:lang w:val="en-CA"/>
        </w:rPr>
        <w:t>the trial judge</w:t>
      </w:r>
      <w:r>
        <w:rPr>
          <w:lang w:val="en-CA"/>
        </w:rPr>
        <w:t xml:space="preserve"> </w:t>
      </w:r>
      <w:r w:rsidR="008C79DC">
        <w:rPr>
          <w:lang w:val="en-CA"/>
        </w:rPr>
        <w:t>seems</w:t>
      </w:r>
      <w:r>
        <w:rPr>
          <w:lang w:val="en-CA"/>
        </w:rPr>
        <w:t xml:space="preserve"> to have </w:t>
      </w:r>
      <w:r w:rsidR="00784F62">
        <w:rPr>
          <w:lang w:val="en-CA"/>
        </w:rPr>
        <w:t>agreed with</w:t>
      </w:r>
      <w:r>
        <w:rPr>
          <w:lang w:val="en-CA"/>
        </w:rPr>
        <w:t xml:space="preserve"> the appellant</w:t>
      </w:r>
      <w:r w:rsidR="00784F62">
        <w:rPr>
          <w:lang w:val="en-CA"/>
        </w:rPr>
        <w:t>’s point of view</w:t>
      </w:r>
      <w:r>
        <w:rPr>
          <w:lang w:val="en-CA"/>
        </w:rPr>
        <w:t xml:space="preserve"> </w:t>
      </w:r>
      <w:r w:rsidR="00784F62">
        <w:rPr>
          <w:lang w:val="en-CA"/>
        </w:rPr>
        <w:t>when he testified t</w:t>
      </w:r>
      <w:r>
        <w:rPr>
          <w:lang w:val="en-CA"/>
        </w:rPr>
        <w:t>hat honesty and transparency help therapy work</w:t>
      </w:r>
      <w:r w:rsidR="00A00453" w:rsidRPr="009A7DB9">
        <w:rPr>
          <w:lang w:val="en-CA"/>
        </w:rPr>
        <w:t xml:space="preserve">. </w:t>
      </w:r>
      <w:r>
        <w:rPr>
          <w:lang w:val="en-CA"/>
        </w:rPr>
        <w:t>He</w:t>
      </w:r>
      <w:r w:rsidR="00784F62">
        <w:rPr>
          <w:lang w:val="en-CA"/>
        </w:rPr>
        <w:t> </w:t>
      </w:r>
      <w:r>
        <w:rPr>
          <w:lang w:val="en-CA"/>
        </w:rPr>
        <w:t>asked</w:t>
      </w:r>
      <w:r w:rsidR="00A00453" w:rsidRPr="009A7DB9">
        <w:rPr>
          <w:lang w:val="en-CA"/>
        </w:rPr>
        <w:t>:</w:t>
      </w:r>
    </w:p>
    <w:p w14:paraId="76F238E2" w14:textId="7AEE44CC" w:rsidR="006F3658" w:rsidRPr="00497A50" w:rsidRDefault="00497A50" w:rsidP="00A00453">
      <w:pPr>
        <w:pStyle w:val="JgtCitation"/>
        <w:spacing w:line="280" w:lineRule="exact"/>
        <w:rPr>
          <w:szCs w:val="22"/>
          <w:lang w:val="en-CA"/>
        </w:rPr>
      </w:pPr>
      <w:r>
        <w:rPr>
          <w:szCs w:val="22"/>
          <w:lang w:val="en-CA"/>
        </w:rPr>
        <w:t>[</w:t>
      </w:r>
      <w:r w:rsidRPr="00497A50">
        <w:rPr>
          <w:smallCaps/>
          <w:szCs w:val="22"/>
          <w:lang w:val="en-CA"/>
        </w:rPr>
        <w:t>translation</w:t>
      </w:r>
      <w:r>
        <w:rPr>
          <w:szCs w:val="22"/>
          <w:lang w:val="en-CA"/>
        </w:rPr>
        <w:t>]</w:t>
      </w:r>
    </w:p>
    <w:p w14:paraId="0E983CB8" w14:textId="5731058C" w:rsidR="00A00453" w:rsidRPr="009A7DB9" w:rsidRDefault="00A00453" w:rsidP="00A00453">
      <w:pPr>
        <w:pStyle w:val="JgtCitation"/>
        <w:spacing w:line="280" w:lineRule="exact"/>
        <w:rPr>
          <w:lang w:val="en-CA"/>
        </w:rPr>
      </w:pPr>
      <w:r w:rsidRPr="009A7DB9">
        <w:rPr>
          <w:lang w:val="en-CA"/>
        </w:rPr>
        <w:t>Q</w:t>
      </w:r>
      <w:r w:rsidR="00F1254D">
        <w:rPr>
          <w:lang w:val="en-CA"/>
        </w:rPr>
        <w:t>.</w:t>
      </w:r>
      <w:r w:rsidRPr="009A7DB9">
        <w:rPr>
          <w:lang w:val="en-CA"/>
        </w:rPr>
        <w:t xml:space="preserve"> </w:t>
      </w:r>
      <w:r w:rsidR="00F1254D">
        <w:rPr>
          <w:lang w:val="en-CA"/>
        </w:rPr>
        <w:t xml:space="preserve">So it’s normal and unsurprising that they were telling you to be honest and transparent? Am I mistaken? In order for treatment </w:t>
      </w:r>
      <w:r w:rsidR="00F24A67">
        <w:rPr>
          <w:lang w:val="en-CA"/>
        </w:rPr>
        <w:t>to be meaningful in any way</w:t>
      </w:r>
      <w:r w:rsidR="006F3658">
        <w:rPr>
          <w:lang w:val="en-CA"/>
        </w:rPr>
        <w:t>?</w:t>
      </w:r>
      <w:r w:rsidRPr="009A7DB9">
        <w:rPr>
          <w:rStyle w:val="Appelnotedebasdep"/>
          <w:lang w:val="en-CA"/>
        </w:rPr>
        <w:t xml:space="preserve"> </w:t>
      </w:r>
    </w:p>
    <w:p w14:paraId="015E2821" w14:textId="52D9E974" w:rsidR="00A00453" w:rsidRPr="009A7DB9" w:rsidRDefault="000C2209" w:rsidP="00A00453">
      <w:pPr>
        <w:pStyle w:val="JgtParagraphe"/>
        <w:numPr>
          <w:ilvl w:val="0"/>
          <w:numId w:val="18"/>
        </w:numPr>
        <w:spacing w:line="280" w:lineRule="exact"/>
        <w:rPr>
          <w:lang w:val="en-CA"/>
        </w:rPr>
      </w:pPr>
      <w:r>
        <w:rPr>
          <w:lang w:val="en-CA"/>
        </w:rPr>
        <w:t>The appellant explained that</w:t>
      </w:r>
      <w:r w:rsidR="00667909">
        <w:rPr>
          <w:lang w:val="en-CA"/>
        </w:rPr>
        <w:t>,</w:t>
      </w:r>
      <w:r>
        <w:rPr>
          <w:lang w:val="en-CA"/>
        </w:rPr>
        <w:t xml:space="preserve"> o</w:t>
      </w:r>
      <w:r w:rsidR="006B1014">
        <w:rPr>
          <w:lang w:val="en-CA"/>
        </w:rPr>
        <w:t xml:space="preserve">nce his crimes were admitted to, </w:t>
      </w:r>
      <w:r>
        <w:rPr>
          <w:lang w:val="en-CA"/>
        </w:rPr>
        <w:t xml:space="preserve">he was told </w:t>
      </w:r>
      <w:r w:rsidR="006B1014">
        <w:rPr>
          <w:lang w:val="en-CA"/>
        </w:rPr>
        <w:t xml:space="preserve">he would have to get in touch with </w:t>
      </w:r>
      <w:r w:rsidR="00BC4C1F">
        <w:rPr>
          <w:lang w:val="en-CA"/>
        </w:rPr>
        <w:t>Youth Protection</w:t>
      </w:r>
      <w:r w:rsidR="00667909">
        <w:rPr>
          <w:lang w:val="en-CA"/>
        </w:rPr>
        <w:t xml:space="preserve"> </w:t>
      </w:r>
      <w:r w:rsidR="006B1014">
        <w:rPr>
          <w:lang w:val="en-CA"/>
        </w:rPr>
        <w:t>on his own to help the victim</w:t>
      </w:r>
      <w:r w:rsidR="00971634">
        <w:rPr>
          <w:lang w:val="en-CA"/>
        </w:rPr>
        <w:t xml:space="preserve">, so that it </w:t>
      </w:r>
      <w:r w:rsidR="00971634">
        <w:rPr>
          <w:lang w:val="en-CA"/>
        </w:rPr>
        <w:lastRenderedPageBreak/>
        <w:t>could be ascertained</w:t>
      </w:r>
      <w:r w:rsidR="006B1014">
        <w:rPr>
          <w:lang w:val="en-CA"/>
        </w:rPr>
        <w:t xml:space="preserve"> whether she was suffering from psychological </w:t>
      </w:r>
      <w:r w:rsidR="0009384E">
        <w:rPr>
          <w:lang w:val="en-CA"/>
        </w:rPr>
        <w:t>after-effects</w:t>
      </w:r>
      <w:r w:rsidR="006B1014">
        <w:rPr>
          <w:lang w:val="en-CA"/>
        </w:rPr>
        <w:t xml:space="preserve"> and </w:t>
      </w:r>
      <w:r w:rsidR="0009384E">
        <w:rPr>
          <w:lang w:val="en-CA"/>
        </w:rPr>
        <w:t xml:space="preserve">whether she </w:t>
      </w:r>
      <w:r w:rsidR="006B1014">
        <w:rPr>
          <w:lang w:val="en-CA"/>
        </w:rPr>
        <w:t>should be offered services.</w:t>
      </w:r>
    </w:p>
    <w:p w14:paraId="14361FD4" w14:textId="2AD3D88B" w:rsidR="00A00453" w:rsidRPr="009A7DB9" w:rsidRDefault="002B7B56" w:rsidP="00A00453">
      <w:pPr>
        <w:pStyle w:val="JgtParagraphe"/>
        <w:numPr>
          <w:ilvl w:val="0"/>
          <w:numId w:val="18"/>
        </w:numPr>
        <w:spacing w:line="280" w:lineRule="exact"/>
        <w:rPr>
          <w:lang w:val="en-CA"/>
        </w:rPr>
      </w:pPr>
      <w:r>
        <w:rPr>
          <w:lang w:val="en-CA"/>
        </w:rPr>
        <w:t xml:space="preserve">The appellant was </w:t>
      </w:r>
      <w:r w:rsidRPr="00015002">
        <w:rPr>
          <w:lang w:val="en-CA"/>
        </w:rPr>
        <w:t>directed</w:t>
      </w:r>
      <w:r>
        <w:rPr>
          <w:lang w:val="en-CA"/>
        </w:rPr>
        <w:t xml:space="preserve"> to a doctoral candidate in psychology named</w:t>
      </w:r>
      <w:r w:rsidR="00A00453" w:rsidRPr="009A7DB9">
        <w:rPr>
          <w:lang w:val="en-CA"/>
        </w:rPr>
        <w:t xml:space="preserve"> Jo</w:t>
      </w:r>
      <w:r w:rsidR="009E3E0D">
        <w:rPr>
          <w:lang w:val="en-CA"/>
        </w:rPr>
        <w:noBreakHyphen/>
      </w:r>
      <w:r w:rsidR="00A00453" w:rsidRPr="009A7DB9">
        <w:rPr>
          <w:lang w:val="en-CA"/>
        </w:rPr>
        <w:t>Annie</w:t>
      </w:r>
      <w:r>
        <w:rPr>
          <w:lang w:val="en-CA"/>
        </w:rPr>
        <w:t> </w:t>
      </w:r>
      <w:r w:rsidR="00A00453" w:rsidRPr="009A7DB9">
        <w:rPr>
          <w:lang w:val="en-CA"/>
        </w:rPr>
        <w:t>Spearson-Goulet (</w:t>
      </w:r>
      <w:r>
        <w:rPr>
          <w:lang w:val="en-CA"/>
        </w:rPr>
        <w:t>“Ms. </w:t>
      </w:r>
      <w:r w:rsidR="00A00453" w:rsidRPr="009A7DB9">
        <w:rPr>
          <w:lang w:val="en-CA"/>
        </w:rPr>
        <w:t>Spearson-Goulet</w:t>
      </w:r>
      <w:r>
        <w:rPr>
          <w:lang w:val="en-CA"/>
        </w:rPr>
        <w:t>”</w:t>
      </w:r>
      <w:r w:rsidR="00A00453" w:rsidRPr="009A7DB9">
        <w:rPr>
          <w:lang w:val="en-CA"/>
        </w:rPr>
        <w:t xml:space="preserve">), </w:t>
      </w:r>
      <w:r>
        <w:rPr>
          <w:lang w:val="en-CA"/>
        </w:rPr>
        <w:t xml:space="preserve">who </w:t>
      </w:r>
      <w:r w:rsidR="001E066E">
        <w:rPr>
          <w:lang w:val="en-CA"/>
        </w:rPr>
        <w:t xml:space="preserve">took charge of him </w:t>
      </w:r>
      <w:r w:rsidR="00971634">
        <w:rPr>
          <w:lang w:val="en-CA"/>
        </w:rPr>
        <w:t>for</w:t>
      </w:r>
      <w:r w:rsidR="00D37850">
        <w:rPr>
          <w:lang w:val="en-CA"/>
        </w:rPr>
        <w:t xml:space="preserve"> </w:t>
      </w:r>
      <w:r w:rsidR="001E066E">
        <w:rPr>
          <w:lang w:val="en-CA"/>
        </w:rPr>
        <w:t>a</w:t>
      </w:r>
      <w:r>
        <w:rPr>
          <w:lang w:val="en-CA"/>
        </w:rPr>
        <w:t xml:space="preserve"> </w:t>
      </w:r>
      <w:r w:rsidR="000E4D8B" w:rsidRPr="00A12F31">
        <w:rPr>
          <w:lang w:val="en-CA"/>
        </w:rPr>
        <w:t>[</w:t>
      </w:r>
      <w:r w:rsidR="00A12F31" w:rsidRPr="00A12F31">
        <w:rPr>
          <w:smallCaps/>
          <w:lang w:val="en-CA"/>
        </w:rPr>
        <w:t>translation</w:t>
      </w:r>
      <w:r w:rsidR="000E4D8B" w:rsidRPr="00A12F31">
        <w:rPr>
          <w:lang w:val="en-CA"/>
        </w:rPr>
        <w:t>]</w:t>
      </w:r>
      <w:r w:rsidR="000E4D8B">
        <w:rPr>
          <w:lang w:val="en-CA"/>
        </w:rPr>
        <w:t xml:space="preserve"> </w:t>
      </w:r>
      <w:r>
        <w:rPr>
          <w:lang w:val="en-CA"/>
        </w:rPr>
        <w:t>“group pre</w:t>
      </w:r>
      <w:r w:rsidR="00D37850">
        <w:rPr>
          <w:lang w:val="en-CA"/>
        </w:rPr>
        <w:t>-</w:t>
      </w:r>
      <w:r>
        <w:rPr>
          <w:lang w:val="en-CA"/>
        </w:rPr>
        <w:t>admission</w:t>
      </w:r>
      <w:r w:rsidR="00D37850">
        <w:rPr>
          <w:lang w:val="en-CA"/>
        </w:rPr>
        <w:t xml:space="preserve">” </w:t>
      </w:r>
      <w:r w:rsidR="008057DA">
        <w:rPr>
          <w:lang w:val="en-CA"/>
        </w:rPr>
        <w:t xml:space="preserve">assessment for the group therapy she was leading with another therapist. The </w:t>
      </w:r>
      <w:r w:rsidR="00D37850">
        <w:rPr>
          <w:lang w:val="en-CA"/>
        </w:rPr>
        <w:t xml:space="preserve">meeting </w:t>
      </w:r>
      <w:r w:rsidR="008057DA">
        <w:rPr>
          <w:lang w:val="en-CA"/>
        </w:rPr>
        <w:t xml:space="preserve">was </w:t>
      </w:r>
      <w:r w:rsidR="00D37850">
        <w:rPr>
          <w:lang w:val="en-CA"/>
        </w:rPr>
        <w:t>held</w:t>
      </w:r>
      <w:r w:rsidR="001E066E">
        <w:rPr>
          <w:lang w:val="en-CA"/>
        </w:rPr>
        <w:t xml:space="preserve"> on</w:t>
      </w:r>
      <w:r>
        <w:rPr>
          <w:lang w:val="en-CA"/>
        </w:rPr>
        <w:t xml:space="preserve"> May</w:t>
      </w:r>
      <w:r w:rsidR="00600371">
        <w:rPr>
          <w:lang w:val="en-CA"/>
        </w:rPr>
        <w:t> </w:t>
      </w:r>
      <w:r>
        <w:rPr>
          <w:lang w:val="en-CA"/>
        </w:rPr>
        <w:t>23, 2017.</w:t>
      </w:r>
    </w:p>
    <w:p w14:paraId="7B6FD770" w14:textId="5903691A" w:rsidR="00A00453" w:rsidRPr="007E0C68" w:rsidRDefault="00BA1873" w:rsidP="007E0C68">
      <w:pPr>
        <w:pStyle w:val="JgtParagraphe"/>
        <w:numPr>
          <w:ilvl w:val="0"/>
          <w:numId w:val="18"/>
        </w:numPr>
        <w:spacing w:line="280" w:lineRule="exact"/>
        <w:rPr>
          <w:lang w:val="en-CA"/>
        </w:rPr>
      </w:pPr>
      <w:r>
        <w:rPr>
          <w:lang w:val="en-CA"/>
        </w:rPr>
        <w:t xml:space="preserve">Ms. </w:t>
      </w:r>
      <w:r w:rsidR="00A00453" w:rsidRPr="009A7DB9">
        <w:rPr>
          <w:lang w:val="en-CA"/>
        </w:rPr>
        <w:t xml:space="preserve">Spearson-Goulet </w:t>
      </w:r>
      <w:r w:rsidR="002B7B56">
        <w:rPr>
          <w:lang w:val="en-CA"/>
        </w:rPr>
        <w:t xml:space="preserve">has few specific recollections of the discussions with the appellant at this meeting </w:t>
      </w:r>
      <w:r w:rsidR="005B4198">
        <w:rPr>
          <w:lang w:val="en-CA"/>
        </w:rPr>
        <w:t>as they relate to</w:t>
      </w:r>
      <w:r w:rsidR="002B7B56">
        <w:rPr>
          <w:lang w:val="en-CA"/>
        </w:rPr>
        <w:t xml:space="preserve"> the crimes </w:t>
      </w:r>
      <w:r w:rsidR="00DD3786">
        <w:rPr>
          <w:lang w:val="en-CA"/>
        </w:rPr>
        <w:t>or</w:t>
      </w:r>
      <w:r w:rsidR="00422B5D">
        <w:rPr>
          <w:lang w:val="en-CA"/>
        </w:rPr>
        <w:t xml:space="preserve"> to</w:t>
      </w:r>
      <w:r w:rsidR="002B7B56">
        <w:rPr>
          <w:lang w:val="en-CA"/>
        </w:rPr>
        <w:t xml:space="preserve"> the anticipated disclosure to </w:t>
      </w:r>
      <w:r w:rsidR="00E14606">
        <w:rPr>
          <w:lang w:val="en-CA"/>
        </w:rPr>
        <w:t>the DYP</w:t>
      </w:r>
      <w:r w:rsidR="002B7B56">
        <w:rPr>
          <w:lang w:val="en-CA"/>
        </w:rPr>
        <w:t>.</w:t>
      </w:r>
      <w:r w:rsidR="0068452B">
        <w:rPr>
          <w:lang w:val="en-CA"/>
        </w:rPr>
        <w:t xml:space="preserve"> Since</w:t>
      </w:r>
      <w:r w:rsidR="001E066E">
        <w:rPr>
          <w:lang w:val="en-CA"/>
        </w:rPr>
        <w:t xml:space="preserve"> she was not involved at </w:t>
      </w:r>
      <w:r w:rsidR="00335B49">
        <w:rPr>
          <w:lang w:val="en-CA"/>
        </w:rPr>
        <w:t>the</w:t>
      </w:r>
      <w:r w:rsidR="007E0C68">
        <w:rPr>
          <w:lang w:val="en-CA"/>
        </w:rPr>
        <w:t xml:space="preserve"> appellant’s</w:t>
      </w:r>
      <w:r w:rsidR="00335B49" w:rsidRPr="007E0C68">
        <w:rPr>
          <w:lang w:val="en-CA"/>
        </w:rPr>
        <w:t xml:space="preserve"> </w:t>
      </w:r>
      <w:r w:rsidR="001E066E" w:rsidRPr="007E0C68">
        <w:rPr>
          <w:lang w:val="en-CA"/>
        </w:rPr>
        <w:t xml:space="preserve">intake, </w:t>
      </w:r>
      <w:r w:rsidR="00702CAF" w:rsidRPr="007E0C68">
        <w:rPr>
          <w:lang w:val="en-CA"/>
        </w:rPr>
        <w:t xml:space="preserve">all </w:t>
      </w:r>
      <w:r w:rsidR="001E066E" w:rsidRPr="007E0C68">
        <w:rPr>
          <w:lang w:val="en-CA"/>
        </w:rPr>
        <w:t xml:space="preserve">she </w:t>
      </w:r>
      <w:r w:rsidR="0068452B" w:rsidRPr="007E0C68">
        <w:rPr>
          <w:lang w:val="en-CA"/>
        </w:rPr>
        <w:t xml:space="preserve">could state </w:t>
      </w:r>
      <w:r w:rsidR="00702CAF" w:rsidRPr="007E0C68">
        <w:rPr>
          <w:lang w:val="en-CA"/>
        </w:rPr>
        <w:t xml:space="preserve">was </w:t>
      </w:r>
      <w:r w:rsidR="0068452B" w:rsidRPr="007E0C68">
        <w:rPr>
          <w:lang w:val="en-CA"/>
        </w:rPr>
        <w:t xml:space="preserve">that </w:t>
      </w:r>
      <w:r w:rsidRPr="007E0C68">
        <w:rPr>
          <w:lang w:val="en-CA"/>
        </w:rPr>
        <w:t xml:space="preserve">the </w:t>
      </w:r>
      <w:r w:rsidR="001E066E" w:rsidRPr="00D0301C">
        <w:rPr>
          <w:lang w:val="en-CA"/>
        </w:rPr>
        <w:t>[</w:t>
      </w:r>
      <w:r w:rsidR="00D0301C" w:rsidRPr="00D0301C">
        <w:rPr>
          <w:smallCaps/>
          <w:lang w:val="en-CA"/>
        </w:rPr>
        <w:t>translation</w:t>
      </w:r>
      <w:r w:rsidR="001E066E" w:rsidRPr="00D0301C">
        <w:rPr>
          <w:lang w:val="en-CA"/>
        </w:rPr>
        <w:t>]</w:t>
      </w:r>
      <w:r w:rsidR="001E066E" w:rsidRPr="007E0C68">
        <w:rPr>
          <w:lang w:val="en-CA"/>
        </w:rPr>
        <w:t xml:space="preserve"> “usual” practice </w:t>
      </w:r>
      <w:r w:rsidR="0068452B" w:rsidRPr="007E0C68">
        <w:rPr>
          <w:lang w:val="en-CA"/>
        </w:rPr>
        <w:t>was to</w:t>
      </w:r>
      <w:r w:rsidR="001E066E" w:rsidRPr="007E0C68">
        <w:rPr>
          <w:lang w:val="en-CA"/>
        </w:rPr>
        <w:t xml:space="preserve"> inform </w:t>
      </w:r>
      <w:r w:rsidR="001E066E" w:rsidRPr="00497A50">
        <w:rPr>
          <w:lang w:val="en-CA"/>
        </w:rPr>
        <w:t>[</w:t>
      </w:r>
      <w:r w:rsidR="00D0301C" w:rsidRPr="00D0301C">
        <w:rPr>
          <w:smallCaps/>
          <w:lang w:val="en-CA"/>
        </w:rPr>
        <w:t>translation</w:t>
      </w:r>
      <w:r w:rsidR="001E066E" w:rsidRPr="00497A50">
        <w:rPr>
          <w:lang w:val="en-CA"/>
        </w:rPr>
        <w:t>]</w:t>
      </w:r>
      <w:r w:rsidR="001E066E" w:rsidRPr="007E0C68">
        <w:rPr>
          <w:lang w:val="en-CA"/>
        </w:rPr>
        <w:t xml:space="preserve"> “patients of </w:t>
      </w:r>
      <w:r w:rsidR="001E066E" w:rsidRPr="00715B48">
        <w:rPr>
          <w:lang w:val="en-CA"/>
        </w:rPr>
        <w:t>the limits</w:t>
      </w:r>
      <w:r w:rsidR="001E066E" w:rsidRPr="007E0C68">
        <w:rPr>
          <w:lang w:val="en-CA"/>
        </w:rPr>
        <w:t xml:space="preserve"> to confidentiality</w:t>
      </w:r>
      <w:r w:rsidR="008057DA">
        <w:rPr>
          <w:lang w:val="en-CA"/>
        </w:rPr>
        <w:t>”</w:t>
      </w:r>
      <w:r w:rsidR="0068452B" w:rsidRPr="007E0C68">
        <w:rPr>
          <w:lang w:val="en-CA"/>
        </w:rPr>
        <w:t>.</w:t>
      </w:r>
      <w:r w:rsidR="00A00453" w:rsidRPr="007E0C68">
        <w:rPr>
          <w:lang w:val="en-CA"/>
        </w:rPr>
        <w:t xml:space="preserve"> </w:t>
      </w:r>
      <w:r w:rsidR="00335B49" w:rsidRPr="007E0C68">
        <w:rPr>
          <w:lang w:val="en-CA"/>
        </w:rPr>
        <w:t>A</w:t>
      </w:r>
      <w:r w:rsidRPr="007E0C68">
        <w:rPr>
          <w:lang w:val="en-CA"/>
        </w:rPr>
        <w:t xml:space="preserve">ware of the admissions made </w:t>
      </w:r>
      <w:r w:rsidR="00335B49" w:rsidRPr="007E0C68">
        <w:rPr>
          <w:lang w:val="en-CA"/>
        </w:rPr>
        <w:t>at</w:t>
      </w:r>
      <w:r w:rsidRPr="007E0C68">
        <w:rPr>
          <w:lang w:val="en-CA"/>
        </w:rPr>
        <w:t xml:space="preserve"> the intake meeting with Dr.</w:t>
      </w:r>
      <w:r w:rsidR="00702CAF" w:rsidRPr="007E0C68">
        <w:rPr>
          <w:lang w:val="en-CA"/>
        </w:rPr>
        <w:t> </w:t>
      </w:r>
      <w:r w:rsidRPr="007E0C68">
        <w:rPr>
          <w:lang w:val="en-CA"/>
        </w:rPr>
        <w:t xml:space="preserve">Dassylva, she explained that she wanted to work with the appellant to </w:t>
      </w:r>
      <w:r w:rsidR="009E14D9" w:rsidRPr="007E0C68">
        <w:rPr>
          <w:lang w:val="en-CA"/>
        </w:rPr>
        <w:t>determine</w:t>
      </w:r>
      <w:r w:rsidRPr="007E0C68">
        <w:rPr>
          <w:lang w:val="en-CA"/>
        </w:rPr>
        <w:t xml:space="preserve"> how to disclose the matter to Youth Protection.</w:t>
      </w:r>
    </w:p>
    <w:p w14:paraId="0CA8DDB6" w14:textId="4B60A683" w:rsidR="00A00453" w:rsidRPr="009A7DB9" w:rsidRDefault="00BA1873" w:rsidP="00A00453">
      <w:pPr>
        <w:pStyle w:val="JgtParagraphe"/>
        <w:numPr>
          <w:ilvl w:val="0"/>
          <w:numId w:val="18"/>
        </w:numPr>
        <w:spacing w:line="280" w:lineRule="exact"/>
        <w:rPr>
          <w:lang w:val="en-CA"/>
        </w:rPr>
      </w:pPr>
      <w:r>
        <w:rPr>
          <w:lang w:val="en-CA"/>
        </w:rPr>
        <w:t xml:space="preserve">Ms. </w:t>
      </w:r>
      <w:r w:rsidR="00A00453" w:rsidRPr="009A7DB9">
        <w:rPr>
          <w:lang w:val="en-CA"/>
        </w:rPr>
        <w:t xml:space="preserve">Spearson-Goulet </w:t>
      </w:r>
      <w:r>
        <w:rPr>
          <w:lang w:val="en-CA"/>
        </w:rPr>
        <w:t xml:space="preserve">explained to the judge that </w:t>
      </w:r>
      <w:r w:rsidR="006F0809">
        <w:rPr>
          <w:lang w:val="en-CA"/>
        </w:rPr>
        <w:t>s</w:t>
      </w:r>
      <w:r>
        <w:rPr>
          <w:lang w:val="en-CA"/>
        </w:rPr>
        <w:t xml:space="preserve">he gave the appellant three </w:t>
      </w:r>
      <w:r w:rsidRPr="00497A50">
        <w:rPr>
          <w:lang w:val="en-CA"/>
        </w:rPr>
        <w:t>[</w:t>
      </w:r>
      <w:r w:rsidR="00B715DF" w:rsidRPr="00B715DF">
        <w:rPr>
          <w:smallCaps/>
          <w:lang w:val="en-CA"/>
        </w:rPr>
        <w:t>translation</w:t>
      </w:r>
      <w:r w:rsidRPr="00497A50">
        <w:rPr>
          <w:lang w:val="en-CA"/>
        </w:rPr>
        <w:t>]</w:t>
      </w:r>
      <w:r>
        <w:rPr>
          <w:lang w:val="en-CA"/>
        </w:rPr>
        <w:t xml:space="preserve"> “choices”: she could report the crime to </w:t>
      </w:r>
      <w:r w:rsidR="00120030">
        <w:rPr>
          <w:lang w:val="en-CA"/>
        </w:rPr>
        <w:t>the Director of Youth Protection (</w:t>
      </w:r>
      <w:r w:rsidR="005079EC">
        <w:rPr>
          <w:lang w:val="en-CA"/>
        </w:rPr>
        <w:t>“</w:t>
      </w:r>
      <w:r w:rsidR="00120030">
        <w:rPr>
          <w:lang w:val="en-CA"/>
        </w:rPr>
        <w:t>DYP</w:t>
      </w:r>
      <w:r w:rsidR="005079EC">
        <w:rPr>
          <w:lang w:val="en-CA"/>
        </w:rPr>
        <w:t>”</w:t>
      </w:r>
      <w:r w:rsidR="00120030">
        <w:rPr>
          <w:lang w:val="en-CA"/>
        </w:rPr>
        <w:t>)</w:t>
      </w:r>
      <w:r>
        <w:rPr>
          <w:lang w:val="en-CA"/>
        </w:rPr>
        <w:t xml:space="preserve">, he could do so on his own, or they could do so </w:t>
      </w:r>
      <w:r w:rsidRPr="00497A50">
        <w:rPr>
          <w:lang w:val="en-CA"/>
        </w:rPr>
        <w:t>[</w:t>
      </w:r>
      <w:r w:rsidR="00B715DF" w:rsidRPr="00B715DF">
        <w:rPr>
          <w:smallCaps/>
          <w:lang w:val="en-CA"/>
        </w:rPr>
        <w:t>translation</w:t>
      </w:r>
      <w:r w:rsidRPr="00497A50">
        <w:rPr>
          <w:lang w:val="en-CA"/>
        </w:rPr>
        <w:t>]</w:t>
      </w:r>
      <w:r>
        <w:rPr>
          <w:lang w:val="en-CA"/>
        </w:rPr>
        <w:t xml:space="preserve"> “together”</w:t>
      </w:r>
      <w:r w:rsidR="00E35EBA">
        <w:rPr>
          <w:lang w:val="en-CA"/>
        </w:rPr>
        <w:t>.</w:t>
      </w:r>
      <w:r>
        <w:rPr>
          <w:lang w:val="en-CA"/>
        </w:rPr>
        <w:t xml:space="preserve"> She</w:t>
      </w:r>
      <w:r w:rsidR="00E841C8">
        <w:rPr>
          <w:lang w:val="en-CA"/>
        </w:rPr>
        <w:t> </w:t>
      </w:r>
      <w:r>
        <w:rPr>
          <w:lang w:val="en-CA"/>
        </w:rPr>
        <w:t xml:space="preserve">does not recall much </w:t>
      </w:r>
      <w:r w:rsidR="006F0809">
        <w:rPr>
          <w:lang w:val="en-CA"/>
        </w:rPr>
        <w:t>from</w:t>
      </w:r>
      <w:r>
        <w:rPr>
          <w:lang w:val="en-CA"/>
        </w:rPr>
        <w:t xml:space="preserve"> </w:t>
      </w:r>
      <w:r w:rsidR="00E2656F">
        <w:rPr>
          <w:lang w:val="en-CA"/>
        </w:rPr>
        <w:t>her</w:t>
      </w:r>
      <w:r>
        <w:rPr>
          <w:lang w:val="en-CA"/>
        </w:rPr>
        <w:t xml:space="preserve"> discussions with the appellant at </w:t>
      </w:r>
      <w:r w:rsidR="000B3BFD">
        <w:rPr>
          <w:lang w:val="en-CA"/>
        </w:rPr>
        <w:t xml:space="preserve">the </w:t>
      </w:r>
      <w:r>
        <w:rPr>
          <w:lang w:val="en-CA"/>
        </w:rPr>
        <w:t>time. She</w:t>
      </w:r>
      <w:r w:rsidR="00E841C8">
        <w:rPr>
          <w:lang w:val="en-CA"/>
        </w:rPr>
        <w:t> </w:t>
      </w:r>
      <w:r>
        <w:rPr>
          <w:lang w:val="en-CA"/>
        </w:rPr>
        <w:t xml:space="preserve">believed she had a </w:t>
      </w:r>
      <w:r w:rsidR="000B3BFD">
        <w:rPr>
          <w:lang w:val="en-CA"/>
        </w:rPr>
        <w:t xml:space="preserve">legal </w:t>
      </w:r>
      <w:r>
        <w:rPr>
          <w:lang w:val="en-CA"/>
        </w:rPr>
        <w:t xml:space="preserve">obligation to report the matter to </w:t>
      </w:r>
      <w:r w:rsidR="00AA691F">
        <w:rPr>
          <w:lang w:val="en-CA"/>
        </w:rPr>
        <w:t>the DYP</w:t>
      </w:r>
      <w:r>
        <w:rPr>
          <w:lang w:val="en-CA"/>
        </w:rPr>
        <w:t>.</w:t>
      </w:r>
      <w:r w:rsidR="00A00453" w:rsidRPr="009A7DB9">
        <w:rPr>
          <w:lang w:val="en-CA"/>
        </w:rPr>
        <w:t xml:space="preserve">  </w:t>
      </w:r>
    </w:p>
    <w:p w14:paraId="454E4E48" w14:textId="4520536C" w:rsidR="00A00453" w:rsidRPr="009A7DB9" w:rsidRDefault="00BA1873" w:rsidP="00A00453">
      <w:pPr>
        <w:pStyle w:val="JgtParagraphe"/>
        <w:numPr>
          <w:ilvl w:val="0"/>
          <w:numId w:val="18"/>
        </w:numPr>
        <w:spacing w:line="280" w:lineRule="exact"/>
        <w:rPr>
          <w:lang w:val="en-CA"/>
        </w:rPr>
      </w:pPr>
      <w:r>
        <w:rPr>
          <w:lang w:val="en-CA"/>
        </w:rPr>
        <w:t xml:space="preserve">The appellant was amenable to notifying </w:t>
      </w:r>
      <w:r w:rsidR="0032557F">
        <w:rPr>
          <w:lang w:val="en-CA"/>
        </w:rPr>
        <w:t>the DYP</w:t>
      </w:r>
      <w:r w:rsidR="0026366C">
        <w:rPr>
          <w:lang w:val="en-CA"/>
        </w:rPr>
        <w:t>,</w:t>
      </w:r>
      <w:r>
        <w:rPr>
          <w:lang w:val="en-CA"/>
        </w:rPr>
        <w:t xml:space="preserve"> but says </w:t>
      </w:r>
      <w:r w:rsidR="00CA14DC">
        <w:rPr>
          <w:lang w:val="en-CA"/>
        </w:rPr>
        <w:t xml:space="preserve">that at the time the </w:t>
      </w:r>
      <w:r w:rsidR="00881586">
        <w:rPr>
          <w:lang w:val="en-CA"/>
        </w:rPr>
        <w:t xml:space="preserve">phone </w:t>
      </w:r>
      <w:r w:rsidR="00CA14DC">
        <w:rPr>
          <w:lang w:val="en-CA"/>
        </w:rPr>
        <w:t xml:space="preserve">call was </w:t>
      </w:r>
      <w:r w:rsidR="00881586">
        <w:rPr>
          <w:lang w:val="en-CA"/>
        </w:rPr>
        <w:t>made</w:t>
      </w:r>
      <w:r w:rsidR="00CA14DC">
        <w:rPr>
          <w:lang w:val="en-CA"/>
        </w:rPr>
        <w:t xml:space="preserve">, </w:t>
      </w:r>
      <w:r w:rsidR="006B4D70">
        <w:rPr>
          <w:lang w:val="en-CA"/>
        </w:rPr>
        <w:t xml:space="preserve">he was unaware </w:t>
      </w:r>
      <w:r>
        <w:rPr>
          <w:lang w:val="en-CA"/>
        </w:rPr>
        <w:t xml:space="preserve">his statements </w:t>
      </w:r>
      <w:r w:rsidR="0043027F">
        <w:rPr>
          <w:lang w:val="en-CA"/>
        </w:rPr>
        <w:t>w</w:t>
      </w:r>
      <w:r>
        <w:rPr>
          <w:lang w:val="en-CA"/>
        </w:rPr>
        <w:t xml:space="preserve">ould end up in the police’s hands because that </w:t>
      </w:r>
      <w:r w:rsidR="00486811">
        <w:rPr>
          <w:lang w:val="en-CA"/>
        </w:rPr>
        <w:t>question</w:t>
      </w:r>
      <w:r>
        <w:rPr>
          <w:lang w:val="en-CA"/>
        </w:rPr>
        <w:t xml:space="preserve"> had never been brought up, even in the conversation with Youth</w:t>
      </w:r>
      <w:r w:rsidR="001C1A63">
        <w:rPr>
          <w:lang w:val="en-CA"/>
        </w:rPr>
        <w:t xml:space="preserve"> </w:t>
      </w:r>
      <w:r>
        <w:rPr>
          <w:lang w:val="en-CA"/>
        </w:rPr>
        <w:t xml:space="preserve">Protection. After the </w:t>
      </w:r>
      <w:r w:rsidR="00C44A1D">
        <w:rPr>
          <w:lang w:val="en-CA"/>
        </w:rPr>
        <w:t xml:space="preserve">phone </w:t>
      </w:r>
      <w:r>
        <w:rPr>
          <w:lang w:val="en-CA"/>
        </w:rPr>
        <w:t xml:space="preserve">call, he learned </w:t>
      </w:r>
      <w:r w:rsidR="003F4128">
        <w:rPr>
          <w:lang w:val="en-CA"/>
        </w:rPr>
        <w:t>the DYP</w:t>
      </w:r>
      <w:r>
        <w:rPr>
          <w:lang w:val="en-CA"/>
        </w:rPr>
        <w:t xml:space="preserve"> would be notifying the police, but </w:t>
      </w:r>
      <w:r w:rsidR="0043027F">
        <w:rPr>
          <w:lang w:val="en-CA"/>
        </w:rPr>
        <w:t xml:space="preserve">he </w:t>
      </w:r>
      <w:r w:rsidR="009020DA">
        <w:rPr>
          <w:lang w:val="en-CA"/>
        </w:rPr>
        <w:t xml:space="preserve">says </w:t>
      </w:r>
      <w:r w:rsidR="007D19CA">
        <w:rPr>
          <w:lang w:val="en-CA"/>
        </w:rPr>
        <w:t xml:space="preserve">he </w:t>
      </w:r>
      <w:r>
        <w:rPr>
          <w:lang w:val="en-CA"/>
        </w:rPr>
        <w:t xml:space="preserve">thought </w:t>
      </w:r>
      <w:r w:rsidR="00533DDE">
        <w:rPr>
          <w:lang w:val="en-CA"/>
        </w:rPr>
        <w:t>this was</w:t>
      </w:r>
      <w:r>
        <w:rPr>
          <w:lang w:val="en-CA"/>
        </w:rPr>
        <w:t xml:space="preserve"> </w:t>
      </w:r>
      <w:r w:rsidR="006B4D70">
        <w:rPr>
          <w:lang w:val="en-CA"/>
        </w:rPr>
        <w:t>for the purpose of</w:t>
      </w:r>
      <w:r>
        <w:rPr>
          <w:lang w:val="en-CA"/>
        </w:rPr>
        <w:t xml:space="preserve"> </w:t>
      </w:r>
      <w:r w:rsidR="00EF3194">
        <w:rPr>
          <w:lang w:val="en-CA"/>
        </w:rPr>
        <w:t>provid</w:t>
      </w:r>
      <w:r w:rsidR="006B4D70">
        <w:rPr>
          <w:lang w:val="en-CA"/>
        </w:rPr>
        <w:t>ing</w:t>
      </w:r>
      <w:r w:rsidR="00EF3194">
        <w:rPr>
          <w:lang w:val="en-CA"/>
        </w:rPr>
        <w:t xml:space="preserve"> </w:t>
      </w:r>
      <w:r>
        <w:rPr>
          <w:lang w:val="en-CA"/>
        </w:rPr>
        <w:t>help to the victim</w:t>
      </w:r>
      <w:r w:rsidR="00A00453" w:rsidRPr="009A7DB9">
        <w:rPr>
          <w:lang w:val="en-CA"/>
        </w:rPr>
        <w:t>.</w:t>
      </w:r>
    </w:p>
    <w:p w14:paraId="681DFEB7" w14:textId="4FC230A9" w:rsidR="00A00453" w:rsidRPr="009A7DB9" w:rsidRDefault="00FF076D" w:rsidP="00A00453">
      <w:pPr>
        <w:pStyle w:val="JgtParagraphe"/>
        <w:numPr>
          <w:ilvl w:val="0"/>
          <w:numId w:val="18"/>
        </w:numPr>
        <w:spacing w:line="280" w:lineRule="exact"/>
        <w:rPr>
          <w:lang w:val="en-CA"/>
        </w:rPr>
      </w:pPr>
      <w:r>
        <w:rPr>
          <w:lang w:val="en-CA"/>
        </w:rPr>
        <w:t xml:space="preserve">Youth Protection </w:t>
      </w:r>
      <w:r w:rsidR="00ED37AB">
        <w:rPr>
          <w:lang w:val="en-CA"/>
        </w:rPr>
        <w:t>case</w:t>
      </w:r>
      <w:r>
        <w:rPr>
          <w:lang w:val="en-CA"/>
        </w:rPr>
        <w:t xml:space="preserve">worker </w:t>
      </w:r>
      <w:r w:rsidR="00A00453" w:rsidRPr="009A7DB9">
        <w:rPr>
          <w:lang w:val="en-CA"/>
        </w:rPr>
        <w:t>Gabriella</w:t>
      </w:r>
      <w:r w:rsidR="00B40034">
        <w:rPr>
          <w:lang w:val="en-CA"/>
        </w:rPr>
        <w:t> </w:t>
      </w:r>
      <w:r w:rsidR="00A00453" w:rsidRPr="009A7DB9">
        <w:rPr>
          <w:lang w:val="en-CA"/>
        </w:rPr>
        <w:t xml:space="preserve">Landry </w:t>
      </w:r>
      <w:r>
        <w:rPr>
          <w:lang w:val="en-CA"/>
        </w:rPr>
        <w:t>(“Ms.</w:t>
      </w:r>
      <w:r w:rsidR="00852EE1">
        <w:rPr>
          <w:lang w:val="en-CA"/>
        </w:rPr>
        <w:t> </w:t>
      </w:r>
      <w:r>
        <w:rPr>
          <w:lang w:val="en-CA"/>
        </w:rPr>
        <w:t>Landry”)</w:t>
      </w:r>
      <w:r w:rsidR="00BE4B65">
        <w:rPr>
          <w:lang w:val="en-CA"/>
        </w:rPr>
        <w:t xml:space="preserve"> </w:t>
      </w:r>
      <w:r w:rsidR="006B6BD4">
        <w:rPr>
          <w:lang w:val="en-CA"/>
        </w:rPr>
        <w:t>testified that she did indeed receive the report</w:t>
      </w:r>
      <w:r w:rsidR="00790F58">
        <w:rPr>
          <w:lang w:val="en-CA"/>
        </w:rPr>
        <w:t xml:space="preserve"> and that, </w:t>
      </w:r>
      <w:r w:rsidR="00196489">
        <w:rPr>
          <w:lang w:val="en-CA"/>
        </w:rPr>
        <w:t>in her</w:t>
      </w:r>
      <w:r w:rsidR="00831B0F">
        <w:rPr>
          <w:lang w:val="en-CA"/>
        </w:rPr>
        <w:t xml:space="preserve"> view, there </w:t>
      </w:r>
      <w:r w:rsidR="0058362F">
        <w:rPr>
          <w:lang w:val="en-CA"/>
        </w:rPr>
        <w:t>were no grounds</w:t>
      </w:r>
      <w:r w:rsidR="00831B0F">
        <w:rPr>
          <w:lang w:val="en-CA"/>
        </w:rPr>
        <w:t xml:space="preserve"> to believe </w:t>
      </w:r>
      <w:r w:rsidR="00116601">
        <w:rPr>
          <w:lang w:val="en-CA"/>
        </w:rPr>
        <w:t>t</w:t>
      </w:r>
      <w:r w:rsidR="00831B0F">
        <w:rPr>
          <w:lang w:val="en-CA"/>
        </w:rPr>
        <w:t xml:space="preserve">he child was </w:t>
      </w:r>
      <w:r w:rsidR="00E420B9">
        <w:rPr>
          <w:lang w:val="en-CA"/>
        </w:rPr>
        <w:t xml:space="preserve">now </w:t>
      </w:r>
      <w:r w:rsidR="00831B0F">
        <w:rPr>
          <w:lang w:val="en-CA"/>
        </w:rPr>
        <w:t>in danger. She</w:t>
      </w:r>
      <w:r w:rsidR="000772E8">
        <w:rPr>
          <w:lang w:val="en-CA"/>
        </w:rPr>
        <w:t> </w:t>
      </w:r>
      <w:r w:rsidR="005B49B0">
        <w:rPr>
          <w:lang w:val="en-CA"/>
        </w:rPr>
        <w:t xml:space="preserve">added </w:t>
      </w:r>
      <w:r w:rsidR="005A7328">
        <w:rPr>
          <w:lang w:val="en-CA"/>
        </w:rPr>
        <w:t>that</w:t>
      </w:r>
      <w:r w:rsidR="00B94321">
        <w:rPr>
          <w:lang w:val="en-CA"/>
        </w:rPr>
        <w:t>,</w:t>
      </w:r>
      <w:r w:rsidR="00084E9A">
        <w:rPr>
          <w:lang w:val="en-CA"/>
        </w:rPr>
        <w:t xml:space="preserve"> </w:t>
      </w:r>
      <w:r w:rsidR="005A7328">
        <w:rPr>
          <w:lang w:val="en-CA"/>
        </w:rPr>
        <w:t>whenever</w:t>
      </w:r>
      <w:r w:rsidR="00831B0F">
        <w:rPr>
          <w:lang w:val="en-CA"/>
        </w:rPr>
        <w:t xml:space="preserve"> </w:t>
      </w:r>
      <w:r w:rsidR="00BE4B65">
        <w:rPr>
          <w:lang w:val="en-CA"/>
        </w:rPr>
        <w:t xml:space="preserve">she receives a report of </w:t>
      </w:r>
      <w:r w:rsidR="00831B0F">
        <w:rPr>
          <w:lang w:val="en-CA"/>
        </w:rPr>
        <w:t>sexual abuse, she must make a report to the police.</w:t>
      </w:r>
    </w:p>
    <w:p w14:paraId="61C19529" w14:textId="405A0B8E" w:rsidR="00A00453" w:rsidRPr="009A7DB9" w:rsidRDefault="00831B0F" w:rsidP="00A00453">
      <w:pPr>
        <w:pStyle w:val="Paragraphe"/>
        <w:spacing w:line="280" w:lineRule="exact"/>
        <w:rPr>
          <w:lang w:val="en-CA"/>
        </w:rPr>
      </w:pPr>
      <w:r>
        <w:rPr>
          <w:lang w:val="en-CA"/>
        </w:rPr>
        <w:t xml:space="preserve">The appellant repeated that the police </w:t>
      </w:r>
      <w:r w:rsidR="00535C66">
        <w:rPr>
          <w:lang w:val="en-CA"/>
        </w:rPr>
        <w:t>were</w:t>
      </w:r>
      <w:r>
        <w:rPr>
          <w:lang w:val="en-CA"/>
        </w:rPr>
        <w:t xml:space="preserve"> never brought up during the call, that he was </w:t>
      </w:r>
      <w:r w:rsidR="003834CB">
        <w:rPr>
          <w:lang w:val="en-CA"/>
        </w:rPr>
        <w:t xml:space="preserve">never </w:t>
      </w:r>
      <w:r w:rsidR="003834CB" w:rsidRPr="00F8148D">
        <w:rPr>
          <w:lang w:val="en-CA"/>
        </w:rPr>
        <w:t>cautioned</w:t>
      </w:r>
      <w:r w:rsidRPr="00F8148D">
        <w:rPr>
          <w:lang w:val="en-CA"/>
        </w:rPr>
        <w:t>, and that</w:t>
      </w:r>
      <w:r>
        <w:rPr>
          <w:lang w:val="en-CA"/>
        </w:rPr>
        <w:t xml:space="preserve"> he would absolutely </w:t>
      </w:r>
      <w:r w:rsidR="0028559D">
        <w:rPr>
          <w:lang w:val="en-CA"/>
        </w:rPr>
        <w:t xml:space="preserve">have </w:t>
      </w:r>
      <w:r>
        <w:rPr>
          <w:lang w:val="en-CA"/>
        </w:rPr>
        <w:t xml:space="preserve">not said </w:t>
      </w:r>
      <w:r w:rsidR="00AF1DE0">
        <w:rPr>
          <w:lang w:val="en-CA"/>
        </w:rPr>
        <w:t>a</w:t>
      </w:r>
      <w:r w:rsidR="00FB3CA0">
        <w:rPr>
          <w:lang w:val="en-CA"/>
        </w:rPr>
        <w:t xml:space="preserve"> </w:t>
      </w:r>
      <w:r w:rsidR="00AF1DE0">
        <w:rPr>
          <w:lang w:val="en-CA"/>
        </w:rPr>
        <w:t xml:space="preserve">thing </w:t>
      </w:r>
      <w:r>
        <w:rPr>
          <w:lang w:val="en-CA"/>
        </w:rPr>
        <w:t xml:space="preserve">had </w:t>
      </w:r>
      <w:r w:rsidR="00535AC3">
        <w:rPr>
          <w:lang w:val="en-CA"/>
        </w:rPr>
        <w:t xml:space="preserve">he </w:t>
      </w:r>
      <w:r>
        <w:rPr>
          <w:lang w:val="en-CA"/>
        </w:rPr>
        <w:t xml:space="preserve">known the </w:t>
      </w:r>
      <w:r w:rsidR="00BD66EE">
        <w:rPr>
          <w:lang w:val="en-CA"/>
        </w:rPr>
        <w:t xml:space="preserve">disclosed </w:t>
      </w:r>
      <w:r>
        <w:rPr>
          <w:lang w:val="en-CA"/>
        </w:rPr>
        <w:t>information could be used to incriminate him.</w:t>
      </w:r>
    </w:p>
    <w:p w14:paraId="5A842833" w14:textId="5D555A15" w:rsidR="00A00453" w:rsidRPr="009A7DB9" w:rsidRDefault="00831B0F" w:rsidP="00A00453">
      <w:pPr>
        <w:pStyle w:val="JgtParagraphe"/>
        <w:numPr>
          <w:ilvl w:val="0"/>
          <w:numId w:val="18"/>
        </w:numPr>
        <w:spacing w:line="280" w:lineRule="exact"/>
        <w:rPr>
          <w:lang w:val="en-CA"/>
        </w:rPr>
      </w:pPr>
      <w:r>
        <w:rPr>
          <w:lang w:val="en-CA"/>
        </w:rPr>
        <w:t xml:space="preserve">The police received the report from </w:t>
      </w:r>
      <w:r w:rsidR="00054FB7">
        <w:rPr>
          <w:lang w:val="en-CA"/>
        </w:rPr>
        <w:t>the DYP</w:t>
      </w:r>
      <w:r>
        <w:rPr>
          <w:lang w:val="en-CA"/>
        </w:rPr>
        <w:t xml:space="preserve"> on June 21, 2017. </w:t>
      </w:r>
      <w:r w:rsidR="004C0501">
        <w:rPr>
          <w:lang w:val="en-CA"/>
        </w:rPr>
        <w:t>Nothing</w:t>
      </w:r>
      <w:r w:rsidR="007731F5">
        <w:rPr>
          <w:lang w:val="en-CA"/>
        </w:rPr>
        <w:t> </w:t>
      </w:r>
      <w:r w:rsidR="004C0501">
        <w:rPr>
          <w:lang w:val="en-CA"/>
        </w:rPr>
        <w:t>much happened</w:t>
      </w:r>
      <w:r>
        <w:rPr>
          <w:lang w:val="en-CA"/>
        </w:rPr>
        <w:t xml:space="preserve"> until March 2018, </w:t>
      </w:r>
      <w:r w:rsidR="004C0501">
        <w:rPr>
          <w:lang w:val="en-CA"/>
        </w:rPr>
        <w:t>when</w:t>
      </w:r>
      <w:r>
        <w:rPr>
          <w:lang w:val="en-CA"/>
        </w:rPr>
        <w:t xml:space="preserve"> the </w:t>
      </w:r>
      <w:r w:rsidR="009A3A3A">
        <w:rPr>
          <w:lang w:val="en-CA"/>
        </w:rPr>
        <w:t xml:space="preserve">detective </w:t>
      </w:r>
      <w:r>
        <w:rPr>
          <w:lang w:val="en-CA"/>
        </w:rPr>
        <w:t xml:space="preserve">took </w:t>
      </w:r>
      <w:r w:rsidR="004C0501">
        <w:rPr>
          <w:lang w:val="en-CA"/>
        </w:rPr>
        <w:t>the</w:t>
      </w:r>
      <w:r>
        <w:rPr>
          <w:lang w:val="en-CA"/>
        </w:rPr>
        <w:t xml:space="preserve"> first step of communicating with Ms.</w:t>
      </w:r>
      <w:r w:rsidR="00A00453" w:rsidRPr="009A7DB9">
        <w:rPr>
          <w:lang w:val="en-CA"/>
        </w:rPr>
        <w:t xml:space="preserve"> Spearson-Goulet </w:t>
      </w:r>
      <w:r>
        <w:rPr>
          <w:lang w:val="en-CA"/>
        </w:rPr>
        <w:t xml:space="preserve">directly to obtain </w:t>
      </w:r>
      <w:r w:rsidR="00F112AB">
        <w:rPr>
          <w:lang w:val="en-CA"/>
        </w:rPr>
        <w:t>her note</w:t>
      </w:r>
      <w:r w:rsidR="001F1EC4">
        <w:rPr>
          <w:lang w:val="en-CA"/>
        </w:rPr>
        <w:t>s</w:t>
      </w:r>
      <w:r w:rsidR="00F112AB">
        <w:rPr>
          <w:lang w:val="en-CA"/>
        </w:rPr>
        <w:t xml:space="preserve"> from her </w:t>
      </w:r>
      <w:r w:rsidR="00F112AB" w:rsidRPr="00D434DE">
        <w:rPr>
          <w:lang w:val="en-CA"/>
        </w:rPr>
        <w:t>interview</w:t>
      </w:r>
      <w:r w:rsidR="00F112AB">
        <w:rPr>
          <w:lang w:val="en-CA"/>
        </w:rPr>
        <w:t xml:space="preserve"> with the appellant</w:t>
      </w:r>
      <w:r w:rsidR="00A00453" w:rsidRPr="009A7DB9">
        <w:rPr>
          <w:lang w:val="en-CA"/>
        </w:rPr>
        <w:t xml:space="preserve">. </w:t>
      </w:r>
      <w:r w:rsidR="00F112AB">
        <w:rPr>
          <w:lang w:val="en-CA"/>
        </w:rPr>
        <w:t xml:space="preserve">She obtained the appellant’s authorization to </w:t>
      </w:r>
      <w:r w:rsidR="001E5E97">
        <w:rPr>
          <w:lang w:val="en-CA"/>
        </w:rPr>
        <w:t>give the police the</w:t>
      </w:r>
      <w:r w:rsidR="004C0501">
        <w:rPr>
          <w:lang w:val="en-CA"/>
        </w:rPr>
        <w:t xml:space="preserve"> </w:t>
      </w:r>
      <w:r w:rsidR="00F21CE5">
        <w:rPr>
          <w:lang w:val="en-CA"/>
        </w:rPr>
        <w:t>notes containing his admissions</w:t>
      </w:r>
      <w:r w:rsidR="00F112AB">
        <w:rPr>
          <w:lang w:val="en-CA"/>
        </w:rPr>
        <w:t xml:space="preserve">. The </w:t>
      </w:r>
      <w:r w:rsidR="001F1EC4">
        <w:rPr>
          <w:lang w:val="en-CA"/>
        </w:rPr>
        <w:t xml:space="preserve">authorization </w:t>
      </w:r>
      <w:r w:rsidR="00F112AB">
        <w:rPr>
          <w:lang w:val="en-CA"/>
        </w:rPr>
        <w:t>document, signed on March 20,</w:t>
      </w:r>
      <w:r w:rsidR="00F21CE5">
        <w:rPr>
          <w:lang w:val="en-CA"/>
        </w:rPr>
        <w:t> </w:t>
      </w:r>
      <w:r w:rsidR="00F112AB">
        <w:rPr>
          <w:lang w:val="en-CA"/>
        </w:rPr>
        <w:t xml:space="preserve">2018, is a rather generic institutional form authorizing the institution to send the </w:t>
      </w:r>
      <w:r w:rsidR="00A00453" w:rsidRPr="009A7DB9">
        <w:rPr>
          <w:lang w:val="en-CA"/>
        </w:rPr>
        <w:t xml:space="preserve">Sûreté du Québec </w:t>
      </w:r>
      <w:r w:rsidR="00F112AB">
        <w:rPr>
          <w:lang w:val="en-CA"/>
        </w:rPr>
        <w:t xml:space="preserve">the </w:t>
      </w:r>
      <w:r w:rsidR="00F52C70" w:rsidRPr="00F52C70">
        <w:rPr>
          <w:lang w:val="en-CA"/>
        </w:rPr>
        <w:t>[</w:t>
      </w:r>
      <w:r w:rsidR="00F52C70" w:rsidRPr="00F52C70">
        <w:rPr>
          <w:smallCaps/>
          <w:lang w:val="en-CA"/>
        </w:rPr>
        <w:t>translation</w:t>
      </w:r>
      <w:r w:rsidR="00F52C70" w:rsidRPr="00F52C70">
        <w:rPr>
          <w:lang w:val="en-CA"/>
        </w:rPr>
        <w:t>]</w:t>
      </w:r>
      <w:r w:rsidR="00F52C70">
        <w:rPr>
          <w:lang w:val="en-CA"/>
        </w:rPr>
        <w:t xml:space="preserve"> </w:t>
      </w:r>
      <w:r w:rsidR="00F112AB">
        <w:rPr>
          <w:lang w:val="en-CA"/>
        </w:rPr>
        <w:t>“May 23, 2017</w:t>
      </w:r>
      <w:r w:rsidR="00E1040A">
        <w:rPr>
          <w:lang w:val="en-CA"/>
        </w:rPr>
        <w:t>,</w:t>
      </w:r>
      <w:r w:rsidR="00F112AB">
        <w:rPr>
          <w:lang w:val="en-CA"/>
        </w:rPr>
        <w:t xml:space="preserve"> psychological progress note</w:t>
      </w:r>
      <w:r w:rsidR="001F1EC4">
        <w:rPr>
          <w:lang w:val="en-CA"/>
        </w:rPr>
        <w:t>s</w:t>
      </w:r>
      <w:r w:rsidR="00F112AB">
        <w:rPr>
          <w:lang w:val="en-CA"/>
        </w:rPr>
        <w:t>”</w:t>
      </w:r>
      <w:r w:rsidR="009B6B40">
        <w:rPr>
          <w:lang w:val="en-CA"/>
        </w:rPr>
        <w:t>.</w:t>
      </w:r>
    </w:p>
    <w:p w14:paraId="1B07125C" w14:textId="73AF6890" w:rsidR="00A00453" w:rsidRPr="009A7DB9" w:rsidRDefault="0048656B" w:rsidP="00A00453">
      <w:pPr>
        <w:pStyle w:val="Paragraphe"/>
        <w:spacing w:line="280" w:lineRule="exact"/>
        <w:rPr>
          <w:lang w:val="en-CA"/>
        </w:rPr>
      </w:pPr>
      <w:r>
        <w:rPr>
          <w:lang w:val="en-CA"/>
        </w:rPr>
        <w:lastRenderedPageBreak/>
        <w:t xml:space="preserve">Ms. </w:t>
      </w:r>
      <w:r w:rsidR="00A00453" w:rsidRPr="009A7DB9">
        <w:rPr>
          <w:lang w:val="en-CA"/>
        </w:rPr>
        <w:t xml:space="preserve">Spearson-Goulet </w:t>
      </w:r>
      <w:r>
        <w:rPr>
          <w:lang w:val="en-CA"/>
        </w:rPr>
        <w:t>recalls little of her</w:t>
      </w:r>
      <w:r w:rsidR="00A00453" w:rsidRPr="009A7DB9">
        <w:rPr>
          <w:lang w:val="en-CA"/>
        </w:rPr>
        <w:t xml:space="preserve"> discussion </w:t>
      </w:r>
      <w:r>
        <w:rPr>
          <w:lang w:val="en-CA"/>
        </w:rPr>
        <w:t xml:space="preserve">with the appellant </w:t>
      </w:r>
      <w:r w:rsidR="00A925FD">
        <w:rPr>
          <w:lang w:val="en-CA"/>
        </w:rPr>
        <w:t>in which</w:t>
      </w:r>
      <w:r>
        <w:rPr>
          <w:lang w:val="en-CA"/>
        </w:rPr>
        <w:t xml:space="preserve"> she followed up on the </w:t>
      </w:r>
      <w:r w:rsidR="009A3A3A">
        <w:rPr>
          <w:lang w:val="en-CA"/>
        </w:rPr>
        <w:t xml:space="preserve">detective’s </w:t>
      </w:r>
      <w:r>
        <w:rPr>
          <w:lang w:val="en-CA"/>
        </w:rPr>
        <w:t xml:space="preserve">request. She says she received the appellant’s consent after explaining the </w:t>
      </w:r>
      <w:r w:rsidR="00E61997">
        <w:rPr>
          <w:lang w:val="en-CA"/>
        </w:rPr>
        <w:t xml:space="preserve">request by the </w:t>
      </w:r>
      <w:r w:rsidR="00E61997" w:rsidRPr="009B6B40">
        <w:rPr>
          <w:lang w:val="en-CA"/>
        </w:rPr>
        <w:t>“</w:t>
      </w:r>
      <w:r w:rsidR="004D64AF" w:rsidRPr="009B6B40">
        <w:rPr>
          <w:lang w:val="en-CA"/>
        </w:rPr>
        <w:t>detecti</w:t>
      </w:r>
      <w:r w:rsidR="009A3A3A" w:rsidRPr="009B6B40">
        <w:rPr>
          <w:lang w:val="en-CA"/>
        </w:rPr>
        <w:t>v</w:t>
      </w:r>
      <w:r w:rsidR="004D64AF" w:rsidRPr="009B6B40">
        <w:rPr>
          <w:lang w:val="en-CA"/>
        </w:rPr>
        <w:t>es</w:t>
      </w:r>
      <w:r w:rsidR="00E61997" w:rsidRPr="009B6B40">
        <w:rPr>
          <w:lang w:val="en-CA"/>
        </w:rPr>
        <w:t xml:space="preserve">” </w:t>
      </w:r>
      <w:r w:rsidR="00A925FD" w:rsidRPr="009B6B40">
        <w:rPr>
          <w:lang w:val="en-CA"/>
        </w:rPr>
        <w:t xml:space="preserve">that </w:t>
      </w:r>
      <w:r w:rsidR="008B023C" w:rsidRPr="009B6B40">
        <w:rPr>
          <w:szCs w:val="24"/>
          <w:lang w:val="en-CA"/>
        </w:rPr>
        <w:t>[</w:t>
      </w:r>
      <w:r w:rsidR="00497A50" w:rsidRPr="009B6B40">
        <w:rPr>
          <w:smallCaps/>
          <w:szCs w:val="24"/>
          <w:lang w:val="en-CA"/>
        </w:rPr>
        <w:t>translation</w:t>
      </w:r>
      <w:r w:rsidR="008B023C" w:rsidRPr="009F6350">
        <w:rPr>
          <w:szCs w:val="24"/>
          <w:lang w:val="en-CA"/>
        </w:rPr>
        <w:t>]</w:t>
      </w:r>
      <w:r w:rsidR="008B023C">
        <w:rPr>
          <w:lang w:val="en-CA"/>
        </w:rPr>
        <w:t xml:space="preserve"> </w:t>
      </w:r>
      <w:r w:rsidR="00A925FD">
        <w:rPr>
          <w:lang w:val="en-CA"/>
        </w:rPr>
        <w:t>“</w:t>
      </w:r>
      <w:r w:rsidR="00F5206A">
        <w:rPr>
          <w:lang w:val="en-CA"/>
        </w:rPr>
        <w:t>we could send</w:t>
      </w:r>
      <w:r w:rsidR="008F64A6">
        <w:rPr>
          <w:lang w:val="en-CA"/>
        </w:rPr>
        <w:t xml:space="preserve"> </w:t>
      </w:r>
      <w:r w:rsidR="00A925FD">
        <w:rPr>
          <w:lang w:val="en-CA"/>
        </w:rPr>
        <w:t xml:space="preserve">the note </w:t>
      </w:r>
      <w:r w:rsidR="00F5206A">
        <w:rPr>
          <w:lang w:val="en-CA"/>
        </w:rPr>
        <w:t xml:space="preserve">confirming </w:t>
      </w:r>
      <w:r w:rsidR="00A925FD">
        <w:rPr>
          <w:lang w:val="en-CA"/>
        </w:rPr>
        <w:t xml:space="preserve">the information which together </w:t>
      </w:r>
      <w:r w:rsidR="00F5206A">
        <w:rPr>
          <w:lang w:val="en-CA"/>
        </w:rPr>
        <w:t xml:space="preserve">we </w:t>
      </w:r>
      <w:r w:rsidR="00A925FD">
        <w:rPr>
          <w:lang w:val="en-CA"/>
        </w:rPr>
        <w:t xml:space="preserve">had </w:t>
      </w:r>
      <w:r w:rsidR="00DC153C">
        <w:rPr>
          <w:lang w:val="en-CA"/>
        </w:rPr>
        <w:t xml:space="preserve">given </w:t>
      </w:r>
      <w:r w:rsidR="00A925FD">
        <w:rPr>
          <w:lang w:val="en-CA"/>
        </w:rPr>
        <w:t xml:space="preserve">to </w:t>
      </w:r>
      <w:r w:rsidR="00E52D98">
        <w:rPr>
          <w:lang w:val="en-CA"/>
        </w:rPr>
        <w:t>Youth Protection</w:t>
      </w:r>
      <w:r w:rsidR="00A925FD">
        <w:rPr>
          <w:lang w:val="en-CA"/>
        </w:rPr>
        <w:t>.”</w:t>
      </w:r>
      <w:r w:rsidR="00A00453" w:rsidRPr="009A7DB9">
        <w:rPr>
          <w:lang w:val="en-CA"/>
        </w:rPr>
        <w:t xml:space="preserve"> </w:t>
      </w:r>
      <w:r w:rsidR="00A925FD">
        <w:rPr>
          <w:lang w:val="en-CA"/>
        </w:rPr>
        <w:t>She</w:t>
      </w:r>
      <w:r w:rsidR="00E52D98">
        <w:rPr>
          <w:lang w:val="en-CA"/>
        </w:rPr>
        <w:t> </w:t>
      </w:r>
      <w:r w:rsidR="00A925FD">
        <w:rPr>
          <w:lang w:val="en-CA"/>
        </w:rPr>
        <w:t>testified</w:t>
      </w:r>
      <w:r w:rsidR="00A00453" w:rsidRPr="009A7DB9">
        <w:rPr>
          <w:lang w:val="en-CA"/>
        </w:rPr>
        <w:t>:</w:t>
      </w:r>
    </w:p>
    <w:p w14:paraId="44BBEAFD" w14:textId="63FB8EA8" w:rsidR="00BE2B8F" w:rsidRPr="006935B9" w:rsidRDefault="006935B9" w:rsidP="00A00453">
      <w:pPr>
        <w:pStyle w:val="JgtCitation"/>
        <w:spacing w:line="280" w:lineRule="exact"/>
        <w:rPr>
          <w:szCs w:val="22"/>
          <w:lang w:val="en-CA"/>
        </w:rPr>
      </w:pPr>
      <w:r w:rsidRPr="006935B9">
        <w:rPr>
          <w:szCs w:val="22"/>
          <w:lang w:val="en-CA"/>
        </w:rPr>
        <w:t>[</w:t>
      </w:r>
      <w:r w:rsidRPr="006935B9">
        <w:rPr>
          <w:smallCaps/>
          <w:szCs w:val="22"/>
          <w:lang w:val="en-CA"/>
        </w:rPr>
        <w:t>translation</w:t>
      </w:r>
      <w:r w:rsidRPr="006935B9">
        <w:rPr>
          <w:szCs w:val="22"/>
          <w:lang w:val="en-CA"/>
        </w:rPr>
        <w:t>]</w:t>
      </w:r>
    </w:p>
    <w:p w14:paraId="79580120" w14:textId="555D0F16" w:rsidR="00A00453" w:rsidRPr="009A7DB9" w:rsidRDefault="00BE2B8F" w:rsidP="00A00453">
      <w:pPr>
        <w:pStyle w:val="JgtCitation"/>
        <w:spacing w:line="280" w:lineRule="exact"/>
        <w:rPr>
          <w:lang w:val="en-CA"/>
        </w:rPr>
      </w:pPr>
      <w:r>
        <w:rPr>
          <w:lang w:val="en-CA"/>
        </w:rPr>
        <w:t>We</w:t>
      </w:r>
      <w:r w:rsidR="00232B8D">
        <w:rPr>
          <w:rFonts w:cs="Arial"/>
          <w:lang w:val="en-CA"/>
        </w:rPr>
        <w:t>—</w:t>
      </w:r>
      <w:r w:rsidR="00232B8D">
        <w:rPr>
          <w:lang w:val="en-CA"/>
        </w:rPr>
        <w:t>w</w:t>
      </w:r>
      <w:r w:rsidR="004643A4">
        <w:rPr>
          <w:lang w:val="en-CA"/>
        </w:rPr>
        <w:t xml:space="preserve">ell, we notified </w:t>
      </w:r>
      <w:r>
        <w:rPr>
          <w:lang w:val="en-CA"/>
        </w:rPr>
        <w:t xml:space="preserve">Mr. Chatillon that the </w:t>
      </w:r>
      <w:r w:rsidR="009A3A3A" w:rsidRPr="009B6B40">
        <w:rPr>
          <w:lang w:val="en-CA"/>
        </w:rPr>
        <w:t>detectives</w:t>
      </w:r>
      <w:r w:rsidR="009A3A3A">
        <w:rPr>
          <w:lang w:val="en-CA"/>
        </w:rPr>
        <w:t xml:space="preserve"> </w:t>
      </w:r>
      <w:r w:rsidR="005B37BF">
        <w:rPr>
          <w:lang w:val="en-CA"/>
        </w:rPr>
        <w:t>had contacted us about their request</w:t>
      </w:r>
      <w:r>
        <w:rPr>
          <w:lang w:val="en-CA"/>
        </w:rPr>
        <w:t xml:space="preserve">. We explained to him that we had complied with professional secrecy and had not disclosed that this matter involved a patient, but that we had asked for authorization in the event that it </w:t>
      </w:r>
      <w:r w:rsidRPr="009B6B40">
        <w:rPr>
          <w:lang w:val="en-CA"/>
        </w:rPr>
        <w:t xml:space="preserve">was a patient… this involved some </w:t>
      </w:r>
      <w:r w:rsidR="005B37BF" w:rsidRPr="0001344E">
        <w:rPr>
          <w:lang w:val="en-CA"/>
        </w:rPr>
        <w:t>hypotheticals</w:t>
      </w:r>
      <w:r w:rsidR="00394925" w:rsidRPr="0001344E">
        <w:rPr>
          <w:lang w:val="en-CA"/>
        </w:rPr>
        <w:t>,</w:t>
      </w:r>
      <w:r>
        <w:rPr>
          <w:lang w:val="en-CA"/>
        </w:rPr>
        <w:t xml:space="preserve"> but it’s how we managed to avoid difficulties</w:t>
      </w:r>
      <w:r w:rsidR="00A00453" w:rsidRPr="009A7DB9">
        <w:rPr>
          <w:lang w:val="en-CA"/>
        </w:rPr>
        <w:t xml:space="preserve">. </w:t>
      </w:r>
      <w:r>
        <w:rPr>
          <w:lang w:val="en-CA"/>
        </w:rPr>
        <w:t xml:space="preserve">We explained to him that we could send the note confirming the information we had together </w:t>
      </w:r>
      <w:r w:rsidR="007D3125">
        <w:rPr>
          <w:lang w:val="en-CA"/>
        </w:rPr>
        <w:t>given to</w:t>
      </w:r>
      <w:r>
        <w:rPr>
          <w:lang w:val="en-CA"/>
        </w:rPr>
        <w:t xml:space="preserve"> Youth Protection</w:t>
      </w:r>
      <w:r w:rsidR="00A00453" w:rsidRPr="009A7DB9">
        <w:rPr>
          <w:lang w:val="en-CA"/>
        </w:rPr>
        <w:t xml:space="preserve">. </w:t>
      </w:r>
      <w:r>
        <w:rPr>
          <w:lang w:val="en-CA"/>
        </w:rPr>
        <w:t xml:space="preserve">We asked him if he </w:t>
      </w:r>
      <w:r w:rsidR="007D3125">
        <w:rPr>
          <w:lang w:val="en-CA"/>
        </w:rPr>
        <w:t xml:space="preserve">would be OK </w:t>
      </w:r>
      <w:r w:rsidR="00FB1129">
        <w:rPr>
          <w:lang w:val="en-CA"/>
        </w:rPr>
        <w:t>with signing</w:t>
      </w:r>
      <w:r>
        <w:rPr>
          <w:lang w:val="en-CA"/>
        </w:rPr>
        <w:t xml:space="preserve"> an authorization</w:t>
      </w:r>
      <w:r w:rsidR="00F95F43">
        <w:rPr>
          <w:lang w:val="en-CA"/>
        </w:rPr>
        <w:t xml:space="preserve"> </w:t>
      </w:r>
      <w:r w:rsidR="0054526F">
        <w:rPr>
          <w:lang w:val="en-CA"/>
        </w:rPr>
        <w:t>for this</w:t>
      </w:r>
      <w:r w:rsidR="00EB624F">
        <w:rPr>
          <w:lang w:val="en-CA"/>
        </w:rPr>
        <w:t xml:space="preserve"> purpose</w:t>
      </w:r>
      <w:r w:rsidR="00EA34DA">
        <w:rPr>
          <w:lang w:val="en-CA"/>
        </w:rPr>
        <w:t>,</w:t>
      </w:r>
      <w:r>
        <w:rPr>
          <w:lang w:val="en-CA"/>
        </w:rPr>
        <w:t xml:space="preserve"> and </w:t>
      </w:r>
      <w:r w:rsidR="00010DD6">
        <w:rPr>
          <w:lang w:val="en-CA"/>
        </w:rPr>
        <w:t xml:space="preserve">he </w:t>
      </w:r>
      <w:r>
        <w:rPr>
          <w:lang w:val="en-CA"/>
        </w:rPr>
        <w:t>sign</w:t>
      </w:r>
      <w:r w:rsidR="007D3125">
        <w:rPr>
          <w:lang w:val="en-CA"/>
        </w:rPr>
        <w:t>ed</w:t>
      </w:r>
      <w:r>
        <w:rPr>
          <w:lang w:val="en-CA"/>
        </w:rPr>
        <w:t xml:space="preserve"> one</w:t>
      </w:r>
      <w:r w:rsidR="00A00453" w:rsidRPr="009A7DB9">
        <w:rPr>
          <w:lang w:val="en-CA"/>
        </w:rPr>
        <w:t>.</w:t>
      </w:r>
      <w:r>
        <w:rPr>
          <w:lang w:val="en-CA"/>
        </w:rPr>
        <w:t xml:space="preserve"> </w:t>
      </w:r>
      <w:r w:rsidR="007D3125">
        <w:rPr>
          <w:lang w:val="en-CA"/>
        </w:rPr>
        <w:t>After that,</w:t>
      </w:r>
      <w:r>
        <w:rPr>
          <w:lang w:val="en-CA"/>
        </w:rPr>
        <w:t xml:space="preserve"> </w:t>
      </w:r>
      <w:r w:rsidR="002C113E">
        <w:rPr>
          <w:lang w:val="en-CA"/>
        </w:rPr>
        <w:t>from what I remember,</w:t>
      </w:r>
      <w:r>
        <w:rPr>
          <w:lang w:val="en-CA"/>
        </w:rPr>
        <w:t xml:space="preserve"> we </w:t>
      </w:r>
      <w:r w:rsidR="0079334E">
        <w:rPr>
          <w:lang w:val="en-CA"/>
        </w:rPr>
        <w:t>showed him the note that would be sent along so he would know, but… that’s it. I</w:t>
      </w:r>
      <w:r w:rsidR="00010DD6">
        <w:rPr>
          <w:lang w:val="en-CA"/>
        </w:rPr>
        <w:t> </w:t>
      </w:r>
      <w:r w:rsidR="0079334E">
        <w:rPr>
          <w:lang w:val="en-CA"/>
        </w:rPr>
        <w:t xml:space="preserve">must admit </w:t>
      </w:r>
      <w:r w:rsidR="00A27CDC">
        <w:rPr>
          <w:lang w:val="en-CA"/>
        </w:rPr>
        <w:t xml:space="preserve">that </w:t>
      </w:r>
      <w:r w:rsidR="0079334E">
        <w:rPr>
          <w:lang w:val="en-CA"/>
        </w:rPr>
        <w:t xml:space="preserve">this is </w:t>
      </w:r>
      <w:r w:rsidR="002F18F4">
        <w:rPr>
          <w:lang w:val="en-CA"/>
        </w:rPr>
        <w:t>far back</w:t>
      </w:r>
      <w:r w:rsidR="0079334E">
        <w:rPr>
          <w:lang w:val="en-CA"/>
        </w:rPr>
        <w:t>.</w:t>
      </w:r>
    </w:p>
    <w:p w14:paraId="4030212F" w14:textId="3573F287" w:rsidR="00A00453" w:rsidRPr="009A7DB9" w:rsidRDefault="00A00453" w:rsidP="00A00453">
      <w:pPr>
        <w:pStyle w:val="Paragraphe"/>
        <w:spacing w:line="280" w:lineRule="exact"/>
        <w:rPr>
          <w:lang w:val="en-CA"/>
        </w:rPr>
      </w:pPr>
      <w:r w:rsidRPr="009A7DB9">
        <w:rPr>
          <w:lang w:val="en-CA"/>
        </w:rPr>
        <w:t xml:space="preserve"> </w:t>
      </w:r>
      <w:r w:rsidR="0001344E">
        <w:rPr>
          <w:lang w:val="en-CA"/>
        </w:rPr>
        <w:t xml:space="preserve">On the other hand, according to the </w:t>
      </w:r>
      <w:r w:rsidR="00F95F43">
        <w:rPr>
          <w:lang w:val="en-CA"/>
        </w:rPr>
        <w:t>appellant</w:t>
      </w:r>
      <w:r w:rsidR="0001344E">
        <w:rPr>
          <w:lang w:val="en-CA"/>
        </w:rPr>
        <w:t>’s recollection</w:t>
      </w:r>
      <w:r w:rsidR="00986BED">
        <w:rPr>
          <w:lang w:val="en-CA"/>
        </w:rPr>
        <w:t xml:space="preserve">, </w:t>
      </w:r>
      <w:r w:rsidR="00F95F43">
        <w:rPr>
          <w:lang w:val="en-CA"/>
        </w:rPr>
        <w:t>Ms. </w:t>
      </w:r>
      <w:r w:rsidRPr="009A7DB9">
        <w:rPr>
          <w:lang w:val="en-CA"/>
        </w:rPr>
        <w:t xml:space="preserve">Spearson-Goulet </w:t>
      </w:r>
      <w:r w:rsidR="00F95F43">
        <w:rPr>
          <w:lang w:val="en-CA"/>
        </w:rPr>
        <w:t xml:space="preserve">asked him to sign </w:t>
      </w:r>
      <w:r w:rsidR="00A61C43">
        <w:rPr>
          <w:lang w:val="en-CA"/>
        </w:rPr>
        <w:t>to</w:t>
      </w:r>
      <w:r w:rsidR="00F95F43">
        <w:rPr>
          <w:lang w:val="en-CA"/>
        </w:rPr>
        <w:t xml:space="preserve"> confir</w:t>
      </w:r>
      <w:r w:rsidR="00A61C43">
        <w:rPr>
          <w:lang w:val="en-CA"/>
        </w:rPr>
        <w:t>m</w:t>
      </w:r>
      <w:r w:rsidR="00F95F43">
        <w:rPr>
          <w:lang w:val="en-CA"/>
        </w:rPr>
        <w:t xml:space="preserve"> he was the one who had made the declaration to </w:t>
      </w:r>
      <w:r w:rsidR="006B3876">
        <w:rPr>
          <w:lang w:val="en-CA"/>
        </w:rPr>
        <w:t>the DYP</w:t>
      </w:r>
      <w:r w:rsidR="00F95F43">
        <w:rPr>
          <w:lang w:val="en-CA"/>
        </w:rPr>
        <w:t xml:space="preserve">. He was not </w:t>
      </w:r>
      <w:r w:rsidR="00F95F43" w:rsidRPr="0001344E">
        <w:rPr>
          <w:lang w:val="en-CA"/>
        </w:rPr>
        <w:t>cautioned at th</w:t>
      </w:r>
      <w:r w:rsidR="00F95F43">
        <w:rPr>
          <w:lang w:val="en-CA"/>
        </w:rPr>
        <w:t>at time. He would not have agreed to sign if he had known the police would charge him. He was unaware of any of the authorities</w:t>
      </w:r>
      <w:r w:rsidR="00986BED">
        <w:rPr>
          <w:lang w:val="en-CA"/>
        </w:rPr>
        <w:t>’</w:t>
      </w:r>
      <w:r w:rsidR="00F95F43">
        <w:rPr>
          <w:lang w:val="en-CA"/>
        </w:rPr>
        <w:t xml:space="preserve"> </w:t>
      </w:r>
      <w:r w:rsidR="00986BED">
        <w:rPr>
          <w:lang w:val="en-CA"/>
        </w:rPr>
        <w:t>activities</w:t>
      </w:r>
      <w:r w:rsidR="00163870">
        <w:rPr>
          <w:lang w:val="en-CA"/>
        </w:rPr>
        <w:t>,</w:t>
      </w:r>
      <w:r w:rsidR="00F95F43">
        <w:rPr>
          <w:lang w:val="en-CA"/>
        </w:rPr>
        <w:t xml:space="preserve"> and </w:t>
      </w:r>
      <w:r w:rsidR="00AE7E63">
        <w:rPr>
          <w:lang w:val="en-CA"/>
        </w:rPr>
        <w:t>he</w:t>
      </w:r>
      <w:r w:rsidR="00F95F43">
        <w:rPr>
          <w:lang w:val="en-CA"/>
        </w:rPr>
        <w:t xml:space="preserve"> continued to believe the victim needed assistance. </w:t>
      </w:r>
      <w:r w:rsidR="00140702">
        <w:rPr>
          <w:lang w:val="en-CA"/>
        </w:rPr>
        <w:t>Once again, he admit</w:t>
      </w:r>
      <w:r w:rsidR="006543D7">
        <w:rPr>
          <w:lang w:val="en-CA"/>
        </w:rPr>
        <w:t>s</w:t>
      </w:r>
      <w:r w:rsidR="00140702">
        <w:rPr>
          <w:lang w:val="en-CA"/>
        </w:rPr>
        <w:t xml:space="preserve"> </w:t>
      </w:r>
      <w:r w:rsidR="0056470E">
        <w:rPr>
          <w:lang w:val="en-CA"/>
        </w:rPr>
        <w:t xml:space="preserve">that he </w:t>
      </w:r>
      <w:r w:rsidR="00140702">
        <w:rPr>
          <w:lang w:val="en-CA"/>
        </w:rPr>
        <w:t xml:space="preserve">did not </w:t>
      </w:r>
      <w:r w:rsidR="0056470E">
        <w:rPr>
          <w:lang w:val="en-CA"/>
        </w:rPr>
        <w:t>ask questions</w:t>
      </w:r>
      <w:r w:rsidR="006543D7">
        <w:rPr>
          <w:lang w:val="en-CA"/>
        </w:rPr>
        <w:t>,</w:t>
      </w:r>
      <w:r w:rsidR="0056470E">
        <w:rPr>
          <w:lang w:val="en-CA"/>
        </w:rPr>
        <w:t xml:space="preserve"> because he trusted his therapists.</w:t>
      </w:r>
      <w:r w:rsidRPr="009A7DB9">
        <w:rPr>
          <w:lang w:val="en-CA"/>
        </w:rPr>
        <w:t xml:space="preserve"> </w:t>
      </w:r>
    </w:p>
    <w:p w14:paraId="1175EBF5" w14:textId="1ADA234E" w:rsidR="00A00453" w:rsidRPr="009A7DB9" w:rsidRDefault="0056470E" w:rsidP="00A00453">
      <w:pPr>
        <w:pStyle w:val="Paragraphe"/>
        <w:spacing w:line="280" w:lineRule="exact"/>
        <w:rPr>
          <w:lang w:val="en-CA"/>
        </w:rPr>
      </w:pPr>
      <w:r>
        <w:rPr>
          <w:lang w:val="en-CA"/>
        </w:rPr>
        <w:t>Ms. </w:t>
      </w:r>
      <w:r w:rsidR="00A00453" w:rsidRPr="009A7DB9">
        <w:rPr>
          <w:lang w:val="en-CA"/>
        </w:rPr>
        <w:t xml:space="preserve">Spearson-Goulet </w:t>
      </w:r>
      <w:r>
        <w:rPr>
          <w:lang w:val="en-CA"/>
        </w:rPr>
        <w:t xml:space="preserve">cannot say whether the appellant </w:t>
      </w:r>
      <w:r w:rsidRPr="00C176CF">
        <w:rPr>
          <w:lang w:val="en-CA"/>
        </w:rPr>
        <w:t xml:space="preserve">understood the consequences of </w:t>
      </w:r>
      <w:r w:rsidR="00F03E19">
        <w:rPr>
          <w:lang w:val="en-CA"/>
        </w:rPr>
        <w:t>sharing the</w:t>
      </w:r>
      <w:r w:rsidRPr="00C176CF">
        <w:rPr>
          <w:lang w:val="en-CA"/>
        </w:rPr>
        <w:t xml:space="preserve"> progress note</w:t>
      </w:r>
      <w:r w:rsidR="00853108">
        <w:rPr>
          <w:lang w:val="en-CA"/>
        </w:rPr>
        <w:t>s</w:t>
      </w:r>
      <w:r w:rsidR="00F03E19">
        <w:rPr>
          <w:lang w:val="en-CA"/>
        </w:rPr>
        <w:t xml:space="preserve"> with the police</w:t>
      </w:r>
      <w:r w:rsidRPr="00C176CF">
        <w:rPr>
          <w:lang w:val="en-CA"/>
        </w:rPr>
        <w:t xml:space="preserve">; rather, she responded with a generality, saying he knew the information would be </w:t>
      </w:r>
      <w:r w:rsidR="00AC0632">
        <w:rPr>
          <w:lang w:val="en-CA"/>
        </w:rPr>
        <w:t xml:space="preserve">passed on </w:t>
      </w:r>
      <w:r w:rsidRPr="00C176CF">
        <w:rPr>
          <w:lang w:val="en-CA"/>
        </w:rPr>
        <w:t>to the police officers.</w:t>
      </w:r>
    </w:p>
    <w:p w14:paraId="73E9CE59" w14:textId="091C8D44" w:rsidR="00A00453" w:rsidRPr="009A7DB9" w:rsidRDefault="005E2D1B" w:rsidP="00A00453">
      <w:pPr>
        <w:pStyle w:val="JgtParagraphe"/>
        <w:numPr>
          <w:ilvl w:val="0"/>
          <w:numId w:val="18"/>
        </w:numPr>
        <w:spacing w:line="280" w:lineRule="exact"/>
        <w:rPr>
          <w:lang w:val="en-CA"/>
        </w:rPr>
      </w:pPr>
      <w:r>
        <w:rPr>
          <w:lang w:val="en-CA"/>
        </w:rPr>
        <w:t>Following his arrest, the appellant made no statements.</w:t>
      </w:r>
    </w:p>
    <w:p w14:paraId="6B9E1CF2" w14:textId="5E1AB8DE" w:rsidR="00A00453" w:rsidRPr="009A7DB9" w:rsidRDefault="005E2D1B" w:rsidP="00A00453">
      <w:pPr>
        <w:pStyle w:val="JgtQuestions"/>
        <w:rPr>
          <w:lang w:val="en-CA"/>
        </w:rPr>
      </w:pPr>
      <w:r>
        <w:rPr>
          <w:lang w:val="en-CA"/>
        </w:rPr>
        <w:t xml:space="preserve">The motion and </w:t>
      </w:r>
      <w:r w:rsidR="00891860">
        <w:rPr>
          <w:lang w:val="en-CA"/>
        </w:rPr>
        <w:t xml:space="preserve">trial </w:t>
      </w:r>
      <w:r>
        <w:rPr>
          <w:lang w:val="en-CA"/>
        </w:rPr>
        <w:t>judgment</w:t>
      </w:r>
    </w:p>
    <w:p w14:paraId="2BC9706B" w14:textId="38DBC092" w:rsidR="00A00453" w:rsidRPr="009A7DB9" w:rsidRDefault="005E2D1B" w:rsidP="00A00453">
      <w:pPr>
        <w:pStyle w:val="JgtParagraphe"/>
        <w:numPr>
          <w:ilvl w:val="0"/>
          <w:numId w:val="18"/>
        </w:numPr>
        <w:spacing w:line="280" w:lineRule="exact"/>
        <w:rPr>
          <w:lang w:val="en-CA"/>
        </w:rPr>
      </w:pPr>
      <w:r>
        <w:rPr>
          <w:lang w:val="en-CA"/>
        </w:rPr>
        <w:t xml:space="preserve">At trial, the appellant challenged the </w:t>
      </w:r>
      <w:r w:rsidR="003D7D0A">
        <w:rPr>
          <w:lang w:val="en-CA"/>
        </w:rPr>
        <w:t>admissibility</w:t>
      </w:r>
      <w:r>
        <w:rPr>
          <w:lang w:val="en-CA"/>
        </w:rPr>
        <w:t xml:space="preserve"> of his admissions</w:t>
      </w:r>
      <w:r w:rsidR="00A00453" w:rsidRPr="009A7DB9">
        <w:rPr>
          <w:lang w:val="en-CA"/>
        </w:rPr>
        <w:t xml:space="preserve">. </w:t>
      </w:r>
      <w:r>
        <w:rPr>
          <w:lang w:val="en-CA"/>
        </w:rPr>
        <w:t xml:space="preserve">He filed a motion </w:t>
      </w:r>
      <w:r w:rsidR="00904D04">
        <w:rPr>
          <w:lang w:val="en-CA"/>
        </w:rPr>
        <w:t xml:space="preserve">to exclude evidence, citing infringements of sections 7 and 9 of the </w:t>
      </w:r>
      <w:r w:rsidR="00904D04" w:rsidRPr="00904D04">
        <w:rPr>
          <w:i/>
          <w:iCs/>
          <w:lang w:val="en-CA"/>
        </w:rPr>
        <w:t>Charter</w:t>
      </w:r>
      <w:r w:rsidR="00904D04">
        <w:rPr>
          <w:lang w:val="en-CA"/>
        </w:rPr>
        <w:t>.</w:t>
      </w:r>
      <w:r w:rsidR="00A00453" w:rsidRPr="009A7DB9">
        <w:rPr>
          <w:lang w:val="en-CA"/>
        </w:rPr>
        <w:t xml:space="preserve"> </w:t>
      </w:r>
      <w:r w:rsidR="007B3333">
        <w:rPr>
          <w:lang w:val="en-CA"/>
        </w:rPr>
        <w:t>The</w:t>
      </w:r>
      <w:r w:rsidR="00B91054">
        <w:rPr>
          <w:lang w:val="en-CA"/>
        </w:rPr>
        <w:t> </w:t>
      </w:r>
      <w:r w:rsidR="007B3333">
        <w:rPr>
          <w:lang w:val="en-CA"/>
        </w:rPr>
        <w:t xml:space="preserve">body of his motion </w:t>
      </w:r>
      <w:r w:rsidR="00741F13">
        <w:rPr>
          <w:lang w:val="en-CA"/>
        </w:rPr>
        <w:t>contains</w:t>
      </w:r>
      <w:r w:rsidR="00904D04">
        <w:rPr>
          <w:lang w:val="en-CA"/>
        </w:rPr>
        <w:t xml:space="preserve"> arguments </w:t>
      </w:r>
      <w:r w:rsidR="00741F13">
        <w:rPr>
          <w:lang w:val="en-CA"/>
        </w:rPr>
        <w:t>that rely on</w:t>
      </w:r>
      <w:r w:rsidR="00904D04">
        <w:rPr>
          <w:lang w:val="en-CA"/>
        </w:rPr>
        <w:t xml:space="preserve"> the </w:t>
      </w:r>
      <w:r w:rsidR="00904D04" w:rsidRPr="00921863">
        <w:rPr>
          <w:lang w:val="en-CA"/>
        </w:rPr>
        <w:t>Wigmore</w:t>
      </w:r>
      <w:r w:rsidR="00904D04">
        <w:rPr>
          <w:lang w:val="en-CA"/>
        </w:rPr>
        <w:t xml:space="preserve"> </w:t>
      </w:r>
      <w:r w:rsidR="00FA13D5">
        <w:rPr>
          <w:lang w:val="en-CA"/>
        </w:rPr>
        <w:t xml:space="preserve">privilege </w:t>
      </w:r>
      <w:r w:rsidR="00652D7C">
        <w:rPr>
          <w:lang w:val="en-CA"/>
        </w:rPr>
        <w:t xml:space="preserve">test </w:t>
      </w:r>
      <w:r w:rsidR="00341C5E">
        <w:rPr>
          <w:lang w:val="en-CA"/>
        </w:rPr>
        <w:t>with a view to</w:t>
      </w:r>
      <w:r w:rsidR="00E2672C">
        <w:rPr>
          <w:lang w:val="en-CA"/>
        </w:rPr>
        <w:t xml:space="preserve"> </w:t>
      </w:r>
      <w:r w:rsidR="00904D04">
        <w:rPr>
          <w:lang w:val="en-CA"/>
        </w:rPr>
        <w:t>protect</w:t>
      </w:r>
      <w:r w:rsidR="00341C5E">
        <w:rPr>
          <w:lang w:val="en-CA"/>
        </w:rPr>
        <w:t>ing</w:t>
      </w:r>
      <w:r w:rsidR="00904D04">
        <w:rPr>
          <w:lang w:val="en-CA"/>
        </w:rPr>
        <w:t xml:space="preserve"> </w:t>
      </w:r>
      <w:r w:rsidR="00CB365F">
        <w:rPr>
          <w:lang w:val="en-CA"/>
        </w:rPr>
        <w:t>his relationship with</w:t>
      </w:r>
      <w:r w:rsidR="00904D04">
        <w:rPr>
          <w:lang w:val="en-CA"/>
        </w:rPr>
        <w:t xml:space="preserve"> the professionals </w:t>
      </w:r>
      <w:r w:rsidR="00CB365F">
        <w:rPr>
          <w:lang w:val="en-CA"/>
        </w:rPr>
        <w:t>of</w:t>
      </w:r>
      <w:r w:rsidR="00904D04">
        <w:rPr>
          <w:lang w:val="en-CA"/>
        </w:rPr>
        <w:t xml:space="preserve"> </w:t>
      </w:r>
      <w:r w:rsidR="00741F13">
        <w:rPr>
          <w:lang w:val="en-CA"/>
        </w:rPr>
        <w:t xml:space="preserve">the </w:t>
      </w:r>
      <w:r w:rsidR="00904D04">
        <w:rPr>
          <w:lang w:val="en-CA"/>
        </w:rPr>
        <w:t>Pinel</w:t>
      </w:r>
      <w:r w:rsidR="00741F13">
        <w:rPr>
          <w:lang w:val="en-CA"/>
        </w:rPr>
        <w:t xml:space="preserve"> institute</w:t>
      </w:r>
      <w:r w:rsidR="00904D04">
        <w:rPr>
          <w:lang w:val="en-CA"/>
        </w:rPr>
        <w:t>.</w:t>
      </w:r>
    </w:p>
    <w:p w14:paraId="69EA8020" w14:textId="48C6F4CC" w:rsidR="00A00453" w:rsidRPr="009A7DB9" w:rsidRDefault="00904D04" w:rsidP="00A00453">
      <w:pPr>
        <w:pStyle w:val="JgtParagraphe"/>
        <w:numPr>
          <w:ilvl w:val="0"/>
          <w:numId w:val="18"/>
        </w:numPr>
        <w:spacing w:line="280" w:lineRule="exact"/>
        <w:rPr>
          <w:lang w:val="en-CA"/>
        </w:rPr>
      </w:pPr>
      <w:r>
        <w:rPr>
          <w:lang w:val="en-CA"/>
        </w:rPr>
        <w:t>The trial judge rejected all his arguments</w:t>
      </w:r>
      <w:r w:rsidR="00A00453" w:rsidRPr="009A7DB9">
        <w:rPr>
          <w:lang w:val="en-CA"/>
        </w:rPr>
        <w:t xml:space="preserve">: </w:t>
      </w:r>
      <w:r w:rsidR="00A00453" w:rsidRPr="009A7DB9">
        <w:rPr>
          <w:i/>
          <w:iCs/>
          <w:lang w:val="en-CA"/>
        </w:rPr>
        <w:t>R. c. Chatillon</w:t>
      </w:r>
      <w:r w:rsidR="00A00453" w:rsidRPr="009A7DB9">
        <w:rPr>
          <w:lang w:val="en-CA"/>
        </w:rPr>
        <w:t xml:space="preserve">, 2020 QCCQ 2044. </w:t>
      </w:r>
      <w:r>
        <w:rPr>
          <w:lang w:val="en-CA"/>
        </w:rPr>
        <w:t xml:space="preserve">His analysis of </w:t>
      </w:r>
      <w:r w:rsidR="0013548A">
        <w:rPr>
          <w:lang w:val="en-CA"/>
        </w:rPr>
        <w:t>several</w:t>
      </w:r>
      <w:r>
        <w:rPr>
          <w:lang w:val="en-CA"/>
        </w:rPr>
        <w:t xml:space="preserve"> of th</w:t>
      </w:r>
      <w:r w:rsidR="0052702D">
        <w:rPr>
          <w:lang w:val="en-CA"/>
        </w:rPr>
        <w:t>e</w:t>
      </w:r>
      <w:r>
        <w:rPr>
          <w:lang w:val="en-CA"/>
        </w:rPr>
        <w:t xml:space="preserve"> issues </w:t>
      </w:r>
      <w:r w:rsidR="0052702D">
        <w:rPr>
          <w:lang w:val="en-CA"/>
        </w:rPr>
        <w:t xml:space="preserve">involved </w:t>
      </w:r>
      <w:r>
        <w:rPr>
          <w:lang w:val="en-CA"/>
        </w:rPr>
        <w:t xml:space="preserve">is rather </w:t>
      </w:r>
      <w:r w:rsidR="00380DD7">
        <w:rPr>
          <w:lang w:val="en-CA"/>
        </w:rPr>
        <w:t>cursory</w:t>
      </w:r>
      <w:r>
        <w:rPr>
          <w:lang w:val="en-CA"/>
        </w:rPr>
        <w:t>.</w:t>
      </w:r>
    </w:p>
    <w:p w14:paraId="644241DC" w14:textId="3E3C39A6" w:rsidR="00A00453" w:rsidRPr="00BB1937" w:rsidRDefault="000D4542" w:rsidP="00A00453">
      <w:pPr>
        <w:pStyle w:val="JgtParagraphe"/>
        <w:numPr>
          <w:ilvl w:val="0"/>
          <w:numId w:val="18"/>
        </w:numPr>
        <w:spacing w:line="280" w:lineRule="exact"/>
        <w:rPr>
          <w:lang w:val="en-CA"/>
        </w:rPr>
      </w:pPr>
      <w:r>
        <w:rPr>
          <w:lang w:val="en-CA"/>
        </w:rPr>
        <w:t>The trial judge</w:t>
      </w:r>
      <w:r w:rsidR="0081529B">
        <w:rPr>
          <w:lang w:val="en-CA"/>
        </w:rPr>
        <w:t xml:space="preserve"> </w:t>
      </w:r>
      <w:r w:rsidRPr="0001344E">
        <w:rPr>
          <w:lang w:val="en-CA"/>
        </w:rPr>
        <w:t>devoted more attention to</w:t>
      </w:r>
      <w:r w:rsidR="0081529B" w:rsidRPr="0001344E">
        <w:rPr>
          <w:lang w:val="en-CA"/>
        </w:rPr>
        <w:t xml:space="preserve"> the</w:t>
      </w:r>
      <w:r w:rsidR="0081529B">
        <w:rPr>
          <w:lang w:val="en-CA"/>
        </w:rPr>
        <w:t xml:space="preserve"> analysis of the </w:t>
      </w:r>
      <w:r w:rsidR="001D42AC">
        <w:rPr>
          <w:lang w:val="en-CA"/>
        </w:rPr>
        <w:t xml:space="preserve">Wigmore </w:t>
      </w:r>
      <w:r w:rsidR="0081529B">
        <w:rPr>
          <w:lang w:val="en-CA"/>
        </w:rPr>
        <w:t xml:space="preserve">privilege </w:t>
      </w:r>
      <w:r w:rsidR="00017244">
        <w:rPr>
          <w:lang w:val="en-CA"/>
        </w:rPr>
        <w:t>test</w:t>
      </w:r>
      <w:r w:rsidR="004705AE">
        <w:rPr>
          <w:lang w:val="en-CA"/>
        </w:rPr>
        <w:t xml:space="preserve"> as it relates to respect for professional secrecy</w:t>
      </w:r>
      <w:r w:rsidR="0081529B">
        <w:rPr>
          <w:lang w:val="en-CA"/>
        </w:rPr>
        <w:t xml:space="preserve">. </w:t>
      </w:r>
      <w:r w:rsidR="00D11279">
        <w:rPr>
          <w:lang w:val="en-CA"/>
        </w:rPr>
        <w:t>In</w:t>
      </w:r>
      <w:r w:rsidR="00902BBF">
        <w:rPr>
          <w:lang w:val="en-CA"/>
        </w:rPr>
        <w:t xml:space="preserve"> this</w:t>
      </w:r>
      <w:r w:rsidR="0081529B">
        <w:rPr>
          <w:lang w:val="en-CA"/>
        </w:rPr>
        <w:t xml:space="preserve"> analysis</w:t>
      </w:r>
      <w:r w:rsidR="00CB2CA5">
        <w:rPr>
          <w:lang w:val="en-CA"/>
        </w:rPr>
        <w:t xml:space="preserve">, </w:t>
      </w:r>
      <w:r w:rsidR="0081529B">
        <w:rPr>
          <w:lang w:val="en-CA"/>
        </w:rPr>
        <w:t xml:space="preserve">he found </w:t>
      </w:r>
      <w:r w:rsidR="00902BBF">
        <w:rPr>
          <w:lang w:val="en-CA"/>
        </w:rPr>
        <w:t xml:space="preserve">that </w:t>
      </w:r>
      <w:r w:rsidR="0081529B">
        <w:rPr>
          <w:lang w:val="en-CA"/>
        </w:rPr>
        <w:t xml:space="preserve">the </w:t>
      </w:r>
      <w:r w:rsidR="0081529B">
        <w:rPr>
          <w:lang w:val="en-CA"/>
        </w:rPr>
        <w:lastRenderedPageBreak/>
        <w:t xml:space="preserve">professionals had a duty to report the appellant’s conduct to </w:t>
      </w:r>
      <w:r>
        <w:rPr>
          <w:lang w:val="en-CA"/>
        </w:rPr>
        <w:t>the DYP</w:t>
      </w:r>
      <w:r w:rsidR="00A00453" w:rsidRPr="009A7DB9">
        <w:rPr>
          <w:lang w:val="en-CA"/>
        </w:rPr>
        <w:t>,</w:t>
      </w:r>
      <w:r w:rsidR="00E42B8C">
        <w:rPr>
          <w:lang w:val="en-CA"/>
        </w:rPr>
        <w:t xml:space="preserve"> </w:t>
      </w:r>
      <w:r w:rsidR="0077345C">
        <w:rPr>
          <w:lang w:val="en-CA"/>
        </w:rPr>
        <w:t xml:space="preserve">despite </w:t>
      </w:r>
      <w:r w:rsidR="0077345C" w:rsidRPr="00BB1937">
        <w:rPr>
          <w:lang w:val="en-CA"/>
        </w:rPr>
        <w:t xml:space="preserve">the </w:t>
      </w:r>
      <w:r w:rsidR="00F725B0" w:rsidRPr="00BB1937">
        <w:rPr>
          <w:lang w:val="en-CA"/>
        </w:rPr>
        <w:t xml:space="preserve">professional secrecy </w:t>
      </w:r>
      <w:r w:rsidR="00ED50D0" w:rsidRPr="00BB1937">
        <w:rPr>
          <w:lang w:val="en-CA"/>
        </w:rPr>
        <w:t xml:space="preserve">characteristic of </w:t>
      </w:r>
      <w:r w:rsidR="0077345C" w:rsidRPr="00BB1937">
        <w:rPr>
          <w:lang w:val="en-CA"/>
        </w:rPr>
        <w:t>therapeutic relationship</w:t>
      </w:r>
      <w:r w:rsidR="0082468B" w:rsidRPr="00BB1937">
        <w:rPr>
          <w:lang w:val="en-CA"/>
        </w:rPr>
        <w:t>s</w:t>
      </w:r>
      <w:r w:rsidR="0077345C" w:rsidRPr="00BB1937">
        <w:rPr>
          <w:lang w:val="en-CA"/>
        </w:rPr>
        <w:t>.</w:t>
      </w:r>
    </w:p>
    <w:p w14:paraId="5CE586E3" w14:textId="50A06D91" w:rsidR="00A00453" w:rsidRPr="003B5886" w:rsidRDefault="009E3F0A" w:rsidP="00662D36">
      <w:pPr>
        <w:pStyle w:val="JgtParagraphe"/>
        <w:numPr>
          <w:ilvl w:val="0"/>
          <w:numId w:val="18"/>
        </w:numPr>
        <w:spacing w:line="280" w:lineRule="exact"/>
        <w:rPr>
          <w:lang w:val="en-CA"/>
        </w:rPr>
      </w:pPr>
      <w:bookmarkStart w:id="11" w:name="_Ref106523324"/>
      <w:r>
        <w:rPr>
          <w:lang w:val="en-CA"/>
        </w:rPr>
        <w:t>The</w:t>
      </w:r>
      <w:r w:rsidR="00A00453" w:rsidRPr="003B5886">
        <w:rPr>
          <w:lang w:val="en-CA"/>
        </w:rPr>
        <w:t xml:space="preserve"> </w:t>
      </w:r>
      <w:r w:rsidR="00921863">
        <w:rPr>
          <w:lang w:val="en-CA"/>
        </w:rPr>
        <w:t xml:space="preserve">judge analyzed the </w:t>
      </w:r>
      <w:r w:rsidR="00A00453" w:rsidRPr="003B5886">
        <w:rPr>
          <w:lang w:val="en-CA"/>
        </w:rPr>
        <w:t>Wigmor</w:t>
      </w:r>
      <w:r w:rsidR="003B5886" w:rsidRPr="003B5886">
        <w:rPr>
          <w:lang w:val="en-CA"/>
        </w:rPr>
        <w:t xml:space="preserve">e </w:t>
      </w:r>
      <w:r w:rsidR="00921863">
        <w:rPr>
          <w:lang w:val="en-CA"/>
        </w:rPr>
        <w:t xml:space="preserve">criteria, which are </w:t>
      </w:r>
      <w:r w:rsidR="00826F83">
        <w:rPr>
          <w:lang w:val="en-CA"/>
        </w:rPr>
        <w:t>the following</w:t>
      </w:r>
      <w:r w:rsidR="00A00453" w:rsidRPr="003B5886">
        <w:rPr>
          <w:lang w:val="en-CA"/>
        </w:rPr>
        <w:t xml:space="preserve">: </w:t>
      </w:r>
      <w:r w:rsidR="00C23377" w:rsidRPr="003B5886">
        <w:rPr>
          <w:lang w:val="en-CA"/>
        </w:rPr>
        <w:t>(</w:t>
      </w:r>
      <w:r w:rsidR="00A00453" w:rsidRPr="003B5886">
        <w:rPr>
          <w:lang w:val="en-CA"/>
        </w:rPr>
        <w:t xml:space="preserve">1) </w:t>
      </w:r>
      <w:r w:rsidR="00C23377" w:rsidRPr="003B5886">
        <w:rPr>
          <w:lang w:val="en-CA"/>
        </w:rPr>
        <w:t>the communications must originate in a confidence that they will not be disclosed</w:t>
      </w:r>
      <w:r w:rsidR="00A00453" w:rsidRPr="003B5886">
        <w:rPr>
          <w:lang w:val="en-CA"/>
        </w:rPr>
        <w:t xml:space="preserve">, (2) </w:t>
      </w:r>
      <w:r w:rsidR="00C23377" w:rsidRPr="003B5886">
        <w:rPr>
          <w:lang w:val="en-CA"/>
        </w:rPr>
        <w:t>this element of confidentiality must be essential to the full and satisfactory maintenance of the relation between the parties</w:t>
      </w:r>
      <w:r w:rsidR="00A00453" w:rsidRPr="003B5886">
        <w:rPr>
          <w:lang w:val="en-CA"/>
        </w:rPr>
        <w:t>, (3)</w:t>
      </w:r>
      <w:r w:rsidR="00554E39">
        <w:rPr>
          <w:lang w:val="en-CA"/>
        </w:rPr>
        <w:t> </w:t>
      </w:r>
      <w:r w:rsidR="00850DDD" w:rsidRPr="003B5886">
        <w:rPr>
          <w:lang w:val="en-CA"/>
        </w:rPr>
        <w:t xml:space="preserve">the relation must be one which in the opinion of the community ought to be sedulously fostered; and </w:t>
      </w:r>
      <w:r w:rsidR="00A00453" w:rsidRPr="003B5886">
        <w:rPr>
          <w:lang w:val="en-CA"/>
        </w:rPr>
        <w:t xml:space="preserve">(4) </w:t>
      </w:r>
      <w:r w:rsidR="00F4592A" w:rsidRPr="003B5886">
        <w:rPr>
          <w:lang w:val="en-CA"/>
        </w:rPr>
        <w:t>the injury that would inure to the relation by the disclosure of the communications must be greater than the benefit thereby gained for the correct disposal of litigation</w:t>
      </w:r>
      <w:r w:rsidR="00A00453" w:rsidRPr="003B5886">
        <w:rPr>
          <w:lang w:val="en-CA"/>
        </w:rPr>
        <w:t>.</w:t>
      </w:r>
      <w:bookmarkEnd w:id="11"/>
    </w:p>
    <w:p w14:paraId="6C7496DE" w14:textId="143EF07E" w:rsidR="00A00453" w:rsidRPr="009A7DB9" w:rsidRDefault="0080634A" w:rsidP="00A00453">
      <w:pPr>
        <w:pStyle w:val="Paragraphe"/>
        <w:spacing w:line="280" w:lineRule="exact"/>
        <w:rPr>
          <w:lang w:val="en-CA"/>
        </w:rPr>
      </w:pPr>
      <w:r>
        <w:rPr>
          <w:lang w:val="en-CA"/>
        </w:rPr>
        <w:t>The</w:t>
      </w:r>
      <w:r w:rsidR="00A00453" w:rsidRPr="009A7DB9">
        <w:rPr>
          <w:lang w:val="en-CA"/>
        </w:rPr>
        <w:t xml:space="preserve"> </w:t>
      </w:r>
      <w:r w:rsidR="00181104">
        <w:rPr>
          <w:lang w:val="en-CA"/>
        </w:rPr>
        <w:t xml:space="preserve">trial </w:t>
      </w:r>
      <w:r w:rsidR="00A00453" w:rsidRPr="009A7DB9">
        <w:rPr>
          <w:lang w:val="en-CA"/>
        </w:rPr>
        <w:t>ju</w:t>
      </w:r>
      <w:r w:rsidR="00687AD3">
        <w:rPr>
          <w:lang w:val="en-CA"/>
        </w:rPr>
        <w:t>d</w:t>
      </w:r>
      <w:r w:rsidR="00A00453" w:rsidRPr="009A7DB9">
        <w:rPr>
          <w:lang w:val="en-CA"/>
        </w:rPr>
        <w:t xml:space="preserve">ge </w:t>
      </w:r>
      <w:r>
        <w:rPr>
          <w:lang w:val="en-CA"/>
        </w:rPr>
        <w:t xml:space="preserve">found that the circumstances do not meet the first and second </w:t>
      </w:r>
      <w:r w:rsidR="00EA464D">
        <w:rPr>
          <w:lang w:val="en-CA"/>
        </w:rPr>
        <w:t>parts of the</w:t>
      </w:r>
      <w:r>
        <w:rPr>
          <w:lang w:val="en-CA"/>
        </w:rPr>
        <w:t xml:space="preserve"> test, primarily because the appellant agreed to </w:t>
      </w:r>
      <w:r w:rsidR="000163EC">
        <w:rPr>
          <w:lang w:val="en-CA"/>
        </w:rPr>
        <w:t>participate</w:t>
      </w:r>
      <w:r>
        <w:rPr>
          <w:lang w:val="en-CA"/>
        </w:rPr>
        <w:t xml:space="preserve"> in group discussions and took part in the reporting to </w:t>
      </w:r>
      <w:r w:rsidR="0091511F">
        <w:rPr>
          <w:lang w:val="en-CA"/>
        </w:rPr>
        <w:t>the DYP</w:t>
      </w:r>
      <w:r>
        <w:rPr>
          <w:lang w:val="en-CA"/>
        </w:rPr>
        <w:t xml:space="preserve">: </w:t>
      </w:r>
      <w:r w:rsidR="00A00453" w:rsidRPr="009A7DB9">
        <w:rPr>
          <w:i/>
          <w:iCs/>
          <w:lang w:val="en-CA"/>
        </w:rPr>
        <w:t>Chatillon</w:t>
      </w:r>
      <w:r w:rsidR="00A00453" w:rsidRPr="009A7DB9">
        <w:rPr>
          <w:lang w:val="en-CA"/>
        </w:rPr>
        <w:t xml:space="preserve">, </w:t>
      </w:r>
      <w:r w:rsidRPr="0080634A">
        <w:rPr>
          <w:i/>
          <w:iCs/>
          <w:lang w:val="en-CA"/>
        </w:rPr>
        <w:t>supra</w:t>
      </w:r>
      <w:r w:rsidR="00A00453" w:rsidRPr="009A7DB9">
        <w:rPr>
          <w:lang w:val="en-CA"/>
        </w:rPr>
        <w:t xml:space="preserve"> </w:t>
      </w:r>
      <w:r>
        <w:rPr>
          <w:lang w:val="en-CA"/>
        </w:rPr>
        <w:t xml:space="preserve">at </w:t>
      </w:r>
      <w:r w:rsidR="00A00453" w:rsidRPr="009A7DB9">
        <w:rPr>
          <w:lang w:val="en-CA"/>
        </w:rPr>
        <w:t>par</w:t>
      </w:r>
      <w:r>
        <w:rPr>
          <w:lang w:val="en-CA"/>
        </w:rPr>
        <w:t>as</w:t>
      </w:r>
      <w:r w:rsidR="00A00453" w:rsidRPr="009A7DB9">
        <w:rPr>
          <w:lang w:val="en-CA"/>
        </w:rPr>
        <w:t>.</w:t>
      </w:r>
      <w:r w:rsidR="00687AD3">
        <w:rPr>
          <w:lang w:val="en-CA"/>
        </w:rPr>
        <w:t> </w:t>
      </w:r>
      <w:r w:rsidR="00A00453" w:rsidRPr="009A7DB9">
        <w:rPr>
          <w:lang w:val="en-CA"/>
        </w:rPr>
        <w:t>55</w:t>
      </w:r>
      <w:r w:rsidR="00F90D48">
        <w:rPr>
          <w:rFonts w:cs="Arial"/>
          <w:lang w:val="en-CA"/>
        </w:rPr>
        <w:t>–</w:t>
      </w:r>
      <w:r w:rsidR="00A00453" w:rsidRPr="009A7DB9">
        <w:rPr>
          <w:lang w:val="en-CA"/>
        </w:rPr>
        <w:t xml:space="preserve">59. </w:t>
      </w:r>
      <w:r w:rsidR="00687AD3">
        <w:rPr>
          <w:lang w:val="en-CA"/>
        </w:rPr>
        <w:t>He</w:t>
      </w:r>
      <w:r w:rsidR="00EA464D">
        <w:rPr>
          <w:lang w:val="en-CA"/>
        </w:rPr>
        <w:t> </w:t>
      </w:r>
      <w:r w:rsidR="00687AD3">
        <w:rPr>
          <w:lang w:val="en-CA"/>
        </w:rPr>
        <w:t xml:space="preserve">acknowledged that the </w:t>
      </w:r>
      <w:r w:rsidR="00EA464D">
        <w:rPr>
          <w:lang w:val="en-CA"/>
        </w:rPr>
        <w:t>third</w:t>
      </w:r>
      <w:r w:rsidR="00687AD3">
        <w:rPr>
          <w:lang w:val="en-CA"/>
        </w:rPr>
        <w:t xml:space="preserve"> </w:t>
      </w:r>
      <w:r w:rsidR="000352B0">
        <w:rPr>
          <w:lang w:val="en-CA"/>
        </w:rPr>
        <w:t>part</w:t>
      </w:r>
      <w:r w:rsidR="00687AD3">
        <w:rPr>
          <w:lang w:val="en-CA"/>
        </w:rPr>
        <w:t xml:space="preserve"> </w:t>
      </w:r>
      <w:r w:rsidR="00D06927">
        <w:rPr>
          <w:lang w:val="en-CA"/>
        </w:rPr>
        <w:t xml:space="preserve">of the test </w:t>
      </w:r>
      <w:r w:rsidR="00687AD3">
        <w:rPr>
          <w:lang w:val="en-CA"/>
        </w:rPr>
        <w:t>was met</w:t>
      </w:r>
      <w:r w:rsidR="00A00453" w:rsidRPr="009A7DB9">
        <w:rPr>
          <w:lang w:val="en-CA"/>
        </w:rPr>
        <w:t>:</w:t>
      </w:r>
      <w:r w:rsidR="00A00453" w:rsidRPr="009A7DB9">
        <w:rPr>
          <w:i/>
          <w:iCs/>
          <w:lang w:val="en-CA"/>
        </w:rPr>
        <w:t xml:space="preserve"> Chatillon</w:t>
      </w:r>
      <w:r w:rsidR="00A00453" w:rsidRPr="009A7DB9">
        <w:rPr>
          <w:lang w:val="en-CA"/>
        </w:rPr>
        <w:t xml:space="preserve">, </w:t>
      </w:r>
      <w:r w:rsidR="00687AD3" w:rsidRPr="00687AD3">
        <w:rPr>
          <w:i/>
          <w:iCs/>
          <w:lang w:val="en-CA"/>
        </w:rPr>
        <w:t>supra</w:t>
      </w:r>
      <w:r w:rsidR="00687AD3">
        <w:rPr>
          <w:lang w:val="en-CA"/>
        </w:rPr>
        <w:t xml:space="preserve"> </w:t>
      </w:r>
      <w:r w:rsidR="00B44DB7" w:rsidRPr="00B44DB7">
        <w:rPr>
          <w:lang w:val="en-CA"/>
        </w:rPr>
        <w:t xml:space="preserve">at para. </w:t>
      </w:r>
      <w:r w:rsidR="00A00453" w:rsidRPr="009A7DB9">
        <w:rPr>
          <w:lang w:val="en-CA"/>
        </w:rPr>
        <w:t xml:space="preserve">60. </w:t>
      </w:r>
      <w:r w:rsidR="00EA464D">
        <w:rPr>
          <w:lang w:val="en-CA"/>
        </w:rPr>
        <w:t>He</w:t>
      </w:r>
      <w:r w:rsidR="00D06927">
        <w:rPr>
          <w:lang w:val="en-CA"/>
        </w:rPr>
        <w:t> </w:t>
      </w:r>
      <w:r w:rsidR="00EA464D">
        <w:rPr>
          <w:lang w:val="en-CA"/>
        </w:rPr>
        <w:t xml:space="preserve">then concluded that the fourth part </w:t>
      </w:r>
      <w:r w:rsidR="000352B0">
        <w:rPr>
          <w:lang w:val="en-CA"/>
        </w:rPr>
        <w:t>was not</w:t>
      </w:r>
      <w:r w:rsidR="00EA464D">
        <w:rPr>
          <w:lang w:val="en-CA"/>
        </w:rPr>
        <w:t xml:space="preserve"> met</w:t>
      </w:r>
      <w:r w:rsidR="009C330E">
        <w:rPr>
          <w:lang w:val="en-CA"/>
        </w:rPr>
        <w:t>. He stated that</w:t>
      </w:r>
      <w:r w:rsidR="00633B70">
        <w:rPr>
          <w:lang w:val="en-CA"/>
        </w:rPr>
        <w:t xml:space="preserve"> the evidence</w:t>
      </w:r>
      <w:r w:rsidR="00EA464D">
        <w:rPr>
          <w:lang w:val="en-CA"/>
        </w:rPr>
        <w:t xml:space="preserve"> does not support the </w:t>
      </w:r>
      <w:r w:rsidR="005A6956">
        <w:rPr>
          <w:lang w:val="en-CA"/>
        </w:rPr>
        <w:t xml:space="preserve">contention </w:t>
      </w:r>
      <w:r w:rsidR="00EA464D">
        <w:rPr>
          <w:lang w:val="en-CA"/>
        </w:rPr>
        <w:t xml:space="preserve">that it is preferable to enable an </w:t>
      </w:r>
      <w:r w:rsidR="00B52C79">
        <w:rPr>
          <w:lang w:val="en-CA"/>
        </w:rPr>
        <w:t>abuser</w:t>
      </w:r>
      <w:r w:rsidR="00EA464D">
        <w:rPr>
          <w:lang w:val="en-CA"/>
        </w:rPr>
        <w:t xml:space="preserve"> to seek help than </w:t>
      </w:r>
      <w:r w:rsidR="00EA7CBA">
        <w:rPr>
          <w:lang w:val="en-CA"/>
        </w:rPr>
        <w:t xml:space="preserve">to </w:t>
      </w:r>
      <w:r w:rsidR="00E217BE">
        <w:rPr>
          <w:lang w:val="en-CA"/>
        </w:rPr>
        <w:t xml:space="preserve">search for </w:t>
      </w:r>
      <w:r w:rsidR="00EA464D">
        <w:rPr>
          <w:lang w:val="en-CA"/>
        </w:rPr>
        <w:t xml:space="preserve">the truth </w:t>
      </w:r>
      <w:r w:rsidR="00E217BE">
        <w:rPr>
          <w:lang w:val="en-CA"/>
        </w:rPr>
        <w:t>in a criminal trial</w:t>
      </w:r>
      <w:r w:rsidR="00EA464D">
        <w:rPr>
          <w:lang w:val="en-CA"/>
        </w:rPr>
        <w:t>.</w:t>
      </w:r>
      <w:r w:rsidR="00A00453" w:rsidRPr="009A7DB9">
        <w:rPr>
          <w:szCs w:val="24"/>
          <w:lang w:val="en-CA" w:eastAsia="en-US"/>
        </w:rPr>
        <w:t xml:space="preserve"> </w:t>
      </w:r>
      <w:r w:rsidR="00EA464D">
        <w:rPr>
          <w:szCs w:val="24"/>
          <w:lang w:val="en-CA" w:eastAsia="en-US"/>
        </w:rPr>
        <w:t xml:space="preserve">He also noted that </w:t>
      </w:r>
      <w:r w:rsidR="00EA464D" w:rsidRPr="0065385A">
        <w:rPr>
          <w:szCs w:val="24"/>
          <w:lang w:val="en-CA" w:eastAsia="en-US"/>
        </w:rPr>
        <w:t xml:space="preserve">nobody forced the appellant to disclose the crimes. </w:t>
      </w:r>
      <w:r w:rsidR="00D06927" w:rsidRPr="0065385A">
        <w:rPr>
          <w:szCs w:val="24"/>
          <w:lang w:val="en-CA" w:eastAsia="en-US"/>
        </w:rPr>
        <w:t>He</w:t>
      </w:r>
      <w:r w:rsidR="009C330E" w:rsidRPr="0065385A">
        <w:rPr>
          <w:szCs w:val="24"/>
          <w:lang w:val="en-CA" w:eastAsia="en-US"/>
        </w:rPr>
        <w:t> </w:t>
      </w:r>
      <w:r w:rsidR="00D06927" w:rsidRPr="0065385A">
        <w:rPr>
          <w:szCs w:val="24"/>
          <w:lang w:val="en-CA" w:eastAsia="en-US"/>
        </w:rPr>
        <w:t>consider</w:t>
      </w:r>
      <w:r w:rsidR="0079705B" w:rsidRPr="0065385A">
        <w:rPr>
          <w:szCs w:val="24"/>
          <w:lang w:val="en-CA" w:eastAsia="en-US"/>
        </w:rPr>
        <w:t>ed</w:t>
      </w:r>
      <w:r w:rsidR="00D06927" w:rsidRPr="0065385A">
        <w:rPr>
          <w:szCs w:val="24"/>
          <w:lang w:val="en-CA" w:eastAsia="en-US"/>
        </w:rPr>
        <w:t xml:space="preserve"> the</w:t>
      </w:r>
      <w:r w:rsidR="00EA464D" w:rsidRPr="0065385A">
        <w:rPr>
          <w:szCs w:val="24"/>
          <w:lang w:val="en-CA" w:eastAsia="en-US"/>
        </w:rPr>
        <w:t xml:space="preserve"> argument </w:t>
      </w:r>
      <w:r w:rsidR="00077FCC" w:rsidRPr="0065385A">
        <w:rPr>
          <w:szCs w:val="24"/>
          <w:lang w:val="en-CA" w:eastAsia="en-US"/>
        </w:rPr>
        <w:t>akin to</w:t>
      </w:r>
      <w:r w:rsidR="00576498" w:rsidRPr="0065385A">
        <w:rPr>
          <w:szCs w:val="24"/>
          <w:lang w:val="en-CA" w:eastAsia="en-US"/>
        </w:rPr>
        <w:t xml:space="preserve"> [</w:t>
      </w:r>
      <w:r w:rsidR="009C330E" w:rsidRPr="0065385A">
        <w:rPr>
          <w:smallCaps/>
          <w:szCs w:val="24"/>
          <w:lang w:val="en-CA" w:eastAsia="en-US"/>
        </w:rPr>
        <w:t>translation</w:t>
      </w:r>
      <w:r w:rsidR="00576498" w:rsidRPr="0065385A">
        <w:rPr>
          <w:szCs w:val="24"/>
          <w:lang w:val="en-CA" w:eastAsia="en-US"/>
        </w:rPr>
        <w:t>] “</w:t>
      </w:r>
      <w:r w:rsidR="0065385A">
        <w:rPr>
          <w:szCs w:val="24"/>
          <w:lang w:val="en-CA" w:eastAsia="en-US"/>
        </w:rPr>
        <w:t>“</w:t>
      </w:r>
      <w:r w:rsidR="000352B0" w:rsidRPr="0065385A">
        <w:rPr>
          <w:szCs w:val="24"/>
          <w:lang w:val="en-CA" w:eastAsia="en-US"/>
        </w:rPr>
        <w:t>blackmail</w:t>
      </w:r>
      <w:r w:rsidR="0065385A">
        <w:rPr>
          <w:szCs w:val="24"/>
          <w:lang w:val="en-CA" w:eastAsia="en-US"/>
        </w:rPr>
        <w:t>”</w:t>
      </w:r>
      <w:r w:rsidR="00CB4963" w:rsidRPr="0065385A">
        <w:rPr>
          <w:szCs w:val="24"/>
          <w:lang w:val="en-CA" w:eastAsia="en-US"/>
        </w:rPr>
        <w:t xml:space="preserve"> </w:t>
      </w:r>
      <w:r w:rsidR="00FB13C1" w:rsidRPr="0065385A">
        <w:rPr>
          <w:szCs w:val="24"/>
          <w:lang w:val="en-CA" w:eastAsia="en-US"/>
        </w:rPr>
        <w:t>setting</w:t>
      </w:r>
      <w:r w:rsidR="00EF625B" w:rsidRPr="0065385A">
        <w:rPr>
          <w:szCs w:val="24"/>
          <w:lang w:val="en-CA" w:eastAsia="en-US"/>
        </w:rPr>
        <w:t xml:space="preserve"> </w:t>
      </w:r>
      <w:r w:rsidR="00FB13C1" w:rsidRPr="0065385A">
        <w:rPr>
          <w:szCs w:val="24"/>
          <w:lang w:val="en-CA" w:eastAsia="en-US"/>
        </w:rPr>
        <w:t xml:space="preserve">the </w:t>
      </w:r>
      <w:r w:rsidR="0079705B" w:rsidRPr="0065385A">
        <w:rPr>
          <w:szCs w:val="24"/>
          <w:lang w:val="en-CA" w:eastAsia="en-US"/>
        </w:rPr>
        <w:t xml:space="preserve">possibility of </w:t>
      </w:r>
      <w:r w:rsidR="00077FCC" w:rsidRPr="0065385A">
        <w:rPr>
          <w:szCs w:val="24"/>
          <w:lang w:val="en-CA" w:eastAsia="en-US"/>
        </w:rPr>
        <w:t xml:space="preserve">therapy </w:t>
      </w:r>
      <w:r w:rsidR="00EF625B" w:rsidRPr="0065385A">
        <w:rPr>
          <w:szCs w:val="24"/>
          <w:lang w:val="en-CA" w:eastAsia="en-US"/>
        </w:rPr>
        <w:t xml:space="preserve">with </w:t>
      </w:r>
      <w:r w:rsidR="00586FFB" w:rsidRPr="0065385A">
        <w:rPr>
          <w:szCs w:val="24"/>
          <w:lang w:val="en-CA" w:eastAsia="en-US"/>
        </w:rPr>
        <w:t xml:space="preserve">no </w:t>
      </w:r>
      <w:r w:rsidR="00304F0A" w:rsidRPr="0065385A">
        <w:rPr>
          <w:szCs w:val="24"/>
          <w:lang w:val="en-CA" w:eastAsia="en-US"/>
        </w:rPr>
        <w:t>charges</w:t>
      </w:r>
      <w:r w:rsidR="00077FCC" w:rsidRPr="0065385A">
        <w:rPr>
          <w:szCs w:val="24"/>
          <w:lang w:val="en-CA" w:eastAsia="en-US"/>
        </w:rPr>
        <w:t xml:space="preserve"> </w:t>
      </w:r>
      <w:r w:rsidR="00FB13C1" w:rsidRPr="0065385A">
        <w:rPr>
          <w:szCs w:val="24"/>
          <w:lang w:val="en-CA" w:eastAsia="en-US"/>
        </w:rPr>
        <w:t xml:space="preserve">against </w:t>
      </w:r>
      <w:r w:rsidR="00CB4963" w:rsidRPr="0065385A">
        <w:rPr>
          <w:szCs w:val="24"/>
          <w:lang w:val="en-CA" w:eastAsia="en-US"/>
        </w:rPr>
        <w:t>the prosecution of people</w:t>
      </w:r>
      <w:r w:rsidR="00D06927" w:rsidRPr="0065385A">
        <w:rPr>
          <w:szCs w:val="24"/>
          <w:lang w:val="en-CA" w:eastAsia="en-US"/>
        </w:rPr>
        <w:t xml:space="preserve"> who commit assault</w:t>
      </w:r>
      <w:r w:rsidR="00586FFB" w:rsidRPr="0065385A">
        <w:rPr>
          <w:szCs w:val="24"/>
          <w:lang w:val="en-CA" w:eastAsia="en-US"/>
        </w:rPr>
        <w:t>,</w:t>
      </w:r>
      <w:r w:rsidR="00077FCC" w:rsidRPr="0065385A">
        <w:rPr>
          <w:szCs w:val="24"/>
          <w:lang w:val="en-CA" w:eastAsia="en-US"/>
        </w:rPr>
        <w:t>”</w:t>
      </w:r>
      <w:r w:rsidR="000352B0" w:rsidRPr="0065385A">
        <w:rPr>
          <w:szCs w:val="24"/>
          <w:lang w:val="en-CA" w:eastAsia="en-US"/>
        </w:rPr>
        <w:t xml:space="preserve"> and </w:t>
      </w:r>
      <w:r w:rsidR="00D06927" w:rsidRPr="0065385A">
        <w:rPr>
          <w:szCs w:val="24"/>
          <w:lang w:val="en-CA" w:eastAsia="en-US"/>
        </w:rPr>
        <w:t xml:space="preserve">opined that the </w:t>
      </w:r>
      <w:r w:rsidR="008575F1" w:rsidRPr="0065385A">
        <w:rPr>
          <w:szCs w:val="24"/>
          <w:lang w:val="en-CA" w:eastAsia="en-US"/>
        </w:rPr>
        <w:t xml:space="preserve">dangerousness of the </w:t>
      </w:r>
      <w:r w:rsidR="00586FFB" w:rsidRPr="0065385A">
        <w:rPr>
          <w:szCs w:val="24"/>
          <w:lang w:val="en-CA" w:eastAsia="en-US"/>
        </w:rPr>
        <w:t>abuser</w:t>
      </w:r>
      <w:r w:rsidR="008575F1" w:rsidRPr="0065385A">
        <w:rPr>
          <w:szCs w:val="24"/>
          <w:lang w:val="en-CA" w:eastAsia="en-US"/>
        </w:rPr>
        <w:t xml:space="preserve"> needs to be neutralized: </w:t>
      </w:r>
      <w:r w:rsidR="00A00453" w:rsidRPr="0065385A">
        <w:rPr>
          <w:i/>
          <w:iCs/>
          <w:lang w:val="en-CA"/>
        </w:rPr>
        <w:t>Chatillon</w:t>
      </w:r>
      <w:r w:rsidR="00A00453" w:rsidRPr="0065385A">
        <w:rPr>
          <w:lang w:val="en-CA"/>
        </w:rPr>
        <w:t xml:space="preserve">, </w:t>
      </w:r>
      <w:r w:rsidR="008575F1" w:rsidRPr="0065385A">
        <w:rPr>
          <w:i/>
          <w:iCs/>
          <w:lang w:val="en-CA"/>
        </w:rPr>
        <w:t>supra</w:t>
      </w:r>
      <w:r w:rsidR="008575F1">
        <w:rPr>
          <w:lang w:val="en-CA"/>
        </w:rPr>
        <w:t xml:space="preserve"> </w:t>
      </w:r>
      <w:r w:rsidR="00B44DB7" w:rsidRPr="00B44DB7">
        <w:rPr>
          <w:lang w:val="en-CA"/>
        </w:rPr>
        <w:t>at para</w:t>
      </w:r>
      <w:r w:rsidR="00D06927">
        <w:rPr>
          <w:lang w:val="en-CA"/>
        </w:rPr>
        <w:t>s</w:t>
      </w:r>
      <w:r w:rsidR="00B44DB7" w:rsidRPr="00B44DB7">
        <w:rPr>
          <w:lang w:val="en-CA"/>
        </w:rPr>
        <w:t>.</w:t>
      </w:r>
      <w:r w:rsidR="00D06927">
        <w:rPr>
          <w:lang w:val="en-CA"/>
        </w:rPr>
        <w:t> </w:t>
      </w:r>
      <w:r w:rsidR="00A00453" w:rsidRPr="009A7DB9">
        <w:rPr>
          <w:lang w:val="en-CA"/>
        </w:rPr>
        <w:t>64</w:t>
      </w:r>
      <w:r w:rsidR="00F90D48">
        <w:rPr>
          <w:rFonts w:cs="Arial"/>
          <w:lang w:val="en-CA"/>
        </w:rPr>
        <w:t>–</w:t>
      </w:r>
      <w:r w:rsidR="00A00453" w:rsidRPr="009A7DB9">
        <w:rPr>
          <w:lang w:val="en-CA"/>
        </w:rPr>
        <w:t>69.</w:t>
      </w:r>
    </w:p>
    <w:p w14:paraId="4FCCABC6" w14:textId="42CD9173" w:rsidR="00A00453" w:rsidRPr="009A7DB9" w:rsidRDefault="008E578D" w:rsidP="00A00453">
      <w:pPr>
        <w:pStyle w:val="Paragraphe"/>
        <w:spacing w:line="280" w:lineRule="exact"/>
        <w:rPr>
          <w:lang w:val="en-CA"/>
        </w:rPr>
      </w:pPr>
      <w:r>
        <w:rPr>
          <w:lang w:val="en-CA"/>
        </w:rPr>
        <w:t>Based on this, the trial judge reject</w:t>
      </w:r>
      <w:r w:rsidR="00777782">
        <w:rPr>
          <w:lang w:val="en-CA"/>
        </w:rPr>
        <w:t>ed</w:t>
      </w:r>
      <w:r>
        <w:rPr>
          <w:lang w:val="en-CA"/>
        </w:rPr>
        <w:t xml:space="preserve"> the </w:t>
      </w:r>
      <w:r w:rsidR="00E279F2">
        <w:rPr>
          <w:lang w:val="en-CA"/>
        </w:rPr>
        <w:t>contention</w:t>
      </w:r>
      <w:r>
        <w:rPr>
          <w:lang w:val="en-CA"/>
        </w:rPr>
        <w:t xml:space="preserve"> that the appellant’s admissions were </w:t>
      </w:r>
      <w:r w:rsidR="000D0C7B">
        <w:rPr>
          <w:lang w:val="en-CA"/>
        </w:rPr>
        <w:t>privileged</w:t>
      </w:r>
      <w:r>
        <w:rPr>
          <w:lang w:val="en-CA"/>
        </w:rPr>
        <w:t>.</w:t>
      </w:r>
    </w:p>
    <w:p w14:paraId="79E69EC5" w14:textId="2893A210" w:rsidR="00A00453" w:rsidRPr="009A7DB9" w:rsidRDefault="008E578D" w:rsidP="00A00453">
      <w:pPr>
        <w:pStyle w:val="JgtParagraphe"/>
        <w:numPr>
          <w:ilvl w:val="0"/>
          <w:numId w:val="18"/>
        </w:numPr>
        <w:spacing w:line="280" w:lineRule="exact"/>
        <w:rPr>
          <w:lang w:val="en-CA"/>
        </w:rPr>
      </w:pPr>
      <w:r>
        <w:rPr>
          <w:lang w:val="en-CA"/>
        </w:rPr>
        <w:t>In the course of his analysis, the trial judge accept</w:t>
      </w:r>
      <w:r w:rsidR="00777782">
        <w:rPr>
          <w:lang w:val="en-CA"/>
        </w:rPr>
        <w:t>ed</w:t>
      </w:r>
      <w:r>
        <w:rPr>
          <w:lang w:val="en-CA"/>
        </w:rPr>
        <w:t xml:space="preserve"> as a question of fact that </w:t>
      </w:r>
      <w:r w:rsidRPr="00497A50">
        <w:rPr>
          <w:lang w:val="en-CA"/>
        </w:rPr>
        <w:t>[</w:t>
      </w:r>
      <w:r w:rsidR="005E31C7" w:rsidRPr="005E31C7">
        <w:rPr>
          <w:smallCaps/>
          <w:lang w:val="en-CA"/>
        </w:rPr>
        <w:t>translation</w:t>
      </w:r>
      <w:r w:rsidRPr="00497A50">
        <w:rPr>
          <w:lang w:val="en-CA"/>
        </w:rPr>
        <w:t>]</w:t>
      </w:r>
      <w:r>
        <w:rPr>
          <w:lang w:val="en-CA"/>
        </w:rPr>
        <w:t xml:space="preserve"> “Olivier Chatillon confessed to a crime </w:t>
      </w:r>
      <w:r w:rsidRPr="008E578D">
        <w:rPr>
          <w:u w:val="single"/>
          <w:lang w:val="en-CA"/>
        </w:rPr>
        <w:t>before</w:t>
      </w:r>
      <w:r>
        <w:rPr>
          <w:lang w:val="en-CA"/>
        </w:rPr>
        <w:t xml:space="preserve"> knowing </w:t>
      </w:r>
      <w:r w:rsidR="00E47FC1">
        <w:rPr>
          <w:lang w:val="en-CA"/>
        </w:rPr>
        <w:t>t</w:t>
      </w:r>
      <w:r>
        <w:rPr>
          <w:lang w:val="en-CA"/>
        </w:rPr>
        <w:t xml:space="preserve">here was an obligation to report </w:t>
      </w:r>
      <w:r w:rsidR="00134718">
        <w:rPr>
          <w:lang w:val="en-CA"/>
        </w:rPr>
        <w:t>it</w:t>
      </w:r>
      <w:r>
        <w:rPr>
          <w:lang w:val="en-CA"/>
        </w:rPr>
        <w:t xml:space="preserve">”: </w:t>
      </w:r>
      <w:r w:rsidR="00A00453" w:rsidRPr="009A7DB9">
        <w:rPr>
          <w:i/>
          <w:iCs/>
          <w:lang w:val="en-CA"/>
        </w:rPr>
        <w:t>Chatillon</w:t>
      </w:r>
      <w:r w:rsidR="00A00453" w:rsidRPr="009A7DB9">
        <w:rPr>
          <w:lang w:val="en-CA"/>
        </w:rPr>
        <w:t xml:space="preserve">, </w:t>
      </w:r>
      <w:r w:rsidRPr="008E578D">
        <w:rPr>
          <w:i/>
          <w:iCs/>
          <w:lang w:val="en-CA"/>
        </w:rPr>
        <w:t>supra</w:t>
      </w:r>
      <w:r>
        <w:rPr>
          <w:lang w:val="en-CA"/>
        </w:rPr>
        <w:t xml:space="preserve"> </w:t>
      </w:r>
      <w:r w:rsidR="00B44DB7" w:rsidRPr="00B44DB7">
        <w:rPr>
          <w:lang w:val="en-CA"/>
        </w:rPr>
        <w:t xml:space="preserve">at para. </w:t>
      </w:r>
      <w:r>
        <w:rPr>
          <w:lang w:val="en-CA"/>
        </w:rPr>
        <w:t xml:space="preserve">65. </w:t>
      </w:r>
      <w:r w:rsidR="00F81D50" w:rsidRPr="00894DE9">
        <w:rPr>
          <w:lang w:val="en-CA"/>
        </w:rPr>
        <w:t>[</w:t>
      </w:r>
      <w:r w:rsidR="00851BAF" w:rsidRPr="00894DE9">
        <w:rPr>
          <w:lang w:val="en-CA"/>
        </w:rPr>
        <w:t>Emphasis in the original</w:t>
      </w:r>
      <w:r w:rsidRPr="00894DE9">
        <w:rPr>
          <w:lang w:val="en-CA"/>
        </w:rPr>
        <w:t>.</w:t>
      </w:r>
      <w:r w:rsidR="00F81D50" w:rsidRPr="00894DE9">
        <w:rPr>
          <w:lang w:val="en-CA"/>
        </w:rPr>
        <w:t>]</w:t>
      </w:r>
    </w:p>
    <w:p w14:paraId="1F65F596" w14:textId="4CF759DA" w:rsidR="00A00453" w:rsidRPr="009A7DB9" w:rsidRDefault="001402B7" w:rsidP="00A00453">
      <w:pPr>
        <w:pStyle w:val="JgtParagraphe"/>
        <w:numPr>
          <w:ilvl w:val="0"/>
          <w:numId w:val="18"/>
        </w:numPr>
        <w:spacing w:line="280" w:lineRule="exact"/>
        <w:rPr>
          <w:lang w:val="en-CA"/>
        </w:rPr>
      </w:pPr>
      <w:r>
        <w:rPr>
          <w:lang w:val="en-CA"/>
        </w:rPr>
        <w:t xml:space="preserve">He </w:t>
      </w:r>
      <w:r w:rsidR="0079320C">
        <w:rPr>
          <w:lang w:val="en-CA"/>
        </w:rPr>
        <w:t>stressed that</w:t>
      </w:r>
      <w:r w:rsidR="003B585A">
        <w:rPr>
          <w:lang w:val="en-CA"/>
        </w:rPr>
        <w:t>, in his view,</w:t>
      </w:r>
      <w:r>
        <w:rPr>
          <w:lang w:val="en-CA"/>
        </w:rPr>
        <w:t xml:space="preserve"> </w:t>
      </w:r>
      <w:r w:rsidR="004E5864">
        <w:rPr>
          <w:lang w:val="en-CA"/>
        </w:rPr>
        <w:t>the DYP</w:t>
      </w:r>
      <w:r w:rsidR="0079320C">
        <w:rPr>
          <w:lang w:val="en-CA"/>
        </w:rPr>
        <w:t xml:space="preserve"> </w:t>
      </w:r>
      <w:r>
        <w:rPr>
          <w:lang w:val="en-CA"/>
        </w:rPr>
        <w:t>did not unlawfully refer the matter to the police</w:t>
      </w:r>
      <w:r w:rsidR="003B585A">
        <w:rPr>
          <w:lang w:val="en-CA"/>
        </w:rPr>
        <w:t>,</w:t>
      </w:r>
      <w:r>
        <w:rPr>
          <w:lang w:val="en-CA"/>
        </w:rPr>
        <w:t xml:space="preserve"> </w:t>
      </w:r>
      <w:r w:rsidR="00314289">
        <w:rPr>
          <w:lang w:val="en-CA"/>
        </w:rPr>
        <w:t xml:space="preserve">since </w:t>
      </w:r>
      <w:r w:rsidR="0079320C">
        <w:rPr>
          <w:lang w:val="en-CA"/>
        </w:rPr>
        <w:t xml:space="preserve">the DYP itself </w:t>
      </w:r>
      <w:r w:rsidR="00314289">
        <w:rPr>
          <w:lang w:val="en-CA"/>
        </w:rPr>
        <w:t xml:space="preserve">had </w:t>
      </w:r>
      <w:r>
        <w:rPr>
          <w:lang w:val="en-CA"/>
        </w:rPr>
        <w:t xml:space="preserve">closed the </w:t>
      </w:r>
      <w:r w:rsidR="007E7178">
        <w:rPr>
          <w:lang w:val="en-CA"/>
        </w:rPr>
        <w:t>case</w:t>
      </w:r>
      <w:r>
        <w:rPr>
          <w:lang w:val="en-CA"/>
        </w:rPr>
        <w:t xml:space="preserve"> internally. He </w:t>
      </w:r>
      <w:r w:rsidR="00777782">
        <w:rPr>
          <w:lang w:val="en-CA"/>
        </w:rPr>
        <w:t>wrote</w:t>
      </w:r>
      <w:r>
        <w:rPr>
          <w:lang w:val="en-CA"/>
        </w:rPr>
        <w:t xml:space="preserve"> that</w:t>
      </w:r>
      <w:r w:rsidR="003B585A">
        <w:rPr>
          <w:lang w:val="en-CA"/>
        </w:rPr>
        <w:t>,</w:t>
      </w:r>
      <w:r>
        <w:rPr>
          <w:lang w:val="en-CA"/>
        </w:rPr>
        <w:t xml:space="preserve"> although the child </w:t>
      </w:r>
      <w:r w:rsidR="00314289">
        <w:rPr>
          <w:lang w:val="en-CA"/>
        </w:rPr>
        <w:t>was</w:t>
      </w:r>
      <w:r>
        <w:rPr>
          <w:lang w:val="en-CA"/>
        </w:rPr>
        <w:t xml:space="preserve"> not in danger, the appellant </w:t>
      </w:r>
      <w:r w:rsidR="00314289">
        <w:rPr>
          <w:lang w:val="en-CA"/>
        </w:rPr>
        <w:t>could</w:t>
      </w:r>
      <w:r>
        <w:rPr>
          <w:lang w:val="en-CA"/>
        </w:rPr>
        <w:t xml:space="preserve"> pose a danger to other children: </w:t>
      </w:r>
      <w:r w:rsidR="00A00453" w:rsidRPr="009A7DB9">
        <w:rPr>
          <w:i/>
          <w:iCs/>
          <w:lang w:val="en-CA"/>
        </w:rPr>
        <w:t>Chatillon</w:t>
      </w:r>
      <w:r w:rsidR="00A00453" w:rsidRPr="009A7DB9">
        <w:rPr>
          <w:lang w:val="en-CA"/>
        </w:rPr>
        <w:t xml:space="preserve">, </w:t>
      </w:r>
      <w:r w:rsidRPr="00DA6D68">
        <w:rPr>
          <w:i/>
          <w:iCs/>
          <w:lang w:val="en-CA"/>
        </w:rPr>
        <w:t>supra</w:t>
      </w:r>
      <w:r w:rsidR="00A00453" w:rsidRPr="009A7DB9">
        <w:rPr>
          <w:lang w:val="en-CA"/>
        </w:rPr>
        <w:t xml:space="preserve"> </w:t>
      </w:r>
      <w:r>
        <w:rPr>
          <w:lang w:val="en-CA"/>
        </w:rPr>
        <w:t xml:space="preserve">at </w:t>
      </w:r>
      <w:r w:rsidR="00A00453" w:rsidRPr="009A7DB9">
        <w:rPr>
          <w:lang w:val="en-CA"/>
        </w:rPr>
        <w:t>par</w:t>
      </w:r>
      <w:r>
        <w:rPr>
          <w:lang w:val="en-CA"/>
        </w:rPr>
        <w:t>as</w:t>
      </w:r>
      <w:r w:rsidR="00A00453" w:rsidRPr="009A7DB9">
        <w:rPr>
          <w:lang w:val="en-CA"/>
        </w:rPr>
        <w:t xml:space="preserve">. 75 </w:t>
      </w:r>
      <w:r>
        <w:rPr>
          <w:lang w:val="en-CA"/>
        </w:rPr>
        <w:t>and</w:t>
      </w:r>
      <w:r w:rsidR="00A00453" w:rsidRPr="009A7DB9">
        <w:rPr>
          <w:lang w:val="en-CA"/>
        </w:rPr>
        <w:t xml:space="preserve"> 77.</w:t>
      </w:r>
    </w:p>
    <w:p w14:paraId="258B4573" w14:textId="6CB9E791" w:rsidR="00A00453" w:rsidRPr="009A7DB9" w:rsidRDefault="005457F8" w:rsidP="00A00453">
      <w:pPr>
        <w:pStyle w:val="JgtParagraphe"/>
        <w:numPr>
          <w:ilvl w:val="0"/>
          <w:numId w:val="18"/>
        </w:numPr>
        <w:spacing w:line="280" w:lineRule="exact"/>
        <w:rPr>
          <w:lang w:val="en-CA"/>
        </w:rPr>
      </w:pPr>
      <w:r>
        <w:rPr>
          <w:lang w:val="en-CA"/>
        </w:rPr>
        <w:t xml:space="preserve">The judge </w:t>
      </w:r>
      <w:r w:rsidR="00E32CDB">
        <w:rPr>
          <w:lang w:val="en-CA"/>
        </w:rPr>
        <w:t xml:space="preserve">was no more sympathetic to the argument that the law </w:t>
      </w:r>
      <w:r w:rsidR="00CE4EF6">
        <w:rPr>
          <w:lang w:val="en-CA"/>
        </w:rPr>
        <w:t>compelled</w:t>
      </w:r>
      <w:r w:rsidR="00E32CDB">
        <w:rPr>
          <w:lang w:val="en-CA"/>
        </w:rPr>
        <w:t xml:space="preserve"> the appellant to incriminate himself. Since that argument has not been raised on appeal,</w:t>
      </w:r>
      <w:r w:rsidR="00134718">
        <w:rPr>
          <w:lang w:val="en-CA"/>
        </w:rPr>
        <w:t xml:space="preserve"> </w:t>
      </w:r>
      <w:r w:rsidR="00D35D3E">
        <w:rPr>
          <w:lang w:val="en-CA"/>
        </w:rPr>
        <w:t>it need not be further addressed.</w:t>
      </w:r>
      <w:r w:rsidR="00A00453" w:rsidRPr="009A7DB9">
        <w:rPr>
          <w:lang w:val="en-CA"/>
        </w:rPr>
        <w:t xml:space="preserve"> </w:t>
      </w:r>
    </w:p>
    <w:p w14:paraId="6AF40AF7" w14:textId="6CE714E8" w:rsidR="00A00453" w:rsidRPr="009A7DB9" w:rsidRDefault="00231FBD" w:rsidP="00A00453">
      <w:pPr>
        <w:pStyle w:val="Paragraphe"/>
        <w:spacing w:line="280" w:lineRule="exact"/>
        <w:rPr>
          <w:lang w:val="en-CA"/>
        </w:rPr>
      </w:pPr>
      <w:r>
        <w:rPr>
          <w:lang w:val="en-CA"/>
        </w:rPr>
        <w:t>The trial judge also reject</w:t>
      </w:r>
      <w:r w:rsidR="00777782">
        <w:rPr>
          <w:lang w:val="en-CA"/>
        </w:rPr>
        <w:t>ed</w:t>
      </w:r>
      <w:r>
        <w:rPr>
          <w:lang w:val="en-CA"/>
        </w:rPr>
        <w:t xml:space="preserve"> the idea that the professionals were people in authority, because the appellant himself believed the </w:t>
      </w:r>
      <w:r w:rsidR="005671B7">
        <w:rPr>
          <w:lang w:val="en-CA"/>
        </w:rPr>
        <w:t xml:space="preserve">opposite </w:t>
      </w:r>
      <w:r>
        <w:rPr>
          <w:lang w:val="en-CA"/>
        </w:rPr>
        <w:t xml:space="preserve">and </w:t>
      </w:r>
      <w:r w:rsidR="005671B7">
        <w:rPr>
          <w:lang w:val="en-CA"/>
        </w:rPr>
        <w:t xml:space="preserve">thought </w:t>
      </w:r>
      <w:r>
        <w:rPr>
          <w:lang w:val="en-CA"/>
        </w:rPr>
        <w:t xml:space="preserve">the professionals would not report </w:t>
      </w:r>
      <w:r w:rsidR="00E039CF">
        <w:rPr>
          <w:lang w:val="en-CA"/>
        </w:rPr>
        <w:t xml:space="preserve">on </w:t>
      </w:r>
      <w:r>
        <w:rPr>
          <w:lang w:val="en-CA"/>
        </w:rPr>
        <w:t xml:space="preserve">him. He </w:t>
      </w:r>
      <w:r w:rsidR="00C1788A">
        <w:rPr>
          <w:lang w:val="en-CA"/>
        </w:rPr>
        <w:t>was satisfied</w:t>
      </w:r>
      <w:r>
        <w:rPr>
          <w:lang w:val="en-CA"/>
        </w:rPr>
        <w:t xml:space="preserve"> that the appellant’s consent to the police being sent his psychologist’s notes in March 2018 was valid. In his opinion, the </w:t>
      </w:r>
      <w:r>
        <w:rPr>
          <w:lang w:val="en-CA"/>
        </w:rPr>
        <w:lastRenderedPageBreak/>
        <w:t xml:space="preserve">psychologist’s testimony </w:t>
      </w:r>
      <w:r w:rsidR="00353DFC">
        <w:rPr>
          <w:lang w:val="en-CA"/>
        </w:rPr>
        <w:t>[</w:t>
      </w:r>
      <w:r w:rsidR="00353DFC" w:rsidRPr="00353DFC">
        <w:rPr>
          <w:smallCaps/>
          <w:lang w:val="en-CA"/>
        </w:rPr>
        <w:t>translation</w:t>
      </w:r>
      <w:r w:rsidR="00353DFC">
        <w:rPr>
          <w:lang w:val="en-CA"/>
        </w:rPr>
        <w:t>] “</w:t>
      </w:r>
      <w:r>
        <w:rPr>
          <w:lang w:val="en-CA"/>
        </w:rPr>
        <w:t xml:space="preserve">is very clear </w:t>
      </w:r>
      <w:r w:rsidR="0034115A">
        <w:rPr>
          <w:lang w:val="en-CA"/>
        </w:rPr>
        <w:t>with regard to</w:t>
      </w:r>
      <w:r>
        <w:rPr>
          <w:lang w:val="en-CA"/>
        </w:rPr>
        <w:t xml:space="preserve"> the circumstances of his signature and consent”</w:t>
      </w:r>
      <w:r w:rsidR="007C5A0A">
        <w:rPr>
          <w:lang w:val="en-CA"/>
        </w:rPr>
        <w:t>:</w:t>
      </w:r>
      <w:r w:rsidR="00A00453" w:rsidRPr="009A7DB9">
        <w:rPr>
          <w:szCs w:val="24"/>
          <w:lang w:val="en-CA" w:eastAsia="en-US"/>
        </w:rPr>
        <w:t xml:space="preserve"> </w:t>
      </w:r>
      <w:r w:rsidR="00A00453" w:rsidRPr="009A7DB9">
        <w:rPr>
          <w:i/>
          <w:iCs/>
          <w:lang w:val="en-CA"/>
        </w:rPr>
        <w:t>Chatillon</w:t>
      </w:r>
      <w:r w:rsidR="00A00453" w:rsidRPr="009A7DB9">
        <w:rPr>
          <w:lang w:val="en-CA"/>
        </w:rPr>
        <w:t xml:space="preserve">, </w:t>
      </w:r>
      <w:r w:rsidRPr="00231FBD">
        <w:rPr>
          <w:i/>
          <w:iCs/>
          <w:lang w:val="en-CA"/>
        </w:rPr>
        <w:t xml:space="preserve">supra </w:t>
      </w:r>
      <w:r w:rsidR="00B44DB7" w:rsidRPr="00B44DB7">
        <w:rPr>
          <w:lang w:val="en-CA"/>
        </w:rPr>
        <w:t xml:space="preserve">at para. </w:t>
      </w:r>
      <w:r w:rsidR="00A00453" w:rsidRPr="009A7DB9">
        <w:rPr>
          <w:lang w:val="en-CA"/>
        </w:rPr>
        <w:t>100</w:t>
      </w:r>
      <w:r w:rsidR="00A00453" w:rsidRPr="009A7DB9">
        <w:rPr>
          <w:szCs w:val="24"/>
          <w:lang w:val="en-CA" w:eastAsia="en-US"/>
        </w:rPr>
        <w:t>.</w:t>
      </w:r>
    </w:p>
    <w:p w14:paraId="2F559CCB" w14:textId="070D30E0" w:rsidR="00A00453" w:rsidRPr="009A7DB9" w:rsidRDefault="004151EA" w:rsidP="00A00453">
      <w:pPr>
        <w:pStyle w:val="JgtQuestions"/>
        <w:rPr>
          <w:lang w:val="en-CA"/>
        </w:rPr>
      </w:pPr>
      <w:r>
        <w:rPr>
          <w:lang w:val="en-CA"/>
        </w:rPr>
        <w:t xml:space="preserve">THE </w:t>
      </w:r>
      <w:r w:rsidR="00A00453" w:rsidRPr="009A7DB9">
        <w:rPr>
          <w:lang w:val="en-CA"/>
        </w:rPr>
        <w:t>APPE</w:t>
      </w:r>
      <w:r w:rsidR="006B459A">
        <w:rPr>
          <w:lang w:val="en-CA"/>
        </w:rPr>
        <w:t>A</w:t>
      </w:r>
      <w:r w:rsidR="00A00453" w:rsidRPr="009A7DB9">
        <w:rPr>
          <w:lang w:val="en-CA"/>
        </w:rPr>
        <w:t>L</w:t>
      </w:r>
    </w:p>
    <w:p w14:paraId="026CE35A" w14:textId="1EC76BFE" w:rsidR="00A00453" w:rsidRPr="009A7DB9" w:rsidRDefault="006B459A" w:rsidP="00A00453">
      <w:pPr>
        <w:pStyle w:val="JgtParagraphe"/>
        <w:numPr>
          <w:ilvl w:val="0"/>
          <w:numId w:val="18"/>
        </w:numPr>
        <w:spacing w:line="280" w:lineRule="exact"/>
        <w:rPr>
          <w:lang w:val="en-CA"/>
        </w:rPr>
      </w:pPr>
      <w:r>
        <w:rPr>
          <w:lang w:val="en-CA"/>
        </w:rPr>
        <w:t>This appeal raises three questions</w:t>
      </w:r>
      <w:r w:rsidR="00A00453" w:rsidRPr="009A7DB9">
        <w:rPr>
          <w:lang w:val="en-CA"/>
        </w:rPr>
        <w:t>:</w:t>
      </w:r>
    </w:p>
    <w:p w14:paraId="265AB1BD" w14:textId="67CD4115" w:rsidR="00A00453" w:rsidRPr="009A7DB9" w:rsidRDefault="00A00453" w:rsidP="00A00453">
      <w:pPr>
        <w:pStyle w:val="JgtCitation"/>
        <w:spacing w:line="280" w:lineRule="exact"/>
        <w:rPr>
          <w:lang w:val="en-CA"/>
        </w:rPr>
      </w:pPr>
      <w:r w:rsidRPr="009A7DB9">
        <w:rPr>
          <w:lang w:val="en-CA"/>
        </w:rPr>
        <w:t xml:space="preserve">1. </w:t>
      </w:r>
      <w:r w:rsidR="006B459A">
        <w:rPr>
          <w:lang w:val="en-CA"/>
        </w:rPr>
        <w:t xml:space="preserve">Did the trial judge err in fact and in law </w:t>
      </w:r>
      <w:r w:rsidR="005E4F42">
        <w:rPr>
          <w:lang w:val="en-CA"/>
        </w:rPr>
        <w:t>in his application of the</w:t>
      </w:r>
      <w:r w:rsidR="006B459A">
        <w:rPr>
          <w:lang w:val="en-CA"/>
        </w:rPr>
        <w:t xml:space="preserve"> Wigmore criteria to determine whether the accused’s statements were privileged? </w:t>
      </w:r>
      <w:r w:rsidRPr="009A7DB9">
        <w:rPr>
          <w:lang w:val="en-CA"/>
        </w:rPr>
        <w:t xml:space="preserve"> </w:t>
      </w:r>
    </w:p>
    <w:p w14:paraId="0061626E" w14:textId="388FA548" w:rsidR="00A00453" w:rsidRPr="009A7DB9" w:rsidRDefault="00A00453" w:rsidP="00A00453">
      <w:pPr>
        <w:pStyle w:val="JgtCitation"/>
        <w:spacing w:line="280" w:lineRule="exact"/>
        <w:rPr>
          <w:lang w:val="en-CA"/>
        </w:rPr>
      </w:pPr>
      <w:r w:rsidRPr="009A7DB9">
        <w:rPr>
          <w:lang w:val="en-CA"/>
        </w:rPr>
        <w:t xml:space="preserve">2. </w:t>
      </w:r>
      <w:r w:rsidR="006B459A">
        <w:rPr>
          <w:lang w:val="en-CA"/>
        </w:rPr>
        <w:t xml:space="preserve">Did the trial judge err in law in refusing to make a determination </w:t>
      </w:r>
      <w:r w:rsidR="005E58BF">
        <w:rPr>
          <w:lang w:val="en-CA"/>
        </w:rPr>
        <w:t>about the claimed violation of the right to silence</w:t>
      </w:r>
      <w:r w:rsidR="006B459A">
        <w:rPr>
          <w:lang w:val="en-CA"/>
        </w:rPr>
        <w:t xml:space="preserve">? </w:t>
      </w:r>
      <w:r w:rsidRPr="009A7DB9">
        <w:rPr>
          <w:lang w:val="en-CA"/>
        </w:rPr>
        <w:t xml:space="preserve"> </w:t>
      </w:r>
    </w:p>
    <w:p w14:paraId="3309B402" w14:textId="68D4BD65" w:rsidR="00A00453" w:rsidRPr="009A7DB9" w:rsidRDefault="00A00453" w:rsidP="00A00453">
      <w:pPr>
        <w:pStyle w:val="JgtCitation"/>
        <w:spacing w:line="280" w:lineRule="exact"/>
        <w:rPr>
          <w:lang w:val="en-CA"/>
        </w:rPr>
      </w:pPr>
      <w:r w:rsidRPr="009A7DB9">
        <w:rPr>
          <w:lang w:val="en-CA"/>
        </w:rPr>
        <w:t xml:space="preserve">3. </w:t>
      </w:r>
      <w:r w:rsidR="006B459A">
        <w:rPr>
          <w:lang w:val="en-CA"/>
        </w:rPr>
        <w:t xml:space="preserve">Did the trial judge err in fact in finding that the appellant freely and voluntarily consented to his statement being </w:t>
      </w:r>
      <w:r w:rsidR="00FF67DC">
        <w:rPr>
          <w:lang w:val="en-CA"/>
        </w:rPr>
        <w:t>provided to the</w:t>
      </w:r>
      <w:r w:rsidR="006B459A">
        <w:rPr>
          <w:lang w:val="en-CA"/>
        </w:rPr>
        <w:t xml:space="preserve"> police? </w:t>
      </w:r>
      <w:r w:rsidRPr="009A7DB9">
        <w:rPr>
          <w:lang w:val="en-CA"/>
        </w:rPr>
        <w:t xml:space="preserve"> </w:t>
      </w:r>
    </w:p>
    <w:p w14:paraId="164B845A" w14:textId="19F3752C" w:rsidR="00A00453" w:rsidRPr="009A7DB9" w:rsidRDefault="00A00453" w:rsidP="00A00453">
      <w:pPr>
        <w:pStyle w:val="JgtQuestions"/>
        <w:rPr>
          <w:lang w:val="en-CA"/>
        </w:rPr>
      </w:pPr>
      <w:r w:rsidRPr="009A7DB9">
        <w:rPr>
          <w:lang w:val="en-CA"/>
        </w:rPr>
        <w:t>ANALYS</w:t>
      </w:r>
      <w:r w:rsidR="006B459A">
        <w:rPr>
          <w:lang w:val="en-CA"/>
        </w:rPr>
        <w:t>IS</w:t>
      </w:r>
    </w:p>
    <w:p w14:paraId="6A212777" w14:textId="43407E38" w:rsidR="00A00453" w:rsidRPr="009A7DB9" w:rsidRDefault="008D76AB" w:rsidP="00A00453">
      <w:pPr>
        <w:pStyle w:val="JgtParagraphe"/>
        <w:numPr>
          <w:ilvl w:val="0"/>
          <w:numId w:val="18"/>
        </w:numPr>
        <w:spacing w:line="280" w:lineRule="exact"/>
        <w:rPr>
          <w:lang w:val="en-CA"/>
        </w:rPr>
      </w:pPr>
      <w:r>
        <w:rPr>
          <w:lang w:val="en-CA"/>
        </w:rPr>
        <w:t>Exhibit</w:t>
      </w:r>
      <w:r w:rsidR="00A00453" w:rsidRPr="009A7DB9">
        <w:rPr>
          <w:lang w:val="en-CA"/>
        </w:rPr>
        <w:t xml:space="preserve"> R-1 </w:t>
      </w:r>
      <w:r>
        <w:rPr>
          <w:lang w:val="en-CA"/>
        </w:rPr>
        <w:t>contains the appellant’s admissions</w:t>
      </w:r>
      <w:r w:rsidR="00C96C6B">
        <w:rPr>
          <w:lang w:val="en-CA"/>
        </w:rPr>
        <w:t>;</w:t>
      </w:r>
      <w:r>
        <w:rPr>
          <w:lang w:val="en-CA"/>
        </w:rPr>
        <w:t xml:space="preserve"> in conjunction with </w:t>
      </w:r>
      <w:r w:rsidR="00C10335">
        <w:rPr>
          <w:lang w:val="en-CA"/>
        </w:rPr>
        <w:t>Ms.</w:t>
      </w:r>
      <w:r w:rsidR="007C5A0A">
        <w:rPr>
          <w:lang w:val="en-CA"/>
        </w:rPr>
        <w:t> </w:t>
      </w:r>
      <w:r w:rsidR="00A00453" w:rsidRPr="009A7DB9">
        <w:rPr>
          <w:lang w:val="en-CA"/>
        </w:rPr>
        <w:t>Spearson</w:t>
      </w:r>
      <w:r w:rsidR="006B2031">
        <w:rPr>
          <w:lang w:val="en-CA"/>
        </w:rPr>
        <w:noBreakHyphen/>
      </w:r>
      <w:r w:rsidR="00A00453" w:rsidRPr="009A7DB9">
        <w:rPr>
          <w:lang w:val="en-CA"/>
        </w:rPr>
        <w:t>Goulet</w:t>
      </w:r>
      <w:r>
        <w:rPr>
          <w:lang w:val="en-CA"/>
        </w:rPr>
        <w:t>’s testimony</w:t>
      </w:r>
      <w:r w:rsidR="00A00453" w:rsidRPr="009A7DB9">
        <w:rPr>
          <w:lang w:val="en-CA"/>
        </w:rPr>
        <w:t xml:space="preserve">, </w:t>
      </w:r>
      <w:r w:rsidR="00C96C6B">
        <w:rPr>
          <w:lang w:val="en-CA"/>
        </w:rPr>
        <w:t xml:space="preserve">it constitutes </w:t>
      </w:r>
      <w:r>
        <w:rPr>
          <w:lang w:val="en-CA"/>
        </w:rPr>
        <w:t>the only evidence of his guilt.</w:t>
      </w:r>
    </w:p>
    <w:p w14:paraId="14F3F7F8" w14:textId="0DE984C7" w:rsidR="00A00453" w:rsidRPr="009A7DB9" w:rsidRDefault="008D76AB" w:rsidP="00A00453">
      <w:pPr>
        <w:pStyle w:val="JgtParagraphe"/>
        <w:numPr>
          <w:ilvl w:val="0"/>
          <w:numId w:val="18"/>
        </w:numPr>
        <w:spacing w:line="280" w:lineRule="exact"/>
        <w:rPr>
          <w:lang w:val="en-CA"/>
        </w:rPr>
      </w:pPr>
      <w:r>
        <w:rPr>
          <w:lang w:val="en-CA"/>
        </w:rPr>
        <w:t>When Ms. S</w:t>
      </w:r>
      <w:r w:rsidR="00A00453" w:rsidRPr="009A7DB9">
        <w:rPr>
          <w:lang w:val="en-CA"/>
        </w:rPr>
        <w:t>pearson-Goulet</w:t>
      </w:r>
      <w:r>
        <w:rPr>
          <w:lang w:val="en-CA"/>
        </w:rPr>
        <w:t xml:space="preserve"> sought to testify about the admissions, counsel for the appellant </w:t>
      </w:r>
      <w:r w:rsidR="007802F0">
        <w:rPr>
          <w:lang w:val="en-CA"/>
        </w:rPr>
        <w:t>chimed in to point out that the</w:t>
      </w:r>
      <w:r>
        <w:rPr>
          <w:lang w:val="en-CA"/>
        </w:rPr>
        <w:t xml:space="preserve"> crimes are described in the note </w:t>
      </w:r>
      <w:r w:rsidR="002C3FE0">
        <w:rPr>
          <w:lang w:val="en-CA"/>
        </w:rPr>
        <w:t>(</w:t>
      </w:r>
      <w:r>
        <w:rPr>
          <w:lang w:val="en-CA"/>
        </w:rPr>
        <w:t>Exhibit R</w:t>
      </w:r>
      <w:r w:rsidR="00741809">
        <w:rPr>
          <w:lang w:val="en-CA"/>
        </w:rPr>
        <w:noBreakHyphen/>
      </w:r>
      <w:r>
        <w:rPr>
          <w:lang w:val="en-CA"/>
        </w:rPr>
        <w:t>1</w:t>
      </w:r>
      <w:r w:rsidR="002C3FE0">
        <w:rPr>
          <w:lang w:val="en-CA"/>
        </w:rPr>
        <w:t>)</w:t>
      </w:r>
      <w:r>
        <w:rPr>
          <w:lang w:val="en-CA"/>
        </w:rPr>
        <w:t xml:space="preserve"> and are not contested.</w:t>
      </w:r>
      <w:r w:rsidR="00A00453" w:rsidRPr="009A7DB9">
        <w:rPr>
          <w:lang w:val="en-CA"/>
        </w:rPr>
        <w:t xml:space="preserve"> </w:t>
      </w:r>
    </w:p>
    <w:p w14:paraId="6E7CA29B" w14:textId="436FCFF0" w:rsidR="00A00453" w:rsidRPr="009A7DB9" w:rsidRDefault="008A0DA8" w:rsidP="00A00453">
      <w:pPr>
        <w:pStyle w:val="JgtParagraphe"/>
        <w:numPr>
          <w:ilvl w:val="0"/>
          <w:numId w:val="18"/>
        </w:numPr>
        <w:spacing w:line="280" w:lineRule="exact"/>
        <w:rPr>
          <w:lang w:val="en-CA"/>
        </w:rPr>
      </w:pPr>
      <w:r>
        <w:rPr>
          <w:lang w:val="en-CA"/>
        </w:rPr>
        <w:t xml:space="preserve">In addition, </w:t>
      </w:r>
      <w:r w:rsidR="00DF755B">
        <w:rPr>
          <w:lang w:val="en-CA"/>
        </w:rPr>
        <w:t xml:space="preserve">Ms. </w:t>
      </w:r>
      <w:r w:rsidR="00A00453" w:rsidRPr="009A7DB9">
        <w:rPr>
          <w:lang w:val="en-CA"/>
        </w:rPr>
        <w:t xml:space="preserve">Spearson-Goulet </w:t>
      </w:r>
      <w:r>
        <w:rPr>
          <w:lang w:val="en-CA"/>
        </w:rPr>
        <w:t xml:space="preserve">testified that when she contacted Youth Protection, she </w:t>
      </w:r>
      <w:r w:rsidR="00C07669">
        <w:rPr>
          <w:lang w:val="en-CA"/>
        </w:rPr>
        <w:t>provided</w:t>
      </w:r>
      <w:r>
        <w:rPr>
          <w:lang w:val="en-CA"/>
        </w:rPr>
        <w:t xml:space="preserve"> the information contained in Exhibit R</w:t>
      </w:r>
      <w:r>
        <w:rPr>
          <w:lang w:val="en-CA"/>
        </w:rPr>
        <w:noBreakHyphen/>
        <w:t xml:space="preserve">1 </w:t>
      </w:r>
      <w:r w:rsidR="00382E0F">
        <w:rPr>
          <w:lang w:val="en-CA"/>
        </w:rPr>
        <w:t>as regards</w:t>
      </w:r>
      <w:r>
        <w:rPr>
          <w:lang w:val="en-CA"/>
        </w:rPr>
        <w:t xml:space="preserve"> the crimes. Since the appellant made those admissions to professionals </w:t>
      </w:r>
      <w:r w:rsidR="00382E0F">
        <w:rPr>
          <w:lang w:val="en-CA"/>
        </w:rPr>
        <w:t xml:space="preserve">he had </w:t>
      </w:r>
      <w:r>
        <w:rPr>
          <w:lang w:val="en-CA"/>
        </w:rPr>
        <w:t xml:space="preserve">already consulted, she said </w:t>
      </w:r>
      <w:r w:rsidR="00382E0F">
        <w:rPr>
          <w:lang w:val="en-CA"/>
        </w:rPr>
        <w:t xml:space="preserve">she felt </w:t>
      </w:r>
      <w:r>
        <w:rPr>
          <w:lang w:val="en-CA"/>
        </w:rPr>
        <w:t xml:space="preserve">this information remained hearsay until the appellant approved or confirmed his statements to her. Also, she said the appellant actively participated in the reporting to Youth Protection, initially with his general permission and later by providing a few details directly to Ms. Landry, the </w:t>
      </w:r>
      <w:r w:rsidR="00276CBA">
        <w:rPr>
          <w:lang w:val="en-CA"/>
        </w:rPr>
        <w:t>Youth Protection</w:t>
      </w:r>
      <w:r>
        <w:rPr>
          <w:lang w:val="en-CA"/>
        </w:rPr>
        <w:t xml:space="preserve"> caseworker</w:t>
      </w:r>
      <w:r w:rsidR="00A00453" w:rsidRPr="009A7DB9">
        <w:rPr>
          <w:lang w:val="en-CA"/>
        </w:rPr>
        <w:t>.</w:t>
      </w:r>
    </w:p>
    <w:p w14:paraId="3E771962" w14:textId="652767B2" w:rsidR="00A00453" w:rsidRPr="009A7DB9" w:rsidRDefault="008A0DA8" w:rsidP="00A00453">
      <w:pPr>
        <w:pStyle w:val="JgtParagraphe"/>
        <w:numPr>
          <w:ilvl w:val="0"/>
          <w:numId w:val="18"/>
        </w:numPr>
        <w:spacing w:line="280" w:lineRule="exact"/>
        <w:rPr>
          <w:lang w:val="en-CA"/>
        </w:rPr>
      </w:pPr>
      <w:r>
        <w:rPr>
          <w:lang w:val="en-CA"/>
        </w:rPr>
        <w:t xml:space="preserve">The appellant’s </w:t>
      </w:r>
      <w:r w:rsidR="00367B68">
        <w:rPr>
          <w:lang w:val="en-CA"/>
        </w:rPr>
        <w:t>guilt</w:t>
      </w:r>
      <w:r w:rsidR="00BB7327">
        <w:rPr>
          <w:lang w:val="en-CA"/>
        </w:rPr>
        <w:t xml:space="preserve">, then, is based </w:t>
      </w:r>
      <w:r>
        <w:rPr>
          <w:lang w:val="en-CA"/>
        </w:rPr>
        <w:t>on the confirmation of the admissions made to his psychologist Ms. </w:t>
      </w:r>
      <w:r w:rsidR="00A00453" w:rsidRPr="009A7DB9">
        <w:rPr>
          <w:lang w:val="en-CA"/>
        </w:rPr>
        <w:t>Spearson-Goulet</w:t>
      </w:r>
      <w:r>
        <w:rPr>
          <w:lang w:val="en-CA"/>
        </w:rPr>
        <w:t xml:space="preserve"> on May 23, 2017, and recorded in </w:t>
      </w:r>
      <w:r w:rsidR="00367B68">
        <w:rPr>
          <w:lang w:val="en-CA"/>
        </w:rPr>
        <w:t xml:space="preserve">the note filed as </w:t>
      </w:r>
      <w:r>
        <w:rPr>
          <w:lang w:val="en-CA"/>
        </w:rPr>
        <w:t>Exhibit R</w:t>
      </w:r>
      <w:r w:rsidR="00741809">
        <w:rPr>
          <w:lang w:val="en-CA"/>
        </w:rPr>
        <w:noBreakHyphen/>
      </w:r>
      <w:r>
        <w:rPr>
          <w:lang w:val="en-CA"/>
        </w:rPr>
        <w:t>1.</w:t>
      </w:r>
    </w:p>
    <w:p w14:paraId="7A158EDA" w14:textId="6C27A426" w:rsidR="00A00453" w:rsidRPr="009A7DB9" w:rsidRDefault="00183E7C" w:rsidP="00A00453">
      <w:pPr>
        <w:pStyle w:val="Paragraphe"/>
        <w:spacing w:line="280" w:lineRule="exact"/>
        <w:rPr>
          <w:lang w:val="en-CA"/>
        </w:rPr>
      </w:pPr>
      <w:r>
        <w:rPr>
          <w:lang w:val="en-CA"/>
        </w:rPr>
        <w:t>Unlike the</w:t>
      </w:r>
      <w:r w:rsidR="00901740">
        <w:rPr>
          <w:lang w:val="en-CA"/>
        </w:rPr>
        <w:t xml:space="preserve"> trial judge</w:t>
      </w:r>
      <w:r w:rsidR="0046327C">
        <w:rPr>
          <w:lang w:val="en-CA"/>
        </w:rPr>
        <w:t xml:space="preserve">, I am not satisfied that </w:t>
      </w:r>
      <w:r w:rsidR="00253192">
        <w:rPr>
          <w:lang w:val="en-CA"/>
        </w:rPr>
        <w:t xml:space="preserve">the child was in </w:t>
      </w:r>
      <w:r w:rsidR="002076FC">
        <w:rPr>
          <w:lang w:val="en-CA"/>
        </w:rPr>
        <w:t>a situation of endangerment</w:t>
      </w:r>
      <w:r w:rsidR="00A00453" w:rsidRPr="009A7DB9">
        <w:rPr>
          <w:lang w:val="en-CA"/>
        </w:rPr>
        <w:t xml:space="preserve">. </w:t>
      </w:r>
      <w:r w:rsidR="00253192">
        <w:rPr>
          <w:lang w:val="en-CA"/>
        </w:rPr>
        <w:t xml:space="preserve">Consequently, the professionals who were consulted were not under a </w:t>
      </w:r>
      <w:r w:rsidR="00367B68">
        <w:rPr>
          <w:lang w:val="en-CA"/>
        </w:rPr>
        <w:t xml:space="preserve">legal </w:t>
      </w:r>
      <w:r w:rsidR="00253192">
        <w:rPr>
          <w:lang w:val="en-CA"/>
        </w:rPr>
        <w:t xml:space="preserve">obligation to disclose the crimes to </w:t>
      </w:r>
      <w:r w:rsidR="008B5AFB">
        <w:rPr>
          <w:lang w:val="en-CA"/>
        </w:rPr>
        <w:t>the DYP</w:t>
      </w:r>
      <w:r w:rsidR="00253192">
        <w:rPr>
          <w:lang w:val="en-CA"/>
        </w:rPr>
        <w:t>. In fact, Ms. Landry</w:t>
      </w:r>
      <w:r w:rsidR="00A00453" w:rsidRPr="009A7DB9">
        <w:rPr>
          <w:lang w:val="en-CA"/>
        </w:rPr>
        <w:t xml:space="preserve"> </w:t>
      </w:r>
      <w:r w:rsidR="00253192">
        <w:rPr>
          <w:lang w:val="en-CA"/>
        </w:rPr>
        <w:t xml:space="preserve">testified that there was no endangerment </w:t>
      </w:r>
      <w:r w:rsidR="00A00453" w:rsidRPr="009A7DB9">
        <w:rPr>
          <w:lang w:val="en-CA"/>
        </w:rPr>
        <w:t>(</w:t>
      </w:r>
      <w:r w:rsidR="00253192">
        <w:rPr>
          <w:lang w:val="en-CA"/>
        </w:rPr>
        <w:t>appellant’s factum</w:t>
      </w:r>
      <w:r w:rsidR="00714E06" w:rsidRPr="00714E06">
        <w:rPr>
          <w:lang w:val="en-CA"/>
        </w:rPr>
        <w:t xml:space="preserve"> at </w:t>
      </w:r>
      <w:r w:rsidR="00A00453" w:rsidRPr="009A7DB9">
        <w:rPr>
          <w:lang w:val="en-CA"/>
        </w:rPr>
        <w:t xml:space="preserve">183) </w:t>
      </w:r>
      <w:r w:rsidR="00253192">
        <w:rPr>
          <w:lang w:val="en-CA"/>
        </w:rPr>
        <w:t>and</w:t>
      </w:r>
      <w:r w:rsidR="00A00453" w:rsidRPr="009A7DB9">
        <w:rPr>
          <w:lang w:val="en-CA"/>
        </w:rPr>
        <w:t xml:space="preserve"> Spearson</w:t>
      </w:r>
      <w:r w:rsidR="00253192">
        <w:rPr>
          <w:lang w:val="en-CA"/>
        </w:rPr>
        <w:noBreakHyphen/>
      </w:r>
      <w:r w:rsidR="00A00453" w:rsidRPr="009A7DB9">
        <w:rPr>
          <w:lang w:val="en-CA"/>
        </w:rPr>
        <w:t>Goulet t</w:t>
      </w:r>
      <w:r w:rsidR="00253192">
        <w:rPr>
          <w:lang w:val="en-CA"/>
        </w:rPr>
        <w:t xml:space="preserve">estified that </w:t>
      </w:r>
      <w:r w:rsidR="00253192" w:rsidRPr="00197517">
        <w:rPr>
          <w:szCs w:val="24"/>
          <w:lang w:val="en-CA"/>
        </w:rPr>
        <w:t>[</w:t>
      </w:r>
      <w:r w:rsidR="00197517" w:rsidRPr="00197517">
        <w:rPr>
          <w:smallCaps/>
          <w:szCs w:val="24"/>
          <w:lang w:val="en-CA"/>
        </w:rPr>
        <w:t>translation</w:t>
      </w:r>
      <w:r w:rsidR="00253192" w:rsidRPr="00197517">
        <w:rPr>
          <w:szCs w:val="24"/>
          <w:lang w:val="en-CA"/>
        </w:rPr>
        <w:t>]</w:t>
      </w:r>
      <w:r w:rsidR="00253192">
        <w:rPr>
          <w:lang w:val="en-CA"/>
        </w:rPr>
        <w:t xml:space="preserve"> “once there </w:t>
      </w:r>
      <w:r w:rsidR="00367B68">
        <w:rPr>
          <w:lang w:val="en-CA"/>
        </w:rPr>
        <w:t xml:space="preserve">is </w:t>
      </w:r>
      <w:r w:rsidR="00253192" w:rsidRPr="00593F2C">
        <w:rPr>
          <w:lang w:val="en-CA"/>
        </w:rPr>
        <w:t>no contact wit</w:t>
      </w:r>
      <w:r w:rsidR="005C2054" w:rsidRPr="00593F2C">
        <w:rPr>
          <w:lang w:val="en-CA"/>
        </w:rPr>
        <w:t xml:space="preserve">h… </w:t>
      </w:r>
      <w:r w:rsidR="00253192" w:rsidRPr="00593F2C">
        <w:rPr>
          <w:lang w:val="en-CA"/>
        </w:rPr>
        <w:t>and the family</w:t>
      </w:r>
      <w:r w:rsidR="005C2054" w:rsidRPr="00593F2C">
        <w:rPr>
          <w:lang w:val="en-CA"/>
        </w:rPr>
        <w:t xml:space="preserve"> i</w:t>
      </w:r>
      <w:r w:rsidR="00A714A8" w:rsidRPr="00593F2C">
        <w:rPr>
          <w:lang w:val="en-CA"/>
        </w:rPr>
        <w:t>s</w:t>
      </w:r>
      <w:r w:rsidR="005C2054" w:rsidRPr="00593F2C">
        <w:rPr>
          <w:lang w:val="en-CA"/>
        </w:rPr>
        <w:t xml:space="preserve"> not involved and</w:t>
      </w:r>
      <w:r w:rsidR="00253192" w:rsidRPr="00593F2C">
        <w:rPr>
          <w:lang w:val="en-CA"/>
        </w:rPr>
        <w:t xml:space="preserve"> there </w:t>
      </w:r>
      <w:r w:rsidR="005C2054" w:rsidRPr="00593F2C">
        <w:rPr>
          <w:lang w:val="en-CA"/>
        </w:rPr>
        <w:t xml:space="preserve">is </w:t>
      </w:r>
      <w:r w:rsidR="00253192" w:rsidRPr="00593F2C">
        <w:rPr>
          <w:lang w:val="en-CA"/>
        </w:rPr>
        <w:t>no contact with the child, the DYP no longer</w:t>
      </w:r>
      <w:r w:rsidR="00253192">
        <w:rPr>
          <w:lang w:val="en-CA"/>
        </w:rPr>
        <w:t xml:space="preserve"> needs to </w:t>
      </w:r>
      <w:r w:rsidR="005C2054">
        <w:rPr>
          <w:lang w:val="en-CA"/>
        </w:rPr>
        <w:t>be on the case</w:t>
      </w:r>
      <w:r w:rsidR="00B15F55">
        <w:rPr>
          <w:lang w:val="en-CA"/>
        </w:rPr>
        <w:t>.</w:t>
      </w:r>
      <w:r w:rsidR="00253192">
        <w:rPr>
          <w:lang w:val="en-CA"/>
        </w:rPr>
        <w:t>” (</w:t>
      </w:r>
      <w:r w:rsidR="00B15F55">
        <w:rPr>
          <w:lang w:val="en-CA"/>
        </w:rPr>
        <w:t>A</w:t>
      </w:r>
      <w:r w:rsidR="00253192">
        <w:rPr>
          <w:lang w:val="en-CA"/>
        </w:rPr>
        <w:t xml:space="preserve">ppellant’s factum at 100). Nor am I satisfied that the law required </w:t>
      </w:r>
      <w:r w:rsidR="008B3D82">
        <w:rPr>
          <w:lang w:val="en-CA"/>
        </w:rPr>
        <w:t>the DYP</w:t>
      </w:r>
      <w:r w:rsidR="00253192">
        <w:rPr>
          <w:lang w:val="en-CA"/>
        </w:rPr>
        <w:t xml:space="preserve"> to report to the police. In</w:t>
      </w:r>
      <w:r w:rsidR="0015198E">
        <w:rPr>
          <w:lang w:val="en-CA"/>
        </w:rPr>
        <w:t> </w:t>
      </w:r>
      <w:r w:rsidR="00253192">
        <w:rPr>
          <w:lang w:val="en-CA"/>
        </w:rPr>
        <w:t xml:space="preserve">fact, </w:t>
      </w:r>
      <w:r w:rsidR="00253192">
        <w:rPr>
          <w:lang w:val="en-CA"/>
        </w:rPr>
        <w:lastRenderedPageBreak/>
        <w:t xml:space="preserve">Ms. Landry testified that she is unable to </w:t>
      </w:r>
      <w:r w:rsidR="0015198E">
        <w:rPr>
          <w:lang w:val="en-CA"/>
        </w:rPr>
        <w:t>provide a basis for any obligation to do</w:t>
      </w:r>
      <w:r w:rsidR="00253192">
        <w:rPr>
          <w:lang w:val="en-CA"/>
        </w:rPr>
        <w:t xml:space="preserve"> so </w:t>
      </w:r>
      <w:r w:rsidR="00A00453" w:rsidRPr="009A7DB9">
        <w:rPr>
          <w:lang w:val="en-CA"/>
        </w:rPr>
        <w:t>(</w:t>
      </w:r>
      <w:r w:rsidR="00253192">
        <w:rPr>
          <w:lang w:val="en-CA"/>
        </w:rPr>
        <w:t xml:space="preserve">appellant’s factum at </w:t>
      </w:r>
      <w:r w:rsidR="00A00453" w:rsidRPr="009A7DB9">
        <w:rPr>
          <w:lang w:val="en-CA"/>
        </w:rPr>
        <w:t>182-183).</w:t>
      </w:r>
    </w:p>
    <w:p w14:paraId="281641A0" w14:textId="063E9780" w:rsidR="00A00453" w:rsidRPr="009A7DB9" w:rsidRDefault="00253192" w:rsidP="00A00453">
      <w:pPr>
        <w:pStyle w:val="JgtParagraphe"/>
        <w:numPr>
          <w:ilvl w:val="0"/>
          <w:numId w:val="18"/>
        </w:numPr>
        <w:spacing w:line="280" w:lineRule="exact"/>
        <w:rPr>
          <w:lang w:val="en-CA"/>
        </w:rPr>
      </w:pPr>
      <w:r>
        <w:rPr>
          <w:lang w:val="en-CA"/>
        </w:rPr>
        <w:t>However, the admissibility of the admissions</w:t>
      </w:r>
      <w:r w:rsidR="00DA2F4D">
        <w:rPr>
          <w:lang w:val="en-CA"/>
        </w:rPr>
        <w:t xml:space="preserve"> and therefore</w:t>
      </w:r>
      <w:r>
        <w:rPr>
          <w:lang w:val="en-CA"/>
        </w:rPr>
        <w:t xml:space="preserve"> the outcome of this appeal do not depend on the findings </w:t>
      </w:r>
      <w:r w:rsidR="00DA2F4D">
        <w:rPr>
          <w:lang w:val="en-CA"/>
        </w:rPr>
        <w:t>regarding</w:t>
      </w:r>
      <w:r>
        <w:rPr>
          <w:lang w:val="en-CA"/>
        </w:rPr>
        <w:t xml:space="preserve"> the </w:t>
      </w:r>
      <w:r w:rsidR="00EB43FF">
        <w:rPr>
          <w:lang w:val="en-CA"/>
        </w:rPr>
        <w:t xml:space="preserve">subsequent actions of the </w:t>
      </w:r>
      <w:r>
        <w:rPr>
          <w:lang w:val="en-CA"/>
        </w:rPr>
        <w:t>profes</w:t>
      </w:r>
      <w:r w:rsidR="00EB43FF">
        <w:rPr>
          <w:lang w:val="en-CA"/>
        </w:rPr>
        <w:t>sionals</w:t>
      </w:r>
      <w:r w:rsidR="00A00453" w:rsidRPr="00593F2C">
        <w:rPr>
          <w:lang w:val="en-CA"/>
        </w:rPr>
        <w:t xml:space="preserve">, </w:t>
      </w:r>
      <w:r w:rsidR="00EB43FF" w:rsidRPr="00593F2C">
        <w:rPr>
          <w:lang w:val="en-CA"/>
        </w:rPr>
        <w:t>so I will</w:t>
      </w:r>
      <w:r w:rsidR="00EB43FF">
        <w:rPr>
          <w:lang w:val="en-CA"/>
        </w:rPr>
        <w:t xml:space="preserve"> consider the privilege claimed by the appellant, which he argues prevents the admissions from being admitted in evidence.</w:t>
      </w:r>
    </w:p>
    <w:p w14:paraId="78E0577C" w14:textId="149C0D9A" w:rsidR="00A00453" w:rsidRPr="00163D95" w:rsidRDefault="004D3C18" w:rsidP="00A00453">
      <w:pPr>
        <w:pStyle w:val="Paragraphe"/>
        <w:spacing w:line="280" w:lineRule="exact"/>
        <w:rPr>
          <w:szCs w:val="24"/>
          <w:lang w:val="en-CA" w:eastAsia="en-US"/>
        </w:rPr>
      </w:pPr>
      <w:r>
        <w:rPr>
          <w:lang w:val="en-CA"/>
        </w:rPr>
        <w:t xml:space="preserve">It is not disputed that the </w:t>
      </w:r>
      <w:r w:rsidRPr="00163D95">
        <w:rPr>
          <w:lang w:val="en-CA"/>
        </w:rPr>
        <w:t xml:space="preserve">approach propounded by Professor Wigmore is in issue in this case: J.H. Wigmore, </w:t>
      </w:r>
      <w:r w:rsidRPr="00163D95">
        <w:rPr>
          <w:i/>
          <w:iCs/>
          <w:lang w:val="en-CA"/>
        </w:rPr>
        <w:t>Ev</w:t>
      </w:r>
      <w:r w:rsidR="00A00453" w:rsidRPr="00163D95">
        <w:rPr>
          <w:i/>
          <w:iCs/>
          <w:lang w:val="en-CA"/>
        </w:rPr>
        <w:t>idence in Trials at Common Law</w:t>
      </w:r>
      <w:r w:rsidR="00A00453" w:rsidRPr="00163D95">
        <w:rPr>
          <w:lang w:val="en-CA"/>
        </w:rPr>
        <w:t xml:space="preserve">, vol. 9 </w:t>
      </w:r>
      <w:r w:rsidRPr="00163D95">
        <w:rPr>
          <w:lang w:val="en-CA"/>
        </w:rPr>
        <w:t>(</w:t>
      </w:r>
      <w:r w:rsidR="00A00453" w:rsidRPr="00163D95">
        <w:rPr>
          <w:lang w:val="en-CA"/>
        </w:rPr>
        <w:t>Toronto</w:t>
      </w:r>
      <w:r w:rsidRPr="00163D95">
        <w:rPr>
          <w:lang w:val="en-CA"/>
        </w:rPr>
        <w:t>:</w:t>
      </w:r>
      <w:r w:rsidR="00A00453" w:rsidRPr="00163D95">
        <w:rPr>
          <w:lang w:val="en-CA"/>
        </w:rPr>
        <w:t xml:space="preserve"> Little</w:t>
      </w:r>
      <w:r w:rsidR="00A50507" w:rsidRPr="00163D95">
        <w:rPr>
          <w:lang w:val="en-CA"/>
        </w:rPr>
        <w:t>,</w:t>
      </w:r>
      <w:r w:rsidR="00A00453" w:rsidRPr="00163D95">
        <w:rPr>
          <w:lang w:val="en-CA"/>
        </w:rPr>
        <w:t xml:space="preserve"> Brown, 1961</w:t>
      </w:r>
      <w:r w:rsidRPr="00163D95">
        <w:rPr>
          <w:lang w:val="en-CA"/>
        </w:rPr>
        <w:t>)</w:t>
      </w:r>
      <w:r w:rsidR="008948CD" w:rsidRPr="00163D95">
        <w:rPr>
          <w:i/>
          <w:lang w:val="en-CA"/>
        </w:rPr>
        <w:t xml:space="preserve"> </w:t>
      </w:r>
      <w:r w:rsidR="00B44DB7" w:rsidRPr="00163D95">
        <w:rPr>
          <w:lang w:val="en-CA"/>
        </w:rPr>
        <w:t xml:space="preserve">at para. </w:t>
      </w:r>
      <w:r w:rsidR="00A00453" w:rsidRPr="00163D95">
        <w:rPr>
          <w:lang w:val="en-CA"/>
        </w:rPr>
        <w:t xml:space="preserve">2285. </w:t>
      </w:r>
      <w:r w:rsidR="00744514" w:rsidRPr="00163D95">
        <w:rPr>
          <w:lang w:val="en-CA"/>
        </w:rPr>
        <w:t>As I note in para</w:t>
      </w:r>
      <w:r w:rsidR="008336BC" w:rsidRPr="00163D95">
        <w:rPr>
          <w:lang w:val="en-CA"/>
        </w:rPr>
        <w:t>graph</w:t>
      </w:r>
      <w:r w:rsidR="00744514" w:rsidRPr="00163D95">
        <w:rPr>
          <w:lang w:val="en-CA"/>
        </w:rPr>
        <w:t xml:space="preserve"> </w:t>
      </w:r>
      <w:r w:rsidR="008336BC" w:rsidRPr="00163D95">
        <w:rPr>
          <w:lang w:val="en-CA"/>
        </w:rPr>
        <w:t>[</w:t>
      </w:r>
      <w:r w:rsidR="00744514" w:rsidRPr="00163D95">
        <w:rPr>
          <w:lang w:val="en-CA"/>
        </w:rPr>
        <w:t>30</w:t>
      </w:r>
      <w:r w:rsidR="008336BC" w:rsidRPr="00163D95">
        <w:rPr>
          <w:lang w:val="en-CA"/>
        </w:rPr>
        <w:t>]</w:t>
      </w:r>
      <w:r w:rsidR="00744514" w:rsidRPr="00163D95">
        <w:rPr>
          <w:lang w:val="en-CA"/>
        </w:rPr>
        <w:t xml:space="preserve"> of these reasons, the trial judge went over the </w:t>
      </w:r>
      <w:r w:rsidR="00744514" w:rsidRPr="00163D95">
        <w:rPr>
          <w:szCs w:val="24"/>
          <w:lang w:val="en-CA"/>
        </w:rPr>
        <w:t>[</w:t>
      </w:r>
      <w:r w:rsidR="00256A38" w:rsidRPr="00163D95">
        <w:rPr>
          <w:smallCaps/>
          <w:szCs w:val="24"/>
          <w:lang w:val="en-CA"/>
        </w:rPr>
        <w:t>translation</w:t>
      </w:r>
      <w:r w:rsidR="00744514" w:rsidRPr="00163D95">
        <w:rPr>
          <w:szCs w:val="24"/>
          <w:lang w:val="en-CA"/>
        </w:rPr>
        <w:t>]</w:t>
      </w:r>
      <w:r w:rsidR="00744514" w:rsidRPr="00163D95">
        <w:rPr>
          <w:lang w:val="en-CA"/>
        </w:rPr>
        <w:t xml:space="preserve"> “Wigmore criteria or test”</w:t>
      </w:r>
      <w:r w:rsidR="00A00453" w:rsidRPr="00163D95">
        <w:rPr>
          <w:lang w:val="en-CA"/>
        </w:rPr>
        <w:t xml:space="preserve">: </w:t>
      </w:r>
      <w:r w:rsidR="00A00453" w:rsidRPr="00163D95">
        <w:rPr>
          <w:i/>
          <w:iCs/>
          <w:szCs w:val="24"/>
          <w:lang w:val="en-CA" w:eastAsia="en-US"/>
        </w:rPr>
        <w:t>Slavutych v. Baker</w:t>
      </w:r>
      <w:r w:rsidR="00A00453" w:rsidRPr="00163D95">
        <w:rPr>
          <w:szCs w:val="24"/>
          <w:lang w:val="en-CA" w:eastAsia="en-US"/>
        </w:rPr>
        <w:t xml:space="preserve">, [1976] 1 </w:t>
      </w:r>
      <w:r w:rsidR="008948CD" w:rsidRPr="00163D95">
        <w:rPr>
          <w:szCs w:val="24"/>
          <w:lang w:val="en-CA" w:eastAsia="en-US"/>
        </w:rPr>
        <w:t>S.C.R.</w:t>
      </w:r>
      <w:r w:rsidR="00356252" w:rsidRPr="00163D95">
        <w:rPr>
          <w:szCs w:val="24"/>
          <w:lang w:val="en-CA" w:eastAsia="en-US"/>
        </w:rPr>
        <w:t xml:space="preserve"> </w:t>
      </w:r>
      <w:r w:rsidR="00A00453" w:rsidRPr="00163D95">
        <w:rPr>
          <w:szCs w:val="24"/>
          <w:lang w:val="en-CA" w:eastAsia="en-US"/>
        </w:rPr>
        <w:t xml:space="preserve">254; </w:t>
      </w:r>
      <w:r w:rsidR="00A00453" w:rsidRPr="00163D95">
        <w:rPr>
          <w:i/>
          <w:iCs/>
          <w:szCs w:val="24"/>
          <w:lang w:val="en-CA" w:eastAsia="en-US"/>
        </w:rPr>
        <w:t xml:space="preserve">R. </w:t>
      </w:r>
      <w:r w:rsidR="00D108EE" w:rsidRPr="00163D95">
        <w:rPr>
          <w:i/>
          <w:iCs/>
          <w:szCs w:val="24"/>
          <w:lang w:val="en-CA" w:eastAsia="en-US"/>
        </w:rPr>
        <w:t>v</w:t>
      </w:r>
      <w:r w:rsidR="00A00453" w:rsidRPr="00163D95">
        <w:rPr>
          <w:i/>
          <w:iCs/>
          <w:szCs w:val="24"/>
          <w:lang w:val="en-CA" w:eastAsia="en-US"/>
        </w:rPr>
        <w:t>. Gruenke</w:t>
      </w:r>
      <w:r w:rsidR="00A00453" w:rsidRPr="00163D95">
        <w:rPr>
          <w:szCs w:val="24"/>
          <w:lang w:val="en-CA" w:eastAsia="en-US"/>
        </w:rPr>
        <w:t xml:space="preserve">, [1991] 3 </w:t>
      </w:r>
      <w:r w:rsidR="008948CD" w:rsidRPr="00163D95">
        <w:rPr>
          <w:szCs w:val="24"/>
          <w:lang w:val="en-CA" w:eastAsia="en-US"/>
        </w:rPr>
        <w:t>S.C.R.</w:t>
      </w:r>
      <w:r w:rsidR="00A00453" w:rsidRPr="00163D95">
        <w:rPr>
          <w:szCs w:val="24"/>
          <w:lang w:val="en-CA" w:eastAsia="en-US"/>
        </w:rPr>
        <w:t xml:space="preserve"> 263</w:t>
      </w:r>
      <w:r w:rsidR="00D108EE" w:rsidRPr="00163D95">
        <w:rPr>
          <w:szCs w:val="24"/>
          <w:lang w:val="en-CA" w:eastAsia="en-US"/>
        </w:rPr>
        <w:t xml:space="preserve"> at</w:t>
      </w:r>
      <w:r w:rsidR="00A00453" w:rsidRPr="00163D95">
        <w:rPr>
          <w:szCs w:val="24"/>
          <w:lang w:val="en-CA" w:eastAsia="en-US"/>
        </w:rPr>
        <w:t xml:space="preserve"> 282.</w:t>
      </w:r>
    </w:p>
    <w:p w14:paraId="5189315F" w14:textId="4EC463CC" w:rsidR="00A00453" w:rsidRPr="009A7DB9" w:rsidRDefault="009519B3" w:rsidP="00A00453">
      <w:pPr>
        <w:pStyle w:val="Paragraphe"/>
        <w:spacing w:line="280" w:lineRule="exact"/>
        <w:rPr>
          <w:szCs w:val="24"/>
          <w:lang w:val="en-CA" w:eastAsia="en-US"/>
        </w:rPr>
      </w:pPr>
      <w:r>
        <w:rPr>
          <w:szCs w:val="24"/>
          <w:lang w:val="en-CA" w:eastAsia="en-US"/>
        </w:rPr>
        <w:t>Dealings</w:t>
      </w:r>
      <w:r w:rsidR="008948CD">
        <w:rPr>
          <w:szCs w:val="24"/>
          <w:lang w:val="en-CA" w:eastAsia="en-US"/>
        </w:rPr>
        <w:t xml:space="preserve"> between a patient and his </w:t>
      </w:r>
      <w:r w:rsidR="00B15B7A">
        <w:rPr>
          <w:szCs w:val="24"/>
          <w:lang w:val="en-CA" w:eastAsia="en-US"/>
        </w:rPr>
        <w:t xml:space="preserve">or her </w:t>
      </w:r>
      <w:r w:rsidR="008948CD">
        <w:rPr>
          <w:szCs w:val="24"/>
          <w:lang w:val="en-CA" w:eastAsia="en-US"/>
        </w:rPr>
        <w:t>physician, psychiatrist, psychologist</w:t>
      </w:r>
      <w:r w:rsidR="00B15B7A">
        <w:rPr>
          <w:szCs w:val="24"/>
          <w:lang w:val="en-CA" w:eastAsia="en-US"/>
        </w:rPr>
        <w:t>,</w:t>
      </w:r>
      <w:r w:rsidR="008948CD">
        <w:rPr>
          <w:szCs w:val="24"/>
          <w:lang w:val="en-CA" w:eastAsia="en-US"/>
        </w:rPr>
        <w:t xml:space="preserve"> or therapist may be subject to a case-by-case privilege</w:t>
      </w:r>
      <w:r w:rsidR="00A00453" w:rsidRPr="009A7DB9">
        <w:rPr>
          <w:lang w:val="en-CA"/>
        </w:rPr>
        <w:t xml:space="preserve">: </w:t>
      </w:r>
      <w:r w:rsidR="00A00453" w:rsidRPr="009A7DB9">
        <w:rPr>
          <w:i/>
          <w:lang w:val="en-CA"/>
        </w:rPr>
        <w:t>R</w:t>
      </w:r>
      <w:r w:rsidR="00A00453" w:rsidRPr="009A7DB9">
        <w:rPr>
          <w:lang w:val="en-CA"/>
        </w:rPr>
        <w:t xml:space="preserve">. </w:t>
      </w:r>
      <w:r w:rsidR="008948CD" w:rsidRPr="008948CD">
        <w:rPr>
          <w:i/>
          <w:iCs/>
          <w:lang w:val="en-CA"/>
        </w:rPr>
        <w:t>v</w:t>
      </w:r>
      <w:r w:rsidR="00A00453" w:rsidRPr="008948CD">
        <w:rPr>
          <w:i/>
          <w:iCs/>
          <w:lang w:val="en-CA"/>
        </w:rPr>
        <w:t>.</w:t>
      </w:r>
      <w:r w:rsidR="00A00453" w:rsidRPr="009A7DB9">
        <w:rPr>
          <w:lang w:val="en-CA"/>
        </w:rPr>
        <w:t xml:space="preserve"> </w:t>
      </w:r>
      <w:r w:rsidR="00A00453" w:rsidRPr="009A7DB9">
        <w:rPr>
          <w:i/>
          <w:lang w:val="en-CA"/>
        </w:rPr>
        <w:t>McClure</w:t>
      </w:r>
      <w:r w:rsidR="00A00453" w:rsidRPr="009A7DB9">
        <w:rPr>
          <w:lang w:val="en-CA"/>
        </w:rPr>
        <w:t xml:space="preserve">, [2001] 1 </w:t>
      </w:r>
      <w:r w:rsidR="008948CD" w:rsidRPr="008948CD">
        <w:rPr>
          <w:lang w:val="en-CA"/>
        </w:rPr>
        <w:t>S.C.R.</w:t>
      </w:r>
      <w:r w:rsidR="00A00453" w:rsidRPr="009A7DB9">
        <w:rPr>
          <w:lang w:val="en-CA"/>
        </w:rPr>
        <w:t xml:space="preserve"> 445</w:t>
      </w:r>
      <w:r w:rsidR="008948CD" w:rsidRPr="008948CD">
        <w:rPr>
          <w:i/>
          <w:lang w:val="en-CA"/>
        </w:rPr>
        <w:t xml:space="preserve"> </w:t>
      </w:r>
      <w:r w:rsidR="00B44DB7" w:rsidRPr="00B44DB7">
        <w:rPr>
          <w:lang w:val="en-CA"/>
        </w:rPr>
        <w:t xml:space="preserve">at para. </w:t>
      </w:r>
      <w:r w:rsidR="00A00453" w:rsidRPr="009A7DB9">
        <w:rPr>
          <w:lang w:val="en-CA"/>
        </w:rPr>
        <w:t>29.</w:t>
      </w:r>
    </w:p>
    <w:p w14:paraId="1737F722" w14:textId="2CD238A9" w:rsidR="00A00453" w:rsidRPr="009A7DB9" w:rsidRDefault="002B6E5B" w:rsidP="00A00453">
      <w:pPr>
        <w:pStyle w:val="Paragraphe"/>
        <w:spacing w:line="280" w:lineRule="exact"/>
        <w:rPr>
          <w:lang w:val="en-CA"/>
        </w:rPr>
      </w:pPr>
      <w:r>
        <w:rPr>
          <w:lang w:val="en-CA"/>
        </w:rPr>
        <w:t xml:space="preserve">The burden is on the party relying on the privilege to show that </w:t>
      </w:r>
      <w:r w:rsidR="007F0382">
        <w:rPr>
          <w:lang w:val="en-CA"/>
        </w:rPr>
        <w:t>all</w:t>
      </w:r>
      <w:r>
        <w:rPr>
          <w:lang w:val="en-CA"/>
        </w:rPr>
        <w:t xml:space="preserve"> the factors or criteria necessary to its application </w:t>
      </w:r>
      <w:r w:rsidR="00C71E8A">
        <w:rPr>
          <w:lang w:val="en-CA"/>
        </w:rPr>
        <w:t>are</w:t>
      </w:r>
      <w:r>
        <w:rPr>
          <w:lang w:val="en-CA"/>
        </w:rPr>
        <w:t xml:space="preserve"> met:</w:t>
      </w:r>
      <w:r w:rsidR="00A00453" w:rsidRPr="009A7DB9">
        <w:rPr>
          <w:lang w:val="en-CA"/>
        </w:rPr>
        <w:t xml:space="preserve"> </w:t>
      </w:r>
      <w:r w:rsidR="00A00453" w:rsidRPr="009A7DB9">
        <w:rPr>
          <w:i/>
          <w:iCs/>
          <w:lang w:val="en-CA"/>
        </w:rPr>
        <w:t xml:space="preserve">R. </w:t>
      </w:r>
      <w:r>
        <w:rPr>
          <w:i/>
          <w:iCs/>
          <w:lang w:val="en-CA"/>
        </w:rPr>
        <w:t>v</w:t>
      </w:r>
      <w:r w:rsidR="00A00453" w:rsidRPr="009A7DB9">
        <w:rPr>
          <w:i/>
          <w:iCs/>
          <w:lang w:val="en-CA"/>
        </w:rPr>
        <w:t>. National Post</w:t>
      </w:r>
      <w:r w:rsidR="00A00453" w:rsidRPr="009A7DB9">
        <w:rPr>
          <w:lang w:val="en-CA"/>
        </w:rPr>
        <w:t xml:space="preserve">, [2010] 1 </w:t>
      </w:r>
      <w:r w:rsidR="008948CD" w:rsidRPr="008948CD">
        <w:rPr>
          <w:lang w:val="en-CA"/>
        </w:rPr>
        <w:t>S.C.R.</w:t>
      </w:r>
      <w:r w:rsidR="00A00453" w:rsidRPr="009A7DB9">
        <w:rPr>
          <w:lang w:val="en-CA"/>
        </w:rPr>
        <w:t xml:space="preserve"> 477</w:t>
      </w:r>
      <w:r w:rsidR="008948CD" w:rsidRPr="008948CD">
        <w:rPr>
          <w:i/>
          <w:lang w:val="en-CA"/>
        </w:rPr>
        <w:t xml:space="preserve"> </w:t>
      </w:r>
      <w:r w:rsidR="00B44DB7" w:rsidRPr="00B44DB7">
        <w:rPr>
          <w:lang w:val="en-CA"/>
        </w:rPr>
        <w:t xml:space="preserve">at para. </w:t>
      </w:r>
      <w:r w:rsidR="00A00453" w:rsidRPr="009A7DB9">
        <w:rPr>
          <w:lang w:val="en-CA"/>
        </w:rPr>
        <w:t xml:space="preserve">64; </w:t>
      </w:r>
      <w:r w:rsidR="00A00453" w:rsidRPr="009A7DB9">
        <w:rPr>
          <w:i/>
          <w:iCs/>
          <w:szCs w:val="24"/>
          <w:lang w:val="en-CA" w:eastAsia="en-US"/>
        </w:rPr>
        <w:t xml:space="preserve">R. </w:t>
      </w:r>
      <w:r>
        <w:rPr>
          <w:i/>
          <w:iCs/>
          <w:szCs w:val="24"/>
          <w:lang w:val="en-CA" w:eastAsia="en-US"/>
        </w:rPr>
        <w:t>v</w:t>
      </w:r>
      <w:r w:rsidR="00A00453" w:rsidRPr="009A7DB9">
        <w:rPr>
          <w:i/>
          <w:iCs/>
          <w:szCs w:val="24"/>
          <w:lang w:val="en-CA" w:eastAsia="en-US"/>
        </w:rPr>
        <w:t>. Gruenke</w:t>
      </w:r>
      <w:r w:rsidR="00A00453" w:rsidRPr="009A7DB9">
        <w:rPr>
          <w:szCs w:val="24"/>
          <w:lang w:val="en-CA" w:eastAsia="en-US"/>
        </w:rPr>
        <w:t xml:space="preserve">, [1991] 3 </w:t>
      </w:r>
      <w:r w:rsidR="008948CD" w:rsidRPr="008948CD">
        <w:rPr>
          <w:szCs w:val="24"/>
          <w:lang w:val="en-CA" w:eastAsia="en-US"/>
        </w:rPr>
        <w:t>S.C.R.</w:t>
      </w:r>
      <w:r w:rsidR="00A00453" w:rsidRPr="009A7DB9">
        <w:rPr>
          <w:szCs w:val="24"/>
          <w:lang w:val="en-CA" w:eastAsia="en-US"/>
        </w:rPr>
        <w:t xml:space="preserve"> 263</w:t>
      </w:r>
      <w:r w:rsidR="00D108EE">
        <w:rPr>
          <w:szCs w:val="24"/>
          <w:lang w:val="en-CA" w:eastAsia="en-US"/>
        </w:rPr>
        <w:t xml:space="preserve"> at</w:t>
      </w:r>
      <w:r w:rsidR="00A00453" w:rsidRPr="009A7DB9">
        <w:rPr>
          <w:szCs w:val="24"/>
          <w:lang w:val="en-CA" w:eastAsia="en-US"/>
        </w:rPr>
        <w:t xml:space="preserve"> 293</w:t>
      </w:r>
      <w:r w:rsidR="00A00453" w:rsidRPr="009A7DB9">
        <w:rPr>
          <w:lang w:val="en-CA"/>
        </w:rPr>
        <w:t>.</w:t>
      </w:r>
    </w:p>
    <w:p w14:paraId="5910A339" w14:textId="107DD7B3" w:rsidR="00A00453" w:rsidRPr="009A7DB9" w:rsidRDefault="007C306E" w:rsidP="00A00453">
      <w:pPr>
        <w:pStyle w:val="Paragraphe"/>
        <w:spacing w:line="280" w:lineRule="exact"/>
        <w:rPr>
          <w:lang w:val="en-CA"/>
        </w:rPr>
      </w:pPr>
      <w:r>
        <w:rPr>
          <w:lang w:val="en-CA"/>
        </w:rPr>
        <w:t xml:space="preserve">In my opinion, the trial judge erred in his analysis of the first two criteria of the test, which he found are not satisfied. Firstly, he concluded that the appellant disclosed his crimes before knowing the therapists might send the information to a third party, namely </w:t>
      </w:r>
      <w:r w:rsidR="002904E6">
        <w:rPr>
          <w:lang w:val="en-CA"/>
        </w:rPr>
        <w:t>the DYP</w:t>
      </w:r>
      <w:r>
        <w:rPr>
          <w:lang w:val="en-CA"/>
        </w:rPr>
        <w:t xml:space="preserve">. </w:t>
      </w:r>
      <w:r w:rsidR="003E7E54">
        <w:rPr>
          <w:lang w:val="en-CA"/>
        </w:rPr>
        <w:t>Then, he</w:t>
      </w:r>
      <w:r>
        <w:rPr>
          <w:lang w:val="en-CA"/>
        </w:rPr>
        <w:t xml:space="preserve"> found that the </w:t>
      </w:r>
      <w:r w:rsidR="00624EA8">
        <w:rPr>
          <w:lang w:val="en-CA"/>
        </w:rPr>
        <w:t xml:space="preserve">appellant’s involvement in </w:t>
      </w:r>
      <w:r>
        <w:rPr>
          <w:lang w:val="en-CA"/>
        </w:rPr>
        <w:t xml:space="preserve">group therapy </w:t>
      </w:r>
      <w:r w:rsidR="00D712C6">
        <w:rPr>
          <w:lang w:val="en-CA"/>
        </w:rPr>
        <w:t>negates</w:t>
      </w:r>
      <w:r w:rsidR="00421C6A">
        <w:rPr>
          <w:lang w:val="en-CA"/>
        </w:rPr>
        <w:t xml:space="preserve"> </w:t>
      </w:r>
      <w:r w:rsidR="00624EA8">
        <w:rPr>
          <w:lang w:val="en-CA"/>
        </w:rPr>
        <w:t xml:space="preserve">any </w:t>
      </w:r>
      <w:r w:rsidR="00421C6A">
        <w:rPr>
          <w:lang w:val="en-CA"/>
        </w:rPr>
        <w:t xml:space="preserve">expectation of </w:t>
      </w:r>
      <w:r w:rsidR="00D712C6">
        <w:rPr>
          <w:lang w:val="en-CA"/>
        </w:rPr>
        <w:t>confidentialit</w:t>
      </w:r>
      <w:r w:rsidR="00624EA8">
        <w:rPr>
          <w:lang w:val="en-CA"/>
        </w:rPr>
        <w:t>y</w:t>
      </w:r>
      <w:r w:rsidR="00421C6A">
        <w:rPr>
          <w:lang w:val="en-CA"/>
        </w:rPr>
        <w:t>.</w:t>
      </w:r>
      <w:r w:rsidR="00A00453" w:rsidRPr="009A7DB9">
        <w:rPr>
          <w:lang w:val="en-CA"/>
        </w:rPr>
        <w:t xml:space="preserve"> </w:t>
      </w:r>
      <w:r w:rsidR="00B15B7A">
        <w:rPr>
          <w:lang w:val="en-CA"/>
        </w:rPr>
        <w:t xml:space="preserve">However, </w:t>
      </w:r>
      <w:r w:rsidR="00421C6A">
        <w:rPr>
          <w:lang w:val="en-CA"/>
        </w:rPr>
        <w:t xml:space="preserve">the </w:t>
      </w:r>
      <w:r w:rsidR="007C6F87">
        <w:rPr>
          <w:lang w:val="en-CA"/>
        </w:rPr>
        <w:t xml:space="preserve">possibility </w:t>
      </w:r>
      <w:r w:rsidR="00DE1438">
        <w:rPr>
          <w:lang w:val="en-CA"/>
        </w:rPr>
        <w:t xml:space="preserve">that </w:t>
      </w:r>
      <w:r w:rsidR="00421C6A">
        <w:rPr>
          <w:lang w:val="en-CA"/>
        </w:rPr>
        <w:t xml:space="preserve">evidence </w:t>
      </w:r>
      <w:r w:rsidR="00DE1438">
        <w:rPr>
          <w:lang w:val="en-CA"/>
        </w:rPr>
        <w:t xml:space="preserve">was disclosed </w:t>
      </w:r>
      <w:r w:rsidR="00421C6A">
        <w:rPr>
          <w:lang w:val="en-CA"/>
        </w:rPr>
        <w:t xml:space="preserve">to a third party </w:t>
      </w:r>
      <w:r w:rsidR="007C6F87">
        <w:rPr>
          <w:lang w:val="en-CA"/>
        </w:rPr>
        <w:t xml:space="preserve">does not </w:t>
      </w:r>
      <w:r w:rsidR="00CA64C1">
        <w:rPr>
          <w:lang w:val="en-CA"/>
        </w:rPr>
        <w:t xml:space="preserve">necessarily </w:t>
      </w:r>
      <w:r w:rsidR="006C4438">
        <w:rPr>
          <w:lang w:val="en-CA"/>
        </w:rPr>
        <w:t>rule out a breach of</w:t>
      </w:r>
      <w:r w:rsidR="00624EA8">
        <w:rPr>
          <w:lang w:val="en-CA"/>
        </w:rPr>
        <w:t xml:space="preserve"> confidence</w:t>
      </w:r>
      <w:r w:rsidR="00D712C6">
        <w:rPr>
          <w:lang w:val="en-CA"/>
        </w:rPr>
        <w:t xml:space="preserve">: </w:t>
      </w:r>
      <w:r w:rsidR="00A00453" w:rsidRPr="009A7DB9">
        <w:rPr>
          <w:i/>
          <w:iCs/>
          <w:lang w:val="en-CA"/>
        </w:rPr>
        <w:t xml:space="preserve">M.(A.) </w:t>
      </w:r>
      <w:r w:rsidR="00D712C6">
        <w:rPr>
          <w:i/>
          <w:iCs/>
          <w:lang w:val="en-CA"/>
        </w:rPr>
        <w:t>v</w:t>
      </w:r>
      <w:r w:rsidR="00A00453" w:rsidRPr="009A7DB9">
        <w:rPr>
          <w:i/>
          <w:iCs/>
          <w:lang w:val="en-CA"/>
        </w:rPr>
        <w:t>. Ryan</w:t>
      </w:r>
      <w:r w:rsidR="00A00453" w:rsidRPr="009A7DB9">
        <w:rPr>
          <w:lang w:val="en-CA"/>
        </w:rPr>
        <w:t xml:space="preserve">, [1997] 1 </w:t>
      </w:r>
      <w:r w:rsidR="008948CD" w:rsidRPr="008948CD">
        <w:rPr>
          <w:lang w:val="en-CA"/>
        </w:rPr>
        <w:t>S.C.R.</w:t>
      </w:r>
      <w:r w:rsidR="00A00453" w:rsidRPr="009A7DB9">
        <w:rPr>
          <w:lang w:val="en-CA"/>
        </w:rPr>
        <w:t xml:space="preserve"> 157</w:t>
      </w:r>
      <w:r w:rsidR="008948CD" w:rsidRPr="008948CD">
        <w:rPr>
          <w:i/>
          <w:lang w:val="en-CA"/>
        </w:rPr>
        <w:t xml:space="preserve"> </w:t>
      </w:r>
      <w:r w:rsidR="00B44DB7" w:rsidRPr="00B44DB7">
        <w:rPr>
          <w:lang w:val="en-CA"/>
        </w:rPr>
        <w:t>at para.</w:t>
      </w:r>
      <w:r w:rsidR="00B05E0A">
        <w:rPr>
          <w:lang w:val="en-CA"/>
        </w:rPr>
        <w:t> </w:t>
      </w:r>
      <w:r w:rsidR="00A00453" w:rsidRPr="009A7DB9">
        <w:rPr>
          <w:lang w:val="en-CA"/>
        </w:rPr>
        <w:t xml:space="preserve">24; </w:t>
      </w:r>
      <w:r w:rsidR="00A00453" w:rsidRPr="009A7DB9">
        <w:rPr>
          <w:i/>
          <w:iCs/>
          <w:lang w:val="en-CA"/>
        </w:rPr>
        <w:t>R.</w:t>
      </w:r>
      <w:r w:rsidR="00D712C6">
        <w:rPr>
          <w:i/>
          <w:iCs/>
          <w:lang w:val="en-CA"/>
        </w:rPr>
        <w:t> </w:t>
      </w:r>
      <w:r w:rsidR="003B4C7D">
        <w:rPr>
          <w:i/>
          <w:iCs/>
          <w:lang w:val="en-CA"/>
        </w:rPr>
        <w:t>v</w:t>
      </w:r>
      <w:r w:rsidR="00A00453" w:rsidRPr="009A7DB9">
        <w:rPr>
          <w:i/>
          <w:iCs/>
          <w:lang w:val="en-CA"/>
        </w:rPr>
        <w:t>.</w:t>
      </w:r>
      <w:r w:rsidR="00D712C6">
        <w:rPr>
          <w:i/>
          <w:iCs/>
          <w:lang w:val="en-CA"/>
        </w:rPr>
        <w:t> </w:t>
      </w:r>
      <w:r w:rsidR="00A00453" w:rsidRPr="009A7DB9">
        <w:rPr>
          <w:i/>
          <w:iCs/>
          <w:lang w:val="en-CA"/>
        </w:rPr>
        <w:t>S.(R.)</w:t>
      </w:r>
      <w:r w:rsidR="00A00453" w:rsidRPr="009A7DB9">
        <w:rPr>
          <w:lang w:val="en-CA"/>
        </w:rPr>
        <w:t xml:space="preserve"> (1985)</w:t>
      </w:r>
      <w:r w:rsidR="003B4C7D">
        <w:rPr>
          <w:lang w:val="en-CA"/>
        </w:rPr>
        <w:t>,</w:t>
      </w:r>
      <w:r w:rsidR="00A00453" w:rsidRPr="009A7DB9">
        <w:rPr>
          <w:lang w:val="en-CA"/>
        </w:rPr>
        <w:t xml:space="preserve"> 19</w:t>
      </w:r>
      <w:r w:rsidR="003B4C7D">
        <w:rPr>
          <w:lang w:val="en-CA"/>
        </w:rPr>
        <w:t> </w:t>
      </w:r>
      <w:r w:rsidR="00A00453" w:rsidRPr="009A7DB9">
        <w:rPr>
          <w:lang w:val="en-CA"/>
        </w:rPr>
        <w:t>C</w:t>
      </w:r>
      <w:r w:rsidR="003F43D0">
        <w:rPr>
          <w:lang w:val="en-CA"/>
        </w:rPr>
        <w:t>.</w:t>
      </w:r>
      <w:r w:rsidR="00A00453" w:rsidRPr="009A7DB9">
        <w:rPr>
          <w:lang w:val="en-CA"/>
        </w:rPr>
        <w:t>C</w:t>
      </w:r>
      <w:r w:rsidR="003F43D0">
        <w:rPr>
          <w:lang w:val="en-CA"/>
        </w:rPr>
        <w:t>.</w:t>
      </w:r>
      <w:r w:rsidR="00A00453" w:rsidRPr="009A7DB9">
        <w:rPr>
          <w:lang w:val="en-CA"/>
        </w:rPr>
        <w:t>C</w:t>
      </w:r>
      <w:r w:rsidR="003F43D0">
        <w:rPr>
          <w:lang w:val="en-CA"/>
        </w:rPr>
        <w:t>.</w:t>
      </w:r>
      <w:r w:rsidR="00A00453" w:rsidRPr="009A7DB9">
        <w:rPr>
          <w:lang w:val="en-CA"/>
        </w:rPr>
        <w:t xml:space="preserve"> (3d) 115</w:t>
      </w:r>
      <w:r w:rsidR="003B4C7D">
        <w:rPr>
          <w:lang w:val="en-CA"/>
        </w:rPr>
        <w:t xml:space="preserve"> at</w:t>
      </w:r>
      <w:r w:rsidR="00A00453" w:rsidRPr="009A7DB9">
        <w:rPr>
          <w:lang w:val="en-CA"/>
        </w:rPr>
        <w:t xml:space="preserve"> 131 </w:t>
      </w:r>
      <w:r w:rsidR="00B44DB7" w:rsidRPr="00B44DB7">
        <w:rPr>
          <w:lang w:val="en-CA"/>
        </w:rPr>
        <w:t>(Ont. C.A.)</w:t>
      </w:r>
      <w:r w:rsidR="00A00453" w:rsidRPr="009A7DB9">
        <w:rPr>
          <w:lang w:val="en-CA"/>
        </w:rPr>
        <w:t>.</w:t>
      </w:r>
    </w:p>
    <w:p w14:paraId="6E52B3AC" w14:textId="4F325368" w:rsidR="00A00453" w:rsidRPr="009A7DB9" w:rsidRDefault="001562CF" w:rsidP="00A00453">
      <w:pPr>
        <w:pStyle w:val="Paragraphe"/>
        <w:spacing w:line="280" w:lineRule="exact"/>
        <w:rPr>
          <w:lang w:val="en-CA"/>
        </w:rPr>
      </w:pPr>
      <w:r>
        <w:rPr>
          <w:lang w:val="en-CA"/>
        </w:rPr>
        <w:t xml:space="preserve">I find that the first three criteria of the test are met. The fourth </w:t>
      </w:r>
      <w:r w:rsidR="00C946FC">
        <w:rPr>
          <w:lang w:val="en-CA"/>
        </w:rPr>
        <w:t>must now</w:t>
      </w:r>
      <w:r w:rsidR="004151EA">
        <w:rPr>
          <w:lang w:val="en-CA"/>
        </w:rPr>
        <w:t xml:space="preserve"> be</w:t>
      </w:r>
      <w:r>
        <w:rPr>
          <w:lang w:val="en-CA"/>
        </w:rPr>
        <w:t xml:space="preserve"> </w:t>
      </w:r>
      <w:r w:rsidR="004151EA">
        <w:rPr>
          <w:lang w:val="en-CA"/>
        </w:rPr>
        <w:t>considered</w:t>
      </w:r>
      <w:r>
        <w:rPr>
          <w:lang w:val="en-CA"/>
        </w:rPr>
        <w:t xml:space="preserve">. </w:t>
      </w:r>
      <w:r w:rsidR="00FF3B8A">
        <w:rPr>
          <w:lang w:val="en-CA"/>
        </w:rPr>
        <w:t>This criterion</w:t>
      </w:r>
      <w:r w:rsidR="00EA4CC9">
        <w:rPr>
          <w:lang w:val="en-CA"/>
        </w:rPr>
        <w:t xml:space="preserve"> </w:t>
      </w:r>
      <w:r w:rsidR="00FE0CA7">
        <w:rPr>
          <w:lang w:val="en-CA"/>
        </w:rPr>
        <w:t>is case-specific,</w:t>
      </w:r>
      <w:r w:rsidR="004151EA">
        <w:rPr>
          <w:lang w:val="en-CA"/>
        </w:rPr>
        <w:t xml:space="preserve"> so </w:t>
      </w:r>
      <w:r w:rsidR="00CE6687">
        <w:rPr>
          <w:lang w:val="en-CA"/>
        </w:rPr>
        <w:t>the</w:t>
      </w:r>
      <w:r w:rsidR="004151EA">
        <w:rPr>
          <w:lang w:val="en-CA"/>
        </w:rPr>
        <w:t xml:space="preserve"> outcome</w:t>
      </w:r>
      <w:r w:rsidR="00CE6687">
        <w:rPr>
          <w:lang w:val="en-CA"/>
        </w:rPr>
        <w:t xml:space="preserve"> of its application</w:t>
      </w:r>
      <w:r w:rsidR="004151EA">
        <w:rPr>
          <w:lang w:val="en-CA"/>
        </w:rPr>
        <w:t xml:space="preserve"> does not establish an immutable or even general rule. Different</w:t>
      </w:r>
      <w:r w:rsidR="009D536F">
        <w:rPr>
          <w:lang w:val="en-CA"/>
        </w:rPr>
        <w:t> </w:t>
      </w:r>
      <w:r w:rsidR="0085361D">
        <w:rPr>
          <w:lang w:val="en-CA"/>
        </w:rPr>
        <w:t>facts</w:t>
      </w:r>
      <w:r w:rsidR="004151EA">
        <w:rPr>
          <w:lang w:val="en-CA"/>
        </w:rPr>
        <w:t xml:space="preserve"> can lead to different </w:t>
      </w:r>
      <w:r w:rsidR="0085361D">
        <w:rPr>
          <w:lang w:val="en-CA"/>
        </w:rPr>
        <w:t>conclusions</w:t>
      </w:r>
      <w:r w:rsidR="004151EA">
        <w:rPr>
          <w:lang w:val="en-CA"/>
        </w:rPr>
        <w:t>.</w:t>
      </w:r>
      <w:r w:rsidR="00A00453" w:rsidRPr="009A7DB9">
        <w:rPr>
          <w:lang w:val="en-CA"/>
        </w:rPr>
        <w:t xml:space="preserve"> </w:t>
      </w:r>
    </w:p>
    <w:p w14:paraId="75C3B1E3" w14:textId="1EE48B19" w:rsidR="00A00453" w:rsidRPr="009A7DB9" w:rsidRDefault="004151EA" w:rsidP="00A00453">
      <w:pPr>
        <w:pStyle w:val="Paragraphe"/>
        <w:spacing w:line="280" w:lineRule="exact"/>
        <w:rPr>
          <w:lang w:val="en-CA"/>
        </w:rPr>
      </w:pPr>
      <w:r>
        <w:rPr>
          <w:lang w:val="en-CA"/>
        </w:rPr>
        <w:t>As the Supreme Court reminds us</w:t>
      </w:r>
      <w:r w:rsidR="00A00453" w:rsidRPr="009A7DB9">
        <w:rPr>
          <w:lang w:val="en-CA"/>
        </w:rPr>
        <w:t xml:space="preserve">, </w:t>
      </w:r>
      <w:r w:rsidR="004A6582">
        <w:rPr>
          <w:lang w:val="en-CA"/>
        </w:rPr>
        <w:t>“The fourth requirement is</w:t>
      </w:r>
      <w:r w:rsidR="004A6582" w:rsidRPr="004A6582">
        <w:rPr>
          <w:lang w:val="en-CA"/>
        </w:rPr>
        <w:t xml:space="preserve"> </w:t>
      </w:r>
      <w:r w:rsidR="00B258E6">
        <w:rPr>
          <w:lang w:val="en-CA"/>
        </w:rPr>
        <w:t xml:space="preserve">that </w:t>
      </w:r>
      <w:r w:rsidR="004A6582" w:rsidRPr="004A6582">
        <w:rPr>
          <w:lang w:val="en-CA"/>
        </w:rPr>
        <w:t>the interests served by protecting the communications from disclosure outweigh the interest of pursuing the truth and disposing correctly of the litigation</w:t>
      </w:r>
      <w:r w:rsidR="004A6582">
        <w:rPr>
          <w:lang w:val="en-CA"/>
        </w:rPr>
        <w:t>”</w:t>
      </w:r>
      <w:r w:rsidR="00DE1438">
        <w:rPr>
          <w:lang w:val="en-CA"/>
        </w:rPr>
        <w:t>:</w:t>
      </w:r>
      <w:r w:rsidR="00A00453" w:rsidRPr="009A7DB9">
        <w:rPr>
          <w:lang w:val="en-CA"/>
        </w:rPr>
        <w:t xml:space="preserve"> </w:t>
      </w:r>
      <w:r w:rsidR="00A00453" w:rsidRPr="009A7DB9">
        <w:rPr>
          <w:i/>
          <w:iCs/>
          <w:lang w:val="en-CA"/>
        </w:rPr>
        <w:t xml:space="preserve">M. (A.) </w:t>
      </w:r>
      <w:r w:rsidR="00EB63AA">
        <w:rPr>
          <w:i/>
          <w:iCs/>
          <w:lang w:val="en-CA"/>
        </w:rPr>
        <w:t>v</w:t>
      </w:r>
      <w:r w:rsidR="00A00453" w:rsidRPr="009A7DB9">
        <w:rPr>
          <w:i/>
          <w:iCs/>
          <w:lang w:val="en-CA"/>
        </w:rPr>
        <w:t>. Ryan</w:t>
      </w:r>
      <w:r w:rsidR="00A00453" w:rsidRPr="009A7DB9">
        <w:rPr>
          <w:lang w:val="en-CA"/>
        </w:rPr>
        <w:t>, [1997]</w:t>
      </w:r>
      <w:r w:rsidR="00A54E83">
        <w:rPr>
          <w:lang w:val="en-CA"/>
        </w:rPr>
        <w:t> </w:t>
      </w:r>
      <w:r w:rsidR="00A00453" w:rsidRPr="009A7DB9">
        <w:rPr>
          <w:lang w:val="en-CA"/>
        </w:rPr>
        <w:t>1</w:t>
      </w:r>
      <w:r w:rsidR="00A54E83">
        <w:rPr>
          <w:lang w:val="en-CA"/>
        </w:rPr>
        <w:t> </w:t>
      </w:r>
      <w:r w:rsidR="008948CD" w:rsidRPr="008948CD">
        <w:rPr>
          <w:lang w:val="en-CA"/>
        </w:rPr>
        <w:t>S.C.R.</w:t>
      </w:r>
      <w:r w:rsidR="00A00453" w:rsidRPr="009A7DB9">
        <w:rPr>
          <w:lang w:val="en-CA"/>
        </w:rPr>
        <w:t xml:space="preserve"> 157</w:t>
      </w:r>
      <w:r w:rsidR="008948CD" w:rsidRPr="008948CD">
        <w:rPr>
          <w:i/>
          <w:lang w:val="en-CA"/>
        </w:rPr>
        <w:t xml:space="preserve"> </w:t>
      </w:r>
      <w:r w:rsidR="00B44DB7" w:rsidRPr="00B44DB7">
        <w:rPr>
          <w:lang w:val="en-CA"/>
        </w:rPr>
        <w:t xml:space="preserve">at para. </w:t>
      </w:r>
      <w:r w:rsidR="00A00453" w:rsidRPr="009A7DB9">
        <w:rPr>
          <w:lang w:val="en-CA"/>
        </w:rPr>
        <w:t>29.</w:t>
      </w:r>
    </w:p>
    <w:p w14:paraId="6F8C3A96" w14:textId="598614B5" w:rsidR="00A00453" w:rsidRPr="009A7DB9" w:rsidRDefault="00550F11" w:rsidP="00A00453">
      <w:pPr>
        <w:pStyle w:val="Paragraphe"/>
        <w:spacing w:line="280" w:lineRule="exact"/>
        <w:rPr>
          <w:lang w:val="en-CA"/>
        </w:rPr>
      </w:pPr>
      <w:r>
        <w:rPr>
          <w:lang w:val="en-CA"/>
        </w:rPr>
        <w:t>The Supreme Court points out that</w:t>
      </w:r>
      <w:r w:rsidR="00A00453" w:rsidRPr="009A7DB9">
        <w:rPr>
          <w:lang w:val="en-CA"/>
        </w:rPr>
        <w:t xml:space="preserve"> </w:t>
      </w:r>
      <w:r>
        <w:rPr>
          <w:lang w:val="en-CA"/>
        </w:rPr>
        <w:t>“</w:t>
      </w:r>
      <w:r w:rsidRPr="00550F11">
        <w:rPr>
          <w:lang w:val="en-CA"/>
        </w:rPr>
        <w:t xml:space="preserve">the common law </w:t>
      </w:r>
      <w:r w:rsidRPr="00550F11">
        <w:rPr>
          <w:u w:val="single"/>
          <w:lang w:val="en-CA"/>
        </w:rPr>
        <w:t>must</w:t>
      </w:r>
      <w:r w:rsidRPr="00550F11">
        <w:rPr>
          <w:lang w:val="en-CA"/>
        </w:rPr>
        <w:t xml:space="preserve"> develop in a way that reflects emerging </w:t>
      </w:r>
      <w:r w:rsidRPr="00550F11">
        <w:rPr>
          <w:i/>
          <w:iCs/>
          <w:lang w:val="en-CA"/>
        </w:rPr>
        <w:t xml:space="preserve">Charter </w:t>
      </w:r>
      <w:r w:rsidRPr="00550F11">
        <w:rPr>
          <w:lang w:val="en-CA"/>
        </w:rPr>
        <w:t>values</w:t>
      </w:r>
      <w:r>
        <w:rPr>
          <w:lang w:val="en-CA"/>
        </w:rPr>
        <w:t xml:space="preserve">. It follows that </w:t>
      </w:r>
      <w:r w:rsidRPr="00550F11">
        <w:rPr>
          <w:lang w:val="en-CA"/>
        </w:rPr>
        <w:t xml:space="preserve">the factors balanced under the fourth part of the test for privilege should be updated to reflect relevant </w:t>
      </w:r>
      <w:r w:rsidRPr="00550F11">
        <w:rPr>
          <w:i/>
          <w:iCs/>
          <w:lang w:val="en-CA"/>
        </w:rPr>
        <w:t>Charter</w:t>
      </w:r>
      <w:r w:rsidRPr="00550F11">
        <w:rPr>
          <w:lang w:val="en-CA"/>
        </w:rPr>
        <w:t xml:space="preserve"> values</w:t>
      </w:r>
      <w:r>
        <w:rPr>
          <w:lang w:val="en-CA"/>
        </w:rPr>
        <w:t>”</w:t>
      </w:r>
      <w:r w:rsidR="00DE1438">
        <w:rPr>
          <w:lang w:val="en-CA"/>
        </w:rPr>
        <w:t>:</w:t>
      </w:r>
      <w:r>
        <w:rPr>
          <w:lang w:val="en-CA"/>
        </w:rPr>
        <w:t xml:space="preserve"> </w:t>
      </w:r>
      <w:r w:rsidR="00A00453" w:rsidRPr="009A7DB9">
        <w:rPr>
          <w:i/>
          <w:iCs/>
          <w:lang w:val="en-CA"/>
        </w:rPr>
        <w:t xml:space="preserve">M.(A.) </w:t>
      </w:r>
      <w:r>
        <w:rPr>
          <w:i/>
          <w:iCs/>
          <w:lang w:val="en-CA"/>
        </w:rPr>
        <w:t>v</w:t>
      </w:r>
      <w:r w:rsidR="00A00453" w:rsidRPr="009A7DB9">
        <w:rPr>
          <w:i/>
          <w:iCs/>
          <w:lang w:val="en-CA"/>
        </w:rPr>
        <w:t>. Ryan</w:t>
      </w:r>
      <w:r w:rsidR="00A00453" w:rsidRPr="009A7DB9">
        <w:rPr>
          <w:lang w:val="en-CA"/>
        </w:rPr>
        <w:t xml:space="preserve">, </w:t>
      </w:r>
      <w:r w:rsidR="008948CD" w:rsidRPr="008948CD">
        <w:rPr>
          <w:i/>
          <w:lang w:val="en-CA"/>
        </w:rPr>
        <w:t xml:space="preserve">supra </w:t>
      </w:r>
      <w:r w:rsidR="00B44DB7" w:rsidRPr="00B44DB7">
        <w:rPr>
          <w:lang w:val="en-CA"/>
        </w:rPr>
        <w:t xml:space="preserve">at para. </w:t>
      </w:r>
      <w:r w:rsidR="00A00453" w:rsidRPr="009A7DB9">
        <w:rPr>
          <w:lang w:val="en-CA"/>
        </w:rPr>
        <w:t>30</w:t>
      </w:r>
      <w:r>
        <w:rPr>
          <w:lang w:val="en-CA"/>
        </w:rPr>
        <w:t>.</w:t>
      </w:r>
      <w:r w:rsidR="00A00453" w:rsidRPr="009A7DB9">
        <w:rPr>
          <w:lang w:val="en-CA"/>
        </w:rPr>
        <w:t xml:space="preserve"> </w:t>
      </w:r>
      <w:r>
        <w:rPr>
          <w:lang w:val="en-CA"/>
        </w:rPr>
        <w:t>[Emphasis added.]</w:t>
      </w:r>
    </w:p>
    <w:p w14:paraId="71B086B3" w14:textId="26F5771B" w:rsidR="00A00453" w:rsidRPr="009A7DB9" w:rsidRDefault="005301BE" w:rsidP="00A00453">
      <w:pPr>
        <w:pStyle w:val="Paragraphe"/>
        <w:spacing w:line="280" w:lineRule="exact"/>
        <w:rPr>
          <w:lang w:val="en-CA"/>
        </w:rPr>
      </w:pPr>
      <w:r>
        <w:rPr>
          <w:lang w:val="en-CA"/>
        </w:rPr>
        <w:lastRenderedPageBreak/>
        <w:t xml:space="preserve">With respect, the trial judge </w:t>
      </w:r>
      <w:r w:rsidR="00CC330E">
        <w:rPr>
          <w:lang w:val="en-CA"/>
        </w:rPr>
        <w:t>failed to</w:t>
      </w:r>
      <w:r>
        <w:rPr>
          <w:lang w:val="en-CA"/>
        </w:rPr>
        <w:t xml:space="preserve"> take this factor into account</w:t>
      </w:r>
      <w:r w:rsidR="00A00453" w:rsidRPr="009A7DB9">
        <w:rPr>
          <w:lang w:val="en-CA"/>
        </w:rPr>
        <w:t>.</w:t>
      </w:r>
    </w:p>
    <w:p w14:paraId="1C2C64C2" w14:textId="7FB2BF10" w:rsidR="00A00453" w:rsidRPr="009A7DB9" w:rsidRDefault="005301BE" w:rsidP="00A00453">
      <w:pPr>
        <w:pStyle w:val="Paragraphe"/>
        <w:spacing w:line="280" w:lineRule="exact"/>
        <w:rPr>
          <w:lang w:val="en-CA"/>
        </w:rPr>
      </w:pPr>
      <w:r>
        <w:rPr>
          <w:lang w:val="en-CA"/>
        </w:rPr>
        <w:t>Specifically</w:t>
      </w:r>
      <w:r w:rsidR="00A00453" w:rsidRPr="009A7DB9">
        <w:rPr>
          <w:lang w:val="en-CA"/>
        </w:rPr>
        <w:t>,</w:t>
      </w:r>
      <w:r>
        <w:rPr>
          <w:lang w:val="en-CA"/>
        </w:rPr>
        <w:t xml:space="preserve"> it is undeniable that in this exercise, the fundamental </w:t>
      </w:r>
      <w:r w:rsidRPr="005301BE">
        <w:rPr>
          <w:i/>
          <w:iCs/>
          <w:lang w:val="en-CA"/>
        </w:rPr>
        <w:t xml:space="preserve">Charter </w:t>
      </w:r>
      <w:r>
        <w:rPr>
          <w:lang w:val="en-CA"/>
        </w:rPr>
        <w:t>value that protects against self-incrimination needs to be considered</w:t>
      </w:r>
      <w:r w:rsidR="00A00453" w:rsidRPr="009A7DB9">
        <w:rPr>
          <w:lang w:val="en-CA"/>
        </w:rPr>
        <w:t xml:space="preserve">: </w:t>
      </w:r>
      <w:r w:rsidR="00714E06">
        <w:rPr>
          <w:lang w:val="en-CA"/>
        </w:rPr>
        <w:t>s</w:t>
      </w:r>
      <w:r w:rsidR="0002206A">
        <w:rPr>
          <w:lang w:val="en-CA"/>
        </w:rPr>
        <w:t>ections </w:t>
      </w:r>
      <w:r w:rsidR="00A00453" w:rsidRPr="009A7DB9">
        <w:rPr>
          <w:lang w:val="en-CA"/>
        </w:rPr>
        <w:t xml:space="preserve"> 7, 10, 11</w:t>
      </w:r>
      <w:r w:rsidR="00B5009F">
        <w:rPr>
          <w:lang w:val="en-CA"/>
        </w:rPr>
        <w:t>,</w:t>
      </w:r>
      <w:r w:rsidR="00A00453" w:rsidRPr="009A7DB9">
        <w:rPr>
          <w:lang w:val="en-CA"/>
        </w:rPr>
        <w:t xml:space="preserve"> </w:t>
      </w:r>
      <w:r w:rsidR="00714E06">
        <w:rPr>
          <w:lang w:val="en-CA"/>
        </w:rPr>
        <w:t>and</w:t>
      </w:r>
      <w:r w:rsidR="00A00453" w:rsidRPr="009A7DB9">
        <w:rPr>
          <w:lang w:val="en-CA"/>
        </w:rPr>
        <w:t xml:space="preserve"> 13 </w:t>
      </w:r>
      <w:r w:rsidR="00714E06">
        <w:rPr>
          <w:lang w:val="en-CA"/>
        </w:rPr>
        <w:t xml:space="preserve">of the </w:t>
      </w:r>
      <w:r w:rsidR="00A00453" w:rsidRPr="009A7DB9">
        <w:rPr>
          <w:i/>
          <w:iCs/>
          <w:lang w:val="en-CA"/>
        </w:rPr>
        <w:t>Charte</w:t>
      </w:r>
      <w:r w:rsidR="00714E06">
        <w:rPr>
          <w:i/>
          <w:iCs/>
          <w:lang w:val="en-CA"/>
        </w:rPr>
        <w:t>r</w:t>
      </w:r>
      <w:r w:rsidR="00A00453" w:rsidRPr="009A7DB9">
        <w:rPr>
          <w:lang w:val="en-CA"/>
        </w:rPr>
        <w:t xml:space="preserve">. </w:t>
      </w:r>
      <w:r w:rsidR="00DC6D96">
        <w:rPr>
          <w:lang w:val="en-CA"/>
        </w:rPr>
        <w:t>Using</w:t>
      </w:r>
      <w:r w:rsidR="00F34939">
        <w:rPr>
          <w:lang w:val="en-CA"/>
        </w:rPr>
        <w:t xml:space="preserve"> confidential communications between a therapist and his patient as the </w:t>
      </w:r>
      <w:r w:rsidR="00F34939" w:rsidRPr="00F34939">
        <w:rPr>
          <w:i/>
          <w:iCs/>
          <w:lang w:val="en-CA"/>
        </w:rPr>
        <w:t>sole</w:t>
      </w:r>
      <w:r w:rsidR="00F34939">
        <w:rPr>
          <w:lang w:val="en-CA"/>
        </w:rPr>
        <w:t xml:space="preserve"> evidence of guilt certainly </w:t>
      </w:r>
      <w:r w:rsidR="009748C9">
        <w:rPr>
          <w:lang w:val="en-CA"/>
        </w:rPr>
        <w:t>offends</w:t>
      </w:r>
      <w:r w:rsidR="00F34939">
        <w:rPr>
          <w:lang w:val="en-CA"/>
        </w:rPr>
        <w:t xml:space="preserve"> </w:t>
      </w:r>
      <w:r w:rsidR="00F34939" w:rsidRPr="00F34939">
        <w:rPr>
          <w:i/>
          <w:iCs/>
          <w:lang w:val="en-CA"/>
        </w:rPr>
        <w:t>Charter</w:t>
      </w:r>
      <w:r w:rsidR="00F34939">
        <w:rPr>
          <w:lang w:val="en-CA"/>
        </w:rPr>
        <w:t xml:space="preserve"> values.</w:t>
      </w:r>
      <w:r w:rsidR="00A00453" w:rsidRPr="009A7DB9">
        <w:rPr>
          <w:lang w:val="en-CA"/>
        </w:rPr>
        <w:t xml:space="preserve"> </w:t>
      </w:r>
    </w:p>
    <w:p w14:paraId="6E223752" w14:textId="44714CAB" w:rsidR="00A00453" w:rsidRPr="009A7DB9" w:rsidRDefault="00545E86" w:rsidP="00A00453">
      <w:pPr>
        <w:pStyle w:val="Paragraphe"/>
        <w:spacing w:line="280" w:lineRule="exact"/>
        <w:rPr>
          <w:lang w:val="en-CA"/>
        </w:rPr>
      </w:pPr>
      <w:r>
        <w:rPr>
          <w:lang w:val="en-CA"/>
        </w:rPr>
        <w:t>In</w:t>
      </w:r>
      <w:r w:rsidR="00A00453" w:rsidRPr="009A7DB9">
        <w:rPr>
          <w:lang w:val="en-CA"/>
        </w:rPr>
        <w:t xml:space="preserve"> </w:t>
      </w:r>
      <w:r w:rsidR="00A00453" w:rsidRPr="009A7DB9">
        <w:rPr>
          <w:i/>
          <w:iCs/>
          <w:lang w:val="en-CA"/>
        </w:rPr>
        <w:t xml:space="preserve">M.(A.) </w:t>
      </w:r>
      <w:r>
        <w:rPr>
          <w:i/>
          <w:iCs/>
          <w:lang w:val="en-CA"/>
        </w:rPr>
        <w:t>v</w:t>
      </w:r>
      <w:r w:rsidR="00A00453" w:rsidRPr="009A7DB9">
        <w:rPr>
          <w:i/>
          <w:iCs/>
          <w:lang w:val="en-CA"/>
        </w:rPr>
        <w:t>. Ryan</w:t>
      </w:r>
      <w:r w:rsidR="00A00453" w:rsidRPr="009A7DB9">
        <w:rPr>
          <w:lang w:val="en-CA"/>
        </w:rPr>
        <w:t xml:space="preserve">, </w:t>
      </w:r>
      <w:r w:rsidR="008948CD" w:rsidRPr="008948CD">
        <w:rPr>
          <w:i/>
          <w:lang w:val="en-CA"/>
        </w:rPr>
        <w:t>supra</w:t>
      </w:r>
      <w:r w:rsidR="00A00453" w:rsidRPr="009A7DB9">
        <w:rPr>
          <w:lang w:val="en-CA"/>
        </w:rPr>
        <w:t xml:space="preserve">, </w:t>
      </w:r>
      <w:r>
        <w:rPr>
          <w:lang w:val="en-CA"/>
        </w:rPr>
        <w:t xml:space="preserve">the Court refers to the important value of privacy, reflected, </w:t>
      </w:r>
      <w:r w:rsidRPr="00545E86">
        <w:rPr>
          <w:i/>
          <w:iCs/>
          <w:lang w:val="en-CA"/>
        </w:rPr>
        <w:t>inter alia</w:t>
      </w:r>
      <w:r>
        <w:rPr>
          <w:lang w:val="en-CA"/>
        </w:rPr>
        <w:t xml:space="preserve">, in section  8 of the </w:t>
      </w:r>
      <w:r w:rsidRPr="00545E86">
        <w:rPr>
          <w:i/>
          <w:iCs/>
          <w:lang w:val="en-CA"/>
        </w:rPr>
        <w:t>Charter</w:t>
      </w:r>
      <w:r>
        <w:rPr>
          <w:lang w:val="en-CA"/>
        </w:rPr>
        <w:t>, in a civil case where the medical records of a sexual assault victim were being sought</w:t>
      </w:r>
      <w:r w:rsidR="00A00453" w:rsidRPr="009A7DB9">
        <w:rPr>
          <w:lang w:val="en-CA"/>
        </w:rPr>
        <w:t xml:space="preserve">. </w:t>
      </w:r>
      <w:r>
        <w:rPr>
          <w:lang w:val="en-CA"/>
        </w:rPr>
        <w:t xml:space="preserve">The Court imported this </w:t>
      </w:r>
      <w:r w:rsidRPr="00545E86">
        <w:rPr>
          <w:i/>
          <w:iCs/>
          <w:lang w:val="en-CA"/>
        </w:rPr>
        <w:t>Charter</w:t>
      </w:r>
      <w:r>
        <w:rPr>
          <w:lang w:val="en-CA"/>
        </w:rPr>
        <w:t xml:space="preserve"> value, which is not the same thing as enforcing the </w:t>
      </w:r>
      <w:r w:rsidRPr="00545E86">
        <w:rPr>
          <w:i/>
          <w:iCs/>
          <w:lang w:val="en-CA"/>
        </w:rPr>
        <w:t>Charter</w:t>
      </w:r>
      <w:r>
        <w:rPr>
          <w:lang w:val="en-CA"/>
        </w:rPr>
        <w:t xml:space="preserve"> </w:t>
      </w:r>
      <w:r w:rsidR="006246AA">
        <w:rPr>
          <w:lang w:val="en-CA"/>
        </w:rPr>
        <w:t>in a civil case</w:t>
      </w:r>
      <w:r>
        <w:rPr>
          <w:lang w:val="en-CA"/>
        </w:rPr>
        <w:t xml:space="preserve">. </w:t>
      </w:r>
    </w:p>
    <w:p w14:paraId="31B1449E" w14:textId="7BFDA15B" w:rsidR="00A00453" w:rsidRPr="009A7DB9" w:rsidRDefault="00545E86" w:rsidP="00A00453">
      <w:pPr>
        <w:pStyle w:val="Paragraphe"/>
        <w:spacing w:line="280" w:lineRule="exact"/>
        <w:rPr>
          <w:lang w:val="en-CA"/>
        </w:rPr>
      </w:pPr>
      <w:r>
        <w:rPr>
          <w:lang w:val="en-CA"/>
        </w:rPr>
        <w:t xml:space="preserve">In the case at bar, </w:t>
      </w:r>
      <w:r w:rsidR="00B5009F">
        <w:rPr>
          <w:lang w:val="en-CA"/>
        </w:rPr>
        <w:t xml:space="preserve">the </w:t>
      </w:r>
      <w:r>
        <w:rPr>
          <w:lang w:val="en-CA"/>
        </w:rPr>
        <w:t xml:space="preserve">Court </w:t>
      </w:r>
      <w:r w:rsidR="00C534D3">
        <w:rPr>
          <w:lang w:val="en-CA"/>
        </w:rPr>
        <w:t>should not</w:t>
      </w:r>
      <w:r>
        <w:rPr>
          <w:lang w:val="en-CA"/>
        </w:rPr>
        <w:t xml:space="preserve"> apply the constitutional guarantees against self-incrimination in </w:t>
      </w:r>
      <w:r w:rsidR="00C534D3">
        <w:rPr>
          <w:lang w:val="en-CA"/>
        </w:rPr>
        <w:t>a</w:t>
      </w:r>
      <w:r>
        <w:rPr>
          <w:lang w:val="en-CA"/>
        </w:rPr>
        <w:t xml:space="preserve"> context </w:t>
      </w:r>
      <w:r w:rsidR="00C534D3">
        <w:rPr>
          <w:lang w:val="en-CA"/>
        </w:rPr>
        <w:t>where</w:t>
      </w:r>
      <w:r>
        <w:rPr>
          <w:lang w:val="en-CA"/>
        </w:rPr>
        <w:t xml:space="preserve"> admissions </w:t>
      </w:r>
      <w:r w:rsidR="00C534D3">
        <w:rPr>
          <w:lang w:val="en-CA"/>
        </w:rPr>
        <w:t xml:space="preserve">were </w:t>
      </w:r>
      <w:r>
        <w:rPr>
          <w:lang w:val="en-CA"/>
        </w:rPr>
        <w:t xml:space="preserve">made to </w:t>
      </w:r>
      <w:r w:rsidR="00EF0300">
        <w:rPr>
          <w:lang w:val="en-CA"/>
        </w:rPr>
        <w:t>non</w:t>
      </w:r>
      <w:r w:rsidR="00AD0145">
        <w:rPr>
          <w:lang w:val="en-CA"/>
        </w:rPr>
        <w:noBreakHyphen/>
      </w:r>
      <w:r w:rsidR="00EF0300">
        <w:rPr>
          <w:lang w:val="en-CA"/>
        </w:rPr>
        <w:t>government actors</w:t>
      </w:r>
      <w:r>
        <w:rPr>
          <w:lang w:val="en-CA"/>
        </w:rPr>
        <w:t xml:space="preserve">. Nonetheless, the importance that the supreme law accords to protection against self-incrimination needs to be </w:t>
      </w:r>
      <w:r w:rsidR="00274A54">
        <w:rPr>
          <w:lang w:val="en-CA"/>
        </w:rPr>
        <w:t>considered</w:t>
      </w:r>
      <w:r>
        <w:rPr>
          <w:lang w:val="en-CA"/>
        </w:rPr>
        <w:t xml:space="preserve"> in assessing whether doctor-patient or more generally therapist-patient relationships are covered by a privilege</w:t>
      </w:r>
      <w:r w:rsidR="00A00453" w:rsidRPr="009A7DB9">
        <w:rPr>
          <w:lang w:val="en-CA"/>
        </w:rPr>
        <w:t xml:space="preserve">. </w:t>
      </w:r>
    </w:p>
    <w:p w14:paraId="78A236BD" w14:textId="2C2363ED" w:rsidR="00A00453" w:rsidRPr="009A7DB9" w:rsidRDefault="00B00517" w:rsidP="00A00453">
      <w:pPr>
        <w:pStyle w:val="Paragraphe"/>
        <w:spacing w:line="280" w:lineRule="exact"/>
        <w:rPr>
          <w:lang w:val="en-CA"/>
        </w:rPr>
      </w:pPr>
      <w:r>
        <w:rPr>
          <w:lang w:val="en-CA"/>
        </w:rPr>
        <w:t>The respondent relies on</w:t>
      </w:r>
      <w:r w:rsidR="00A00453" w:rsidRPr="009A7DB9">
        <w:rPr>
          <w:lang w:val="en-CA"/>
        </w:rPr>
        <w:t xml:space="preserve"> </w:t>
      </w:r>
      <w:r w:rsidR="00A00453" w:rsidRPr="009A7DB9">
        <w:rPr>
          <w:i/>
          <w:iCs/>
          <w:lang w:val="en-CA"/>
        </w:rPr>
        <w:t xml:space="preserve">R. </w:t>
      </w:r>
      <w:r>
        <w:rPr>
          <w:i/>
          <w:iCs/>
          <w:lang w:val="en-CA"/>
        </w:rPr>
        <w:t>v</w:t>
      </w:r>
      <w:r w:rsidR="00A00453" w:rsidRPr="009A7DB9">
        <w:rPr>
          <w:i/>
          <w:iCs/>
          <w:lang w:val="en-CA"/>
        </w:rPr>
        <w:t>. S.(R.)</w:t>
      </w:r>
      <w:r w:rsidR="00A00453" w:rsidRPr="009A7DB9">
        <w:rPr>
          <w:lang w:val="en-CA"/>
        </w:rPr>
        <w:t xml:space="preserve"> (1985)</w:t>
      </w:r>
      <w:r>
        <w:rPr>
          <w:lang w:val="en-CA"/>
        </w:rPr>
        <w:t>,</w:t>
      </w:r>
      <w:r w:rsidR="00A00453" w:rsidRPr="009A7DB9">
        <w:rPr>
          <w:lang w:val="en-CA"/>
        </w:rPr>
        <w:t xml:space="preserve"> 19 C</w:t>
      </w:r>
      <w:r>
        <w:rPr>
          <w:lang w:val="en-CA"/>
        </w:rPr>
        <w:t>.</w:t>
      </w:r>
      <w:r w:rsidR="00A00453" w:rsidRPr="009A7DB9">
        <w:rPr>
          <w:lang w:val="en-CA"/>
        </w:rPr>
        <w:t>C</w:t>
      </w:r>
      <w:r>
        <w:rPr>
          <w:lang w:val="en-CA"/>
        </w:rPr>
        <w:t>.</w:t>
      </w:r>
      <w:r w:rsidR="00A00453" w:rsidRPr="009A7DB9">
        <w:rPr>
          <w:lang w:val="en-CA"/>
        </w:rPr>
        <w:t>C</w:t>
      </w:r>
      <w:r>
        <w:rPr>
          <w:lang w:val="en-CA"/>
        </w:rPr>
        <w:t>.</w:t>
      </w:r>
      <w:r w:rsidR="00A00453" w:rsidRPr="009A7DB9">
        <w:rPr>
          <w:lang w:val="en-CA"/>
        </w:rPr>
        <w:t xml:space="preserve"> (3d) 115 </w:t>
      </w:r>
      <w:r w:rsidR="00B44DB7" w:rsidRPr="00B44DB7">
        <w:rPr>
          <w:lang w:val="en-CA"/>
        </w:rPr>
        <w:t>(Ont. C.A.)</w:t>
      </w:r>
      <w:r w:rsidR="00A00453" w:rsidRPr="009A7DB9">
        <w:rPr>
          <w:lang w:val="en-CA"/>
        </w:rPr>
        <w:t xml:space="preserve">. </w:t>
      </w:r>
      <w:r>
        <w:rPr>
          <w:lang w:val="en-CA"/>
        </w:rPr>
        <w:t xml:space="preserve">There, following </w:t>
      </w:r>
      <w:r w:rsidR="00DE0CAA">
        <w:rPr>
          <w:lang w:val="en-CA"/>
        </w:rPr>
        <w:t xml:space="preserve">two waves of sexual abuse </w:t>
      </w:r>
      <w:r w:rsidR="00127E00">
        <w:rPr>
          <w:lang w:val="en-CA"/>
        </w:rPr>
        <w:t>complaints</w:t>
      </w:r>
      <w:r w:rsidR="00DE0CAA">
        <w:rPr>
          <w:lang w:val="en-CA"/>
        </w:rPr>
        <w:t xml:space="preserve"> against the appellant </w:t>
      </w:r>
      <w:r w:rsidR="0057484F">
        <w:rPr>
          <w:lang w:val="en-CA"/>
        </w:rPr>
        <w:t>for acts</w:t>
      </w:r>
      <w:r w:rsidR="00DE0CAA">
        <w:rPr>
          <w:lang w:val="en-CA"/>
        </w:rPr>
        <w:t xml:space="preserve"> </w:t>
      </w:r>
      <w:r w:rsidR="00D93BFA">
        <w:rPr>
          <w:lang w:val="en-CA"/>
        </w:rPr>
        <w:t xml:space="preserve">alleged </w:t>
      </w:r>
      <w:r w:rsidR="00F00FC0">
        <w:rPr>
          <w:lang w:val="en-CA"/>
        </w:rPr>
        <w:t xml:space="preserve">to have been committed </w:t>
      </w:r>
      <w:r w:rsidR="00BC55E3">
        <w:rPr>
          <w:lang w:val="en-CA"/>
        </w:rPr>
        <w:t xml:space="preserve">on </w:t>
      </w:r>
      <w:r w:rsidR="00DE0CAA">
        <w:rPr>
          <w:lang w:val="en-CA"/>
        </w:rPr>
        <w:t xml:space="preserve">his spouse’s children, group </w:t>
      </w:r>
      <w:r w:rsidR="0069229B">
        <w:rPr>
          <w:lang w:val="en-CA"/>
        </w:rPr>
        <w:t>counselling</w:t>
      </w:r>
      <w:r w:rsidR="00DE0CAA">
        <w:rPr>
          <w:lang w:val="en-CA"/>
        </w:rPr>
        <w:t xml:space="preserve"> was recommended by the physicians consulted by the</w:t>
      </w:r>
      <w:r w:rsidR="00D93BFA">
        <w:rPr>
          <w:lang w:val="en-CA"/>
        </w:rPr>
        <w:t>ir</w:t>
      </w:r>
      <w:r w:rsidR="00DE0CAA">
        <w:rPr>
          <w:lang w:val="en-CA"/>
        </w:rPr>
        <w:t xml:space="preserve"> mother. </w:t>
      </w:r>
      <w:r w:rsidR="00937385">
        <w:rPr>
          <w:lang w:val="en-CA"/>
        </w:rPr>
        <w:t>T</w:t>
      </w:r>
      <w:r w:rsidR="00DE0CAA">
        <w:rPr>
          <w:lang w:val="en-CA"/>
        </w:rPr>
        <w:t xml:space="preserve">he appellant attended </w:t>
      </w:r>
      <w:r w:rsidR="00937385">
        <w:rPr>
          <w:lang w:val="en-CA"/>
        </w:rPr>
        <w:t>the second counselling session</w:t>
      </w:r>
      <w:r w:rsidR="005669AE">
        <w:rPr>
          <w:lang w:val="en-CA"/>
        </w:rPr>
        <w:t>s</w:t>
      </w:r>
      <w:r w:rsidR="00937385">
        <w:rPr>
          <w:lang w:val="en-CA"/>
        </w:rPr>
        <w:t xml:space="preserve"> </w:t>
      </w:r>
      <w:r w:rsidR="00DE0CAA">
        <w:rPr>
          <w:lang w:val="en-CA"/>
        </w:rPr>
        <w:t>voluntarily</w:t>
      </w:r>
      <w:r w:rsidR="00A00453" w:rsidRPr="009A7DB9">
        <w:rPr>
          <w:lang w:val="en-CA"/>
        </w:rPr>
        <w:t xml:space="preserve">. </w:t>
      </w:r>
      <w:r w:rsidR="00DE0CAA">
        <w:rPr>
          <w:lang w:val="en-CA"/>
        </w:rPr>
        <w:t>He knew th</w:t>
      </w:r>
      <w:r w:rsidR="00563FE6">
        <w:rPr>
          <w:lang w:val="en-CA"/>
        </w:rPr>
        <w:t>e</w:t>
      </w:r>
      <w:r w:rsidR="00DE0CAA">
        <w:rPr>
          <w:lang w:val="en-CA"/>
        </w:rPr>
        <w:t xml:space="preserve"> sessions were being recorded. </w:t>
      </w:r>
      <w:r w:rsidR="0069229B">
        <w:rPr>
          <w:lang w:val="en-CA"/>
        </w:rPr>
        <w:t>He</w:t>
      </w:r>
      <w:r w:rsidR="00DE0CAA">
        <w:rPr>
          <w:lang w:val="en-CA"/>
        </w:rPr>
        <w:t xml:space="preserve"> was confronted by the revelations</w:t>
      </w:r>
      <w:r w:rsidR="005669AE">
        <w:rPr>
          <w:lang w:val="en-CA"/>
        </w:rPr>
        <w:t xml:space="preserve"> </w:t>
      </w:r>
      <w:r w:rsidR="00DE0CAA">
        <w:rPr>
          <w:lang w:val="en-CA"/>
        </w:rPr>
        <w:t xml:space="preserve">and by the clinician who was leading the </w:t>
      </w:r>
      <w:r w:rsidR="006A72D0">
        <w:rPr>
          <w:lang w:val="en-CA"/>
        </w:rPr>
        <w:t>counselling</w:t>
      </w:r>
      <w:r w:rsidR="00DE0CAA">
        <w:rPr>
          <w:lang w:val="en-CA"/>
        </w:rPr>
        <w:t xml:space="preserve">. </w:t>
      </w:r>
      <w:r w:rsidR="0069229B">
        <w:rPr>
          <w:lang w:val="en-CA"/>
        </w:rPr>
        <w:t>He </w:t>
      </w:r>
      <w:r w:rsidR="00DE0CAA">
        <w:rPr>
          <w:lang w:val="en-CA"/>
        </w:rPr>
        <w:t>remained silent when faced with th</w:t>
      </w:r>
      <w:r w:rsidR="00563FE6">
        <w:rPr>
          <w:lang w:val="en-CA"/>
        </w:rPr>
        <w:t>e</w:t>
      </w:r>
      <w:r w:rsidR="00DE0CAA">
        <w:rPr>
          <w:lang w:val="en-CA"/>
        </w:rPr>
        <w:t xml:space="preserve"> accusations. The prosecution sought to use his silence as evidence at trial</w:t>
      </w:r>
      <w:r w:rsidR="0069229B">
        <w:rPr>
          <w:rFonts w:cs="Arial"/>
          <w:lang w:val="en-CA"/>
        </w:rPr>
        <w:t>—</w:t>
      </w:r>
      <w:r w:rsidR="00360AA3">
        <w:rPr>
          <w:rFonts w:cs="Arial"/>
          <w:lang w:val="en-CA"/>
        </w:rPr>
        <w:t xml:space="preserve">a </w:t>
      </w:r>
      <w:r w:rsidR="00DE0CAA">
        <w:rPr>
          <w:lang w:val="en-CA"/>
        </w:rPr>
        <w:t xml:space="preserve">silence </w:t>
      </w:r>
      <w:r w:rsidR="00563FE6">
        <w:rPr>
          <w:lang w:val="en-CA"/>
        </w:rPr>
        <w:t>which</w:t>
      </w:r>
      <w:r w:rsidR="00360AA3">
        <w:rPr>
          <w:lang w:val="en-CA"/>
        </w:rPr>
        <w:t>,</w:t>
      </w:r>
      <w:r w:rsidR="00563FE6">
        <w:rPr>
          <w:lang w:val="en-CA"/>
        </w:rPr>
        <w:t xml:space="preserve"> according to the trial court, spoke volumes</w:t>
      </w:r>
      <w:r w:rsidR="00A00453" w:rsidRPr="009A7DB9">
        <w:rPr>
          <w:lang w:val="en-CA"/>
        </w:rPr>
        <w:t xml:space="preserve">. </w:t>
      </w:r>
      <w:r w:rsidR="00DE0CAA">
        <w:rPr>
          <w:lang w:val="en-CA"/>
        </w:rPr>
        <w:t xml:space="preserve">The Ontario Court of Appeal did not hesitate to find that </w:t>
      </w:r>
      <w:r w:rsidR="006B290D">
        <w:rPr>
          <w:lang w:val="en-CA"/>
        </w:rPr>
        <w:t xml:space="preserve">the </w:t>
      </w:r>
      <w:r w:rsidR="00563FE6">
        <w:rPr>
          <w:lang w:val="en-CA"/>
        </w:rPr>
        <w:t>group therapy</w:t>
      </w:r>
      <w:r w:rsidR="00DE0CAA">
        <w:rPr>
          <w:lang w:val="en-CA"/>
        </w:rPr>
        <w:t xml:space="preserve"> </w:t>
      </w:r>
      <w:r w:rsidR="006B290D">
        <w:rPr>
          <w:lang w:val="en-CA"/>
        </w:rPr>
        <w:t>did not defeat</w:t>
      </w:r>
      <w:r w:rsidR="00DE0CAA">
        <w:rPr>
          <w:lang w:val="en-CA"/>
        </w:rPr>
        <w:t xml:space="preserve"> the appellant’s expectation of privacy: </w:t>
      </w:r>
      <w:r w:rsidR="00A00453" w:rsidRPr="009A7DB9">
        <w:rPr>
          <w:i/>
          <w:iCs/>
          <w:lang w:val="en-CA"/>
        </w:rPr>
        <w:t xml:space="preserve">R. </w:t>
      </w:r>
      <w:r w:rsidR="00563FE6">
        <w:rPr>
          <w:i/>
          <w:iCs/>
          <w:lang w:val="en-CA"/>
        </w:rPr>
        <w:t>v</w:t>
      </w:r>
      <w:r w:rsidR="00A00453" w:rsidRPr="009A7DB9">
        <w:rPr>
          <w:i/>
          <w:iCs/>
          <w:lang w:val="en-CA"/>
        </w:rPr>
        <w:t>. S.(R.),</w:t>
      </w:r>
      <w:r w:rsidR="00A00453" w:rsidRPr="009A7DB9">
        <w:rPr>
          <w:lang w:val="en-CA"/>
        </w:rPr>
        <w:t xml:space="preserve"> </w:t>
      </w:r>
      <w:r w:rsidR="008948CD" w:rsidRPr="008948CD">
        <w:rPr>
          <w:i/>
          <w:lang w:val="en-CA"/>
        </w:rPr>
        <w:t>supra</w:t>
      </w:r>
      <w:r w:rsidR="00714E06" w:rsidRPr="00714E06">
        <w:rPr>
          <w:lang w:val="en-CA"/>
        </w:rPr>
        <w:t xml:space="preserve"> at </w:t>
      </w:r>
      <w:r w:rsidR="00A00453" w:rsidRPr="009A7DB9">
        <w:rPr>
          <w:lang w:val="en-CA"/>
        </w:rPr>
        <w:t xml:space="preserve">131. </w:t>
      </w:r>
      <w:r w:rsidR="00563FE6">
        <w:rPr>
          <w:lang w:val="en-CA"/>
        </w:rPr>
        <w:t>In light of a lack of unanimity in scholarly writing regarding the importance of confidentiality in the physician-patient relationship, which goes to the second factor of the Wigmore test, the Court preferred not to state an opinion</w:t>
      </w:r>
      <w:r w:rsidR="00A00453" w:rsidRPr="009A7DB9">
        <w:rPr>
          <w:lang w:val="en-CA"/>
        </w:rPr>
        <w:t xml:space="preserve">: </w:t>
      </w:r>
      <w:r w:rsidR="00A00453" w:rsidRPr="009A7DB9">
        <w:rPr>
          <w:i/>
          <w:iCs/>
          <w:lang w:val="en-CA"/>
        </w:rPr>
        <w:t xml:space="preserve">R. </w:t>
      </w:r>
      <w:r w:rsidR="00591144">
        <w:rPr>
          <w:i/>
          <w:iCs/>
          <w:lang w:val="en-CA"/>
        </w:rPr>
        <w:t>v</w:t>
      </w:r>
      <w:r w:rsidR="00A00453" w:rsidRPr="009A7DB9">
        <w:rPr>
          <w:i/>
          <w:iCs/>
          <w:lang w:val="en-CA"/>
        </w:rPr>
        <w:t>. S.(R.),</w:t>
      </w:r>
      <w:r w:rsidR="00A00453" w:rsidRPr="009A7DB9">
        <w:rPr>
          <w:lang w:val="en-CA"/>
        </w:rPr>
        <w:t xml:space="preserve"> </w:t>
      </w:r>
      <w:r w:rsidR="008948CD" w:rsidRPr="008948CD">
        <w:rPr>
          <w:i/>
          <w:lang w:val="en-CA"/>
        </w:rPr>
        <w:t>supra</w:t>
      </w:r>
      <w:r w:rsidR="00714E06" w:rsidRPr="00714E06">
        <w:rPr>
          <w:lang w:val="en-CA"/>
        </w:rPr>
        <w:t xml:space="preserve"> at </w:t>
      </w:r>
      <w:r w:rsidR="00A00453" w:rsidRPr="009A7DB9">
        <w:rPr>
          <w:lang w:val="en-CA"/>
        </w:rPr>
        <w:t xml:space="preserve">132. </w:t>
      </w:r>
      <w:r w:rsidR="00591144">
        <w:rPr>
          <w:lang w:val="en-CA"/>
        </w:rPr>
        <w:t xml:space="preserve">The third factor of the Wigmore analysis, the importance of </w:t>
      </w:r>
      <w:r w:rsidR="00BD0BFF">
        <w:rPr>
          <w:lang w:val="en-CA"/>
        </w:rPr>
        <w:t>preserving</w:t>
      </w:r>
      <w:r w:rsidR="00591144">
        <w:rPr>
          <w:lang w:val="en-CA"/>
        </w:rPr>
        <w:t xml:space="preserve"> family therapy, was conceded, but the Court </w:t>
      </w:r>
      <w:r w:rsidR="0085247D">
        <w:rPr>
          <w:lang w:val="en-CA"/>
        </w:rPr>
        <w:t xml:space="preserve">also noted </w:t>
      </w:r>
      <w:r w:rsidR="00591144">
        <w:rPr>
          <w:lang w:val="en-CA"/>
        </w:rPr>
        <w:t>that divorce legislation encourages such sessions, reflecting their importance as a soci</w:t>
      </w:r>
      <w:r w:rsidR="004863AC">
        <w:rPr>
          <w:lang w:val="en-CA"/>
        </w:rPr>
        <w:t>et</w:t>
      </w:r>
      <w:r w:rsidR="00591144">
        <w:rPr>
          <w:lang w:val="en-CA"/>
        </w:rPr>
        <w:t>al objective.</w:t>
      </w:r>
      <w:r w:rsidR="00A00453" w:rsidRPr="009A7DB9">
        <w:rPr>
          <w:lang w:val="en-CA"/>
        </w:rPr>
        <w:t xml:space="preserve"> </w:t>
      </w:r>
    </w:p>
    <w:p w14:paraId="021AEC98" w14:textId="6D8D72AC" w:rsidR="00A00453" w:rsidRPr="009A7DB9" w:rsidRDefault="002233A7" w:rsidP="00A00453">
      <w:pPr>
        <w:pStyle w:val="Paragraphe"/>
        <w:spacing w:line="280" w:lineRule="exact"/>
        <w:rPr>
          <w:lang w:val="en-CA"/>
        </w:rPr>
      </w:pPr>
      <w:r>
        <w:rPr>
          <w:lang w:val="en-CA"/>
        </w:rPr>
        <w:t xml:space="preserve">The fourth part of the Wigmore approach was not met, however. In general terms, the Ontario Court of Appeal found that, in a criminal trial for sexual abuse against children, the search for truth is more important than </w:t>
      </w:r>
      <w:r w:rsidR="00BC3188">
        <w:rPr>
          <w:lang w:val="en-CA"/>
        </w:rPr>
        <w:t>the need</w:t>
      </w:r>
      <w:r>
        <w:rPr>
          <w:lang w:val="en-CA"/>
        </w:rPr>
        <w:t xml:space="preserve"> for family therapy. The Court noted that several jurisdictions, including Ontario, had enacted laws </w:t>
      </w:r>
      <w:r w:rsidR="00027F66">
        <w:rPr>
          <w:lang w:val="en-CA"/>
        </w:rPr>
        <w:t>compelling</w:t>
      </w:r>
      <w:r>
        <w:rPr>
          <w:lang w:val="en-CA"/>
        </w:rPr>
        <w:t xml:space="preserve"> the disclosure of child abuse and neglect, which demonstrates that the public interest </w:t>
      </w:r>
      <w:r w:rsidR="00677695">
        <w:rPr>
          <w:lang w:val="en-CA"/>
        </w:rPr>
        <w:t>outweighs</w:t>
      </w:r>
      <w:r>
        <w:rPr>
          <w:lang w:val="en-CA"/>
        </w:rPr>
        <w:t xml:space="preserve"> the confidentiality of statements made to psychiatrists.</w:t>
      </w:r>
      <w:r w:rsidR="00A00453" w:rsidRPr="009A7DB9">
        <w:rPr>
          <w:lang w:val="en-CA"/>
        </w:rPr>
        <w:t xml:space="preserve"> </w:t>
      </w:r>
      <w:r>
        <w:rPr>
          <w:lang w:val="en-CA"/>
        </w:rPr>
        <w:t>Lacour</w:t>
      </w:r>
      <w:r w:rsidRPr="00970A88">
        <w:rPr>
          <w:lang w:val="en-CA"/>
        </w:rPr>
        <w:t>ci</w:t>
      </w:r>
      <w:r>
        <w:rPr>
          <w:lang w:val="en-CA"/>
        </w:rPr>
        <w:t>ère, J.A., speaking for the Court, wrote:</w:t>
      </w:r>
    </w:p>
    <w:p w14:paraId="13599288" w14:textId="17A8D9FE" w:rsidR="0085247D" w:rsidRDefault="0085247D" w:rsidP="00A00453">
      <w:pPr>
        <w:pStyle w:val="JgtCitation"/>
        <w:spacing w:line="280" w:lineRule="exact"/>
        <w:rPr>
          <w:lang w:val="en-CA"/>
        </w:rPr>
      </w:pPr>
      <w:r w:rsidRPr="0085247D">
        <w:rPr>
          <w:lang w:val="en-US"/>
        </w:rPr>
        <w:lastRenderedPageBreak/>
        <w:t>It is sufficient to say that the information obtained in the course of psychiatric</w:t>
      </w:r>
      <w:r>
        <w:rPr>
          <w:lang w:val="en-US"/>
        </w:rPr>
        <w:t xml:space="preserve"> </w:t>
      </w:r>
      <w:r w:rsidRPr="0085247D">
        <w:rPr>
          <w:lang w:val="en-US"/>
        </w:rPr>
        <w:t xml:space="preserve">counselling or treatment where child abuse is involved does not meet the test adopted in </w:t>
      </w:r>
      <w:r w:rsidRPr="0085247D">
        <w:rPr>
          <w:i/>
          <w:iCs/>
          <w:lang w:val="en-US"/>
        </w:rPr>
        <w:t>Slavutych v. Baker et al.</w:t>
      </w:r>
      <w:r w:rsidRPr="0085247D">
        <w:rPr>
          <w:lang w:val="en-US"/>
        </w:rPr>
        <w:t xml:space="preserve"> (1975), 55 D.L.R. (3d) 224, [1976], 1 S.C.R. 254, 38 C.R.N.S. 306. </w:t>
      </w:r>
      <w:r w:rsidRPr="0085247D">
        <w:rPr>
          <w:u w:val="single"/>
          <w:lang w:val="en-US"/>
        </w:rPr>
        <w:t>Society considers the detection and prevention of child abuse more important than the confidentiality of psychiatric counselling</w:t>
      </w:r>
      <w:r w:rsidRPr="0085247D">
        <w:rPr>
          <w:lang w:val="en-US"/>
        </w:rPr>
        <w:t>. I would therefore conclude that the learned trial judge did not err in ruling that the evidence of Dr. Sawa and the tapes and transcript of the counselling session were admissible. I would not give effect to this ground of appeal</w:t>
      </w:r>
      <w:r w:rsidR="00970A88">
        <w:rPr>
          <w:lang w:val="en-US"/>
        </w:rPr>
        <w:t>.</w:t>
      </w:r>
    </w:p>
    <w:p w14:paraId="5909FF5E" w14:textId="1CDE81C0" w:rsidR="00A00453" w:rsidRPr="009A7DB9" w:rsidRDefault="00A00453" w:rsidP="00A00453">
      <w:pPr>
        <w:pStyle w:val="JgtCitation"/>
        <w:spacing w:line="280" w:lineRule="exact"/>
        <w:rPr>
          <w:lang w:val="en-CA"/>
        </w:rPr>
      </w:pPr>
      <w:r w:rsidRPr="009A7DB9">
        <w:rPr>
          <w:i/>
          <w:iCs/>
          <w:lang w:val="en-CA"/>
        </w:rPr>
        <w:t xml:space="preserve">R. </w:t>
      </w:r>
      <w:r w:rsidR="002233A7">
        <w:rPr>
          <w:i/>
          <w:iCs/>
          <w:lang w:val="en-CA"/>
        </w:rPr>
        <w:t>v</w:t>
      </w:r>
      <w:r w:rsidRPr="009A7DB9">
        <w:rPr>
          <w:i/>
          <w:iCs/>
          <w:lang w:val="en-CA"/>
        </w:rPr>
        <w:t>. S.(R.)</w:t>
      </w:r>
      <w:r w:rsidRPr="009A7DB9">
        <w:rPr>
          <w:lang w:val="en-CA"/>
        </w:rPr>
        <w:t xml:space="preserve"> (1985)</w:t>
      </w:r>
      <w:r w:rsidR="002233A7">
        <w:rPr>
          <w:lang w:val="en-CA"/>
        </w:rPr>
        <w:t>,</w:t>
      </w:r>
      <w:r w:rsidRPr="009A7DB9">
        <w:rPr>
          <w:lang w:val="en-CA"/>
        </w:rPr>
        <w:t xml:space="preserve"> 19 C</w:t>
      </w:r>
      <w:r w:rsidR="002233A7">
        <w:rPr>
          <w:lang w:val="en-CA"/>
        </w:rPr>
        <w:t>.</w:t>
      </w:r>
      <w:r w:rsidRPr="009A7DB9">
        <w:rPr>
          <w:lang w:val="en-CA"/>
        </w:rPr>
        <w:t>C</w:t>
      </w:r>
      <w:r w:rsidR="002233A7">
        <w:rPr>
          <w:lang w:val="en-CA"/>
        </w:rPr>
        <w:t>.</w:t>
      </w:r>
      <w:r w:rsidRPr="009A7DB9">
        <w:rPr>
          <w:lang w:val="en-CA"/>
        </w:rPr>
        <w:t>C</w:t>
      </w:r>
      <w:r w:rsidR="002233A7">
        <w:rPr>
          <w:lang w:val="en-CA"/>
        </w:rPr>
        <w:t xml:space="preserve">. </w:t>
      </w:r>
      <w:r w:rsidRPr="009A7DB9">
        <w:rPr>
          <w:lang w:val="en-CA"/>
        </w:rPr>
        <w:t>(3d) 115</w:t>
      </w:r>
      <w:r w:rsidR="002233A7">
        <w:rPr>
          <w:lang w:val="en-CA"/>
        </w:rPr>
        <w:t xml:space="preserve"> at</w:t>
      </w:r>
      <w:r w:rsidRPr="009A7DB9">
        <w:rPr>
          <w:lang w:val="en-CA"/>
        </w:rPr>
        <w:t xml:space="preserve"> 136 </w:t>
      </w:r>
      <w:r w:rsidR="00B44DB7" w:rsidRPr="00B44DB7">
        <w:rPr>
          <w:lang w:val="en-CA"/>
        </w:rPr>
        <w:t>(Ont. C.A.)</w:t>
      </w:r>
      <w:r w:rsidRPr="009A7DB9">
        <w:rPr>
          <w:lang w:val="en-CA"/>
        </w:rPr>
        <w:t>.</w:t>
      </w:r>
    </w:p>
    <w:p w14:paraId="6F96A724" w14:textId="566A2F6E" w:rsidR="00A00453" w:rsidRPr="009A7DB9" w:rsidRDefault="00692E23" w:rsidP="00A00453">
      <w:pPr>
        <w:pStyle w:val="Paragraphe"/>
        <w:spacing w:line="280" w:lineRule="exact"/>
        <w:rPr>
          <w:lang w:val="en-CA"/>
        </w:rPr>
      </w:pPr>
      <w:r>
        <w:rPr>
          <w:lang w:val="en-CA"/>
        </w:rPr>
        <w:t xml:space="preserve">I should note that the Ontario Court of Appeal did not engage in a weighing of </w:t>
      </w:r>
      <w:r w:rsidRPr="00692E23">
        <w:rPr>
          <w:i/>
          <w:iCs/>
          <w:lang w:val="en-CA"/>
        </w:rPr>
        <w:t>Charter</w:t>
      </w:r>
      <w:r>
        <w:rPr>
          <w:lang w:val="en-CA"/>
        </w:rPr>
        <w:t xml:space="preserve"> values</w:t>
      </w:r>
      <w:r w:rsidR="002C185A">
        <w:rPr>
          <w:lang w:val="en-CA"/>
        </w:rPr>
        <w:t xml:space="preserve"> in this 1985 decision</w:t>
      </w:r>
      <w:r>
        <w:rPr>
          <w:lang w:val="en-CA"/>
        </w:rPr>
        <w:t xml:space="preserve">, since </w:t>
      </w:r>
      <w:r w:rsidR="004536C3">
        <w:rPr>
          <w:lang w:val="en-CA"/>
        </w:rPr>
        <w:t xml:space="preserve">it was obviously speaking prior to </w:t>
      </w:r>
      <w:r w:rsidR="00A00453" w:rsidRPr="009A7DB9">
        <w:rPr>
          <w:i/>
          <w:iCs/>
          <w:lang w:val="en-CA"/>
        </w:rPr>
        <w:t>M.(A.)</w:t>
      </w:r>
      <w:r>
        <w:rPr>
          <w:i/>
          <w:iCs/>
          <w:lang w:val="en-CA"/>
        </w:rPr>
        <w:t> v</w:t>
      </w:r>
      <w:r w:rsidR="00A00453" w:rsidRPr="009A7DB9">
        <w:rPr>
          <w:i/>
          <w:iCs/>
          <w:lang w:val="en-CA"/>
        </w:rPr>
        <w:t>. Ryan</w:t>
      </w:r>
      <w:r w:rsidR="00A00453" w:rsidRPr="009A7DB9">
        <w:rPr>
          <w:lang w:val="en-CA"/>
        </w:rPr>
        <w:t xml:space="preserve">, [1997] 1 </w:t>
      </w:r>
      <w:r w:rsidR="008948CD" w:rsidRPr="008948CD">
        <w:rPr>
          <w:lang w:val="en-CA"/>
        </w:rPr>
        <w:t>S.C.R.</w:t>
      </w:r>
      <w:r w:rsidR="00A00453" w:rsidRPr="009A7DB9">
        <w:rPr>
          <w:lang w:val="en-CA"/>
        </w:rPr>
        <w:t xml:space="preserve"> 157.</w:t>
      </w:r>
    </w:p>
    <w:p w14:paraId="019702CC" w14:textId="7169F774" w:rsidR="00A00453" w:rsidRPr="009A7DB9" w:rsidRDefault="00466761" w:rsidP="00A00453">
      <w:pPr>
        <w:pStyle w:val="Paragraphe"/>
        <w:spacing w:line="280" w:lineRule="exact"/>
        <w:rPr>
          <w:lang w:val="en-CA"/>
        </w:rPr>
      </w:pPr>
      <w:r>
        <w:rPr>
          <w:lang w:val="en-CA"/>
        </w:rPr>
        <w:t>The respondent has marshalled some other case law</w:t>
      </w:r>
      <w:r w:rsidR="006B3319">
        <w:rPr>
          <w:lang w:val="en-CA"/>
        </w:rPr>
        <w:t xml:space="preserve"> to dispose of</w:t>
      </w:r>
      <w:r>
        <w:rPr>
          <w:lang w:val="en-CA"/>
        </w:rPr>
        <w:t xml:space="preserve"> the fourth </w:t>
      </w:r>
      <w:r w:rsidR="006B3319">
        <w:rPr>
          <w:lang w:val="en-CA"/>
        </w:rPr>
        <w:t xml:space="preserve">branch </w:t>
      </w:r>
      <w:r>
        <w:rPr>
          <w:lang w:val="en-CA"/>
        </w:rPr>
        <w:t>of the Wigmore analysis, certainly the hardest one to establish</w:t>
      </w:r>
      <w:r w:rsidR="00CF0B49">
        <w:rPr>
          <w:lang w:val="en-CA"/>
        </w:rPr>
        <w:t>.</w:t>
      </w:r>
      <w:r>
        <w:rPr>
          <w:lang w:val="en-CA"/>
        </w:rPr>
        <w:t xml:space="preserve"> The first </w:t>
      </w:r>
      <w:r w:rsidR="009547F0">
        <w:rPr>
          <w:lang w:val="en-CA"/>
        </w:rPr>
        <w:t>authority</w:t>
      </w:r>
      <w:r>
        <w:rPr>
          <w:lang w:val="en-CA"/>
        </w:rPr>
        <w:t xml:space="preserve"> </w:t>
      </w:r>
      <w:r w:rsidR="00D65651">
        <w:rPr>
          <w:lang w:val="en-CA"/>
        </w:rPr>
        <w:t>it cites in this regard is</w:t>
      </w:r>
      <w:r w:rsidR="00A00453" w:rsidRPr="009A7DB9">
        <w:rPr>
          <w:lang w:val="en-CA"/>
        </w:rPr>
        <w:t xml:space="preserve"> </w:t>
      </w:r>
      <w:r w:rsidR="00A00453" w:rsidRPr="009A7DB9">
        <w:rPr>
          <w:i/>
          <w:iCs/>
          <w:lang w:val="en-CA"/>
        </w:rPr>
        <w:t>Verret</w:t>
      </w:r>
      <w:r>
        <w:rPr>
          <w:lang w:val="en-CA"/>
        </w:rPr>
        <w:t>, a decision of our Court where the controversy involved the confidentiality of revelations</w:t>
      </w:r>
      <w:r w:rsidR="009547F0">
        <w:rPr>
          <w:lang w:val="en-CA"/>
        </w:rPr>
        <w:t xml:space="preserve">, made in </w:t>
      </w:r>
      <w:r w:rsidR="006B3319">
        <w:rPr>
          <w:lang w:val="en-CA"/>
        </w:rPr>
        <w:t xml:space="preserve">during treatment for </w:t>
      </w:r>
      <w:r w:rsidR="009547F0">
        <w:rPr>
          <w:lang w:val="en-CA"/>
        </w:rPr>
        <w:t>alcohol addiction,</w:t>
      </w:r>
      <w:r>
        <w:rPr>
          <w:lang w:val="en-CA"/>
        </w:rPr>
        <w:t xml:space="preserve"> about </w:t>
      </w:r>
      <w:r w:rsidR="00A4271D">
        <w:rPr>
          <w:lang w:val="en-CA"/>
        </w:rPr>
        <w:t xml:space="preserve">a </w:t>
      </w:r>
      <w:r>
        <w:rPr>
          <w:lang w:val="en-CA"/>
        </w:rPr>
        <w:t>murder committed decades earlier</w:t>
      </w:r>
      <w:r w:rsidR="00A00453" w:rsidRPr="009A7DB9">
        <w:rPr>
          <w:lang w:val="en-CA"/>
        </w:rPr>
        <w:t xml:space="preserve">: </w:t>
      </w:r>
      <w:r w:rsidR="00A00453" w:rsidRPr="009A7DB9">
        <w:rPr>
          <w:i/>
          <w:lang w:val="en-CA"/>
        </w:rPr>
        <w:t>R.</w:t>
      </w:r>
      <w:r w:rsidR="009547F0">
        <w:rPr>
          <w:i/>
          <w:lang w:val="en-CA"/>
        </w:rPr>
        <w:t> </w:t>
      </w:r>
      <w:r w:rsidR="00A00453" w:rsidRPr="009A7DB9">
        <w:rPr>
          <w:i/>
          <w:lang w:val="en-CA"/>
        </w:rPr>
        <w:t>c.</w:t>
      </w:r>
      <w:r w:rsidR="009547F0">
        <w:rPr>
          <w:i/>
          <w:lang w:val="en-CA"/>
        </w:rPr>
        <w:t> </w:t>
      </w:r>
      <w:r w:rsidR="00A00453" w:rsidRPr="009A7DB9">
        <w:rPr>
          <w:i/>
          <w:iCs/>
          <w:lang w:val="en-CA"/>
        </w:rPr>
        <w:t>Verret</w:t>
      </w:r>
      <w:r w:rsidR="00A00453" w:rsidRPr="009A7DB9">
        <w:rPr>
          <w:lang w:val="en-CA"/>
        </w:rPr>
        <w:t>, 2013</w:t>
      </w:r>
      <w:r>
        <w:rPr>
          <w:lang w:val="en-CA"/>
        </w:rPr>
        <w:t> </w:t>
      </w:r>
      <w:r w:rsidR="00A00453" w:rsidRPr="009A7DB9">
        <w:rPr>
          <w:lang w:val="en-CA"/>
        </w:rPr>
        <w:t>QCCA 1128</w:t>
      </w:r>
      <w:r>
        <w:rPr>
          <w:lang w:val="en-CA"/>
        </w:rPr>
        <w:t xml:space="preserve"> at</w:t>
      </w:r>
      <w:r w:rsidR="00A00453" w:rsidRPr="009A7DB9">
        <w:rPr>
          <w:lang w:val="en-CA"/>
        </w:rPr>
        <w:t xml:space="preserve"> para</w:t>
      </w:r>
      <w:r>
        <w:rPr>
          <w:lang w:val="en-CA"/>
        </w:rPr>
        <w:t>s</w:t>
      </w:r>
      <w:r w:rsidR="00A00453" w:rsidRPr="009A7DB9">
        <w:rPr>
          <w:lang w:val="en-CA"/>
        </w:rPr>
        <w:t>. 21</w:t>
      </w:r>
      <w:r w:rsidR="001D2FC4">
        <w:rPr>
          <w:rFonts w:cs="Arial"/>
          <w:lang w:val="en-CA"/>
        </w:rPr>
        <w:t>–</w:t>
      </w:r>
      <w:r w:rsidR="00A00453" w:rsidRPr="009A7DB9">
        <w:rPr>
          <w:lang w:val="en-CA"/>
        </w:rPr>
        <w:t xml:space="preserve">33. </w:t>
      </w:r>
      <w:r w:rsidR="002A7695">
        <w:rPr>
          <w:lang w:val="en-CA"/>
        </w:rPr>
        <w:t xml:space="preserve">In this regard, I should point out </w:t>
      </w:r>
      <w:r>
        <w:rPr>
          <w:lang w:val="en-CA"/>
        </w:rPr>
        <w:t>that the nature of that crime was different, that the appellant in that case had also made admissions to her roommate</w:t>
      </w:r>
      <w:r w:rsidR="00A00453" w:rsidRPr="009A7DB9">
        <w:rPr>
          <w:lang w:val="en-CA"/>
        </w:rPr>
        <w:t xml:space="preserve">, </w:t>
      </w:r>
      <w:r>
        <w:rPr>
          <w:lang w:val="en-CA"/>
        </w:rPr>
        <w:t xml:space="preserve">and that DNA evidence was </w:t>
      </w:r>
      <w:r w:rsidR="00905AF3">
        <w:rPr>
          <w:lang w:val="en-CA"/>
        </w:rPr>
        <w:t xml:space="preserve">also </w:t>
      </w:r>
      <w:r>
        <w:rPr>
          <w:lang w:val="en-CA"/>
        </w:rPr>
        <w:t>available</w:t>
      </w:r>
      <w:r w:rsidR="00A00453" w:rsidRPr="009A7DB9">
        <w:rPr>
          <w:lang w:val="en-CA"/>
        </w:rPr>
        <w:t xml:space="preserve">. </w:t>
      </w:r>
      <w:r>
        <w:rPr>
          <w:lang w:val="en-CA"/>
        </w:rPr>
        <w:t xml:space="preserve">That said, the appellant in </w:t>
      </w:r>
      <w:r w:rsidRPr="00D91986">
        <w:rPr>
          <w:i/>
          <w:iCs/>
          <w:lang w:val="en-CA"/>
        </w:rPr>
        <w:t>Verret</w:t>
      </w:r>
      <w:r>
        <w:rPr>
          <w:lang w:val="en-CA"/>
        </w:rPr>
        <w:t xml:space="preserve"> admitted to her caseworker tha</w:t>
      </w:r>
      <w:r w:rsidR="006B3319">
        <w:rPr>
          <w:lang w:val="en-CA"/>
        </w:rPr>
        <w:t>t</w:t>
      </w:r>
      <w:r>
        <w:rPr>
          <w:lang w:val="en-CA"/>
        </w:rPr>
        <w:t xml:space="preserve"> she had been an accomplice to </w:t>
      </w:r>
      <w:r w:rsidR="00D91986">
        <w:rPr>
          <w:lang w:val="en-CA"/>
        </w:rPr>
        <w:t>murders</w:t>
      </w:r>
      <w:r w:rsidR="00CC2AE7">
        <w:rPr>
          <w:lang w:val="en-CA"/>
        </w:rPr>
        <w:t>,</w:t>
      </w:r>
      <w:r w:rsidR="00D91986">
        <w:rPr>
          <w:lang w:val="en-CA"/>
        </w:rPr>
        <w:t xml:space="preserve"> </w:t>
      </w:r>
      <w:r>
        <w:rPr>
          <w:lang w:val="en-CA"/>
        </w:rPr>
        <w:t>and drafted a letter intended for h</w:t>
      </w:r>
      <w:r w:rsidR="002A7695">
        <w:rPr>
          <w:lang w:val="en-CA"/>
        </w:rPr>
        <w:t>er</w:t>
      </w:r>
      <w:r>
        <w:rPr>
          <w:lang w:val="en-CA"/>
        </w:rPr>
        <w:t xml:space="preserve"> sister, who was one of the </w:t>
      </w:r>
      <w:r w:rsidR="006B3319">
        <w:rPr>
          <w:lang w:val="en-CA"/>
        </w:rPr>
        <w:t xml:space="preserve">two </w:t>
      </w:r>
      <w:r>
        <w:rPr>
          <w:lang w:val="en-CA"/>
        </w:rPr>
        <w:t>victims.</w:t>
      </w:r>
      <w:r w:rsidR="00A00453" w:rsidRPr="009A7DB9">
        <w:rPr>
          <w:lang w:val="en-CA"/>
        </w:rPr>
        <w:t xml:space="preserve"> </w:t>
      </w:r>
      <w:r w:rsidR="006B3319">
        <w:rPr>
          <w:lang w:val="en-CA"/>
        </w:rPr>
        <w:t xml:space="preserve">The </w:t>
      </w:r>
      <w:r>
        <w:rPr>
          <w:lang w:val="en-CA"/>
        </w:rPr>
        <w:t>Court explained that the statements in the letter were reliable and</w:t>
      </w:r>
      <w:r w:rsidR="00D91986">
        <w:rPr>
          <w:lang w:val="en-CA"/>
        </w:rPr>
        <w:t>, in combination with the caseworker’s testimony,</w:t>
      </w:r>
      <w:r>
        <w:rPr>
          <w:lang w:val="en-CA"/>
        </w:rPr>
        <w:t xml:space="preserve"> decisive for the prosecution’s case. </w:t>
      </w:r>
      <w:r w:rsidR="00A4271D">
        <w:rPr>
          <w:lang w:val="en-CA"/>
        </w:rPr>
        <w:t>It</w:t>
      </w:r>
      <w:r>
        <w:rPr>
          <w:lang w:val="en-CA"/>
        </w:rPr>
        <w:t xml:space="preserve"> then noted that the first three criteria of the Wigmore test, but not the fourth, were met. </w:t>
      </w:r>
      <w:r w:rsidR="002A7695">
        <w:rPr>
          <w:lang w:val="en-CA"/>
        </w:rPr>
        <w:t xml:space="preserve">And although this was not decisive, it took into account the fact the appellant had agreed </w:t>
      </w:r>
      <w:r w:rsidR="00A4271D">
        <w:rPr>
          <w:lang w:val="en-CA"/>
        </w:rPr>
        <w:t>to her</w:t>
      </w:r>
      <w:r w:rsidR="002A7695">
        <w:rPr>
          <w:lang w:val="en-CA"/>
        </w:rPr>
        <w:t xml:space="preserve"> caseworker shar</w:t>
      </w:r>
      <w:r w:rsidR="00A4271D">
        <w:rPr>
          <w:lang w:val="en-CA"/>
        </w:rPr>
        <w:t>ing</w:t>
      </w:r>
      <w:r w:rsidR="002A7695">
        <w:rPr>
          <w:lang w:val="en-CA"/>
        </w:rPr>
        <w:t xml:space="preserve"> her confidence with her superior. Lastly, the Court approved of the trial judge’s analysis comparing the letter with a </w:t>
      </w:r>
      <w:r w:rsidR="002A7695" w:rsidRPr="00497A50">
        <w:rPr>
          <w:szCs w:val="24"/>
          <w:lang w:val="en-CA"/>
        </w:rPr>
        <w:t>[</w:t>
      </w:r>
      <w:r w:rsidR="0004309D" w:rsidRPr="0004309D">
        <w:rPr>
          <w:smallCaps/>
          <w:szCs w:val="24"/>
          <w:lang w:val="en-CA"/>
        </w:rPr>
        <w:t>translation</w:t>
      </w:r>
      <w:r w:rsidR="002A7695" w:rsidRPr="00497A50">
        <w:rPr>
          <w:szCs w:val="24"/>
          <w:lang w:val="en-CA"/>
        </w:rPr>
        <w:t>]</w:t>
      </w:r>
      <w:r w:rsidR="002A7695">
        <w:rPr>
          <w:lang w:val="en-CA"/>
        </w:rPr>
        <w:t xml:space="preserve"> “writing that can be considered </w:t>
      </w:r>
      <w:r w:rsidR="00161A5C">
        <w:rPr>
          <w:lang w:val="en-CA"/>
        </w:rPr>
        <w:t xml:space="preserve">private </w:t>
      </w:r>
      <w:r w:rsidR="002A7695">
        <w:rPr>
          <w:lang w:val="en-CA"/>
        </w:rPr>
        <w:t>and that the accused wrote in an intimate moment”</w:t>
      </w:r>
      <w:r w:rsidR="00A00453" w:rsidRPr="009A7DB9">
        <w:rPr>
          <w:lang w:val="en-CA"/>
        </w:rPr>
        <w:t xml:space="preserve">: </w:t>
      </w:r>
      <w:r w:rsidR="00A00453" w:rsidRPr="009A7DB9">
        <w:rPr>
          <w:i/>
          <w:lang w:val="en-CA"/>
        </w:rPr>
        <w:t xml:space="preserve">R. c. </w:t>
      </w:r>
      <w:r w:rsidR="00A00453" w:rsidRPr="009A7DB9">
        <w:rPr>
          <w:i/>
          <w:iCs/>
          <w:lang w:val="en-CA"/>
        </w:rPr>
        <w:t>Verret</w:t>
      </w:r>
      <w:r w:rsidR="00A00453" w:rsidRPr="009A7DB9">
        <w:rPr>
          <w:lang w:val="en-CA"/>
        </w:rPr>
        <w:t xml:space="preserve">, </w:t>
      </w:r>
      <w:r w:rsidR="008948CD" w:rsidRPr="008948CD">
        <w:rPr>
          <w:i/>
          <w:lang w:val="en-CA"/>
        </w:rPr>
        <w:t xml:space="preserve">supra </w:t>
      </w:r>
      <w:r w:rsidR="00B44DB7" w:rsidRPr="00B44DB7">
        <w:rPr>
          <w:lang w:val="en-CA"/>
        </w:rPr>
        <w:t>at para.</w:t>
      </w:r>
      <w:r w:rsidR="002A7695">
        <w:rPr>
          <w:lang w:val="en-CA"/>
        </w:rPr>
        <w:t> </w:t>
      </w:r>
      <w:r w:rsidR="00A00453" w:rsidRPr="009A7DB9">
        <w:rPr>
          <w:lang w:val="en-CA"/>
        </w:rPr>
        <w:t>33.</w:t>
      </w:r>
    </w:p>
    <w:p w14:paraId="1953032F" w14:textId="4E02A8A7" w:rsidR="00A00453" w:rsidRPr="009A7DB9" w:rsidRDefault="00341756" w:rsidP="00A00453">
      <w:pPr>
        <w:pStyle w:val="Paragraphe"/>
        <w:spacing w:line="280" w:lineRule="exact"/>
        <w:rPr>
          <w:lang w:val="en-CA"/>
        </w:rPr>
      </w:pPr>
      <w:r>
        <w:rPr>
          <w:lang w:val="en-CA"/>
        </w:rPr>
        <w:t>I agree with the result to which the Court came</w:t>
      </w:r>
      <w:r w:rsidR="006A69CE">
        <w:rPr>
          <w:lang w:val="en-CA"/>
        </w:rPr>
        <w:t xml:space="preserve"> </w:t>
      </w:r>
      <w:r w:rsidR="006A69CE" w:rsidRPr="00970A88">
        <w:rPr>
          <w:lang w:val="en-CA"/>
        </w:rPr>
        <w:t xml:space="preserve">in </w:t>
      </w:r>
      <w:r w:rsidR="006A69CE" w:rsidRPr="00970A88">
        <w:rPr>
          <w:i/>
          <w:iCs/>
          <w:lang w:val="en-CA"/>
        </w:rPr>
        <w:t>Verret</w:t>
      </w:r>
      <w:r w:rsidR="00A00453" w:rsidRPr="00970A88">
        <w:rPr>
          <w:lang w:val="en-CA"/>
        </w:rPr>
        <w:t xml:space="preserve">. </w:t>
      </w:r>
      <w:r w:rsidRPr="00970A88">
        <w:rPr>
          <w:lang w:val="en-CA"/>
        </w:rPr>
        <w:t>For one thing, the connection between the therapeutic process undertaken as part of an alcoholism</w:t>
      </w:r>
      <w:r>
        <w:rPr>
          <w:lang w:val="en-CA"/>
        </w:rPr>
        <w:t xml:space="preserve"> treatment plan and the admission to a murder is tenuous at best.</w:t>
      </w:r>
      <w:r w:rsidR="00A00453" w:rsidRPr="009A7DB9">
        <w:rPr>
          <w:lang w:val="en-CA"/>
        </w:rPr>
        <w:t xml:space="preserve"> </w:t>
      </w:r>
      <w:r>
        <w:rPr>
          <w:lang w:val="en-CA"/>
        </w:rPr>
        <w:t>It is much fairer to say that the revelation is quite peripheral. Furthermore, even if the evidence is significant, as any form of admission would clearly be, it remained circumstantial, and other kinds of evidence remained available.</w:t>
      </w:r>
    </w:p>
    <w:p w14:paraId="20ADE8F6" w14:textId="3CD3F56C" w:rsidR="00A00453" w:rsidRPr="009A7DB9" w:rsidRDefault="00341756" w:rsidP="00A00453">
      <w:pPr>
        <w:pStyle w:val="Paragraphe"/>
        <w:spacing w:line="280" w:lineRule="exact"/>
        <w:rPr>
          <w:lang w:val="en-CA"/>
        </w:rPr>
      </w:pPr>
      <w:r>
        <w:rPr>
          <w:lang w:val="en-CA"/>
        </w:rPr>
        <w:t>The respondent also relies on</w:t>
      </w:r>
      <w:r w:rsidR="00A00453" w:rsidRPr="009A7DB9">
        <w:rPr>
          <w:lang w:val="en-CA"/>
        </w:rPr>
        <w:t xml:space="preserve"> </w:t>
      </w:r>
      <w:r w:rsidR="00A00453" w:rsidRPr="009A7DB9">
        <w:rPr>
          <w:i/>
          <w:lang w:val="en-CA"/>
        </w:rPr>
        <w:t>R.</w:t>
      </w:r>
      <w:r w:rsidR="00A00453" w:rsidRPr="009A7DB9">
        <w:rPr>
          <w:lang w:val="en-CA"/>
        </w:rPr>
        <w:t xml:space="preserve"> </w:t>
      </w:r>
      <w:r w:rsidR="007F24B5" w:rsidRPr="007F24B5">
        <w:rPr>
          <w:i/>
          <w:iCs/>
          <w:lang w:val="en-CA"/>
        </w:rPr>
        <w:t>v</w:t>
      </w:r>
      <w:r w:rsidR="00A00453" w:rsidRPr="007F24B5">
        <w:rPr>
          <w:i/>
          <w:iCs/>
          <w:lang w:val="en-CA"/>
        </w:rPr>
        <w:t>.</w:t>
      </w:r>
      <w:r w:rsidR="00A00453" w:rsidRPr="009A7DB9">
        <w:rPr>
          <w:lang w:val="en-CA"/>
        </w:rPr>
        <w:t xml:space="preserve"> </w:t>
      </w:r>
      <w:r w:rsidR="00A00453" w:rsidRPr="009A7DB9">
        <w:rPr>
          <w:i/>
          <w:lang w:val="en-CA"/>
        </w:rPr>
        <w:t>Karasek</w:t>
      </w:r>
      <w:r w:rsidR="00A00453" w:rsidRPr="009A7DB9">
        <w:rPr>
          <w:lang w:val="en-CA"/>
        </w:rPr>
        <w:t xml:space="preserve">, 2011 ABCA 161. </w:t>
      </w:r>
      <w:r w:rsidR="00DA248F">
        <w:rPr>
          <w:lang w:val="en-CA"/>
        </w:rPr>
        <w:t xml:space="preserve">In </w:t>
      </w:r>
      <w:r w:rsidR="00DA248F" w:rsidRPr="00DA248F">
        <w:rPr>
          <w:i/>
          <w:iCs/>
          <w:lang w:val="en-CA"/>
        </w:rPr>
        <w:t>Karasek</w:t>
      </w:r>
      <w:r w:rsidR="00DA248F">
        <w:rPr>
          <w:lang w:val="en-CA"/>
        </w:rPr>
        <w:t xml:space="preserve">, the psychiatrist told the police about two recent instances </w:t>
      </w:r>
      <w:r w:rsidR="000F2667">
        <w:rPr>
          <w:lang w:val="en-CA"/>
        </w:rPr>
        <w:t>where</w:t>
      </w:r>
      <w:r w:rsidR="00DA248F">
        <w:rPr>
          <w:lang w:val="en-CA"/>
        </w:rPr>
        <w:t xml:space="preserve"> an individual had re</w:t>
      </w:r>
      <w:r w:rsidR="004C4ED4">
        <w:rPr>
          <w:lang w:val="en-CA"/>
        </w:rPr>
        <w:noBreakHyphen/>
      </w:r>
      <w:r w:rsidR="00DA248F">
        <w:rPr>
          <w:lang w:val="en-CA"/>
        </w:rPr>
        <w:t xml:space="preserve">offended. He was already treating the individual for sexual deviance </w:t>
      </w:r>
      <w:r w:rsidR="00161A5C">
        <w:rPr>
          <w:lang w:val="en-CA"/>
        </w:rPr>
        <w:t>because</w:t>
      </w:r>
      <w:r w:rsidR="00DA248F">
        <w:rPr>
          <w:lang w:val="en-CA"/>
        </w:rPr>
        <w:t xml:space="preserve"> of a sexual assault against a child a few years earlier.</w:t>
      </w:r>
    </w:p>
    <w:p w14:paraId="4ACEDDE6" w14:textId="470DBFF0" w:rsidR="00A00453" w:rsidRPr="009A7DB9" w:rsidRDefault="00844651" w:rsidP="00A00453">
      <w:pPr>
        <w:pStyle w:val="Paragraphe"/>
        <w:spacing w:line="280" w:lineRule="exact"/>
        <w:rPr>
          <w:lang w:val="en-CA"/>
        </w:rPr>
      </w:pPr>
      <w:r>
        <w:rPr>
          <w:lang w:val="en-CA"/>
        </w:rPr>
        <w:lastRenderedPageBreak/>
        <w:t>It is significant that</w:t>
      </w:r>
      <w:r w:rsidR="00A00453" w:rsidRPr="009A7DB9">
        <w:rPr>
          <w:lang w:val="en-CA"/>
        </w:rPr>
        <w:t xml:space="preserve"> Karasek </w:t>
      </w:r>
      <w:r>
        <w:rPr>
          <w:lang w:val="en-CA"/>
        </w:rPr>
        <w:t>had pled guilty, that he posed a danger to other victims, and that the psychiatrist was testifying in connection with sentencing</w:t>
      </w:r>
      <w:r w:rsidR="00703759">
        <w:rPr>
          <w:lang w:val="en-CA"/>
        </w:rPr>
        <w:t>,</w:t>
      </w:r>
      <w:r>
        <w:rPr>
          <w:lang w:val="en-CA"/>
        </w:rPr>
        <w:t xml:space="preserve"> </w:t>
      </w:r>
      <w:r w:rsidR="002B2795">
        <w:rPr>
          <w:lang w:val="en-CA"/>
        </w:rPr>
        <w:t xml:space="preserve">specifically regarding a </w:t>
      </w:r>
      <w:r>
        <w:rPr>
          <w:lang w:val="en-CA"/>
        </w:rPr>
        <w:t xml:space="preserve">dangerous offender designation. Clearly the context of </w:t>
      </w:r>
      <w:r w:rsidRPr="00844651">
        <w:rPr>
          <w:i/>
          <w:iCs/>
          <w:lang w:val="en-CA"/>
        </w:rPr>
        <w:t>Karasek</w:t>
      </w:r>
      <w:r>
        <w:rPr>
          <w:lang w:val="en-CA"/>
        </w:rPr>
        <w:t xml:space="preserve"> is markedly different </w:t>
      </w:r>
      <w:r w:rsidR="00563860">
        <w:rPr>
          <w:lang w:val="en-CA"/>
        </w:rPr>
        <w:t>in that</w:t>
      </w:r>
      <w:r w:rsidR="000F2667">
        <w:rPr>
          <w:lang w:val="en-CA"/>
        </w:rPr>
        <w:t xml:space="preserve"> the </w:t>
      </w:r>
      <w:r>
        <w:rPr>
          <w:lang w:val="en-CA"/>
        </w:rPr>
        <w:t>appellant</w:t>
      </w:r>
      <w:r w:rsidR="00563860">
        <w:rPr>
          <w:lang w:val="en-CA"/>
        </w:rPr>
        <w:t xml:space="preserve"> there</w:t>
      </w:r>
      <w:r>
        <w:rPr>
          <w:lang w:val="en-CA"/>
        </w:rPr>
        <w:t xml:space="preserve"> pled guilty and the report to the police was </w:t>
      </w:r>
      <w:r w:rsidR="002B76E6">
        <w:rPr>
          <w:lang w:val="en-CA"/>
        </w:rPr>
        <w:t xml:space="preserve">due to </w:t>
      </w:r>
      <w:r w:rsidR="00703759">
        <w:rPr>
          <w:lang w:val="en-CA"/>
        </w:rPr>
        <w:t>h</w:t>
      </w:r>
      <w:r w:rsidR="002B76E6">
        <w:rPr>
          <w:lang w:val="en-CA"/>
        </w:rPr>
        <w:t>is</w:t>
      </w:r>
      <w:r>
        <w:rPr>
          <w:lang w:val="en-CA"/>
        </w:rPr>
        <w:t xml:space="preserve"> dangerousness</w:t>
      </w:r>
      <w:r w:rsidR="002B76E6">
        <w:rPr>
          <w:rFonts w:cs="Arial"/>
          <w:lang w:val="en-CA"/>
        </w:rPr>
        <w:t>—</w:t>
      </w:r>
      <w:r>
        <w:rPr>
          <w:lang w:val="en-CA"/>
        </w:rPr>
        <w:t xml:space="preserve">a recognized exception: </w:t>
      </w:r>
      <w:r w:rsidR="00A00453" w:rsidRPr="009A7DB9">
        <w:rPr>
          <w:i/>
          <w:iCs/>
          <w:lang w:val="en-CA"/>
        </w:rPr>
        <w:t xml:space="preserve">Smith </w:t>
      </w:r>
      <w:r>
        <w:rPr>
          <w:i/>
          <w:iCs/>
          <w:lang w:val="en-CA"/>
        </w:rPr>
        <w:t>v</w:t>
      </w:r>
      <w:r w:rsidR="00A00453" w:rsidRPr="009A7DB9">
        <w:rPr>
          <w:i/>
          <w:iCs/>
          <w:lang w:val="en-CA"/>
        </w:rPr>
        <w:t>. Jones</w:t>
      </w:r>
      <w:r w:rsidR="00A00453" w:rsidRPr="009A7DB9">
        <w:rPr>
          <w:lang w:val="en-CA"/>
        </w:rPr>
        <w:t xml:space="preserve">, [1999] 1 </w:t>
      </w:r>
      <w:r w:rsidR="008948CD" w:rsidRPr="008948CD">
        <w:rPr>
          <w:lang w:val="en-CA"/>
        </w:rPr>
        <w:t>S.C.R.</w:t>
      </w:r>
      <w:r w:rsidR="00A00453" w:rsidRPr="009A7DB9">
        <w:rPr>
          <w:lang w:val="en-CA"/>
        </w:rPr>
        <w:t xml:space="preserve"> 455.</w:t>
      </w:r>
    </w:p>
    <w:p w14:paraId="7D23AF68" w14:textId="6502BCAB" w:rsidR="00A00453" w:rsidRPr="009A7DB9" w:rsidRDefault="003023D6" w:rsidP="00A00453">
      <w:pPr>
        <w:pStyle w:val="Paragraphe"/>
        <w:spacing w:line="280" w:lineRule="exact"/>
        <w:rPr>
          <w:lang w:val="en-CA"/>
        </w:rPr>
      </w:pPr>
      <w:r>
        <w:rPr>
          <w:lang w:val="en-CA"/>
        </w:rPr>
        <w:t>The other case the respondent cites is</w:t>
      </w:r>
      <w:r w:rsidR="00A00453" w:rsidRPr="009A7DB9">
        <w:rPr>
          <w:lang w:val="en-CA"/>
        </w:rPr>
        <w:t xml:space="preserve"> </w:t>
      </w:r>
      <w:r w:rsidR="00A00453" w:rsidRPr="009A7DB9">
        <w:rPr>
          <w:i/>
          <w:iCs/>
          <w:lang w:val="en-CA"/>
        </w:rPr>
        <w:t>R. c. G.D</w:t>
      </w:r>
      <w:r w:rsidR="00A00453" w:rsidRPr="009A7DB9">
        <w:rPr>
          <w:lang w:val="en-CA"/>
        </w:rPr>
        <w:t>., 1998 CanLII 13015 (</w:t>
      </w:r>
      <w:r>
        <w:rPr>
          <w:lang w:val="en-CA"/>
        </w:rPr>
        <w:t>Que. C.A.</w:t>
      </w:r>
      <w:r w:rsidR="00A00453" w:rsidRPr="009A7DB9">
        <w:rPr>
          <w:lang w:val="en-CA"/>
        </w:rPr>
        <w:t>)</w:t>
      </w:r>
      <w:r w:rsidR="00816684">
        <w:rPr>
          <w:lang w:val="en-CA"/>
        </w:rPr>
        <w:t>,</w:t>
      </w:r>
      <w:r w:rsidR="00A00453" w:rsidRPr="009A7DB9">
        <w:rPr>
          <w:lang w:val="en-CA"/>
        </w:rPr>
        <w:t xml:space="preserve"> </w:t>
      </w:r>
      <w:r w:rsidR="00207B00">
        <w:rPr>
          <w:lang w:val="en-CA"/>
        </w:rPr>
        <w:t xml:space="preserve">where </w:t>
      </w:r>
      <w:r w:rsidR="00481DE8">
        <w:rPr>
          <w:lang w:val="en-CA"/>
        </w:rPr>
        <w:t>our</w:t>
      </w:r>
      <w:r>
        <w:rPr>
          <w:lang w:val="en-CA"/>
        </w:rPr>
        <w:t xml:space="preserve"> Court refused to recognize a privilege covering an admission</w:t>
      </w:r>
      <w:r w:rsidR="008A6CAD">
        <w:rPr>
          <w:lang w:val="en-CA"/>
        </w:rPr>
        <w:t xml:space="preserve"> after a sexual assault</w:t>
      </w:r>
      <w:r>
        <w:rPr>
          <w:lang w:val="en-CA"/>
        </w:rPr>
        <w:t xml:space="preserve"> to the murders of two children in 1979.</w:t>
      </w:r>
      <w:r w:rsidR="00A00453" w:rsidRPr="009A7DB9">
        <w:rPr>
          <w:lang w:val="en-CA"/>
        </w:rPr>
        <w:t xml:space="preserve"> </w:t>
      </w:r>
      <w:r>
        <w:rPr>
          <w:lang w:val="en-CA"/>
        </w:rPr>
        <w:t xml:space="preserve">At the time </w:t>
      </w:r>
      <w:r w:rsidR="00DC2445">
        <w:rPr>
          <w:lang w:val="en-CA"/>
        </w:rPr>
        <w:t xml:space="preserve">the admission was made, the appellant </w:t>
      </w:r>
      <w:r w:rsidR="00DC2445" w:rsidRPr="00970A88">
        <w:rPr>
          <w:lang w:val="en-CA"/>
        </w:rPr>
        <w:t xml:space="preserve">was serving </w:t>
      </w:r>
      <w:r w:rsidR="000759F8" w:rsidRPr="00970A88">
        <w:rPr>
          <w:lang w:val="en-CA"/>
        </w:rPr>
        <w:t>a</w:t>
      </w:r>
      <w:r w:rsidR="00C123D9" w:rsidRPr="00970A88">
        <w:rPr>
          <w:lang w:val="en-CA"/>
        </w:rPr>
        <w:t xml:space="preserve"> </w:t>
      </w:r>
      <w:r w:rsidR="000759F8" w:rsidRPr="00970A88">
        <w:rPr>
          <w:lang w:val="en-CA"/>
        </w:rPr>
        <w:t>sentence</w:t>
      </w:r>
      <w:r w:rsidR="00497D32" w:rsidRPr="00970A88">
        <w:rPr>
          <w:lang w:val="en-CA"/>
        </w:rPr>
        <w:t xml:space="preserve"> in a penitentiary</w:t>
      </w:r>
      <w:r w:rsidR="00DC2445" w:rsidRPr="00970A88">
        <w:rPr>
          <w:lang w:val="en-CA"/>
        </w:rPr>
        <w:t xml:space="preserve"> and had voluntarily undertaken sexual deviance therapy through the authorities</w:t>
      </w:r>
      <w:r w:rsidR="007B5742" w:rsidRPr="00970A88">
        <w:rPr>
          <w:rFonts w:cs="Arial"/>
          <w:lang w:val="en-CA"/>
        </w:rPr>
        <w:t>—</w:t>
      </w:r>
      <w:r w:rsidR="007B5742" w:rsidRPr="00970A88">
        <w:rPr>
          <w:lang w:val="en-CA"/>
        </w:rPr>
        <w:t>specifically</w:t>
      </w:r>
      <w:r w:rsidR="007B5742">
        <w:rPr>
          <w:lang w:val="en-CA"/>
        </w:rPr>
        <w:t>,</w:t>
      </w:r>
      <w:r w:rsidR="00DC2445">
        <w:rPr>
          <w:lang w:val="en-CA"/>
        </w:rPr>
        <w:t xml:space="preserve"> parole system</w:t>
      </w:r>
      <w:r w:rsidR="007B5742">
        <w:rPr>
          <w:lang w:val="en-CA"/>
        </w:rPr>
        <w:t xml:space="preserve"> professionals</w:t>
      </w:r>
      <w:r w:rsidR="00DC2445">
        <w:rPr>
          <w:lang w:val="en-CA"/>
        </w:rPr>
        <w:t xml:space="preserve">. </w:t>
      </w:r>
      <w:r w:rsidR="00816684">
        <w:rPr>
          <w:lang w:val="en-CA"/>
        </w:rPr>
        <w:t xml:space="preserve">The Court noted that the appellant </w:t>
      </w:r>
      <w:r w:rsidR="009B46FF">
        <w:rPr>
          <w:lang w:val="en-CA"/>
        </w:rPr>
        <w:t>was speaking with</w:t>
      </w:r>
      <w:r w:rsidR="00816684">
        <w:rPr>
          <w:lang w:val="en-CA"/>
        </w:rPr>
        <w:t xml:space="preserve"> </w:t>
      </w:r>
      <w:r w:rsidR="00E97C6E">
        <w:rPr>
          <w:lang w:val="en-CA"/>
        </w:rPr>
        <w:t>an agent of the government</w:t>
      </w:r>
      <w:r w:rsidR="00816684">
        <w:rPr>
          <w:lang w:val="en-CA"/>
        </w:rPr>
        <w:t xml:space="preserve"> who was to report the admissions to the authorities </w:t>
      </w:r>
      <w:r w:rsidR="009B46FF">
        <w:rPr>
          <w:lang w:val="en-CA"/>
        </w:rPr>
        <w:t xml:space="preserve">with a view </w:t>
      </w:r>
      <w:r w:rsidR="00816684">
        <w:rPr>
          <w:lang w:val="en-CA"/>
        </w:rPr>
        <w:t>to assess</w:t>
      </w:r>
      <w:r w:rsidR="009B46FF">
        <w:rPr>
          <w:lang w:val="en-CA"/>
        </w:rPr>
        <w:t>ing</w:t>
      </w:r>
      <w:r w:rsidR="00816684">
        <w:rPr>
          <w:lang w:val="en-CA"/>
        </w:rPr>
        <w:t xml:space="preserve"> the terms </w:t>
      </w:r>
      <w:r w:rsidR="009B46FF">
        <w:rPr>
          <w:lang w:val="en-CA"/>
        </w:rPr>
        <w:t xml:space="preserve">and conditions </w:t>
      </w:r>
      <w:r w:rsidR="00816684">
        <w:rPr>
          <w:lang w:val="en-CA"/>
        </w:rPr>
        <w:t>of his parole</w:t>
      </w:r>
      <w:r w:rsidR="003D1E77">
        <w:rPr>
          <w:lang w:val="en-CA"/>
        </w:rPr>
        <w:t>;</w:t>
      </w:r>
      <w:r w:rsidR="00816684">
        <w:rPr>
          <w:lang w:val="en-CA"/>
        </w:rPr>
        <w:t xml:space="preserve"> that he met directly with investigating police officers</w:t>
      </w:r>
      <w:r w:rsidR="003D1E77">
        <w:rPr>
          <w:lang w:val="en-CA"/>
        </w:rPr>
        <w:t>;</w:t>
      </w:r>
      <w:r w:rsidR="00816684">
        <w:rPr>
          <w:lang w:val="en-CA"/>
        </w:rPr>
        <w:t xml:space="preserve"> and that he made a </w:t>
      </w:r>
      <w:r w:rsidR="007457BD">
        <w:rPr>
          <w:lang w:val="en-CA"/>
        </w:rPr>
        <w:t xml:space="preserve">full </w:t>
      </w:r>
      <w:r w:rsidR="00816684">
        <w:rPr>
          <w:lang w:val="en-CA"/>
        </w:rPr>
        <w:t>and admissible written statement. It released the professionals who were treating the appellant from their obligation of professional secrecy.</w:t>
      </w:r>
    </w:p>
    <w:p w14:paraId="5D0D320C" w14:textId="40C3162B" w:rsidR="00A00453" w:rsidRPr="009A7DB9" w:rsidRDefault="00391A26" w:rsidP="00A00453">
      <w:pPr>
        <w:pStyle w:val="Paragraphe"/>
        <w:spacing w:line="280" w:lineRule="exact"/>
        <w:rPr>
          <w:lang w:val="en-CA"/>
        </w:rPr>
      </w:pPr>
      <w:r>
        <w:rPr>
          <w:lang w:val="en-CA"/>
        </w:rPr>
        <w:t xml:space="preserve">Once again, the facts of </w:t>
      </w:r>
      <w:r w:rsidR="00A37C09" w:rsidRPr="00A37C09">
        <w:rPr>
          <w:i/>
          <w:iCs/>
          <w:lang w:val="en-CA"/>
        </w:rPr>
        <w:t>R. c. G.D.</w:t>
      </w:r>
      <w:r>
        <w:rPr>
          <w:lang w:val="en-CA"/>
        </w:rPr>
        <w:t xml:space="preserve"> are </w:t>
      </w:r>
      <w:r w:rsidR="004542CA">
        <w:rPr>
          <w:lang w:val="en-CA"/>
        </w:rPr>
        <w:t xml:space="preserve">very different </w:t>
      </w:r>
      <w:r>
        <w:rPr>
          <w:lang w:val="en-CA"/>
        </w:rPr>
        <w:t xml:space="preserve">from </w:t>
      </w:r>
      <w:r w:rsidR="008A3478">
        <w:rPr>
          <w:lang w:val="en-CA"/>
        </w:rPr>
        <w:t>those</w:t>
      </w:r>
      <w:r>
        <w:rPr>
          <w:lang w:val="en-CA"/>
        </w:rPr>
        <w:t xml:space="preserve"> in this appeal</w:t>
      </w:r>
      <w:r w:rsidR="00A00453" w:rsidRPr="009A7DB9">
        <w:rPr>
          <w:lang w:val="en-CA"/>
        </w:rPr>
        <w:t xml:space="preserve">. </w:t>
      </w:r>
      <w:r w:rsidR="009D3480">
        <w:rPr>
          <w:lang w:val="en-CA"/>
        </w:rPr>
        <w:t xml:space="preserve">While there </w:t>
      </w:r>
      <w:r w:rsidR="00C12572">
        <w:rPr>
          <w:lang w:val="en-CA"/>
        </w:rPr>
        <w:t>were</w:t>
      </w:r>
      <w:r w:rsidR="009D3480">
        <w:rPr>
          <w:lang w:val="en-CA"/>
        </w:rPr>
        <w:t xml:space="preserve"> </w:t>
      </w:r>
      <w:r w:rsidR="00C12572">
        <w:rPr>
          <w:lang w:val="en-CA"/>
        </w:rPr>
        <w:t>dealings</w:t>
      </w:r>
      <w:r w:rsidR="009D3480">
        <w:rPr>
          <w:lang w:val="en-CA"/>
        </w:rPr>
        <w:t xml:space="preserve"> with a professional who promised confidentiality</w:t>
      </w:r>
      <w:r w:rsidR="00C12572">
        <w:rPr>
          <w:lang w:val="en-CA"/>
        </w:rPr>
        <w:t xml:space="preserve"> in that case</w:t>
      </w:r>
      <w:r w:rsidR="009D3480">
        <w:rPr>
          <w:lang w:val="en-CA"/>
        </w:rPr>
        <w:t xml:space="preserve">, I doubt </w:t>
      </w:r>
      <w:r w:rsidR="004542CA">
        <w:rPr>
          <w:lang w:val="en-CA"/>
        </w:rPr>
        <w:t>it</w:t>
      </w:r>
      <w:r w:rsidR="009D3480">
        <w:rPr>
          <w:lang w:val="en-CA"/>
        </w:rPr>
        <w:t xml:space="preserve"> was part of a genuine therapeutic process </w:t>
      </w:r>
      <w:r w:rsidR="004542CA">
        <w:rPr>
          <w:lang w:val="en-CA"/>
        </w:rPr>
        <w:t>or that</w:t>
      </w:r>
      <w:r w:rsidR="009D3480">
        <w:rPr>
          <w:lang w:val="en-CA"/>
        </w:rPr>
        <w:t xml:space="preserve"> this process was central to the relation</w:t>
      </w:r>
      <w:r w:rsidR="00C12572">
        <w:rPr>
          <w:lang w:val="en-CA"/>
        </w:rPr>
        <w:t>ship</w:t>
      </w:r>
      <w:r w:rsidR="009D3480">
        <w:rPr>
          <w:lang w:val="en-CA"/>
        </w:rPr>
        <w:t xml:space="preserve">. From the facts of that case, </w:t>
      </w:r>
      <w:r w:rsidR="00C12572">
        <w:rPr>
          <w:lang w:val="en-CA"/>
        </w:rPr>
        <w:t xml:space="preserve">it </w:t>
      </w:r>
      <w:r w:rsidR="008824E1">
        <w:rPr>
          <w:lang w:val="en-CA"/>
        </w:rPr>
        <w:t>seems more like</w:t>
      </w:r>
      <w:r w:rsidR="009D3480">
        <w:rPr>
          <w:lang w:val="en-CA"/>
        </w:rPr>
        <w:t xml:space="preserve"> the appellant was hoping to be paroled soon.</w:t>
      </w:r>
      <w:r w:rsidR="00A00453" w:rsidRPr="009A7DB9">
        <w:rPr>
          <w:lang w:val="en-CA"/>
        </w:rPr>
        <w:t xml:space="preserve"> </w:t>
      </w:r>
      <w:r w:rsidR="00481DE8">
        <w:rPr>
          <w:lang w:val="en-CA"/>
        </w:rPr>
        <w:t xml:space="preserve">Lastly, like the Ontario Court of Appeal in </w:t>
      </w:r>
      <w:r w:rsidR="00A00453" w:rsidRPr="009A7DB9">
        <w:rPr>
          <w:i/>
          <w:iCs/>
          <w:lang w:val="en-CA"/>
        </w:rPr>
        <w:t>R. c. S.(R.)</w:t>
      </w:r>
      <w:r w:rsidR="00A00453" w:rsidRPr="009A7DB9">
        <w:rPr>
          <w:lang w:val="en-CA"/>
        </w:rPr>
        <w:t xml:space="preserve">, </w:t>
      </w:r>
      <w:r w:rsidR="008948CD" w:rsidRPr="008948CD">
        <w:rPr>
          <w:i/>
          <w:lang w:val="en-CA"/>
        </w:rPr>
        <w:t>supra</w:t>
      </w:r>
      <w:r w:rsidR="00A00453" w:rsidRPr="009A7DB9">
        <w:rPr>
          <w:lang w:val="en-CA"/>
        </w:rPr>
        <w:t xml:space="preserve">, </w:t>
      </w:r>
      <w:r w:rsidR="001D14C2">
        <w:rPr>
          <w:lang w:val="en-CA"/>
        </w:rPr>
        <w:t xml:space="preserve">our Court did not examine the impact of </w:t>
      </w:r>
      <w:r w:rsidR="001D14C2" w:rsidRPr="001D14C2">
        <w:rPr>
          <w:i/>
          <w:iCs/>
          <w:lang w:val="en-CA"/>
        </w:rPr>
        <w:t>Charter</w:t>
      </w:r>
      <w:r w:rsidR="001D14C2">
        <w:rPr>
          <w:lang w:val="en-CA"/>
        </w:rPr>
        <w:t xml:space="preserve"> values on the privilege.</w:t>
      </w:r>
    </w:p>
    <w:p w14:paraId="5E45ED92" w14:textId="13EE8452" w:rsidR="00A00453" w:rsidRPr="009A7DB9" w:rsidRDefault="001D14C2" w:rsidP="00A00453">
      <w:pPr>
        <w:pStyle w:val="Paragraphe"/>
        <w:spacing w:line="280" w:lineRule="exact"/>
        <w:rPr>
          <w:lang w:val="en-CA"/>
        </w:rPr>
      </w:pPr>
      <w:r>
        <w:rPr>
          <w:lang w:val="en-CA"/>
        </w:rPr>
        <w:t>I am not unaware of the importance of effective criminal trials</w:t>
      </w:r>
      <w:r w:rsidR="00220687">
        <w:rPr>
          <w:lang w:val="en-CA"/>
        </w:rPr>
        <w:t>,</w:t>
      </w:r>
      <w:r>
        <w:rPr>
          <w:lang w:val="en-CA"/>
        </w:rPr>
        <w:t xml:space="preserve"> and I realize there will be cases where the admissions made by a person will be used against them, even if given as part of a therapeutic relationship.</w:t>
      </w:r>
      <w:r w:rsidR="00A00453" w:rsidRPr="009A7DB9">
        <w:rPr>
          <w:lang w:val="en-CA"/>
        </w:rPr>
        <w:t xml:space="preserve"> </w:t>
      </w:r>
      <w:r>
        <w:rPr>
          <w:lang w:val="en-CA"/>
        </w:rPr>
        <w:t>The authorities cited by the respondent are examples of these types of cases. But in the case at bar, the situation leads me to conclude that the appellant’s statements were privileged and inadmissible in evidence.</w:t>
      </w:r>
    </w:p>
    <w:p w14:paraId="3BB7D381" w14:textId="2708DCBE" w:rsidR="00A00453" w:rsidRPr="009A7DB9" w:rsidRDefault="001D14C2" w:rsidP="00A00453">
      <w:pPr>
        <w:pStyle w:val="Paragraphe"/>
        <w:spacing w:line="280" w:lineRule="exact"/>
        <w:rPr>
          <w:lang w:val="en-CA"/>
        </w:rPr>
      </w:pPr>
      <w:r>
        <w:rPr>
          <w:lang w:val="en-CA"/>
        </w:rPr>
        <w:t xml:space="preserve">I find it would be unjust and contrary to </w:t>
      </w:r>
      <w:r w:rsidRPr="001D14C2">
        <w:rPr>
          <w:i/>
          <w:iCs/>
          <w:lang w:val="en-CA"/>
        </w:rPr>
        <w:t>Charter</w:t>
      </w:r>
      <w:r>
        <w:rPr>
          <w:lang w:val="en-CA"/>
        </w:rPr>
        <w:t xml:space="preserve"> values to use statements against the appellant that were made to discuss a matter of sexual deviance as part of a treatment process voluntarily undertaken with an organization that treats sexual deviance</w:t>
      </w:r>
      <w:r w:rsidR="00A00453" w:rsidRPr="009A7DB9">
        <w:rPr>
          <w:lang w:val="en-CA"/>
        </w:rPr>
        <w:t xml:space="preserve">. </w:t>
      </w:r>
      <w:r>
        <w:rPr>
          <w:lang w:val="en-CA"/>
        </w:rPr>
        <w:t>While</w:t>
      </w:r>
      <w:r w:rsidR="00A75402">
        <w:rPr>
          <w:lang w:val="en-CA"/>
        </w:rPr>
        <w:t> </w:t>
      </w:r>
      <w:r>
        <w:rPr>
          <w:lang w:val="en-CA"/>
        </w:rPr>
        <w:t xml:space="preserve">sexual deviance </w:t>
      </w:r>
      <w:r w:rsidR="009919A6">
        <w:rPr>
          <w:lang w:val="en-CA"/>
        </w:rPr>
        <w:t>is not always</w:t>
      </w:r>
      <w:r w:rsidR="00A75402">
        <w:rPr>
          <w:lang w:val="en-CA"/>
        </w:rPr>
        <w:t xml:space="preserve"> </w:t>
      </w:r>
      <w:r>
        <w:rPr>
          <w:lang w:val="en-CA"/>
        </w:rPr>
        <w:t xml:space="preserve">a crime, the fact remains that the very nature of the admissions in this case lie at the heart of the problem and of the help </w:t>
      </w:r>
      <w:r w:rsidR="00EF1502">
        <w:rPr>
          <w:lang w:val="en-CA"/>
        </w:rPr>
        <w:t xml:space="preserve">that </w:t>
      </w:r>
      <w:r>
        <w:rPr>
          <w:lang w:val="en-CA"/>
        </w:rPr>
        <w:t xml:space="preserve">was </w:t>
      </w:r>
      <w:r w:rsidR="009919A6">
        <w:rPr>
          <w:lang w:val="en-CA"/>
        </w:rPr>
        <w:t xml:space="preserve">being </w:t>
      </w:r>
      <w:r>
        <w:rPr>
          <w:lang w:val="en-CA"/>
        </w:rPr>
        <w:t>sought for the problem</w:t>
      </w:r>
      <w:r w:rsidR="00A00453" w:rsidRPr="009A7DB9">
        <w:rPr>
          <w:lang w:val="en-CA"/>
        </w:rPr>
        <w:t xml:space="preserve">. </w:t>
      </w:r>
      <w:r>
        <w:rPr>
          <w:lang w:val="en-CA"/>
        </w:rPr>
        <w:t xml:space="preserve">This is an important </w:t>
      </w:r>
      <w:r w:rsidR="00484C2D">
        <w:rPr>
          <w:lang w:val="en-CA"/>
        </w:rPr>
        <w:t>contextual element</w:t>
      </w:r>
      <w:r w:rsidR="00AB2012">
        <w:rPr>
          <w:lang w:val="en-CA"/>
        </w:rPr>
        <w:t xml:space="preserve"> in the case at bar</w:t>
      </w:r>
      <w:r>
        <w:rPr>
          <w:lang w:val="en-CA"/>
        </w:rPr>
        <w:t xml:space="preserve">. </w:t>
      </w:r>
    </w:p>
    <w:p w14:paraId="1639D10F" w14:textId="70E0A3A0" w:rsidR="00A00453" w:rsidRPr="009A7DB9" w:rsidRDefault="00AB2012" w:rsidP="00A00453">
      <w:pPr>
        <w:pStyle w:val="Paragraphe"/>
        <w:spacing w:line="280" w:lineRule="exact"/>
        <w:rPr>
          <w:lang w:val="en-CA"/>
        </w:rPr>
      </w:pPr>
      <w:r>
        <w:rPr>
          <w:lang w:val="en-CA"/>
        </w:rPr>
        <w:t>Furthermore, the fundamentally personal therapeutic process in the case at bar, which was animated by no other objective but t</w:t>
      </w:r>
      <w:r w:rsidR="00271A33">
        <w:rPr>
          <w:lang w:val="en-CA"/>
        </w:rPr>
        <w:t>o</w:t>
      </w:r>
      <w:r>
        <w:rPr>
          <w:lang w:val="en-CA"/>
        </w:rPr>
        <w:t xml:space="preserve"> solve a grave problem, was undertaken in good faith and in a completely forthright manner.</w:t>
      </w:r>
    </w:p>
    <w:p w14:paraId="4315F415" w14:textId="3AE815FB" w:rsidR="00A00453" w:rsidRPr="00970A88" w:rsidRDefault="00AB2012" w:rsidP="00A00453">
      <w:pPr>
        <w:pStyle w:val="Paragraphe"/>
        <w:spacing w:line="280" w:lineRule="exact"/>
        <w:rPr>
          <w:lang w:val="en-CA"/>
        </w:rPr>
      </w:pPr>
      <w:r>
        <w:rPr>
          <w:lang w:val="en-CA"/>
        </w:rPr>
        <w:t xml:space="preserve">Lastly, I note that the evidence </w:t>
      </w:r>
      <w:r w:rsidR="00EF1502">
        <w:rPr>
          <w:lang w:val="en-CA"/>
        </w:rPr>
        <w:t>reveals</w:t>
      </w:r>
      <w:r>
        <w:rPr>
          <w:lang w:val="en-CA"/>
        </w:rPr>
        <w:t xml:space="preserve">, and </w:t>
      </w:r>
      <w:r w:rsidRPr="00970A88">
        <w:rPr>
          <w:lang w:val="en-CA"/>
        </w:rPr>
        <w:t xml:space="preserve">that the trial judge agreed, that before he made his admissions, the appellant was never </w:t>
      </w:r>
      <w:r w:rsidR="00D77044" w:rsidRPr="00970A88">
        <w:rPr>
          <w:lang w:val="en-CA"/>
        </w:rPr>
        <w:t>cautioned</w:t>
      </w:r>
      <w:r w:rsidRPr="00970A88">
        <w:rPr>
          <w:lang w:val="en-CA"/>
        </w:rPr>
        <w:t xml:space="preserve"> they might be used to incriminate him. It is stunning that the organization in question did not have a clearer </w:t>
      </w:r>
      <w:r w:rsidRPr="00970A88">
        <w:rPr>
          <w:lang w:val="en-CA"/>
        </w:rPr>
        <w:lastRenderedPageBreak/>
        <w:t>protocol for prospective patients that its representatives could easily explain, knowing that while not all sexual deviants have committed crimes, there will be others, like the appellant, who have</w:t>
      </w:r>
      <w:r w:rsidR="00A00453" w:rsidRPr="00970A88">
        <w:rPr>
          <w:lang w:val="en-CA"/>
        </w:rPr>
        <w:t>.</w:t>
      </w:r>
    </w:p>
    <w:p w14:paraId="3C4195FB" w14:textId="673834FC" w:rsidR="00A00453" w:rsidRPr="009A7DB9" w:rsidRDefault="0022242E" w:rsidP="00A00453">
      <w:pPr>
        <w:pStyle w:val="Paragraphe"/>
        <w:spacing w:line="280" w:lineRule="exact"/>
        <w:rPr>
          <w:lang w:val="en-CA"/>
        </w:rPr>
      </w:pPr>
      <w:r>
        <w:rPr>
          <w:lang w:val="en-CA"/>
        </w:rPr>
        <w:t xml:space="preserve">Lastly, there was no danger requiring the neutralization of the appellant or immediate action. As the Ontario Court of Appeal noted in </w:t>
      </w:r>
      <w:r w:rsidR="00A00453" w:rsidRPr="009A7DB9">
        <w:rPr>
          <w:i/>
          <w:iCs/>
          <w:lang w:val="en-CA"/>
        </w:rPr>
        <w:t xml:space="preserve">R. </w:t>
      </w:r>
      <w:r>
        <w:rPr>
          <w:i/>
          <w:iCs/>
          <w:lang w:val="en-CA"/>
        </w:rPr>
        <w:t>v</w:t>
      </w:r>
      <w:r w:rsidR="00A00453" w:rsidRPr="009A7DB9">
        <w:rPr>
          <w:i/>
          <w:iCs/>
          <w:lang w:val="en-CA"/>
        </w:rPr>
        <w:t>. S.(R.)</w:t>
      </w:r>
      <w:r w:rsidR="00A00453" w:rsidRPr="009A7DB9">
        <w:rPr>
          <w:lang w:val="en-CA"/>
        </w:rPr>
        <w:t xml:space="preserve">, </w:t>
      </w:r>
      <w:r>
        <w:rPr>
          <w:lang w:val="en-CA"/>
        </w:rPr>
        <w:t xml:space="preserve">society’s interest in helping young victims who are in danger points to the importance of </w:t>
      </w:r>
      <w:r w:rsidR="002814F0">
        <w:rPr>
          <w:lang w:val="en-CA"/>
        </w:rPr>
        <w:t>that</w:t>
      </w:r>
      <w:r>
        <w:rPr>
          <w:lang w:val="en-CA"/>
        </w:rPr>
        <w:t xml:space="preserve"> objective. However, one must take into account that legislation allows professionals to be released</w:t>
      </w:r>
      <w:r w:rsidR="00A00453" w:rsidRPr="009A7DB9">
        <w:rPr>
          <w:lang w:val="en-CA"/>
        </w:rPr>
        <w:t xml:space="preserve"> </w:t>
      </w:r>
      <w:r w:rsidR="00FF4AE9">
        <w:rPr>
          <w:lang w:val="en-CA"/>
        </w:rPr>
        <w:t xml:space="preserve">from secrecy and from the confidentiality of their </w:t>
      </w:r>
      <w:r w:rsidR="00AA366D">
        <w:rPr>
          <w:lang w:val="en-CA"/>
        </w:rPr>
        <w:t>dealings</w:t>
      </w:r>
      <w:r w:rsidR="00FF4AE9">
        <w:rPr>
          <w:lang w:val="en-CA"/>
        </w:rPr>
        <w:t xml:space="preserve"> with their patients only in specific circumstances. Endangerment </w:t>
      </w:r>
      <w:r w:rsidR="002A3081">
        <w:rPr>
          <w:lang w:val="en-CA"/>
        </w:rPr>
        <w:t xml:space="preserve">of </w:t>
      </w:r>
      <w:r w:rsidR="00FF4AE9">
        <w:rPr>
          <w:lang w:val="en-CA"/>
        </w:rPr>
        <w:t xml:space="preserve">a child is the exception in the </w:t>
      </w:r>
      <w:r w:rsidR="00FF4AE9" w:rsidRPr="00D71574">
        <w:rPr>
          <w:i/>
          <w:iCs/>
          <w:lang w:val="en-CA"/>
        </w:rPr>
        <w:t>Youth</w:t>
      </w:r>
      <w:r w:rsidR="001D22F9">
        <w:rPr>
          <w:i/>
          <w:iCs/>
          <w:lang w:val="en-CA"/>
        </w:rPr>
        <w:t> </w:t>
      </w:r>
      <w:r w:rsidR="003F27D9">
        <w:rPr>
          <w:i/>
          <w:iCs/>
          <w:lang w:val="en-CA"/>
        </w:rPr>
        <w:t>P</w:t>
      </w:r>
      <w:r w:rsidR="00FF4AE9" w:rsidRPr="00D71574">
        <w:rPr>
          <w:i/>
          <w:iCs/>
          <w:lang w:val="en-CA"/>
        </w:rPr>
        <w:t>rotection Act</w:t>
      </w:r>
      <w:r w:rsidR="00FF4AE9">
        <w:rPr>
          <w:lang w:val="en-CA"/>
        </w:rPr>
        <w:t>, CQLR, c.</w:t>
      </w:r>
      <w:r w:rsidR="00C71B82">
        <w:rPr>
          <w:lang w:val="en-CA"/>
        </w:rPr>
        <w:t> </w:t>
      </w:r>
      <w:r w:rsidR="00A00453" w:rsidRPr="009A7DB9">
        <w:rPr>
          <w:lang w:val="en-CA"/>
        </w:rPr>
        <w:t>P</w:t>
      </w:r>
      <w:r w:rsidR="00C71B82">
        <w:rPr>
          <w:lang w:val="en-CA"/>
        </w:rPr>
        <w:noBreakHyphen/>
      </w:r>
      <w:r w:rsidR="00A00453" w:rsidRPr="009A7DB9">
        <w:rPr>
          <w:lang w:val="en-CA"/>
        </w:rPr>
        <w:t>34.1</w:t>
      </w:r>
      <w:r w:rsidR="00BB6B45">
        <w:rPr>
          <w:lang w:val="en-CA"/>
        </w:rPr>
        <w:t xml:space="preserve"> (</w:t>
      </w:r>
      <w:r w:rsidR="00D71574">
        <w:rPr>
          <w:lang w:val="en-CA"/>
        </w:rPr>
        <w:t>sections</w:t>
      </w:r>
      <w:r w:rsidR="00A00453" w:rsidRPr="009A7DB9">
        <w:rPr>
          <w:lang w:val="en-CA"/>
        </w:rPr>
        <w:t xml:space="preserve"> 38 </w:t>
      </w:r>
      <w:r w:rsidR="00BB6B45">
        <w:rPr>
          <w:lang w:val="en-CA"/>
        </w:rPr>
        <w:t>and</w:t>
      </w:r>
      <w:r w:rsidR="00D71574">
        <w:rPr>
          <w:lang w:val="en-CA"/>
        </w:rPr>
        <w:t xml:space="preserve"> </w:t>
      </w:r>
      <w:r w:rsidR="00A00453" w:rsidRPr="009A7DB9">
        <w:rPr>
          <w:lang w:val="en-CA"/>
        </w:rPr>
        <w:t>39.1</w:t>
      </w:r>
      <w:r w:rsidR="00BB6B45">
        <w:rPr>
          <w:lang w:val="en-CA"/>
        </w:rPr>
        <w:t>)</w:t>
      </w:r>
      <w:r w:rsidR="00A00453" w:rsidRPr="009A7DB9">
        <w:rPr>
          <w:lang w:val="en-CA"/>
        </w:rPr>
        <w:t xml:space="preserve">. </w:t>
      </w:r>
      <w:r w:rsidR="00AF3C14">
        <w:rPr>
          <w:lang w:val="en-CA"/>
        </w:rPr>
        <w:t>It was not</w:t>
      </w:r>
      <w:r w:rsidR="001A2F17">
        <w:rPr>
          <w:lang w:val="en-CA"/>
        </w:rPr>
        <w:t xml:space="preserve"> found to exist in </w:t>
      </w:r>
      <w:r w:rsidR="00AF3C14">
        <w:rPr>
          <w:lang w:val="en-CA"/>
        </w:rPr>
        <w:t>the case at bar</w:t>
      </w:r>
      <w:r w:rsidR="001A2F17">
        <w:rPr>
          <w:lang w:val="en-CA"/>
        </w:rPr>
        <w:t>. Legislation also provides techniques to address the imminent danger posed by certain people who consult professionals bound by secrecy</w:t>
      </w:r>
      <w:r w:rsidR="00310D40">
        <w:rPr>
          <w:lang w:val="en-CA"/>
        </w:rPr>
        <w:t>, by enabling th</w:t>
      </w:r>
      <w:r w:rsidR="001D22F9">
        <w:rPr>
          <w:lang w:val="en-CA"/>
        </w:rPr>
        <w:t>os</w:t>
      </w:r>
      <w:r w:rsidR="00310D40">
        <w:rPr>
          <w:lang w:val="en-CA"/>
        </w:rPr>
        <w:t xml:space="preserve">e professionals to </w:t>
      </w:r>
      <w:r w:rsidR="00114D1C">
        <w:rPr>
          <w:lang w:val="en-CA"/>
        </w:rPr>
        <w:t>address such danger</w:t>
      </w:r>
      <w:r w:rsidR="00A00453" w:rsidRPr="009A7DB9">
        <w:rPr>
          <w:lang w:val="en-CA"/>
        </w:rPr>
        <w:t xml:space="preserve">: </w:t>
      </w:r>
      <w:r w:rsidR="00310D40">
        <w:rPr>
          <w:lang w:val="en-CA"/>
        </w:rPr>
        <w:t>see</w:t>
      </w:r>
      <w:r w:rsidR="00114D1C">
        <w:rPr>
          <w:lang w:val="en-CA"/>
        </w:rPr>
        <w:t>,</w:t>
      </w:r>
      <w:r w:rsidR="00310D40">
        <w:rPr>
          <w:lang w:val="en-CA"/>
        </w:rPr>
        <w:t xml:space="preserve"> </w:t>
      </w:r>
      <w:r w:rsidR="00310D40" w:rsidRPr="00310D40">
        <w:rPr>
          <w:i/>
          <w:iCs/>
          <w:lang w:val="en-CA"/>
        </w:rPr>
        <w:t>inter alia</w:t>
      </w:r>
      <w:r w:rsidR="00114D1C">
        <w:rPr>
          <w:lang w:val="en-CA"/>
        </w:rPr>
        <w:t>,</w:t>
      </w:r>
      <w:r w:rsidR="008356D3">
        <w:rPr>
          <w:lang w:val="en-CA"/>
        </w:rPr>
        <w:t xml:space="preserve"> s</w:t>
      </w:r>
      <w:r w:rsidR="00C71B82">
        <w:rPr>
          <w:lang w:val="en-CA"/>
        </w:rPr>
        <w:t>ection </w:t>
      </w:r>
      <w:r w:rsidR="008356D3">
        <w:rPr>
          <w:lang w:val="en-CA"/>
        </w:rPr>
        <w:t xml:space="preserve">60.4 of the </w:t>
      </w:r>
      <w:r w:rsidR="00310D40">
        <w:rPr>
          <w:i/>
          <w:iCs/>
          <w:lang w:val="en-CA"/>
        </w:rPr>
        <w:t>Professional Code</w:t>
      </w:r>
      <w:r w:rsidR="00A00453" w:rsidRPr="009A7DB9">
        <w:rPr>
          <w:lang w:val="en-CA"/>
        </w:rPr>
        <w:t xml:space="preserve">, </w:t>
      </w:r>
      <w:r w:rsidR="00310D40">
        <w:rPr>
          <w:lang w:val="en-CA"/>
        </w:rPr>
        <w:t>CQLR,</w:t>
      </w:r>
      <w:r w:rsidR="00A00453" w:rsidRPr="009A7DB9">
        <w:rPr>
          <w:lang w:val="en-CA"/>
        </w:rPr>
        <w:t xml:space="preserve"> c.</w:t>
      </w:r>
      <w:r w:rsidR="00310D40">
        <w:rPr>
          <w:lang w:val="en-CA"/>
        </w:rPr>
        <w:t> </w:t>
      </w:r>
      <w:r w:rsidR="00A00453" w:rsidRPr="009A7DB9">
        <w:rPr>
          <w:lang w:val="en-CA"/>
        </w:rPr>
        <w:t>C</w:t>
      </w:r>
      <w:r w:rsidR="00C71B82">
        <w:rPr>
          <w:lang w:val="en-CA"/>
        </w:rPr>
        <w:noBreakHyphen/>
      </w:r>
      <w:r w:rsidR="00A00453" w:rsidRPr="009A7DB9">
        <w:rPr>
          <w:lang w:val="en-CA"/>
        </w:rPr>
        <w:t>26</w:t>
      </w:r>
      <w:r w:rsidR="008356D3">
        <w:rPr>
          <w:lang w:val="en-CA"/>
        </w:rPr>
        <w:t>; s</w:t>
      </w:r>
      <w:r w:rsidR="00C71B82">
        <w:rPr>
          <w:lang w:val="en-CA"/>
        </w:rPr>
        <w:t>ection </w:t>
      </w:r>
      <w:r w:rsidR="008356D3">
        <w:rPr>
          <w:lang w:val="en-CA"/>
        </w:rPr>
        <w:t>18 of the</w:t>
      </w:r>
      <w:r w:rsidR="00A00453" w:rsidRPr="009A7DB9">
        <w:rPr>
          <w:lang w:val="en-CA"/>
        </w:rPr>
        <w:t xml:space="preserve"> </w:t>
      </w:r>
      <w:r w:rsidR="00A00453" w:rsidRPr="009A7DB9">
        <w:rPr>
          <w:i/>
          <w:iCs/>
          <w:lang w:val="en-CA"/>
        </w:rPr>
        <w:t xml:space="preserve">Code </w:t>
      </w:r>
      <w:r w:rsidR="00310D40">
        <w:rPr>
          <w:i/>
          <w:iCs/>
          <w:lang w:val="en-CA"/>
        </w:rPr>
        <w:t>of ethics of psychologists</w:t>
      </w:r>
      <w:r w:rsidR="00A00453" w:rsidRPr="009A7DB9">
        <w:rPr>
          <w:lang w:val="en-CA"/>
        </w:rPr>
        <w:t xml:space="preserve">, </w:t>
      </w:r>
      <w:r w:rsidR="00310D40">
        <w:rPr>
          <w:lang w:val="en-CA"/>
        </w:rPr>
        <w:t xml:space="preserve">CQLR, c. </w:t>
      </w:r>
      <w:r w:rsidR="00A00453" w:rsidRPr="009A7DB9">
        <w:rPr>
          <w:lang w:val="en-CA"/>
        </w:rPr>
        <w:t>C</w:t>
      </w:r>
      <w:r w:rsidR="00C71B82">
        <w:rPr>
          <w:lang w:val="en-CA"/>
        </w:rPr>
        <w:noBreakHyphen/>
      </w:r>
      <w:r w:rsidR="00A00453" w:rsidRPr="009A7DB9">
        <w:rPr>
          <w:lang w:val="en-CA"/>
        </w:rPr>
        <w:t>26, r</w:t>
      </w:r>
      <w:r w:rsidR="00310D40">
        <w:rPr>
          <w:lang w:val="en-CA"/>
        </w:rPr>
        <w:t>.</w:t>
      </w:r>
      <w:r w:rsidR="00C71B82">
        <w:rPr>
          <w:lang w:val="en-CA"/>
        </w:rPr>
        <w:t> </w:t>
      </w:r>
      <w:r w:rsidR="00A00453" w:rsidRPr="009A7DB9">
        <w:rPr>
          <w:lang w:val="en-CA"/>
        </w:rPr>
        <w:t xml:space="preserve">212, </w:t>
      </w:r>
      <w:r w:rsidR="00310D40">
        <w:rPr>
          <w:lang w:val="en-CA"/>
        </w:rPr>
        <w:t xml:space="preserve">and </w:t>
      </w:r>
      <w:r w:rsidR="008356D3">
        <w:rPr>
          <w:lang w:val="en-CA"/>
        </w:rPr>
        <w:t>s</w:t>
      </w:r>
      <w:r w:rsidR="00C71B82">
        <w:rPr>
          <w:lang w:val="en-CA"/>
        </w:rPr>
        <w:t>ection </w:t>
      </w:r>
      <w:r w:rsidR="008356D3">
        <w:rPr>
          <w:lang w:val="en-CA"/>
        </w:rPr>
        <w:t xml:space="preserve">20 of the </w:t>
      </w:r>
      <w:r w:rsidR="00A00453" w:rsidRPr="009A7DB9">
        <w:rPr>
          <w:i/>
          <w:iCs/>
          <w:lang w:val="en-CA"/>
        </w:rPr>
        <w:t xml:space="preserve">Code </w:t>
      </w:r>
      <w:r w:rsidR="00310D40">
        <w:rPr>
          <w:i/>
          <w:iCs/>
          <w:lang w:val="en-CA"/>
        </w:rPr>
        <w:t>of ethics of physicians</w:t>
      </w:r>
      <w:r w:rsidR="00A00453" w:rsidRPr="009A7DB9">
        <w:rPr>
          <w:lang w:val="en-CA"/>
        </w:rPr>
        <w:t xml:space="preserve">, </w:t>
      </w:r>
      <w:r w:rsidR="00310D40">
        <w:rPr>
          <w:lang w:val="en-CA"/>
        </w:rPr>
        <w:t>CQLR, c.</w:t>
      </w:r>
      <w:r w:rsidR="00C71B82">
        <w:rPr>
          <w:lang w:val="en-CA"/>
        </w:rPr>
        <w:t> </w:t>
      </w:r>
      <w:r w:rsidR="00A00453" w:rsidRPr="009A7DB9">
        <w:rPr>
          <w:lang w:val="en-CA"/>
        </w:rPr>
        <w:t>M</w:t>
      </w:r>
      <w:r w:rsidR="00C71B82">
        <w:rPr>
          <w:lang w:val="en-CA"/>
        </w:rPr>
        <w:noBreakHyphen/>
      </w:r>
      <w:r w:rsidR="00A00453" w:rsidRPr="009A7DB9">
        <w:rPr>
          <w:lang w:val="en-CA"/>
        </w:rPr>
        <w:t>9, r</w:t>
      </w:r>
      <w:r w:rsidR="00310D40">
        <w:rPr>
          <w:lang w:val="en-CA"/>
        </w:rPr>
        <w:t>.</w:t>
      </w:r>
      <w:r w:rsidR="00C71B82">
        <w:rPr>
          <w:lang w:val="en-CA"/>
        </w:rPr>
        <w:t> </w:t>
      </w:r>
      <w:r w:rsidR="00A00453" w:rsidRPr="009A7DB9">
        <w:rPr>
          <w:lang w:val="en-CA"/>
        </w:rPr>
        <w:t>17</w:t>
      </w:r>
      <w:r w:rsidR="008356D3">
        <w:rPr>
          <w:lang w:val="en-CA"/>
        </w:rPr>
        <w:t>.</w:t>
      </w:r>
    </w:p>
    <w:p w14:paraId="3B239B8B" w14:textId="08EF4A08" w:rsidR="00A00453" w:rsidRPr="009A7DB9" w:rsidRDefault="00111A36" w:rsidP="00A00453">
      <w:pPr>
        <w:pStyle w:val="Paragraphe"/>
        <w:spacing w:line="280" w:lineRule="exact"/>
        <w:rPr>
          <w:lang w:val="en-CA"/>
        </w:rPr>
      </w:pPr>
      <w:r>
        <w:rPr>
          <w:lang w:val="en-CA"/>
        </w:rPr>
        <w:t xml:space="preserve">These provisions </w:t>
      </w:r>
      <w:r w:rsidR="003E6B30">
        <w:rPr>
          <w:lang w:val="en-CA"/>
        </w:rPr>
        <w:t>lend credence</w:t>
      </w:r>
      <w:r>
        <w:rPr>
          <w:lang w:val="en-CA"/>
        </w:rPr>
        <w:t xml:space="preserve"> to the idea that our society </w:t>
      </w:r>
      <w:r w:rsidR="003E6B30">
        <w:rPr>
          <w:lang w:val="en-CA"/>
        </w:rPr>
        <w:t>considers the</w:t>
      </w:r>
      <w:r>
        <w:rPr>
          <w:lang w:val="en-CA"/>
        </w:rPr>
        <w:t xml:space="preserve"> secrecy of professional-patient relationships</w:t>
      </w:r>
      <w:r w:rsidR="003E6B30">
        <w:rPr>
          <w:lang w:val="en-CA"/>
        </w:rPr>
        <w:t xml:space="preserve"> important</w:t>
      </w:r>
      <w:r w:rsidR="00132CE2">
        <w:rPr>
          <w:lang w:val="en-CA"/>
        </w:rPr>
        <w:t>. And they</w:t>
      </w:r>
      <w:r w:rsidR="003E6B30">
        <w:rPr>
          <w:lang w:val="en-CA"/>
        </w:rPr>
        <w:t xml:space="preserve"> </w:t>
      </w:r>
      <w:r>
        <w:rPr>
          <w:lang w:val="en-CA"/>
        </w:rPr>
        <w:t xml:space="preserve">are consistent with </w:t>
      </w:r>
      <w:r w:rsidR="00714E06" w:rsidRPr="00714E06">
        <w:rPr>
          <w:i/>
          <w:iCs/>
          <w:lang w:val="en-CA"/>
        </w:rPr>
        <w:t>Charter</w:t>
      </w:r>
      <w:r>
        <w:rPr>
          <w:lang w:val="en-CA"/>
        </w:rPr>
        <w:t xml:space="preserve"> values</w:t>
      </w:r>
      <w:r w:rsidR="00714E06" w:rsidRPr="00714E06">
        <w:rPr>
          <w:i/>
          <w:iCs/>
          <w:lang w:val="en-CA"/>
        </w:rPr>
        <w:t>.</w:t>
      </w:r>
    </w:p>
    <w:p w14:paraId="601309C6" w14:textId="2F929F68" w:rsidR="00A00453" w:rsidRPr="00970A88" w:rsidRDefault="00295FAC" w:rsidP="00A00453">
      <w:pPr>
        <w:pStyle w:val="Paragraphe"/>
        <w:spacing w:line="280" w:lineRule="exact"/>
        <w:rPr>
          <w:lang w:val="en-CA"/>
        </w:rPr>
      </w:pPr>
      <w:r>
        <w:rPr>
          <w:lang w:val="en-CA"/>
        </w:rPr>
        <w:t xml:space="preserve">Failing to protect an admission made under </w:t>
      </w:r>
      <w:r w:rsidR="00B3696B">
        <w:rPr>
          <w:lang w:val="en-CA"/>
        </w:rPr>
        <w:t xml:space="preserve">circumstances such as these </w:t>
      </w:r>
      <w:r>
        <w:rPr>
          <w:lang w:val="en-CA"/>
        </w:rPr>
        <w:t>strike</w:t>
      </w:r>
      <w:r w:rsidR="003A0B8E">
        <w:rPr>
          <w:lang w:val="en-CA"/>
        </w:rPr>
        <w:t>s</w:t>
      </w:r>
      <w:r>
        <w:rPr>
          <w:lang w:val="en-CA"/>
        </w:rPr>
        <w:t xml:space="preserve"> me as </w:t>
      </w:r>
      <w:r w:rsidRPr="00970A88">
        <w:rPr>
          <w:lang w:val="en-CA"/>
        </w:rPr>
        <w:t>contrary to common sense</w:t>
      </w:r>
      <w:r w:rsidR="0091609A" w:rsidRPr="00970A88">
        <w:rPr>
          <w:lang w:val="en-CA"/>
        </w:rPr>
        <w:t>,</w:t>
      </w:r>
      <w:r w:rsidRPr="00970A88">
        <w:rPr>
          <w:lang w:val="en-CA"/>
        </w:rPr>
        <w:t xml:space="preserve"> and as a disincentive for people who are struggling with sexual deviance</w:t>
      </w:r>
      <w:r w:rsidR="003A0B8E" w:rsidRPr="00970A88">
        <w:rPr>
          <w:lang w:val="en-CA"/>
        </w:rPr>
        <w:t xml:space="preserve"> </w:t>
      </w:r>
      <w:r w:rsidRPr="00970A88">
        <w:rPr>
          <w:lang w:val="en-CA"/>
        </w:rPr>
        <w:t xml:space="preserve">and </w:t>
      </w:r>
      <w:r w:rsidR="003A0B8E" w:rsidRPr="00970A88">
        <w:rPr>
          <w:lang w:val="en-CA"/>
        </w:rPr>
        <w:t xml:space="preserve">who </w:t>
      </w:r>
      <w:r w:rsidRPr="00970A88">
        <w:rPr>
          <w:lang w:val="en-CA"/>
        </w:rPr>
        <w:t>want to seek the help their condition requires.</w:t>
      </w:r>
      <w:r w:rsidR="00A00453" w:rsidRPr="00970A88">
        <w:rPr>
          <w:lang w:val="en-CA"/>
        </w:rPr>
        <w:t xml:space="preserve"> </w:t>
      </w:r>
      <w:r w:rsidR="00B3696B" w:rsidRPr="00970A88">
        <w:rPr>
          <w:lang w:val="en-CA"/>
        </w:rPr>
        <w:t xml:space="preserve">Although evidence cannot show with certainty that a candidate would not </w:t>
      </w:r>
      <w:r w:rsidR="009168E9" w:rsidRPr="00970A88">
        <w:rPr>
          <w:lang w:val="en-CA"/>
        </w:rPr>
        <w:t>undertake</w:t>
      </w:r>
      <w:r w:rsidR="00B3696B" w:rsidRPr="00970A88">
        <w:rPr>
          <w:lang w:val="en-CA"/>
        </w:rPr>
        <w:t xml:space="preserve"> therapy </w:t>
      </w:r>
      <w:r w:rsidR="009168E9" w:rsidRPr="00970A88">
        <w:rPr>
          <w:lang w:val="en-CA"/>
        </w:rPr>
        <w:t>if it could lead to their being brought before a criminal court</w:t>
      </w:r>
      <w:r w:rsidR="00B3696B" w:rsidRPr="00970A88">
        <w:rPr>
          <w:lang w:val="en-CA"/>
        </w:rPr>
        <w:t xml:space="preserve">, </w:t>
      </w:r>
      <w:r w:rsidR="003A0B8E" w:rsidRPr="00970A88">
        <w:rPr>
          <w:lang w:val="en-CA"/>
        </w:rPr>
        <w:t>this would seem self-evident.</w:t>
      </w:r>
      <w:r w:rsidR="00A00453" w:rsidRPr="00970A88">
        <w:rPr>
          <w:lang w:val="en-CA"/>
        </w:rPr>
        <w:t xml:space="preserve"> </w:t>
      </w:r>
      <w:r w:rsidR="003A0B8E" w:rsidRPr="00970A88">
        <w:rPr>
          <w:lang w:val="en-CA"/>
        </w:rPr>
        <w:t xml:space="preserve">Unlike the trial judge, I believe </w:t>
      </w:r>
      <w:r w:rsidR="009168E9" w:rsidRPr="00970A88">
        <w:rPr>
          <w:lang w:val="en-CA"/>
        </w:rPr>
        <w:t>it</w:t>
      </w:r>
      <w:r w:rsidR="003A0B8E" w:rsidRPr="00970A88">
        <w:rPr>
          <w:lang w:val="en-CA"/>
        </w:rPr>
        <w:t xml:space="preserve"> is a probable inference, justified by the evidence, and grounded in common sense.</w:t>
      </w:r>
    </w:p>
    <w:p w14:paraId="556AC872" w14:textId="74F13591" w:rsidR="00A00453" w:rsidRPr="009A7DB9" w:rsidRDefault="00A00453" w:rsidP="00A00453">
      <w:pPr>
        <w:pStyle w:val="Paragraphe"/>
        <w:spacing w:line="280" w:lineRule="exact"/>
        <w:rPr>
          <w:lang w:val="en-CA"/>
        </w:rPr>
      </w:pPr>
      <w:r w:rsidRPr="009A7DB9">
        <w:rPr>
          <w:lang w:val="en-CA"/>
        </w:rPr>
        <w:t xml:space="preserve">  </w:t>
      </w:r>
      <w:r w:rsidR="00C43391">
        <w:rPr>
          <w:lang w:val="en-CA"/>
        </w:rPr>
        <w:t>Since the prosecution concedes that the inadmissibility of the appellant’s admissions would require his acquittal, I would allow the application for leave to appeal, allow the appeal</w:t>
      </w:r>
      <w:r w:rsidR="00B3696B">
        <w:rPr>
          <w:lang w:val="en-CA"/>
        </w:rPr>
        <w:t>,</w:t>
      </w:r>
      <w:r w:rsidR="00C43391">
        <w:rPr>
          <w:lang w:val="en-CA"/>
        </w:rPr>
        <w:t xml:space="preserve"> and acquit the appellant. </w:t>
      </w:r>
    </w:p>
    <w:p w14:paraId="7C989D3E" w14:textId="77777777" w:rsidR="00A00453" w:rsidRPr="009A7DB9" w:rsidRDefault="00A00453" w:rsidP="00A00453">
      <w:pPr>
        <w:pStyle w:val="Paragraphe"/>
        <w:numPr>
          <w:ilvl w:val="0"/>
          <w:numId w:val="0"/>
        </w:numPr>
        <w:spacing w:line="280" w:lineRule="exact"/>
        <w:rPr>
          <w:lang w:val="en-CA"/>
        </w:rPr>
      </w:pPr>
    </w:p>
    <w:tbl>
      <w:tblPr>
        <w:tblW w:w="9360" w:type="dxa"/>
        <w:tblInd w:w="70" w:type="dxa"/>
        <w:tblLayout w:type="fixed"/>
        <w:tblCellMar>
          <w:left w:w="70" w:type="dxa"/>
          <w:right w:w="70" w:type="dxa"/>
        </w:tblCellMar>
        <w:tblLook w:val="0000" w:firstRow="0" w:lastRow="0" w:firstColumn="0" w:lastColumn="0" w:noHBand="0" w:noVBand="0"/>
      </w:tblPr>
      <w:tblGrid>
        <w:gridCol w:w="4735"/>
        <w:gridCol w:w="4625"/>
      </w:tblGrid>
      <w:tr w:rsidR="00A00453" w:rsidRPr="00163D95" w14:paraId="65CE634F" w14:textId="77777777" w:rsidTr="00A00453">
        <w:trPr>
          <w:cantSplit/>
          <w:trHeight w:val="513"/>
        </w:trPr>
        <w:tc>
          <w:tcPr>
            <w:tcW w:w="9360" w:type="dxa"/>
            <w:gridSpan w:val="2"/>
          </w:tcPr>
          <w:p w14:paraId="05D55FF1" w14:textId="77777777" w:rsidR="00A00453" w:rsidRPr="009A7DB9" w:rsidRDefault="00A00453" w:rsidP="00A00453">
            <w:pPr>
              <w:rPr>
                <w:lang w:val="en-CA"/>
              </w:rPr>
            </w:pPr>
          </w:p>
        </w:tc>
      </w:tr>
      <w:tr w:rsidR="00A00453" w:rsidRPr="00163D95" w14:paraId="3B6F411A" w14:textId="77777777" w:rsidTr="00A00453">
        <w:tblPrEx>
          <w:tblCellMar>
            <w:left w:w="0" w:type="dxa"/>
            <w:right w:w="0" w:type="dxa"/>
          </w:tblCellMar>
        </w:tblPrEx>
        <w:trPr>
          <w:cantSplit/>
          <w:trHeight w:val="277"/>
        </w:trPr>
        <w:tc>
          <w:tcPr>
            <w:tcW w:w="4735" w:type="dxa"/>
            <w:vMerge w:val="restart"/>
          </w:tcPr>
          <w:p w14:paraId="39C4C7D5" w14:textId="77777777" w:rsidR="00A00453" w:rsidRPr="009A7DB9" w:rsidRDefault="00A00453" w:rsidP="00A00453">
            <w:pPr>
              <w:rPr>
                <w:lang w:val="en-CA"/>
              </w:rPr>
            </w:pPr>
          </w:p>
        </w:tc>
        <w:tc>
          <w:tcPr>
            <w:tcW w:w="4625" w:type="dxa"/>
            <w:tcBorders>
              <w:bottom w:val="single" w:sz="8" w:space="0" w:color="auto"/>
            </w:tcBorders>
          </w:tcPr>
          <w:p w14:paraId="4D331311" w14:textId="77777777" w:rsidR="00A00453" w:rsidRPr="009A7DB9" w:rsidRDefault="00A00453" w:rsidP="00A00453">
            <w:pPr>
              <w:rPr>
                <w:lang w:val="en-CA"/>
              </w:rPr>
            </w:pPr>
          </w:p>
        </w:tc>
      </w:tr>
      <w:tr w:rsidR="00A00453" w:rsidRPr="009A7DB9" w14:paraId="116B0C71" w14:textId="77777777" w:rsidTr="00A00453">
        <w:tblPrEx>
          <w:tblCellMar>
            <w:left w:w="0" w:type="dxa"/>
            <w:right w:w="0" w:type="dxa"/>
          </w:tblCellMar>
        </w:tblPrEx>
        <w:trPr>
          <w:cantSplit/>
          <w:trHeight w:val="276"/>
        </w:trPr>
        <w:tc>
          <w:tcPr>
            <w:tcW w:w="4735" w:type="dxa"/>
            <w:vMerge/>
          </w:tcPr>
          <w:p w14:paraId="362158B0" w14:textId="77777777" w:rsidR="00A00453" w:rsidRPr="009A7DB9" w:rsidRDefault="00A00453" w:rsidP="00A00453">
            <w:pPr>
              <w:rPr>
                <w:lang w:val="en-CA"/>
              </w:rPr>
            </w:pPr>
          </w:p>
        </w:tc>
        <w:tc>
          <w:tcPr>
            <w:tcW w:w="4625" w:type="dxa"/>
          </w:tcPr>
          <w:p w14:paraId="38543466" w14:textId="4C2D7108" w:rsidR="00A00453" w:rsidRPr="009A7DB9" w:rsidRDefault="00F97A83" w:rsidP="00A00453">
            <w:pPr>
              <w:rPr>
                <w:lang w:val="en-CA"/>
              </w:rPr>
            </w:pPr>
            <w:r w:rsidRPr="009A7DB9">
              <w:rPr>
                <w:lang w:val="en-CA"/>
              </w:rPr>
              <w:t>MARTIN VAUCLAIR, J.A.</w:t>
            </w:r>
          </w:p>
        </w:tc>
      </w:tr>
      <w:bookmarkEnd w:id="10"/>
    </w:tbl>
    <w:p w14:paraId="0424F356" w14:textId="77777777" w:rsidR="00A00453" w:rsidRPr="009A7DB9" w:rsidRDefault="00A00453" w:rsidP="00A00453">
      <w:pPr>
        <w:rPr>
          <w:lang w:val="en-CA"/>
        </w:rPr>
        <w:sectPr w:rsidR="00A00453" w:rsidRPr="009A7DB9" w:rsidSect="00A0045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2" w:h="15842" w:code="1"/>
          <w:pgMar w:top="1440" w:right="1008" w:bottom="1440" w:left="1872" w:header="1440" w:footer="792" w:gutter="0"/>
          <w:cols w:space="720"/>
          <w:formProt w:val="0"/>
          <w:docGrid w:linePitch="326"/>
        </w:sectPr>
      </w:pPr>
    </w:p>
    <w:tbl>
      <w:tblPr>
        <w:tblW w:w="0" w:type="auto"/>
        <w:tblLayout w:type="fixed"/>
        <w:tblCellMar>
          <w:left w:w="0" w:type="dxa"/>
          <w:right w:w="0" w:type="dxa"/>
        </w:tblCellMar>
        <w:tblLook w:val="0000" w:firstRow="0" w:lastRow="0" w:firstColumn="0" w:lastColumn="0" w:noHBand="0" w:noVBand="0"/>
      </w:tblPr>
      <w:tblGrid>
        <w:gridCol w:w="9360"/>
      </w:tblGrid>
      <w:tr w:rsidR="00A00453" w:rsidRPr="009A7DB9" w14:paraId="12A949F8" w14:textId="77777777" w:rsidTr="002631A2">
        <w:tc>
          <w:tcPr>
            <w:tcW w:w="9360" w:type="dxa"/>
            <w:tcBorders>
              <w:bottom w:val="single" w:sz="8" w:space="0" w:color="auto"/>
            </w:tcBorders>
          </w:tcPr>
          <w:p w14:paraId="1897CD3D" w14:textId="77777777" w:rsidR="00A00453" w:rsidRPr="009A7DB9" w:rsidRDefault="00A00453" w:rsidP="00A00453">
            <w:pPr>
              <w:rPr>
                <w:lang w:val="en-CA"/>
              </w:rPr>
            </w:pPr>
          </w:p>
        </w:tc>
      </w:tr>
      <w:tr w:rsidR="00A00453" w:rsidRPr="009A7DB9" w14:paraId="7F6F6395" w14:textId="77777777" w:rsidTr="002631A2">
        <w:tc>
          <w:tcPr>
            <w:tcW w:w="9360" w:type="dxa"/>
            <w:tcBorders>
              <w:top w:val="single" w:sz="8" w:space="0" w:color="auto"/>
            </w:tcBorders>
          </w:tcPr>
          <w:p w14:paraId="03877A67" w14:textId="77777777" w:rsidR="00A00453" w:rsidRPr="009A7DB9" w:rsidRDefault="00A00453" w:rsidP="00A00453">
            <w:pPr>
              <w:rPr>
                <w:lang w:val="en-CA"/>
              </w:rPr>
            </w:pPr>
          </w:p>
        </w:tc>
      </w:tr>
      <w:tr w:rsidR="00A00453" w:rsidRPr="00163D95" w14:paraId="5BF5D901" w14:textId="77777777" w:rsidTr="002631A2">
        <w:tc>
          <w:tcPr>
            <w:tcW w:w="9360" w:type="dxa"/>
          </w:tcPr>
          <w:p w14:paraId="6F4C44BC" w14:textId="45D14DB9" w:rsidR="00A00453" w:rsidRPr="009A7DB9" w:rsidRDefault="00D215A8" w:rsidP="00F97A83">
            <w:pPr>
              <w:pStyle w:val="zSoquijlblOpinionJuge"/>
              <w:rPr>
                <w:lang w:val="en-CA"/>
              </w:rPr>
            </w:pPr>
            <w:r>
              <w:rPr>
                <w:lang w:val="en-CA"/>
              </w:rPr>
              <w:t>REASONS OF</w:t>
            </w:r>
            <w:r w:rsidR="00A00453" w:rsidRPr="009A7DB9">
              <w:rPr>
                <w:lang w:val="en-CA"/>
              </w:rPr>
              <w:t xml:space="preserve"> </w:t>
            </w:r>
            <w:r w:rsidR="00F97A83" w:rsidRPr="009A7DB9">
              <w:rPr>
                <w:lang w:val="en-CA"/>
              </w:rPr>
              <w:t>MAINVILLE</w:t>
            </w:r>
            <w:r>
              <w:rPr>
                <w:lang w:val="en-CA"/>
              </w:rPr>
              <w:t>, J.A.</w:t>
            </w:r>
          </w:p>
        </w:tc>
      </w:tr>
      <w:tr w:rsidR="00A00453" w:rsidRPr="00163D95" w14:paraId="7CA1D42D" w14:textId="77777777" w:rsidTr="002631A2">
        <w:tc>
          <w:tcPr>
            <w:tcW w:w="9360" w:type="dxa"/>
            <w:tcBorders>
              <w:bottom w:val="single" w:sz="8" w:space="0" w:color="auto"/>
            </w:tcBorders>
          </w:tcPr>
          <w:p w14:paraId="0192ED2F" w14:textId="77777777" w:rsidR="00A00453" w:rsidRPr="009A7DB9" w:rsidRDefault="00A00453" w:rsidP="00A00453">
            <w:pPr>
              <w:rPr>
                <w:lang w:val="en-CA"/>
              </w:rPr>
            </w:pPr>
          </w:p>
        </w:tc>
      </w:tr>
      <w:tr w:rsidR="00A00453" w:rsidRPr="00163D95" w14:paraId="5DDC521D" w14:textId="77777777" w:rsidTr="002631A2">
        <w:tc>
          <w:tcPr>
            <w:tcW w:w="9360" w:type="dxa"/>
            <w:tcBorders>
              <w:top w:val="single" w:sz="8" w:space="0" w:color="auto"/>
            </w:tcBorders>
          </w:tcPr>
          <w:p w14:paraId="6755B3B7" w14:textId="77777777" w:rsidR="00A00453" w:rsidRPr="009A7DB9" w:rsidRDefault="00A00453" w:rsidP="00A00453">
            <w:pPr>
              <w:rPr>
                <w:lang w:val="en-CA"/>
              </w:rPr>
            </w:pPr>
          </w:p>
        </w:tc>
      </w:tr>
    </w:tbl>
    <w:p w14:paraId="68470C2F" w14:textId="710C0791" w:rsidR="00A00453" w:rsidRPr="009A7DB9" w:rsidRDefault="006E6408" w:rsidP="00A00453">
      <w:pPr>
        <w:pStyle w:val="Paragraphe"/>
        <w:spacing w:line="280" w:lineRule="exact"/>
        <w:rPr>
          <w:lang w:val="en-CA"/>
        </w:rPr>
      </w:pPr>
      <w:r>
        <w:rPr>
          <w:lang w:val="en-CA"/>
        </w:rPr>
        <w:t>I have read the reasons of my colleague</w:t>
      </w:r>
      <w:r w:rsidR="00A00453" w:rsidRPr="009A7DB9">
        <w:rPr>
          <w:lang w:val="en-CA"/>
        </w:rPr>
        <w:t xml:space="preserve"> Vauclair</w:t>
      </w:r>
      <w:r>
        <w:rPr>
          <w:lang w:val="en-CA"/>
        </w:rPr>
        <w:t>, J.A.</w:t>
      </w:r>
      <w:r w:rsidR="00F45E9E">
        <w:rPr>
          <w:lang w:val="en-CA"/>
        </w:rPr>
        <w:t xml:space="preserve"> but cannot </w:t>
      </w:r>
      <w:r w:rsidR="00B27415">
        <w:rPr>
          <w:lang w:val="en-CA"/>
        </w:rPr>
        <w:t>concur</w:t>
      </w:r>
      <w:r w:rsidR="00F45E9E">
        <w:rPr>
          <w:lang w:val="en-CA"/>
        </w:rPr>
        <w:t>.</w:t>
      </w:r>
      <w:r>
        <w:rPr>
          <w:lang w:val="en-CA"/>
        </w:rPr>
        <w:t xml:space="preserve"> </w:t>
      </w:r>
      <w:r w:rsidR="00F45E9E">
        <w:rPr>
          <w:lang w:val="en-CA"/>
        </w:rPr>
        <w:t>My</w:t>
      </w:r>
      <w:r w:rsidR="00B27415">
        <w:rPr>
          <w:lang w:val="en-CA"/>
        </w:rPr>
        <w:t> </w:t>
      </w:r>
      <w:r w:rsidR="00F45E9E">
        <w:rPr>
          <w:lang w:val="en-CA"/>
        </w:rPr>
        <w:t>reasons for this are as follows</w:t>
      </w:r>
      <w:r w:rsidR="00A00453" w:rsidRPr="009A7DB9">
        <w:rPr>
          <w:lang w:val="en-CA"/>
        </w:rPr>
        <w:t>.</w:t>
      </w:r>
    </w:p>
    <w:p w14:paraId="08AB4543" w14:textId="15ED6A3E" w:rsidR="00A00453" w:rsidRPr="009A7DB9" w:rsidRDefault="006E6408" w:rsidP="00A00453">
      <w:pPr>
        <w:pStyle w:val="Paragraphe"/>
        <w:spacing w:line="280" w:lineRule="exact"/>
        <w:rPr>
          <w:lang w:val="en-CA"/>
        </w:rPr>
      </w:pPr>
      <w:r>
        <w:rPr>
          <w:lang w:val="en-CA"/>
        </w:rPr>
        <w:t>Four elements are decisive in the present case</w:t>
      </w:r>
      <w:r w:rsidR="00A00453" w:rsidRPr="009A7DB9">
        <w:rPr>
          <w:lang w:val="en-CA"/>
        </w:rPr>
        <w:t>:</w:t>
      </w:r>
    </w:p>
    <w:p w14:paraId="2D8CDB2E" w14:textId="650231D4" w:rsidR="00A00453" w:rsidRPr="009A7DB9" w:rsidRDefault="006E6408" w:rsidP="00A00453">
      <w:pPr>
        <w:pStyle w:val="Paragraphedeliste"/>
        <w:numPr>
          <w:ilvl w:val="0"/>
          <w:numId w:val="19"/>
        </w:numPr>
        <w:spacing w:line="280" w:lineRule="exact"/>
        <w:ind w:left="1134" w:hanging="425"/>
        <w:jc w:val="both"/>
        <w:rPr>
          <w:rFonts w:ascii="Arial" w:hAnsi="Arial" w:cs="Arial"/>
          <w:sz w:val="24"/>
          <w:szCs w:val="24"/>
          <w:lang w:val="en-CA"/>
        </w:rPr>
      </w:pPr>
      <w:r>
        <w:rPr>
          <w:rFonts w:ascii="Arial" w:hAnsi="Arial" w:cs="Arial"/>
          <w:sz w:val="24"/>
          <w:szCs w:val="24"/>
          <w:lang w:val="en-CA"/>
        </w:rPr>
        <w:t xml:space="preserve">As part of a therapeutic relationship initially undertaken to </w:t>
      </w:r>
      <w:r w:rsidR="00FB6171">
        <w:rPr>
          <w:rFonts w:ascii="Arial" w:hAnsi="Arial" w:cs="Arial"/>
          <w:sz w:val="24"/>
          <w:szCs w:val="24"/>
          <w:lang w:val="en-CA"/>
        </w:rPr>
        <w:t>treat</w:t>
      </w:r>
      <w:r>
        <w:rPr>
          <w:rFonts w:ascii="Arial" w:hAnsi="Arial" w:cs="Arial"/>
          <w:sz w:val="24"/>
          <w:szCs w:val="24"/>
          <w:lang w:val="en-CA"/>
        </w:rPr>
        <w:t xml:space="preserve"> a substance addiction problem, the appellant admitted he sexually assaulted a </w:t>
      </w:r>
      <w:r w:rsidR="00C31FA7">
        <w:rPr>
          <w:rFonts w:ascii="Arial" w:hAnsi="Arial" w:cs="Arial"/>
          <w:sz w:val="24"/>
          <w:szCs w:val="24"/>
          <w:lang w:val="en-CA"/>
        </w:rPr>
        <w:t>4</w:t>
      </w:r>
      <w:r w:rsidR="005A039C">
        <w:rPr>
          <w:rFonts w:ascii="Arial" w:hAnsi="Arial" w:cs="Arial"/>
          <w:sz w:val="24"/>
          <w:szCs w:val="24"/>
          <w:lang w:val="en-CA"/>
        </w:rPr>
        <w:noBreakHyphen/>
      </w:r>
      <w:r>
        <w:rPr>
          <w:rFonts w:ascii="Arial" w:hAnsi="Arial" w:cs="Arial"/>
          <w:sz w:val="24"/>
          <w:szCs w:val="24"/>
          <w:lang w:val="en-CA"/>
        </w:rPr>
        <w:t xml:space="preserve">year-old child, notably by </w:t>
      </w:r>
      <w:r w:rsidR="005A039C">
        <w:rPr>
          <w:rFonts w:ascii="Arial" w:hAnsi="Arial" w:cs="Arial"/>
          <w:sz w:val="24"/>
          <w:szCs w:val="24"/>
          <w:lang w:val="en-CA"/>
        </w:rPr>
        <w:t>placing</w:t>
      </w:r>
      <w:r>
        <w:rPr>
          <w:rFonts w:ascii="Arial" w:hAnsi="Arial" w:cs="Arial"/>
          <w:sz w:val="24"/>
          <w:szCs w:val="24"/>
          <w:lang w:val="en-CA"/>
        </w:rPr>
        <w:t xml:space="preserve"> his penis on the child’s tongue.</w:t>
      </w:r>
    </w:p>
    <w:p w14:paraId="0FC14443" w14:textId="77777777" w:rsidR="00A00453" w:rsidRPr="009A7DB9" w:rsidRDefault="00A00453" w:rsidP="00A00453">
      <w:pPr>
        <w:pStyle w:val="Paragraphedeliste"/>
        <w:spacing w:line="280" w:lineRule="exact"/>
        <w:ind w:left="851" w:hanging="491"/>
        <w:jc w:val="both"/>
        <w:rPr>
          <w:rFonts w:ascii="Arial" w:hAnsi="Arial" w:cs="Arial"/>
          <w:sz w:val="24"/>
          <w:szCs w:val="24"/>
          <w:lang w:val="en-CA"/>
        </w:rPr>
      </w:pPr>
    </w:p>
    <w:p w14:paraId="04647BEF" w14:textId="69648A4C" w:rsidR="00A00453" w:rsidRPr="009A7DB9" w:rsidRDefault="00E221C1" w:rsidP="00A00453">
      <w:pPr>
        <w:pStyle w:val="Paragraphedeliste"/>
        <w:numPr>
          <w:ilvl w:val="0"/>
          <w:numId w:val="19"/>
        </w:numPr>
        <w:spacing w:line="280" w:lineRule="exact"/>
        <w:ind w:left="1134" w:hanging="425"/>
        <w:jc w:val="both"/>
        <w:rPr>
          <w:rFonts w:ascii="Arial" w:hAnsi="Arial" w:cs="Arial"/>
          <w:sz w:val="24"/>
          <w:szCs w:val="24"/>
          <w:lang w:val="en-CA"/>
        </w:rPr>
      </w:pPr>
      <w:r>
        <w:rPr>
          <w:rFonts w:ascii="Arial" w:hAnsi="Arial" w:cs="Arial"/>
          <w:sz w:val="24"/>
          <w:szCs w:val="24"/>
          <w:lang w:val="en-CA"/>
        </w:rPr>
        <w:t>It is not contested that his admissions are truthful</w:t>
      </w:r>
      <w:r w:rsidR="006E6408">
        <w:rPr>
          <w:rFonts w:ascii="Arial" w:hAnsi="Arial" w:cs="Arial"/>
          <w:sz w:val="24"/>
          <w:szCs w:val="24"/>
          <w:lang w:val="en-CA"/>
        </w:rPr>
        <w:t>.</w:t>
      </w:r>
    </w:p>
    <w:p w14:paraId="1DF33F24" w14:textId="77777777" w:rsidR="00A00453" w:rsidRPr="009A7DB9" w:rsidRDefault="00A00453" w:rsidP="00A00453">
      <w:pPr>
        <w:pStyle w:val="Paragraphedeliste"/>
        <w:spacing w:line="280" w:lineRule="exact"/>
        <w:ind w:left="851" w:hanging="491"/>
        <w:jc w:val="both"/>
        <w:rPr>
          <w:rFonts w:ascii="Arial" w:hAnsi="Arial" w:cs="Arial"/>
          <w:sz w:val="24"/>
          <w:szCs w:val="24"/>
          <w:lang w:val="en-CA"/>
        </w:rPr>
      </w:pPr>
    </w:p>
    <w:p w14:paraId="17CA0E37" w14:textId="5CD07CDD" w:rsidR="00A00453" w:rsidRPr="00970A88" w:rsidRDefault="006E6408" w:rsidP="00A00453">
      <w:pPr>
        <w:pStyle w:val="Paragraphedeliste"/>
        <w:numPr>
          <w:ilvl w:val="0"/>
          <w:numId w:val="19"/>
        </w:numPr>
        <w:spacing w:line="280" w:lineRule="exact"/>
        <w:ind w:left="1134" w:hanging="425"/>
        <w:jc w:val="both"/>
        <w:rPr>
          <w:rFonts w:ascii="Arial" w:hAnsi="Arial" w:cs="Arial"/>
          <w:sz w:val="24"/>
          <w:szCs w:val="24"/>
          <w:lang w:val="en-CA"/>
        </w:rPr>
      </w:pPr>
      <w:r>
        <w:rPr>
          <w:rFonts w:ascii="Arial" w:hAnsi="Arial" w:cs="Arial"/>
          <w:sz w:val="24"/>
          <w:szCs w:val="24"/>
          <w:lang w:val="en-CA"/>
        </w:rPr>
        <w:t xml:space="preserve">The appellant agreed to his </w:t>
      </w:r>
      <w:r w:rsidRPr="00970A88">
        <w:rPr>
          <w:rFonts w:ascii="Arial" w:hAnsi="Arial" w:cs="Arial"/>
          <w:sz w:val="24"/>
          <w:szCs w:val="24"/>
          <w:lang w:val="en-CA"/>
        </w:rPr>
        <w:t xml:space="preserve">admissions being </w:t>
      </w:r>
      <w:r w:rsidR="003F3496" w:rsidRPr="00970A88">
        <w:rPr>
          <w:rFonts w:ascii="Arial" w:hAnsi="Arial" w:cs="Arial"/>
          <w:sz w:val="24"/>
          <w:szCs w:val="24"/>
          <w:lang w:val="en-CA"/>
        </w:rPr>
        <w:t>provided</w:t>
      </w:r>
      <w:r w:rsidRPr="00970A88">
        <w:rPr>
          <w:rFonts w:ascii="Arial" w:hAnsi="Arial" w:cs="Arial"/>
          <w:sz w:val="24"/>
          <w:szCs w:val="24"/>
          <w:lang w:val="en-CA"/>
        </w:rPr>
        <w:t xml:space="preserve"> to Youth Protection and</w:t>
      </w:r>
      <w:r w:rsidR="002F167C" w:rsidRPr="00970A88">
        <w:rPr>
          <w:rFonts w:ascii="Arial" w:hAnsi="Arial" w:cs="Arial"/>
          <w:sz w:val="24"/>
          <w:szCs w:val="24"/>
          <w:lang w:val="en-CA"/>
        </w:rPr>
        <w:t>, in writing,</w:t>
      </w:r>
      <w:r w:rsidRPr="00970A88">
        <w:rPr>
          <w:rFonts w:ascii="Arial" w:hAnsi="Arial" w:cs="Arial"/>
          <w:sz w:val="24"/>
          <w:szCs w:val="24"/>
          <w:lang w:val="en-CA"/>
        </w:rPr>
        <w:t xml:space="preserve"> </w:t>
      </w:r>
      <w:r w:rsidR="002F167C" w:rsidRPr="00970A88">
        <w:rPr>
          <w:rFonts w:ascii="Arial" w:hAnsi="Arial" w:cs="Arial"/>
          <w:sz w:val="24"/>
          <w:szCs w:val="24"/>
          <w:lang w:val="en-CA"/>
        </w:rPr>
        <w:t xml:space="preserve">authorized the </w:t>
      </w:r>
      <w:r w:rsidR="007E0778" w:rsidRPr="00970A88">
        <w:rPr>
          <w:rFonts w:ascii="Arial" w:hAnsi="Arial" w:cs="Arial"/>
          <w:sz w:val="24"/>
          <w:szCs w:val="24"/>
          <w:lang w:val="en-CA"/>
        </w:rPr>
        <w:t xml:space="preserve">transmission </w:t>
      </w:r>
      <w:r w:rsidR="002F167C" w:rsidRPr="00970A88">
        <w:rPr>
          <w:rFonts w:ascii="Arial" w:hAnsi="Arial" w:cs="Arial"/>
          <w:sz w:val="24"/>
          <w:szCs w:val="24"/>
          <w:lang w:val="en-CA"/>
        </w:rPr>
        <w:t xml:space="preserve">of </w:t>
      </w:r>
      <w:r w:rsidRPr="00970A88">
        <w:rPr>
          <w:rFonts w:ascii="Arial" w:hAnsi="Arial" w:cs="Arial"/>
          <w:sz w:val="24"/>
          <w:szCs w:val="24"/>
          <w:lang w:val="en-CA"/>
        </w:rPr>
        <w:t xml:space="preserve">notes containing </w:t>
      </w:r>
      <w:r w:rsidR="009E78E8" w:rsidRPr="00970A88">
        <w:rPr>
          <w:rFonts w:ascii="Arial" w:hAnsi="Arial" w:cs="Arial"/>
          <w:sz w:val="24"/>
          <w:szCs w:val="24"/>
          <w:lang w:val="en-CA"/>
        </w:rPr>
        <w:t>those</w:t>
      </w:r>
      <w:r w:rsidRPr="00970A88">
        <w:rPr>
          <w:rFonts w:ascii="Arial" w:hAnsi="Arial" w:cs="Arial"/>
          <w:sz w:val="24"/>
          <w:szCs w:val="24"/>
          <w:lang w:val="en-CA"/>
        </w:rPr>
        <w:t xml:space="preserve"> admissions to the</w:t>
      </w:r>
      <w:r w:rsidR="00A00453" w:rsidRPr="00970A88">
        <w:rPr>
          <w:rFonts w:ascii="Arial" w:hAnsi="Arial" w:cs="Arial"/>
          <w:sz w:val="24"/>
          <w:szCs w:val="24"/>
          <w:lang w:val="en-CA"/>
        </w:rPr>
        <w:t xml:space="preserve"> Sûreté du Québec</w:t>
      </w:r>
      <w:r w:rsidR="007A4784" w:rsidRPr="00970A88">
        <w:rPr>
          <w:rFonts w:ascii="Arial" w:hAnsi="Arial" w:cs="Arial"/>
          <w:sz w:val="24"/>
          <w:szCs w:val="24"/>
          <w:lang w:val="en-CA"/>
        </w:rPr>
        <w:t xml:space="preserve"> (“SQ”)</w:t>
      </w:r>
      <w:r w:rsidRPr="00970A88">
        <w:rPr>
          <w:rFonts w:ascii="Arial" w:hAnsi="Arial" w:cs="Arial"/>
          <w:sz w:val="24"/>
          <w:szCs w:val="24"/>
          <w:lang w:val="en-CA"/>
        </w:rPr>
        <w:t>.</w:t>
      </w:r>
    </w:p>
    <w:p w14:paraId="3D90080E" w14:textId="77777777" w:rsidR="00A00453" w:rsidRPr="009A7DB9" w:rsidRDefault="00A00453" w:rsidP="00A00453">
      <w:pPr>
        <w:pStyle w:val="Paragraphedeliste"/>
        <w:spacing w:line="280" w:lineRule="exact"/>
        <w:ind w:left="851" w:hanging="491"/>
        <w:jc w:val="both"/>
        <w:rPr>
          <w:rFonts w:ascii="Arial" w:hAnsi="Arial" w:cs="Arial"/>
          <w:sz w:val="24"/>
          <w:szCs w:val="24"/>
          <w:lang w:val="en-CA"/>
        </w:rPr>
      </w:pPr>
    </w:p>
    <w:p w14:paraId="5991E424" w14:textId="11D20F27" w:rsidR="00A00453" w:rsidRPr="009A7DB9" w:rsidRDefault="005352FF" w:rsidP="00A00453">
      <w:pPr>
        <w:pStyle w:val="Paragraphedeliste"/>
        <w:numPr>
          <w:ilvl w:val="0"/>
          <w:numId w:val="19"/>
        </w:numPr>
        <w:spacing w:line="280" w:lineRule="exact"/>
        <w:ind w:left="1134" w:hanging="425"/>
        <w:jc w:val="both"/>
        <w:rPr>
          <w:rFonts w:ascii="Arial" w:hAnsi="Arial" w:cs="Arial"/>
          <w:sz w:val="24"/>
          <w:szCs w:val="24"/>
          <w:lang w:val="en-CA"/>
        </w:rPr>
      </w:pPr>
      <w:r>
        <w:rPr>
          <w:rFonts w:ascii="Arial" w:hAnsi="Arial" w:cs="Arial"/>
          <w:sz w:val="24"/>
          <w:szCs w:val="24"/>
          <w:lang w:val="en-CA"/>
        </w:rPr>
        <w:t>The appellant’s conviction hinges on t</w:t>
      </w:r>
      <w:r w:rsidR="00A363AD">
        <w:rPr>
          <w:rFonts w:ascii="Arial" w:hAnsi="Arial" w:cs="Arial"/>
          <w:sz w:val="24"/>
          <w:szCs w:val="24"/>
          <w:lang w:val="en-CA"/>
        </w:rPr>
        <w:t xml:space="preserve">he </w:t>
      </w:r>
      <w:r w:rsidR="009E78E8">
        <w:rPr>
          <w:rFonts w:ascii="Arial" w:hAnsi="Arial" w:cs="Arial"/>
          <w:sz w:val="24"/>
          <w:szCs w:val="24"/>
          <w:lang w:val="en-CA"/>
        </w:rPr>
        <w:t xml:space="preserve">admissibility of his admissions </w:t>
      </w:r>
      <w:r>
        <w:rPr>
          <w:rFonts w:ascii="Arial" w:hAnsi="Arial" w:cs="Arial"/>
          <w:sz w:val="24"/>
          <w:szCs w:val="24"/>
          <w:lang w:val="en-CA"/>
        </w:rPr>
        <w:t>as part of a</w:t>
      </w:r>
      <w:r w:rsidR="009E78E8">
        <w:rPr>
          <w:rFonts w:ascii="Arial" w:hAnsi="Arial" w:cs="Arial"/>
          <w:sz w:val="24"/>
          <w:szCs w:val="24"/>
          <w:lang w:val="en-CA"/>
        </w:rPr>
        <w:t xml:space="preserve"> criminal trial</w:t>
      </w:r>
      <w:r w:rsidR="00A00453" w:rsidRPr="009A7DB9">
        <w:rPr>
          <w:rFonts w:ascii="Arial" w:hAnsi="Arial" w:cs="Arial"/>
          <w:sz w:val="24"/>
          <w:szCs w:val="24"/>
          <w:lang w:val="en-CA"/>
        </w:rPr>
        <w:t>.</w:t>
      </w:r>
    </w:p>
    <w:p w14:paraId="4CEA17DD" w14:textId="01D6AFB8" w:rsidR="00A00453" w:rsidRPr="009A7DB9" w:rsidRDefault="007E3B41" w:rsidP="00A00453">
      <w:pPr>
        <w:pStyle w:val="Paragraphe"/>
        <w:spacing w:line="280" w:lineRule="exact"/>
        <w:rPr>
          <w:lang w:val="en-CA"/>
        </w:rPr>
      </w:pPr>
      <w:r>
        <w:rPr>
          <w:lang w:val="en-CA"/>
        </w:rPr>
        <w:t xml:space="preserve">As my colleague notes, this appeal essentially </w:t>
      </w:r>
      <w:r w:rsidR="00C31FA7">
        <w:rPr>
          <w:lang w:val="en-CA"/>
        </w:rPr>
        <w:t>concerns</w:t>
      </w:r>
      <w:r>
        <w:rPr>
          <w:lang w:val="en-CA"/>
        </w:rPr>
        <w:t xml:space="preserve"> the admissibility of the appellant’s admissions in light of the Wigmore analysis, which involves four </w:t>
      </w:r>
      <w:r w:rsidR="00AE7977">
        <w:rPr>
          <w:lang w:val="en-CA"/>
        </w:rPr>
        <w:t>criteria</w:t>
      </w:r>
      <w:r>
        <w:rPr>
          <w:lang w:val="en-CA"/>
        </w:rPr>
        <w:t>:</w:t>
      </w:r>
      <w:r w:rsidR="00AE7977" w:rsidRPr="00251249">
        <w:rPr>
          <w:lang w:val="en-CA"/>
        </w:rPr>
        <w:t xml:space="preserve"> </w:t>
      </w:r>
      <w:r w:rsidR="00AE7977" w:rsidRPr="00AE7977">
        <w:rPr>
          <w:lang w:val="en-CA"/>
        </w:rPr>
        <w:t>(1)</w:t>
      </w:r>
      <w:r w:rsidR="006103AA">
        <w:rPr>
          <w:lang w:val="en-CA"/>
        </w:rPr>
        <w:t> </w:t>
      </w:r>
      <w:r w:rsidR="00AE7977" w:rsidRPr="00AE7977">
        <w:rPr>
          <w:lang w:val="en-CA"/>
        </w:rPr>
        <w:t>the communications must originate in a confidence that they will not be disclosed, (2)</w:t>
      </w:r>
      <w:r w:rsidR="006103AA">
        <w:rPr>
          <w:lang w:val="en-CA"/>
        </w:rPr>
        <w:t> </w:t>
      </w:r>
      <w:r w:rsidR="00AE7977" w:rsidRPr="00AE7977">
        <w:rPr>
          <w:lang w:val="en-CA"/>
        </w:rPr>
        <w:t>this element of confidentiality must be essential to the full and satisfactory maintenance of the relation between the parties, (3) the relation must be one which in the opinion of the community ought to be sedulously fostered; and (4) the injury that would inure to the relation by the disclosure of the communications must be greater than the benefit thereby gained for the correct disposal of litigation</w:t>
      </w:r>
      <w:r w:rsidR="001244E9" w:rsidRPr="009A7DB9">
        <w:rPr>
          <w:lang w:val="en-CA"/>
        </w:rPr>
        <w:t>.</w:t>
      </w:r>
    </w:p>
    <w:p w14:paraId="4BA24A82" w14:textId="4AB3727A" w:rsidR="00A00453" w:rsidRPr="009A7DB9" w:rsidRDefault="00AE7977" w:rsidP="00A00453">
      <w:pPr>
        <w:pStyle w:val="Paragraphe"/>
        <w:spacing w:line="280" w:lineRule="exact"/>
        <w:rPr>
          <w:lang w:val="en-CA"/>
        </w:rPr>
      </w:pPr>
      <w:r>
        <w:rPr>
          <w:lang w:val="en-CA"/>
        </w:rPr>
        <w:t>My colleague has concluded that the trial judge erred in the application of these criteria. Firstly, he finds that the judge erred in concluding that the first two criteria of the Wigmore test have not been met</w:t>
      </w:r>
      <w:r w:rsidR="00A00453" w:rsidRPr="009A7DB9">
        <w:rPr>
          <w:lang w:val="en-CA"/>
        </w:rPr>
        <w:t>.</w:t>
      </w:r>
      <w:r>
        <w:rPr>
          <w:lang w:val="en-CA"/>
        </w:rPr>
        <w:t xml:space="preserve"> With respect to the fourth criterion, my colleague is </w:t>
      </w:r>
      <w:r w:rsidR="00CC5478">
        <w:rPr>
          <w:lang w:val="en-CA"/>
        </w:rPr>
        <w:t xml:space="preserve">of the </w:t>
      </w:r>
      <w:r>
        <w:rPr>
          <w:lang w:val="en-CA"/>
        </w:rPr>
        <w:t xml:space="preserve">opinion that it would be unjust and contrary to the values of the </w:t>
      </w:r>
      <w:r w:rsidRPr="00B0336B">
        <w:rPr>
          <w:i/>
          <w:iCs/>
          <w:lang w:val="en-CA"/>
        </w:rPr>
        <w:t>Canadian Charter of Rights and Freedoms</w:t>
      </w:r>
      <w:r>
        <w:rPr>
          <w:lang w:val="en-CA"/>
        </w:rPr>
        <w:t xml:space="preserve"> to use admissions against the appellant that were made as part of a </w:t>
      </w:r>
      <w:r w:rsidR="00B0336B">
        <w:rPr>
          <w:lang w:val="en-CA"/>
        </w:rPr>
        <w:t>voluntary</w:t>
      </w:r>
      <w:r>
        <w:rPr>
          <w:lang w:val="en-CA"/>
        </w:rPr>
        <w:t xml:space="preserve"> therapeutic process</w:t>
      </w:r>
      <w:r w:rsidR="00A00453" w:rsidRPr="009A7DB9">
        <w:rPr>
          <w:lang w:val="en-CA"/>
        </w:rPr>
        <w:t>.</w:t>
      </w:r>
    </w:p>
    <w:p w14:paraId="2C11332C" w14:textId="5F91FCE1" w:rsidR="00A00453" w:rsidRPr="009A7DB9" w:rsidRDefault="00AE7977" w:rsidP="00A00453">
      <w:pPr>
        <w:pStyle w:val="Paragraphe"/>
        <w:spacing w:line="280" w:lineRule="exact"/>
        <w:rPr>
          <w:lang w:val="en-CA"/>
        </w:rPr>
      </w:pPr>
      <w:r>
        <w:rPr>
          <w:lang w:val="en-CA"/>
        </w:rPr>
        <w:t xml:space="preserve">Like my colleague, I accept that one can have doubts about the admissibility in a criminal trial of admissions made confidentially as part of a therapeutic process </w:t>
      </w:r>
      <w:r w:rsidR="003B29BD">
        <w:rPr>
          <w:lang w:val="en-CA"/>
        </w:rPr>
        <w:t>undertaken</w:t>
      </w:r>
      <w:r>
        <w:rPr>
          <w:lang w:val="en-CA"/>
        </w:rPr>
        <w:t xml:space="preserve"> in good faith, despite the reporting obligation contained in Quebec’s </w:t>
      </w:r>
      <w:r w:rsidRPr="00AE7977">
        <w:rPr>
          <w:i/>
          <w:iCs/>
          <w:lang w:val="en-CA"/>
        </w:rPr>
        <w:t>Youth</w:t>
      </w:r>
      <w:r w:rsidR="003B29BD">
        <w:rPr>
          <w:i/>
          <w:iCs/>
          <w:lang w:val="en-CA"/>
        </w:rPr>
        <w:t> </w:t>
      </w:r>
      <w:r w:rsidRPr="00AE7977">
        <w:rPr>
          <w:i/>
          <w:iCs/>
          <w:lang w:val="en-CA"/>
        </w:rPr>
        <w:t>Protection Act</w:t>
      </w:r>
      <w:r>
        <w:rPr>
          <w:lang w:val="en-CA"/>
        </w:rPr>
        <w:t>.</w:t>
      </w:r>
      <w:r w:rsidR="00A00453" w:rsidRPr="009A7DB9">
        <w:rPr>
          <w:lang w:val="en-CA"/>
        </w:rPr>
        <w:t xml:space="preserve"> </w:t>
      </w:r>
      <w:r w:rsidR="005F68EB">
        <w:rPr>
          <w:lang w:val="en-CA"/>
        </w:rPr>
        <w:t xml:space="preserve">However, it is not necessary to address or decide this question </w:t>
      </w:r>
      <w:r w:rsidR="005A25E7">
        <w:rPr>
          <w:lang w:val="en-CA"/>
        </w:rPr>
        <w:t>in</w:t>
      </w:r>
      <w:r w:rsidR="005F68EB">
        <w:rPr>
          <w:lang w:val="en-CA"/>
        </w:rPr>
        <w:t xml:space="preserve"> this appeal.</w:t>
      </w:r>
    </w:p>
    <w:p w14:paraId="2AE4DF93" w14:textId="724E21B9" w:rsidR="00A00453" w:rsidRPr="009A7DB9" w:rsidRDefault="005F68EB" w:rsidP="00A00453">
      <w:pPr>
        <w:pStyle w:val="Paragraphe"/>
        <w:spacing w:line="280" w:lineRule="exact"/>
        <w:rPr>
          <w:lang w:val="en-CA"/>
        </w:rPr>
      </w:pPr>
      <w:r>
        <w:rPr>
          <w:lang w:val="en-CA"/>
        </w:rPr>
        <w:lastRenderedPageBreak/>
        <w:t xml:space="preserve">This is </w:t>
      </w:r>
      <w:r w:rsidR="006902A0">
        <w:rPr>
          <w:lang w:val="en-CA"/>
        </w:rPr>
        <w:t>because the appellant</w:t>
      </w:r>
      <w:r>
        <w:rPr>
          <w:lang w:val="en-CA"/>
        </w:rPr>
        <w:t xml:space="preserve">, in consenting to the disclosure of his admissions, </w:t>
      </w:r>
      <w:r w:rsidR="006902A0">
        <w:rPr>
          <w:lang w:val="en-CA"/>
        </w:rPr>
        <w:t>including</w:t>
      </w:r>
      <w:r>
        <w:rPr>
          <w:lang w:val="en-CA"/>
        </w:rPr>
        <w:t xml:space="preserve"> to the </w:t>
      </w:r>
      <w:r w:rsidR="006022EA">
        <w:rPr>
          <w:lang w:val="en-CA"/>
        </w:rPr>
        <w:t>SQ</w:t>
      </w:r>
      <w:r w:rsidR="00A00453" w:rsidRPr="009A7DB9">
        <w:rPr>
          <w:lang w:val="en-CA"/>
        </w:rPr>
        <w:t xml:space="preserve">, </w:t>
      </w:r>
      <w:r>
        <w:rPr>
          <w:lang w:val="en-CA"/>
        </w:rPr>
        <w:t>expressly waived their confidentiality. As a result, the Wigmore criteria</w:t>
      </w:r>
      <w:r w:rsidR="004E7226">
        <w:rPr>
          <w:lang w:val="en-CA"/>
        </w:rPr>
        <w:t xml:space="preserve">, which if met would </w:t>
      </w:r>
      <w:r w:rsidR="007D0BC9">
        <w:rPr>
          <w:lang w:val="en-CA"/>
        </w:rPr>
        <w:t>bar</w:t>
      </w:r>
      <w:r>
        <w:rPr>
          <w:lang w:val="en-CA"/>
        </w:rPr>
        <w:t xml:space="preserve"> the admissions from being admissible </w:t>
      </w:r>
      <w:r w:rsidR="006902A0">
        <w:rPr>
          <w:lang w:val="en-CA"/>
        </w:rPr>
        <w:t>in evidence</w:t>
      </w:r>
      <w:r>
        <w:rPr>
          <w:lang w:val="en-CA"/>
        </w:rPr>
        <w:t xml:space="preserve"> in a criminal trial</w:t>
      </w:r>
      <w:r w:rsidR="004E7226">
        <w:rPr>
          <w:lang w:val="en-CA"/>
        </w:rPr>
        <w:t>, have not been met</w:t>
      </w:r>
      <w:r>
        <w:rPr>
          <w:lang w:val="en-CA"/>
        </w:rPr>
        <w:t>.</w:t>
      </w:r>
    </w:p>
    <w:p w14:paraId="2961D3E9" w14:textId="60CFBF14" w:rsidR="00A00453" w:rsidRPr="009A7DB9" w:rsidRDefault="005F68EB" w:rsidP="00A00453">
      <w:pPr>
        <w:pStyle w:val="Paragraphe"/>
        <w:spacing w:line="280" w:lineRule="exact"/>
        <w:rPr>
          <w:lang w:val="en-CA"/>
        </w:rPr>
      </w:pPr>
      <w:r>
        <w:rPr>
          <w:lang w:val="en-CA"/>
        </w:rPr>
        <w:t xml:space="preserve">It should be noted that the trial judge rejected the appellant’s assertions that his consent to the disclosure of his admissions </w:t>
      </w:r>
      <w:r w:rsidR="00CD2C72">
        <w:rPr>
          <w:lang w:val="en-CA"/>
        </w:rPr>
        <w:t xml:space="preserve">was </w:t>
      </w:r>
      <w:r w:rsidR="000B4E71">
        <w:rPr>
          <w:lang w:val="en-CA"/>
        </w:rPr>
        <w:t>vitiated</w:t>
      </w:r>
      <w:r w:rsidR="00CD2C72">
        <w:rPr>
          <w:lang w:val="en-CA"/>
        </w:rPr>
        <w:t>. The trial judge found</w:t>
      </w:r>
      <w:r w:rsidR="00491503">
        <w:rPr>
          <w:lang w:val="en-CA"/>
        </w:rPr>
        <w:t xml:space="preserve"> at para</w:t>
      </w:r>
      <w:r w:rsidR="00C31FA7">
        <w:rPr>
          <w:lang w:val="en-CA"/>
        </w:rPr>
        <w:t>graph</w:t>
      </w:r>
      <w:r w:rsidR="00491503">
        <w:rPr>
          <w:lang w:val="en-CA"/>
        </w:rPr>
        <w:t> 101 of the judgment</w:t>
      </w:r>
      <w:r w:rsidR="00CD2C72">
        <w:rPr>
          <w:lang w:val="en-CA"/>
        </w:rPr>
        <w:t xml:space="preserve"> that these assertions were </w:t>
      </w:r>
      <w:r w:rsidR="00376389" w:rsidRPr="00E51211">
        <w:rPr>
          <w:szCs w:val="24"/>
          <w:lang w:val="en-CA"/>
        </w:rPr>
        <w:t>[</w:t>
      </w:r>
      <w:r w:rsidR="00376389" w:rsidRPr="00E51211">
        <w:rPr>
          <w:smallCaps/>
          <w:szCs w:val="24"/>
          <w:lang w:val="en-CA"/>
        </w:rPr>
        <w:t>translation</w:t>
      </w:r>
      <w:r w:rsidR="00376389" w:rsidRPr="00E51211">
        <w:rPr>
          <w:szCs w:val="24"/>
          <w:lang w:val="en-CA"/>
        </w:rPr>
        <w:t>]</w:t>
      </w:r>
      <w:r w:rsidR="00376389">
        <w:rPr>
          <w:lang w:val="en-CA"/>
        </w:rPr>
        <w:t xml:space="preserve"> </w:t>
      </w:r>
      <w:r w:rsidR="00CD2C72">
        <w:rPr>
          <w:lang w:val="en-CA"/>
        </w:rPr>
        <w:t xml:space="preserve">“far-fetched” </w:t>
      </w:r>
      <w:r w:rsidR="00491503">
        <w:rPr>
          <w:lang w:val="en-CA"/>
        </w:rPr>
        <w:t>and therefore could not be believed. That finding of fact is based on the assessment of the credibility of the various witnesses heard at trial</w:t>
      </w:r>
      <w:r w:rsidR="00F46EFE">
        <w:rPr>
          <w:lang w:val="en-CA"/>
        </w:rPr>
        <w:t>,</w:t>
      </w:r>
      <w:r w:rsidR="00C60683">
        <w:rPr>
          <w:lang w:val="en-CA"/>
        </w:rPr>
        <w:t xml:space="preserve"> and</w:t>
      </w:r>
      <w:r w:rsidR="00D37F40">
        <w:rPr>
          <w:lang w:val="en-CA"/>
        </w:rPr>
        <w:t xml:space="preserve"> </w:t>
      </w:r>
      <w:r w:rsidR="00491503">
        <w:rPr>
          <w:lang w:val="en-CA"/>
        </w:rPr>
        <w:t>benefits from great deference on appeal.</w:t>
      </w:r>
    </w:p>
    <w:p w14:paraId="290B4C64" w14:textId="64F8CB1C" w:rsidR="00A00453" w:rsidRPr="009A7DB9" w:rsidRDefault="00491503" w:rsidP="00A00453">
      <w:pPr>
        <w:pStyle w:val="Paragraphe"/>
        <w:spacing w:line="280" w:lineRule="exact"/>
        <w:rPr>
          <w:lang w:val="en-CA"/>
        </w:rPr>
      </w:pPr>
      <w:r>
        <w:rPr>
          <w:lang w:val="en-CA"/>
        </w:rPr>
        <w:t>Furthermore, this assessment of the credibility of the testimony is very reasonable</w:t>
      </w:r>
      <w:r w:rsidR="00530CE1">
        <w:rPr>
          <w:lang w:val="en-CA"/>
        </w:rPr>
        <w:t>,</w:t>
      </w:r>
      <w:r>
        <w:rPr>
          <w:lang w:val="en-CA"/>
        </w:rPr>
        <w:t xml:space="preserve"> given that the appellant consented in writing to the disclosure to </w:t>
      </w:r>
      <w:r w:rsidR="00530CE1">
        <w:rPr>
          <w:lang w:val="en-CA"/>
        </w:rPr>
        <w:t>the SQ</w:t>
      </w:r>
      <w:r w:rsidR="00A00453" w:rsidRPr="009A7DB9">
        <w:rPr>
          <w:lang w:val="en-CA"/>
        </w:rPr>
        <w:t xml:space="preserve">, </w:t>
      </w:r>
      <w:r>
        <w:rPr>
          <w:lang w:val="en-CA"/>
        </w:rPr>
        <w:t xml:space="preserve">that he knew the SQ is a police </w:t>
      </w:r>
      <w:r w:rsidR="00C31FA7">
        <w:rPr>
          <w:lang w:val="en-CA"/>
        </w:rPr>
        <w:t xml:space="preserve">force </w:t>
      </w:r>
      <w:r>
        <w:rPr>
          <w:lang w:val="en-CA"/>
        </w:rPr>
        <w:t>that investigates crimes</w:t>
      </w:r>
      <w:r w:rsidR="00530CE1">
        <w:rPr>
          <w:lang w:val="en-CA"/>
        </w:rPr>
        <w:t>,</w:t>
      </w:r>
      <w:r>
        <w:rPr>
          <w:lang w:val="en-CA"/>
        </w:rPr>
        <w:t xml:space="preserve"> and that the sexual assaults to which he admitted are crimes.</w:t>
      </w:r>
      <w:r w:rsidR="00A00453" w:rsidRPr="009A7DB9">
        <w:rPr>
          <w:lang w:val="en-CA"/>
        </w:rPr>
        <w:t xml:space="preserve"> </w:t>
      </w:r>
      <w:r>
        <w:rPr>
          <w:lang w:val="en-CA"/>
        </w:rPr>
        <w:t xml:space="preserve">And it </w:t>
      </w:r>
      <w:r w:rsidR="00530CE1">
        <w:rPr>
          <w:lang w:val="en-CA"/>
        </w:rPr>
        <w:t>defies</w:t>
      </w:r>
      <w:r>
        <w:rPr>
          <w:lang w:val="en-CA"/>
        </w:rPr>
        <w:t xml:space="preserve"> common sense to believe the disclosure of a sexual assault to the SQ </w:t>
      </w:r>
      <w:r w:rsidR="00530CE1">
        <w:rPr>
          <w:lang w:val="en-CA"/>
        </w:rPr>
        <w:t>c</w:t>
      </w:r>
      <w:r>
        <w:rPr>
          <w:lang w:val="en-CA"/>
        </w:rPr>
        <w:t xml:space="preserve">ould not lead to a police investigation and </w:t>
      </w:r>
      <w:r w:rsidR="00B36F52">
        <w:rPr>
          <w:lang w:val="en-CA"/>
        </w:rPr>
        <w:t>potential</w:t>
      </w:r>
      <w:r>
        <w:rPr>
          <w:lang w:val="en-CA"/>
        </w:rPr>
        <w:t xml:space="preserve"> criminal charges.</w:t>
      </w:r>
      <w:r w:rsidR="00A00453" w:rsidRPr="009A7DB9">
        <w:rPr>
          <w:lang w:val="en-CA"/>
        </w:rPr>
        <w:t xml:space="preserve"> </w:t>
      </w:r>
    </w:p>
    <w:p w14:paraId="317E5B64" w14:textId="4216EFDB" w:rsidR="00A00453" w:rsidRPr="009A7DB9" w:rsidRDefault="00491503" w:rsidP="00A00453">
      <w:pPr>
        <w:pStyle w:val="Paragraphe"/>
        <w:spacing w:line="280" w:lineRule="exact"/>
        <w:rPr>
          <w:lang w:val="en-CA"/>
        </w:rPr>
      </w:pPr>
      <w:r>
        <w:rPr>
          <w:lang w:val="en-CA"/>
        </w:rPr>
        <w:t xml:space="preserve">In any event, even if the judge erred </w:t>
      </w:r>
      <w:r w:rsidR="00F66E60">
        <w:rPr>
          <w:lang w:val="en-CA"/>
        </w:rPr>
        <w:t>as</w:t>
      </w:r>
      <w:r>
        <w:rPr>
          <w:lang w:val="en-CA"/>
        </w:rPr>
        <w:t xml:space="preserve"> to the foregoing, the appellant’s mere subjective belief that his consent to the disclosure to the SQ could not be the basis for criminal charges would be insufficient to prevent the admissions from being admissible </w:t>
      </w:r>
      <w:r w:rsidR="00C9571B">
        <w:rPr>
          <w:lang w:val="en-CA"/>
        </w:rPr>
        <w:t>in a</w:t>
      </w:r>
      <w:r>
        <w:rPr>
          <w:lang w:val="en-CA"/>
        </w:rPr>
        <w:t xml:space="preserve"> criminal trial.</w:t>
      </w:r>
      <w:r w:rsidR="00A00453" w:rsidRPr="009A7DB9">
        <w:rPr>
          <w:lang w:val="en-CA"/>
        </w:rPr>
        <w:t xml:space="preserve"> </w:t>
      </w:r>
      <w:r>
        <w:rPr>
          <w:lang w:val="en-CA"/>
        </w:rPr>
        <w:t xml:space="preserve">Apart from the fact that the consent to the disclosure, whatever the appellant’s subjective belief regarding the police’s use </w:t>
      </w:r>
      <w:r w:rsidR="00B45602">
        <w:rPr>
          <w:lang w:val="en-CA"/>
        </w:rPr>
        <w:t>thereof may have been</w:t>
      </w:r>
      <w:r>
        <w:rPr>
          <w:lang w:val="en-CA"/>
        </w:rPr>
        <w:t xml:space="preserve">, is sufficient to </w:t>
      </w:r>
      <w:r w:rsidR="005F72E7">
        <w:rPr>
          <w:lang w:val="en-CA"/>
        </w:rPr>
        <w:t>find that the</w:t>
      </w:r>
      <w:r>
        <w:rPr>
          <w:lang w:val="en-CA"/>
        </w:rPr>
        <w:t xml:space="preserve"> first two criteria of the Wigmore analysis</w:t>
      </w:r>
      <w:r w:rsidR="005F72E7">
        <w:rPr>
          <w:lang w:val="en-CA"/>
        </w:rPr>
        <w:t xml:space="preserve"> have not been met</w:t>
      </w:r>
      <w:r>
        <w:rPr>
          <w:lang w:val="en-CA"/>
        </w:rPr>
        <w:t>, the fourth criterion is not met under these circumstances either. Indeed</w:t>
      </w:r>
      <w:r w:rsidR="00761763">
        <w:rPr>
          <w:lang w:val="en-CA"/>
        </w:rPr>
        <w:t>,</w:t>
      </w:r>
      <w:r w:rsidR="00F45E9E">
        <w:rPr>
          <w:lang w:val="en-CA"/>
        </w:rPr>
        <w:t xml:space="preserve"> I find it difficult to </w:t>
      </w:r>
      <w:r w:rsidR="0086101D">
        <w:rPr>
          <w:lang w:val="en-CA"/>
        </w:rPr>
        <w:t>imagine</w:t>
      </w:r>
      <w:r w:rsidR="00F45E9E">
        <w:rPr>
          <w:lang w:val="en-CA"/>
        </w:rPr>
        <w:t xml:space="preserve"> how a mistaken subjective belie</w:t>
      </w:r>
      <w:r w:rsidR="00B45602">
        <w:rPr>
          <w:lang w:val="en-CA"/>
        </w:rPr>
        <w:t>f</w:t>
      </w:r>
      <w:r w:rsidR="00F45E9E">
        <w:rPr>
          <w:lang w:val="en-CA"/>
        </w:rPr>
        <w:t xml:space="preserve"> of such nature could constitute the kind of situation contemplated by the Wigmore analysis</w:t>
      </w:r>
      <w:r w:rsidR="00C9571B">
        <w:rPr>
          <w:lang w:val="en-CA"/>
        </w:rPr>
        <w:t>,</w:t>
      </w:r>
      <w:r w:rsidR="00F45E9E">
        <w:rPr>
          <w:lang w:val="en-CA"/>
        </w:rPr>
        <w:t xml:space="preserve"> </w:t>
      </w:r>
      <w:r w:rsidR="00125AA3">
        <w:rPr>
          <w:lang w:val="en-CA"/>
        </w:rPr>
        <w:t>such that</w:t>
      </w:r>
      <w:r w:rsidR="00B45602">
        <w:rPr>
          <w:lang w:val="en-CA"/>
        </w:rPr>
        <w:t xml:space="preserve"> </w:t>
      </w:r>
      <w:r w:rsidR="00A13FB5">
        <w:rPr>
          <w:lang w:val="en-CA"/>
        </w:rPr>
        <w:t xml:space="preserve">a just decision based on </w:t>
      </w:r>
      <w:r w:rsidR="005F72E7">
        <w:rPr>
          <w:lang w:val="en-CA"/>
        </w:rPr>
        <w:t xml:space="preserve">the </w:t>
      </w:r>
      <w:r w:rsidR="00A13FB5">
        <w:rPr>
          <w:lang w:val="en-CA"/>
        </w:rPr>
        <w:t>truth</w:t>
      </w:r>
      <w:r w:rsidR="00C12D02">
        <w:rPr>
          <w:lang w:val="en-CA"/>
        </w:rPr>
        <w:t xml:space="preserve"> could be rejected</w:t>
      </w:r>
      <w:r w:rsidR="00A13FB5">
        <w:rPr>
          <w:lang w:val="en-CA"/>
        </w:rPr>
        <w:t>.</w:t>
      </w:r>
    </w:p>
    <w:p w14:paraId="5784D49B" w14:textId="3AC5E2B8" w:rsidR="00A00453" w:rsidRPr="009A7DB9" w:rsidRDefault="006E6408" w:rsidP="00A00453">
      <w:pPr>
        <w:pStyle w:val="Paragraphe"/>
        <w:spacing w:line="280" w:lineRule="exact"/>
        <w:rPr>
          <w:lang w:val="en-CA"/>
        </w:rPr>
      </w:pPr>
      <w:r>
        <w:rPr>
          <w:lang w:val="en-CA"/>
        </w:rPr>
        <w:t>For these reasons, I would dismiss the appeal</w:t>
      </w:r>
      <w:r w:rsidR="00A00453" w:rsidRPr="009A7DB9">
        <w:rPr>
          <w:lang w:val="en-CA"/>
        </w:rPr>
        <w:t>.</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A00453" w:rsidRPr="00163D95" w14:paraId="6C5F10A0" w14:textId="77777777" w:rsidTr="002631A2">
        <w:trPr>
          <w:cantSplit/>
          <w:trHeight w:val="513"/>
        </w:trPr>
        <w:tc>
          <w:tcPr>
            <w:tcW w:w="9360" w:type="dxa"/>
            <w:gridSpan w:val="2"/>
          </w:tcPr>
          <w:p w14:paraId="1DDD30E0" w14:textId="77777777" w:rsidR="00A00453" w:rsidRPr="009A7DB9" w:rsidRDefault="00A00453" w:rsidP="00A00453">
            <w:pPr>
              <w:rPr>
                <w:lang w:val="en-CA"/>
              </w:rPr>
            </w:pPr>
          </w:p>
          <w:p w14:paraId="49A8D0CC" w14:textId="77777777" w:rsidR="00A00453" w:rsidRPr="009A7DB9" w:rsidRDefault="00A00453" w:rsidP="00A00453">
            <w:pPr>
              <w:rPr>
                <w:lang w:val="en-CA"/>
              </w:rPr>
            </w:pPr>
          </w:p>
        </w:tc>
      </w:tr>
      <w:tr w:rsidR="00A00453" w:rsidRPr="00163D95" w14:paraId="4473370D" w14:textId="77777777" w:rsidTr="002631A2">
        <w:trPr>
          <w:cantSplit/>
          <w:trHeight w:val="277"/>
        </w:trPr>
        <w:tc>
          <w:tcPr>
            <w:tcW w:w="4735" w:type="dxa"/>
            <w:vMerge w:val="restart"/>
          </w:tcPr>
          <w:p w14:paraId="160DC742" w14:textId="77777777" w:rsidR="00A00453" w:rsidRPr="009A7DB9" w:rsidRDefault="00A00453" w:rsidP="00A00453">
            <w:pPr>
              <w:rPr>
                <w:lang w:val="en-CA"/>
              </w:rPr>
            </w:pPr>
          </w:p>
        </w:tc>
        <w:tc>
          <w:tcPr>
            <w:tcW w:w="4625" w:type="dxa"/>
            <w:tcBorders>
              <w:bottom w:val="single" w:sz="8" w:space="0" w:color="auto"/>
            </w:tcBorders>
          </w:tcPr>
          <w:p w14:paraId="29A1EFA4" w14:textId="77777777" w:rsidR="00A00453" w:rsidRPr="009A7DB9" w:rsidRDefault="00A00453" w:rsidP="00A00453">
            <w:pPr>
              <w:rPr>
                <w:lang w:val="en-CA"/>
              </w:rPr>
            </w:pPr>
          </w:p>
        </w:tc>
      </w:tr>
      <w:tr w:rsidR="00A00453" w:rsidRPr="009A7DB9" w14:paraId="36AEEC58" w14:textId="77777777" w:rsidTr="002631A2">
        <w:trPr>
          <w:cantSplit/>
          <w:trHeight w:val="276"/>
        </w:trPr>
        <w:tc>
          <w:tcPr>
            <w:tcW w:w="4735" w:type="dxa"/>
            <w:vMerge/>
          </w:tcPr>
          <w:p w14:paraId="1313CAB6" w14:textId="77777777" w:rsidR="00A00453" w:rsidRPr="009A7DB9" w:rsidRDefault="00A00453" w:rsidP="00A00453">
            <w:pPr>
              <w:rPr>
                <w:lang w:val="en-CA"/>
              </w:rPr>
            </w:pPr>
          </w:p>
        </w:tc>
        <w:tc>
          <w:tcPr>
            <w:tcW w:w="4625" w:type="dxa"/>
          </w:tcPr>
          <w:p w14:paraId="79546B8D" w14:textId="156EFA3D" w:rsidR="00A00453" w:rsidRPr="00251249" w:rsidRDefault="00F97A83" w:rsidP="00A00453">
            <w:r w:rsidRPr="00251249">
              <w:t>ROBERT M. MAINVILLE, J.A.</w:t>
            </w:r>
          </w:p>
        </w:tc>
      </w:tr>
    </w:tbl>
    <w:p w14:paraId="5D8B815E" w14:textId="77777777" w:rsidR="00740A17" w:rsidRPr="00251249" w:rsidRDefault="00740A17" w:rsidP="00A00453"/>
    <w:sectPr w:rsidR="00740A17" w:rsidRPr="00251249" w:rsidSect="00A00453">
      <w:headerReference w:type="even" r:id="rId15"/>
      <w:headerReference w:type="default" r:id="rId16"/>
      <w:footerReference w:type="even" r:id="rId17"/>
      <w:footerReference w:type="default" r:id="rId18"/>
      <w:headerReference w:type="first" r:id="rId19"/>
      <w:footerReference w:type="first" r:id="rId20"/>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BEF0" w14:textId="77777777" w:rsidR="000B18B1" w:rsidRDefault="000B18B1">
      <w:r>
        <w:separator/>
      </w:r>
    </w:p>
  </w:endnote>
  <w:endnote w:type="continuationSeparator" w:id="0">
    <w:p w14:paraId="36B1FA15" w14:textId="77777777" w:rsidR="000B18B1" w:rsidRDefault="000B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E603" w14:textId="77777777" w:rsidR="00A00453" w:rsidRDefault="00A004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910C" w14:textId="77777777" w:rsidR="00A00453" w:rsidRDefault="00A004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447F" w14:textId="77777777" w:rsidR="00A00453" w:rsidRDefault="00A0045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BEA0" w14:textId="77777777" w:rsidR="00D65A98" w:rsidRDefault="00D65A9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870F" w14:textId="77777777" w:rsidR="00D65A98" w:rsidRDefault="00D65A9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8F8D" w14:textId="77777777" w:rsidR="00D65A98" w:rsidRDefault="00D65A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FD99" w14:textId="77777777" w:rsidR="000B18B1" w:rsidRDefault="000B18B1">
      <w:r>
        <w:separator/>
      </w:r>
    </w:p>
  </w:footnote>
  <w:footnote w:type="continuationSeparator" w:id="0">
    <w:p w14:paraId="7FC84B59" w14:textId="77777777" w:rsidR="000B18B1" w:rsidRDefault="000B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7514" w14:textId="0D82F7AB" w:rsidR="00A00453" w:rsidRDefault="00A00453" w:rsidP="00752B64">
    <w:pPr>
      <w:tabs>
        <w:tab w:val="center" w:pos="4709"/>
        <w:tab w:val="right" w:pos="9360"/>
      </w:tabs>
      <w:spacing w:after="240" w:line="360" w:lineRule="auto"/>
      <w:ind w:right="524"/>
    </w:pPr>
    <w:r>
      <w:t>500-10-007350-208</w:t>
    </w:r>
    <w:r w:rsidRPr="007462D6">
      <w:t xml:space="preserve"> </w:t>
    </w:r>
    <w:r>
      <w:tab/>
    </w:r>
    <w:r>
      <w:tab/>
      <w:t xml:space="preserve">PAGE : </w:t>
    </w:r>
    <w:r>
      <w:fldChar w:fldCharType="begin"/>
    </w:r>
    <w:r>
      <w:instrText xml:space="preserve"> PAGE </w:instrText>
    </w:r>
    <w:r>
      <w:fldChar w:fldCharType="separate"/>
    </w:r>
    <w:r w:rsidR="00D3751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CA00" w14:textId="77777777" w:rsidR="00A00453" w:rsidRDefault="00A004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D96E" w14:textId="1CBD8F2F" w:rsidR="00A00453" w:rsidRDefault="00A00453" w:rsidP="00752B64">
    <w:pPr>
      <w:tabs>
        <w:tab w:val="center" w:pos="4709"/>
        <w:tab w:val="right" w:pos="9360"/>
      </w:tabs>
      <w:spacing w:after="240" w:line="360" w:lineRule="auto"/>
      <w:ind w:right="524"/>
    </w:pPr>
    <w:r>
      <w:t>500-10-007350-208</w:t>
    </w:r>
    <w:r w:rsidRPr="007462D6">
      <w:t xml:space="preserve"> </w:t>
    </w:r>
    <w:r>
      <w:tab/>
    </w:r>
    <w:r>
      <w:tab/>
      <w:t xml:space="preserve">PAGE: </w:t>
    </w:r>
    <w:r>
      <w:fldChar w:fldCharType="begin"/>
    </w:r>
    <w:r>
      <w:instrText xml:space="preserve"> PAGE </w:instrText>
    </w:r>
    <w:r>
      <w:fldChar w:fldCharType="separate"/>
    </w:r>
    <w:r w:rsidR="00D3751F">
      <w:rPr>
        <w:noProof/>
      </w:rPr>
      <w:t>13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DB94" w14:textId="77777777" w:rsidR="00A00453" w:rsidRDefault="00A0045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1EDB" w14:textId="77777777" w:rsidR="00D65A98" w:rsidRDefault="00D65A98">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3C47" w14:textId="0F5E981B" w:rsidR="007E33E4" w:rsidRDefault="00694A55" w:rsidP="00752B64">
    <w:pPr>
      <w:tabs>
        <w:tab w:val="center" w:pos="4709"/>
        <w:tab w:val="right" w:pos="9360"/>
      </w:tabs>
      <w:spacing w:after="240" w:line="360" w:lineRule="auto"/>
      <w:ind w:right="524"/>
    </w:pPr>
    <w:bookmarkStart w:id="12" w:name="EntDossier"/>
    <w:r>
      <w:t>500-10-007350-208</w:t>
    </w:r>
    <w:bookmarkEnd w:id="12"/>
    <w:r w:rsidR="007E33E4" w:rsidRPr="007462D6">
      <w:t xml:space="preserve"> </w:t>
    </w:r>
    <w:r w:rsidR="007E33E4">
      <w:tab/>
    </w:r>
    <w:r w:rsidR="007E33E4">
      <w:tab/>
      <w:t xml:space="preserve">PAGE: </w:t>
    </w:r>
    <w:r w:rsidR="007E33E4">
      <w:fldChar w:fldCharType="begin"/>
    </w:r>
    <w:r w:rsidR="007E33E4">
      <w:instrText xml:space="preserve"> PAGE </w:instrText>
    </w:r>
    <w:r w:rsidR="007E33E4">
      <w:fldChar w:fldCharType="separate"/>
    </w:r>
    <w:r w:rsidR="00D3751F">
      <w:rPr>
        <w:noProof/>
      </w:rPr>
      <w:t>15</w:t>
    </w:r>
    <w:r w:rsidR="007E33E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8653" w14:textId="77777777" w:rsidR="00D65A98" w:rsidRDefault="00D65A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A1114"/>
    <w:multiLevelType w:val="hybridMultilevel"/>
    <w:tmpl w:val="23C24A10"/>
    <w:lvl w:ilvl="0" w:tplc="E3F6159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D4362FE"/>
    <w:multiLevelType w:val="multilevel"/>
    <w:tmpl w:val="CFCA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77310">
    <w:abstractNumId w:val="13"/>
  </w:num>
  <w:num w:numId="2" w16cid:durableId="1492059391">
    <w:abstractNumId w:val="13"/>
  </w:num>
  <w:num w:numId="3" w16cid:durableId="1637032192">
    <w:abstractNumId w:val="13"/>
  </w:num>
  <w:num w:numId="4" w16cid:durableId="53893404">
    <w:abstractNumId w:val="8"/>
  </w:num>
  <w:num w:numId="5" w16cid:durableId="749083713">
    <w:abstractNumId w:val="3"/>
  </w:num>
  <w:num w:numId="6" w16cid:durableId="1740663731">
    <w:abstractNumId w:val="2"/>
  </w:num>
  <w:num w:numId="7" w16cid:durableId="1697193608">
    <w:abstractNumId w:val="1"/>
  </w:num>
  <w:num w:numId="8" w16cid:durableId="423575841">
    <w:abstractNumId w:val="0"/>
  </w:num>
  <w:num w:numId="9" w16cid:durableId="952250129">
    <w:abstractNumId w:val="9"/>
  </w:num>
  <w:num w:numId="10" w16cid:durableId="1753307980">
    <w:abstractNumId w:val="7"/>
  </w:num>
  <w:num w:numId="11" w16cid:durableId="87848041">
    <w:abstractNumId w:val="6"/>
  </w:num>
  <w:num w:numId="12" w16cid:durableId="1097288683">
    <w:abstractNumId w:val="5"/>
  </w:num>
  <w:num w:numId="13" w16cid:durableId="698626259">
    <w:abstractNumId w:val="4"/>
  </w:num>
  <w:num w:numId="14" w16cid:durableId="219630305">
    <w:abstractNumId w:val="13"/>
  </w:num>
  <w:num w:numId="15" w16cid:durableId="1721899419">
    <w:abstractNumId w:val="13"/>
  </w:num>
  <w:num w:numId="16" w16cid:durableId="663164500">
    <w:abstractNumId w:val="13"/>
  </w:num>
  <w:num w:numId="17" w16cid:durableId="750279476">
    <w:abstractNumId w:val="12"/>
  </w:num>
  <w:num w:numId="18" w16cid:durableId="921331089">
    <w:abstractNumId w:val="11"/>
  </w:num>
  <w:num w:numId="19" w16cid:durableId="1455978423">
    <w:abstractNumId w:val="10"/>
  </w:num>
  <w:num w:numId="20" w16cid:durableId="120462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NBChoix" w:val="3"/>
    <w:docVar w:name="MotifJuge1" w:val="MOTIFS DU JUGE"/>
    <w:docVar w:name="MotifJuge2" w:val="MOTIFS DU JUGE"/>
    <w:docVar w:name="MotifJuge3" w:val="MOTIFS DU JUGE"/>
    <w:docVar w:name="NomFamJuge1" w:val="VAUCLAIR"/>
    <w:docVar w:name="NomFamJuge2" w:val="MAINVILLE"/>
    <w:docVar w:name="NomFamJuge3" w:val="HEALY"/>
    <w:docVar w:name="NomFamJuge4" w:val="MAILHOT"/>
    <w:docVar w:name="NomFamJuge5" w:val="BAUDOUIN"/>
    <w:docVar w:name="QteJuge1" w:val=", J.C.A."/>
    <w:docVar w:name="QteJuge2" w:val=", J.C.A."/>
    <w:docVar w:name="QteJuge3" w:val=", J.C.A."/>
    <w:docVar w:name="stPremiereFois" w:val="Non"/>
  </w:docVars>
  <w:rsids>
    <w:rsidRoot w:val="00694A55"/>
    <w:rsid w:val="00010DD6"/>
    <w:rsid w:val="000131E1"/>
    <w:rsid w:val="0001344E"/>
    <w:rsid w:val="00015002"/>
    <w:rsid w:val="000163EC"/>
    <w:rsid w:val="00017244"/>
    <w:rsid w:val="0002074C"/>
    <w:rsid w:val="0002206A"/>
    <w:rsid w:val="00023405"/>
    <w:rsid w:val="0002365F"/>
    <w:rsid w:val="000270C3"/>
    <w:rsid w:val="00027F66"/>
    <w:rsid w:val="00031FB8"/>
    <w:rsid w:val="00033C97"/>
    <w:rsid w:val="00033FD1"/>
    <w:rsid w:val="00034A99"/>
    <w:rsid w:val="000352B0"/>
    <w:rsid w:val="000424CE"/>
    <w:rsid w:val="0004309D"/>
    <w:rsid w:val="0004394C"/>
    <w:rsid w:val="00043C9E"/>
    <w:rsid w:val="00053691"/>
    <w:rsid w:val="00054FB7"/>
    <w:rsid w:val="0006048A"/>
    <w:rsid w:val="000615B9"/>
    <w:rsid w:val="000645B9"/>
    <w:rsid w:val="00066F4F"/>
    <w:rsid w:val="00073B57"/>
    <w:rsid w:val="00074658"/>
    <w:rsid w:val="000759F8"/>
    <w:rsid w:val="000772E8"/>
    <w:rsid w:val="00077B47"/>
    <w:rsid w:val="00077FCC"/>
    <w:rsid w:val="00080E1C"/>
    <w:rsid w:val="00084E9A"/>
    <w:rsid w:val="00086AC5"/>
    <w:rsid w:val="00091C0E"/>
    <w:rsid w:val="00092F4A"/>
    <w:rsid w:val="0009384E"/>
    <w:rsid w:val="00094413"/>
    <w:rsid w:val="00094EBF"/>
    <w:rsid w:val="000A0022"/>
    <w:rsid w:val="000A15FE"/>
    <w:rsid w:val="000A3188"/>
    <w:rsid w:val="000A4CEE"/>
    <w:rsid w:val="000A4DAC"/>
    <w:rsid w:val="000A5F84"/>
    <w:rsid w:val="000A7516"/>
    <w:rsid w:val="000B14BC"/>
    <w:rsid w:val="000B18B1"/>
    <w:rsid w:val="000B3BFD"/>
    <w:rsid w:val="000B42AF"/>
    <w:rsid w:val="000B4E71"/>
    <w:rsid w:val="000C01C5"/>
    <w:rsid w:val="000C2209"/>
    <w:rsid w:val="000C31B9"/>
    <w:rsid w:val="000C6EA3"/>
    <w:rsid w:val="000D0C7B"/>
    <w:rsid w:val="000D4539"/>
    <w:rsid w:val="000D4542"/>
    <w:rsid w:val="000E08C8"/>
    <w:rsid w:val="000E4D8B"/>
    <w:rsid w:val="000E777E"/>
    <w:rsid w:val="000F21EA"/>
    <w:rsid w:val="000F2667"/>
    <w:rsid w:val="000F3670"/>
    <w:rsid w:val="00102A09"/>
    <w:rsid w:val="00110B53"/>
    <w:rsid w:val="00111A36"/>
    <w:rsid w:val="00112321"/>
    <w:rsid w:val="0011437E"/>
    <w:rsid w:val="00114D1C"/>
    <w:rsid w:val="00116601"/>
    <w:rsid w:val="00117774"/>
    <w:rsid w:val="00117914"/>
    <w:rsid w:val="00120030"/>
    <w:rsid w:val="001244E9"/>
    <w:rsid w:val="00125AA3"/>
    <w:rsid w:val="00127E00"/>
    <w:rsid w:val="0013028C"/>
    <w:rsid w:val="0013057B"/>
    <w:rsid w:val="00132CE2"/>
    <w:rsid w:val="00134718"/>
    <w:rsid w:val="0013548A"/>
    <w:rsid w:val="00136794"/>
    <w:rsid w:val="001402B7"/>
    <w:rsid w:val="0014049C"/>
    <w:rsid w:val="00140702"/>
    <w:rsid w:val="0015198E"/>
    <w:rsid w:val="0015610F"/>
    <w:rsid w:val="001562CF"/>
    <w:rsid w:val="00160B31"/>
    <w:rsid w:val="00160F31"/>
    <w:rsid w:val="00161A5C"/>
    <w:rsid w:val="001631C4"/>
    <w:rsid w:val="00163870"/>
    <w:rsid w:val="001639CA"/>
    <w:rsid w:val="00163D95"/>
    <w:rsid w:val="00164873"/>
    <w:rsid w:val="00171DD2"/>
    <w:rsid w:val="00181104"/>
    <w:rsid w:val="00181F56"/>
    <w:rsid w:val="001837FE"/>
    <w:rsid w:val="00183E7C"/>
    <w:rsid w:val="0018594E"/>
    <w:rsid w:val="0018692F"/>
    <w:rsid w:val="00190FA7"/>
    <w:rsid w:val="0019396E"/>
    <w:rsid w:val="00195496"/>
    <w:rsid w:val="00196489"/>
    <w:rsid w:val="001972F2"/>
    <w:rsid w:val="00197517"/>
    <w:rsid w:val="001A2F17"/>
    <w:rsid w:val="001A3858"/>
    <w:rsid w:val="001C1A63"/>
    <w:rsid w:val="001C5AE6"/>
    <w:rsid w:val="001C5F02"/>
    <w:rsid w:val="001D0F2A"/>
    <w:rsid w:val="001D14C2"/>
    <w:rsid w:val="001D22F9"/>
    <w:rsid w:val="001D2FC4"/>
    <w:rsid w:val="001D42AC"/>
    <w:rsid w:val="001E066E"/>
    <w:rsid w:val="001E0804"/>
    <w:rsid w:val="001E5E97"/>
    <w:rsid w:val="001F1324"/>
    <w:rsid w:val="001F1EC4"/>
    <w:rsid w:val="001F5530"/>
    <w:rsid w:val="00205DC4"/>
    <w:rsid w:val="002073FD"/>
    <w:rsid w:val="002076FC"/>
    <w:rsid w:val="00207B00"/>
    <w:rsid w:val="002139C6"/>
    <w:rsid w:val="0021548E"/>
    <w:rsid w:val="00220687"/>
    <w:rsid w:val="0022242E"/>
    <w:rsid w:val="002233A7"/>
    <w:rsid w:val="002273F5"/>
    <w:rsid w:val="00231FBD"/>
    <w:rsid w:val="00232B8D"/>
    <w:rsid w:val="00237CDA"/>
    <w:rsid w:val="00241D51"/>
    <w:rsid w:val="002501CD"/>
    <w:rsid w:val="00250ECB"/>
    <w:rsid w:val="00251249"/>
    <w:rsid w:val="00251BA9"/>
    <w:rsid w:val="00253192"/>
    <w:rsid w:val="00253C79"/>
    <w:rsid w:val="002558EA"/>
    <w:rsid w:val="00256A38"/>
    <w:rsid w:val="002577A1"/>
    <w:rsid w:val="00261217"/>
    <w:rsid w:val="0026366C"/>
    <w:rsid w:val="00263B8B"/>
    <w:rsid w:val="002701B5"/>
    <w:rsid w:val="00271A33"/>
    <w:rsid w:val="00274A54"/>
    <w:rsid w:val="00276CBA"/>
    <w:rsid w:val="002814F0"/>
    <w:rsid w:val="002824DD"/>
    <w:rsid w:val="00285535"/>
    <w:rsid w:val="0028559D"/>
    <w:rsid w:val="00286D3A"/>
    <w:rsid w:val="002904E6"/>
    <w:rsid w:val="00290A85"/>
    <w:rsid w:val="00295FAC"/>
    <w:rsid w:val="002A22CD"/>
    <w:rsid w:val="002A2C99"/>
    <w:rsid w:val="002A3081"/>
    <w:rsid w:val="002A52A0"/>
    <w:rsid w:val="002A5F8E"/>
    <w:rsid w:val="002A7428"/>
    <w:rsid w:val="002A7695"/>
    <w:rsid w:val="002B272A"/>
    <w:rsid w:val="002B2795"/>
    <w:rsid w:val="002B4A07"/>
    <w:rsid w:val="002B6E5B"/>
    <w:rsid w:val="002B7677"/>
    <w:rsid w:val="002B76E6"/>
    <w:rsid w:val="002B7B56"/>
    <w:rsid w:val="002C113E"/>
    <w:rsid w:val="002C185A"/>
    <w:rsid w:val="002C3FE0"/>
    <w:rsid w:val="002C4107"/>
    <w:rsid w:val="002C7F5F"/>
    <w:rsid w:val="002D0CFF"/>
    <w:rsid w:val="002D67E5"/>
    <w:rsid w:val="002D76AC"/>
    <w:rsid w:val="002D7F67"/>
    <w:rsid w:val="002E1C3A"/>
    <w:rsid w:val="002E229C"/>
    <w:rsid w:val="002E49DB"/>
    <w:rsid w:val="002E51F1"/>
    <w:rsid w:val="002E7449"/>
    <w:rsid w:val="002F0514"/>
    <w:rsid w:val="002F1350"/>
    <w:rsid w:val="002F167C"/>
    <w:rsid w:val="002F18F4"/>
    <w:rsid w:val="002F2CA1"/>
    <w:rsid w:val="002F6136"/>
    <w:rsid w:val="003023D6"/>
    <w:rsid w:val="00304F0A"/>
    <w:rsid w:val="00310D40"/>
    <w:rsid w:val="00314289"/>
    <w:rsid w:val="00322685"/>
    <w:rsid w:val="00322DE0"/>
    <w:rsid w:val="00322FF4"/>
    <w:rsid w:val="0032363D"/>
    <w:rsid w:val="00324E56"/>
    <w:rsid w:val="0032557F"/>
    <w:rsid w:val="00326AE9"/>
    <w:rsid w:val="003273EE"/>
    <w:rsid w:val="003318A0"/>
    <w:rsid w:val="0033190E"/>
    <w:rsid w:val="00335663"/>
    <w:rsid w:val="00335B49"/>
    <w:rsid w:val="0034115A"/>
    <w:rsid w:val="00341756"/>
    <w:rsid w:val="00341C5E"/>
    <w:rsid w:val="00342A2A"/>
    <w:rsid w:val="00345652"/>
    <w:rsid w:val="00353DFC"/>
    <w:rsid w:val="00354DEF"/>
    <w:rsid w:val="00356252"/>
    <w:rsid w:val="00360AA3"/>
    <w:rsid w:val="00361325"/>
    <w:rsid w:val="00365B45"/>
    <w:rsid w:val="00367B68"/>
    <w:rsid w:val="00372BC6"/>
    <w:rsid w:val="00374888"/>
    <w:rsid w:val="00374E40"/>
    <w:rsid w:val="00376389"/>
    <w:rsid w:val="00380DD7"/>
    <w:rsid w:val="0038279D"/>
    <w:rsid w:val="00382A09"/>
    <w:rsid w:val="00382E0F"/>
    <w:rsid w:val="003834CB"/>
    <w:rsid w:val="00384B90"/>
    <w:rsid w:val="00386BAA"/>
    <w:rsid w:val="003879A5"/>
    <w:rsid w:val="00390EAA"/>
    <w:rsid w:val="00391A26"/>
    <w:rsid w:val="00394925"/>
    <w:rsid w:val="0039640A"/>
    <w:rsid w:val="003A0B8E"/>
    <w:rsid w:val="003A344E"/>
    <w:rsid w:val="003A7F58"/>
    <w:rsid w:val="003B2594"/>
    <w:rsid w:val="003B29BD"/>
    <w:rsid w:val="003B4C7D"/>
    <w:rsid w:val="003B585A"/>
    <w:rsid w:val="003B5886"/>
    <w:rsid w:val="003C4EF0"/>
    <w:rsid w:val="003C56FC"/>
    <w:rsid w:val="003C6BA7"/>
    <w:rsid w:val="003D011C"/>
    <w:rsid w:val="003D045B"/>
    <w:rsid w:val="003D1E77"/>
    <w:rsid w:val="003D487D"/>
    <w:rsid w:val="003D7D0A"/>
    <w:rsid w:val="003E3239"/>
    <w:rsid w:val="003E3E3C"/>
    <w:rsid w:val="003E50D1"/>
    <w:rsid w:val="003E61B2"/>
    <w:rsid w:val="003E662A"/>
    <w:rsid w:val="003E6B30"/>
    <w:rsid w:val="003E7E54"/>
    <w:rsid w:val="003F0F64"/>
    <w:rsid w:val="003F27D9"/>
    <w:rsid w:val="003F3496"/>
    <w:rsid w:val="003F4128"/>
    <w:rsid w:val="003F43D0"/>
    <w:rsid w:val="00403D62"/>
    <w:rsid w:val="00406445"/>
    <w:rsid w:val="00411E9D"/>
    <w:rsid w:val="00412779"/>
    <w:rsid w:val="0041380F"/>
    <w:rsid w:val="004150F4"/>
    <w:rsid w:val="004151EA"/>
    <w:rsid w:val="00421C6A"/>
    <w:rsid w:val="00422250"/>
    <w:rsid w:val="00422B5D"/>
    <w:rsid w:val="00423DF1"/>
    <w:rsid w:val="00423F47"/>
    <w:rsid w:val="0043027F"/>
    <w:rsid w:val="00430C58"/>
    <w:rsid w:val="004331C4"/>
    <w:rsid w:val="00434494"/>
    <w:rsid w:val="00434BFC"/>
    <w:rsid w:val="0043564D"/>
    <w:rsid w:val="00435E6C"/>
    <w:rsid w:val="00441C25"/>
    <w:rsid w:val="00443014"/>
    <w:rsid w:val="00446452"/>
    <w:rsid w:val="004536C3"/>
    <w:rsid w:val="004542CA"/>
    <w:rsid w:val="004575C7"/>
    <w:rsid w:val="00457943"/>
    <w:rsid w:val="004617F8"/>
    <w:rsid w:val="0046327C"/>
    <w:rsid w:val="004643A4"/>
    <w:rsid w:val="00464AF1"/>
    <w:rsid w:val="00465CF9"/>
    <w:rsid w:val="00466761"/>
    <w:rsid w:val="004705AE"/>
    <w:rsid w:val="00472DC8"/>
    <w:rsid w:val="004802EC"/>
    <w:rsid w:val="00481DE8"/>
    <w:rsid w:val="0048384A"/>
    <w:rsid w:val="00484C2D"/>
    <w:rsid w:val="004863AC"/>
    <w:rsid w:val="0048656B"/>
    <w:rsid w:val="00486811"/>
    <w:rsid w:val="00490027"/>
    <w:rsid w:val="00490273"/>
    <w:rsid w:val="00491503"/>
    <w:rsid w:val="00492763"/>
    <w:rsid w:val="0049277C"/>
    <w:rsid w:val="00497A50"/>
    <w:rsid w:val="00497D32"/>
    <w:rsid w:val="004A29F1"/>
    <w:rsid w:val="004A6582"/>
    <w:rsid w:val="004A6641"/>
    <w:rsid w:val="004B1E94"/>
    <w:rsid w:val="004B23A7"/>
    <w:rsid w:val="004B33FF"/>
    <w:rsid w:val="004B7275"/>
    <w:rsid w:val="004C0501"/>
    <w:rsid w:val="004C0E6B"/>
    <w:rsid w:val="004C12F2"/>
    <w:rsid w:val="004C4ED4"/>
    <w:rsid w:val="004C525F"/>
    <w:rsid w:val="004C59E0"/>
    <w:rsid w:val="004D1A38"/>
    <w:rsid w:val="004D2F69"/>
    <w:rsid w:val="004D3C18"/>
    <w:rsid w:val="004D500B"/>
    <w:rsid w:val="004D5101"/>
    <w:rsid w:val="004D5621"/>
    <w:rsid w:val="004D64AF"/>
    <w:rsid w:val="004E0B0B"/>
    <w:rsid w:val="004E4FBA"/>
    <w:rsid w:val="004E5864"/>
    <w:rsid w:val="004E7226"/>
    <w:rsid w:val="004F095E"/>
    <w:rsid w:val="004F2482"/>
    <w:rsid w:val="004F6849"/>
    <w:rsid w:val="005022DF"/>
    <w:rsid w:val="00505286"/>
    <w:rsid w:val="005079EC"/>
    <w:rsid w:val="0051162D"/>
    <w:rsid w:val="005121D5"/>
    <w:rsid w:val="005131F1"/>
    <w:rsid w:val="00513A03"/>
    <w:rsid w:val="0051484F"/>
    <w:rsid w:val="00516906"/>
    <w:rsid w:val="00516B3E"/>
    <w:rsid w:val="00517AC5"/>
    <w:rsid w:val="00520592"/>
    <w:rsid w:val="00520C9F"/>
    <w:rsid w:val="00522F60"/>
    <w:rsid w:val="005262C9"/>
    <w:rsid w:val="00526CAC"/>
    <w:rsid w:val="0052702D"/>
    <w:rsid w:val="005301BE"/>
    <w:rsid w:val="00530CE1"/>
    <w:rsid w:val="00530DDB"/>
    <w:rsid w:val="00531D70"/>
    <w:rsid w:val="0053317D"/>
    <w:rsid w:val="00533DDE"/>
    <w:rsid w:val="005352FF"/>
    <w:rsid w:val="00535AC3"/>
    <w:rsid w:val="00535C66"/>
    <w:rsid w:val="00541D1E"/>
    <w:rsid w:val="0054526F"/>
    <w:rsid w:val="005457F8"/>
    <w:rsid w:val="00545901"/>
    <w:rsid w:val="00545E86"/>
    <w:rsid w:val="0055016F"/>
    <w:rsid w:val="00550F11"/>
    <w:rsid w:val="00554E39"/>
    <w:rsid w:val="00556C5F"/>
    <w:rsid w:val="005576A4"/>
    <w:rsid w:val="00561AB4"/>
    <w:rsid w:val="00563860"/>
    <w:rsid w:val="00563FE6"/>
    <w:rsid w:val="0056470E"/>
    <w:rsid w:val="005669AE"/>
    <w:rsid w:val="00566BF6"/>
    <w:rsid w:val="00566E4F"/>
    <w:rsid w:val="005671B7"/>
    <w:rsid w:val="005674AF"/>
    <w:rsid w:val="0057484F"/>
    <w:rsid w:val="00575183"/>
    <w:rsid w:val="005761E2"/>
    <w:rsid w:val="00576498"/>
    <w:rsid w:val="00583434"/>
    <w:rsid w:val="0058349F"/>
    <w:rsid w:val="0058362F"/>
    <w:rsid w:val="00586FFB"/>
    <w:rsid w:val="00590DA6"/>
    <w:rsid w:val="00591144"/>
    <w:rsid w:val="005921FF"/>
    <w:rsid w:val="00593F2C"/>
    <w:rsid w:val="005955AC"/>
    <w:rsid w:val="005A039C"/>
    <w:rsid w:val="005A0591"/>
    <w:rsid w:val="005A25E7"/>
    <w:rsid w:val="005A2753"/>
    <w:rsid w:val="005A480C"/>
    <w:rsid w:val="005A51FD"/>
    <w:rsid w:val="005A6956"/>
    <w:rsid w:val="005A7328"/>
    <w:rsid w:val="005A78BF"/>
    <w:rsid w:val="005B37BF"/>
    <w:rsid w:val="005B4198"/>
    <w:rsid w:val="005B49B0"/>
    <w:rsid w:val="005B6B4C"/>
    <w:rsid w:val="005B73E3"/>
    <w:rsid w:val="005C2054"/>
    <w:rsid w:val="005C293A"/>
    <w:rsid w:val="005C7516"/>
    <w:rsid w:val="005D1522"/>
    <w:rsid w:val="005D1739"/>
    <w:rsid w:val="005D3497"/>
    <w:rsid w:val="005D4495"/>
    <w:rsid w:val="005E2D1B"/>
    <w:rsid w:val="005E31C7"/>
    <w:rsid w:val="005E4F42"/>
    <w:rsid w:val="005E58BF"/>
    <w:rsid w:val="005F50F6"/>
    <w:rsid w:val="005F5F5F"/>
    <w:rsid w:val="005F68EB"/>
    <w:rsid w:val="005F72E7"/>
    <w:rsid w:val="00600371"/>
    <w:rsid w:val="006022EA"/>
    <w:rsid w:val="00607D44"/>
    <w:rsid w:val="006103AA"/>
    <w:rsid w:val="00611F9A"/>
    <w:rsid w:val="00615645"/>
    <w:rsid w:val="006158A5"/>
    <w:rsid w:val="00621955"/>
    <w:rsid w:val="006246AA"/>
    <w:rsid w:val="00624770"/>
    <w:rsid w:val="00624EA8"/>
    <w:rsid w:val="00625453"/>
    <w:rsid w:val="00633B70"/>
    <w:rsid w:val="0064250B"/>
    <w:rsid w:val="00642D3D"/>
    <w:rsid w:val="006436E4"/>
    <w:rsid w:val="00644255"/>
    <w:rsid w:val="00645FBE"/>
    <w:rsid w:val="00652D7C"/>
    <w:rsid w:val="0065385A"/>
    <w:rsid w:val="006543D7"/>
    <w:rsid w:val="006574F4"/>
    <w:rsid w:val="006671D8"/>
    <w:rsid w:val="00667909"/>
    <w:rsid w:val="006739D1"/>
    <w:rsid w:val="006759A7"/>
    <w:rsid w:val="00677695"/>
    <w:rsid w:val="006826AA"/>
    <w:rsid w:val="0068289A"/>
    <w:rsid w:val="00682E20"/>
    <w:rsid w:val="0068307E"/>
    <w:rsid w:val="0068356A"/>
    <w:rsid w:val="0068452B"/>
    <w:rsid w:val="00685DE1"/>
    <w:rsid w:val="00687AD3"/>
    <w:rsid w:val="006902A0"/>
    <w:rsid w:val="00691271"/>
    <w:rsid w:val="0069229B"/>
    <w:rsid w:val="006927B3"/>
    <w:rsid w:val="00692E23"/>
    <w:rsid w:val="0069336A"/>
    <w:rsid w:val="006935B9"/>
    <w:rsid w:val="006940BE"/>
    <w:rsid w:val="00694372"/>
    <w:rsid w:val="00694A55"/>
    <w:rsid w:val="00694EFC"/>
    <w:rsid w:val="006953DA"/>
    <w:rsid w:val="006957FB"/>
    <w:rsid w:val="006964C5"/>
    <w:rsid w:val="00697C78"/>
    <w:rsid w:val="00697EAB"/>
    <w:rsid w:val="006A0DB0"/>
    <w:rsid w:val="006A328C"/>
    <w:rsid w:val="006A4C9A"/>
    <w:rsid w:val="006A6629"/>
    <w:rsid w:val="006A69CE"/>
    <w:rsid w:val="006A72D0"/>
    <w:rsid w:val="006B0358"/>
    <w:rsid w:val="006B1014"/>
    <w:rsid w:val="006B15AF"/>
    <w:rsid w:val="006B2031"/>
    <w:rsid w:val="006B290D"/>
    <w:rsid w:val="006B3319"/>
    <w:rsid w:val="006B3876"/>
    <w:rsid w:val="006B459A"/>
    <w:rsid w:val="006B4D70"/>
    <w:rsid w:val="006B5D13"/>
    <w:rsid w:val="006B6BD4"/>
    <w:rsid w:val="006C4438"/>
    <w:rsid w:val="006C4EBC"/>
    <w:rsid w:val="006D2BE0"/>
    <w:rsid w:val="006D799F"/>
    <w:rsid w:val="006E6408"/>
    <w:rsid w:val="006F0809"/>
    <w:rsid w:val="006F3658"/>
    <w:rsid w:val="006F409F"/>
    <w:rsid w:val="006F6A7B"/>
    <w:rsid w:val="00702CAF"/>
    <w:rsid w:val="00703759"/>
    <w:rsid w:val="00704311"/>
    <w:rsid w:val="00705071"/>
    <w:rsid w:val="00705375"/>
    <w:rsid w:val="00706E4F"/>
    <w:rsid w:val="007109D2"/>
    <w:rsid w:val="0071156F"/>
    <w:rsid w:val="00714E06"/>
    <w:rsid w:val="00715B48"/>
    <w:rsid w:val="00720886"/>
    <w:rsid w:val="0072108E"/>
    <w:rsid w:val="0072337C"/>
    <w:rsid w:val="00726FBE"/>
    <w:rsid w:val="00740A17"/>
    <w:rsid w:val="00741809"/>
    <w:rsid w:val="00741F13"/>
    <w:rsid w:val="00744514"/>
    <w:rsid w:val="007457BD"/>
    <w:rsid w:val="007462D6"/>
    <w:rsid w:val="0074738B"/>
    <w:rsid w:val="00752B64"/>
    <w:rsid w:val="0076062E"/>
    <w:rsid w:val="00760E1E"/>
    <w:rsid w:val="00761763"/>
    <w:rsid w:val="00763AF5"/>
    <w:rsid w:val="007731F5"/>
    <w:rsid w:val="0077343E"/>
    <w:rsid w:val="0077345C"/>
    <w:rsid w:val="00773461"/>
    <w:rsid w:val="00777782"/>
    <w:rsid w:val="007802F0"/>
    <w:rsid w:val="00780D86"/>
    <w:rsid w:val="007811DC"/>
    <w:rsid w:val="00784F62"/>
    <w:rsid w:val="0078674A"/>
    <w:rsid w:val="00790F58"/>
    <w:rsid w:val="00792507"/>
    <w:rsid w:val="0079320C"/>
    <w:rsid w:val="0079334E"/>
    <w:rsid w:val="007953F3"/>
    <w:rsid w:val="00795E6E"/>
    <w:rsid w:val="0079705B"/>
    <w:rsid w:val="007A3AC2"/>
    <w:rsid w:val="007A4784"/>
    <w:rsid w:val="007A6C6A"/>
    <w:rsid w:val="007A7803"/>
    <w:rsid w:val="007B0F71"/>
    <w:rsid w:val="007B1B74"/>
    <w:rsid w:val="007B3333"/>
    <w:rsid w:val="007B3A7E"/>
    <w:rsid w:val="007B48D5"/>
    <w:rsid w:val="007B5742"/>
    <w:rsid w:val="007C00E6"/>
    <w:rsid w:val="007C2919"/>
    <w:rsid w:val="007C306E"/>
    <w:rsid w:val="007C5A0A"/>
    <w:rsid w:val="007C5CF1"/>
    <w:rsid w:val="007C6F87"/>
    <w:rsid w:val="007D087C"/>
    <w:rsid w:val="007D0BC9"/>
    <w:rsid w:val="007D19CA"/>
    <w:rsid w:val="007D3125"/>
    <w:rsid w:val="007E0778"/>
    <w:rsid w:val="007E0BE7"/>
    <w:rsid w:val="007E0C68"/>
    <w:rsid w:val="007E33E4"/>
    <w:rsid w:val="007E3B41"/>
    <w:rsid w:val="007E4CC9"/>
    <w:rsid w:val="007E7178"/>
    <w:rsid w:val="007E7E4D"/>
    <w:rsid w:val="007F0382"/>
    <w:rsid w:val="007F24B5"/>
    <w:rsid w:val="00800D23"/>
    <w:rsid w:val="00802B81"/>
    <w:rsid w:val="00804B00"/>
    <w:rsid w:val="008057DA"/>
    <w:rsid w:val="00805B96"/>
    <w:rsid w:val="0080634A"/>
    <w:rsid w:val="00806FBA"/>
    <w:rsid w:val="0081342F"/>
    <w:rsid w:val="008141B7"/>
    <w:rsid w:val="0081529B"/>
    <w:rsid w:val="0081582C"/>
    <w:rsid w:val="00816273"/>
    <w:rsid w:val="00816684"/>
    <w:rsid w:val="0082468B"/>
    <w:rsid w:val="00826B8F"/>
    <w:rsid w:val="00826F83"/>
    <w:rsid w:val="0082717B"/>
    <w:rsid w:val="00827B04"/>
    <w:rsid w:val="0083032E"/>
    <w:rsid w:val="00831B0F"/>
    <w:rsid w:val="008325ED"/>
    <w:rsid w:val="00832856"/>
    <w:rsid w:val="008336BC"/>
    <w:rsid w:val="008356D3"/>
    <w:rsid w:val="00837749"/>
    <w:rsid w:val="00841907"/>
    <w:rsid w:val="00841F19"/>
    <w:rsid w:val="00843063"/>
    <w:rsid w:val="00844651"/>
    <w:rsid w:val="00846F77"/>
    <w:rsid w:val="0085084A"/>
    <w:rsid w:val="00850DDD"/>
    <w:rsid w:val="00851BAF"/>
    <w:rsid w:val="008521B3"/>
    <w:rsid w:val="0085247D"/>
    <w:rsid w:val="00852EE1"/>
    <w:rsid w:val="00853108"/>
    <w:rsid w:val="0085361D"/>
    <w:rsid w:val="008575F1"/>
    <w:rsid w:val="0086036A"/>
    <w:rsid w:val="0086070C"/>
    <w:rsid w:val="0086101D"/>
    <w:rsid w:val="008653A3"/>
    <w:rsid w:val="008657A2"/>
    <w:rsid w:val="00866645"/>
    <w:rsid w:val="008666EF"/>
    <w:rsid w:val="00867076"/>
    <w:rsid w:val="00871584"/>
    <w:rsid w:val="0087479D"/>
    <w:rsid w:val="00881586"/>
    <w:rsid w:val="00882210"/>
    <w:rsid w:val="008824E1"/>
    <w:rsid w:val="00886888"/>
    <w:rsid w:val="00887274"/>
    <w:rsid w:val="00891860"/>
    <w:rsid w:val="008948CD"/>
    <w:rsid w:val="00894DE9"/>
    <w:rsid w:val="008977BD"/>
    <w:rsid w:val="008A0DA8"/>
    <w:rsid w:val="008A33B0"/>
    <w:rsid w:val="008A3478"/>
    <w:rsid w:val="008A6185"/>
    <w:rsid w:val="008A6CAD"/>
    <w:rsid w:val="008A7891"/>
    <w:rsid w:val="008B023C"/>
    <w:rsid w:val="008B3C92"/>
    <w:rsid w:val="008B3D82"/>
    <w:rsid w:val="008B51BA"/>
    <w:rsid w:val="008B5AFB"/>
    <w:rsid w:val="008C1FE9"/>
    <w:rsid w:val="008C79DC"/>
    <w:rsid w:val="008C7DCE"/>
    <w:rsid w:val="008D18FC"/>
    <w:rsid w:val="008D30C2"/>
    <w:rsid w:val="008D398B"/>
    <w:rsid w:val="008D500E"/>
    <w:rsid w:val="008D76AB"/>
    <w:rsid w:val="008D7E49"/>
    <w:rsid w:val="008E2BEA"/>
    <w:rsid w:val="008E578D"/>
    <w:rsid w:val="008F135F"/>
    <w:rsid w:val="008F364A"/>
    <w:rsid w:val="008F3F53"/>
    <w:rsid w:val="008F64A6"/>
    <w:rsid w:val="008F7A9F"/>
    <w:rsid w:val="00901740"/>
    <w:rsid w:val="009020DA"/>
    <w:rsid w:val="00902BBF"/>
    <w:rsid w:val="00904D04"/>
    <w:rsid w:val="00905AF3"/>
    <w:rsid w:val="009073BC"/>
    <w:rsid w:val="009119B8"/>
    <w:rsid w:val="00913E03"/>
    <w:rsid w:val="0091511F"/>
    <w:rsid w:val="0091609A"/>
    <w:rsid w:val="009168E9"/>
    <w:rsid w:val="0092034A"/>
    <w:rsid w:val="00921863"/>
    <w:rsid w:val="009229E9"/>
    <w:rsid w:val="00923515"/>
    <w:rsid w:val="009253AF"/>
    <w:rsid w:val="00926953"/>
    <w:rsid w:val="00927029"/>
    <w:rsid w:val="00936469"/>
    <w:rsid w:val="00937385"/>
    <w:rsid w:val="009400B7"/>
    <w:rsid w:val="009519B3"/>
    <w:rsid w:val="009547F0"/>
    <w:rsid w:val="00954DC2"/>
    <w:rsid w:val="0095643E"/>
    <w:rsid w:val="00957B92"/>
    <w:rsid w:val="00960A36"/>
    <w:rsid w:val="00961DD4"/>
    <w:rsid w:val="009624BB"/>
    <w:rsid w:val="00970966"/>
    <w:rsid w:val="00970A88"/>
    <w:rsid w:val="00971634"/>
    <w:rsid w:val="00972430"/>
    <w:rsid w:val="00974442"/>
    <w:rsid w:val="009748C9"/>
    <w:rsid w:val="009760CE"/>
    <w:rsid w:val="00983263"/>
    <w:rsid w:val="00986BED"/>
    <w:rsid w:val="009919A6"/>
    <w:rsid w:val="00992C71"/>
    <w:rsid w:val="00995AD0"/>
    <w:rsid w:val="00997596"/>
    <w:rsid w:val="009A3A3A"/>
    <w:rsid w:val="009A7DB9"/>
    <w:rsid w:val="009B0248"/>
    <w:rsid w:val="009B212C"/>
    <w:rsid w:val="009B46FF"/>
    <w:rsid w:val="009B6B40"/>
    <w:rsid w:val="009C330E"/>
    <w:rsid w:val="009C3C09"/>
    <w:rsid w:val="009C6A3F"/>
    <w:rsid w:val="009D08E2"/>
    <w:rsid w:val="009D3480"/>
    <w:rsid w:val="009D536F"/>
    <w:rsid w:val="009D5653"/>
    <w:rsid w:val="009E0EF7"/>
    <w:rsid w:val="009E14D9"/>
    <w:rsid w:val="009E304D"/>
    <w:rsid w:val="009E3225"/>
    <w:rsid w:val="009E3912"/>
    <w:rsid w:val="009E3E0D"/>
    <w:rsid w:val="009E3F0A"/>
    <w:rsid w:val="009E51B3"/>
    <w:rsid w:val="009E5479"/>
    <w:rsid w:val="009E745E"/>
    <w:rsid w:val="009E78E8"/>
    <w:rsid w:val="009F1F69"/>
    <w:rsid w:val="009F5130"/>
    <w:rsid w:val="009F6350"/>
    <w:rsid w:val="00A00453"/>
    <w:rsid w:val="00A02883"/>
    <w:rsid w:val="00A0478C"/>
    <w:rsid w:val="00A05D11"/>
    <w:rsid w:val="00A12F31"/>
    <w:rsid w:val="00A13FB5"/>
    <w:rsid w:val="00A20E29"/>
    <w:rsid w:val="00A23BF4"/>
    <w:rsid w:val="00A2593B"/>
    <w:rsid w:val="00A27CDC"/>
    <w:rsid w:val="00A34E05"/>
    <w:rsid w:val="00A34E1C"/>
    <w:rsid w:val="00A363AD"/>
    <w:rsid w:val="00A37C09"/>
    <w:rsid w:val="00A40641"/>
    <w:rsid w:val="00A4271D"/>
    <w:rsid w:val="00A43D8B"/>
    <w:rsid w:val="00A454F1"/>
    <w:rsid w:val="00A503C7"/>
    <w:rsid w:val="00A50507"/>
    <w:rsid w:val="00A515B5"/>
    <w:rsid w:val="00A543CC"/>
    <w:rsid w:val="00A54E83"/>
    <w:rsid w:val="00A61C43"/>
    <w:rsid w:val="00A63EBB"/>
    <w:rsid w:val="00A714A8"/>
    <w:rsid w:val="00A7413B"/>
    <w:rsid w:val="00A75402"/>
    <w:rsid w:val="00A80038"/>
    <w:rsid w:val="00A814D5"/>
    <w:rsid w:val="00A860BE"/>
    <w:rsid w:val="00A86F50"/>
    <w:rsid w:val="00A91067"/>
    <w:rsid w:val="00A925FD"/>
    <w:rsid w:val="00A93CFF"/>
    <w:rsid w:val="00A94483"/>
    <w:rsid w:val="00A95797"/>
    <w:rsid w:val="00AA366D"/>
    <w:rsid w:val="00AA691F"/>
    <w:rsid w:val="00AB2012"/>
    <w:rsid w:val="00AB5CB4"/>
    <w:rsid w:val="00AB7DD2"/>
    <w:rsid w:val="00AC0632"/>
    <w:rsid w:val="00AC117B"/>
    <w:rsid w:val="00AC66AD"/>
    <w:rsid w:val="00AD0145"/>
    <w:rsid w:val="00AD161C"/>
    <w:rsid w:val="00AE28AA"/>
    <w:rsid w:val="00AE7977"/>
    <w:rsid w:val="00AE7E63"/>
    <w:rsid w:val="00AF01FE"/>
    <w:rsid w:val="00AF0C7C"/>
    <w:rsid w:val="00AF1DE0"/>
    <w:rsid w:val="00AF1E5A"/>
    <w:rsid w:val="00AF3C14"/>
    <w:rsid w:val="00AF51D3"/>
    <w:rsid w:val="00AF63D5"/>
    <w:rsid w:val="00B00517"/>
    <w:rsid w:val="00B01D86"/>
    <w:rsid w:val="00B02C1E"/>
    <w:rsid w:val="00B0336B"/>
    <w:rsid w:val="00B05E0A"/>
    <w:rsid w:val="00B07173"/>
    <w:rsid w:val="00B07E4E"/>
    <w:rsid w:val="00B11FD1"/>
    <w:rsid w:val="00B137E9"/>
    <w:rsid w:val="00B13DF8"/>
    <w:rsid w:val="00B149AE"/>
    <w:rsid w:val="00B15B7A"/>
    <w:rsid w:val="00B15E14"/>
    <w:rsid w:val="00B15F55"/>
    <w:rsid w:val="00B2384F"/>
    <w:rsid w:val="00B258E6"/>
    <w:rsid w:val="00B27415"/>
    <w:rsid w:val="00B30EA2"/>
    <w:rsid w:val="00B3696B"/>
    <w:rsid w:val="00B36ED3"/>
    <w:rsid w:val="00B36F52"/>
    <w:rsid w:val="00B37D93"/>
    <w:rsid w:val="00B40034"/>
    <w:rsid w:val="00B44DB7"/>
    <w:rsid w:val="00B45462"/>
    <w:rsid w:val="00B45602"/>
    <w:rsid w:val="00B4630B"/>
    <w:rsid w:val="00B5009F"/>
    <w:rsid w:val="00B513C9"/>
    <w:rsid w:val="00B52C79"/>
    <w:rsid w:val="00B52EBD"/>
    <w:rsid w:val="00B56EF4"/>
    <w:rsid w:val="00B63952"/>
    <w:rsid w:val="00B70485"/>
    <w:rsid w:val="00B715DF"/>
    <w:rsid w:val="00B751F2"/>
    <w:rsid w:val="00B752EC"/>
    <w:rsid w:val="00B775BD"/>
    <w:rsid w:val="00B813B0"/>
    <w:rsid w:val="00B824AA"/>
    <w:rsid w:val="00B828B4"/>
    <w:rsid w:val="00B82A13"/>
    <w:rsid w:val="00B865DB"/>
    <w:rsid w:val="00B91054"/>
    <w:rsid w:val="00B92C07"/>
    <w:rsid w:val="00B93729"/>
    <w:rsid w:val="00B94321"/>
    <w:rsid w:val="00BA1873"/>
    <w:rsid w:val="00BA4E98"/>
    <w:rsid w:val="00BA53CD"/>
    <w:rsid w:val="00BB1937"/>
    <w:rsid w:val="00BB29BC"/>
    <w:rsid w:val="00BB6B45"/>
    <w:rsid w:val="00BB7327"/>
    <w:rsid w:val="00BC041C"/>
    <w:rsid w:val="00BC3188"/>
    <w:rsid w:val="00BC4C1F"/>
    <w:rsid w:val="00BC55E3"/>
    <w:rsid w:val="00BC6379"/>
    <w:rsid w:val="00BC7657"/>
    <w:rsid w:val="00BD0BFF"/>
    <w:rsid w:val="00BD3D36"/>
    <w:rsid w:val="00BD5D77"/>
    <w:rsid w:val="00BD66EE"/>
    <w:rsid w:val="00BD7B65"/>
    <w:rsid w:val="00BE2B8F"/>
    <w:rsid w:val="00BE4B65"/>
    <w:rsid w:val="00BF1074"/>
    <w:rsid w:val="00C023A5"/>
    <w:rsid w:val="00C02AF8"/>
    <w:rsid w:val="00C0563D"/>
    <w:rsid w:val="00C07669"/>
    <w:rsid w:val="00C10335"/>
    <w:rsid w:val="00C123D9"/>
    <w:rsid w:val="00C12572"/>
    <w:rsid w:val="00C12D02"/>
    <w:rsid w:val="00C13D91"/>
    <w:rsid w:val="00C1588C"/>
    <w:rsid w:val="00C176CF"/>
    <w:rsid w:val="00C1788A"/>
    <w:rsid w:val="00C17E01"/>
    <w:rsid w:val="00C23377"/>
    <w:rsid w:val="00C264D0"/>
    <w:rsid w:val="00C31AC4"/>
    <w:rsid w:val="00C31FA7"/>
    <w:rsid w:val="00C33F4A"/>
    <w:rsid w:val="00C372DE"/>
    <w:rsid w:val="00C409BE"/>
    <w:rsid w:val="00C423CA"/>
    <w:rsid w:val="00C43391"/>
    <w:rsid w:val="00C44A1D"/>
    <w:rsid w:val="00C46722"/>
    <w:rsid w:val="00C50EE0"/>
    <w:rsid w:val="00C534D3"/>
    <w:rsid w:val="00C555FC"/>
    <w:rsid w:val="00C60683"/>
    <w:rsid w:val="00C60E0C"/>
    <w:rsid w:val="00C612D4"/>
    <w:rsid w:val="00C652ED"/>
    <w:rsid w:val="00C7045F"/>
    <w:rsid w:val="00C71B82"/>
    <w:rsid w:val="00C71E8A"/>
    <w:rsid w:val="00C7793C"/>
    <w:rsid w:val="00C93977"/>
    <w:rsid w:val="00C939A8"/>
    <w:rsid w:val="00C94266"/>
    <w:rsid w:val="00C946FC"/>
    <w:rsid w:val="00C950E0"/>
    <w:rsid w:val="00C9571B"/>
    <w:rsid w:val="00C96C6B"/>
    <w:rsid w:val="00C97145"/>
    <w:rsid w:val="00CA14DC"/>
    <w:rsid w:val="00CA5064"/>
    <w:rsid w:val="00CA54A2"/>
    <w:rsid w:val="00CA64C1"/>
    <w:rsid w:val="00CB2CA5"/>
    <w:rsid w:val="00CB365F"/>
    <w:rsid w:val="00CB4963"/>
    <w:rsid w:val="00CC2AE7"/>
    <w:rsid w:val="00CC330E"/>
    <w:rsid w:val="00CC5478"/>
    <w:rsid w:val="00CD2C72"/>
    <w:rsid w:val="00CD6C36"/>
    <w:rsid w:val="00CE4EF6"/>
    <w:rsid w:val="00CE6687"/>
    <w:rsid w:val="00CF0B49"/>
    <w:rsid w:val="00D010FD"/>
    <w:rsid w:val="00D02812"/>
    <w:rsid w:val="00D0301C"/>
    <w:rsid w:val="00D043AD"/>
    <w:rsid w:val="00D06927"/>
    <w:rsid w:val="00D108EE"/>
    <w:rsid w:val="00D10FC2"/>
    <w:rsid w:val="00D11279"/>
    <w:rsid w:val="00D1131C"/>
    <w:rsid w:val="00D158DE"/>
    <w:rsid w:val="00D15FCB"/>
    <w:rsid w:val="00D16651"/>
    <w:rsid w:val="00D16D51"/>
    <w:rsid w:val="00D20056"/>
    <w:rsid w:val="00D215A8"/>
    <w:rsid w:val="00D2431E"/>
    <w:rsid w:val="00D31946"/>
    <w:rsid w:val="00D35D3E"/>
    <w:rsid w:val="00D35E41"/>
    <w:rsid w:val="00D3631E"/>
    <w:rsid w:val="00D3751F"/>
    <w:rsid w:val="00D37850"/>
    <w:rsid w:val="00D37F40"/>
    <w:rsid w:val="00D434DE"/>
    <w:rsid w:val="00D447EB"/>
    <w:rsid w:val="00D5010D"/>
    <w:rsid w:val="00D5128C"/>
    <w:rsid w:val="00D65651"/>
    <w:rsid w:val="00D65A98"/>
    <w:rsid w:val="00D66F35"/>
    <w:rsid w:val="00D712C6"/>
    <w:rsid w:val="00D71574"/>
    <w:rsid w:val="00D76394"/>
    <w:rsid w:val="00D77044"/>
    <w:rsid w:val="00D7747D"/>
    <w:rsid w:val="00D80FF8"/>
    <w:rsid w:val="00D82839"/>
    <w:rsid w:val="00D84726"/>
    <w:rsid w:val="00D84D6F"/>
    <w:rsid w:val="00D911AA"/>
    <w:rsid w:val="00D91986"/>
    <w:rsid w:val="00D93BFA"/>
    <w:rsid w:val="00DA248F"/>
    <w:rsid w:val="00DA2C4F"/>
    <w:rsid w:val="00DA2F4D"/>
    <w:rsid w:val="00DA6D68"/>
    <w:rsid w:val="00DB128D"/>
    <w:rsid w:val="00DB2119"/>
    <w:rsid w:val="00DC05BC"/>
    <w:rsid w:val="00DC153C"/>
    <w:rsid w:val="00DC2445"/>
    <w:rsid w:val="00DC6D96"/>
    <w:rsid w:val="00DD0B95"/>
    <w:rsid w:val="00DD3786"/>
    <w:rsid w:val="00DD3A24"/>
    <w:rsid w:val="00DE0CAA"/>
    <w:rsid w:val="00DE1438"/>
    <w:rsid w:val="00DE68DC"/>
    <w:rsid w:val="00DE6EE1"/>
    <w:rsid w:val="00DF3516"/>
    <w:rsid w:val="00DF3A9C"/>
    <w:rsid w:val="00DF755B"/>
    <w:rsid w:val="00E039CF"/>
    <w:rsid w:val="00E03C07"/>
    <w:rsid w:val="00E078F3"/>
    <w:rsid w:val="00E1040A"/>
    <w:rsid w:val="00E13A7D"/>
    <w:rsid w:val="00E14606"/>
    <w:rsid w:val="00E1582C"/>
    <w:rsid w:val="00E20E3C"/>
    <w:rsid w:val="00E217BE"/>
    <w:rsid w:val="00E221C1"/>
    <w:rsid w:val="00E24D29"/>
    <w:rsid w:val="00E251AA"/>
    <w:rsid w:val="00E2656F"/>
    <w:rsid w:val="00E2672C"/>
    <w:rsid w:val="00E279F2"/>
    <w:rsid w:val="00E31B48"/>
    <w:rsid w:val="00E32CDB"/>
    <w:rsid w:val="00E35EBA"/>
    <w:rsid w:val="00E36290"/>
    <w:rsid w:val="00E41D26"/>
    <w:rsid w:val="00E420B9"/>
    <w:rsid w:val="00E42B8C"/>
    <w:rsid w:val="00E43C93"/>
    <w:rsid w:val="00E47FC1"/>
    <w:rsid w:val="00E51211"/>
    <w:rsid w:val="00E5181F"/>
    <w:rsid w:val="00E52D98"/>
    <w:rsid w:val="00E5439A"/>
    <w:rsid w:val="00E57802"/>
    <w:rsid w:val="00E61997"/>
    <w:rsid w:val="00E665A2"/>
    <w:rsid w:val="00E672D8"/>
    <w:rsid w:val="00E728B9"/>
    <w:rsid w:val="00E73B8D"/>
    <w:rsid w:val="00E81C56"/>
    <w:rsid w:val="00E81E61"/>
    <w:rsid w:val="00E841C8"/>
    <w:rsid w:val="00E848B4"/>
    <w:rsid w:val="00E90036"/>
    <w:rsid w:val="00E91417"/>
    <w:rsid w:val="00E94329"/>
    <w:rsid w:val="00E95D02"/>
    <w:rsid w:val="00E97C6E"/>
    <w:rsid w:val="00EA0AC5"/>
    <w:rsid w:val="00EA2C15"/>
    <w:rsid w:val="00EA34DA"/>
    <w:rsid w:val="00EA464D"/>
    <w:rsid w:val="00EA4CC9"/>
    <w:rsid w:val="00EA4DDE"/>
    <w:rsid w:val="00EA7CBA"/>
    <w:rsid w:val="00EB1377"/>
    <w:rsid w:val="00EB43FF"/>
    <w:rsid w:val="00EB5251"/>
    <w:rsid w:val="00EB61A7"/>
    <w:rsid w:val="00EB624F"/>
    <w:rsid w:val="00EB63AA"/>
    <w:rsid w:val="00EC1B26"/>
    <w:rsid w:val="00EC1E33"/>
    <w:rsid w:val="00ED01E8"/>
    <w:rsid w:val="00ED37AB"/>
    <w:rsid w:val="00ED50D0"/>
    <w:rsid w:val="00EF0300"/>
    <w:rsid w:val="00EF1502"/>
    <w:rsid w:val="00EF1576"/>
    <w:rsid w:val="00EF3194"/>
    <w:rsid w:val="00EF625B"/>
    <w:rsid w:val="00F00FC0"/>
    <w:rsid w:val="00F02AC7"/>
    <w:rsid w:val="00F03E19"/>
    <w:rsid w:val="00F0434E"/>
    <w:rsid w:val="00F07022"/>
    <w:rsid w:val="00F1119E"/>
    <w:rsid w:val="00F112AB"/>
    <w:rsid w:val="00F1254D"/>
    <w:rsid w:val="00F1263D"/>
    <w:rsid w:val="00F215D7"/>
    <w:rsid w:val="00F21CE5"/>
    <w:rsid w:val="00F24A67"/>
    <w:rsid w:val="00F24BF2"/>
    <w:rsid w:val="00F24C07"/>
    <w:rsid w:val="00F30883"/>
    <w:rsid w:val="00F32E3B"/>
    <w:rsid w:val="00F33E30"/>
    <w:rsid w:val="00F34939"/>
    <w:rsid w:val="00F34A3C"/>
    <w:rsid w:val="00F35A34"/>
    <w:rsid w:val="00F35A6C"/>
    <w:rsid w:val="00F40882"/>
    <w:rsid w:val="00F43559"/>
    <w:rsid w:val="00F4592A"/>
    <w:rsid w:val="00F45E9E"/>
    <w:rsid w:val="00F46EFE"/>
    <w:rsid w:val="00F513B0"/>
    <w:rsid w:val="00F5204C"/>
    <w:rsid w:val="00F5206A"/>
    <w:rsid w:val="00F52C70"/>
    <w:rsid w:val="00F53122"/>
    <w:rsid w:val="00F56A6F"/>
    <w:rsid w:val="00F5789B"/>
    <w:rsid w:val="00F60262"/>
    <w:rsid w:val="00F606B9"/>
    <w:rsid w:val="00F6359E"/>
    <w:rsid w:val="00F66E60"/>
    <w:rsid w:val="00F725B0"/>
    <w:rsid w:val="00F73B58"/>
    <w:rsid w:val="00F75AAB"/>
    <w:rsid w:val="00F75C76"/>
    <w:rsid w:val="00F76B9B"/>
    <w:rsid w:val="00F80239"/>
    <w:rsid w:val="00F8148D"/>
    <w:rsid w:val="00F81D50"/>
    <w:rsid w:val="00F82788"/>
    <w:rsid w:val="00F83869"/>
    <w:rsid w:val="00F878A3"/>
    <w:rsid w:val="00F90AB8"/>
    <w:rsid w:val="00F90D48"/>
    <w:rsid w:val="00F95F43"/>
    <w:rsid w:val="00F96892"/>
    <w:rsid w:val="00F97A83"/>
    <w:rsid w:val="00FA13D5"/>
    <w:rsid w:val="00FA5F0D"/>
    <w:rsid w:val="00FB1129"/>
    <w:rsid w:val="00FB13C1"/>
    <w:rsid w:val="00FB3CA0"/>
    <w:rsid w:val="00FB6171"/>
    <w:rsid w:val="00FC3857"/>
    <w:rsid w:val="00FC45AC"/>
    <w:rsid w:val="00FC720B"/>
    <w:rsid w:val="00FD2596"/>
    <w:rsid w:val="00FD776D"/>
    <w:rsid w:val="00FE09B1"/>
    <w:rsid w:val="00FE0CA7"/>
    <w:rsid w:val="00FE0FB5"/>
    <w:rsid w:val="00FE29F9"/>
    <w:rsid w:val="00FE3FE9"/>
    <w:rsid w:val="00FE5094"/>
    <w:rsid w:val="00FE6A10"/>
    <w:rsid w:val="00FF076D"/>
    <w:rsid w:val="00FF3B8A"/>
    <w:rsid w:val="00FF41B8"/>
    <w:rsid w:val="00FF4AE9"/>
    <w:rsid w:val="00FF4D1C"/>
    <w:rsid w:val="00FF67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73607"/>
  <w15:chartTrackingRefBased/>
  <w15:docId w15:val="{99E1BD0C-96E9-477C-8CEC-3270A837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customStyle="1" w:styleId="JgtParagraphe">
    <w:name w:val="Jgt Paragraphe"/>
    <w:basedOn w:val="Normal"/>
    <w:qFormat/>
    <w:rsid w:val="00A00453"/>
    <w:pPr>
      <w:tabs>
        <w:tab w:val="num" w:pos="720"/>
      </w:tabs>
      <w:spacing w:before="120" w:after="120" w:line="500" w:lineRule="exact"/>
      <w:jc w:val="both"/>
    </w:pPr>
    <w:rPr>
      <w:kern w:val="28"/>
      <w:szCs w:val="24"/>
      <w:lang w:val="fr-FR" w:eastAsia="en-US"/>
    </w:rPr>
  </w:style>
  <w:style w:type="paragraph" w:customStyle="1" w:styleId="JgtCitation">
    <w:name w:val="Jgt Citation"/>
    <w:basedOn w:val="Normal"/>
    <w:qFormat/>
    <w:rsid w:val="00A00453"/>
    <w:pPr>
      <w:spacing w:before="120" w:after="120" w:line="240" w:lineRule="auto"/>
      <w:ind w:left="720" w:right="720"/>
      <w:jc w:val="both"/>
    </w:pPr>
    <w:rPr>
      <w:kern w:val="24"/>
      <w:sz w:val="22"/>
      <w:szCs w:val="24"/>
      <w:lang w:val="fr-FR" w:eastAsia="en-US"/>
    </w:rPr>
  </w:style>
  <w:style w:type="paragraph" w:customStyle="1" w:styleId="JgtQuestions">
    <w:name w:val="Jgt Questions"/>
    <w:basedOn w:val="Normal"/>
    <w:qFormat/>
    <w:rsid w:val="00A00453"/>
    <w:pPr>
      <w:spacing w:before="360"/>
      <w:ind w:left="709" w:right="573"/>
      <w:jc w:val="both"/>
      <w:outlineLvl w:val="1"/>
    </w:pPr>
    <w:rPr>
      <w:b/>
      <w:lang w:val="fr-FR" w:eastAsia="en-US"/>
    </w:rPr>
  </w:style>
  <w:style w:type="paragraph" w:styleId="Paragraphedeliste">
    <w:name w:val="List Paragraph"/>
    <w:basedOn w:val="Normal"/>
    <w:uiPriority w:val="34"/>
    <w:qFormat/>
    <w:rsid w:val="00A00453"/>
    <w:pPr>
      <w:spacing w:after="160" w:line="259"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752B64"/>
    <w:rPr>
      <w:sz w:val="16"/>
      <w:szCs w:val="16"/>
    </w:rPr>
  </w:style>
  <w:style w:type="paragraph" w:styleId="Commentaire">
    <w:name w:val="annotation text"/>
    <w:basedOn w:val="Normal"/>
    <w:link w:val="CommentaireCar"/>
    <w:uiPriority w:val="99"/>
    <w:unhideWhenUsed/>
    <w:rsid w:val="00752B64"/>
    <w:pPr>
      <w:spacing w:line="240" w:lineRule="auto"/>
    </w:pPr>
    <w:rPr>
      <w:sz w:val="20"/>
    </w:rPr>
  </w:style>
  <w:style w:type="character" w:customStyle="1" w:styleId="CommentaireCar">
    <w:name w:val="Commentaire Car"/>
    <w:basedOn w:val="Policepardfaut"/>
    <w:link w:val="Commentaire"/>
    <w:uiPriority w:val="99"/>
    <w:rsid w:val="00752B64"/>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52B64"/>
    <w:rPr>
      <w:b/>
      <w:bCs/>
    </w:rPr>
  </w:style>
  <w:style w:type="character" w:customStyle="1" w:styleId="ObjetducommentaireCar">
    <w:name w:val="Objet du commentaire Car"/>
    <w:basedOn w:val="CommentaireCar"/>
    <w:link w:val="Objetducommentaire"/>
    <w:uiPriority w:val="99"/>
    <w:semiHidden/>
    <w:rsid w:val="00752B64"/>
    <w:rPr>
      <w:rFonts w:ascii="Arial" w:hAnsi="Arial"/>
      <w:b/>
      <w:bCs/>
      <w:lang w:eastAsia="fr-FR"/>
    </w:rPr>
  </w:style>
  <w:style w:type="character" w:styleId="Hyperlien">
    <w:name w:val="Hyperlink"/>
    <w:basedOn w:val="Policepardfaut"/>
    <w:uiPriority w:val="99"/>
    <w:unhideWhenUsed/>
    <w:rsid w:val="00DE0CAA"/>
    <w:rPr>
      <w:color w:val="0563C1" w:themeColor="hyperlink"/>
      <w:u w:val="single"/>
    </w:rPr>
  </w:style>
  <w:style w:type="character" w:styleId="Mentionnonrsolue">
    <w:name w:val="Unresolved Mention"/>
    <w:basedOn w:val="Policepardfaut"/>
    <w:uiPriority w:val="99"/>
    <w:semiHidden/>
    <w:unhideWhenUsed/>
    <w:rsid w:val="00DE0CAA"/>
    <w:rPr>
      <w:color w:val="605E5C"/>
      <w:shd w:val="clear" w:color="auto" w:fill="E1DFDD"/>
    </w:rPr>
  </w:style>
  <w:style w:type="paragraph" w:styleId="Rvision">
    <w:name w:val="Revision"/>
    <w:hidden/>
    <w:uiPriority w:val="99"/>
    <w:semiHidden/>
    <w:rsid w:val="00251249"/>
    <w:rPr>
      <w:rFonts w:ascii="Arial" w:hAnsi="Arial"/>
      <w:sz w:val="24"/>
      <w:lang w:eastAsia="fr-FR"/>
    </w:rPr>
  </w:style>
  <w:style w:type="character" w:styleId="Lienvisit">
    <w:name w:val="FollowedHyperlink"/>
    <w:basedOn w:val="Policepardfaut"/>
    <w:uiPriority w:val="99"/>
    <w:semiHidden/>
    <w:unhideWhenUsed/>
    <w:rsid w:val="00937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979C-9BCD-4126-A767-46975219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5451</Words>
  <Characters>29984</Characters>
  <Application>Microsoft Office Word</Application>
  <DocSecurity>0</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de jugement pour la cour d'appel</vt:lpstr>
      <vt:lpstr>Gabarit de jugement pour la cour d'appel</vt:lpstr>
    </vt:vector>
  </TitlesOfParts>
  <Manager>Patrice Tardif</Manager>
  <Company>MJQ</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Annie Morin</dc:creator>
  <cp:keywords/>
  <dc:description/>
  <cp:lastModifiedBy>Gauthier, François</cp:lastModifiedBy>
  <cp:revision>3</cp:revision>
  <cp:lastPrinted>2022-07-08T13:47:00Z</cp:lastPrinted>
  <dcterms:created xsi:type="dcterms:W3CDTF">2023-08-02T14:17:00Z</dcterms:created>
  <dcterms:modified xsi:type="dcterms:W3CDTF">2023-08-02T14:49:00Z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