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FE0F" w14:textId="77777777" w:rsidR="00ED1C5D" w:rsidRDefault="00ED1C5D"/>
    <w:tbl>
      <w:tblPr>
        <w:tblW w:w="9568" w:type="dxa"/>
        <w:tblLayout w:type="fixed"/>
        <w:tblCellMar>
          <w:left w:w="70" w:type="dxa"/>
          <w:right w:w="70" w:type="dxa"/>
        </w:tblCellMar>
        <w:tblLook w:val="0000" w:firstRow="0" w:lastRow="0" w:firstColumn="0" w:lastColumn="0" w:noHBand="0" w:noVBand="0"/>
      </w:tblPr>
      <w:tblGrid>
        <w:gridCol w:w="1913"/>
        <w:gridCol w:w="2739"/>
        <w:gridCol w:w="168"/>
        <w:gridCol w:w="4678"/>
        <w:gridCol w:w="70"/>
      </w:tblGrid>
      <w:tr w:rsidR="00B4030F" w14:paraId="562A4B96" w14:textId="77777777" w:rsidTr="000D2862">
        <w:trPr>
          <w:gridAfter w:val="1"/>
          <w:wAfter w:w="70" w:type="dxa"/>
          <w:trHeight w:val="360"/>
        </w:trPr>
        <w:tc>
          <w:tcPr>
            <w:tcW w:w="4652" w:type="dxa"/>
            <w:gridSpan w:val="2"/>
          </w:tcPr>
          <w:p w14:paraId="4D8A6668" w14:textId="77777777" w:rsidR="00B4030F" w:rsidRPr="00457429" w:rsidRDefault="004A2558" w:rsidP="004A2558">
            <w:pPr>
              <w:pStyle w:val="zsoquijdatrepertorie0"/>
              <w:spacing w:before="0" w:after="0"/>
              <w:rPr>
                <w:rFonts w:cs="Arial"/>
                <w:b/>
                <w:bCs/>
                <w:color w:val="000000"/>
              </w:rPr>
            </w:pPr>
            <w:r w:rsidRPr="00457429">
              <w:rPr>
                <w:rFonts w:ascii="Arial" w:hAnsi="Arial" w:cs="Arial"/>
                <w:i/>
                <w:iCs/>
                <w:color w:val="000000"/>
              </w:rPr>
              <w:t>Unofficial English translation</w:t>
            </w:r>
          </w:p>
        </w:tc>
        <w:tc>
          <w:tcPr>
            <w:tcW w:w="4846" w:type="dxa"/>
            <w:gridSpan w:val="2"/>
          </w:tcPr>
          <w:p w14:paraId="51877F45" w14:textId="77777777" w:rsidR="00B4030F" w:rsidRDefault="00B4030F">
            <w:pPr>
              <w:pStyle w:val="zSoquijdatRefNeutre"/>
            </w:pPr>
          </w:p>
        </w:tc>
      </w:tr>
      <w:tr w:rsidR="00B4030F" w14:paraId="4383002C" w14:textId="77777777" w:rsidTr="000D2862">
        <w:trPr>
          <w:gridAfter w:val="1"/>
          <w:wAfter w:w="70" w:type="dxa"/>
          <w:trHeight w:val="900"/>
        </w:trPr>
        <w:tc>
          <w:tcPr>
            <w:tcW w:w="9498" w:type="dxa"/>
            <w:gridSpan w:val="4"/>
            <w:vAlign w:val="bottom"/>
          </w:tcPr>
          <w:tbl>
            <w:tblPr>
              <w:tblW w:w="9423" w:type="dxa"/>
              <w:tblLayout w:type="fixed"/>
              <w:tblCellMar>
                <w:left w:w="70" w:type="dxa"/>
                <w:right w:w="70" w:type="dxa"/>
              </w:tblCellMar>
              <w:tblLook w:val="0000" w:firstRow="0" w:lastRow="0" w:firstColumn="0" w:lastColumn="0" w:noHBand="0" w:noVBand="0"/>
            </w:tblPr>
            <w:tblGrid>
              <w:gridCol w:w="4686"/>
              <w:gridCol w:w="4737"/>
            </w:tblGrid>
            <w:tr w:rsidR="00324E76" w:rsidRPr="009552BD" w14:paraId="30AF58A0" w14:textId="77777777" w:rsidTr="003A1D22">
              <w:trPr>
                <w:trHeight w:val="360"/>
              </w:trPr>
              <w:tc>
                <w:tcPr>
                  <w:tcW w:w="4686" w:type="dxa"/>
                </w:tcPr>
                <w:p w14:paraId="2FA2AB4F" w14:textId="77777777" w:rsidR="00324E76" w:rsidRPr="005C3073" w:rsidRDefault="00324E76" w:rsidP="00324E76">
                  <w:pPr>
                    <w:pStyle w:val="zSoquijdatRepertorie"/>
                    <w:rPr>
                      <w:rFonts w:cs="Arial"/>
                    </w:rPr>
                  </w:pPr>
                  <w:r>
                    <w:rPr>
                      <w:rFonts w:cs="Arial"/>
                    </w:rPr>
                    <w:t>Autorité des marchés financiers c. Larivière</w:t>
                  </w:r>
                </w:p>
              </w:tc>
              <w:tc>
                <w:tcPr>
                  <w:tcW w:w="4737" w:type="dxa"/>
                </w:tcPr>
                <w:p w14:paraId="0E92CC2B" w14:textId="77777777" w:rsidR="00324E76" w:rsidRPr="009552BD" w:rsidRDefault="00324E76" w:rsidP="003A1D22">
                  <w:pPr>
                    <w:pStyle w:val="zSoquijdatRefNeutre"/>
                    <w:jc w:val="right"/>
                    <w:rPr>
                      <w:rFonts w:cs="Arial"/>
                    </w:rPr>
                  </w:pPr>
                  <w:r w:rsidRPr="00C04195">
                    <w:rPr>
                      <w:rFonts w:cs="Arial"/>
                    </w:rPr>
                    <w:t>2023 QCTMF 47</w:t>
                  </w:r>
                </w:p>
              </w:tc>
            </w:tr>
          </w:tbl>
          <w:p w14:paraId="51E7C525" w14:textId="77777777" w:rsidR="00B4030F" w:rsidRDefault="00D15968" w:rsidP="00D15968">
            <w:pPr>
              <w:pStyle w:val="zSoquijlblCour"/>
            </w:pPr>
            <w:r>
              <w:rPr>
                <w:bCs/>
                <w:lang w:val="en-CA"/>
              </w:rPr>
              <w:t>FINANCIAL MARKETS</w:t>
            </w:r>
            <w:r>
              <w:rPr>
                <w:b w:val="0"/>
                <w:lang w:val="en-CA"/>
              </w:rPr>
              <w:br/>
            </w:r>
            <w:r>
              <w:rPr>
                <w:bCs/>
                <w:lang w:val="en-CA"/>
              </w:rPr>
              <w:t>ADMINISTRATIVE TRIBUNAL</w:t>
            </w:r>
          </w:p>
        </w:tc>
      </w:tr>
      <w:tr w:rsidR="00B4030F" w14:paraId="0B81ACFA" w14:textId="77777777" w:rsidTr="000D2862">
        <w:trPr>
          <w:gridAfter w:val="1"/>
          <w:wAfter w:w="70" w:type="dxa"/>
          <w:trHeight w:val="540"/>
        </w:trPr>
        <w:tc>
          <w:tcPr>
            <w:tcW w:w="9498" w:type="dxa"/>
            <w:gridSpan w:val="4"/>
          </w:tcPr>
          <w:p w14:paraId="13AA68C3" w14:textId="77777777" w:rsidR="00B4030F" w:rsidRDefault="00B4030F">
            <w:pPr>
              <w:pStyle w:val="zSoquijdatDivision"/>
            </w:pPr>
          </w:p>
        </w:tc>
      </w:tr>
      <w:tr w:rsidR="00B4030F" w14:paraId="07456431" w14:textId="77777777" w:rsidTr="000D2862">
        <w:trPr>
          <w:gridAfter w:val="1"/>
          <w:wAfter w:w="70" w:type="dxa"/>
        </w:trPr>
        <w:tc>
          <w:tcPr>
            <w:tcW w:w="9498" w:type="dxa"/>
            <w:gridSpan w:val="4"/>
          </w:tcPr>
          <w:p w14:paraId="08D5A5C6" w14:textId="77777777" w:rsidR="00B4030F" w:rsidRDefault="00B4030F">
            <w:pPr>
              <w:pStyle w:val="zSoquijlblPays"/>
            </w:pPr>
            <w:r>
              <w:rPr>
                <w:lang w:val="en-CA"/>
              </w:rPr>
              <w:t>CANADA</w:t>
            </w:r>
          </w:p>
        </w:tc>
      </w:tr>
      <w:tr w:rsidR="00B4030F" w14:paraId="75D2A9AA" w14:textId="77777777" w:rsidTr="000D2862">
        <w:trPr>
          <w:gridAfter w:val="1"/>
          <w:wAfter w:w="70" w:type="dxa"/>
        </w:trPr>
        <w:tc>
          <w:tcPr>
            <w:tcW w:w="9498" w:type="dxa"/>
            <w:gridSpan w:val="4"/>
          </w:tcPr>
          <w:p w14:paraId="0C215551" w14:textId="77777777" w:rsidR="00B4030F" w:rsidRDefault="00B4030F">
            <w:pPr>
              <w:pStyle w:val="zSoquijlblProvince"/>
            </w:pPr>
            <w:r>
              <w:rPr>
                <w:lang w:val="en-CA"/>
              </w:rPr>
              <w:t>PROVINCE OF QUÉBEC</w:t>
            </w:r>
          </w:p>
        </w:tc>
      </w:tr>
      <w:tr w:rsidR="00EB39E3" w14:paraId="4A22E505" w14:textId="77777777" w:rsidTr="000D2862">
        <w:trPr>
          <w:gridAfter w:val="1"/>
          <w:wAfter w:w="70" w:type="dxa"/>
        </w:trPr>
        <w:tc>
          <w:tcPr>
            <w:tcW w:w="9498" w:type="dxa"/>
            <w:gridSpan w:val="4"/>
          </w:tcPr>
          <w:p w14:paraId="2DC3C32A" w14:textId="77777777" w:rsidR="00EB39E3" w:rsidRDefault="00EB39E3" w:rsidP="00EB39E3">
            <w:pPr>
              <w:pStyle w:val="zSoquijdatGreffe"/>
            </w:pPr>
            <w:r>
              <w:rPr>
                <w:lang w:val="en-CA"/>
              </w:rPr>
              <w:t>MONTRÉAL</w:t>
            </w:r>
          </w:p>
        </w:tc>
      </w:tr>
      <w:tr w:rsidR="00B4030F" w14:paraId="465A8B2E" w14:textId="77777777" w:rsidTr="000D2862">
        <w:trPr>
          <w:gridAfter w:val="1"/>
          <w:wAfter w:w="70" w:type="dxa"/>
          <w:trHeight w:val="540"/>
        </w:trPr>
        <w:tc>
          <w:tcPr>
            <w:tcW w:w="9498" w:type="dxa"/>
            <w:gridSpan w:val="4"/>
          </w:tcPr>
          <w:p w14:paraId="37B8C496" w14:textId="77777777" w:rsidR="00B4030F" w:rsidRDefault="00B4030F">
            <w:pPr>
              <w:pStyle w:val="zSoquijlblNomChambre"/>
            </w:pPr>
          </w:p>
        </w:tc>
      </w:tr>
      <w:tr w:rsidR="00B4030F" w14:paraId="47D734F7" w14:textId="77777777" w:rsidTr="000D2862">
        <w:trPr>
          <w:gridAfter w:val="1"/>
          <w:wAfter w:w="70" w:type="dxa"/>
        </w:trPr>
        <w:tc>
          <w:tcPr>
            <w:tcW w:w="1913" w:type="dxa"/>
          </w:tcPr>
          <w:p w14:paraId="1A9A31A4" w14:textId="77777777" w:rsidR="00B4030F" w:rsidRDefault="00EB39E3" w:rsidP="00E659ED">
            <w:pPr>
              <w:pStyle w:val="zSoquijlblNoDossier"/>
            </w:pPr>
            <w:r>
              <w:rPr>
                <w:lang w:val="en-CA"/>
              </w:rPr>
              <w:t>FILE NO.:</w:t>
            </w:r>
          </w:p>
        </w:tc>
        <w:tc>
          <w:tcPr>
            <w:tcW w:w="7585" w:type="dxa"/>
            <w:gridSpan w:val="3"/>
          </w:tcPr>
          <w:p w14:paraId="286F1076" w14:textId="77777777" w:rsidR="00B4030F" w:rsidRDefault="000B73DE" w:rsidP="00E54E09">
            <w:pPr>
              <w:pStyle w:val="zSoquijdatNoDossier"/>
            </w:pPr>
            <w:r>
              <w:rPr>
                <w:lang w:val="en-CA"/>
              </w:rPr>
              <w:t>2022-021</w:t>
            </w:r>
          </w:p>
        </w:tc>
      </w:tr>
      <w:tr w:rsidR="00EB39E3" w14:paraId="793E8623" w14:textId="77777777" w:rsidTr="000D2862">
        <w:trPr>
          <w:gridAfter w:val="1"/>
          <w:wAfter w:w="70" w:type="dxa"/>
        </w:trPr>
        <w:tc>
          <w:tcPr>
            <w:tcW w:w="9498" w:type="dxa"/>
            <w:gridSpan w:val="4"/>
          </w:tcPr>
          <w:p w14:paraId="2617C71E" w14:textId="77777777" w:rsidR="00EB39E3" w:rsidRDefault="00EB39E3" w:rsidP="00EB39E3"/>
        </w:tc>
      </w:tr>
      <w:tr w:rsidR="00EB39E3" w14:paraId="5E5C3625" w14:textId="77777777" w:rsidTr="000D2862">
        <w:trPr>
          <w:gridAfter w:val="1"/>
          <w:wAfter w:w="70" w:type="dxa"/>
        </w:trPr>
        <w:tc>
          <w:tcPr>
            <w:tcW w:w="1913" w:type="dxa"/>
          </w:tcPr>
          <w:p w14:paraId="6EACEE6A" w14:textId="77777777" w:rsidR="00EB39E3" w:rsidRDefault="00EB39E3" w:rsidP="00E659ED">
            <w:pPr>
              <w:pStyle w:val="zSoquijlblNoDossier"/>
            </w:pPr>
            <w:r>
              <w:rPr>
                <w:lang w:val="en-CA"/>
              </w:rPr>
              <w:t>DECISION NO.:</w:t>
            </w:r>
          </w:p>
        </w:tc>
        <w:tc>
          <w:tcPr>
            <w:tcW w:w="7585" w:type="dxa"/>
            <w:gridSpan w:val="3"/>
          </w:tcPr>
          <w:p w14:paraId="7B434287" w14:textId="77777777" w:rsidR="00EB39E3" w:rsidRDefault="000B73DE" w:rsidP="00E54E09">
            <w:pPr>
              <w:pStyle w:val="zSoquijdatNoDossier"/>
            </w:pPr>
            <w:r>
              <w:rPr>
                <w:lang w:val="en-CA"/>
              </w:rPr>
              <w:t>2022-021-002</w:t>
            </w:r>
          </w:p>
        </w:tc>
      </w:tr>
      <w:tr w:rsidR="00B4030F" w14:paraId="1FDAB4E6" w14:textId="77777777" w:rsidTr="000D2862">
        <w:trPr>
          <w:gridAfter w:val="1"/>
          <w:wAfter w:w="70" w:type="dxa"/>
          <w:cantSplit/>
          <w:trHeight w:val="235"/>
        </w:trPr>
        <w:tc>
          <w:tcPr>
            <w:tcW w:w="9498" w:type="dxa"/>
            <w:gridSpan w:val="4"/>
          </w:tcPr>
          <w:p w14:paraId="12960216" w14:textId="77777777" w:rsidR="00B4030F" w:rsidRDefault="00B4030F"/>
        </w:tc>
      </w:tr>
      <w:tr w:rsidR="00B4030F" w14:paraId="0B117E94" w14:textId="77777777" w:rsidTr="000D2862">
        <w:trPr>
          <w:gridAfter w:val="1"/>
          <w:wAfter w:w="70" w:type="dxa"/>
        </w:trPr>
        <w:tc>
          <w:tcPr>
            <w:tcW w:w="1913" w:type="dxa"/>
          </w:tcPr>
          <w:p w14:paraId="245AAA28" w14:textId="77777777" w:rsidR="00B4030F" w:rsidRDefault="00B4030F">
            <w:pPr>
              <w:pStyle w:val="zSoquijlblDateJugement"/>
            </w:pPr>
            <w:r>
              <w:rPr>
                <w:lang w:val="en-CA"/>
              </w:rPr>
              <w:t>DATE:</w:t>
            </w:r>
          </w:p>
        </w:tc>
        <w:tc>
          <w:tcPr>
            <w:tcW w:w="7585" w:type="dxa"/>
            <w:gridSpan w:val="3"/>
          </w:tcPr>
          <w:p w14:paraId="453E88C3" w14:textId="77777777" w:rsidR="005D73DC" w:rsidRDefault="00C83F9B" w:rsidP="0010326D">
            <w:pPr>
              <w:pStyle w:val="zSoquijdatDateJugement"/>
            </w:pPr>
            <w:r>
              <w:rPr>
                <w:lang w:val="en-CA"/>
              </w:rPr>
              <w:t>July 21, 2023</w:t>
            </w:r>
          </w:p>
        </w:tc>
      </w:tr>
      <w:tr w:rsidR="00B4030F" w14:paraId="423FD7CE" w14:textId="77777777" w:rsidTr="000D2862">
        <w:trPr>
          <w:gridAfter w:val="1"/>
          <w:wAfter w:w="70" w:type="dxa"/>
        </w:trPr>
        <w:tc>
          <w:tcPr>
            <w:tcW w:w="9498" w:type="dxa"/>
            <w:gridSpan w:val="4"/>
          </w:tcPr>
          <w:p w14:paraId="3931B029" w14:textId="77777777" w:rsidR="00B4030F" w:rsidRDefault="00B4030F">
            <w:pPr>
              <w:ind w:left="14" w:right="-67"/>
            </w:pPr>
            <w:r>
              <w:rPr>
                <w:lang w:val="en-CA"/>
              </w:rPr>
              <w:t>______________________________________________________________________</w:t>
            </w:r>
          </w:p>
        </w:tc>
      </w:tr>
      <w:tr w:rsidR="00B4030F" w14:paraId="076137F2" w14:textId="77777777" w:rsidTr="000D2862">
        <w:trPr>
          <w:gridAfter w:val="1"/>
          <w:wAfter w:w="70" w:type="dxa"/>
        </w:trPr>
        <w:tc>
          <w:tcPr>
            <w:tcW w:w="9498" w:type="dxa"/>
            <w:gridSpan w:val="4"/>
          </w:tcPr>
          <w:p w14:paraId="2646DB8B" w14:textId="77777777" w:rsidR="00B4030F" w:rsidRDefault="00B4030F"/>
        </w:tc>
      </w:tr>
      <w:tr w:rsidR="00D201EF" w14:paraId="451E145C" w14:textId="77777777" w:rsidTr="00FF6A2F">
        <w:tblPrEx>
          <w:tblCellMar>
            <w:left w:w="0" w:type="dxa"/>
            <w:right w:w="0" w:type="dxa"/>
          </w:tblCellMar>
        </w:tblPrEx>
        <w:tc>
          <w:tcPr>
            <w:tcW w:w="4820" w:type="dxa"/>
            <w:gridSpan w:val="3"/>
          </w:tcPr>
          <w:p w14:paraId="37ABE73A" w14:textId="77777777" w:rsidR="00D201EF" w:rsidRPr="00FF6A2F" w:rsidRDefault="00B3289A">
            <w:pPr>
              <w:pStyle w:val="zSoquijdatQteJuge"/>
            </w:pPr>
            <w:r>
              <w:rPr>
                <w:bCs/>
                <w:lang w:val="en-CA"/>
              </w:rPr>
              <w:t xml:space="preserve"> </w:t>
            </w:r>
            <w:r w:rsidR="00FF6A2F" w:rsidRPr="00FF6A2F">
              <w:rPr>
                <w:rFonts w:cs="Arial"/>
                <w:color w:val="000000"/>
              </w:rPr>
              <w:t>BEFORE THE ADMINISTRATIVE JUDGE</w:t>
            </w:r>
            <w:r w:rsidRPr="00FF6A2F">
              <w:rPr>
                <w:lang w:val="en-CA"/>
              </w:rPr>
              <w:t>:</w:t>
            </w:r>
          </w:p>
        </w:tc>
        <w:tc>
          <w:tcPr>
            <w:tcW w:w="4748" w:type="dxa"/>
            <w:gridSpan w:val="2"/>
          </w:tcPr>
          <w:tbl>
            <w:tblPr>
              <w:tblW w:w="9568" w:type="dxa"/>
              <w:tblLayout w:type="fixed"/>
              <w:tblCellMar>
                <w:left w:w="0" w:type="dxa"/>
                <w:right w:w="0" w:type="dxa"/>
              </w:tblCellMar>
              <w:tblLook w:val="0000" w:firstRow="0" w:lastRow="0" w:firstColumn="0" w:lastColumn="0" w:noHBand="0" w:noVBand="0"/>
            </w:tblPr>
            <w:tblGrid>
              <w:gridCol w:w="9568"/>
            </w:tblGrid>
            <w:tr w:rsidR="005D73DC" w14:paraId="1B6A0FAF" w14:textId="77777777" w:rsidTr="005D73DC">
              <w:tc>
                <w:tcPr>
                  <w:tcW w:w="9568" w:type="dxa"/>
                </w:tcPr>
                <w:p w14:paraId="58D26B45" w14:textId="77777777" w:rsidR="005D73DC" w:rsidRDefault="005D73DC" w:rsidP="000E77E3">
                  <w:pPr>
                    <w:pStyle w:val="zSoquijdatJuge"/>
                    <w:ind w:left="0"/>
                  </w:pPr>
                  <w:r>
                    <w:rPr>
                      <w:bCs/>
                      <w:lang w:val="en-CA"/>
                    </w:rPr>
                    <w:t>NICOLE MARTINEAU</w:t>
                  </w:r>
                </w:p>
              </w:tc>
            </w:tr>
          </w:tbl>
          <w:p w14:paraId="4EE86957" w14:textId="77777777" w:rsidR="00D201EF" w:rsidRDefault="00D201EF" w:rsidP="00101EB0">
            <w:pPr>
              <w:pStyle w:val="zSoquijdatJuge"/>
            </w:pPr>
          </w:p>
        </w:tc>
      </w:tr>
      <w:tr w:rsidR="00B4030F" w14:paraId="4B6F1CFF" w14:textId="77777777" w:rsidTr="000D2862">
        <w:trPr>
          <w:gridAfter w:val="1"/>
          <w:wAfter w:w="70" w:type="dxa"/>
        </w:trPr>
        <w:tc>
          <w:tcPr>
            <w:tcW w:w="9498" w:type="dxa"/>
            <w:gridSpan w:val="4"/>
          </w:tcPr>
          <w:p w14:paraId="2DFFDA86" w14:textId="77777777" w:rsidR="00B4030F" w:rsidRDefault="00B4030F">
            <w:pPr>
              <w:ind w:left="14" w:right="-67"/>
            </w:pPr>
            <w:r>
              <w:rPr>
                <w:lang w:val="en-CA"/>
              </w:rPr>
              <w:t>______________________________________________________________________</w:t>
            </w:r>
          </w:p>
        </w:tc>
      </w:tr>
      <w:tr w:rsidR="00B4030F" w14:paraId="3864D570" w14:textId="77777777" w:rsidTr="000D2862">
        <w:trPr>
          <w:gridAfter w:val="1"/>
          <w:wAfter w:w="70" w:type="dxa"/>
        </w:trPr>
        <w:tc>
          <w:tcPr>
            <w:tcW w:w="9498" w:type="dxa"/>
            <w:gridSpan w:val="4"/>
          </w:tcPr>
          <w:p w14:paraId="00B84612" w14:textId="77777777" w:rsidR="00B4030F" w:rsidRDefault="00B4030F">
            <w:pPr>
              <w:pStyle w:val="zSoquijlblTitrePartie"/>
            </w:pPr>
          </w:p>
        </w:tc>
      </w:tr>
      <w:tr w:rsidR="00B4030F" w14:paraId="62A26240" w14:textId="77777777" w:rsidTr="000D2862">
        <w:trPr>
          <w:gridAfter w:val="1"/>
          <w:wAfter w:w="70" w:type="dxa"/>
        </w:trPr>
        <w:tc>
          <w:tcPr>
            <w:tcW w:w="9498" w:type="dxa"/>
            <w:gridSpan w:val="4"/>
          </w:tcPr>
          <w:tbl>
            <w:tblPr>
              <w:tblW w:w="9428" w:type="dxa"/>
              <w:tblLayout w:type="fixed"/>
              <w:tblCellMar>
                <w:left w:w="70" w:type="dxa"/>
                <w:right w:w="70" w:type="dxa"/>
              </w:tblCellMar>
              <w:tblLook w:val="0000" w:firstRow="0" w:lastRow="0" w:firstColumn="0" w:lastColumn="0" w:noHBand="0" w:noVBand="0"/>
            </w:tblPr>
            <w:tblGrid>
              <w:gridCol w:w="9428"/>
            </w:tblGrid>
            <w:tr w:rsidR="00EC36FB" w14:paraId="7FBBDF66" w14:textId="77777777" w:rsidTr="00AE6955">
              <w:tc>
                <w:tcPr>
                  <w:tcW w:w="9428" w:type="dxa"/>
                </w:tcPr>
                <w:p w14:paraId="0F5D0CAC" w14:textId="77777777" w:rsidR="00EC36FB" w:rsidRDefault="00E91671" w:rsidP="00EC36FB">
                  <w:pPr>
                    <w:pStyle w:val="zSoquijdatNomPartieDem"/>
                  </w:pPr>
                  <w:r>
                    <w:rPr>
                      <w:lang w:val="en-CA"/>
                    </w:rPr>
                    <w:t xml:space="preserve">AUTORITÉ DES MARCHÉS FINANCIERS </w:t>
                  </w:r>
                </w:p>
              </w:tc>
            </w:tr>
            <w:tr w:rsidR="00EC36FB" w14:paraId="04784740" w14:textId="77777777" w:rsidTr="00AE6955">
              <w:tc>
                <w:tcPr>
                  <w:tcW w:w="9428" w:type="dxa"/>
                </w:tcPr>
                <w:p w14:paraId="65763FBE" w14:textId="77777777" w:rsidR="00EC36FB" w:rsidRDefault="00EC36FB" w:rsidP="00EC36FB">
                  <w:pPr>
                    <w:pStyle w:val="zSoquijdatQtePartieDem"/>
                    <w:ind w:left="709"/>
                  </w:pPr>
                  <w:r>
                    <w:rPr>
                      <w:lang w:val="en-CA"/>
                    </w:rPr>
                    <w:t>Applicant</w:t>
                  </w:r>
                </w:p>
              </w:tc>
            </w:tr>
            <w:tr w:rsidR="00EC36FB" w14:paraId="08ADF708" w14:textId="77777777" w:rsidTr="00AE6955">
              <w:tc>
                <w:tcPr>
                  <w:tcW w:w="9428" w:type="dxa"/>
                </w:tcPr>
                <w:p w14:paraId="155212F5" w14:textId="77777777" w:rsidR="00EC36FB" w:rsidRDefault="00EC36FB" w:rsidP="00EC36FB">
                  <w:pPr>
                    <w:pStyle w:val="zSoquijlblLienParties"/>
                  </w:pPr>
                  <w:r>
                    <w:rPr>
                      <w:lang w:val="en-CA"/>
                    </w:rPr>
                    <w:t>v.</w:t>
                  </w:r>
                </w:p>
              </w:tc>
            </w:tr>
            <w:tr w:rsidR="00EC36FB" w14:paraId="080760BC" w14:textId="77777777" w:rsidTr="00AE6955">
              <w:tc>
                <w:tcPr>
                  <w:tcW w:w="9428" w:type="dxa"/>
                </w:tcPr>
                <w:p w14:paraId="14EA9FF6" w14:textId="77777777" w:rsidR="00EC36FB" w:rsidRDefault="00EC36FB" w:rsidP="00EC36FB">
                  <w:r>
                    <w:rPr>
                      <w:rFonts w:eastAsia="Calibri" w:cs="Arial"/>
                      <w:b/>
                      <w:bCs/>
                      <w:lang w:val="en-CA"/>
                    </w:rPr>
                    <w:t>VANESSA LARIVIÈRE</w:t>
                  </w:r>
                </w:p>
              </w:tc>
            </w:tr>
            <w:tr w:rsidR="00EC36FB" w14:paraId="69F2FEA9" w14:textId="77777777" w:rsidTr="00AE6955">
              <w:tc>
                <w:tcPr>
                  <w:tcW w:w="9428" w:type="dxa"/>
                </w:tcPr>
                <w:p w14:paraId="1E16C0E6" w14:textId="77777777" w:rsidR="00EC36FB" w:rsidRPr="0094377D" w:rsidRDefault="00EC36FB" w:rsidP="00EC36FB">
                  <w:pPr>
                    <w:rPr>
                      <w:rFonts w:eastAsia="Calibri" w:cs="Arial"/>
                    </w:rPr>
                  </w:pPr>
                  <w:r>
                    <w:rPr>
                      <w:rFonts w:eastAsia="Calibri" w:cs="Arial"/>
                      <w:lang w:val="en-CA"/>
                    </w:rPr>
                    <w:t>and</w:t>
                  </w:r>
                </w:p>
              </w:tc>
            </w:tr>
            <w:tr w:rsidR="00EC36FB" w:rsidRPr="00124FBB" w14:paraId="49D2D2E8" w14:textId="77777777" w:rsidTr="00AE6955">
              <w:tc>
                <w:tcPr>
                  <w:tcW w:w="9428" w:type="dxa"/>
                </w:tcPr>
                <w:p w14:paraId="2A2081B2" w14:textId="77777777" w:rsidR="00EC36FB" w:rsidRPr="00A37502" w:rsidRDefault="00EC36FB" w:rsidP="00EC36FB">
                  <w:pPr>
                    <w:jc w:val="both"/>
                    <w:rPr>
                      <w:rFonts w:cs="Arial"/>
                      <w:lang w:val="en-US"/>
                    </w:rPr>
                  </w:pPr>
                  <w:r>
                    <w:rPr>
                      <w:rFonts w:cs="Arial"/>
                      <w:b/>
                      <w:bCs/>
                      <w:lang w:val="en-CA"/>
                    </w:rPr>
                    <w:t>EVA ROSE BEAUTÉ INC.</w:t>
                  </w:r>
                  <w:r>
                    <w:rPr>
                      <w:rFonts w:cs="Arial"/>
                      <w:lang w:val="en-CA"/>
                    </w:rPr>
                    <w:t xml:space="preserve"> </w:t>
                  </w:r>
                </w:p>
                <w:p w14:paraId="3C1C5D82" w14:textId="77777777" w:rsidR="00EC36FB" w:rsidRPr="00A37502" w:rsidRDefault="00EC36FB" w:rsidP="00EC36FB">
                  <w:pPr>
                    <w:jc w:val="both"/>
                    <w:rPr>
                      <w:rFonts w:cs="Arial"/>
                      <w:lang w:val="en-US"/>
                    </w:rPr>
                  </w:pPr>
                  <w:r>
                    <w:rPr>
                      <w:rFonts w:cs="Arial"/>
                      <w:lang w:val="en-CA"/>
                    </w:rPr>
                    <w:t>and</w:t>
                  </w:r>
                </w:p>
                <w:p w14:paraId="273C27E2" w14:textId="77777777" w:rsidR="00EC36FB" w:rsidRPr="00A37502" w:rsidRDefault="00EC36FB" w:rsidP="00EC36FB">
                  <w:pPr>
                    <w:ind w:right="212"/>
                    <w:jc w:val="both"/>
                    <w:rPr>
                      <w:rFonts w:cs="Arial"/>
                      <w:lang w:val="en-US"/>
                    </w:rPr>
                  </w:pPr>
                  <w:r>
                    <w:rPr>
                      <w:rFonts w:eastAsia="Calibri" w:cs="Arial"/>
                      <w:b/>
                      <w:bCs/>
                      <w:lang w:val="en-CA"/>
                    </w:rPr>
                    <w:t>EVA ROSE CAPITAL INC.</w:t>
                  </w:r>
                </w:p>
              </w:tc>
            </w:tr>
            <w:tr w:rsidR="00EC36FB" w14:paraId="55E7247E" w14:textId="77777777" w:rsidTr="00AE6955">
              <w:tc>
                <w:tcPr>
                  <w:tcW w:w="9428" w:type="dxa"/>
                </w:tcPr>
                <w:p w14:paraId="37F1E4E6" w14:textId="77777777" w:rsidR="00EC36FB" w:rsidRDefault="00EC36FB" w:rsidP="00EC36FB">
                  <w:pPr>
                    <w:pStyle w:val="zSoquijdatQtePartieDef"/>
                  </w:pPr>
                  <w:r>
                    <w:rPr>
                      <w:lang w:val="en-CA"/>
                    </w:rPr>
                    <w:t>Respondents</w:t>
                  </w:r>
                </w:p>
              </w:tc>
            </w:tr>
            <w:tr w:rsidR="00EC36FB" w14:paraId="22FA837D" w14:textId="77777777" w:rsidTr="00AE6955">
              <w:tc>
                <w:tcPr>
                  <w:tcW w:w="9428" w:type="dxa"/>
                </w:tcPr>
                <w:p w14:paraId="1F6FE6EB" w14:textId="77777777" w:rsidR="00EC36FB" w:rsidRDefault="00EC36FB" w:rsidP="00EC36FB">
                  <w:pPr>
                    <w:pStyle w:val="zSoquijdatQtePartieDef"/>
                    <w:ind w:left="0"/>
                  </w:pPr>
                  <w:r>
                    <w:rPr>
                      <w:lang w:val="en-CA"/>
                    </w:rPr>
                    <w:t>and</w:t>
                  </w:r>
                </w:p>
              </w:tc>
            </w:tr>
            <w:tr w:rsidR="00EC36FB" w14:paraId="49AB60BA" w14:textId="77777777" w:rsidTr="00AE6955">
              <w:tc>
                <w:tcPr>
                  <w:tcW w:w="9428" w:type="dxa"/>
                </w:tcPr>
                <w:p w14:paraId="7F931C23" w14:textId="77777777" w:rsidR="00EC36FB" w:rsidRPr="0094377D" w:rsidRDefault="00EC36FB" w:rsidP="00FC2E5D">
                  <w:pPr>
                    <w:jc w:val="both"/>
                    <w:rPr>
                      <w:rFonts w:eastAsia="Calibri" w:cs="Arial"/>
                      <w:bCs/>
                    </w:rPr>
                  </w:pPr>
                  <w:bookmarkStart w:id="0" w:name="_Hlk103939192"/>
                  <w:r>
                    <w:rPr>
                      <w:rFonts w:eastAsia="Calibri" w:cs="Arial"/>
                      <w:b/>
                      <w:bCs/>
                      <w:lang w:val="en-CA"/>
                    </w:rPr>
                    <w:t xml:space="preserve">TORONTO DOMINION BANK (TD Bank), </w:t>
                  </w:r>
                  <w:r>
                    <w:rPr>
                      <w:rFonts w:eastAsia="Calibri" w:cs="Arial"/>
                      <w:lang w:val="en-CA"/>
                    </w:rPr>
                    <w:t>a legal entity having a place of business at</w:t>
                  </w:r>
                  <w:r>
                    <w:rPr>
                      <w:rFonts w:eastAsia="Calibri" w:cs="Arial"/>
                      <w:b/>
                      <w:bCs/>
                      <w:lang w:val="en-CA"/>
                    </w:rPr>
                    <w:t xml:space="preserve"> </w:t>
                  </w:r>
                  <w:r>
                    <w:rPr>
                      <w:rFonts w:eastAsia="Calibri" w:cs="Arial"/>
                      <w:lang w:val="en-CA"/>
                    </w:rPr>
                    <w:t>66 Wellington Street West, 15</w:t>
                  </w:r>
                  <w:r>
                    <w:rPr>
                      <w:rFonts w:eastAsia="Calibri" w:cs="Arial"/>
                      <w:vertAlign w:val="superscript"/>
                      <w:lang w:val="en-CA"/>
                    </w:rPr>
                    <w:t>th</w:t>
                  </w:r>
                  <w:r>
                    <w:rPr>
                      <w:rFonts w:eastAsia="Calibri" w:cs="Arial"/>
                      <w:lang w:val="en-CA"/>
                    </w:rPr>
                    <w:t xml:space="preserve"> floor, Toronto, Ontario, M5K 1A2, and having a branch at 8330 Boul. Taschereau, Suite 400, Brossard, Quebec, J4X 1C2, as well as at 9780 Boul. Leduc, Suite 5, Brossard, Quebec, J4Y 0B3</w:t>
                  </w:r>
                  <w:bookmarkEnd w:id="0"/>
                </w:p>
              </w:tc>
            </w:tr>
            <w:tr w:rsidR="00EC36FB" w14:paraId="024A9D21" w14:textId="77777777" w:rsidTr="00AE6955">
              <w:tc>
                <w:tcPr>
                  <w:tcW w:w="9428" w:type="dxa"/>
                </w:tcPr>
                <w:p w14:paraId="4EAA9CB5" w14:textId="77777777" w:rsidR="00EC36FB" w:rsidRPr="0094377D" w:rsidRDefault="00EC36FB" w:rsidP="00EC36FB">
                  <w:pPr>
                    <w:jc w:val="both"/>
                    <w:rPr>
                      <w:rFonts w:eastAsia="Calibri" w:cs="Arial"/>
                    </w:rPr>
                  </w:pPr>
                  <w:r>
                    <w:rPr>
                      <w:rFonts w:eastAsia="Calibri" w:cs="Arial"/>
                      <w:lang w:val="en-CA"/>
                    </w:rPr>
                    <w:t>and</w:t>
                  </w:r>
                </w:p>
              </w:tc>
            </w:tr>
            <w:tr w:rsidR="00EC36FB" w:rsidRPr="00124FBB" w14:paraId="16050B94" w14:textId="77777777" w:rsidTr="00AE6955">
              <w:tc>
                <w:tcPr>
                  <w:tcW w:w="9428" w:type="dxa"/>
                </w:tcPr>
                <w:p w14:paraId="037AB882" w14:textId="77777777" w:rsidR="00EC36FB" w:rsidRPr="00A37502" w:rsidRDefault="00EC36FB" w:rsidP="00EC36FB">
                  <w:pPr>
                    <w:jc w:val="both"/>
                    <w:rPr>
                      <w:rFonts w:eastAsia="Calibri" w:cs="Arial"/>
                      <w:bCs/>
                      <w:lang w:val="en-US"/>
                    </w:rPr>
                  </w:pPr>
                  <w:r>
                    <w:rPr>
                      <w:rFonts w:eastAsia="Calibri" w:cs="Arial"/>
                      <w:b/>
                      <w:bCs/>
                      <w:lang w:val="en-CA"/>
                    </w:rPr>
                    <w:t xml:space="preserve">BANK OF MONTREAL (BMO), </w:t>
                  </w:r>
                  <w:r>
                    <w:rPr>
                      <w:rFonts w:eastAsia="Calibri" w:cs="Arial"/>
                      <w:lang w:val="en-CA"/>
                    </w:rPr>
                    <w:t>a legally constituted legal entity having its head office at 129 Rue Saint-Jacques, Montréal, Quebec, H2Y 1L6, and having a branch at 119 Rue Saint-Jacques, Montréal, Quebec, H2Y 1L6</w:t>
                  </w:r>
                </w:p>
              </w:tc>
            </w:tr>
            <w:tr w:rsidR="00EC36FB" w14:paraId="5D58B36B" w14:textId="77777777" w:rsidTr="00AE6955">
              <w:tc>
                <w:tcPr>
                  <w:tcW w:w="9428" w:type="dxa"/>
                </w:tcPr>
                <w:p w14:paraId="5A99E7A6" w14:textId="77777777" w:rsidR="00EC36FB" w:rsidRDefault="00EC36FB" w:rsidP="00EC36FB">
                  <w:pPr>
                    <w:pStyle w:val="zSoquijdatQtePartieDef"/>
                    <w:ind w:left="0"/>
                  </w:pPr>
                  <w:r>
                    <w:rPr>
                      <w:lang w:val="en-CA"/>
                    </w:rPr>
                    <w:t>and</w:t>
                  </w:r>
                </w:p>
              </w:tc>
            </w:tr>
            <w:tr w:rsidR="00EC36FB" w14:paraId="4092D701" w14:textId="77777777" w:rsidTr="00AE6955">
              <w:tc>
                <w:tcPr>
                  <w:tcW w:w="9428" w:type="dxa"/>
                </w:tcPr>
                <w:p w14:paraId="2EE7E571" w14:textId="77777777" w:rsidR="00EC36FB" w:rsidRPr="003A1D22" w:rsidRDefault="00EC36FB" w:rsidP="00EC36FB">
                  <w:pPr>
                    <w:jc w:val="both"/>
                    <w:rPr>
                      <w:b/>
                      <w:color w:val="000000"/>
                      <w:lang w:val="en-US"/>
                    </w:rPr>
                  </w:pPr>
                  <w:r w:rsidRPr="003A1D22">
                    <w:rPr>
                      <w:rFonts w:cs="Arial"/>
                      <w:b/>
                      <w:bCs/>
                      <w:color w:val="000000"/>
                      <w:lang w:val="en-CA"/>
                    </w:rPr>
                    <w:t xml:space="preserve">FP MARKETS LLC, </w:t>
                  </w:r>
                  <w:r w:rsidRPr="003A1D22">
                    <w:rPr>
                      <w:rFonts w:cs="Arial"/>
                      <w:color w:val="000000"/>
                      <w:lang w:val="en-CA"/>
                    </w:rPr>
                    <w:t>a legally constituted legal entity having a place of business at First St. Vincent Bank Ltd Building, 1</w:t>
                  </w:r>
                  <w:r w:rsidRPr="003A1D22">
                    <w:rPr>
                      <w:rFonts w:cs="Arial"/>
                      <w:color w:val="000000"/>
                      <w:vertAlign w:val="superscript"/>
                      <w:lang w:val="en-CA"/>
                    </w:rPr>
                    <w:t>st</w:t>
                  </w:r>
                  <w:r w:rsidRPr="003A1D22">
                    <w:rPr>
                      <w:rFonts w:cs="Arial"/>
                      <w:color w:val="000000"/>
                      <w:lang w:val="en-CA"/>
                    </w:rPr>
                    <w:t xml:space="preserve"> Floor, James Street, Kingstown, St. Vincent and the Grenadines</w:t>
                  </w:r>
                </w:p>
                <w:p w14:paraId="1159E42A" w14:textId="77777777" w:rsidR="00EC36FB" w:rsidRDefault="00EC36FB" w:rsidP="00EC36FB">
                  <w:pPr>
                    <w:pStyle w:val="zSoquijdatQtePartieDef"/>
                  </w:pPr>
                  <w:r>
                    <w:rPr>
                      <w:lang w:val="en-CA"/>
                    </w:rPr>
                    <w:t>Impleaded parties</w:t>
                  </w:r>
                </w:p>
              </w:tc>
            </w:tr>
          </w:tbl>
          <w:p w14:paraId="5C4F2099" w14:textId="77777777" w:rsidR="00B4030F" w:rsidRDefault="00B4030F"/>
        </w:tc>
      </w:tr>
      <w:tr w:rsidR="00B4030F" w14:paraId="3A4BF237" w14:textId="77777777" w:rsidTr="000D2862">
        <w:trPr>
          <w:gridAfter w:val="1"/>
          <w:wAfter w:w="70" w:type="dxa"/>
        </w:trPr>
        <w:tc>
          <w:tcPr>
            <w:tcW w:w="9498" w:type="dxa"/>
            <w:gridSpan w:val="4"/>
          </w:tcPr>
          <w:p w14:paraId="0AA014D5" w14:textId="77777777" w:rsidR="00B4030F" w:rsidRDefault="00B4030F">
            <w:pPr>
              <w:ind w:left="14" w:right="-95"/>
            </w:pPr>
          </w:p>
        </w:tc>
      </w:tr>
      <w:tr w:rsidR="00FF6ABC" w14:paraId="78AD2568" w14:textId="77777777" w:rsidTr="000D2862">
        <w:trPr>
          <w:gridAfter w:val="1"/>
          <w:wAfter w:w="70" w:type="dxa"/>
        </w:trPr>
        <w:tc>
          <w:tcPr>
            <w:tcW w:w="9498" w:type="dxa"/>
            <w:gridSpan w:val="4"/>
          </w:tcPr>
          <w:p w14:paraId="0E9802B9" w14:textId="77777777" w:rsidR="00FF6ABC" w:rsidRDefault="00FF6ABC" w:rsidP="00B4030F">
            <w:pPr>
              <w:ind w:left="14" w:right="-95"/>
            </w:pPr>
            <w:r>
              <w:rPr>
                <w:lang w:val="en-CA"/>
              </w:rPr>
              <w:t>______________________________________________________________________</w:t>
            </w:r>
          </w:p>
        </w:tc>
      </w:tr>
      <w:tr w:rsidR="00FF6ABC" w14:paraId="603B1735" w14:textId="77777777" w:rsidTr="000D2862">
        <w:trPr>
          <w:gridAfter w:val="1"/>
          <w:wAfter w:w="70" w:type="dxa"/>
        </w:trPr>
        <w:tc>
          <w:tcPr>
            <w:tcW w:w="9498" w:type="dxa"/>
            <w:gridSpan w:val="4"/>
          </w:tcPr>
          <w:p w14:paraId="2580FB72" w14:textId="77777777" w:rsidR="00FF6ABC" w:rsidRDefault="00FF6ABC" w:rsidP="00B4030F">
            <w:pPr>
              <w:jc w:val="center"/>
            </w:pPr>
          </w:p>
        </w:tc>
      </w:tr>
      <w:tr w:rsidR="00FF6ABC" w14:paraId="6339692F" w14:textId="77777777" w:rsidTr="000D2862">
        <w:trPr>
          <w:gridAfter w:val="1"/>
          <w:wAfter w:w="70" w:type="dxa"/>
        </w:trPr>
        <w:tc>
          <w:tcPr>
            <w:tcW w:w="9498" w:type="dxa"/>
            <w:gridSpan w:val="4"/>
          </w:tcPr>
          <w:p w14:paraId="55F64171" w14:textId="77777777" w:rsidR="00FF6ABC" w:rsidRDefault="0010326D" w:rsidP="0010326D">
            <w:pPr>
              <w:pStyle w:val="zSoquijlblTypeDocument"/>
            </w:pPr>
            <w:r>
              <w:rPr>
                <w:bCs/>
                <w:lang w:val="en-CA"/>
              </w:rPr>
              <w:t xml:space="preserve">DECISION </w:t>
            </w:r>
          </w:p>
        </w:tc>
      </w:tr>
      <w:tr w:rsidR="00FC7D0F" w14:paraId="0B551415" w14:textId="77777777" w:rsidTr="000D2862">
        <w:trPr>
          <w:gridAfter w:val="1"/>
          <w:wAfter w:w="70" w:type="dxa"/>
        </w:trPr>
        <w:tc>
          <w:tcPr>
            <w:tcW w:w="9498" w:type="dxa"/>
            <w:gridSpan w:val="4"/>
          </w:tcPr>
          <w:p w14:paraId="2C8527D0" w14:textId="77777777" w:rsidR="00FC7D0F" w:rsidRDefault="00FC7D0F" w:rsidP="0010326D">
            <w:pPr>
              <w:pStyle w:val="zSoquijlblTypeDocument"/>
            </w:pPr>
            <w:r>
              <w:rPr>
                <w:bCs/>
                <w:lang w:val="en-CA"/>
              </w:rPr>
              <w:t>extension of freeze orders</w:t>
            </w:r>
          </w:p>
        </w:tc>
      </w:tr>
      <w:tr w:rsidR="00FF6ABC" w14:paraId="6C543E12" w14:textId="77777777" w:rsidTr="000D2862">
        <w:trPr>
          <w:gridAfter w:val="1"/>
          <w:wAfter w:w="70" w:type="dxa"/>
        </w:trPr>
        <w:tc>
          <w:tcPr>
            <w:tcW w:w="9498" w:type="dxa"/>
            <w:gridSpan w:val="4"/>
          </w:tcPr>
          <w:p w14:paraId="59F021F9" w14:textId="77777777" w:rsidR="00FF6ABC" w:rsidRDefault="00FF6ABC" w:rsidP="00B4030F">
            <w:pPr>
              <w:ind w:left="14" w:right="-70"/>
            </w:pPr>
            <w:r>
              <w:rPr>
                <w:lang w:val="en-CA"/>
              </w:rPr>
              <w:t>______________________________________________________________________</w:t>
            </w:r>
          </w:p>
        </w:tc>
      </w:tr>
      <w:tr w:rsidR="00FF6ABC" w14:paraId="463C4275" w14:textId="77777777" w:rsidTr="000D2862">
        <w:trPr>
          <w:gridAfter w:val="1"/>
          <w:wAfter w:w="70" w:type="dxa"/>
        </w:trPr>
        <w:tc>
          <w:tcPr>
            <w:tcW w:w="9498" w:type="dxa"/>
            <w:gridSpan w:val="4"/>
          </w:tcPr>
          <w:p w14:paraId="76DE38F7" w14:textId="77777777" w:rsidR="00FF6ABC" w:rsidRDefault="00FF6ABC" w:rsidP="00B4030F"/>
        </w:tc>
      </w:tr>
    </w:tbl>
    <w:p w14:paraId="10CE5D8C" w14:textId="77777777" w:rsidR="00585FBC" w:rsidRDefault="0069572F" w:rsidP="00857975">
      <w:pPr>
        <w:pStyle w:val="Titre1"/>
      </w:pPr>
      <w:bookmarkStart w:id="1" w:name="_Ref456356564"/>
      <w:r>
        <w:rPr>
          <w:bCs/>
          <w:lang w:val="en-CA"/>
        </w:rPr>
        <w:t>OVERVIEW</w:t>
      </w:r>
    </w:p>
    <w:bookmarkEnd w:id="1"/>
    <w:p w14:paraId="57E76B92" w14:textId="77777777" w:rsidR="00585FBC" w:rsidRPr="00A37502" w:rsidRDefault="001C4B6A" w:rsidP="00857975">
      <w:pPr>
        <w:pStyle w:val="Paragraphe"/>
        <w:rPr>
          <w:lang w:val="en-US"/>
        </w:rPr>
      </w:pPr>
      <w:r>
        <w:rPr>
          <w:lang w:val="en-CA"/>
        </w:rPr>
        <w:t>On July 29, 2022</w:t>
      </w:r>
      <w:r>
        <w:rPr>
          <w:rStyle w:val="Appelnotedebasdep"/>
          <w:lang w:val="en-CA"/>
        </w:rPr>
        <w:footnoteReference w:id="1"/>
      </w:r>
      <w:r>
        <w:rPr>
          <w:lang w:val="en-CA"/>
        </w:rPr>
        <w:t>, the Financial Markets Administrative Tribunal (“Tribunal”) issued</w:t>
      </w:r>
      <w:r w:rsidR="00A12832">
        <w:rPr>
          <w:lang w:val="en-CA"/>
        </w:rPr>
        <w:t>,</w:t>
      </w:r>
      <w:r>
        <w:rPr>
          <w:lang w:val="en-CA"/>
        </w:rPr>
        <w:t xml:space="preserve"> </w:t>
      </w:r>
      <w:r w:rsidR="00A12832" w:rsidRPr="00A12832">
        <w:rPr>
          <w:rFonts w:cs="Arial"/>
          <w:color w:val="000000"/>
          <w:lang w:val="en-US"/>
        </w:rPr>
        <w:t>as a matter of urgency</w:t>
      </w:r>
      <w:r>
        <w:rPr>
          <w:lang w:val="en-CA"/>
        </w:rPr>
        <w:t xml:space="preserve"> and </w:t>
      </w:r>
      <w:r>
        <w:rPr>
          <w:i/>
          <w:iCs/>
          <w:lang w:val="en-CA"/>
        </w:rPr>
        <w:t>ex parte</w:t>
      </w:r>
      <w:r>
        <w:rPr>
          <w:rStyle w:val="Appelnotedebasdep"/>
          <w:lang w:val="en-CA"/>
        </w:rPr>
        <w:footnoteReference w:id="2"/>
      </w:r>
      <w:r>
        <w:rPr>
          <w:i/>
          <w:iCs/>
          <w:lang w:val="en-CA"/>
        </w:rPr>
        <w:t xml:space="preserve"> </w:t>
      </w:r>
      <w:r>
        <w:rPr>
          <w:lang w:val="en-CA"/>
        </w:rPr>
        <w:t xml:space="preserve">freeze orders against the respondents and the impleaded </w:t>
      </w:r>
      <w:r w:rsidRPr="007077C9">
        <w:rPr>
          <w:lang w:val="en-CA"/>
        </w:rPr>
        <w:t xml:space="preserve">parties, prohibition orders against engaging in security and derivatives </w:t>
      </w:r>
      <w:r w:rsidR="003F2BDE">
        <w:rPr>
          <w:lang w:val="en-CA"/>
        </w:rPr>
        <w:t>transactions</w:t>
      </w:r>
      <w:r w:rsidRPr="007077C9">
        <w:rPr>
          <w:lang w:val="en-CA"/>
        </w:rPr>
        <w:t>, prohibitions against acting as advisers against the respondents, and measures to ensure compliance with the law.</w:t>
      </w:r>
    </w:p>
    <w:p w14:paraId="6416A437" w14:textId="77777777" w:rsidR="00195C2F" w:rsidRPr="00A37502" w:rsidRDefault="00195C2F">
      <w:pPr>
        <w:pStyle w:val="Paragraphe"/>
        <w:rPr>
          <w:lang w:val="en-US"/>
        </w:rPr>
      </w:pPr>
      <w:r>
        <w:rPr>
          <w:lang w:val="en-CA"/>
        </w:rPr>
        <w:t>The initial freeze orders were issued in the context of an investigation conducted by the Autorité des marchés financiers (“</w:t>
      </w:r>
      <w:r w:rsidR="00A37502">
        <w:rPr>
          <w:lang w:val="en-CA"/>
        </w:rPr>
        <w:t>Authority</w:t>
      </w:r>
      <w:r>
        <w:rPr>
          <w:lang w:val="en-CA"/>
        </w:rPr>
        <w:t xml:space="preserve">”) against the respondents. This investigation </w:t>
      </w:r>
      <w:r w:rsidR="00A12832">
        <w:rPr>
          <w:lang w:val="en-CA"/>
        </w:rPr>
        <w:t xml:space="preserve">concerns </w:t>
      </w:r>
      <w:r>
        <w:rPr>
          <w:lang w:val="en-CA"/>
        </w:rPr>
        <w:t xml:space="preserve">alleged breaches of sections 11 and 148 of the </w:t>
      </w:r>
      <w:r>
        <w:rPr>
          <w:i/>
          <w:iCs/>
          <w:lang w:val="en-CA"/>
        </w:rPr>
        <w:t>Securities Act</w:t>
      </w:r>
      <w:r>
        <w:rPr>
          <w:rStyle w:val="Appelnotedebasdep"/>
          <w:rFonts w:cs="Arial"/>
          <w:color w:val="000000"/>
          <w:lang w:val="en-CA"/>
        </w:rPr>
        <w:footnoteReference w:id="3"/>
      </w:r>
      <w:r>
        <w:rPr>
          <w:lang w:val="en-CA"/>
        </w:rPr>
        <w:t xml:space="preserve"> and section 54 of the </w:t>
      </w:r>
      <w:r>
        <w:rPr>
          <w:i/>
          <w:iCs/>
          <w:lang w:val="en-CA"/>
        </w:rPr>
        <w:t>Derivatives Act</w:t>
      </w:r>
      <w:r>
        <w:rPr>
          <w:rStyle w:val="Appelnotedebasdep"/>
          <w:lang w:val="en-CA"/>
        </w:rPr>
        <w:footnoteReference w:id="4"/>
      </w:r>
      <w:r>
        <w:rPr>
          <w:lang w:val="en-CA"/>
        </w:rPr>
        <w:t xml:space="preserve">. These alleged breaches are mainly related to </w:t>
      </w:r>
      <w:bookmarkStart w:id="2" w:name="_ftnref1"/>
      <w:r>
        <w:rPr>
          <w:lang w:val="en-CA"/>
        </w:rPr>
        <w:t xml:space="preserve">investment contracts and an investment of a security evidencing a loan of money from the public, as well as engaging in activities as securities or derivatives dealers or advisers, all without holding the registrations required to do so with the Authority and without </w:t>
      </w:r>
      <w:r w:rsidR="00E56A5D">
        <w:rPr>
          <w:lang w:val="en-CA"/>
        </w:rPr>
        <w:t>preparing</w:t>
      </w:r>
      <w:r w:rsidRPr="00B8087A">
        <w:rPr>
          <w:lang w:val="en-CA"/>
        </w:rPr>
        <w:t xml:space="preserve"> a prospectus </w:t>
      </w:r>
      <w:r w:rsidR="00B8087A" w:rsidRPr="00B8087A">
        <w:rPr>
          <w:lang w:val="en-CA"/>
        </w:rPr>
        <w:t>and obtain a receipt therefor from the Authority</w:t>
      </w:r>
      <w:r w:rsidR="00B8087A">
        <w:rPr>
          <w:lang w:val="en-CA"/>
        </w:rPr>
        <w:t xml:space="preserve"> </w:t>
      </w:r>
      <w:r>
        <w:rPr>
          <w:lang w:val="en-CA"/>
        </w:rPr>
        <w:t xml:space="preserve">or benefiting from the exemptions required by the </w:t>
      </w:r>
      <w:r>
        <w:rPr>
          <w:i/>
          <w:iCs/>
          <w:lang w:val="en-CA"/>
        </w:rPr>
        <w:t>Securities Act</w:t>
      </w:r>
      <w:r>
        <w:rPr>
          <w:lang w:val="en-CA"/>
        </w:rPr>
        <w:t xml:space="preserve"> and the </w:t>
      </w:r>
      <w:r>
        <w:rPr>
          <w:i/>
          <w:iCs/>
          <w:lang w:val="en-CA"/>
        </w:rPr>
        <w:t>Derivatives Act</w:t>
      </w:r>
      <w:r>
        <w:rPr>
          <w:lang w:val="en-CA"/>
        </w:rPr>
        <w:t xml:space="preserve">. </w:t>
      </w:r>
    </w:p>
    <w:bookmarkEnd w:id="2"/>
    <w:p w14:paraId="53A6CC90" w14:textId="77777777" w:rsidR="00195C2F" w:rsidRPr="00A37502" w:rsidRDefault="00195C2F" w:rsidP="00195C2F">
      <w:pPr>
        <w:pStyle w:val="Paragraphe"/>
        <w:tabs>
          <w:tab w:val="clear" w:pos="360"/>
        </w:tabs>
        <w:rPr>
          <w:lang w:val="en-US"/>
        </w:rPr>
      </w:pPr>
      <w:r>
        <w:rPr>
          <w:lang w:val="en-CA"/>
        </w:rPr>
        <w:t>The freeze orders in the case at hand expire on July 28, 2023.</w:t>
      </w:r>
    </w:p>
    <w:p w14:paraId="41029072" w14:textId="77777777" w:rsidR="00195C2F" w:rsidRPr="00A37502" w:rsidRDefault="00195C2F" w:rsidP="00195C2F">
      <w:pPr>
        <w:pStyle w:val="Paragraphe"/>
        <w:tabs>
          <w:tab w:val="clear" w:pos="360"/>
        </w:tabs>
        <w:rPr>
          <w:szCs w:val="24"/>
          <w:lang w:val="en-US"/>
        </w:rPr>
      </w:pPr>
      <w:r>
        <w:rPr>
          <w:lang w:val="en-CA"/>
        </w:rPr>
        <w:t>The Authority is asking the Tribunal to extend the freeze orders currently in force in this case for a period of eight (8) months.</w:t>
      </w:r>
    </w:p>
    <w:p w14:paraId="1A6C40FB" w14:textId="77777777" w:rsidR="00D826C2" w:rsidRPr="00A37502" w:rsidRDefault="00D826C2" w:rsidP="00195C2F">
      <w:pPr>
        <w:pStyle w:val="Paragraphe"/>
        <w:tabs>
          <w:tab w:val="clear" w:pos="360"/>
        </w:tabs>
        <w:rPr>
          <w:szCs w:val="24"/>
          <w:lang w:val="en-US"/>
        </w:rPr>
      </w:pPr>
      <w:r>
        <w:rPr>
          <w:lang w:val="en-CA"/>
        </w:rPr>
        <w:t xml:space="preserve">At the hearing on July 20, 2023, the respondents were represented by counsel, who informed the Tribunal that the Authority’s request for an extension of the freeze orders was not contested. The impleaded parties were not present and were not represented by counsel. </w:t>
      </w:r>
    </w:p>
    <w:p w14:paraId="46058F50" w14:textId="77777777" w:rsidR="00195C2F" w:rsidRPr="00A37502" w:rsidRDefault="00195C2F" w:rsidP="00195C2F">
      <w:pPr>
        <w:pStyle w:val="Paragraphe"/>
        <w:tabs>
          <w:tab w:val="clear" w:pos="360"/>
        </w:tabs>
        <w:rPr>
          <w:lang w:val="en-US"/>
        </w:rPr>
      </w:pPr>
      <w:r>
        <w:rPr>
          <w:lang w:val="en-CA"/>
        </w:rPr>
        <w:t>The procedure having been duly notified, using a special notification method approved by the Tribunal on June 26, 2023 in the case of FP Markets LLC, the Tribunal authorizes the Authority to proceed on the merits of this application.</w:t>
      </w:r>
    </w:p>
    <w:p w14:paraId="5E57B765" w14:textId="77777777" w:rsidR="00195C2F" w:rsidRPr="00A37502" w:rsidRDefault="00195C2F" w:rsidP="00195C2F">
      <w:pPr>
        <w:pStyle w:val="Paragraphe"/>
        <w:tabs>
          <w:tab w:val="clear" w:pos="360"/>
        </w:tabs>
        <w:rPr>
          <w:szCs w:val="24"/>
          <w:lang w:val="en-US"/>
        </w:rPr>
      </w:pPr>
      <w:r>
        <w:rPr>
          <w:lang w:val="en-CA"/>
        </w:rPr>
        <w:t>Accordingly, the Tribunal must decide whether to extend the freeze orders in the public interest and, if so, determine the length of that extension.</w:t>
      </w:r>
    </w:p>
    <w:p w14:paraId="66237488" w14:textId="77777777" w:rsidR="00195C2F" w:rsidRPr="00A37502" w:rsidRDefault="00195C2F" w:rsidP="00195C2F">
      <w:pPr>
        <w:pStyle w:val="Paragraphe"/>
        <w:tabs>
          <w:tab w:val="clear" w:pos="360"/>
        </w:tabs>
        <w:rPr>
          <w:szCs w:val="24"/>
          <w:lang w:val="en-US"/>
        </w:rPr>
      </w:pPr>
      <w:r>
        <w:rPr>
          <w:lang w:val="en-CA"/>
        </w:rPr>
        <w:lastRenderedPageBreak/>
        <w:t>After giving due consideration to the submissions by the Authority’s counsel, the Tribunal has decided, in the public interest, to extend the freeze orders currently in force in this case for a period of eight (8) months.</w:t>
      </w:r>
    </w:p>
    <w:p w14:paraId="793A733F" w14:textId="77777777" w:rsidR="00195C2F" w:rsidRDefault="00195C2F" w:rsidP="00195C2F">
      <w:pPr>
        <w:pStyle w:val="Titre1"/>
      </w:pPr>
      <w:r>
        <w:rPr>
          <w:bCs/>
          <w:lang w:val="en-CA"/>
        </w:rPr>
        <w:t>ANALYSIS</w:t>
      </w:r>
    </w:p>
    <w:p w14:paraId="52644307" w14:textId="77777777" w:rsidR="00195C2F" w:rsidRPr="00A37502" w:rsidRDefault="00195C2F" w:rsidP="00195C2F">
      <w:pPr>
        <w:pStyle w:val="Paragraphe"/>
        <w:tabs>
          <w:tab w:val="clear" w:pos="360"/>
        </w:tabs>
        <w:rPr>
          <w:lang w:val="en-US"/>
        </w:rPr>
      </w:pPr>
      <w:r>
        <w:rPr>
          <w:lang w:val="en-CA"/>
        </w:rPr>
        <w:t>To extend a freeze order, the Tribunal must determine whether:</w:t>
      </w:r>
    </w:p>
    <w:p w14:paraId="6B6C4938" w14:textId="77777777" w:rsidR="00195C2F" w:rsidRPr="00A37502" w:rsidRDefault="00195C2F" w:rsidP="00195C2F">
      <w:pPr>
        <w:pStyle w:val="Paragraphedeliste"/>
        <w:numPr>
          <w:ilvl w:val="0"/>
          <w:numId w:val="29"/>
        </w:numPr>
        <w:spacing w:before="120" w:after="120"/>
        <w:ind w:left="1134" w:right="289"/>
        <w:contextualSpacing w:val="0"/>
        <w:jc w:val="both"/>
        <w:rPr>
          <w:lang w:val="en-US"/>
        </w:rPr>
      </w:pPr>
      <w:r>
        <w:rPr>
          <w:lang w:val="en-CA"/>
        </w:rPr>
        <w:t>the Authority’s investigation of the respondents is still in progress; and</w:t>
      </w:r>
      <w:r>
        <w:rPr>
          <w:rStyle w:val="Appelnotedebasdep"/>
          <w:lang w:val="en-CA"/>
        </w:rPr>
        <w:footnoteReference w:id="5"/>
      </w:r>
    </w:p>
    <w:p w14:paraId="3441D5D7" w14:textId="77777777" w:rsidR="00195C2F" w:rsidRPr="00A37502" w:rsidRDefault="00195C2F" w:rsidP="00195C2F">
      <w:pPr>
        <w:pStyle w:val="Paragraphedeliste"/>
        <w:numPr>
          <w:ilvl w:val="0"/>
          <w:numId w:val="29"/>
        </w:numPr>
        <w:spacing w:before="120" w:after="120"/>
        <w:ind w:left="1134" w:right="289" w:hanging="374"/>
        <w:contextualSpacing w:val="0"/>
        <w:jc w:val="both"/>
        <w:rPr>
          <w:lang w:val="en-US"/>
        </w:rPr>
      </w:pPr>
      <w:r>
        <w:rPr>
          <w:lang w:val="en-CA"/>
        </w:rPr>
        <w:t>the reasons for the initial freeze orders still exist.</w:t>
      </w:r>
      <w:r>
        <w:rPr>
          <w:rStyle w:val="Appelnotedebasdep"/>
          <w:lang w:val="en-CA"/>
        </w:rPr>
        <w:footnoteReference w:id="6"/>
      </w:r>
    </w:p>
    <w:p w14:paraId="5CB5738B" w14:textId="77777777" w:rsidR="00195C2F" w:rsidRPr="00A37502" w:rsidRDefault="00195C2F" w:rsidP="00195C2F">
      <w:pPr>
        <w:pStyle w:val="Paragraphe"/>
        <w:tabs>
          <w:tab w:val="clear" w:pos="360"/>
        </w:tabs>
        <w:rPr>
          <w:lang w:val="en-US"/>
        </w:rPr>
      </w:pPr>
      <w:r>
        <w:rPr>
          <w:lang w:val="en-CA"/>
        </w:rPr>
        <w:t>Regarding the length of the freeze order, the law provides a twelve (12)-month period unless the Tribunal decides otherwise.﻿﻿</w:t>
      </w:r>
      <w:r>
        <w:rPr>
          <w:rStyle w:val="Appelnotedebasdep"/>
          <w:lang w:val="en-CA"/>
        </w:rPr>
        <w:footnoteReference w:id="7"/>
      </w:r>
    </w:p>
    <w:p w14:paraId="381E7E8D" w14:textId="77777777" w:rsidR="00BF219A" w:rsidRPr="00A37502" w:rsidRDefault="00195C2F">
      <w:pPr>
        <w:pStyle w:val="Paragraphe"/>
        <w:tabs>
          <w:tab w:val="clear" w:pos="360"/>
        </w:tabs>
        <w:rPr>
          <w:lang w:val="en-US"/>
        </w:rPr>
      </w:pPr>
      <w:r>
        <w:rPr>
          <w:lang w:val="en-CA"/>
        </w:rPr>
        <w:t xml:space="preserve">During the hearing, the Authority’s investigator testified and mentioned that a meeting with Vanessa Larivière is scheduled to take place shortly. Her investigation report is currently being drafted and will be submitted to the Authority’s Litigation Services for analysis.  </w:t>
      </w:r>
    </w:p>
    <w:p w14:paraId="04E9C603" w14:textId="77777777" w:rsidR="00195C2F" w:rsidRPr="00A37502" w:rsidRDefault="00BF219A" w:rsidP="00195C2F">
      <w:pPr>
        <w:pStyle w:val="Paragraphe"/>
        <w:tabs>
          <w:tab w:val="clear" w:pos="360"/>
        </w:tabs>
        <w:rPr>
          <w:lang w:val="en-US"/>
        </w:rPr>
      </w:pPr>
      <w:r>
        <w:rPr>
          <w:lang w:val="en-CA"/>
        </w:rPr>
        <w:t xml:space="preserve">The Authority’s counsel confirmed that the investigation, in its strict sense, remains in progress and that the reasons why the Tribunal issued the initial freeze orders in this case still exist. He added that the respondents did not dispute the request. </w:t>
      </w:r>
    </w:p>
    <w:p w14:paraId="175E0BF4" w14:textId="77777777" w:rsidR="00195C2F" w:rsidRPr="00A37502" w:rsidRDefault="00195C2F" w:rsidP="00195C2F">
      <w:pPr>
        <w:pStyle w:val="Paragraphe"/>
        <w:tabs>
          <w:tab w:val="clear" w:pos="360"/>
        </w:tabs>
        <w:rPr>
          <w:lang w:val="en-US"/>
        </w:rPr>
      </w:pPr>
      <w:r>
        <w:rPr>
          <w:lang w:val="en-CA"/>
        </w:rPr>
        <w:t>Under these circumstances, the Authority asks the Tribunal to extend, in the public interest, the freeze orders currently in force for a period of eight (8) months, which it deems reasonable under the circumstances.</w:t>
      </w:r>
    </w:p>
    <w:p w14:paraId="0DFD3F39" w14:textId="77777777" w:rsidR="00195C2F" w:rsidRPr="00A37502" w:rsidRDefault="00195C2F" w:rsidP="00625B6A">
      <w:pPr>
        <w:pStyle w:val="Paragraphe"/>
        <w:tabs>
          <w:tab w:val="clear" w:pos="360"/>
        </w:tabs>
        <w:rPr>
          <w:lang w:val="en-US"/>
        </w:rPr>
      </w:pPr>
      <w:r>
        <w:rPr>
          <w:lang w:val="en-CA"/>
        </w:rPr>
        <w:t>Given that the Authority’s investigation in its strict sense is still in progress and that the reasons for the initial freeze orders still exist, and that the respondents do not contest the Authority’s request, the Tribunal is extending, in the public interest, the freeze orders currently in force in this case for a period of eight (8) months.</w:t>
      </w:r>
    </w:p>
    <w:p w14:paraId="476F2E4C" w14:textId="77777777" w:rsidR="00E86C40" w:rsidRPr="00A37502" w:rsidRDefault="00E86C40" w:rsidP="00E86C40">
      <w:pPr>
        <w:spacing w:before="120" w:after="120"/>
        <w:jc w:val="both"/>
        <w:rPr>
          <w:iCs/>
          <w:kern w:val="28"/>
          <w:lang w:val="en-US"/>
        </w:rPr>
      </w:pPr>
      <w:r>
        <w:rPr>
          <w:b/>
          <w:bCs/>
          <w:kern w:val="28"/>
          <w:lang w:val="en-CA"/>
        </w:rPr>
        <w:t>FOR THESE REASONS</w:t>
      </w:r>
      <w:r>
        <w:rPr>
          <w:kern w:val="28"/>
          <w:lang w:val="en-CA"/>
        </w:rPr>
        <w:t>, the Financial Markets Administrative Tribunal, pursuant to s</w:t>
      </w:r>
      <w:r w:rsidR="00127856">
        <w:rPr>
          <w:kern w:val="28"/>
          <w:lang w:val="en-CA"/>
        </w:rPr>
        <w:t>ections</w:t>
      </w:r>
      <w:r>
        <w:rPr>
          <w:kern w:val="28"/>
          <w:lang w:val="en-CA"/>
        </w:rPr>
        <w:t> 93 and 97, para. 2</w:t>
      </w:r>
      <w:r>
        <w:rPr>
          <w:kern w:val="28"/>
          <w:vertAlign w:val="superscript"/>
          <w:lang w:val="en-CA"/>
        </w:rPr>
        <w:t>o</w:t>
      </w:r>
      <w:r>
        <w:rPr>
          <w:kern w:val="28"/>
          <w:lang w:val="en-CA"/>
        </w:rPr>
        <w:t xml:space="preserve">(7) of the </w:t>
      </w:r>
      <w:r>
        <w:rPr>
          <w:i/>
          <w:iCs/>
          <w:kern w:val="28"/>
          <w:lang w:val="en-CA"/>
        </w:rPr>
        <w:t>Act respecting the regulation of the financial sector</w:t>
      </w:r>
      <w:r>
        <w:rPr>
          <w:kern w:val="28"/>
          <w:lang w:val="en-CA"/>
        </w:rPr>
        <w:t>; s</w:t>
      </w:r>
      <w:r w:rsidR="00127856">
        <w:rPr>
          <w:kern w:val="28"/>
          <w:lang w:val="en-CA"/>
        </w:rPr>
        <w:t>ections</w:t>
      </w:r>
      <w:r>
        <w:rPr>
          <w:kern w:val="28"/>
          <w:lang w:val="en-CA"/>
        </w:rPr>
        <w:t xml:space="preserve"> 249 and 250 of the </w:t>
      </w:r>
      <w:r>
        <w:rPr>
          <w:i/>
          <w:iCs/>
          <w:kern w:val="28"/>
          <w:lang w:val="en-CA"/>
        </w:rPr>
        <w:t>Securities Act;</w:t>
      </w:r>
      <w:r>
        <w:rPr>
          <w:kern w:val="28"/>
          <w:lang w:val="en-CA"/>
        </w:rPr>
        <w:t xml:space="preserve"> and s</w:t>
      </w:r>
      <w:r w:rsidR="00127856">
        <w:rPr>
          <w:kern w:val="28"/>
          <w:lang w:val="en-CA"/>
        </w:rPr>
        <w:t>ections</w:t>
      </w:r>
      <w:r>
        <w:rPr>
          <w:kern w:val="28"/>
          <w:lang w:val="en-CA"/>
        </w:rPr>
        <w:t xml:space="preserve"> 119 and 120 of the </w:t>
      </w:r>
      <w:r>
        <w:rPr>
          <w:i/>
          <w:iCs/>
          <w:kern w:val="28"/>
          <w:lang w:val="en-CA"/>
        </w:rPr>
        <w:t>Derivatives Act</w:t>
      </w:r>
      <w:r>
        <w:rPr>
          <w:kern w:val="28"/>
          <w:lang w:val="en-CA"/>
        </w:rPr>
        <w:t>:</w:t>
      </w:r>
    </w:p>
    <w:p w14:paraId="0F4FE31E" w14:textId="77777777" w:rsidR="00E86C40" w:rsidRPr="00A37502" w:rsidRDefault="00E86C40" w:rsidP="00874A63">
      <w:pPr>
        <w:spacing w:before="120" w:after="120"/>
        <w:jc w:val="both"/>
        <w:rPr>
          <w:kern w:val="28"/>
          <w:lang w:val="en-US"/>
        </w:rPr>
      </w:pPr>
      <w:r>
        <w:rPr>
          <w:b/>
          <w:bCs/>
          <w:kern w:val="28"/>
          <w:lang w:val="en-CA"/>
        </w:rPr>
        <w:t>ALLOWS</w:t>
      </w:r>
      <w:r>
        <w:rPr>
          <w:kern w:val="28"/>
          <w:lang w:val="en-CA"/>
        </w:rPr>
        <w:t>, in the public interest, the request to extend the freeze orders of the Autorité des marchés financiers; and</w:t>
      </w:r>
    </w:p>
    <w:p w14:paraId="06C8B0A5" w14:textId="77777777" w:rsidR="000E77E3" w:rsidRPr="00A37502" w:rsidRDefault="000E77E3" w:rsidP="000E77E3">
      <w:pPr>
        <w:pStyle w:val="Paragraphe"/>
        <w:numPr>
          <w:ilvl w:val="0"/>
          <w:numId w:val="0"/>
        </w:numPr>
        <w:rPr>
          <w:lang w:val="en-US"/>
        </w:rPr>
      </w:pPr>
      <w:r>
        <w:rPr>
          <w:b/>
          <w:bCs/>
          <w:lang w:val="en-CA"/>
        </w:rPr>
        <w:t>EXTENDS</w:t>
      </w:r>
      <w:r>
        <w:rPr>
          <w:lang w:val="en-CA"/>
        </w:rPr>
        <w:t xml:space="preserve"> the freeze orders issued by the Tribunal on July 29, 2022, for eight (8) months starting on </w:t>
      </w:r>
      <w:r>
        <w:rPr>
          <w:b/>
          <w:bCs/>
          <w:lang w:val="en-CA"/>
        </w:rPr>
        <w:t xml:space="preserve">July 28, 2023 </w:t>
      </w:r>
      <w:r>
        <w:rPr>
          <w:lang w:val="en-CA"/>
        </w:rPr>
        <w:t xml:space="preserve">and ending on </w:t>
      </w:r>
      <w:r>
        <w:rPr>
          <w:b/>
          <w:bCs/>
          <w:lang w:val="en-CA"/>
        </w:rPr>
        <w:t>March 27, 2024</w:t>
      </w:r>
      <w:r>
        <w:rPr>
          <w:lang w:val="en-CA"/>
        </w:rPr>
        <w:t xml:space="preserve"> as follows, except as amended or repealed prior to the expiry of such period:</w:t>
      </w:r>
    </w:p>
    <w:p w14:paraId="5C2D6D00" w14:textId="77777777" w:rsidR="00A51284" w:rsidRPr="00A37502" w:rsidRDefault="00A51284" w:rsidP="000E77E3">
      <w:pPr>
        <w:spacing w:before="120" w:after="120"/>
        <w:ind w:left="734"/>
        <w:jc w:val="both"/>
        <w:rPr>
          <w:kern w:val="28"/>
          <w:lang w:val="en-US"/>
        </w:rPr>
      </w:pPr>
      <w:r>
        <w:rPr>
          <w:rFonts w:cs="Arial"/>
          <w:b/>
          <w:bCs/>
          <w:lang w:val="en-CA"/>
        </w:rPr>
        <w:t>ORDERS</w:t>
      </w:r>
      <w:r>
        <w:rPr>
          <w:rFonts w:cs="Arial"/>
          <w:lang w:val="en-CA"/>
        </w:rPr>
        <w:t xml:space="preserve"> Vanessa Larivière not to dispose, directly or indirectly, of any funds, securities or other assets in her possession;</w:t>
      </w:r>
    </w:p>
    <w:p w14:paraId="55BB88A4" w14:textId="77777777" w:rsidR="00A51284" w:rsidRPr="00A37502" w:rsidRDefault="00A51284" w:rsidP="000E77E3">
      <w:pPr>
        <w:spacing w:before="120" w:after="120"/>
        <w:ind w:left="734"/>
        <w:jc w:val="both"/>
        <w:rPr>
          <w:kern w:val="28"/>
          <w:lang w:val="en-US"/>
        </w:rPr>
      </w:pPr>
      <w:r>
        <w:rPr>
          <w:rFonts w:cs="Arial"/>
          <w:b/>
          <w:bCs/>
          <w:lang w:val="en-CA"/>
        </w:rPr>
        <w:lastRenderedPageBreak/>
        <w:t>ORDERS</w:t>
      </w:r>
      <w:r>
        <w:rPr>
          <w:rFonts w:cs="Arial"/>
          <w:lang w:val="en-CA"/>
        </w:rPr>
        <w:t xml:space="preserve"> Vanessa Larivière not to withdraw, directly or indirectly, any funds, securities or other assets from the holding of any other person having them on deposit, under control or in safekeeping for her, including the impleaded parties;</w:t>
      </w:r>
    </w:p>
    <w:p w14:paraId="1675EE25" w14:textId="77777777" w:rsidR="00A51284" w:rsidRPr="00A37502" w:rsidRDefault="00A51284" w:rsidP="000E77E3">
      <w:pPr>
        <w:spacing w:before="120" w:after="120"/>
        <w:ind w:left="734"/>
        <w:jc w:val="both"/>
        <w:rPr>
          <w:rFonts w:cs="Arial"/>
          <w:lang w:val="en-US"/>
        </w:rPr>
      </w:pPr>
      <w:r>
        <w:rPr>
          <w:b/>
          <w:bCs/>
          <w:lang w:val="en-CA"/>
        </w:rPr>
        <w:t>ORDERS</w:t>
      </w:r>
      <w:r>
        <w:rPr>
          <w:lang w:val="en-CA"/>
        </w:rPr>
        <w:t xml:space="preserve"> the impleaded party, </w:t>
      </w:r>
      <w:r w:rsidRPr="003A1D22">
        <w:rPr>
          <w:color w:val="000000"/>
          <w:lang w:val="en-CA"/>
        </w:rPr>
        <w:t xml:space="preserve">Toronto Dominion Bank, </w:t>
      </w:r>
      <w:r>
        <w:rPr>
          <w:lang w:val="en-CA"/>
        </w:rPr>
        <w:t xml:space="preserve">having a place of business at 66 Wellington Street West, 15th floor, Toronto, Ontario, M5K 1A2 and having a branch at 8330 Boul. Taschereau, Suite 400, Brossard, Quebec, J4X 1C2, as well as at 9780 Boul. Leduc, Suite 5, Brossard, Quebec, J4Y 0B3, not to dispose, directly or indirectly, of any funds, securities or other assets that it has on deposit, under control or in safekeeping for Vanessa Larivière, including but not limited to, in the account bearing number </w:t>
      </w:r>
      <w:r w:rsidR="00124FBB">
        <w:rPr>
          <w:lang w:val="en-CA"/>
        </w:rPr>
        <w:t>[...]</w:t>
      </w:r>
      <w:r>
        <w:rPr>
          <w:lang w:val="en-CA"/>
        </w:rPr>
        <w:t>, or in any safe deposit box in the name of Vanessa Larivière;</w:t>
      </w:r>
    </w:p>
    <w:p w14:paraId="453DD0DE" w14:textId="77777777" w:rsidR="00A51284" w:rsidRPr="00A37502" w:rsidRDefault="00A51284" w:rsidP="000E77E3">
      <w:pPr>
        <w:spacing w:before="120" w:after="120"/>
        <w:ind w:left="734"/>
        <w:jc w:val="both"/>
        <w:rPr>
          <w:rFonts w:cs="Arial"/>
          <w:lang w:val="en-US"/>
        </w:rPr>
      </w:pPr>
      <w:r>
        <w:rPr>
          <w:b/>
          <w:bCs/>
          <w:lang w:val="en-CA"/>
        </w:rPr>
        <w:t>ORDERS</w:t>
      </w:r>
      <w:r>
        <w:rPr>
          <w:lang w:val="en-CA"/>
        </w:rPr>
        <w:t xml:space="preserve"> the impleaded party, Bank of Montreal, having its head office at 129 Rue Saint-Jacques, Montréal, Quebec, H2Y 1L6, and having a branch at 119 Rue Saint-Jacques, Montréal, Quebec, H2Y 1L6, not to dispose, directly or indirectly, of any funds, securities or other assets that it has on deposit, under control or in safekeeping for Vanessa Larivière, including but not limited to, in the account bearing number </w:t>
      </w:r>
      <w:r w:rsidR="00124FBB">
        <w:rPr>
          <w:lang w:val="en-CA"/>
        </w:rPr>
        <w:t>[...]</w:t>
      </w:r>
      <w:r>
        <w:rPr>
          <w:lang w:val="en-CA"/>
        </w:rPr>
        <w:t xml:space="preserve">, or in any safe deposit box in the name of Vanessa Larivière; </w:t>
      </w:r>
    </w:p>
    <w:p w14:paraId="6F829CCD" w14:textId="77777777" w:rsidR="00A51284" w:rsidRPr="00A37502" w:rsidRDefault="00A51284" w:rsidP="000E77E3">
      <w:pPr>
        <w:ind w:left="734"/>
        <w:jc w:val="both"/>
        <w:rPr>
          <w:rFonts w:cs="Arial"/>
          <w:lang w:val="en-US"/>
        </w:rPr>
      </w:pPr>
      <w:r w:rsidRPr="003A1D22">
        <w:rPr>
          <w:rFonts w:cs="Arial"/>
          <w:b/>
          <w:bCs/>
          <w:color w:val="000000"/>
          <w:lang w:val="en-CA"/>
        </w:rPr>
        <w:t xml:space="preserve">ORDERS </w:t>
      </w:r>
      <w:r>
        <w:rPr>
          <w:rFonts w:cs="Arial"/>
          <w:lang w:val="en-CA"/>
        </w:rPr>
        <w:t xml:space="preserve">the impleaded party, </w:t>
      </w:r>
      <w:r w:rsidRPr="003A1D22">
        <w:rPr>
          <w:rFonts w:cs="Arial"/>
          <w:color w:val="000000"/>
          <w:lang w:val="en-CA"/>
        </w:rPr>
        <w:t>FP Markets LLC,</w:t>
      </w:r>
      <w:r w:rsidRPr="003A1D22">
        <w:rPr>
          <w:rFonts w:cs="Arial"/>
          <w:b/>
          <w:bCs/>
          <w:color w:val="000000"/>
          <w:lang w:val="en-CA"/>
        </w:rPr>
        <w:t xml:space="preserve"> </w:t>
      </w:r>
      <w:r w:rsidRPr="003A1D22">
        <w:rPr>
          <w:rFonts w:cs="Arial"/>
          <w:color w:val="000000"/>
          <w:lang w:val="en-CA"/>
        </w:rPr>
        <w:t xml:space="preserve">having a place of business at First St. Vincent Bank Ltd Building, 1st floor, James Street, Kingstown, St. Vincent and the Grenadines, not to </w:t>
      </w:r>
      <w:r>
        <w:rPr>
          <w:rFonts w:cs="Arial"/>
          <w:lang w:val="en-CA"/>
        </w:rPr>
        <w:t xml:space="preserve">dispose, directly or indirectly, of funds, securities or other property that it has on deposit, under control or in safekeeping for Vanessa Larivière, including but not limited to, in accounts bearing numbers </w:t>
      </w:r>
      <w:r w:rsidR="00124FBB">
        <w:rPr>
          <w:rFonts w:cs="Arial"/>
          <w:lang w:val="en-CA"/>
        </w:rPr>
        <w:t>[...]</w:t>
      </w:r>
      <w:r>
        <w:rPr>
          <w:rFonts w:cs="Arial"/>
          <w:lang w:val="en-CA"/>
        </w:rPr>
        <w:t xml:space="preserve">, </w:t>
      </w:r>
      <w:r w:rsidR="00124FBB">
        <w:rPr>
          <w:rFonts w:cs="Arial"/>
          <w:lang w:val="en-CA"/>
        </w:rPr>
        <w:t>[...]</w:t>
      </w:r>
      <w:r>
        <w:rPr>
          <w:rFonts w:cs="Arial"/>
          <w:lang w:val="en-CA"/>
        </w:rPr>
        <w:t xml:space="preserve">, </w:t>
      </w:r>
      <w:r w:rsidR="00124FBB">
        <w:rPr>
          <w:rFonts w:cs="Arial"/>
          <w:lang w:val="en-CA"/>
        </w:rPr>
        <w:t>[...]</w:t>
      </w:r>
      <w:r>
        <w:rPr>
          <w:rFonts w:cs="Arial"/>
          <w:lang w:val="en-CA"/>
        </w:rPr>
        <w:t>;</w:t>
      </w:r>
    </w:p>
    <w:p w14:paraId="00C6619B" w14:textId="77777777" w:rsidR="00A51284" w:rsidRPr="00A37502" w:rsidRDefault="00A51284" w:rsidP="000E77E3">
      <w:pPr>
        <w:spacing w:before="120" w:after="120"/>
        <w:ind w:left="734"/>
        <w:jc w:val="both"/>
        <w:rPr>
          <w:rFonts w:cs="Arial"/>
          <w:lang w:val="en-US"/>
        </w:rPr>
      </w:pPr>
      <w:r>
        <w:rPr>
          <w:rFonts w:cs="Arial"/>
          <w:b/>
          <w:bCs/>
          <w:lang w:val="en-CA"/>
        </w:rPr>
        <w:t>ORDERS</w:t>
      </w:r>
      <w:r>
        <w:rPr>
          <w:rFonts w:cs="Arial"/>
          <w:lang w:val="en-CA"/>
        </w:rPr>
        <w:t xml:space="preserve"> Eva Rose Beauté Inc. not to dispose, directly or indirectly, of any funds, securities or other assets in its possession;</w:t>
      </w:r>
    </w:p>
    <w:p w14:paraId="559B37F9" w14:textId="77777777" w:rsidR="00A51284" w:rsidRPr="00A37502" w:rsidRDefault="00A51284" w:rsidP="000E77E3">
      <w:pPr>
        <w:spacing w:before="120" w:after="120"/>
        <w:ind w:left="734"/>
        <w:jc w:val="both"/>
        <w:rPr>
          <w:rFonts w:cs="Arial"/>
          <w:lang w:val="en-US"/>
        </w:rPr>
      </w:pPr>
      <w:r>
        <w:rPr>
          <w:rFonts w:cs="Arial"/>
          <w:b/>
          <w:bCs/>
          <w:lang w:val="en-CA"/>
        </w:rPr>
        <w:t>ORDERS</w:t>
      </w:r>
      <w:r>
        <w:rPr>
          <w:rFonts w:cs="Arial"/>
          <w:lang w:val="en-CA"/>
        </w:rPr>
        <w:t xml:space="preserve"> Eva Rose Beauté Inc. not to withdraw any funds, securities or other assets from the holding of any other person having them on deposit, under control or in safekeeping for it, including the impleaded parties;</w:t>
      </w:r>
    </w:p>
    <w:p w14:paraId="3EBF1BEE" w14:textId="77777777" w:rsidR="00A51284" w:rsidRPr="00A37502" w:rsidRDefault="00A51284" w:rsidP="000E77E3">
      <w:pPr>
        <w:spacing w:before="120" w:after="120"/>
        <w:ind w:left="734"/>
        <w:jc w:val="both"/>
        <w:rPr>
          <w:rFonts w:cs="Arial"/>
          <w:lang w:val="en-US"/>
        </w:rPr>
      </w:pPr>
      <w:r>
        <w:rPr>
          <w:b/>
          <w:bCs/>
          <w:lang w:val="en-CA"/>
        </w:rPr>
        <w:t>ORDERS</w:t>
      </w:r>
      <w:r>
        <w:rPr>
          <w:lang w:val="en-CA"/>
        </w:rPr>
        <w:t xml:space="preserve"> the impleaded party,</w:t>
      </w:r>
      <w:r w:rsidRPr="003A1D22">
        <w:rPr>
          <w:color w:val="000000"/>
          <w:lang w:val="en-CA"/>
        </w:rPr>
        <w:t xml:space="preserve"> Toronto Dominion Bank, </w:t>
      </w:r>
      <w:r>
        <w:rPr>
          <w:lang w:val="en-CA"/>
        </w:rPr>
        <w:t>having a place of business at 66 Wellington Street West, 15th floor, Toronto, Ontario, M5K 1A2 and having a branch at 8330 Boul. Taschereau, Suite 400, Brossard, Quebec, J4X 1C2, as well as at 9780 Boul. Leduc, Suite 5, Brossard, Quebec, J4Y 0B3</w:t>
      </w:r>
      <w:r>
        <w:rPr>
          <w:color w:val="242424"/>
          <w:shd w:val="clear" w:color="auto" w:fill="FFFFFF"/>
          <w:lang w:val="en-CA"/>
        </w:rPr>
        <w:t>,</w:t>
      </w:r>
      <w:r w:rsidRPr="003A1D22">
        <w:rPr>
          <w:color w:val="000000"/>
          <w:lang w:val="en-CA"/>
        </w:rPr>
        <w:t xml:space="preserve"> </w:t>
      </w:r>
      <w:r>
        <w:rPr>
          <w:lang w:val="en-CA"/>
        </w:rPr>
        <w:t>not to dispose, directly or indirectly, of any funds, securities or other assets that it has on deposit, under control or in safekeeping for Eva Rose Beauté Inc., including in the account bearing number 5024683-4481, or in any safe deposit box in the name of Eva Rose Beauté Inc.;</w:t>
      </w:r>
    </w:p>
    <w:p w14:paraId="449F61E9" w14:textId="77777777" w:rsidR="00534C7A" w:rsidRPr="00A37502" w:rsidRDefault="00534C7A" w:rsidP="000E77E3">
      <w:pPr>
        <w:spacing w:before="120" w:after="120"/>
        <w:ind w:left="734"/>
        <w:jc w:val="both"/>
        <w:rPr>
          <w:rFonts w:cs="Arial"/>
          <w:lang w:val="en-US"/>
        </w:rPr>
      </w:pPr>
      <w:r>
        <w:rPr>
          <w:rFonts w:cs="Arial"/>
          <w:b/>
          <w:bCs/>
          <w:lang w:val="en-CA"/>
        </w:rPr>
        <w:t>ORDERS</w:t>
      </w:r>
      <w:r>
        <w:rPr>
          <w:rFonts w:cs="Arial"/>
          <w:lang w:val="en-CA"/>
        </w:rPr>
        <w:t xml:space="preserve"> Eva Rose Capital Inc. not to dispose, directly or indirectly, of any funds, securities or other assets in its possession;</w:t>
      </w:r>
    </w:p>
    <w:p w14:paraId="317C096D" w14:textId="77777777" w:rsidR="00534C7A" w:rsidRPr="00A37502" w:rsidRDefault="00534C7A" w:rsidP="000E77E3">
      <w:pPr>
        <w:spacing w:before="120" w:after="120"/>
        <w:ind w:left="734"/>
        <w:jc w:val="both"/>
        <w:rPr>
          <w:rFonts w:cs="Arial"/>
          <w:lang w:val="en-US"/>
        </w:rPr>
      </w:pPr>
      <w:r>
        <w:rPr>
          <w:rFonts w:cs="Arial"/>
          <w:b/>
          <w:bCs/>
          <w:lang w:val="en-CA"/>
        </w:rPr>
        <w:lastRenderedPageBreak/>
        <w:t>ORDERS</w:t>
      </w:r>
      <w:r>
        <w:rPr>
          <w:rFonts w:cs="Arial"/>
          <w:lang w:val="en-CA"/>
        </w:rPr>
        <w:t xml:space="preserve"> Eva Rose Capital Inc. not to withdraw any funds, securities or other assets from the holding of any other person having them on deposit, under control or in safekeeping for it;</w:t>
      </w:r>
    </w:p>
    <w:p w14:paraId="7E827602" w14:textId="77777777" w:rsidR="00696205" w:rsidRPr="00A37502" w:rsidRDefault="00696205" w:rsidP="00874A63">
      <w:pPr>
        <w:spacing w:before="120" w:after="120"/>
        <w:jc w:val="both"/>
        <w:rPr>
          <w:rFonts w:cs="Arial"/>
          <w:lang w:val="en-US"/>
        </w:rPr>
      </w:pPr>
      <w:r>
        <w:rPr>
          <w:rFonts w:cs="Arial"/>
          <w:b/>
          <w:bCs/>
          <w:lang w:val="en-CA"/>
        </w:rPr>
        <w:t xml:space="preserve">ORDERS </w:t>
      </w:r>
      <w:r>
        <w:rPr>
          <w:rFonts w:cs="Arial"/>
          <w:lang w:val="en-CA"/>
        </w:rPr>
        <w:t>the Autorité des marchés financiers to notify the parties and their counsel, where applicable, of this decision.</w:t>
      </w:r>
    </w:p>
    <w:p w14:paraId="6DF61BA4" w14:textId="77777777" w:rsidR="00A51284" w:rsidRPr="00A37502" w:rsidRDefault="00A51284" w:rsidP="00E86C40">
      <w:pPr>
        <w:spacing w:before="240"/>
        <w:jc w:val="both"/>
        <w:rPr>
          <w:kern w:val="28"/>
          <w:lang w:val="en-US"/>
        </w:rPr>
      </w:pPr>
    </w:p>
    <w:p w14:paraId="158F5898" w14:textId="77777777" w:rsidR="00E86C40" w:rsidRPr="003A1D22" w:rsidRDefault="00E86C40" w:rsidP="00E86C40">
      <w:pPr>
        <w:jc w:val="both"/>
        <w:rPr>
          <w:rFonts w:eastAsia="Calibri" w:cs="Arial"/>
          <w:szCs w:val="24"/>
          <w:lang w:val="en-US"/>
        </w:rPr>
      </w:pPr>
    </w:p>
    <w:tbl>
      <w:tblPr>
        <w:tblW w:w="9838" w:type="dxa"/>
        <w:tblInd w:w="-70" w:type="dxa"/>
        <w:tblLayout w:type="fixed"/>
        <w:tblCellMar>
          <w:left w:w="0" w:type="dxa"/>
          <w:right w:w="0" w:type="dxa"/>
        </w:tblCellMar>
        <w:tblLook w:val="0000" w:firstRow="0" w:lastRow="0" w:firstColumn="0" w:lastColumn="0" w:noHBand="0" w:noVBand="0"/>
      </w:tblPr>
      <w:tblGrid>
        <w:gridCol w:w="6"/>
        <w:gridCol w:w="2049"/>
        <w:gridCol w:w="3050"/>
        <w:gridCol w:w="4670"/>
        <w:gridCol w:w="63"/>
      </w:tblGrid>
      <w:tr w:rsidR="00E86C40" w:rsidRPr="00124FBB" w14:paraId="3FBA37D2" w14:textId="77777777" w:rsidTr="00EB3A07">
        <w:trPr>
          <w:gridBefore w:val="1"/>
          <w:gridAfter w:val="1"/>
          <w:wBefore w:w="6" w:type="dxa"/>
          <w:wAfter w:w="63" w:type="dxa"/>
          <w:cantSplit/>
        </w:trPr>
        <w:tc>
          <w:tcPr>
            <w:tcW w:w="5099" w:type="dxa"/>
            <w:gridSpan w:val="2"/>
          </w:tcPr>
          <w:p w14:paraId="374675FE" w14:textId="77777777" w:rsidR="00E86C40" w:rsidRPr="00A37502" w:rsidRDefault="00E86C40" w:rsidP="00D421B6">
            <w:pPr>
              <w:rPr>
                <w:lang w:val="en-US"/>
              </w:rPr>
            </w:pPr>
          </w:p>
        </w:tc>
        <w:tc>
          <w:tcPr>
            <w:tcW w:w="4670" w:type="dxa"/>
          </w:tcPr>
          <w:p w14:paraId="252962A6" w14:textId="77777777" w:rsidR="00E86C40" w:rsidRPr="00A37502" w:rsidRDefault="00E86C40" w:rsidP="00D421B6">
            <w:pPr>
              <w:pStyle w:val="zSoquijdatSignature3Juge"/>
              <w:rPr>
                <w:b/>
                <w:lang w:val="en-US"/>
              </w:rPr>
            </w:pPr>
          </w:p>
        </w:tc>
      </w:tr>
      <w:tr w:rsidR="00E86C40" w:rsidRPr="00124FBB" w14:paraId="5E5E5BAD" w14:textId="77777777" w:rsidTr="00EB3A07">
        <w:trPr>
          <w:gridBefore w:val="1"/>
          <w:gridAfter w:val="1"/>
          <w:wBefore w:w="6" w:type="dxa"/>
          <w:wAfter w:w="63" w:type="dxa"/>
          <w:cantSplit/>
        </w:trPr>
        <w:tc>
          <w:tcPr>
            <w:tcW w:w="5099" w:type="dxa"/>
            <w:gridSpan w:val="2"/>
          </w:tcPr>
          <w:p w14:paraId="65FC51FF" w14:textId="77777777" w:rsidR="00E86C40" w:rsidRPr="00A37502" w:rsidRDefault="00E86C40" w:rsidP="00D421B6">
            <w:pPr>
              <w:rPr>
                <w:lang w:val="en-US"/>
              </w:rPr>
            </w:pPr>
          </w:p>
        </w:tc>
        <w:tc>
          <w:tcPr>
            <w:tcW w:w="4670" w:type="dxa"/>
            <w:tcBorders>
              <w:bottom w:val="single" w:sz="6" w:space="0" w:color="auto"/>
            </w:tcBorders>
          </w:tcPr>
          <w:p w14:paraId="1BE29442" w14:textId="77777777" w:rsidR="00E86C40" w:rsidRPr="00A37502" w:rsidRDefault="00E86C40" w:rsidP="00D421B6">
            <w:pPr>
              <w:pStyle w:val="zSoquijdatSignature3Juge"/>
              <w:rPr>
                <w:b/>
                <w:lang w:val="en-US"/>
              </w:rPr>
            </w:pPr>
          </w:p>
        </w:tc>
      </w:tr>
      <w:tr w:rsidR="00E86C40" w14:paraId="3E8B2A82" w14:textId="77777777" w:rsidTr="00EB3A07">
        <w:trPr>
          <w:gridBefore w:val="1"/>
          <w:gridAfter w:val="1"/>
          <w:wBefore w:w="6" w:type="dxa"/>
          <w:wAfter w:w="63" w:type="dxa"/>
          <w:cantSplit/>
        </w:trPr>
        <w:tc>
          <w:tcPr>
            <w:tcW w:w="5099" w:type="dxa"/>
            <w:gridSpan w:val="2"/>
          </w:tcPr>
          <w:p w14:paraId="64EFE26C" w14:textId="77777777" w:rsidR="00E86C40" w:rsidRPr="00A37502" w:rsidRDefault="00E86C40" w:rsidP="00D421B6">
            <w:pPr>
              <w:jc w:val="center"/>
              <w:rPr>
                <w:lang w:val="en-US"/>
              </w:rPr>
            </w:pPr>
          </w:p>
        </w:tc>
        <w:tc>
          <w:tcPr>
            <w:tcW w:w="4670" w:type="dxa"/>
          </w:tcPr>
          <w:p w14:paraId="61CE3C9F" w14:textId="77777777" w:rsidR="00E86C40" w:rsidRDefault="00E86C40" w:rsidP="00D421B6">
            <w:pPr>
              <w:pStyle w:val="zSoquijdatSignature3Juge"/>
              <w:jc w:val="center"/>
              <w:rPr>
                <w:b/>
              </w:rPr>
            </w:pPr>
            <w:r>
              <w:rPr>
                <w:b/>
                <w:bCs/>
                <w:lang w:val="en-CA"/>
              </w:rPr>
              <w:t>Mtre. Nicole Martineau</w:t>
            </w:r>
          </w:p>
          <w:p w14:paraId="3FF89579" w14:textId="77777777" w:rsidR="00E86C40" w:rsidRDefault="00E86C40" w:rsidP="00D421B6">
            <w:pPr>
              <w:pStyle w:val="zSoquijdatSignature3Juge"/>
              <w:jc w:val="center"/>
            </w:pPr>
            <w:r>
              <w:rPr>
                <w:b/>
                <w:bCs/>
                <w:lang w:val="en-CA"/>
              </w:rPr>
              <w:t>Administrative Judge</w:t>
            </w:r>
          </w:p>
        </w:tc>
      </w:tr>
      <w:tr w:rsidR="00E86C40" w14:paraId="04F6D9DA" w14:textId="77777777" w:rsidTr="00EB3A07">
        <w:tblPrEx>
          <w:tblCellMar>
            <w:left w:w="70" w:type="dxa"/>
            <w:right w:w="70" w:type="dxa"/>
          </w:tblCellMar>
        </w:tblPrEx>
        <w:tc>
          <w:tcPr>
            <w:tcW w:w="9838" w:type="dxa"/>
            <w:gridSpan w:val="5"/>
          </w:tcPr>
          <w:p w14:paraId="7BEA981C" w14:textId="77777777" w:rsidR="00E86C40" w:rsidRDefault="00E86C40" w:rsidP="00D421B6"/>
          <w:p w14:paraId="71DA7709" w14:textId="77777777" w:rsidR="00E86C40" w:rsidRDefault="00E86C40" w:rsidP="00D421B6"/>
          <w:p w14:paraId="651580B0" w14:textId="77777777" w:rsidR="00E86C40" w:rsidRDefault="00E86C40" w:rsidP="00D421B6"/>
        </w:tc>
      </w:tr>
      <w:tr w:rsidR="00E86C40" w14:paraId="3EE65E53" w14:textId="77777777" w:rsidTr="00EB3A07">
        <w:tblPrEx>
          <w:tblCellMar>
            <w:left w:w="70" w:type="dxa"/>
            <w:right w:w="70" w:type="dxa"/>
          </w:tblCellMar>
        </w:tblPrEx>
        <w:tc>
          <w:tcPr>
            <w:tcW w:w="9838" w:type="dxa"/>
            <w:gridSpan w:val="5"/>
          </w:tcPr>
          <w:p w14:paraId="0D10219E" w14:textId="77777777" w:rsidR="00E86C40" w:rsidRDefault="00E86C40" w:rsidP="00D421B6"/>
        </w:tc>
      </w:tr>
      <w:tr w:rsidR="00E86C40" w14:paraId="4BC91D18" w14:textId="77777777" w:rsidTr="00EB3A07">
        <w:tblPrEx>
          <w:tblCellMar>
            <w:left w:w="70" w:type="dxa"/>
            <w:right w:w="70" w:type="dxa"/>
          </w:tblCellMar>
        </w:tblPrEx>
        <w:tc>
          <w:tcPr>
            <w:tcW w:w="9838" w:type="dxa"/>
            <w:gridSpan w:val="5"/>
          </w:tcPr>
          <w:p w14:paraId="26BD6B46" w14:textId="77777777" w:rsidR="00E86C40" w:rsidRDefault="00E86C40" w:rsidP="00EB3A07">
            <w:pPr>
              <w:pStyle w:val="zSoquijdatNomProcureurDem"/>
            </w:pPr>
            <w:r>
              <w:rPr>
                <w:lang w:val="en-CA"/>
              </w:rPr>
              <w:t>Mtre. Hamza Abouabdelmajid</w:t>
            </w:r>
          </w:p>
        </w:tc>
      </w:tr>
      <w:tr w:rsidR="00E86C40" w14:paraId="7DF11EC9" w14:textId="77777777" w:rsidTr="00EB3A07">
        <w:tblPrEx>
          <w:tblCellMar>
            <w:left w:w="70" w:type="dxa"/>
            <w:right w:w="70" w:type="dxa"/>
          </w:tblCellMar>
        </w:tblPrEx>
        <w:tc>
          <w:tcPr>
            <w:tcW w:w="9838" w:type="dxa"/>
            <w:gridSpan w:val="5"/>
          </w:tcPr>
          <w:p w14:paraId="7D6DF230" w14:textId="77777777" w:rsidR="00E86C40" w:rsidRPr="00561AD8" w:rsidRDefault="00E86C40" w:rsidP="00D421B6">
            <w:pPr>
              <w:pStyle w:val="zSoquijdatCabinetProcureurDem"/>
            </w:pPr>
            <w:r w:rsidRPr="00A37502">
              <w:t>(</w:t>
            </w:r>
            <w:r w:rsidR="00A37502">
              <w:t xml:space="preserve">Litigation </w:t>
            </w:r>
            <w:r w:rsidR="007712DF">
              <w:t>Services</w:t>
            </w:r>
            <w:r w:rsidRPr="00A37502">
              <w:t>, Autorité des marchés financiers)</w:t>
            </w:r>
          </w:p>
        </w:tc>
      </w:tr>
      <w:tr w:rsidR="00E86C40" w14:paraId="247793FF" w14:textId="77777777" w:rsidTr="00EB3A07">
        <w:tblPrEx>
          <w:tblCellMar>
            <w:left w:w="70" w:type="dxa"/>
            <w:right w:w="70" w:type="dxa"/>
          </w:tblCellMar>
        </w:tblPrEx>
        <w:tc>
          <w:tcPr>
            <w:tcW w:w="9838" w:type="dxa"/>
            <w:gridSpan w:val="5"/>
          </w:tcPr>
          <w:p w14:paraId="2636EEE5" w14:textId="77777777" w:rsidR="00E86C40" w:rsidRPr="00561AD8" w:rsidRDefault="00E86C40" w:rsidP="00D421B6">
            <w:pPr>
              <w:pStyle w:val="zSoquijlblProcureurDem"/>
            </w:pPr>
            <w:r w:rsidRPr="00A37502">
              <w:t>For the Autorité des marchés financiers</w:t>
            </w:r>
          </w:p>
        </w:tc>
      </w:tr>
      <w:tr w:rsidR="00E86C40" w14:paraId="22C0EB2F" w14:textId="77777777" w:rsidTr="00EB3A07">
        <w:tblPrEx>
          <w:tblCellMar>
            <w:left w:w="70" w:type="dxa"/>
            <w:right w:w="70" w:type="dxa"/>
          </w:tblCellMar>
        </w:tblPrEx>
        <w:tc>
          <w:tcPr>
            <w:tcW w:w="9838" w:type="dxa"/>
            <w:gridSpan w:val="5"/>
          </w:tcPr>
          <w:p w14:paraId="1A755815" w14:textId="77777777" w:rsidR="00E86C40" w:rsidRDefault="00E86C40" w:rsidP="00D421B6"/>
        </w:tc>
      </w:tr>
      <w:tr w:rsidR="001D119E" w14:paraId="6B769C06" w14:textId="77777777" w:rsidTr="00EB3A07">
        <w:tblPrEx>
          <w:tblCellMar>
            <w:left w:w="70" w:type="dxa"/>
            <w:right w:w="70" w:type="dxa"/>
          </w:tblCellMar>
        </w:tblPrEx>
        <w:tc>
          <w:tcPr>
            <w:tcW w:w="9838" w:type="dxa"/>
            <w:gridSpan w:val="5"/>
          </w:tcPr>
          <w:p w14:paraId="5E0B1D79" w14:textId="77777777" w:rsidR="001D119E" w:rsidRDefault="001D119E" w:rsidP="00D421B6">
            <w:r>
              <w:rPr>
                <w:lang w:val="en-CA"/>
              </w:rPr>
              <w:t>Mtre. Philippe Morneau</w:t>
            </w:r>
          </w:p>
        </w:tc>
      </w:tr>
      <w:tr w:rsidR="001D119E" w14:paraId="4F65A727" w14:textId="77777777" w:rsidTr="00EB3A07">
        <w:tblPrEx>
          <w:tblCellMar>
            <w:left w:w="70" w:type="dxa"/>
            <w:right w:w="70" w:type="dxa"/>
          </w:tblCellMar>
        </w:tblPrEx>
        <w:tc>
          <w:tcPr>
            <w:tcW w:w="9838" w:type="dxa"/>
            <w:gridSpan w:val="5"/>
          </w:tcPr>
          <w:p w14:paraId="404C6FB1" w14:textId="77777777" w:rsidR="001D119E" w:rsidRDefault="001D119E" w:rsidP="00D421B6">
            <w:r>
              <w:rPr>
                <w:lang w:val="en-CA"/>
              </w:rPr>
              <w:t>(Schurman Grenier Morneau)</w:t>
            </w:r>
          </w:p>
        </w:tc>
      </w:tr>
      <w:tr w:rsidR="001D119E" w:rsidRPr="00124FBB" w14:paraId="31C999A2" w14:textId="77777777" w:rsidTr="00EB3A07">
        <w:tblPrEx>
          <w:tblCellMar>
            <w:left w:w="70" w:type="dxa"/>
            <w:right w:w="70" w:type="dxa"/>
          </w:tblCellMar>
        </w:tblPrEx>
        <w:tc>
          <w:tcPr>
            <w:tcW w:w="9838" w:type="dxa"/>
            <w:gridSpan w:val="5"/>
          </w:tcPr>
          <w:p w14:paraId="09CA5272" w14:textId="77777777" w:rsidR="001D119E" w:rsidRPr="00A37502" w:rsidRDefault="001D119E" w:rsidP="00D421B6">
            <w:pPr>
              <w:rPr>
                <w:lang w:val="en-US"/>
              </w:rPr>
            </w:pPr>
            <w:r>
              <w:rPr>
                <w:lang w:val="en-CA"/>
              </w:rPr>
              <w:t>For Vanessa Larivière, Eva Rose Beauté inc. and Eva Rose Capital inc.</w:t>
            </w:r>
          </w:p>
        </w:tc>
      </w:tr>
      <w:tr w:rsidR="001D119E" w:rsidRPr="00124FBB" w14:paraId="0F68700D" w14:textId="77777777" w:rsidTr="00EB3A07">
        <w:tblPrEx>
          <w:tblCellMar>
            <w:left w:w="70" w:type="dxa"/>
            <w:right w:w="70" w:type="dxa"/>
          </w:tblCellMar>
        </w:tblPrEx>
        <w:tc>
          <w:tcPr>
            <w:tcW w:w="9838" w:type="dxa"/>
            <w:gridSpan w:val="5"/>
          </w:tcPr>
          <w:p w14:paraId="1E17BADD" w14:textId="77777777" w:rsidR="001D119E" w:rsidRPr="00A37502" w:rsidRDefault="001D119E" w:rsidP="00D421B6">
            <w:pPr>
              <w:rPr>
                <w:lang w:val="en-US"/>
              </w:rPr>
            </w:pPr>
          </w:p>
        </w:tc>
      </w:tr>
      <w:tr w:rsidR="00E86C40" w:rsidRPr="00124FBB" w14:paraId="630AAE0C" w14:textId="77777777" w:rsidTr="00EB3A07">
        <w:tblPrEx>
          <w:tblCellMar>
            <w:left w:w="70" w:type="dxa"/>
            <w:right w:w="70" w:type="dxa"/>
          </w:tblCellMar>
        </w:tblPrEx>
        <w:tc>
          <w:tcPr>
            <w:tcW w:w="9838" w:type="dxa"/>
            <w:gridSpan w:val="5"/>
          </w:tcPr>
          <w:p w14:paraId="349F6C4E" w14:textId="77777777" w:rsidR="00E86C40" w:rsidRPr="00A37502" w:rsidRDefault="00E86C40" w:rsidP="00D421B6">
            <w:pPr>
              <w:pStyle w:val="zSoquijlblProcureurDef"/>
              <w:rPr>
                <w:lang w:val="en-US"/>
              </w:rPr>
            </w:pPr>
          </w:p>
        </w:tc>
      </w:tr>
      <w:tr w:rsidR="00E86C40" w14:paraId="7D50612F" w14:textId="77777777" w:rsidTr="000E77E3">
        <w:tblPrEx>
          <w:tblCellMar>
            <w:left w:w="70" w:type="dxa"/>
            <w:right w:w="70" w:type="dxa"/>
          </w:tblCellMar>
        </w:tblPrEx>
        <w:tc>
          <w:tcPr>
            <w:tcW w:w="2055" w:type="dxa"/>
            <w:gridSpan w:val="2"/>
          </w:tcPr>
          <w:p w14:paraId="2BC3E7AA" w14:textId="77777777" w:rsidR="00E86C40" w:rsidRDefault="00E86C40" w:rsidP="00D421B6">
            <w:pPr>
              <w:pStyle w:val="zSoquijlblDateAudience"/>
            </w:pPr>
            <w:r>
              <w:rPr>
                <w:lang w:val="en-CA"/>
              </w:rPr>
              <w:t>Hearing date:</w:t>
            </w:r>
          </w:p>
        </w:tc>
        <w:tc>
          <w:tcPr>
            <w:tcW w:w="7783" w:type="dxa"/>
            <w:gridSpan w:val="3"/>
          </w:tcPr>
          <w:p w14:paraId="159B2E6A" w14:textId="77777777" w:rsidR="00E86C40" w:rsidRDefault="000E77E3" w:rsidP="002A2A7B">
            <w:pPr>
              <w:pStyle w:val="zSoquijdatDateAudience"/>
            </w:pPr>
            <w:r>
              <w:rPr>
                <w:lang w:val="en-CA"/>
              </w:rPr>
              <w:t>July 20, 2023</w:t>
            </w:r>
          </w:p>
        </w:tc>
      </w:tr>
    </w:tbl>
    <w:p w14:paraId="0FAD4F9F" w14:textId="77777777" w:rsidR="00E86C40" w:rsidRDefault="00E86C40" w:rsidP="00E86C40"/>
    <w:p w14:paraId="06D450DF" w14:textId="77777777" w:rsidR="00E86C40" w:rsidRPr="003A1D22" w:rsidRDefault="00E86C40" w:rsidP="00E86C40">
      <w:pPr>
        <w:jc w:val="both"/>
        <w:rPr>
          <w:rFonts w:eastAsia="Calibri" w:cs="Arial"/>
          <w:szCs w:val="24"/>
        </w:rPr>
      </w:pPr>
    </w:p>
    <w:sectPr w:rsidR="00E86C40" w:rsidRPr="003A1D22">
      <w:headerReference w:type="default" r:id="rId8"/>
      <w:footerReference w:type="even" r:id="rId9"/>
      <w:footerReference w:type="default" r:id="rId10"/>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E8C2" w14:textId="77777777" w:rsidR="00126210" w:rsidRDefault="00126210">
      <w:r>
        <w:separator/>
      </w:r>
    </w:p>
  </w:endnote>
  <w:endnote w:type="continuationSeparator" w:id="0">
    <w:p w14:paraId="1F853D83" w14:textId="77777777" w:rsidR="00126210" w:rsidRDefault="0012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88A9" w14:textId="77777777" w:rsidR="005A64FE" w:rsidRDefault="005A64FE">
    <w:pPr>
      <w:framePr w:wrap="around" w:vAnchor="text" w:hAnchor="margin" w:xAlign="right" w:y="1"/>
    </w:pPr>
    <w:r>
      <w:rPr>
        <w:lang w:val="en-CA"/>
      </w:rPr>
      <w:fldChar w:fldCharType="begin"/>
    </w:r>
    <w:r>
      <w:rPr>
        <w:lang w:val="en-CA"/>
      </w:rPr>
      <w:instrText xml:space="preserve">PAGE  </w:instrText>
    </w:r>
    <w:r>
      <w:rPr>
        <w:lang w:val="en-CA"/>
      </w:rPr>
      <w:fldChar w:fldCharType="separate"/>
    </w:r>
    <w:r>
      <w:rPr>
        <w:noProof/>
        <w:lang w:val="en-CA"/>
      </w:rPr>
      <w:t>21</w:t>
    </w:r>
    <w:r>
      <w:rPr>
        <w:lang w:val="en-CA"/>
      </w:rPr>
      <w:fldChar w:fldCharType="end"/>
    </w:r>
  </w:p>
  <w:p w14:paraId="3D7A84C0" w14:textId="77777777" w:rsidR="005A64FE" w:rsidRDefault="005A64F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0509" w14:textId="77777777" w:rsidR="005A64FE" w:rsidRDefault="005A64FE">
    <w:pPr>
      <w:pStyle w:val="Pieddepage"/>
      <w:jc w:val="right"/>
    </w:pPr>
    <w:r>
      <w:rPr>
        <w:lang w:val="en-CA"/>
      </w:rPr>
      <w:fldChar w:fldCharType="begin"/>
    </w:r>
    <w:r>
      <w:rPr>
        <w:lang w:val="en-CA"/>
      </w:rPr>
      <w:instrText>PAGE   \* MERGEFORMAT</w:instrText>
    </w:r>
    <w:r>
      <w:rPr>
        <w:lang w:val="en-CA"/>
      </w:rPr>
      <w:fldChar w:fldCharType="separate"/>
    </w:r>
    <w:r>
      <w:rPr>
        <w:noProof/>
        <w:lang w:val="en-CA"/>
      </w:rPr>
      <w:t>19</w:t>
    </w:r>
    <w:r>
      <w:rPr>
        <w:lang w:val="en-CA"/>
      </w:rPr>
      <w:fldChar w:fldCharType="end"/>
    </w:r>
  </w:p>
  <w:p w14:paraId="4908192A" w14:textId="77777777" w:rsidR="005A64FE" w:rsidRDefault="005A64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0152" w14:textId="77777777" w:rsidR="00126210" w:rsidRDefault="00126210">
      <w:r>
        <w:separator/>
      </w:r>
    </w:p>
  </w:footnote>
  <w:footnote w:type="continuationSeparator" w:id="0">
    <w:p w14:paraId="158B1B16" w14:textId="77777777" w:rsidR="00126210" w:rsidRDefault="00126210">
      <w:r>
        <w:continuationSeparator/>
      </w:r>
    </w:p>
  </w:footnote>
  <w:footnote w:id="1">
    <w:p w14:paraId="58633920" w14:textId="77777777" w:rsidR="00195C2F" w:rsidRDefault="00195C2F">
      <w:pPr>
        <w:pStyle w:val="Notedebasdepage"/>
      </w:pPr>
      <w:r>
        <w:rPr>
          <w:rStyle w:val="Appelnotedebasdep"/>
          <w:lang w:val="en-CA"/>
        </w:rPr>
        <w:footnoteRef/>
      </w:r>
      <w:r w:rsidRPr="00A37502">
        <w:t xml:space="preserve"> </w:t>
      </w:r>
      <w:r w:rsidRPr="00A37502">
        <w:tab/>
      </w:r>
      <w:r w:rsidRPr="00A37502">
        <w:rPr>
          <w:i/>
          <w:iCs/>
        </w:rPr>
        <w:t xml:space="preserve">Autorité des marchés financiers </w:t>
      </w:r>
      <w:r w:rsidRPr="00A37502">
        <w:t>c.</w:t>
      </w:r>
      <w:r w:rsidRPr="00A37502">
        <w:rPr>
          <w:i/>
          <w:iCs/>
        </w:rPr>
        <w:t xml:space="preserve"> Larivière</w:t>
      </w:r>
      <w:r w:rsidRPr="00A37502">
        <w:t>, 2022 QCTMF 48.</w:t>
      </w:r>
    </w:p>
  </w:footnote>
  <w:footnote w:id="2">
    <w:p w14:paraId="7193543E" w14:textId="77777777" w:rsidR="00195C2F" w:rsidRPr="00A37502" w:rsidRDefault="00195C2F" w:rsidP="00195C2F">
      <w:pPr>
        <w:pStyle w:val="Notedebasdepage"/>
        <w:rPr>
          <w:lang w:val="en-US"/>
        </w:rPr>
      </w:pPr>
      <w:r>
        <w:rPr>
          <w:rStyle w:val="Appelnotedebasdep"/>
          <w:lang w:val="en-CA"/>
        </w:rPr>
        <w:footnoteRef/>
      </w:r>
      <w:r>
        <w:rPr>
          <w:lang w:val="en-CA"/>
        </w:rPr>
        <w:t xml:space="preserve"> </w:t>
      </w:r>
      <w:r>
        <w:rPr>
          <w:lang w:val="en-CA"/>
        </w:rPr>
        <w:tab/>
        <w:t xml:space="preserve">Hearing held without the presence of the respondents, section 115.1 of the </w:t>
      </w:r>
      <w:r>
        <w:rPr>
          <w:i/>
          <w:iCs/>
          <w:lang w:val="en-CA"/>
        </w:rPr>
        <w:t>Act respecting the regulation of the financial sector</w:t>
      </w:r>
      <w:r>
        <w:rPr>
          <w:lang w:val="en-CA"/>
        </w:rPr>
        <w:t>, CQLR c. E-6.1.</w:t>
      </w:r>
    </w:p>
  </w:footnote>
  <w:footnote w:id="3">
    <w:p w14:paraId="3C13C3A3" w14:textId="77777777" w:rsidR="00195C2F" w:rsidRPr="00A37502" w:rsidRDefault="00195C2F" w:rsidP="00195C2F">
      <w:pPr>
        <w:pStyle w:val="Notedebasdepage"/>
        <w:rPr>
          <w:lang w:val="en-US"/>
        </w:rPr>
      </w:pPr>
      <w:r>
        <w:rPr>
          <w:rStyle w:val="Appelnotedebasdep"/>
          <w:lang w:val="en-CA"/>
        </w:rPr>
        <w:footnoteRef/>
      </w:r>
      <w:r>
        <w:rPr>
          <w:lang w:val="en-CA"/>
        </w:rPr>
        <w:t xml:space="preserve">  </w:t>
      </w:r>
      <w:r>
        <w:rPr>
          <w:lang w:val="en-CA"/>
        </w:rPr>
        <w:tab/>
        <w:t>CQLR, c. V-1.1.</w:t>
      </w:r>
    </w:p>
  </w:footnote>
  <w:footnote w:id="4">
    <w:p w14:paraId="5D451A75" w14:textId="77777777" w:rsidR="00195C2F" w:rsidRPr="00A37502" w:rsidRDefault="00195C2F">
      <w:pPr>
        <w:pStyle w:val="Notedebasdepage"/>
        <w:rPr>
          <w:lang w:val="en-US"/>
        </w:rPr>
      </w:pPr>
      <w:r>
        <w:rPr>
          <w:rStyle w:val="Appelnotedebasdep"/>
          <w:lang w:val="en-CA"/>
        </w:rPr>
        <w:footnoteRef/>
      </w:r>
      <w:r>
        <w:rPr>
          <w:lang w:val="en-CA"/>
        </w:rPr>
        <w:t xml:space="preserve"> </w:t>
      </w:r>
      <w:r>
        <w:rPr>
          <w:lang w:val="en-CA"/>
        </w:rPr>
        <w:tab/>
        <w:t>CQLR, c. I-14.01.</w:t>
      </w:r>
    </w:p>
  </w:footnote>
  <w:footnote w:id="5">
    <w:p w14:paraId="3F14D6F7" w14:textId="77777777" w:rsidR="00195C2F" w:rsidRPr="00A37502" w:rsidRDefault="00195C2F" w:rsidP="00195C2F">
      <w:pPr>
        <w:pStyle w:val="Notedebasdepage"/>
        <w:rPr>
          <w:lang w:val="en-US"/>
        </w:rPr>
      </w:pPr>
      <w:r>
        <w:rPr>
          <w:rStyle w:val="Appelnotedebasdep"/>
          <w:lang w:val="en-CA"/>
        </w:rPr>
        <w:footnoteRef/>
      </w:r>
      <w:r>
        <w:rPr>
          <w:lang w:val="en-CA"/>
        </w:rPr>
        <w:t xml:space="preserve"> </w:t>
      </w:r>
      <w:r>
        <w:rPr>
          <w:lang w:val="en-CA"/>
        </w:rPr>
        <w:tab/>
      </w:r>
      <w:r>
        <w:rPr>
          <w:i/>
          <w:iCs/>
          <w:lang w:val="en-CA"/>
        </w:rPr>
        <w:t>Securities Act</w:t>
      </w:r>
      <w:r>
        <w:rPr>
          <w:lang w:val="en-CA"/>
        </w:rPr>
        <w:t xml:space="preserve">, s. 249 and </w:t>
      </w:r>
      <w:r>
        <w:rPr>
          <w:i/>
          <w:iCs/>
          <w:lang w:val="en-CA"/>
        </w:rPr>
        <w:t>Derivatives Act</w:t>
      </w:r>
      <w:r>
        <w:rPr>
          <w:lang w:val="en-CA"/>
        </w:rPr>
        <w:t>, s. 119.</w:t>
      </w:r>
    </w:p>
  </w:footnote>
  <w:footnote w:id="6">
    <w:p w14:paraId="1D87A11E" w14:textId="77777777" w:rsidR="00195C2F" w:rsidRPr="00A82781" w:rsidRDefault="00195C2F" w:rsidP="00195C2F">
      <w:pPr>
        <w:pStyle w:val="Notedebasdepage"/>
      </w:pPr>
      <w:r>
        <w:rPr>
          <w:rStyle w:val="Appelnotedebasdep"/>
          <w:lang w:val="en-CA"/>
        </w:rPr>
        <w:footnoteRef/>
      </w:r>
      <w:r>
        <w:rPr>
          <w:lang w:val="en-CA"/>
        </w:rPr>
        <w:t xml:space="preserve"> </w:t>
      </w:r>
      <w:r>
        <w:rPr>
          <w:lang w:val="en-CA"/>
        </w:rPr>
        <w:tab/>
      </w:r>
      <w:r>
        <w:rPr>
          <w:i/>
          <w:iCs/>
          <w:lang w:val="en-CA"/>
        </w:rPr>
        <w:t>Securities Act</w:t>
      </w:r>
      <w:r>
        <w:rPr>
          <w:lang w:val="en-CA"/>
        </w:rPr>
        <w:t xml:space="preserve">, s. 250 (para. 2) and </w:t>
      </w:r>
      <w:r>
        <w:rPr>
          <w:i/>
          <w:iCs/>
          <w:lang w:val="en-CA"/>
        </w:rPr>
        <w:t>Derivatives Act</w:t>
      </w:r>
      <w:r>
        <w:rPr>
          <w:lang w:val="en-CA"/>
        </w:rPr>
        <w:t>,  s. 120 (para. 2).</w:t>
      </w:r>
    </w:p>
  </w:footnote>
  <w:footnote w:id="7">
    <w:p w14:paraId="773CB823" w14:textId="77777777" w:rsidR="00195C2F" w:rsidRPr="00A82781" w:rsidRDefault="00195C2F" w:rsidP="00195C2F">
      <w:pPr>
        <w:pStyle w:val="Notedebasdepage"/>
      </w:pPr>
      <w:r>
        <w:rPr>
          <w:rStyle w:val="Appelnotedebasdep"/>
          <w:lang w:val="en-CA"/>
        </w:rPr>
        <w:footnoteRef/>
      </w:r>
      <w:r>
        <w:rPr>
          <w:lang w:val="en-CA"/>
        </w:rPr>
        <w:t xml:space="preserve"> </w:t>
      </w:r>
      <w:r>
        <w:rPr>
          <w:lang w:val="en-CA"/>
        </w:rPr>
        <w:tab/>
      </w:r>
      <w:r>
        <w:rPr>
          <w:i/>
          <w:iCs/>
          <w:lang w:val="en-CA"/>
        </w:rPr>
        <w:t>Securities Act</w:t>
      </w:r>
      <w:r>
        <w:rPr>
          <w:lang w:val="en-CA"/>
        </w:rPr>
        <w:t xml:space="preserve">, s. 250 (para. 1) and </w:t>
      </w:r>
      <w:r>
        <w:rPr>
          <w:i/>
          <w:iCs/>
          <w:lang w:val="en-CA"/>
        </w:rPr>
        <w:t>Derivatives Ac</w:t>
      </w:r>
      <w:r>
        <w:rPr>
          <w:lang w:val="en-CA"/>
        </w:rPr>
        <w:t>t,  s. 120 (para.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340A" w14:textId="77777777" w:rsidR="005A64FE" w:rsidRDefault="005A64FE">
    <w:pPr>
      <w:tabs>
        <w:tab w:val="center" w:pos="4709"/>
        <w:tab w:val="right" w:pos="9360"/>
      </w:tabs>
      <w:ind w:right="524"/>
    </w:pPr>
    <w:r>
      <w:rPr>
        <w:lang w:val="en-CA"/>
      </w:rPr>
      <w:t>2022-021-002</w:t>
    </w:r>
    <w:r>
      <w:rPr>
        <w:lang w:val="en-CA"/>
      </w:rPr>
      <w:tab/>
    </w:r>
    <w:r>
      <w:rPr>
        <w:lang w:val="en-CA"/>
      </w:rPr>
      <w:tab/>
      <w:t xml:space="preserve">PAGE: </w:t>
    </w:r>
    <w:r>
      <w:rPr>
        <w:lang w:val="en-CA"/>
      </w:rPr>
      <w:fldChar w:fldCharType="begin"/>
    </w:r>
    <w:r>
      <w:rPr>
        <w:lang w:val="en-CA"/>
      </w:rPr>
      <w:instrText xml:space="preserve"> PAGE </w:instrText>
    </w:r>
    <w:r>
      <w:rPr>
        <w:lang w:val="en-CA"/>
      </w:rPr>
      <w:fldChar w:fldCharType="separate"/>
    </w:r>
    <w:r>
      <w:rPr>
        <w:noProof/>
        <w:lang w:val="en-CA"/>
      </w:rPr>
      <w:t>19</w:t>
    </w:r>
    <w:r>
      <w:rPr>
        <w:lang w:val="en-CA"/>
      </w:rPr>
      <w:fldChar w:fldCharType="end"/>
    </w:r>
  </w:p>
  <w:p w14:paraId="0AC214B7" w14:textId="77777777" w:rsidR="005A64FE" w:rsidRDefault="005A64FE">
    <w:pPr>
      <w:tabs>
        <w:tab w:val="center" w:pos="4709"/>
        <w:tab w:val="right" w:pos="9090"/>
      </w:tabs>
      <w:ind w:right="524"/>
    </w:pPr>
  </w:p>
  <w:p w14:paraId="52A162FB" w14:textId="77777777" w:rsidR="005A64FE" w:rsidRDefault="005A64FE">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F2C9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F652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2CB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5477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28E7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927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C5F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1CC2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A8F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CA23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A0AAF"/>
    <w:multiLevelType w:val="hybridMultilevel"/>
    <w:tmpl w:val="05387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052446"/>
    <w:multiLevelType w:val="hybridMultilevel"/>
    <w:tmpl w:val="A2CE5496"/>
    <w:lvl w:ilvl="0" w:tplc="F1CA8D7E">
      <w:start w:val="1"/>
      <w:numFmt w:val="decimal"/>
      <w:lvlText w:val="(%1)"/>
      <w:lvlJc w:val="left"/>
      <w:pPr>
        <w:ind w:left="444" w:hanging="372"/>
      </w:pPr>
      <w:rPr>
        <w:rFonts w:hint="default"/>
      </w:rPr>
    </w:lvl>
    <w:lvl w:ilvl="1" w:tplc="0C0C0019" w:tentative="1">
      <w:start w:val="1"/>
      <w:numFmt w:val="lowerLetter"/>
      <w:lvlText w:val="%2."/>
      <w:lvlJc w:val="left"/>
      <w:pPr>
        <w:ind w:left="1152" w:hanging="360"/>
      </w:pPr>
    </w:lvl>
    <w:lvl w:ilvl="2" w:tplc="0C0C001B" w:tentative="1">
      <w:start w:val="1"/>
      <w:numFmt w:val="lowerRoman"/>
      <w:lvlText w:val="%3."/>
      <w:lvlJc w:val="right"/>
      <w:pPr>
        <w:ind w:left="1872" w:hanging="180"/>
      </w:pPr>
    </w:lvl>
    <w:lvl w:ilvl="3" w:tplc="0C0C000F" w:tentative="1">
      <w:start w:val="1"/>
      <w:numFmt w:val="decimal"/>
      <w:lvlText w:val="%4."/>
      <w:lvlJc w:val="left"/>
      <w:pPr>
        <w:ind w:left="2592" w:hanging="360"/>
      </w:pPr>
    </w:lvl>
    <w:lvl w:ilvl="4" w:tplc="0C0C0019" w:tentative="1">
      <w:start w:val="1"/>
      <w:numFmt w:val="lowerLetter"/>
      <w:lvlText w:val="%5."/>
      <w:lvlJc w:val="left"/>
      <w:pPr>
        <w:ind w:left="3312" w:hanging="360"/>
      </w:pPr>
    </w:lvl>
    <w:lvl w:ilvl="5" w:tplc="0C0C001B" w:tentative="1">
      <w:start w:val="1"/>
      <w:numFmt w:val="lowerRoman"/>
      <w:lvlText w:val="%6."/>
      <w:lvlJc w:val="right"/>
      <w:pPr>
        <w:ind w:left="4032" w:hanging="180"/>
      </w:pPr>
    </w:lvl>
    <w:lvl w:ilvl="6" w:tplc="0C0C000F" w:tentative="1">
      <w:start w:val="1"/>
      <w:numFmt w:val="decimal"/>
      <w:lvlText w:val="%7."/>
      <w:lvlJc w:val="left"/>
      <w:pPr>
        <w:ind w:left="4752" w:hanging="360"/>
      </w:pPr>
    </w:lvl>
    <w:lvl w:ilvl="7" w:tplc="0C0C0019" w:tentative="1">
      <w:start w:val="1"/>
      <w:numFmt w:val="lowerLetter"/>
      <w:lvlText w:val="%8."/>
      <w:lvlJc w:val="left"/>
      <w:pPr>
        <w:ind w:left="5472" w:hanging="360"/>
      </w:pPr>
    </w:lvl>
    <w:lvl w:ilvl="8" w:tplc="0C0C001B" w:tentative="1">
      <w:start w:val="1"/>
      <w:numFmt w:val="lowerRoman"/>
      <w:lvlText w:val="%9."/>
      <w:lvlJc w:val="right"/>
      <w:pPr>
        <w:ind w:left="6192" w:hanging="180"/>
      </w:pPr>
    </w:lvl>
  </w:abstractNum>
  <w:abstractNum w:abstractNumId="12" w15:restartNumberingAfterBreak="0">
    <w:nsid w:val="23A77615"/>
    <w:multiLevelType w:val="multilevel"/>
    <w:tmpl w:val="918AE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33995"/>
    <w:multiLevelType w:val="hybridMultilevel"/>
    <w:tmpl w:val="8818A1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1FE144E"/>
    <w:multiLevelType w:val="hybridMultilevel"/>
    <w:tmpl w:val="36608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B76978"/>
    <w:multiLevelType w:val="hybridMultilevel"/>
    <w:tmpl w:val="9118C458"/>
    <w:lvl w:ilvl="0" w:tplc="55504D4A">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16" w15:restartNumberingAfterBreak="0">
    <w:nsid w:val="424108A8"/>
    <w:multiLevelType w:val="multilevel"/>
    <w:tmpl w:val="77E89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83D80"/>
    <w:multiLevelType w:val="hybridMultilevel"/>
    <w:tmpl w:val="E5C68DF8"/>
    <w:lvl w:ilvl="0" w:tplc="B6EC0A8A">
      <w:start w:val="1"/>
      <w:numFmt w:val="decimal"/>
      <w:lvlText w:val="%1."/>
      <w:lvlJc w:val="center"/>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9E2175"/>
    <w:multiLevelType w:val="hybridMultilevel"/>
    <w:tmpl w:val="691CC6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1851192"/>
    <w:multiLevelType w:val="hybridMultilevel"/>
    <w:tmpl w:val="B9F200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CC7332"/>
    <w:multiLevelType w:val="hybridMultilevel"/>
    <w:tmpl w:val="B906CEAE"/>
    <w:lvl w:ilvl="0" w:tplc="CFE4DCBE">
      <w:start w:val="1"/>
      <w:numFmt w:val="decimal"/>
      <w:lvlText w:val="%1."/>
      <w:lvlJc w:val="left"/>
      <w:pPr>
        <w:ind w:left="360" w:hanging="360"/>
      </w:pPr>
      <w:rPr>
        <w:b w:val="0"/>
        <w:color w:val="auto"/>
        <w:u w:val="none"/>
      </w:rPr>
    </w:lvl>
    <w:lvl w:ilvl="1" w:tplc="794A707A">
      <w:start w:val="1"/>
      <w:numFmt w:val="lowerLetter"/>
      <w:lvlText w:val="%2."/>
      <w:lvlJc w:val="left"/>
      <w:rPr>
        <w:rFonts w:ascii="Arial" w:eastAsia="Calibri" w:hAnsi="Arial" w:cs="Times New Roman"/>
      </w:rPr>
    </w:lvl>
    <w:lvl w:ilvl="2" w:tplc="0C0C001B">
      <w:start w:val="1"/>
      <w:numFmt w:val="lowerRoman"/>
      <w:lvlText w:val="%3."/>
      <w:lvlJc w:val="right"/>
      <w:pPr>
        <w:ind w:left="1803" w:hanging="180"/>
      </w:pPr>
    </w:lvl>
    <w:lvl w:ilvl="3" w:tplc="0C0C000F" w:tentative="1">
      <w:start w:val="1"/>
      <w:numFmt w:val="decimal"/>
      <w:lvlText w:val="%4."/>
      <w:lvlJc w:val="left"/>
      <w:pPr>
        <w:ind w:left="2523" w:hanging="360"/>
      </w:pPr>
    </w:lvl>
    <w:lvl w:ilvl="4" w:tplc="0C0C0019" w:tentative="1">
      <w:start w:val="1"/>
      <w:numFmt w:val="lowerLetter"/>
      <w:lvlText w:val="%5."/>
      <w:lvlJc w:val="left"/>
      <w:pPr>
        <w:ind w:left="3243" w:hanging="360"/>
      </w:pPr>
    </w:lvl>
    <w:lvl w:ilvl="5" w:tplc="0C0C001B" w:tentative="1">
      <w:start w:val="1"/>
      <w:numFmt w:val="lowerRoman"/>
      <w:lvlText w:val="%6."/>
      <w:lvlJc w:val="right"/>
      <w:pPr>
        <w:ind w:left="3963" w:hanging="180"/>
      </w:pPr>
    </w:lvl>
    <w:lvl w:ilvl="6" w:tplc="0C0C000F" w:tentative="1">
      <w:start w:val="1"/>
      <w:numFmt w:val="decimal"/>
      <w:lvlText w:val="%7."/>
      <w:lvlJc w:val="left"/>
      <w:pPr>
        <w:ind w:left="4683" w:hanging="360"/>
      </w:pPr>
    </w:lvl>
    <w:lvl w:ilvl="7" w:tplc="0C0C0019" w:tentative="1">
      <w:start w:val="1"/>
      <w:numFmt w:val="lowerLetter"/>
      <w:lvlText w:val="%8."/>
      <w:lvlJc w:val="left"/>
      <w:pPr>
        <w:ind w:left="5403" w:hanging="360"/>
      </w:pPr>
    </w:lvl>
    <w:lvl w:ilvl="8" w:tplc="0C0C001B" w:tentative="1">
      <w:start w:val="1"/>
      <w:numFmt w:val="lowerRoman"/>
      <w:lvlText w:val="%9."/>
      <w:lvlJc w:val="right"/>
      <w:pPr>
        <w:ind w:left="6123" w:hanging="180"/>
      </w:pPr>
    </w:lvl>
  </w:abstractNum>
  <w:abstractNum w:abstractNumId="21" w15:restartNumberingAfterBreak="0">
    <w:nsid w:val="609C0DCC"/>
    <w:multiLevelType w:val="multilevel"/>
    <w:tmpl w:val="078E11EA"/>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2797C4B"/>
    <w:multiLevelType w:val="hybridMultilevel"/>
    <w:tmpl w:val="45AC5C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3951A97"/>
    <w:multiLevelType w:val="hybridMultilevel"/>
    <w:tmpl w:val="C3DE9CE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CB35DFB"/>
    <w:multiLevelType w:val="multilevel"/>
    <w:tmpl w:val="6EF8AC5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20239C"/>
    <w:multiLevelType w:val="hybridMultilevel"/>
    <w:tmpl w:val="BE4268B2"/>
    <w:lvl w:ilvl="0" w:tplc="0C0C0001">
      <w:start w:val="1"/>
      <w:numFmt w:val="bullet"/>
      <w:lvlText w:val=""/>
      <w:lvlJc w:val="left"/>
      <w:pPr>
        <w:ind w:left="936" w:hanging="360"/>
      </w:pPr>
      <w:rPr>
        <w:rFonts w:ascii="Symbol" w:hAnsi="Symbol" w:hint="default"/>
      </w:rPr>
    </w:lvl>
    <w:lvl w:ilvl="1" w:tplc="0C0C0003" w:tentative="1">
      <w:start w:val="1"/>
      <w:numFmt w:val="bullet"/>
      <w:lvlText w:val="o"/>
      <w:lvlJc w:val="left"/>
      <w:pPr>
        <w:ind w:left="1656" w:hanging="360"/>
      </w:pPr>
      <w:rPr>
        <w:rFonts w:ascii="Courier New" w:hAnsi="Courier New" w:cs="Courier New" w:hint="default"/>
      </w:rPr>
    </w:lvl>
    <w:lvl w:ilvl="2" w:tplc="0C0C0005" w:tentative="1">
      <w:start w:val="1"/>
      <w:numFmt w:val="bullet"/>
      <w:lvlText w:val=""/>
      <w:lvlJc w:val="left"/>
      <w:pPr>
        <w:ind w:left="2376" w:hanging="360"/>
      </w:pPr>
      <w:rPr>
        <w:rFonts w:ascii="Wingdings" w:hAnsi="Wingdings" w:hint="default"/>
      </w:rPr>
    </w:lvl>
    <w:lvl w:ilvl="3" w:tplc="0C0C0001" w:tentative="1">
      <w:start w:val="1"/>
      <w:numFmt w:val="bullet"/>
      <w:lvlText w:val=""/>
      <w:lvlJc w:val="left"/>
      <w:pPr>
        <w:ind w:left="3096" w:hanging="360"/>
      </w:pPr>
      <w:rPr>
        <w:rFonts w:ascii="Symbol" w:hAnsi="Symbol" w:hint="default"/>
      </w:rPr>
    </w:lvl>
    <w:lvl w:ilvl="4" w:tplc="0C0C0003" w:tentative="1">
      <w:start w:val="1"/>
      <w:numFmt w:val="bullet"/>
      <w:lvlText w:val="o"/>
      <w:lvlJc w:val="left"/>
      <w:pPr>
        <w:ind w:left="3816" w:hanging="360"/>
      </w:pPr>
      <w:rPr>
        <w:rFonts w:ascii="Courier New" w:hAnsi="Courier New" w:cs="Courier New" w:hint="default"/>
      </w:rPr>
    </w:lvl>
    <w:lvl w:ilvl="5" w:tplc="0C0C0005" w:tentative="1">
      <w:start w:val="1"/>
      <w:numFmt w:val="bullet"/>
      <w:lvlText w:val=""/>
      <w:lvlJc w:val="left"/>
      <w:pPr>
        <w:ind w:left="4536" w:hanging="360"/>
      </w:pPr>
      <w:rPr>
        <w:rFonts w:ascii="Wingdings" w:hAnsi="Wingdings" w:hint="default"/>
      </w:rPr>
    </w:lvl>
    <w:lvl w:ilvl="6" w:tplc="0C0C0001" w:tentative="1">
      <w:start w:val="1"/>
      <w:numFmt w:val="bullet"/>
      <w:lvlText w:val=""/>
      <w:lvlJc w:val="left"/>
      <w:pPr>
        <w:ind w:left="5256" w:hanging="360"/>
      </w:pPr>
      <w:rPr>
        <w:rFonts w:ascii="Symbol" w:hAnsi="Symbol" w:hint="default"/>
      </w:rPr>
    </w:lvl>
    <w:lvl w:ilvl="7" w:tplc="0C0C0003" w:tentative="1">
      <w:start w:val="1"/>
      <w:numFmt w:val="bullet"/>
      <w:lvlText w:val="o"/>
      <w:lvlJc w:val="left"/>
      <w:pPr>
        <w:ind w:left="5976" w:hanging="360"/>
      </w:pPr>
      <w:rPr>
        <w:rFonts w:ascii="Courier New" w:hAnsi="Courier New" w:cs="Courier New" w:hint="default"/>
      </w:rPr>
    </w:lvl>
    <w:lvl w:ilvl="8" w:tplc="0C0C0005" w:tentative="1">
      <w:start w:val="1"/>
      <w:numFmt w:val="bullet"/>
      <w:lvlText w:val=""/>
      <w:lvlJc w:val="left"/>
      <w:pPr>
        <w:ind w:left="6696" w:hanging="360"/>
      </w:pPr>
      <w:rPr>
        <w:rFonts w:ascii="Wingdings" w:hAnsi="Wingdings" w:hint="default"/>
      </w:rPr>
    </w:lvl>
  </w:abstractNum>
  <w:num w:numId="1" w16cid:durableId="1193491975">
    <w:abstractNumId w:val="21"/>
  </w:num>
  <w:num w:numId="2" w16cid:durableId="1526747812">
    <w:abstractNumId w:val="21"/>
  </w:num>
  <w:num w:numId="3" w16cid:durableId="482621018">
    <w:abstractNumId w:val="21"/>
  </w:num>
  <w:num w:numId="4" w16cid:durableId="1275552167">
    <w:abstractNumId w:val="8"/>
  </w:num>
  <w:num w:numId="5" w16cid:durableId="2109155212">
    <w:abstractNumId w:val="3"/>
  </w:num>
  <w:num w:numId="6" w16cid:durableId="1565095884">
    <w:abstractNumId w:val="2"/>
  </w:num>
  <w:num w:numId="7" w16cid:durableId="499661664">
    <w:abstractNumId w:val="1"/>
  </w:num>
  <w:num w:numId="8" w16cid:durableId="481584098">
    <w:abstractNumId w:val="0"/>
  </w:num>
  <w:num w:numId="9" w16cid:durableId="535043180">
    <w:abstractNumId w:val="9"/>
  </w:num>
  <w:num w:numId="10" w16cid:durableId="461116315">
    <w:abstractNumId w:val="7"/>
  </w:num>
  <w:num w:numId="11" w16cid:durableId="1277637317">
    <w:abstractNumId w:val="6"/>
  </w:num>
  <w:num w:numId="12" w16cid:durableId="1856335810">
    <w:abstractNumId w:val="5"/>
  </w:num>
  <w:num w:numId="13" w16cid:durableId="638804680">
    <w:abstractNumId w:val="4"/>
  </w:num>
  <w:num w:numId="14" w16cid:durableId="1647928718">
    <w:abstractNumId w:val="12"/>
  </w:num>
  <w:num w:numId="15" w16cid:durableId="1137844866">
    <w:abstractNumId w:val="16"/>
  </w:num>
  <w:num w:numId="16" w16cid:durableId="2082214533">
    <w:abstractNumId w:val="24"/>
  </w:num>
  <w:num w:numId="17" w16cid:durableId="1045759352">
    <w:abstractNumId w:val="17"/>
  </w:num>
  <w:num w:numId="18" w16cid:durableId="1971402618">
    <w:abstractNumId w:val="22"/>
  </w:num>
  <w:num w:numId="19" w16cid:durableId="148058861">
    <w:abstractNumId w:val="23"/>
  </w:num>
  <w:num w:numId="20" w16cid:durableId="1691101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3214082">
    <w:abstractNumId w:val="25"/>
  </w:num>
  <w:num w:numId="22" w16cid:durableId="1429042266">
    <w:abstractNumId w:val="15"/>
  </w:num>
  <w:num w:numId="23" w16cid:durableId="2125227340">
    <w:abstractNumId w:val="20"/>
  </w:num>
  <w:num w:numId="24" w16cid:durableId="1672636255">
    <w:abstractNumId w:val="10"/>
  </w:num>
  <w:num w:numId="25" w16cid:durableId="127600039">
    <w:abstractNumId w:val="13"/>
  </w:num>
  <w:num w:numId="26" w16cid:durableId="239100434">
    <w:abstractNumId w:val="19"/>
  </w:num>
  <w:num w:numId="27" w16cid:durableId="323122350">
    <w:abstractNumId w:val="14"/>
  </w:num>
  <w:num w:numId="28" w16cid:durableId="70474543">
    <w:abstractNumId w:val="18"/>
  </w:num>
  <w:num w:numId="29" w16cid:durableId="1989820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E45"/>
    <w:rsid w:val="00000A79"/>
    <w:rsid w:val="00006C6B"/>
    <w:rsid w:val="0001413C"/>
    <w:rsid w:val="00016BE1"/>
    <w:rsid w:val="00017E63"/>
    <w:rsid w:val="00024CF1"/>
    <w:rsid w:val="00034CE7"/>
    <w:rsid w:val="000371AC"/>
    <w:rsid w:val="000510FE"/>
    <w:rsid w:val="0005283F"/>
    <w:rsid w:val="00052A91"/>
    <w:rsid w:val="00052C02"/>
    <w:rsid w:val="00054828"/>
    <w:rsid w:val="00056F79"/>
    <w:rsid w:val="00061051"/>
    <w:rsid w:val="0006538D"/>
    <w:rsid w:val="00070D64"/>
    <w:rsid w:val="00076D87"/>
    <w:rsid w:val="000840C3"/>
    <w:rsid w:val="00090614"/>
    <w:rsid w:val="000974B4"/>
    <w:rsid w:val="000976EC"/>
    <w:rsid w:val="000A1398"/>
    <w:rsid w:val="000A1E8F"/>
    <w:rsid w:val="000A68E6"/>
    <w:rsid w:val="000B0795"/>
    <w:rsid w:val="000B73DE"/>
    <w:rsid w:val="000B7475"/>
    <w:rsid w:val="000C37D6"/>
    <w:rsid w:val="000D2862"/>
    <w:rsid w:val="000E23E9"/>
    <w:rsid w:val="000E77E3"/>
    <w:rsid w:val="000F116E"/>
    <w:rsid w:val="001006E1"/>
    <w:rsid w:val="00101EB0"/>
    <w:rsid w:val="0010326D"/>
    <w:rsid w:val="00113325"/>
    <w:rsid w:val="00117AAD"/>
    <w:rsid w:val="00123330"/>
    <w:rsid w:val="00124FBB"/>
    <w:rsid w:val="001253DD"/>
    <w:rsid w:val="00126210"/>
    <w:rsid w:val="00126A7E"/>
    <w:rsid w:val="00126AAB"/>
    <w:rsid w:val="00126D0A"/>
    <w:rsid w:val="00127328"/>
    <w:rsid w:val="00127856"/>
    <w:rsid w:val="001311F5"/>
    <w:rsid w:val="00131433"/>
    <w:rsid w:val="00132660"/>
    <w:rsid w:val="00136A11"/>
    <w:rsid w:val="00151692"/>
    <w:rsid w:val="00151D97"/>
    <w:rsid w:val="00195C2F"/>
    <w:rsid w:val="001A24D1"/>
    <w:rsid w:val="001A3EC2"/>
    <w:rsid w:val="001B306F"/>
    <w:rsid w:val="001B5E0E"/>
    <w:rsid w:val="001C4141"/>
    <w:rsid w:val="001C4B6A"/>
    <w:rsid w:val="001D119E"/>
    <w:rsid w:val="001D27BB"/>
    <w:rsid w:val="001D374E"/>
    <w:rsid w:val="001D5EE0"/>
    <w:rsid w:val="001F7F73"/>
    <w:rsid w:val="00230E44"/>
    <w:rsid w:val="00275BCD"/>
    <w:rsid w:val="00284AA3"/>
    <w:rsid w:val="002A2A7B"/>
    <w:rsid w:val="002A3098"/>
    <w:rsid w:val="002A4491"/>
    <w:rsid w:val="002B2D4B"/>
    <w:rsid w:val="002C5240"/>
    <w:rsid w:val="002D57AB"/>
    <w:rsid w:val="002F27FA"/>
    <w:rsid w:val="002F5DC5"/>
    <w:rsid w:val="003013AA"/>
    <w:rsid w:val="0031197A"/>
    <w:rsid w:val="00324E76"/>
    <w:rsid w:val="00325A3D"/>
    <w:rsid w:val="00330A7A"/>
    <w:rsid w:val="00331DFF"/>
    <w:rsid w:val="00337319"/>
    <w:rsid w:val="003443F2"/>
    <w:rsid w:val="00352821"/>
    <w:rsid w:val="00364797"/>
    <w:rsid w:val="00386C4D"/>
    <w:rsid w:val="003870E5"/>
    <w:rsid w:val="00392C41"/>
    <w:rsid w:val="00393C8A"/>
    <w:rsid w:val="00394940"/>
    <w:rsid w:val="003967AB"/>
    <w:rsid w:val="003A1D22"/>
    <w:rsid w:val="003B2C11"/>
    <w:rsid w:val="003B32DA"/>
    <w:rsid w:val="003B6BEC"/>
    <w:rsid w:val="003B7D89"/>
    <w:rsid w:val="003C7C35"/>
    <w:rsid w:val="003E6C9B"/>
    <w:rsid w:val="003E7B42"/>
    <w:rsid w:val="003F05F5"/>
    <w:rsid w:val="003F2BDE"/>
    <w:rsid w:val="004075A8"/>
    <w:rsid w:val="004171E2"/>
    <w:rsid w:val="00417834"/>
    <w:rsid w:val="00417E76"/>
    <w:rsid w:val="004300B8"/>
    <w:rsid w:val="00432DA7"/>
    <w:rsid w:val="00436F11"/>
    <w:rsid w:val="00454E8D"/>
    <w:rsid w:val="00457429"/>
    <w:rsid w:val="004647ED"/>
    <w:rsid w:val="00465970"/>
    <w:rsid w:val="004872BA"/>
    <w:rsid w:val="00490E8B"/>
    <w:rsid w:val="004A2558"/>
    <w:rsid w:val="004A4018"/>
    <w:rsid w:val="004B56AF"/>
    <w:rsid w:val="004C2809"/>
    <w:rsid w:val="004E5BF1"/>
    <w:rsid w:val="004E6DC6"/>
    <w:rsid w:val="004F7ED9"/>
    <w:rsid w:val="00505E4A"/>
    <w:rsid w:val="00511753"/>
    <w:rsid w:val="00511DA4"/>
    <w:rsid w:val="00523A7F"/>
    <w:rsid w:val="00534C7A"/>
    <w:rsid w:val="00535DA8"/>
    <w:rsid w:val="00536A6D"/>
    <w:rsid w:val="005558F6"/>
    <w:rsid w:val="00555E60"/>
    <w:rsid w:val="00563BE8"/>
    <w:rsid w:val="00567F2E"/>
    <w:rsid w:val="005719CA"/>
    <w:rsid w:val="00577A8A"/>
    <w:rsid w:val="00585FBC"/>
    <w:rsid w:val="005860B3"/>
    <w:rsid w:val="0058712C"/>
    <w:rsid w:val="00594D31"/>
    <w:rsid w:val="005A2587"/>
    <w:rsid w:val="005A64FE"/>
    <w:rsid w:val="005D034F"/>
    <w:rsid w:val="005D1774"/>
    <w:rsid w:val="005D2F14"/>
    <w:rsid w:val="005D73DC"/>
    <w:rsid w:val="005D7F41"/>
    <w:rsid w:val="005E181E"/>
    <w:rsid w:val="005E1CCC"/>
    <w:rsid w:val="005E4C6D"/>
    <w:rsid w:val="005F2F90"/>
    <w:rsid w:val="005F7AA9"/>
    <w:rsid w:val="00603350"/>
    <w:rsid w:val="0061737D"/>
    <w:rsid w:val="006179AB"/>
    <w:rsid w:val="00622BEF"/>
    <w:rsid w:val="006253AA"/>
    <w:rsid w:val="00625B6A"/>
    <w:rsid w:val="0062639B"/>
    <w:rsid w:val="00640750"/>
    <w:rsid w:val="006416D9"/>
    <w:rsid w:val="00641B59"/>
    <w:rsid w:val="00643F81"/>
    <w:rsid w:val="00662F0D"/>
    <w:rsid w:val="00663912"/>
    <w:rsid w:val="00671271"/>
    <w:rsid w:val="0067418E"/>
    <w:rsid w:val="00674634"/>
    <w:rsid w:val="00682738"/>
    <w:rsid w:val="00684394"/>
    <w:rsid w:val="00687435"/>
    <w:rsid w:val="0069572F"/>
    <w:rsid w:val="00696205"/>
    <w:rsid w:val="006A4ABE"/>
    <w:rsid w:val="006B33F3"/>
    <w:rsid w:val="006B4E51"/>
    <w:rsid w:val="006B7592"/>
    <w:rsid w:val="006C2840"/>
    <w:rsid w:val="006D7CD0"/>
    <w:rsid w:val="006E2997"/>
    <w:rsid w:val="006F35AB"/>
    <w:rsid w:val="006F5930"/>
    <w:rsid w:val="007077C9"/>
    <w:rsid w:val="00707875"/>
    <w:rsid w:val="00725F0D"/>
    <w:rsid w:val="00731059"/>
    <w:rsid w:val="00732254"/>
    <w:rsid w:val="00740A02"/>
    <w:rsid w:val="00742806"/>
    <w:rsid w:val="00745F9E"/>
    <w:rsid w:val="00761561"/>
    <w:rsid w:val="00767000"/>
    <w:rsid w:val="007708C5"/>
    <w:rsid w:val="007712DF"/>
    <w:rsid w:val="00784421"/>
    <w:rsid w:val="007859AB"/>
    <w:rsid w:val="00792F51"/>
    <w:rsid w:val="007A5622"/>
    <w:rsid w:val="007A76EB"/>
    <w:rsid w:val="007B43C7"/>
    <w:rsid w:val="007B7E48"/>
    <w:rsid w:val="007D181D"/>
    <w:rsid w:val="007E0499"/>
    <w:rsid w:val="007E08F5"/>
    <w:rsid w:val="00803EFC"/>
    <w:rsid w:val="00804186"/>
    <w:rsid w:val="00812DB9"/>
    <w:rsid w:val="00813EB9"/>
    <w:rsid w:val="00814243"/>
    <w:rsid w:val="0081603C"/>
    <w:rsid w:val="00827ED5"/>
    <w:rsid w:val="00833983"/>
    <w:rsid w:val="00837D93"/>
    <w:rsid w:val="00850ADE"/>
    <w:rsid w:val="00850ECF"/>
    <w:rsid w:val="00857975"/>
    <w:rsid w:val="00857FD6"/>
    <w:rsid w:val="008623E9"/>
    <w:rsid w:val="0086244F"/>
    <w:rsid w:val="00866B22"/>
    <w:rsid w:val="00867C2F"/>
    <w:rsid w:val="0087022E"/>
    <w:rsid w:val="00874A4A"/>
    <w:rsid w:val="00874A63"/>
    <w:rsid w:val="0087637F"/>
    <w:rsid w:val="00880F45"/>
    <w:rsid w:val="00887E17"/>
    <w:rsid w:val="008A3CE9"/>
    <w:rsid w:val="008B3742"/>
    <w:rsid w:val="008B4E5F"/>
    <w:rsid w:val="008B6189"/>
    <w:rsid w:val="008C1C63"/>
    <w:rsid w:val="008C2940"/>
    <w:rsid w:val="008C5F8C"/>
    <w:rsid w:val="008C6022"/>
    <w:rsid w:val="008D023A"/>
    <w:rsid w:val="008D67F8"/>
    <w:rsid w:val="008E066E"/>
    <w:rsid w:val="00912EB5"/>
    <w:rsid w:val="00913795"/>
    <w:rsid w:val="00921D54"/>
    <w:rsid w:val="00955F8F"/>
    <w:rsid w:val="00956F21"/>
    <w:rsid w:val="0096322E"/>
    <w:rsid w:val="00963FA3"/>
    <w:rsid w:val="009653B1"/>
    <w:rsid w:val="00966A79"/>
    <w:rsid w:val="00967A67"/>
    <w:rsid w:val="00983961"/>
    <w:rsid w:val="00987259"/>
    <w:rsid w:val="009924B5"/>
    <w:rsid w:val="00993237"/>
    <w:rsid w:val="009947CB"/>
    <w:rsid w:val="009A1D17"/>
    <w:rsid w:val="009A2DD5"/>
    <w:rsid w:val="009A6AAA"/>
    <w:rsid w:val="009B0DCD"/>
    <w:rsid w:val="009C23F3"/>
    <w:rsid w:val="009E2C53"/>
    <w:rsid w:val="009F15E5"/>
    <w:rsid w:val="009F1EF9"/>
    <w:rsid w:val="009F60AF"/>
    <w:rsid w:val="00A1082B"/>
    <w:rsid w:val="00A12832"/>
    <w:rsid w:val="00A27394"/>
    <w:rsid w:val="00A304BD"/>
    <w:rsid w:val="00A33A47"/>
    <w:rsid w:val="00A34D8C"/>
    <w:rsid w:val="00A36A0C"/>
    <w:rsid w:val="00A37502"/>
    <w:rsid w:val="00A40E23"/>
    <w:rsid w:val="00A42201"/>
    <w:rsid w:val="00A51284"/>
    <w:rsid w:val="00A57FC5"/>
    <w:rsid w:val="00A6191C"/>
    <w:rsid w:val="00A673BF"/>
    <w:rsid w:val="00A76F8F"/>
    <w:rsid w:val="00A8130C"/>
    <w:rsid w:val="00A82781"/>
    <w:rsid w:val="00A827D3"/>
    <w:rsid w:val="00A854B7"/>
    <w:rsid w:val="00A910CA"/>
    <w:rsid w:val="00AB1596"/>
    <w:rsid w:val="00AB3C34"/>
    <w:rsid w:val="00AC1BA6"/>
    <w:rsid w:val="00AC4592"/>
    <w:rsid w:val="00AD1DCF"/>
    <w:rsid w:val="00AD4368"/>
    <w:rsid w:val="00AE6955"/>
    <w:rsid w:val="00AF2CFE"/>
    <w:rsid w:val="00AF4DD6"/>
    <w:rsid w:val="00B02208"/>
    <w:rsid w:val="00B05F26"/>
    <w:rsid w:val="00B203AC"/>
    <w:rsid w:val="00B20558"/>
    <w:rsid w:val="00B2060B"/>
    <w:rsid w:val="00B217AF"/>
    <w:rsid w:val="00B3289A"/>
    <w:rsid w:val="00B36963"/>
    <w:rsid w:val="00B4030F"/>
    <w:rsid w:val="00B41F5B"/>
    <w:rsid w:val="00B466CC"/>
    <w:rsid w:val="00B5359A"/>
    <w:rsid w:val="00B555A8"/>
    <w:rsid w:val="00B66547"/>
    <w:rsid w:val="00B66905"/>
    <w:rsid w:val="00B7367E"/>
    <w:rsid w:val="00B8087A"/>
    <w:rsid w:val="00B9113F"/>
    <w:rsid w:val="00B93CD9"/>
    <w:rsid w:val="00BA3C47"/>
    <w:rsid w:val="00BA4DD5"/>
    <w:rsid w:val="00BB690F"/>
    <w:rsid w:val="00BC45BE"/>
    <w:rsid w:val="00BE634A"/>
    <w:rsid w:val="00BF219A"/>
    <w:rsid w:val="00BF256B"/>
    <w:rsid w:val="00C01D70"/>
    <w:rsid w:val="00C0222E"/>
    <w:rsid w:val="00C06D93"/>
    <w:rsid w:val="00C12719"/>
    <w:rsid w:val="00C12A93"/>
    <w:rsid w:val="00C20918"/>
    <w:rsid w:val="00C27E03"/>
    <w:rsid w:val="00C30209"/>
    <w:rsid w:val="00C44591"/>
    <w:rsid w:val="00C46CAE"/>
    <w:rsid w:val="00C67FE8"/>
    <w:rsid w:val="00C83F9B"/>
    <w:rsid w:val="00C86683"/>
    <w:rsid w:val="00C92BF2"/>
    <w:rsid w:val="00CA5D01"/>
    <w:rsid w:val="00CA631F"/>
    <w:rsid w:val="00CA7F49"/>
    <w:rsid w:val="00CF26F9"/>
    <w:rsid w:val="00CF7BB5"/>
    <w:rsid w:val="00D021D7"/>
    <w:rsid w:val="00D111EA"/>
    <w:rsid w:val="00D14D92"/>
    <w:rsid w:val="00D15968"/>
    <w:rsid w:val="00D16A91"/>
    <w:rsid w:val="00D201EF"/>
    <w:rsid w:val="00D20FC0"/>
    <w:rsid w:val="00D27811"/>
    <w:rsid w:val="00D27C38"/>
    <w:rsid w:val="00D27F3F"/>
    <w:rsid w:val="00D41671"/>
    <w:rsid w:val="00D421B6"/>
    <w:rsid w:val="00D42AC9"/>
    <w:rsid w:val="00D521F8"/>
    <w:rsid w:val="00D57995"/>
    <w:rsid w:val="00D6109F"/>
    <w:rsid w:val="00D64BAD"/>
    <w:rsid w:val="00D67F63"/>
    <w:rsid w:val="00D75318"/>
    <w:rsid w:val="00D7798B"/>
    <w:rsid w:val="00D826C2"/>
    <w:rsid w:val="00DA2AFC"/>
    <w:rsid w:val="00DA656D"/>
    <w:rsid w:val="00DA6EB5"/>
    <w:rsid w:val="00DB5C4F"/>
    <w:rsid w:val="00DC293F"/>
    <w:rsid w:val="00DC2EC9"/>
    <w:rsid w:val="00DC3774"/>
    <w:rsid w:val="00DD18B4"/>
    <w:rsid w:val="00DE30F5"/>
    <w:rsid w:val="00DE5B4B"/>
    <w:rsid w:val="00E01CB3"/>
    <w:rsid w:val="00E17CDC"/>
    <w:rsid w:val="00E201A6"/>
    <w:rsid w:val="00E266D3"/>
    <w:rsid w:val="00E34FD4"/>
    <w:rsid w:val="00E36BF5"/>
    <w:rsid w:val="00E420CE"/>
    <w:rsid w:val="00E53FF1"/>
    <w:rsid w:val="00E54E09"/>
    <w:rsid w:val="00E5590E"/>
    <w:rsid w:val="00E56A5D"/>
    <w:rsid w:val="00E61940"/>
    <w:rsid w:val="00E659ED"/>
    <w:rsid w:val="00E67F68"/>
    <w:rsid w:val="00E86C40"/>
    <w:rsid w:val="00E91671"/>
    <w:rsid w:val="00E92CE8"/>
    <w:rsid w:val="00E93D5C"/>
    <w:rsid w:val="00E97DB5"/>
    <w:rsid w:val="00EA204D"/>
    <w:rsid w:val="00EA5071"/>
    <w:rsid w:val="00EA784D"/>
    <w:rsid w:val="00EB1995"/>
    <w:rsid w:val="00EB39E3"/>
    <w:rsid w:val="00EB3A07"/>
    <w:rsid w:val="00EC36FB"/>
    <w:rsid w:val="00ED1C5D"/>
    <w:rsid w:val="00EE219F"/>
    <w:rsid w:val="00EE6A5F"/>
    <w:rsid w:val="00EE6DF7"/>
    <w:rsid w:val="00F12E5B"/>
    <w:rsid w:val="00F1504F"/>
    <w:rsid w:val="00F32CBF"/>
    <w:rsid w:val="00F37BB8"/>
    <w:rsid w:val="00F416CB"/>
    <w:rsid w:val="00F4225E"/>
    <w:rsid w:val="00F71132"/>
    <w:rsid w:val="00F765D4"/>
    <w:rsid w:val="00F81CE1"/>
    <w:rsid w:val="00F820E3"/>
    <w:rsid w:val="00F962D0"/>
    <w:rsid w:val="00FA5480"/>
    <w:rsid w:val="00FB41E4"/>
    <w:rsid w:val="00FC2E5D"/>
    <w:rsid w:val="00FC5EFE"/>
    <w:rsid w:val="00FC7D0F"/>
    <w:rsid w:val="00FD4E45"/>
    <w:rsid w:val="00FE7AEC"/>
    <w:rsid w:val="00FF239F"/>
    <w:rsid w:val="00FF6A2F"/>
    <w:rsid w:val="00FF6A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3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1EA"/>
    <w:rPr>
      <w:rFonts w:ascii="Arial" w:hAnsi="Arial"/>
      <w:sz w:val="24"/>
      <w:lang w:eastAsia="fr-FR"/>
    </w:rPr>
  </w:style>
  <w:style w:type="paragraph" w:styleId="Titre1">
    <w:name w:val="heading 1"/>
    <w:basedOn w:val="Paragraphe"/>
    <w:next w:val="Paragraphe"/>
    <w:qFormat/>
    <w:rsid w:val="00993237"/>
    <w:pPr>
      <w:numPr>
        <w:numId w:val="0"/>
      </w:numPr>
      <w:outlineLvl w:val="0"/>
    </w:pPr>
    <w:rPr>
      <w:b/>
    </w:rPr>
  </w:style>
  <w:style w:type="paragraph" w:styleId="Titre2">
    <w:name w:val="heading 2"/>
    <w:basedOn w:val="Normal"/>
    <w:next w:val="Paragraphe"/>
    <w:qFormat/>
    <w:rsid w:val="00993237"/>
    <w:pPr>
      <w:keepNext/>
      <w:spacing w:before="240" w:after="60"/>
      <w:outlineLvl w:val="1"/>
    </w:pPr>
    <w:rPr>
      <w:b/>
      <w:lang w:eastAsia="fr-CA"/>
    </w:rPr>
  </w:style>
  <w:style w:type="paragraph" w:styleId="Titre3">
    <w:name w:val="heading 3"/>
    <w:basedOn w:val="Normal"/>
    <w:next w:val="Paragraphe"/>
    <w:qFormat/>
    <w:rsid w:val="008A3CE9"/>
    <w:pPr>
      <w:keepNext/>
      <w:spacing w:before="120" w:after="120"/>
      <w:outlineLvl w:val="2"/>
    </w:pPr>
    <w:rPr>
      <w:i/>
      <w:lang w:eastAsia="fr-CA"/>
    </w:rPr>
  </w:style>
  <w:style w:type="paragraph" w:styleId="Titre4">
    <w:name w:val="heading 4"/>
    <w:basedOn w:val="Normal"/>
    <w:next w:val="Paragraphe"/>
    <w:qFormat/>
    <w:rsid w:val="0096322E"/>
    <w:pPr>
      <w:keepNext/>
      <w:spacing w:before="240" w:after="60"/>
      <w:outlineLvl w:val="3"/>
    </w:p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96322E"/>
    <w:pPr>
      <w:numPr>
        <w:numId w:val="1"/>
      </w:numPr>
      <w:spacing w:before="120" w:after="120"/>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pPr>
      <w:spacing w:after="120"/>
    </w:pPr>
  </w:style>
  <w:style w:type="paragraph" w:styleId="Notedebasdepage">
    <w:name w:val="footnote text"/>
    <w:basedOn w:val="Normal"/>
    <w:link w:val="NotedebasdepageCar"/>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rsid w:val="00B4030F"/>
    <w:pPr>
      <w:jc w:val="center"/>
    </w:pPr>
    <w:rPr>
      <w:b/>
      <w:sz w:val="32"/>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rsid w:val="00B203AC"/>
    <w:pPr>
      <w:jc w:val="center"/>
    </w:pPr>
    <w:rPr>
      <w:b/>
      <w:smallCaps/>
    </w:r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next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next w:val="Paragraphe"/>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customStyle="1" w:styleId="zSoquijlblNoDecision">
    <w:name w:val="zSoquij_lblNoDecision"/>
    <w:basedOn w:val="zSoquijlblNoDossier"/>
    <w:rsid w:val="00EB39E3"/>
  </w:style>
  <w:style w:type="paragraph" w:customStyle="1" w:styleId="zSoquijdatNoDecision">
    <w:name w:val="zSoquij_datNoDecision"/>
    <w:basedOn w:val="zSoquijdatNoDossier"/>
    <w:rsid w:val="00EB39E3"/>
  </w:style>
  <w:style w:type="paragraph" w:styleId="En-tte">
    <w:name w:val="header"/>
    <w:basedOn w:val="Normal"/>
    <w:rsid w:val="00B4030F"/>
    <w:pPr>
      <w:tabs>
        <w:tab w:val="center" w:pos="4320"/>
        <w:tab w:val="right" w:pos="8640"/>
      </w:tabs>
    </w:pPr>
  </w:style>
  <w:style w:type="paragraph" w:styleId="Pieddepage">
    <w:name w:val="footer"/>
    <w:basedOn w:val="Normal"/>
    <w:link w:val="PieddepageCar"/>
    <w:uiPriority w:val="99"/>
    <w:rsid w:val="00B4030F"/>
    <w:pPr>
      <w:tabs>
        <w:tab w:val="center" w:pos="4320"/>
        <w:tab w:val="right" w:pos="8640"/>
      </w:tabs>
    </w:pPr>
  </w:style>
  <w:style w:type="paragraph" w:customStyle="1" w:styleId="Citationendoubleretrait">
    <w:name w:val="Citation en double retrait"/>
    <w:basedOn w:val="Citationenretrait"/>
    <w:qFormat/>
    <w:rsid w:val="000976EC"/>
    <w:pPr>
      <w:ind w:left="992" w:right="992"/>
    </w:pPr>
  </w:style>
  <w:style w:type="paragraph" w:customStyle="1" w:styleId="zSoquijlblNosArticles">
    <w:name w:val="zSoquij_lblNosArticles"/>
    <w:basedOn w:val="zSoquijlblTypeDocument"/>
    <w:rsid w:val="00B203AC"/>
    <w:rPr>
      <w:b w:val="0"/>
      <w:smallCaps w:val="0"/>
    </w:rPr>
  </w:style>
  <w:style w:type="character" w:styleId="Appelnotedebasdep">
    <w:name w:val="footnote reference"/>
    <w:uiPriority w:val="99"/>
    <w:rsid w:val="00BA3C47"/>
    <w:rPr>
      <w:vertAlign w:val="superscript"/>
    </w:rPr>
  </w:style>
  <w:style w:type="paragraph" w:customStyle="1" w:styleId="listespuces">
    <w:name w:val="listespuces"/>
    <w:basedOn w:val="Normal"/>
    <w:rsid w:val="000B7475"/>
    <w:pPr>
      <w:spacing w:before="100" w:beforeAutospacing="1" w:after="100" w:afterAutospacing="1"/>
    </w:pPr>
    <w:rPr>
      <w:rFonts w:ascii="Times New Roman" w:hAnsi="Times New Roman"/>
      <w:szCs w:val="24"/>
      <w:lang w:eastAsia="fr-CA"/>
    </w:rPr>
  </w:style>
  <w:style w:type="character" w:styleId="Textedelespacerserv">
    <w:name w:val="Placeholder Text"/>
    <w:uiPriority w:val="99"/>
    <w:semiHidden/>
    <w:rsid w:val="005E4C6D"/>
    <w:rPr>
      <w:color w:val="808080"/>
    </w:rPr>
  </w:style>
  <w:style w:type="character" w:customStyle="1" w:styleId="NotedebasdepageCar">
    <w:name w:val="Note de bas de page Car"/>
    <w:link w:val="Notedebasdepage"/>
    <w:rsid w:val="001C4B6A"/>
    <w:rPr>
      <w:rFonts w:ascii="Arial" w:hAnsi="Arial"/>
      <w:lang w:eastAsia="fr-FR"/>
    </w:rPr>
  </w:style>
  <w:style w:type="character" w:customStyle="1" w:styleId="ParagrapheCar">
    <w:name w:val="Paragraphe Car"/>
    <w:link w:val="Paragraphe"/>
    <w:locked/>
    <w:rsid w:val="001C4B6A"/>
    <w:rPr>
      <w:rFonts w:ascii="Arial" w:hAnsi="Arial"/>
      <w:kern w:val="28"/>
      <w:sz w:val="24"/>
      <w:lang w:eastAsia="fr-FR"/>
    </w:rPr>
  </w:style>
  <w:style w:type="paragraph" w:styleId="Paragraphedeliste">
    <w:name w:val="List Paragraph"/>
    <w:basedOn w:val="Normal"/>
    <w:link w:val="ParagraphedelisteCar"/>
    <w:uiPriority w:val="34"/>
    <w:qFormat/>
    <w:rsid w:val="00A51284"/>
    <w:pPr>
      <w:spacing w:after="200"/>
      <w:ind w:left="720"/>
      <w:contextualSpacing/>
    </w:pPr>
    <w:rPr>
      <w:rFonts w:eastAsia="Calibri"/>
      <w:sz w:val="22"/>
      <w:szCs w:val="22"/>
      <w:lang w:eastAsia="en-US"/>
    </w:rPr>
  </w:style>
  <w:style w:type="character" w:customStyle="1" w:styleId="ParagraphedelisteCar">
    <w:name w:val="Paragraphe de liste Car"/>
    <w:link w:val="Paragraphedeliste"/>
    <w:uiPriority w:val="34"/>
    <w:rsid w:val="00A51284"/>
    <w:rPr>
      <w:rFonts w:ascii="Arial" w:eastAsia="Calibri" w:hAnsi="Arial" w:cs="Times New Roman"/>
      <w:sz w:val="22"/>
      <w:szCs w:val="22"/>
      <w:lang w:eastAsia="en-US"/>
    </w:rPr>
  </w:style>
  <w:style w:type="character" w:styleId="Hyperlien">
    <w:name w:val="Hyperlink"/>
    <w:uiPriority w:val="99"/>
    <w:unhideWhenUsed/>
    <w:rsid w:val="00A51284"/>
    <w:rPr>
      <w:color w:val="0000FF"/>
      <w:u w:val="single"/>
    </w:rPr>
  </w:style>
  <w:style w:type="character" w:styleId="Marquedecommentaire">
    <w:name w:val="annotation reference"/>
    <w:semiHidden/>
    <w:unhideWhenUsed/>
    <w:rsid w:val="00D421B6"/>
    <w:rPr>
      <w:sz w:val="16"/>
      <w:szCs w:val="16"/>
    </w:rPr>
  </w:style>
  <w:style w:type="paragraph" w:styleId="Commentaire">
    <w:name w:val="annotation text"/>
    <w:basedOn w:val="Normal"/>
    <w:link w:val="CommentaireCar"/>
    <w:semiHidden/>
    <w:unhideWhenUsed/>
    <w:rsid w:val="00D421B6"/>
    <w:rPr>
      <w:sz w:val="20"/>
    </w:rPr>
  </w:style>
  <w:style w:type="character" w:customStyle="1" w:styleId="CommentaireCar">
    <w:name w:val="Commentaire Car"/>
    <w:link w:val="Commentaire"/>
    <w:semiHidden/>
    <w:rsid w:val="00D421B6"/>
    <w:rPr>
      <w:rFonts w:ascii="Arial" w:hAnsi="Arial"/>
      <w:lang w:eastAsia="fr-FR"/>
    </w:rPr>
  </w:style>
  <w:style w:type="paragraph" w:styleId="Objetducommentaire">
    <w:name w:val="annotation subject"/>
    <w:basedOn w:val="Commentaire"/>
    <w:next w:val="Commentaire"/>
    <w:link w:val="ObjetducommentaireCar"/>
    <w:semiHidden/>
    <w:unhideWhenUsed/>
    <w:rsid w:val="00D421B6"/>
    <w:rPr>
      <w:b/>
      <w:bCs/>
    </w:rPr>
  </w:style>
  <w:style w:type="character" w:customStyle="1" w:styleId="ObjetducommentaireCar">
    <w:name w:val="Objet du commentaire Car"/>
    <w:link w:val="Objetducommentaire"/>
    <w:semiHidden/>
    <w:rsid w:val="00D421B6"/>
    <w:rPr>
      <w:rFonts w:ascii="Arial" w:hAnsi="Arial"/>
      <w:b/>
      <w:bCs/>
      <w:lang w:eastAsia="fr-FR"/>
    </w:rPr>
  </w:style>
  <w:style w:type="paragraph" w:styleId="Textedebulles">
    <w:name w:val="Balloon Text"/>
    <w:basedOn w:val="Normal"/>
    <w:link w:val="TextedebullesCar"/>
    <w:semiHidden/>
    <w:unhideWhenUsed/>
    <w:rsid w:val="00D421B6"/>
    <w:rPr>
      <w:rFonts w:ascii="Segoe UI" w:hAnsi="Segoe UI" w:cs="Segoe UI"/>
      <w:sz w:val="18"/>
      <w:szCs w:val="18"/>
    </w:rPr>
  </w:style>
  <w:style w:type="character" w:customStyle="1" w:styleId="TextedebullesCar">
    <w:name w:val="Texte de bulles Car"/>
    <w:link w:val="Textedebulles"/>
    <w:semiHidden/>
    <w:rsid w:val="00D421B6"/>
    <w:rPr>
      <w:rFonts w:ascii="Segoe UI" w:hAnsi="Segoe UI" w:cs="Segoe UI"/>
      <w:sz w:val="18"/>
      <w:szCs w:val="18"/>
      <w:lang w:eastAsia="fr-FR"/>
    </w:rPr>
  </w:style>
  <w:style w:type="paragraph" w:customStyle="1" w:styleId="Default">
    <w:name w:val="Default"/>
    <w:rsid w:val="00EC36FB"/>
    <w:pPr>
      <w:autoSpaceDE w:val="0"/>
      <w:autoSpaceDN w:val="0"/>
      <w:adjustRightInd w:val="0"/>
    </w:pPr>
    <w:rPr>
      <w:rFonts w:ascii="Verdana" w:hAnsi="Verdana" w:cs="Verdana"/>
      <w:color w:val="000000"/>
      <w:sz w:val="24"/>
      <w:szCs w:val="24"/>
    </w:rPr>
  </w:style>
  <w:style w:type="character" w:customStyle="1" w:styleId="PieddepageCar">
    <w:name w:val="Pied de page Car"/>
    <w:link w:val="Pieddepage"/>
    <w:uiPriority w:val="99"/>
    <w:rsid w:val="00B93CD9"/>
    <w:rPr>
      <w:rFonts w:ascii="Arial" w:hAnsi="Arial"/>
      <w:sz w:val="24"/>
      <w:lang w:eastAsia="fr-FR"/>
    </w:rPr>
  </w:style>
  <w:style w:type="paragraph" w:customStyle="1" w:styleId="zsoquijdatrepertorie0">
    <w:name w:val="zsoquijdatrepertorie"/>
    <w:basedOn w:val="Normal"/>
    <w:rsid w:val="004A2558"/>
    <w:pPr>
      <w:spacing w:before="100" w:beforeAutospacing="1" w:after="100" w:afterAutospacing="1"/>
    </w:pPr>
    <w:rPr>
      <w:rFonts w:ascii="Times New Roman" w:hAnsi="Times New Roman"/>
      <w:szCs w:val="24"/>
      <w:lang w:eastAsia="fr-CA"/>
    </w:rPr>
  </w:style>
  <w:style w:type="paragraph" w:styleId="Rvision">
    <w:name w:val="Revision"/>
    <w:hidden/>
    <w:uiPriority w:val="99"/>
    <w:semiHidden/>
    <w:rsid w:val="004A2558"/>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632">
      <w:bodyDiv w:val="1"/>
      <w:marLeft w:val="0"/>
      <w:marRight w:val="0"/>
      <w:marTop w:val="0"/>
      <w:marBottom w:val="0"/>
      <w:divBdr>
        <w:top w:val="none" w:sz="0" w:space="0" w:color="auto"/>
        <w:left w:val="none" w:sz="0" w:space="0" w:color="auto"/>
        <w:bottom w:val="none" w:sz="0" w:space="0" w:color="auto"/>
        <w:right w:val="none" w:sz="0" w:space="0" w:color="auto"/>
      </w:divBdr>
    </w:div>
    <w:div w:id="147795133">
      <w:bodyDiv w:val="1"/>
      <w:marLeft w:val="0"/>
      <w:marRight w:val="0"/>
      <w:marTop w:val="0"/>
      <w:marBottom w:val="0"/>
      <w:divBdr>
        <w:top w:val="none" w:sz="0" w:space="0" w:color="auto"/>
        <w:left w:val="none" w:sz="0" w:space="0" w:color="auto"/>
        <w:bottom w:val="none" w:sz="0" w:space="0" w:color="auto"/>
        <w:right w:val="none" w:sz="0" w:space="0" w:color="auto"/>
      </w:divBdr>
    </w:div>
    <w:div w:id="329790870">
      <w:bodyDiv w:val="1"/>
      <w:marLeft w:val="0"/>
      <w:marRight w:val="0"/>
      <w:marTop w:val="0"/>
      <w:marBottom w:val="0"/>
      <w:divBdr>
        <w:top w:val="none" w:sz="0" w:space="0" w:color="auto"/>
        <w:left w:val="none" w:sz="0" w:space="0" w:color="auto"/>
        <w:bottom w:val="none" w:sz="0" w:space="0" w:color="auto"/>
        <w:right w:val="none" w:sz="0" w:space="0" w:color="auto"/>
      </w:divBdr>
    </w:div>
    <w:div w:id="577440845">
      <w:bodyDiv w:val="1"/>
      <w:marLeft w:val="0"/>
      <w:marRight w:val="0"/>
      <w:marTop w:val="0"/>
      <w:marBottom w:val="0"/>
      <w:divBdr>
        <w:top w:val="none" w:sz="0" w:space="0" w:color="auto"/>
        <w:left w:val="none" w:sz="0" w:space="0" w:color="auto"/>
        <w:bottom w:val="none" w:sz="0" w:space="0" w:color="auto"/>
        <w:right w:val="none" w:sz="0" w:space="0" w:color="auto"/>
      </w:divBdr>
      <w:divsChild>
        <w:div w:id="345518900">
          <w:marLeft w:val="30"/>
          <w:marRight w:val="0"/>
          <w:marTop w:val="0"/>
          <w:marBottom w:val="0"/>
          <w:divBdr>
            <w:top w:val="none" w:sz="0" w:space="0" w:color="auto"/>
            <w:left w:val="none" w:sz="0" w:space="0" w:color="auto"/>
            <w:bottom w:val="none" w:sz="0" w:space="0" w:color="auto"/>
            <w:right w:val="none" w:sz="0" w:space="0" w:color="auto"/>
          </w:divBdr>
        </w:div>
        <w:div w:id="1032459328">
          <w:marLeft w:val="30"/>
          <w:marRight w:val="0"/>
          <w:marTop w:val="0"/>
          <w:marBottom w:val="0"/>
          <w:divBdr>
            <w:top w:val="none" w:sz="0" w:space="0" w:color="auto"/>
            <w:left w:val="none" w:sz="0" w:space="0" w:color="auto"/>
            <w:bottom w:val="none" w:sz="0" w:space="0" w:color="auto"/>
            <w:right w:val="none" w:sz="0" w:space="0" w:color="auto"/>
          </w:divBdr>
        </w:div>
        <w:div w:id="1478524014">
          <w:marLeft w:val="30"/>
          <w:marRight w:val="0"/>
          <w:marTop w:val="0"/>
          <w:marBottom w:val="0"/>
          <w:divBdr>
            <w:top w:val="none" w:sz="0" w:space="0" w:color="auto"/>
            <w:left w:val="none" w:sz="0" w:space="0" w:color="auto"/>
            <w:bottom w:val="none" w:sz="0" w:space="0" w:color="auto"/>
            <w:right w:val="none" w:sz="0" w:space="0" w:color="auto"/>
          </w:divBdr>
        </w:div>
        <w:div w:id="1564025345">
          <w:marLeft w:val="30"/>
          <w:marRight w:val="0"/>
          <w:marTop w:val="0"/>
          <w:marBottom w:val="0"/>
          <w:divBdr>
            <w:top w:val="none" w:sz="0" w:space="0" w:color="auto"/>
            <w:left w:val="none" w:sz="0" w:space="0" w:color="auto"/>
            <w:bottom w:val="none" w:sz="0" w:space="0" w:color="auto"/>
            <w:right w:val="none" w:sz="0" w:space="0" w:color="auto"/>
          </w:divBdr>
        </w:div>
        <w:div w:id="1985885155">
          <w:marLeft w:val="30"/>
          <w:marRight w:val="0"/>
          <w:marTop w:val="0"/>
          <w:marBottom w:val="0"/>
          <w:divBdr>
            <w:top w:val="none" w:sz="0" w:space="0" w:color="auto"/>
            <w:left w:val="none" w:sz="0" w:space="0" w:color="auto"/>
            <w:bottom w:val="none" w:sz="0" w:space="0" w:color="auto"/>
            <w:right w:val="none" w:sz="0" w:space="0" w:color="auto"/>
          </w:divBdr>
        </w:div>
      </w:divsChild>
    </w:div>
    <w:div w:id="605845396">
      <w:bodyDiv w:val="1"/>
      <w:marLeft w:val="0"/>
      <w:marRight w:val="0"/>
      <w:marTop w:val="0"/>
      <w:marBottom w:val="0"/>
      <w:divBdr>
        <w:top w:val="none" w:sz="0" w:space="0" w:color="auto"/>
        <w:left w:val="none" w:sz="0" w:space="0" w:color="auto"/>
        <w:bottom w:val="none" w:sz="0" w:space="0" w:color="auto"/>
        <w:right w:val="none" w:sz="0" w:space="0" w:color="auto"/>
      </w:divBdr>
    </w:div>
    <w:div w:id="674114462">
      <w:bodyDiv w:val="1"/>
      <w:marLeft w:val="0"/>
      <w:marRight w:val="0"/>
      <w:marTop w:val="0"/>
      <w:marBottom w:val="0"/>
      <w:divBdr>
        <w:top w:val="none" w:sz="0" w:space="0" w:color="auto"/>
        <w:left w:val="none" w:sz="0" w:space="0" w:color="auto"/>
        <w:bottom w:val="none" w:sz="0" w:space="0" w:color="auto"/>
        <w:right w:val="none" w:sz="0" w:space="0" w:color="auto"/>
      </w:divBdr>
    </w:div>
    <w:div w:id="1072459830">
      <w:bodyDiv w:val="1"/>
      <w:marLeft w:val="0"/>
      <w:marRight w:val="0"/>
      <w:marTop w:val="0"/>
      <w:marBottom w:val="0"/>
      <w:divBdr>
        <w:top w:val="none" w:sz="0" w:space="0" w:color="auto"/>
        <w:left w:val="none" w:sz="0" w:space="0" w:color="auto"/>
        <w:bottom w:val="none" w:sz="0" w:space="0" w:color="auto"/>
        <w:right w:val="none" w:sz="0" w:space="0" w:color="auto"/>
      </w:divBdr>
    </w:div>
    <w:div w:id="1228347763">
      <w:bodyDiv w:val="1"/>
      <w:marLeft w:val="0"/>
      <w:marRight w:val="0"/>
      <w:marTop w:val="0"/>
      <w:marBottom w:val="0"/>
      <w:divBdr>
        <w:top w:val="none" w:sz="0" w:space="0" w:color="auto"/>
        <w:left w:val="none" w:sz="0" w:space="0" w:color="auto"/>
        <w:bottom w:val="none" w:sz="0" w:space="0" w:color="auto"/>
        <w:right w:val="none" w:sz="0" w:space="0" w:color="auto"/>
      </w:divBdr>
    </w:div>
    <w:div w:id="1256330473">
      <w:bodyDiv w:val="1"/>
      <w:marLeft w:val="0"/>
      <w:marRight w:val="0"/>
      <w:marTop w:val="0"/>
      <w:marBottom w:val="0"/>
      <w:divBdr>
        <w:top w:val="none" w:sz="0" w:space="0" w:color="auto"/>
        <w:left w:val="none" w:sz="0" w:space="0" w:color="auto"/>
        <w:bottom w:val="none" w:sz="0" w:space="0" w:color="auto"/>
        <w:right w:val="none" w:sz="0" w:space="0" w:color="auto"/>
      </w:divBdr>
    </w:div>
    <w:div w:id="1554385119">
      <w:bodyDiv w:val="1"/>
      <w:marLeft w:val="0"/>
      <w:marRight w:val="0"/>
      <w:marTop w:val="0"/>
      <w:marBottom w:val="0"/>
      <w:divBdr>
        <w:top w:val="none" w:sz="0" w:space="0" w:color="auto"/>
        <w:left w:val="none" w:sz="0" w:space="0" w:color="auto"/>
        <w:bottom w:val="none" w:sz="0" w:space="0" w:color="auto"/>
        <w:right w:val="none" w:sz="0" w:space="0" w:color="auto"/>
      </w:divBdr>
    </w:div>
    <w:div w:id="16918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C59B-AD2F-41E7-9CA1-5B435CFB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7873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2023-08-22T13:38:00Z</dcterms:created>
  <dcterms:modified xsi:type="dcterms:W3CDTF">2023-08-22T13:38:00Z</dcterms:modified>
  <cp:category/>
</cp:coreProperties>
</file>