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E627" w14:textId="77777777" w:rsidR="00B449E6" w:rsidRDefault="00B449E6" w:rsidP="00B449E6">
      <w:pPr>
        <w:rPr>
          <w:lang w:val="en-CA"/>
        </w:rPr>
      </w:pPr>
      <w:r w:rsidRPr="00395D16">
        <w:rPr>
          <w:lang w:val="en-CA"/>
        </w:rPr>
        <w:t xml:space="preserve">Unofficial English translation of the judgment of the Court </w:t>
      </w:r>
    </w:p>
    <w:tbl>
      <w:tblPr>
        <w:tblW w:w="9360" w:type="dxa"/>
        <w:tblLayout w:type="fixed"/>
        <w:tblCellMar>
          <w:left w:w="0" w:type="dxa"/>
          <w:right w:w="0" w:type="dxa"/>
        </w:tblCellMar>
        <w:tblLook w:val="04A0" w:firstRow="1" w:lastRow="0" w:firstColumn="1" w:lastColumn="0" w:noHBand="0" w:noVBand="1"/>
      </w:tblPr>
      <w:tblGrid>
        <w:gridCol w:w="1030"/>
        <w:gridCol w:w="590"/>
        <w:gridCol w:w="81"/>
        <w:gridCol w:w="2269"/>
        <w:gridCol w:w="3402"/>
        <w:gridCol w:w="1988"/>
      </w:tblGrid>
      <w:tr w:rsidR="007044F8" w:rsidRPr="00E20A08" w14:paraId="5060BE91" w14:textId="77777777" w:rsidTr="009D3FCE">
        <w:trPr>
          <w:trHeight w:val="248"/>
        </w:trPr>
        <w:tc>
          <w:tcPr>
            <w:tcW w:w="7372" w:type="dxa"/>
            <w:gridSpan w:val="5"/>
            <w:hideMark/>
          </w:tcPr>
          <w:p w14:paraId="24D2DAEA" w14:textId="51899226" w:rsidR="009D3FCE" w:rsidRPr="00874FC6" w:rsidRDefault="006979E7">
            <w:pPr>
              <w:pStyle w:val="zSoquijdatRepertorie"/>
              <w:rPr>
                <w:rFonts w:cs="Arial"/>
              </w:rPr>
            </w:pPr>
            <w:r w:rsidRPr="00874FC6">
              <w:rPr>
                <w:rFonts w:cs="Arial"/>
              </w:rPr>
              <w:t xml:space="preserve">R.O. c. </w:t>
            </w:r>
            <w:proofErr w:type="gramStart"/>
            <w:r w:rsidRPr="00874FC6">
              <w:rPr>
                <w:rFonts w:cs="Arial"/>
              </w:rPr>
              <w:t>Ministre de l'Emploi</w:t>
            </w:r>
            <w:proofErr w:type="gramEnd"/>
            <w:r w:rsidRPr="00874FC6">
              <w:rPr>
                <w:rFonts w:cs="Arial"/>
              </w:rPr>
              <w:t xml:space="preserve"> et de la Solidarité sociale</w:t>
            </w:r>
          </w:p>
        </w:tc>
        <w:tc>
          <w:tcPr>
            <w:tcW w:w="1988" w:type="dxa"/>
            <w:hideMark/>
          </w:tcPr>
          <w:p w14:paraId="48250C96" w14:textId="77777777" w:rsidR="009D3FCE" w:rsidRPr="00E20A08" w:rsidRDefault="006979E7">
            <w:pPr>
              <w:pStyle w:val="zSoquijdatRefNeutre"/>
              <w:jc w:val="right"/>
              <w:rPr>
                <w:rFonts w:cs="Arial"/>
                <w:lang w:val="en-CA"/>
              </w:rPr>
            </w:pPr>
            <w:r w:rsidRPr="00E20A08">
              <w:rPr>
                <w:rFonts w:cs="Arial"/>
                <w:lang w:val="en-CA"/>
              </w:rPr>
              <w:t>2021 QCCA 1185</w:t>
            </w:r>
          </w:p>
        </w:tc>
      </w:tr>
      <w:tr w:rsidR="007044F8" w:rsidRPr="00E20A08" w14:paraId="649B57D6" w14:textId="77777777" w:rsidTr="009D3FCE">
        <w:tblPrEx>
          <w:tblLook w:val="0000" w:firstRow="0" w:lastRow="0" w:firstColumn="0" w:lastColumn="0" w:noHBand="0" w:noVBand="0"/>
        </w:tblPrEx>
        <w:trPr>
          <w:trHeight w:val="247"/>
        </w:trPr>
        <w:tc>
          <w:tcPr>
            <w:tcW w:w="9360" w:type="dxa"/>
            <w:gridSpan w:val="6"/>
          </w:tcPr>
          <w:p w14:paraId="2A7BA5FB" w14:textId="31D16D37" w:rsidR="008F364A" w:rsidRPr="00E20A08" w:rsidRDefault="006979E7">
            <w:pPr>
              <w:pStyle w:val="zSoquijlblCour"/>
              <w:rPr>
                <w:lang w:val="en-CA"/>
              </w:rPr>
            </w:pPr>
            <w:r w:rsidRPr="00E20A08">
              <w:rPr>
                <w:lang w:val="en-CA"/>
              </w:rPr>
              <w:t>COUR</w:t>
            </w:r>
            <w:r w:rsidR="00D9679D" w:rsidRPr="00E20A08">
              <w:rPr>
                <w:lang w:val="en-CA"/>
              </w:rPr>
              <w:t xml:space="preserve">T OF </w:t>
            </w:r>
            <w:r w:rsidRPr="00E20A08">
              <w:rPr>
                <w:lang w:val="en-CA"/>
              </w:rPr>
              <w:t>APPE</w:t>
            </w:r>
            <w:r w:rsidR="00D9679D" w:rsidRPr="00E20A08">
              <w:rPr>
                <w:lang w:val="en-CA"/>
              </w:rPr>
              <w:t>A</w:t>
            </w:r>
            <w:r w:rsidRPr="00E20A08">
              <w:rPr>
                <w:lang w:val="en-CA"/>
              </w:rPr>
              <w:t>L</w:t>
            </w:r>
          </w:p>
        </w:tc>
      </w:tr>
      <w:tr w:rsidR="007044F8" w:rsidRPr="00E20A08" w14:paraId="3EB64F34" w14:textId="77777777" w:rsidTr="009D3FCE">
        <w:tblPrEx>
          <w:tblLook w:val="0000" w:firstRow="0" w:lastRow="0" w:firstColumn="0" w:lastColumn="0" w:noHBand="0" w:noVBand="0"/>
        </w:tblPrEx>
        <w:trPr>
          <w:trHeight w:val="540"/>
        </w:trPr>
        <w:tc>
          <w:tcPr>
            <w:tcW w:w="9360" w:type="dxa"/>
            <w:gridSpan w:val="6"/>
          </w:tcPr>
          <w:p w14:paraId="36859BC9" w14:textId="77777777" w:rsidR="008F364A" w:rsidRPr="00E20A08" w:rsidRDefault="008F364A">
            <w:pPr>
              <w:pStyle w:val="zSoquijdatDivision"/>
              <w:rPr>
                <w:lang w:val="en-CA"/>
              </w:rPr>
            </w:pPr>
          </w:p>
        </w:tc>
      </w:tr>
      <w:tr w:rsidR="007044F8" w:rsidRPr="00E20A08" w14:paraId="4618EDE5" w14:textId="77777777" w:rsidTr="009D3FCE">
        <w:tblPrEx>
          <w:tblLook w:val="0000" w:firstRow="0" w:lastRow="0" w:firstColumn="0" w:lastColumn="0" w:noHBand="0" w:noVBand="0"/>
        </w:tblPrEx>
        <w:tc>
          <w:tcPr>
            <w:tcW w:w="9360" w:type="dxa"/>
            <w:gridSpan w:val="6"/>
          </w:tcPr>
          <w:p w14:paraId="730947EB" w14:textId="77777777" w:rsidR="008F364A" w:rsidRPr="00E20A08" w:rsidRDefault="006979E7">
            <w:pPr>
              <w:pStyle w:val="zSoquijlblPays"/>
              <w:rPr>
                <w:lang w:val="en-CA"/>
              </w:rPr>
            </w:pPr>
            <w:r w:rsidRPr="00E20A08">
              <w:rPr>
                <w:lang w:val="en-CA"/>
              </w:rPr>
              <w:t>CANADA</w:t>
            </w:r>
          </w:p>
        </w:tc>
      </w:tr>
      <w:tr w:rsidR="007044F8" w:rsidRPr="00E20A08" w14:paraId="3D23CF57" w14:textId="77777777" w:rsidTr="009D3FCE">
        <w:tblPrEx>
          <w:tblLook w:val="0000" w:firstRow="0" w:lastRow="0" w:firstColumn="0" w:lastColumn="0" w:noHBand="0" w:noVBand="0"/>
        </w:tblPrEx>
        <w:tc>
          <w:tcPr>
            <w:tcW w:w="9360" w:type="dxa"/>
            <w:gridSpan w:val="6"/>
          </w:tcPr>
          <w:p w14:paraId="456B36D8" w14:textId="02C7AE80" w:rsidR="008F364A" w:rsidRPr="00E20A08" w:rsidRDefault="006979E7">
            <w:pPr>
              <w:pStyle w:val="zSoquijlblProvince"/>
              <w:rPr>
                <w:lang w:val="en-CA"/>
              </w:rPr>
            </w:pPr>
            <w:r w:rsidRPr="00E20A08">
              <w:rPr>
                <w:lang w:val="en-CA"/>
              </w:rPr>
              <w:t xml:space="preserve">PROVINCE </w:t>
            </w:r>
            <w:r w:rsidR="00D9679D" w:rsidRPr="00E20A08">
              <w:rPr>
                <w:lang w:val="en-CA"/>
              </w:rPr>
              <w:t>OF</w:t>
            </w:r>
            <w:r w:rsidRPr="00E20A08">
              <w:rPr>
                <w:lang w:val="en-CA"/>
              </w:rPr>
              <w:t xml:space="preserve"> QU</w:t>
            </w:r>
            <w:r w:rsidR="00D9679D" w:rsidRPr="00E20A08">
              <w:rPr>
                <w:lang w:val="en-CA"/>
              </w:rPr>
              <w:t>E</w:t>
            </w:r>
            <w:r w:rsidRPr="00E20A08">
              <w:rPr>
                <w:lang w:val="en-CA"/>
              </w:rPr>
              <w:t>BEC</w:t>
            </w:r>
          </w:p>
        </w:tc>
      </w:tr>
      <w:tr w:rsidR="007044F8" w:rsidRPr="00E20A08" w14:paraId="66C1D0E0" w14:textId="77777777" w:rsidTr="00D9679D">
        <w:tblPrEx>
          <w:tblLook w:val="0000" w:firstRow="0" w:lastRow="0" w:firstColumn="0" w:lastColumn="0" w:noHBand="0" w:noVBand="0"/>
        </w:tblPrEx>
        <w:tc>
          <w:tcPr>
            <w:tcW w:w="1701" w:type="dxa"/>
            <w:gridSpan w:val="3"/>
          </w:tcPr>
          <w:p w14:paraId="21D61267" w14:textId="17C94350" w:rsidR="008F364A" w:rsidRPr="00E20A08" w:rsidRDefault="00D9679D">
            <w:pPr>
              <w:pStyle w:val="zSoquijlblGreffe"/>
              <w:rPr>
                <w:lang w:val="en-CA"/>
              </w:rPr>
            </w:pPr>
            <w:r w:rsidRPr="00E20A08">
              <w:rPr>
                <w:lang w:val="en-CA"/>
              </w:rPr>
              <w:t>REGISTRY OF</w:t>
            </w:r>
          </w:p>
          <w:p w14:paraId="2C8CAC12" w14:textId="77777777" w:rsidR="008F364A" w:rsidRPr="00E20A08" w:rsidRDefault="008F364A">
            <w:pPr>
              <w:pStyle w:val="zSoquijlblGreffe"/>
              <w:rPr>
                <w:lang w:val="en-CA"/>
              </w:rPr>
            </w:pPr>
          </w:p>
        </w:tc>
        <w:tc>
          <w:tcPr>
            <w:tcW w:w="7659" w:type="dxa"/>
            <w:gridSpan w:val="3"/>
          </w:tcPr>
          <w:p w14:paraId="2BB2004A" w14:textId="29F45AAA" w:rsidR="008F364A" w:rsidRPr="00E20A08" w:rsidRDefault="006979E7">
            <w:pPr>
              <w:pStyle w:val="zSoquijdatGreffe"/>
              <w:rPr>
                <w:lang w:val="en-CA"/>
              </w:rPr>
            </w:pPr>
            <w:bookmarkStart w:id="0" w:name="NomGreffe"/>
            <w:r w:rsidRPr="00E20A08">
              <w:rPr>
                <w:lang w:val="en-CA"/>
              </w:rPr>
              <w:t>MONTR</w:t>
            </w:r>
            <w:r w:rsidR="00D9679D" w:rsidRPr="00E20A08">
              <w:rPr>
                <w:lang w:val="en-CA"/>
              </w:rPr>
              <w:t>E</w:t>
            </w:r>
            <w:r w:rsidRPr="00E20A08">
              <w:rPr>
                <w:lang w:val="en-CA"/>
              </w:rPr>
              <w:t>AL</w:t>
            </w:r>
            <w:bookmarkEnd w:id="0"/>
          </w:p>
        </w:tc>
      </w:tr>
      <w:tr w:rsidR="007044F8" w:rsidRPr="00E20A08" w14:paraId="76D15109" w14:textId="77777777" w:rsidTr="009D3FCE">
        <w:tblPrEx>
          <w:tblLook w:val="0000" w:firstRow="0" w:lastRow="0" w:firstColumn="0" w:lastColumn="0" w:noHBand="0" w:noVBand="0"/>
        </w:tblPrEx>
        <w:tc>
          <w:tcPr>
            <w:tcW w:w="1030" w:type="dxa"/>
          </w:tcPr>
          <w:p w14:paraId="347711D8" w14:textId="554BC983" w:rsidR="008F364A" w:rsidRPr="00E20A08" w:rsidRDefault="006979E7">
            <w:pPr>
              <w:pStyle w:val="zSoquijlblNoDossier"/>
              <w:rPr>
                <w:lang w:val="en-CA"/>
              </w:rPr>
            </w:pPr>
            <w:r w:rsidRPr="00E20A08">
              <w:rPr>
                <w:lang w:val="en-CA"/>
              </w:rPr>
              <w:t>N</w:t>
            </w:r>
            <w:r w:rsidR="00D9679D" w:rsidRPr="00E20A08">
              <w:rPr>
                <w:lang w:val="en-CA"/>
              </w:rPr>
              <w:t>o.</w:t>
            </w:r>
            <w:r w:rsidRPr="00E20A08">
              <w:rPr>
                <w:lang w:val="en-CA"/>
              </w:rPr>
              <w:t>:</w:t>
            </w:r>
          </w:p>
        </w:tc>
        <w:tc>
          <w:tcPr>
            <w:tcW w:w="8330" w:type="dxa"/>
            <w:gridSpan w:val="5"/>
          </w:tcPr>
          <w:p w14:paraId="56F45798" w14:textId="78F06572" w:rsidR="008F364A" w:rsidRPr="00E20A08" w:rsidRDefault="00362E91">
            <w:pPr>
              <w:pStyle w:val="zSoquijdatNoDossier"/>
              <w:rPr>
                <w:lang w:val="en-CA"/>
              </w:rPr>
            </w:pPr>
            <w:r w:rsidRPr="00E20A08">
              <w:rPr>
                <w:lang w:val="en-CA"/>
              </w:rPr>
              <w:t>500-09-029206-208</w:t>
            </w:r>
          </w:p>
        </w:tc>
      </w:tr>
      <w:tr w:rsidR="007044F8" w:rsidRPr="00E20A08" w14:paraId="50A89930" w14:textId="77777777" w:rsidTr="009D3FCE">
        <w:tblPrEx>
          <w:tblLook w:val="0000" w:firstRow="0" w:lastRow="0" w:firstColumn="0" w:lastColumn="0" w:noHBand="0" w:noVBand="0"/>
        </w:tblPrEx>
        <w:tc>
          <w:tcPr>
            <w:tcW w:w="9360" w:type="dxa"/>
            <w:gridSpan w:val="6"/>
          </w:tcPr>
          <w:p w14:paraId="571EB8E9" w14:textId="77777777" w:rsidR="00F43D2A" w:rsidRPr="00E20A08" w:rsidRDefault="006979E7" w:rsidP="00F43D2A">
            <w:pPr>
              <w:pStyle w:val="zSoquijdatNoDossierAnt"/>
              <w:rPr>
                <w:lang w:val="en-CA"/>
              </w:rPr>
            </w:pPr>
            <w:r w:rsidRPr="00E20A08">
              <w:rPr>
                <w:lang w:val="en-CA"/>
              </w:rPr>
              <w:t>(500-17-105698-180)</w:t>
            </w:r>
          </w:p>
        </w:tc>
      </w:tr>
      <w:tr w:rsidR="007044F8" w:rsidRPr="00E20A08" w14:paraId="5E28C30B" w14:textId="77777777" w:rsidTr="00623D91">
        <w:tblPrEx>
          <w:tblLook w:val="0000" w:firstRow="0" w:lastRow="0" w:firstColumn="0" w:lastColumn="0" w:noHBand="0" w:noVBand="0"/>
        </w:tblPrEx>
        <w:trPr>
          <w:trHeight w:val="83"/>
        </w:trPr>
        <w:tc>
          <w:tcPr>
            <w:tcW w:w="9360" w:type="dxa"/>
            <w:gridSpan w:val="6"/>
          </w:tcPr>
          <w:p w14:paraId="6F099868" w14:textId="77777777" w:rsidR="008F364A" w:rsidRPr="00E20A08" w:rsidRDefault="008F364A">
            <w:pPr>
              <w:rPr>
                <w:lang w:val="en-CA"/>
              </w:rPr>
            </w:pPr>
          </w:p>
        </w:tc>
      </w:tr>
      <w:tr w:rsidR="007044F8" w:rsidRPr="00E20A08" w14:paraId="315ACDCF" w14:textId="77777777" w:rsidTr="009D3FCE">
        <w:tblPrEx>
          <w:tblLook w:val="0000" w:firstRow="0" w:lastRow="0" w:firstColumn="0" w:lastColumn="0" w:noHBand="0" w:noVBand="0"/>
        </w:tblPrEx>
        <w:tc>
          <w:tcPr>
            <w:tcW w:w="1030" w:type="dxa"/>
          </w:tcPr>
          <w:p w14:paraId="5CCF612C" w14:textId="354EC584" w:rsidR="008F364A" w:rsidRPr="00E20A08" w:rsidRDefault="006979E7">
            <w:pPr>
              <w:pStyle w:val="zSoquijlblDateJugement"/>
              <w:rPr>
                <w:lang w:val="en-CA"/>
              </w:rPr>
            </w:pPr>
            <w:r w:rsidRPr="00E20A08">
              <w:rPr>
                <w:lang w:val="en-CA"/>
              </w:rPr>
              <w:t>DATE:</w:t>
            </w:r>
          </w:p>
        </w:tc>
        <w:tc>
          <w:tcPr>
            <w:tcW w:w="8330" w:type="dxa"/>
            <w:gridSpan w:val="5"/>
          </w:tcPr>
          <w:p w14:paraId="1ACFCF92" w14:textId="7B5E71FA" w:rsidR="008F364A" w:rsidRPr="00E20A08" w:rsidRDefault="00D9679D" w:rsidP="0072201E">
            <w:pPr>
              <w:pStyle w:val="zSoquijdatDateJugement"/>
              <w:rPr>
                <w:lang w:val="en-CA"/>
              </w:rPr>
            </w:pPr>
            <w:r w:rsidRPr="00E20A08">
              <w:rPr>
                <w:lang w:val="en-CA"/>
              </w:rPr>
              <w:t xml:space="preserve">July </w:t>
            </w:r>
            <w:r w:rsidR="00DA633D" w:rsidRPr="00E20A08">
              <w:rPr>
                <w:lang w:val="en-CA"/>
              </w:rPr>
              <w:t>23</w:t>
            </w:r>
            <w:r w:rsidRPr="00E20A08">
              <w:rPr>
                <w:lang w:val="en-CA"/>
              </w:rPr>
              <w:t xml:space="preserve">, </w:t>
            </w:r>
            <w:r w:rsidR="00DA633D" w:rsidRPr="00E20A08">
              <w:rPr>
                <w:lang w:val="en-CA"/>
              </w:rPr>
              <w:t>2021 (</w:t>
            </w:r>
            <w:r w:rsidRPr="00E20A08">
              <w:rPr>
                <w:lang w:val="en-CA"/>
              </w:rPr>
              <w:t xml:space="preserve">corrected July 28, </w:t>
            </w:r>
            <w:r w:rsidR="00DA633D" w:rsidRPr="00E20A08">
              <w:rPr>
                <w:lang w:val="en-CA"/>
              </w:rPr>
              <w:t>2021)</w:t>
            </w:r>
          </w:p>
        </w:tc>
      </w:tr>
      <w:tr w:rsidR="007044F8" w:rsidRPr="00E20A08" w14:paraId="39FE6655" w14:textId="77777777" w:rsidTr="009D3FCE">
        <w:tblPrEx>
          <w:tblLook w:val="0000" w:firstRow="0" w:lastRow="0" w:firstColumn="0" w:lastColumn="0" w:noHBand="0" w:noVBand="0"/>
        </w:tblPrEx>
        <w:tc>
          <w:tcPr>
            <w:tcW w:w="9360" w:type="dxa"/>
            <w:gridSpan w:val="6"/>
            <w:tcBorders>
              <w:bottom w:val="single" w:sz="8" w:space="0" w:color="auto"/>
            </w:tcBorders>
          </w:tcPr>
          <w:p w14:paraId="039659C4" w14:textId="77777777" w:rsidR="008F364A" w:rsidRPr="00E20A08" w:rsidRDefault="008F364A">
            <w:pPr>
              <w:rPr>
                <w:lang w:val="en-CA"/>
              </w:rPr>
            </w:pPr>
          </w:p>
        </w:tc>
      </w:tr>
      <w:tr w:rsidR="007044F8" w:rsidRPr="00E20A08" w14:paraId="30FDF876" w14:textId="77777777" w:rsidTr="009D3FCE">
        <w:tblPrEx>
          <w:tblLook w:val="0000" w:firstRow="0" w:lastRow="0" w:firstColumn="0" w:lastColumn="0" w:noHBand="0" w:noVBand="0"/>
        </w:tblPrEx>
        <w:tc>
          <w:tcPr>
            <w:tcW w:w="9360" w:type="dxa"/>
            <w:gridSpan w:val="6"/>
            <w:tcBorders>
              <w:top w:val="single" w:sz="8" w:space="0" w:color="auto"/>
            </w:tcBorders>
          </w:tcPr>
          <w:p w14:paraId="6FA89235" w14:textId="77777777" w:rsidR="008F364A" w:rsidRPr="00E20A08" w:rsidRDefault="008F364A">
            <w:pPr>
              <w:rPr>
                <w:lang w:val="en-CA"/>
              </w:rPr>
            </w:pPr>
          </w:p>
        </w:tc>
      </w:tr>
      <w:tr w:rsidR="007044F8" w:rsidRPr="00E20A08" w14:paraId="2C274D4B" w14:textId="77777777" w:rsidTr="009D3FCE">
        <w:tblPrEx>
          <w:tblLook w:val="0000" w:firstRow="0" w:lastRow="0" w:firstColumn="0" w:lastColumn="0" w:noHBand="0" w:noVBand="0"/>
        </w:tblPrEx>
        <w:tc>
          <w:tcPr>
            <w:tcW w:w="1620" w:type="dxa"/>
            <w:gridSpan w:val="2"/>
          </w:tcPr>
          <w:p w14:paraId="1A318E6D" w14:textId="4067FD8C" w:rsidR="008F364A" w:rsidRPr="00E20A08" w:rsidRDefault="00926B91" w:rsidP="00423DF1">
            <w:pPr>
              <w:pStyle w:val="zSoquijlblJuge"/>
              <w:ind w:right="-142"/>
              <w:rPr>
                <w:lang w:val="en-CA"/>
              </w:rPr>
            </w:pPr>
            <w:r w:rsidRPr="00E20A08">
              <w:rPr>
                <w:lang w:val="en-CA"/>
              </w:rPr>
              <w:t>CORAM:</w:t>
            </w:r>
          </w:p>
        </w:tc>
        <w:tc>
          <w:tcPr>
            <w:tcW w:w="2350" w:type="dxa"/>
            <w:gridSpan w:val="2"/>
          </w:tcPr>
          <w:p w14:paraId="7A31B0FA" w14:textId="732A2304" w:rsidR="008F364A" w:rsidRPr="00E20A08" w:rsidRDefault="00D9679D">
            <w:pPr>
              <w:pStyle w:val="zSoquijdatQteJuge"/>
              <w:rPr>
                <w:lang w:val="en-CA"/>
              </w:rPr>
            </w:pPr>
            <w:bookmarkStart w:id="1" w:name="Honorables"/>
            <w:r w:rsidRPr="00E20A08">
              <w:rPr>
                <w:lang w:val="en-CA"/>
              </w:rPr>
              <w:t>THE HONOURABLE</w:t>
            </w:r>
            <w:bookmarkEnd w:id="1"/>
          </w:p>
        </w:tc>
        <w:tc>
          <w:tcPr>
            <w:tcW w:w="5390" w:type="dxa"/>
            <w:gridSpan w:val="2"/>
          </w:tcPr>
          <w:p w14:paraId="5F5F6EAA" w14:textId="510BF13A" w:rsidR="008F364A" w:rsidRPr="00874FC6" w:rsidRDefault="00362E91">
            <w:pPr>
              <w:pStyle w:val="zSoquijdatJuge"/>
            </w:pPr>
            <w:r w:rsidRPr="00874FC6">
              <w:t>MARIE-FRANCE BICH, J.A.</w:t>
            </w:r>
          </w:p>
          <w:p w14:paraId="6B2555BC" w14:textId="6E0745BF" w:rsidR="008F364A" w:rsidRPr="00E20A08" w:rsidRDefault="00362E91">
            <w:pPr>
              <w:pStyle w:val="zSoquijdatJuge"/>
              <w:rPr>
                <w:lang w:val="en-CA"/>
              </w:rPr>
            </w:pPr>
            <w:r w:rsidRPr="00E20A08">
              <w:rPr>
                <w:lang w:val="en-CA"/>
              </w:rPr>
              <w:t>PATRICK HEALY, J.A.</w:t>
            </w:r>
          </w:p>
          <w:p w14:paraId="1256EF4E" w14:textId="0F9F414D" w:rsidR="005A78BF" w:rsidRPr="00E20A08" w:rsidRDefault="00362E91" w:rsidP="00F43D2A">
            <w:pPr>
              <w:pStyle w:val="zSoquijdatJuge"/>
              <w:rPr>
                <w:lang w:val="en-CA"/>
              </w:rPr>
            </w:pPr>
            <w:bookmarkStart w:id="2" w:name="_Hlt520513784"/>
            <w:bookmarkEnd w:id="2"/>
            <w:r w:rsidRPr="00E20A08">
              <w:rPr>
                <w:lang w:val="en-CA"/>
              </w:rPr>
              <w:t>STÉPHANE SANSFAÇON, J.A.</w:t>
            </w:r>
          </w:p>
        </w:tc>
      </w:tr>
      <w:tr w:rsidR="007044F8" w:rsidRPr="00E20A08" w14:paraId="23CA3D63" w14:textId="77777777" w:rsidTr="009D3FCE">
        <w:tblPrEx>
          <w:tblLook w:val="0000" w:firstRow="0" w:lastRow="0" w:firstColumn="0" w:lastColumn="0" w:noHBand="0" w:noVBand="0"/>
        </w:tblPrEx>
        <w:tc>
          <w:tcPr>
            <w:tcW w:w="9360" w:type="dxa"/>
            <w:gridSpan w:val="6"/>
            <w:tcBorders>
              <w:bottom w:val="single" w:sz="8" w:space="0" w:color="auto"/>
            </w:tcBorders>
          </w:tcPr>
          <w:p w14:paraId="7ACCF46F" w14:textId="77777777" w:rsidR="008F364A" w:rsidRPr="00E20A08" w:rsidRDefault="008F364A">
            <w:pPr>
              <w:rPr>
                <w:lang w:val="en-CA"/>
              </w:rPr>
            </w:pPr>
          </w:p>
        </w:tc>
      </w:tr>
      <w:tr w:rsidR="007044F8" w:rsidRPr="00E20A08" w14:paraId="79E50114" w14:textId="77777777" w:rsidTr="009D3FCE">
        <w:tblPrEx>
          <w:tblLook w:val="0000" w:firstRow="0" w:lastRow="0" w:firstColumn="0" w:lastColumn="0" w:noHBand="0" w:noVBand="0"/>
        </w:tblPrEx>
        <w:tc>
          <w:tcPr>
            <w:tcW w:w="9360" w:type="dxa"/>
            <w:gridSpan w:val="6"/>
          </w:tcPr>
          <w:p w14:paraId="20A1CA92" w14:textId="77777777" w:rsidR="008F364A" w:rsidRPr="00E20A08" w:rsidRDefault="008F364A">
            <w:pPr>
              <w:pStyle w:val="zSoquijlblTitrePartie"/>
              <w:rPr>
                <w:lang w:val="en-CA"/>
              </w:rPr>
            </w:pPr>
          </w:p>
        </w:tc>
      </w:tr>
      <w:tr w:rsidR="007044F8" w:rsidRPr="00E20A08" w14:paraId="51DDE12C" w14:textId="77777777" w:rsidTr="009D3FCE">
        <w:tblPrEx>
          <w:tblLook w:val="0000" w:firstRow="0" w:lastRow="0" w:firstColumn="0" w:lastColumn="0" w:noHBand="0" w:noVBand="0"/>
        </w:tblPrEx>
        <w:tc>
          <w:tcPr>
            <w:tcW w:w="9360" w:type="dxa"/>
            <w:gridSpan w:val="6"/>
          </w:tcPr>
          <w:p w14:paraId="61674563" w14:textId="3DF7CAD3" w:rsidR="008F364A" w:rsidRPr="00E20A08" w:rsidRDefault="006979E7">
            <w:pPr>
              <w:pStyle w:val="zSoquijdatNomPartieDem"/>
              <w:rPr>
                <w:lang w:val="en-CA"/>
              </w:rPr>
            </w:pPr>
            <w:r w:rsidRPr="00E20A08">
              <w:rPr>
                <w:lang w:val="en-CA"/>
              </w:rPr>
              <w:t>R</w:t>
            </w:r>
            <w:r w:rsidR="00926B91" w:rsidRPr="00E20A08">
              <w:rPr>
                <w:lang w:val="en-CA"/>
              </w:rPr>
              <w:t>.</w:t>
            </w:r>
            <w:r w:rsidRPr="00E20A08">
              <w:rPr>
                <w:lang w:val="en-CA"/>
              </w:rPr>
              <w:t xml:space="preserve"> O</w:t>
            </w:r>
            <w:r w:rsidR="00926B91" w:rsidRPr="00E20A08">
              <w:rPr>
                <w:lang w:val="en-CA"/>
              </w:rPr>
              <w:t>.</w:t>
            </w:r>
          </w:p>
        </w:tc>
      </w:tr>
      <w:tr w:rsidR="007044F8" w:rsidRPr="00E20A08" w14:paraId="4ACDB562" w14:textId="77777777" w:rsidTr="009D3FCE">
        <w:tblPrEx>
          <w:tblLook w:val="0000" w:firstRow="0" w:lastRow="0" w:firstColumn="0" w:lastColumn="0" w:noHBand="0" w:noVBand="0"/>
        </w:tblPrEx>
        <w:tc>
          <w:tcPr>
            <w:tcW w:w="9360" w:type="dxa"/>
            <w:gridSpan w:val="6"/>
          </w:tcPr>
          <w:p w14:paraId="481438A4" w14:textId="489B8DF0" w:rsidR="008F364A" w:rsidRPr="00E20A08" w:rsidRDefault="006979E7">
            <w:pPr>
              <w:pStyle w:val="zSoquijdatQtePartieDem"/>
              <w:rPr>
                <w:lang w:val="en-CA"/>
              </w:rPr>
            </w:pPr>
            <w:r w:rsidRPr="00E20A08">
              <w:rPr>
                <w:lang w:val="en-CA"/>
              </w:rPr>
              <w:t xml:space="preserve">APPELANT – </w:t>
            </w:r>
            <w:r w:rsidR="00926B91" w:rsidRPr="00E20A08">
              <w:rPr>
                <w:lang w:val="en-CA"/>
              </w:rPr>
              <w:t>applicant</w:t>
            </w:r>
            <w:r w:rsidRPr="00E20A08">
              <w:rPr>
                <w:lang w:val="en-CA"/>
              </w:rPr>
              <w:t xml:space="preserve"> </w:t>
            </w:r>
          </w:p>
        </w:tc>
      </w:tr>
      <w:tr w:rsidR="007044F8" w:rsidRPr="00E20A08" w14:paraId="2F1D0849" w14:textId="77777777" w:rsidTr="009D3FCE">
        <w:tblPrEx>
          <w:tblLook w:val="0000" w:firstRow="0" w:lastRow="0" w:firstColumn="0" w:lastColumn="0" w:noHBand="0" w:noVBand="0"/>
        </w:tblPrEx>
        <w:tc>
          <w:tcPr>
            <w:tcW w:w="9360" w:type="dxa"/>
            <w:gridSpan w:val="6"/>
          </w:tcPr>
          <w:p w14:paraId="50B44738" w14:textId="77777777" w:rsidR="008F364A" w:rsidRPr="00E20A08" w:rsidRDefault="006979E7">
            <w:pPr>
              <w:pStyle w:val="zSoquijlblLienParties"/>
              <w:rPr>
                <w:lang w:val="en-CA"/>
              </w:rPr>
            </w:pPr>
            <w:r w:rsidRPr="00E20A08">
              <w:rPr>
                <w:lang w:val="en-CA"/>
              </w:rPr>
              <w:t>c.</w:t>
            </w:r>
          </w:p>
        </w:tc>
      </w:tr>
      <w:tr w:rsidR="007044F8" w:rsidRPr="00E20A08" w14:paraId="5D2C7F16" w14:textId="77777777" w:rsidTr="009D3FCE">
        <w:tblPrEx>
          <w:tblLook w:val="0000" w:firstRow="0" w:lastRow="0" w:firstColumn="0" w:lastColumn="0" w:noHBand="0" w:noVBand="0"/>
        </w:tblPrEx>
        <w:tc>
          <w:tcPr>
            <w:tcW w:w="9360" w:type="dxa"/>
            <w:gridSpan w:val="6"/>
          </w:tcPr>
          <w:p w14:paraId="07D3A34D" w14:textId="77777777" w:rsidR="008F364A" w:rsidRPr="00E20A08" w:rsidRDefault="008F364A">
            <w:pPr>
              <w:rPr>
                <w:lang w:val="en-CA"/>
              </w:rPr>
            </w:pPr>
          </w:p>
        </w:tc>
      </w:tr>
      <w:tr w:rsidR="007044F8" w:rsidRPr="00E20A08" w14:paraId="1B909EA5" w14:textId="77777777" w:rsidTr="009D3FCE">
        <w:tblPrEx>
          <w:tblLook w:val="0000" w:firstRow="0" w:lastRow="0" w:firstColumn="0" w:lastColumn="0" w:noHBand="0" w:noVBand="0"/>
        </w:tblPrEx>
        <w:tc>
          <w:tcPr>
            <w:tcW w:w="9360" w:type="dxa"/>
            <w:gridSpan w:val="6"/>
          </w:tcPr>
          <w:p w14:paraId="0F145F17" w14:textId="77777777" w:rsidR="008F364A" w:rsidRPr="00874FC6" w:rsidRDefault="006979E7" w:rsidP="00247BE6">
            <w:pPr>
              <w:pStyle w:val="zSoquijdatQtePartieDef"/>
              <w:ind w:left="0"/>
              <w:rPr>
                <w:b/>
              </w:rPr>
            </w:pPr>
            <w:r w:rsidRPr="00874FC6">
              <w:rPr>
                <w:b/>
              </w:rPr>
              <w:t>MINISTRE DE L’EMPLOI ET DE LA SOLIDARITÉ SOCIALE</w:t>
            </w:r>
          </w:p>
        </w:tc>
      </w:tr>
      <w:tr w:rsidR="007044F8" w:rsidRPr="00E20A08" w14:paraId="51911BFB" w14:textId="77777777" w:rsidTr="009D3FCE">
        <w:tblPrEx>
          <w:tblLook w:val="0000" w:firstRow="0" w:lastRow="0" w:firstColumn="0" w:lastColumn="0" w:noHBand="0" w:noVBand="0"/>
        </w:tblPrEx>
        <w:tc>
          <w:tcPr>
            <w:tcW w:w="9360" w:type="dxa"/>
            <w:gridSpan w:val="6"/>
          </w:tcPr>
          <w:p w14:paraId="1622D6A4" w14:textId="097503FD" w:rsidR="008F364A" w:rsidRPr="00E20A08" w:rsidRDefault="00926B91" w:rsidP="00247BE6">
            <w:pPr>
              <w:pStyle w:val="zSoquijdatQtePartieDef"/>
              <w:rPr>
                <w:lang w:val="en-CA"/>
              </w:rPr>
            </w:pPr>
            <w:r w:rsidRPr="00E20A08">
              <w:rPr>
                <w:lang w:val="en-CA"/>
              </w:rPr>
              <w:t>RESPONDENT</w:t>
            </w:r>
            <w:r w:rsidR="006979E7" w:rsidRPr="00E20A08">
              <w:rPr>
                <w:lang w:val="en-CA"/>
              </w:rPr>
              <w:t xml:space="preserve"> – </w:t>
            </w:r>
            <w:r w:rsidRPr="00E20A08">
              <w:rPr>
                <w:lang w:val="en-CA"/>
              </w:rPr>
              <w:t>impleaded party</w:t>
            </w:r>
            <w:r w:rsidR="006979E7" w:rsidRPr="00E20A08">
              <w:rPr>
                <w:lang w:val="en-CA"/>
              </w:rPr>
              <w:t xml:space="preserve"> </w:t>
            </w:r>
          </w:p>
        </w:tc>
      </w:tr>
      <w:tr w:rsidR="007044F8" w:rsidRPr="00E20A08" w14:paraId="4D096D69" w14:textId="77777777" w:rsidTr="009D3FCE">
        <w:tblPrEx>
          <w:tblLook w:val="0000" w:firstRow="0" w:lastRow="0" w:firstColumn="0" w:lastColumn="0" w:noHBand="0" w:noVBand="0"/>
        </w:tblPrEx>
        <w:tc>
          <w:tcPr>
            <w:tcW w:w="9360" w:type="dxa"/>
            <w:gridSpan w:val="6"/>
          </w:tcPr>
          <w:p w14:paraId="46EB542F" w14:textId="1CF58F09" w:rsidR="00F43D2A" w:rsidRPr="00E20A08" w:rsidRDefault="00362E91" w:rsidP="00F43D2A">
            <w:pPr>
              <w:pStyle w:val="zSoquijdatQtePartieDef"/>
              <w:ind w:left="0"/>
              <w:rPr>
                <w:lang w:val="en-CA"/>
              </w:rPr>
            </w:pPr>
            <w:r w:rsidRPr="00E20A08">
              <w:rPr>
                <w:lang w:val="en-CA"/>
              </w:rPr>
              <w:t>and</w:t>
            </w:r>
          </w:p>
        </w:tc>
      </w:tr>
      <w:tr w:rsidR="007044F8" w:rsidRPr="00E20A08" w14:paraId="75C3800A" w14:textId="77777777" w:rsidTr="009D3FCE">
        <w:tblPrEx>
          <w:tblLook w:val="0000" w:firstRow="0" w:lastRow="0" w:firstColumn="0" w:lastColumn="0" w:noHBand="0" w:noVBand="0"/>
        </w:tblPrEx>
        <w:tc>
          <w:tcPr>
            <w:tcW w:w="9360" w:type="dxa"/>
            <w:gridSpan w:val="6"/>
          </w:tcPr>
          <w:p w14:paraId="7DB722EB" w14:textId="77777777" w:rsidR="00F43D2A" w:rsidRPr="00E20A08" w:rsidRDefault="00F43D2A">
            <w:pPr>
              <w:pStyle w:val="zSoquijdatQtePartieDef"/>
              <w:rPr>
                <w:lang w:val="en-CA"/>
              </w:rPr>
            </w:pPr>
          </w:p>
        </w:tc>
      </w:tr>
      <w:tr w:rsidR="007044F8" w:rsidRPr="00E20A08" w14:paraId="5E2E75D2" w14:textId="77777777" w:rsidTr="009D3FCE">
        <w:tblPrEx>
          <w:tblLook w:val="0000" w:firstRow="0" w:lastRow="0" w:firstColumn="0" w:lastColumn="0" w:noHBand="0" w:noVBand="0"/>
        </w:tblPrEx>
        <w:tc>
          <w:tcPr>
            <w:tcW w:w="9360" w:type="dxa"/>
            <w:gridSpan w:val="6"/>
          </w:tcPr>
          <w:p w14:paraId="6813E469" w14:textId="3977F6F4" w:rsidR="00247BE6" w:rsidRPr="00E20A08" w:rsidRDefault="00926B91" w:rsidP="00F43D2A">
            <w:pPr>
              <w:pStyle w:val="zSoquijdatQtePartieDef"/>
              <w:ind w:left="0"/>
              <w:rPr>
                <w:b/>
                <w:lang w:val="en-CA"/>
              </w:rPr>
            </w:pPr>
            <w:r w:rsidRPr="00E20A08">
              <w:rPr>
                <w:b/>
                <w:lang w:val="en-CA"/>
              </w:rPr>
              <w:t>ATTORNEY GENERAL OF QUEBEC</w:t>
            </w:r>
          </w:p>
        </w:tc>
      </w:tr>
      <w:tr w:rsidR="007044F8" w:rsidRPr="00E20A08" w14:paraId="1AFE2A76" w14:textId="77777777" w:rsidTr="009D3FCE">
        <w:tblPrEx>
          <w:tblLook w:val="0000" w:firstRow="0" w:lastRow="0" w:firstColumn="0" w:lastColumn="0" w:noHBand="0" w:noVBand="0"/>
        </w:tblPrEx>
        <w:tc>
          <w:tcPr>
            <w:tcW w:w="9360" w:type="dxa"/>
            <w:gridSpan w:val="6"/>
          </w:tcPr>
          <w:p w14:paraId="376AE5C9" w14:textId="2FB1B36E" w:rsidR="00247BE6" w:rsidRPr="00E20A08" w:rsidRDefault="006979E7" w:rsidP="00F43D2A">
            <w:pPr>
              <w:pStyle w:val="zSoquijdatQtePartieDef"/>
              <w:ind w:left="0"/>
              <w:rPr>
                <w:b/>
                <w:lang w:val="en-CA"/>
              </w:rPr>
            </w:pPr>
            <w:r w:rsidRPr="00E20A08">
              <w:rPr>
                <w:b/>
                <w:lang w:val="en-CA"/>
              </w:rPr>
              <w:tab/>
            </w:r>
            <w:r w:rsidR="00926B91" w:rsidRPr="00E20A08">
              <w:rPr>
                <w:b/>
                <w:lang w:val="en-CA"/>
              </w:rPr>
              <w:t>IMPLEADED PARTY</w:t>
            </w:r>
            <w:r w:rsidRPr="00E20A08">
              <w:rPr>
                <w:lang w:val="en-CA"/>
              </w:rPr>
              <w:t xml:space="preserve"> – </w:t>
            </w:r>
            <w:r w:rsidR="00926B91" w:rsidRPr="00E20A08">
              <w:rPr>
                <w:lang w:val="en-CA"/>
              </w:rPr>
              <w:t>impleaded party</w:t>
            </w:r>
          </w:p>
        </w:tc>
      </w:tr>
      <w:tr w:rsidR="007044F8" w:rsidRPr="00E20A08" w14:paraId="25A225BC" w14:textId="77777777" w:rsidTr="009D3FCE">
        <w:tblPrEx>
          <w:tblLook w:val="0000" w:firstRow="0" w:lastRow="0" w:firstColumn="0" w:lastColumn="0" w:noHBand="0" w:noVBand="0"/>
        </w:tblPrEx>
        <w:tc>
          <w:tcPr>
            <w:tcW w:w="9360" w:type="dxa"/>
            <w:gridSpan w:val="6"/>
          </w:tcPr>
          <w:p w14:paraId="23AFAD90" w14:textId="34C24C8F" w:rsidR="00247BE6" w:rsidRPr="00E20A08" w:rsidRDefault="00362E91" w:rsidP="00F43D2A">
            <w:pPr>
              <w:pStyle w:val="zSoquijdatQtePartieDef"/>
              <w:ind w:left="0"/>
              <w:rPr>
                <w:lang w:val="en-CA"/>
              </w:rPr>
            </w:pPr>
            <w:r w:rsidRPr="00E20A08">
              <w:rPr>
                <w:lang w:val="en-CA"/>
              </w:rPr>
              <w:t>a</w:t>
            </w:r>
            <w:r w:rsidR="00926B91" w:rsidRPr="00E20A08">
              <w:rPr>
                <w:lang w:val="en-CA"/>
              </w:rPr>
              <w:t>nd</w:t>
            </w:r>
          </w:p>
        </w:tc>
      </w:tr>
      <w:tr w:rsidR="007044F8" w:rsidRPr="00E20A08" w14:paraId="6B32BA42" w14:textId="77777777" w:rsidTr="009D3FCE">
        <w:tblPrEx>
          <w:tblLook w:val="0000" w:firstRow="0" w:lastRow="0" w:firstColumn="0" w:lastColumn="0" w:noHBand="0" w:noVBand="0"/>
        </w:tblPrEx>
        <w:tc>
          <w:tcPr>
            <w:tcW w:w="9360" w:type="dxa"/>
            <w:gridSpan w:val="6"/>
          </w:tcPr>
          <w:p w14:paraId="588E6E85" w14:textId="77777777" w:rsidR="00247BE6" w:rsidRPr="00E20A08" w:rsidRDefault="00247BE6" w:rsidP="00F43D2A">
            <w:pPr>
              <w:pStyle w:val="zSoquijdatQtePartieDef"/>
              <w:ind w:left="0"/>
              <w:rPr>
                <w:b/>
                <w:lang w:val="en-CA"/>
              </w:rPr>
            </w:pPr>
          </w:p>
        </w:tc>
      </w:tr>
      <w:tr w:rsidR="007044F8" w:rsidRPr="00E20A08" w14:paraId="3899E01E" w14:textId="77777777" w:rsidTr="009D3FCE">
        <w:tblPrEx>
          <w:tblLook w:val="0000" w:firstRow="0" w:lastRow="0" w:firstColumn="0" w:lastColumn="0" w:noHBand="0" w:noVBand="0"/>
        </w:tblPrEx>
        <w:tc>
          <w:tcPr>
            <w:tcW w:w="9360" w:type="dxa"/>
            <w:gridSpan w:val="6"/>
          </w:tcPr>
          <w:p w14:paraId="14205CEE" w14:textId="2DFF74BD" w:rsidR="00247BE6" w:rsidRPr="00E20A08" w:rsidRDefault="006979E7" w:rsidP="00F43D2A">
            <w:pPr>
              <w:pStyle w:val="zSoquijdatQtePartieDef"/>
              <w:ind w:left="0"/>
              <w:rPr>
                <w:b/>
                <w:lang w:val="en-CA"/>
              </w:rPr>
            </w:pPr>
            <w:r w:rsidRPr="00E20A08">
              <w:rPr>
                <w:b/>
                <w:lang w:val="en-CA"/>
              </w:rPr>
              <w:t>ADMINISTRATI</w:t>
            </w:r>
            <w:r w:rsidR="00926B91" w:rsidRPr="00E20A08">
              <w:rPr>
                <w:b/>
                <w:lang w:val="en-CA"/>
              </w:rPr>
              <w:t xml:space="preserve">VE TRIBUNAL OF </w:t>
            </w:r>
            <w:r w:rsidRPr="00E20A08">
              <w:rPr>
                <w:b/>
                <w:lang w:val="en-CA"/>
              </w:rPr>
              <w:t>QU</w:t>
            </w:r>
            <w:r w:rsidR="00926B91" w:rsidRPr="00E20A08">
              <w:rPr>
                <w:b/>
                <w:lang w:val="en-CA"/>
              </w:rPr>
              <w:t>E</w:t>
            </w:r>
            <w:r w:rsidRPr="00E20A08">
              <w:rPr>
                <w:b/>
                <w:lang w:val="en-CA"/>
              </w:rPr>
              <w:t>BEC (SOCIAL</w:t>
            </w:r>
            <w:r w:rsidR="00926B91" w:rsidRPr="00E20A08">
              <w:rPr>
                <w:b/>
                <w:lang w:val="en-CA"/>
              </w:rPr>
              <w:t xml:space="preserve"> AFFAIRS DIVISION</w:t>
            </w:r>
            <w:r w:rsidRPr="00E20A08">
              <w:rPr>
                <w:b/>
                <w:lang w:val="en-CA"/>
              </w:rPr>
              <w:t>)</w:t>
            </w:r>
          </w:p>
        </w:tc>
      </w:tr>
      <w:tr w:rsidR="007044F8" w:rsidRPr="00E20A08" w14:paraId="2C24B9F3" w14:textId="77777777" w:rsidTr="009D3FCE">
        <w:tblPrEx>
          <w:tblLook w:val="0000" w:firstRow="0" w:lastRow="0" w:firstColumn="0" w:lastColumn="0" w:noHBand="0" w:noVBand="0"/>
        </w:tblPrEx>
        <w:tc>
          <w:tcPr>
            <w:tcW w:w="9360" w:type="dxa"/>
            <w:gridSpan w:val="6"/>
          </w:tcPr>
          <w:p w14:paraId="0237A795" w14:textId="5F980E9B" w:rsidR="00F43D2A" w:rsidRPr="00E20A08" w:rsidRDefault="00362E91">
            <w:pPr>
              <w:pStyle w:val="zSoquijdatQtePartieDef"/>
              <w:rPr>
                <w:lang w:val="en-CA"/>
              </w:rPr>
            </w:pPr>
            <w:r w:rsidRPr="00E20A08">
              <w:rPr>
                <w:lang w:val="en-CA"/>
              </w:rPr>
              <w:t>IMPLEADED PARTY</w:t>
            </w:r>
            <w:r w:rsidR="006979E7" w:rsidRPr="00E20A08">
              <w:rPr>
                <w:lang w:val="en-CA"/>
              </w:rPr>
              <w:t xml:space="preserve"> – d</w:t>
            </w:r>
            <w:r w:rsidRPr="00E20A08">
              <w:rPr>
                <w:lang w:val="en-CA"/>
              </w:rPr>
              <w:t>efendant</w:t>
            </w:r>
          </w:p>
        </w:tc>
      </w:tr>
      <w:tr w:rsidR="007044F8" w:rsidRPr="00E20A08" w14:paraId="161AD7DD" w14:textId="77777777" w:rsidTr="009D3FCE">
        <w:tblPrEx>
          <w:tblLook w:val="0000" w:firstRow="0" w:lastRow="0" w:firstColumn="0" w:lastColumn="0" w:noHBand="0" w:noVBand="0"/>
        </w:tblPrEx>
        <w:tc>
          <w:tcPr>
            <w:tcW w:w="9360" w:type="dxa"/>
            <w:gridSpan w:val="6"/>
          </w:tcPr>
          <w:p w14:paraId="17FE6950" w14:textId="77777777" w:rsidR="008F364A" w:rsidRPr="00E20A08" w:rsidRDefault="008F364A">
            <w:pPr>
              <w:rPr>
                <w:lang w:val="en-CA"/>
              </w:rPr>
            </w:pPr>
          </w:p>
        </w:tc>
      </w:tr>
      <w:tr w:rsidR="007044F8" w:rsidRPr="00E20A08" w14:paraId="5F09EAD6" w14:textId="77777777" w:rsidTr="009D3FCE">
        <w:tblPrEx>
          <w:tblLook w:val="0000" w:firstRow="0" w:lastRow="0" w:firstColumn="0" w:lastColumn="0" w:noHBand="0" w:noVBand="0"/>
        </w:tblPrEx>
        <w:tc>
          <w:tcPr>
            <w:tcW w:w="9360" w:type="dxa"/>
            <w:gridSpan w:val="6"/>
            <w:tcBorders>
              <w:top w:val="single" w:sz="8" w:space="0" w:color="auto"/>
            </w:tcBorders>
          </w:tcPr>
          <w:p w14:paraId="1ED7FCCC" w14:textId="77777777" w:rsidR="008F364A" w:rsidRPr="00E20A08" w:rsidRDefault="008F364A">
            <w:pPr>
              <w:rPr>
                <w:lang w:val="en-CA"/>
              </w:rPr>
            </w:pPr>
            <w:bookmarkStart w:id="3" w:name="Arret"/>
          </w:p>
        </w:tc>
      </w:tr>
      <w:tr w:rsidR="007044F8" w:rsidRPr="00E20A08" w14:paraId="2BE13ECD" w14:textId="77777777" w:rsidTr="009D3FCE">
        <w:tblPrEx>
          <w:tblLook w:val="0000" w:firstRow="0" w:lastRow="0" w:firstColumn="0" w:lastColumn="0" w:noHBand="0" w:noVBand="0"/>
        </w:tblPrEx>
        <w:tc>
          <w:tcPr>
            <w:tcW w:w="9360" w:type="dxa"/>
            <w:gridSpan w:val="6"/>
          </w:tcPr>
          <w:p w14:paraId="1A82ED95" w14:textId="49E9746D" w:rsidR="008F364A" w:rsidRPr="00E20A08" w:rsidRDefault="00362E91">
            <w:pPr>
              <w:pStyle w:val="zSoquijlblTypeDocument"/>
              <w:rPr>
                <w:lang w:val="en-CA"/>
              </w:rPr>
            </w:pPr>
            <w:r w:rsidRPr="00E20A08">
              <w:rPr>
                <w:lang w:val="en-CA"/>
              </w:rPr>
              <w:t>CORRECTED JUDGMENT</w:t>
            </w:r>
          </w:p>
        </w:tc>
      </w:tr>
      <w:tr w:rsidR="007044F8" w:rsidRPr="00E20A08" w14:paraId="72274782" w14:textId="77777777" w:rsidTr="009D3FCE">
        <w:tblPrEx>
          <w:tblLook w:val="0000" w:firstRow="0" w:lastRow="0" w:firstColumn="0" w:lastColumn="0" w:noHBand="0" w:noVBand="0"/>
        </w:tblPrEx>
        <w:tc>
          <w:tcPr>
            <w:tcW w:w="9360" w:type="dxa"/>
            <w:gridSpan w:val="6"/>
            <w:tcBorders>
              <w:bottom w:val="single" w:sz="8" w:space="0" w:color="auto"/>
            </w:tcBorders>
          </w:tcPr>
          <w:p w14:paraId="7B3317DC" w14:textId="77777777" w:rsidR="008F364A" w:rsidRPr="00E20A08" w:rsidRDefault="008F364A">
            <w:pPr>
              <w:rPr>
                <w:lang w:val="en-CA"/>
              </w:rPr>
            </w:pPr>
          </w:p>
        </w:tc>
      </w:tr>
      <w:tr w:rsidR="007044F8" w:rsidRPr="00E20A08" w14:paraId="5F515405" w14:textId="77777777" w:rsidTr="009D3FCE">
        <w:tblPrEx>
          <w:tblLook w:val="0000" w:firstRow="0" w:lastRow="0" w:firstColumn="0" w:lastColumn="0" w:noHBand="0" w:noVBand="0"/>
        </w:tblPrEx>
        <w:tc>
          <w:tcPr>
            <w:tcW w:w="9360" w:type="dxa"/>
            <w:gridSpan w:val="6"/>
            <w:tcBorders>
              <w:top w:val="single" w:sz="8" w:space="0" w:color="auto"/>
            </w:tcBorders>
          </w:tcPr>
          <w:p w14:paraId="67EF3857" w14:textId="77777777" w:rsidR="008F364A" w:rsidRPr="00E20A08" w:rsidRDefault="008F364A">
            <w:pPr>
              <w:rPr>
                <w:lang w:val="en-CA"/>
              </w:rPr>
            </w:pPr>
          </w:p>
        </w:tc>
      </w:tr>
    </w:tbl>
    <w:p w14:paraId="4E112BAB" w14:textId="255B47FF" w:rsidR="008F364A" w:rsidRPr="00E20A08" w:rsidRDefault="00FC36BC">
      <w:pPr>
        <w:pStyle w:val="Paragraphe"/>
        <w:rPr>
          <w:lang w:val="en-CA"/>
        </w:rPr>
      </w:pPr>
      <w:r w:rsidRPr="00E20A08">
        <w:rPr>
          <w:lang w:val="en-CA"/>
        </w:rPr>
        <w:t xml:space="preserve">The appellant appeals </w:t>
      </w:r>
      <w:r w:rsidR="00E20A08" w:rsidRPr="00E20A08">
        <w:rPr>
          <w:lang w:val="en-CA"/>
        </w:rPr>
        <w:t>from</w:t>
      </w:r>
      <w:r w:rsidRPr="00E20A08">
        <w:rPr>
          <w:lang w:val="en-CA"/>
        </w:rPr>
        <w:t xml:space="preserve"> a corrected judgment of the Superior Court, District of Montreal (the Honourable </w:t>
      </w:r>
      <w:r w:rsidR="004E0DEE" w:rsidRPr="00E20A08">
        <w:rPr>
          <w:lang w:val="en-CA"/>
        </w:rPr>
        <w:t xml:space="preserve">Marc St-Pierre), </w:t>
      </w:r>
      <w:r w:rsidRPr="00E20A08">
        <w:rPr>
          <w:lang w:val="en-CA"/>
        </w:rPr>
        <w:t>which, on November 9, 2020, granted in part his application for judicial review of a decision of the Administrative Tribunal of Quebec which had dismissed the appellant’s action contesting the respondent’s administrative decision against him.</w:t>
      </w:r>
    </w:p>
    <w:p w14:paraId="03C50F86" w14:textId="258FE9CE" w:rsidR="00E511F7" w:rsidRPr="00E20A08" w:rsidRDefault="00362E91">
      <w:pPr>
        <w:pStyle w:val="Paragraphe"/>
        <w:rPr>
          <w:lang w:val="en-CA"/>
        </w:rPr>
      </w:pPr>
      <w:r w:rsidRPr="00E20A08">
        <w:rPr>
          <w:lang w:val="en-CA"/>
        </w:rPr>
        <w:lastRenderedPageBreak/>
        <w:t xml:space="preserve">For the reasons of Bich, J.A., with which Healy and Sansfaçon, JJ.A. agree, </w:t>
      </w:r>
      <w:r w:rsidRPr="00E20A08">
        <w:rPr>
          <w:b/>
          <w:lang w:val="en-CA"/>
        </w:rPr>
        <w:t>THE COURT</w:t>
      </w:r>
      <w:r w:rsidRPr="00E20A08">
        <w:rPr>
          <w:lang w:val="en-CA"/>
        </w:rPr>
        <w:t>:</w:t>
      </w:r>
    </w:p>
    <w:p w14:paraId="39F13756" w14:textId="071178ED" w:rsidR="00DA633D" w:rsidRPr="00E20A08" w:rsidRDefault="00362E91" w:rsidP="00DA633D">
      <w:pPr>
        <w:pStyle w:val="Paragraphe"/>
        <w:rPr>
          <w:bCs/>
          <w:lang w:val="en-CA"/>
        </w:rPr>
      </w:pPr>
      <w:r w:rsidRPr="00E20A08">
        <w:rPr>
          <w:b/>
          <w:lang w:val="en-CA"/>
        </w:rPr>
        <w:t xml:space="preserve">GRANTS </w:t>
      </w:r>
      <w:r w:rsidRPr="00E20A08">
        <w:rPr>
          <w:bCs/>
          <w:lang w:val="en-CA"/>
        </w:rPr>
        <w:t xml:space="preserve">the application for leave to appeal and </w:t>
      </w:r>
      <w:r w:rsidRPr="00E20A08">
        <w:rPr>
          <w:b/>
          <w:lang w:val="en-CA"/>
        </w:rPr>
        <w:t>GRANTS</w:t>
      </w:r>
      <w:r w:rsidRPr="00E20A08">
        <w:rPr>
          <w:bCs/>
          <w:lang w:val="en-CA"/>
        </w:rPr>
        <w:t xml:space="preserve"> leave to appeal, without legal </w:t>
      </w:r>
      <w:proofErr w:type="gramStart"/>
      <w:r w:rsidRPr="00E20A08">
        <w:rPr>
          <w:bCs/>
          <w:lang w:val="en-CA"/>
        </w:rPr>
        <w:t>costs;</w:t>
      </w:r>
      <w:proofErr w:type="gramEnd"/>
    </w:p>
    <w:p w14:paraId="75E4A5CC" w14:textId="79C904FA" w:rsidR="00E511F7" w:rsidRPr="00E20A08" w:rsidRDefault="00362E91">
      <w:pPr>
        <w:pStyle w:val="Paragraphe"/>
        <w:rPr>
          <w:lang w:val="en-CA"/>
        </w:rPr>
      </w:pPr>
      <w:r w:rsidRPr="00E20A08">
        <w:rPr>
          <w:b/>
          <w:lang w:val="en-CA"/>
        </w:rPr>
        <w:t>DISMISSES</w:t>
      </w:r>
      <w:r w:rsidRPr="00E20A08">
        <w:rPr>
          <w:lang w:val="en-CA"/>
        </w:rPr>
        <w:t xml:space="preserve"> the appeal, without legal costs.</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7044F8" w:rsidRPr="00B210EA" w14:paraId="67DEA930" w14:textId="77777777" w:rsidTr="003E3239">
        <w:trPr>
          <w:trHeight w:val="576"/>
        </w:trPr>
        <w:tc>
          <w:tcPr>
            <w:tcW w:w="9362" w:type="dxa"/>
            <w:gridSpan w:val="3"/>
            <w:tcBorders>
              <w:top w:val="nil"/>
              <w:bottom w:val="nil"/>
            </w:tcBorders>
          </w:tcPr>
          <w:p w14:paraId="5FB96EDB" w14:textId="77777777" w:rsidR="008F364A" w:rsidRPr="00E20A08" w:rsidRDefault="008F364A">
            <w:pPr>
              <w:keepNext/>
              <w:rPr>
                <w:lang w:val="en-CA"/>
              </w:rPr>
            </w:pPr>
          </w:p>
        </w:tc>
      </w:tr>
      <w:tr w:rsidR="007044F8" w:rsidRPr="00B210EA" w14:paraId="71B0A7AD" w14:textId="77777777" w:rsidTr="00117914">
        <w:trPr>
          <w:trHeight w:val="283"/>
        </w:trPr>
        <w:tc>
          <w:tcPr>
            <w:tcW w:w="4682" w:type="dxa"/>
            <w:gridSpan w:val="2"/>
            <w:tcBorders>
              <w:top w:val="nil"/>
              <w:bottom w:val="nil"/>
            </w:tcBorders>
          </w:tcPr>
          <w:p w14:paraId="640D8A46" w14:textId="77777777" w:rsidR="008F364A" w:rsidRPr="00E20A08" w:rsidRDefault="008F364A">
            <w:pPr>
              <w:keepNext/>
              <w:rPr>
                <w:lang w:val="en-CA"/>
              </w:rPr>
            </w:pPr>
          </w:p>
        </w:tc>
        <w:tc>
          <w:tcPr>
            <w:tcW w:w="4680" w:type="dxa"/>
            <w:tcBorders>
              <w:top w:val="nil"/>
              <w:bottom w:val="single" w:sz="8" w:space="0" w:color="auto"/>
            </w:tcBorders>
          </w:tcPr>
          <w:p w14:paraId="767E9896" w14:textId="77777777" w:rsidR="008F364A" w:rsidRPr="00E20A08" w:rsidRDefault="008F364A">
            <w:pPr>
              <w:keepNext/>
              <w:rPr>
                <w:lang w:val="en-CA"/>
              </w:rPr>
            </w:pPr>
          </w:p>
        </w:tc>
      </w:tr>
      <w:tr w:rsidR="007044F8" w:rsidRPr="00E20A08" w14:paraId="56229B24" w14:textId="77777777" w:rsidTr="00117914">
        <w:trPr>
          <w:trHeight w:val="283"/>
        </w:trPr>
        <w:tc>
          <w:tcPr>
            <w:tcW w:w="4682" w:type="dxa"/>
            <w:gridSpan w:val="2"/>
            <w:tcBorders>
              <w:top w:val="nil"/>
            </w:tcBorders>
          </w:tcPr>
          <w:p w14:paraId="211D9B59" w14:textId="77777777" w:rsidR="008F364A" w:rsidRPr="00E20A08" w:rsidRDefault="008F364A">
            <w:pPr>
              <w:keepNext/>
              <w:rPr>
                <w:lang w:val="en-CA"/>
              </w:rPr>
            </w:pPr>
          </w:p>
        </w:tc>
        <w:tc>
          <w:tcPr>
            <w:tcW w:w="4680" w:type="dxa"/>
            <w:tcBorders>
              <w:top w:val="single" w:sz="8" w:space="0" w:color="auto"/>
            </w:tcBorders>
          </w:tcPr>
          <w:p w14:paraId="07DD76C8" w14:textId="5451BF56" w:rsidR="008F364A" w:rsidRPr="00874FC6" w:rsidRDefault="00362E91">
            <w:r w:rsidRPr="00874FC6">
              <w:t>MARIE-FRANCE BICH, J.A.</w:t>
            </w:r>
          </w:p>
        </w:tc>
      </w:tr>
      <w:tr w:rsidR="007044F8" w:rsidRPr="00E20A08" w14:paraId="5F759C4A" w14:textId="77777777" w:rsidTr="00117914">
        <w:trPr>
          <w:trHeight w:val="283"/>
        </w:trPr>
        <w:tc>
          <w:tcPr>
            <w:tcW w:w="4682" w:type="dxa"/>
            <w:gridSpan w:val="2"/>
            <w:tcBorders>
              <w:top w:val="nil"/>
            </w:tcBorders>
          </w:tcPr>
          <w:p w14:paraId="08A68EAC" w14:textId="77777777" w:rsidR="008F364A" w:rsidRPr="00874FC6" w:rsidRDefault="008F364A">
            <w:pPr>
              <w:keepNext/>
            </w:pPr>
            <w:bookmarkStart w:id="4" w:name="Signature2"/>
          </w:p>
        </w:tc>
        <w:tc>
          <w:tcPr>
            <w:tcW w:w="4680" w:type="dxa"/>
            <w:tcBorders>
              <w:top w:val="nil"/>
            </w:tcBorders>
          </w:tcPr>
          <w:p w14:paraId="78BC00BF" w14:textId="77777777" w:rsidR="008F364A" w:rsidRPr="00874FC6" w:rsidRDefault="008F364A">
            <w:pPr>
              <w:keepNext/>
            </w:pPr>
          </w:p>
        </w:tc>
      </w:tr>
      <w:tr w:rsidR="007044F8" w:rsidRPr="00E20A08" w14:paraId="12C4F285" w14:textId="77777777" w:rsidTr="00117914">
        <w:trPr>
          <w:trHeight w:val="283"/>
        </w:trPr>
        <w:tc>
          <w:tcPr>
            <w:tcW w:w="4682" w:type="dxa"/>
            <w:gridSpan w:val="2"/>
            <w:tcBorders>
              <w:top w:val="nil"/>
              <w:bottom w:val="nil"/>
            </w:tcBorders>
          </w:tcPr>
          <w:p w14:paraId="3DF9BB4B" w14:textId="77777777" w:rsidR="008F364A" w:rsidRPr="00874FC6" w:rsidRDefault="008F364A">
            <w:pPr>
              <w:keepNext/>
            </w:pPr>
          </w:p>
        </w:tc>
        <w:tc>
          <w:tcPr>
            <w:tcW w:w="4680" w:type="dxa"/>
            <w:tcBorders>
              <w:top w:val="nil"/>
              <w:bottom w:val="single" w:sz="8" w:space="0" w:color="auto"/>
            </w:tcBorders>
          </w:tcPr>
          <w:p w14:paraId="3093021D" w14:textId="77777777" w:rsidR="008F364A" w:rsidRPr="00874FC6" w:rsidRDefault="008F364A">
            <w:pPr>
              <w:keepNext/>
            </w:pPr>
          </w:p>
        </w:tc>
      </w:tr>
      <w:tr w:rsidR="007044F8" w:rsidRPr="00E20A08" w14:paraId="6E428A19" w14:textId="77777777" w:rsidTr="00117914">
        <w:trPr>
          <w:trHeight w:val="283"/>
        </w:trPr>
        <w:tc>
          <w:tcPr>
            <w:tcW w:w="4682" w:type="dxa"/>
            <w:gridSpan w:val="2"/>
            <w:tcBorders>
              <w:top w:val="nil"/>
            </w:tcBorders>
          </w:tcPr>
          <w:p w14:paraId="2898A5F2" w14:textId="77777777" w:rsidR="008F364A" w:rsidRPr="00874FC6" w:rsidRDefault="008F364A">
            <w:pPr>
              <w:keepNext/>
            </w:pPr>
          </w:p>
        </w:tc>
        <w:tc>
          <w:tcPr>
            <w:tcW w:w="4680" w:type="dxa"/>
            <w:tcBorders>
              <w:top w:val="single" w:sz="8" w:space="0" w:color="auto"/>
            </w:tcBorders>
          </w:tcPr>
          <w:p w14:paraId="0322EF4A" w14:textId="3F4BD919" w:rsidR="008F364A" w:rsidRPr="00E20A08" w:rsidRDefault="00362E91">
            <w:pPr>
              <w:keepNext/>
              <w:rPr>
                <w:lang w:val="en-CA"/>
              </w:rPr>
            </w:pPr>
            <w:r w:rsidRPr="00E20A08">
              <w:rPr>
                <w:lang w:val="en-CA"/>
              </w:rPr>
              <w:t>PATRICK HEALY, J.A.</w:t>
            </w:r>
          </w:p>
        </w:tc>
      </w:tr>
      <w:tr w:rsidR="007044F8" w:rsidRPr="00E20A08" w14:paraId="3F142295" w14:textId="77777777" w:rsidTr="00117914">
        <w:trPr>
          <w:trHeight w:val="283"/>
        </w:trPr>
        <w:tc>
          <w:tcPr>
            <w:tcW w:w="4682" w:type="dxa"/>
            <w:gridSpan w:val="2"/>
            <w:tcBorders>
              <w:top w:val="nil"/>
            </w:tcBorders>
          </w:tcPr>
          <w:p w14:paraId="09B8E556" w14:textId="77777777" w:rsidR="008F364A" w:rsidRPr="00E20A08" w:rsidRDefault="008F364A">
            <w:pPr>
              <w:keepNext/>
              <w:rPr>
                <w:lang w:val="en-CA"/>
              </w:rPr>
            </w:pPr>
            <w:bookmarkStart w:id="5" w:name="Signature3"/>
            <w:bookmarkEnd w:id="4"/>
          </w:p>
        </w:tc>
        <w:tc>
          <w:tcPr>
            <w:tcW w:w="4680" w:type="dxa"/>
            <w:tcBorders>
              <w:top w:val="nil"/>
            </w:tcBorders>
          </w:tcPr>
          <w:p w14:paraId="1542CF37" w14:textId="77777777" w:rsidR="008F364A" w:rsidRPr="00E20A08" w:rsidRDefault="008F364A">
            <w:pPr>
              <w:keepNext/>
              <w:rPr>
                <w:lang w:val="en-CA"/>
              </w:rPr>
            </w:pPr>
          </w:p>
        </w:tc>
      </w:tr>
      <w:tr w:rsidR="007044F8" w:rsidRPr="00E20A08" w14:paraId="040884D3" w14:textId="77777777" w:rsidTr="00117914">
        <w:trPr>
          <w:trHeight w:val="283"/>
        </w:trPr>
        <w:tc>
          <w:tcPr>
            <w:tcW w:w="4682" w:type="dxa"/>
            <w:gridSpan w:val="2"/>
            <w:tcBorders>
              <w:top w:val="nil"/>
              <w:bottom w:val="nil"/>
            </w:tcBorders>
          </w:tcPr>
          <w:p w14:paraId="027F916A" w14:textId="77777777" w:rsidR="008F364A" w:rsidRPr="00E20A08" w:rsidRDefault="008F364A">
            <w:pPr>
              <w:keepNext/>
              <w:rPr>
                <w:lang w:val="en-CA"/>
              </w:rPr>
            </w:pPr>
          </w:p>
        </w:tc>
        <w:tc>
          <w:tcPr>
            <w:tcW w:w="4680" w:type="dxa"/>
            <w:tcBorders>
              <w:top w:val="nil"/>
              <w:bottom w:val="single" w:sz="8" w:space="0" w:color="auto"/>
            </w:tcBorders>
          </w:tcPr>
          <w:p w14:paraId="72FA3678" w14:textId="77777777" w:rsidR="008F364A" w:rsidRPr="00E20A08" w:rsidRDefault="008F364A">
            <w:pPr>
              <w:keepNext/>
              <w:rPr>
                <w:lang w:val="en-CA"/>
              </w:rPr>
            </w:pPr>
          </w:p>
        </w:tc>
      </w:tr>
      <w:tr w:rsidR="007044F8" w:rsidRPr="00E20A08" w14:paraId="189CE03F" w14:textId="77777777" w:rsidTr="00117914">
        <w:trPr>
          <w:trHeight w:val="283"/>
        </w:trPr>
        <w:tc>
          <w:tcPr>
            <w:tcW w:w="4682" w:type="dxa"/>
            <w:gridSpan w:val="2"/>
            <w:tcBorders>
              <w:top w:val="nil"/>
            </w:tcBorders>
          </w:tcPr>
          <w:p w14:paraId="55DC33FF" w14:textId="77777777" w:rsidR="008F364A" w:rsidRPr="00E20A08" w:rsidRDefault="008F364A">
            <w:pPr>
              <w:keepNext/>
              <w:rPr>
                <w:lang w:val="en-CA"/>
              </w:rPr>
            </w:pPr>
          </w:p>
        </w:tc>
        <w:tc>
          <w:tcPr>
            <w:tcW w:w="4680" w:type="dxa"/>
            <w:tcBorders>
              <w:top w:val="single" w:sz="8" w:space="0" w:color="auto"/>
            </w:tcBorders>
          </w:tcPr>
          <w:p w14:paraId="7BC390F4" w14:textId="51D58A22" w:rsidR="008F364A" w:rsidRPr="00E20A08" w:rsidRDefault="00362E91">
            <w:pPr>
              <w:keepNext/>
              <w:rPr>
                <w:lang w:val="en-CA"/>
              </w:rPr>
            </w:pPr>
            <w:r w:rsidRPr="00E20A08">
              <w:rPr>
                <w:lang w:val="en-CA"/>
              </w:rPr>
              <w:t>STÉPHANE SANSFAÇON, J.A.</w:t>
            </w:r>
          </w:p>
        </w:tc>
      </w:tr>
      <w:bookmarkEnd w:id="5"/>
      <w:tr w:rsidR="007044F8" w:rsidRPr="00E20A08" w14:paraId="01F81F38" w14:textId="77777777" w:rsidTr="00423DF1">
        <w:tc>
          <w:tcPr>
            <w:tcW w:w="9362" w:type="dxa"/>
            <w:gridSpan w:val="3"/>
          </w:tcPr>
          <w:p w14:paraId="55539140" w14:textId="77777777" w:rsidR="005A78BF" w:rsidRPr="00E20A08" w:rsidRDefault="005A78BF" w:rsidP="005A78BF">
            <w:pPr>
              <w:rPr>
                <w:lang w:val="en-CA"/>
              </w:rPr>
            </w:pPr>
          </w:p>
        </w:tc>
      </w:tr>
      <w:tr w:rsidR="007044F8" w:rsidRPr="00E20A08" w14:paraId="49F59418" w14:textId="77777777" w:rsidTr="00423DF1">
        <w:tc>
          <w:tcPr>
            <w:tcW w:w="9362" w:type="dxa"/>
            <w:gridSpan w:val="3"/>
          </w:tcPr>
          <w:p w14:paraId="26D24817" w14:textId="60AE0EB5" w:rsidR="005A78BF" w:rsidRPr="00874FC6" w:rsidRDefault="00362E91" w:rsidP="005A78BF">
            <w:pPr>
              <w:pStyle w:val="zSoquijdatNomProcureurDem"/>
            </w:pPr>
            <w:r w:rsidRPr="00874FC6">
              <w:t>Mtre Julius Grey</w:t>
            </w:r>
          </w:p>
          <w:p w14:paraId="6C245C4B" w14:textId="466F5FEB" w:rsidR="00F43D2A" w:rsidRPr="00874FC6" w:rsidRDefault="006979E7" w:rsidP="00247BE6">
            <w:pPr>
              <w:pStyle w:val="zSoquijdatNomProcureurDem"/>
            </w:pPr>
            <w:r w:rsidRPr="00874FC6">
              <w:t>M</w:t>
            </w:r>
            <w:r w:rsidR="00362E91" w:rsidRPr="00874FC6">
              <w:t>tr</w:t>
            </w:r>
            <w:r w:rsidRPr="00874FC6">
              <w:t>e</w:t>
            </w:r>
            <w:r w:rsidR="00247BE6" w:rsidRPr="00874FC6">
              <w:t xml:space="preserve"> Arielle </w:t>
            </w:r>
            <w:proofErr w:type="spellStart"/>
            <w:r w:rsidR="00247BE6" w:rsidRPr="00874FC6">
              <w:t>Corobow</w:t>
            </w:r>
            <w:proofErr w:type="spellEnd"/>
          </w:p>
        </w:tc>
      </w:tr>
      <w:tr w:rsidR="007044F8" w:rsidRPr="00E20A08" w14:paraId="2D3F5C12" w14:textId="77777777" w:rsidTr="00423DF1">
        <w:tc>
          <w:tcPr>
            <w:tcW w:w="9362" w:type="dxa"/>
            <w:gridSpan w:val="3"/>
          </w:tcPr>
          <w:p w14:paraId="6D3F3774" w14:textId="77777777" w:rsidR="005A78BF" w:rsidRPr="00E20A08" w:rsidRDefault="006979E7" w:rsidP="005A78BF">
            <w:pPr>
              <w:pStyle w:val="zSoquijdatCabinetProcureurDem"/>
              <w:rPr>
                <w:lang w:val="en-CA"/>
              </w:rPr>
            </w:pPr>
            <w:r w:rsidRPr="00E20A08">
              <w:rPr>
                <w:lang w:val="en-CA"/>
              </w:rPr>
              <w:t>GREY &amp; CASGRAIN</w:t>
            </w:r>
          </w:p>
        </w:tc>
      </w:tr>
      <w:tr w:rsidR="007044F8" w:rsidRPr="00E20A08" w14:paraId="2E7F8692" w14:textId="77777777" w:rsidTr="00423DF1">
        <w:tc>
          <w:tcPr>
            <w:tcW w:w="9362" w:type="dxa"/>
            <w:gridSpan w:val="3"/>
          </w:tcPr>
          <w:p w14:paraId="72BBECFC" w14:textId="5C8EDFDF" w:rsidR="005A78BF" w:rsidRPr="00E20A08" w:rsidRDefault="00362E91" w:rsidP="005A78BF">
            <w:pPr>
              <w:pStyle w:val="zSoquijlblProcureurDem"/>
              <w:rPr>
                <w:lang w:val="en-CA"/>
              </w:rPr>
            </w:pPr>
            <w:r w:rsidRPr="00E20A08">
              <w:rPr>
                <w:lang w:val="en-CA"/>
              </w:rPr>
              <w:t xml:space="preserve">For the </w:t>
            </w:r>
            <w:r w:rsidR="006979E7" w:rsidRPr="00E20A08">
              <w:rPr>
                <w:lang w:val="en-CA"/>
              </w:rPr>
              <w:t>appel</w:t>
            </w:r>
            <w:r w:rsidRPr="00E20A08">
              <w:rPr>
                <w:lang w:val="en-CA"/>
              </w:rPr>
              <w:t>l</w:t>
            </w:r>
            <w:r w:rsidR="006979E7" w:rsidRPr="00E20A08">
              <w:rPr>
                <w:lang w:val="en-CA"/>
              </w:rPr>
              <w:t>ant</w:t>
            </w:r>
          </w:p>
        </w:tc>
      </w:tr>
      <w:tr w:rsidR="007044F8" w:rsidRPr="00E20A08" w14:paraId="3C8DFE6B" w14:textId="77777777" w:rsidTr="00423DF1">
        <w:tc>
          <w:tcPr>
            <w:tcW w:w="9362" w:type="dxa"/>
            <w:gridSpan w:val="3"/>
          </w:tcPr>
          <w:p w14:paraId="6D5A4ECD" w14:textId="77777777" w:rsidR="005A78BF" w:rsidRPr="00E20A08" w:rsidRDefault="005A78BF" w:rsidP="005A78BF">
            <w:pPr>
              <w:rPr>
                <w:lang w:val="en-CA"/>
              </w:rPr>
            </w:pPr>
          </w:p>
        </w:tc>
      </w:tr>
      <w:tr w:rsidR="007044F8" w:rsidRPr="00E20A08" w14:paraId="1C9CC92D" w14:textId="77777777" w:rsidTr="00423DF1">
        <w:tc>
          <w:tcPr>
            <w:tcW w:w="9362" w:type="dxa"/>
            <w:gridSpan w:val="3"/>
          </w:tcPr>
          <w:p w14:paraId="2E6610BC" w14:textId="64D53A79" w:rsidR="005A78BF" w:rsidRPr="00E20A08" w:rsidRDefault="006979E7" w:rsidP="005A78BF">
            <w:pPr>
              <w:pStyle w:val="zSoquijdatNomProcureurDef"/>
              <w:rPr>
                <w:lang w:val="en-CA"/>
              </w:rPr>
            </w:pPr>
            <w:r w:rsidRPr="00E20A08">
              <w:rPr>
                <w:lang w:val="en-CA"/>
              </w:rPr>
              <w:t>M</w:t>
            </w:r>
            <w:r w:rsidR="00362E91" w:rsidRPr="00E20A08">
              <w:rPr>
                <w:lang w:val="en-CA"/>
              </w:rPr>
              <w:t>tr</w:t>
            </w:r>
            <w:r w:rsidRPr="00E20A08">
              <w:rPr>
                <w:lang w:val="en-CA"/>
              </w:rPr>
              <w:t xml:space="preserve">e Marie Couture </w:t>
            </w:r>
            <w:proofErr w:type="spellStart"/>
            <w:r w:rsidRPr="00E20A08">
              <w:rPr>
                <w:lang w:val="en-CA"/>
              </w:rPr>
              <w:t>Clouâtre</w:t>
            </w:r>
            <w:proofErr w:type="spellEnd"/>
          </w:p>
        </w:tc>
      </w:tr>
      <w:tr w:rsidR="007044F8" w:rsidRPr="00E20A08" w14:paraId="0497F646" w14:textId="77777777" w:rsidTr="00423DF1">
        <w:tc>
          <w:tcPr>
            <w:tcW w:w="9362" w:type="dxa"/>
            <w:gridSpan w:val="3"/>
          </w:tcPr>
          <w:p w14:paraId="45DE84C3" w14:textId="77777777" w:rsidR="005A78BF" w:rsidRPr="00E20A08" w:rsidRDefault="006979E7" w:rsidP="005A78BF">
            <w:pPr>
              <w:pStyle w:val="zSoquijdatCabinetProcureurDef"/>
              <w:rPr>
                <w:lang w:val="en-CA"/>
              </w:rPr>
            </w:pPr>
            <w:r w:rsidRPr="00E20A08">
              <w:rPr>
                <w:lang w:val="en-CA"/>
              </w:rPr>
              <w:t>BERNARD ROY (JUSTICE QUÉBEC)</w:t>
            </w:r>
          </w:p>
        </w:tc>
      </w:tr>
      <w:tr w:rsidR="007044F8" w:rsidRPr="00B210EA" w14:paraId="39B5AB70" w14:textId="77777777" w:rsidTr="00423DF1">
        <w:tc>
          <w:tcPr>
            <w:tcW w:w="9362" w:type="dxa"/>
            <w:gridSpan w:val="3"/>
          </w:tcPr>
          <w:p w14:paraId="54CF8F34" w14:textId="6D8EC9E6" w:rsidR="005A78BF" w:rsidRPr="00E20A08" w:rsidRDefault="00362E91" w:rsidP="00A4765A">
            <w:pPr>
              <w:pStyle w:val="zSoquijlblProcureurDef"/>
              <w:rPr>
                <w:lang w:val="en-CA"/>
              </w:rPr>
            </w:pPr>
            <w:r w:rsidRPr="00E20A08">
              <w:rPr>
                <w:lang w:val="en-CA"/>
              </w:rPr>
              <w:t>For the respondent and impleaded party Attorney General of Quebec</w:t>
            </w:r>
          </w:p>
        </w:tc>
      </w:tr>
      <w:tr w:rsidR="007044F8" w:rsidRPr="00B210EA" w14:paraId="5C4986F1" w14:textId="77777777" w:rsidTr="00423DF1">
        <w:tc>
          <w:tcPr>
            <w:tcW w:w="9362" w:type="dxa"/>
            <w:gridSpan w:val="3"/>
          </w:tcPr>
          <w:p w14:paraId="097EB099" w14:textId="77777777" w:rsidR="005A78BF" w:rsidRPr="00E20A08" w:rsidRDefault="005A78BF" w:rsidP="005A78BF">
            <w:pPr>
              <w:rPr>
                <w:lang w:val="en-CA"/>
              </w:rPr>
            </w:pPr>
          </w:p>
        </w:tc>
      </w:tr>
      <w:tr w:rsidR="007044F8" w:rsidRPr="00E20A08" w14:paraId="230F7D86" w14:textId="77777777" w:rsidTr="00423DF1">
        <w:tc>
          <w:tcPr>
            <w:tcW w:w="1997" w:type="dxa"/>
          </w:tcPr>
          <w:p w14:paraId="0BCAAF95" w14:textId="69939E43" w:rsidR="005A78BF" w:rsidRPr="00E20A08" w:rsidRDefault="00362E91" w:rsidP="005A78BF">
            <w:pPr>
              <w:pStyle w:val="zSoquijlblDateAudience"/>
              <w:rPr>
                <w:lang w:val="en-CA"/>
              </w:rPr>
            </w:pPr>
            <w:r w:rsidRPr="00E20A08">
              <w:rPr>
                <w:lang w:val="en-CA"/>
              </w:rPr>
              <w:t>Date of hearing:</w:t>
            </w:r>
          </w:p>
        </w:tc>
        <w:tc>
          <w:tcPr>
            <w:tcW w:w="7365" w:type="dxa"/>
            <w:gridSpan w:val="2"/>
          </w:tcPr>
          <w:p w14:paraId="79BEAD69" w14:textId="1D281D19" w:rsidR="005A78BF" w:rsidRPr="00E20A08" w:rsidRDefault="00362E91" w:rsidP="005A78BF">
            <w:pPr>
              <w:pStyle w:val="zSoquijdatDateAudience"/>
              <w:rPr>
                <w:lang w:val="en-CA"/>
              </w:rPr>
            </w:pPr>
            <w:r w:rsidRPr="00E20A08">
              <w:rPr>
                <w:lang w:val="en-CA"/>
              </w:rPr>
              <w:t>May 4, 2021</w:t>
            </w:r>
          </w:p>
        </w:tc>
      </w:tr>
      <w:bookmarkEnd w:id="3"/>
    </w:tbl>
    <w:p w14:paraId="244F3235" w14:textId="77777777" w:rsidR="00640E7F" w:rsidRPr="00E20A08" w:rsidRDefault="00640E7F" w:rsidP="00F43D2A">
      <w:pPr>
        <w:rPr>
          <w:lang w:val="en-CA"/>
        </w:rPr>
      </w:pPr>
    </w:p>
    <w:p w14:paraId="0D45DB65" w14:textId="77777777" w:rsidR="00640E7F" w:rsidRPr="00E20A08" w:rsidRDefault="006979E7" w:rsidP="00640E7F">
      <w:pPr>
        <w:spacing w:line="240" w:lineRule="auto"/>
        <w:rPr>
          <w:lang w:val="en-CA"/>
        </w:rPr>
        <w:sectPr w:rsidR="00640E7F" w:rsidRPr="00E20A08" w:rsidSect="00F43559">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sectPr>
      </w:pPr>
      <w:bookmarkStart w:id="6" w:name="Opinion"/>
      <w:r w:rsidRPr="00E20A08">
        <w:rPr>
          <w:lang w:val="en-CA"/>
        </w:rPr>
        <w:br w:type="page"/>
      </w:r>
    </w:p>
    <w:tbl>
      <w:tblPr>
        <w:tblW w:w="0" w:type="auto"/>
        <w:tblLayout w:type="fixed"/>
        <w:tblCellMar>
          <w:left w:w="0" w:type="dxa"/>
          <w:right w:w="0" w:type="dxa"/>
        </w:tblCellMar>
        <w:tblLook w:val="0000" w:firstRow="0" w:lastRow="0" w:firstColumn="0" w:lastColumn="0" w:noHBand="0" w:noVBand="0"/>
      </w:tblPr>
      <w:tblGrid>
        <w:gridCol w:w="9360"/>
      </w:tblGrid>
      <w:tr w:rsidR="007044F8" w:rsidRPr="00E20A08" w14:paraId="778E4F84" w14:textId="77777777" w:rsidTr="00DA191C">
        <w:tc>
          <w:tcPr>
            <w:tcW w:w="9360" w:type="dxa"/>
            <w:tcBorders>
              <w:bottom w:val="single" w:sz="8" w:space="0" w:color="auto"/>
            </w:tcBorders>
          </w:tcPr>
          <w:p w14:paraId="4BFE77C0" w14:textId="77777777" w:rsidR="00640E7F" w:rsidRPr="00E20A08" w:rsidRDefault="006979E7" w:rsidP="00DA191C">
            <w:pPr>
              <w:rPr>
                <w:lang w:val="en-CA"/>
              </w:rPr>
            </w:pPr>
            <w:r w:rsidRPr="00E20A08">
              <w:rPr>
                <w:lang w:val="en-CA"/>
              </w:rPr>
              <w:lastRenderedPageBreak/>
              <w:br w:type="page"/>
            </w:r>
          </w:p>
          <w:p w14:paraId="7C44D437" w14:textId="77777777" w:rsidR="00640E7F" w:rsidRPr="00E20A08" w:rsidRDefault="00640E7F" w:rsidP="00DA191C">
            <w:pPr>
              <w:rPr>
                <w:lang w:val="en-CA"/>
              </w:rPr>
            </w:pPr>
          </w:p>
        </w:tc>
      </w:tr>
      <w:tr w:rsidR="007044F8" w:rsidRPr="00E20A08" w14:paraId="346CB743" w14:textId="77777777" w:rsidTr="00DA191C">
        <w:tc>
          <w:tcPr>
            <w:tcW w:w="9360" w:type="dxa"/>
            <w:tcBorders>
              <w:top w:val="single" w:sz="8" w:space="0" w:color="auto"/>
            </w:tcBorders>
          </w:tcPr>
          <w:p w14:paraId="298D7FCD" w14:textId="77777777" w:rsidR="00640E7F" w:rsidRPr="00E20A08" w:rsidRDefault="00640E7F" w:rsidP="00DA191C">
            <w:pPr>
              <w:rPr>
                <w:lang w:val="en-CA"/>
              </w:rPr>
            </w:pPr>
          </w:p>
        </w:tc>
      </w:tr>
      <w:tr w:rsidR="007044F8" w:rsidRPr="00E20A08" w14:paraId="4AE1B9D8" w14:textId="77777777" w:rsidTr="00DA191C">
        <w:tc>
          <w:tcPr>
            <w:tcW w:w="9360" w:type="dxa"/>
          </w:tcPr>
          <w:p w14:paraId="49BF4C5F" w14:textId="3A65C065" w:rsidR="00640E7F" w:rsidRPr="00874FC6" w:rsidRDefault="00A528C8" w:rsidP="00DA191C">
            <w:pPr>
              <w:pStyle w:val="zSoquijlblOpinionJuge"/>
            </w:pPr>
            <w:bookmarkStart w:id="7" w:name="MotifJuge1"/>
            <w:r>
              <w:rPr>
                <w:lang w:val="en-CA"/>
              </w:rPr>
              <w:t xml:space="preserve">REASONS OF </w:t>
            </w:r>
            <w:bookmarkEnd w:id="7"/>
            <w:r w:rsidR="00DD6F48" w:rsidRPr="00874FC6">
              <w:t>BICH</w:t>
            </w:r>
            <w:r>
              <w:t>, J.A.</w:t>
            </w:r>
          </w:p>
        </w:tc>
      </w:tr>
      <w:tr w:rsidR="007044F8" w:rsidRPr="00E20A08" w14:paraId="285D649B" w14:textId="77777777" w:rsidTr="00DA191C">
        <w:tc>
          <w:tcPr>
            <w:tcW w:w="9360" w:type="dxa"/>
            <w:tcBorders>
              <w:bottom w:val="single" w:sz="8" w:space="0" w:color="auto"/>
            </w:tcBorders>
          </w:tcPr>
          <w:p w14:paraId="50A36B6F" w14:textId="77777777" w:rsidR="00640E7F" w:rsidRPr="00874FC6" w:rsidRDefault="00640E7F" w:rsidP="00DA191C"/>
        </w:tc>
      </w:tr>
      <w:tr w:rsidR="007044F8" w:rsidRPr="00E20A08" w14:paraId="106D4114" w14:textId="77777777" w:rsidTr="00DA191C">
        <w:tc>
          <w:tcPr>
            <w:tcW w:w="9360" w:type="dxa"/>
            <w:tcBorders>
              <w:top w:val="single" w:sz="8" w:space="0" w:color="auto"/>
            </w:tcBorders>
          </w:tcPr>
          <w:p w14:paraId="21E95BA3" w14:textId="77777777" w:rsidR="00640E7F" w:rsidRPr="00874FC6" w:rsidRDefault="00640E7F" w:rsidP="00DA191C"/>
        </w:tc>
      </w:tr>
    </w:tbl>
    <w:p w14:paraId="4A664CF8" w14:textId="20B02BD5" w:rsidR="00640E7F" w:rsidRPr="00E20A08" w:rsidRDefault="00362E91" w:rsidP="00640E7F">
      <w:pPr>
        <w:pStyle w:val="Paragraphe"/>
        <w:rPr>
          <w:lang w:val="en-CA"/>
        </w:rPr>
      </w:pPr>
      <w:bookmarkStart w:id="8" w:name="_Ref72334936"/>
      <w:r w:rsidRPr="00E20A08">
        <w:rPr>
          <w:lang w:val="en-CA"/>
        </w:rPr>
        <w:t xml:space="preserve">Because of their effect on the exercise of the rights set out in the </w:t>
      </w:r>
      <w:r w:rsidRPr="005A1545">
        <w:rPr>
          <w:i/>
          <w:iCs/>
          <w:lang w:val="en-CA"/>
        </w:rPr>
        <w:t>Act respecting the Quebec Pension Plan</w:t>
      </w:r>
      <w:r w:rsidRPr="00E20A08">
        <w:rPr>
          <w:lang w:val="en-CA"/>
        </w:rPr>
        <w:t>,</w:t>
      </w:r>
      <w:r w:rsidRPr="00E20A08">
        <w:rPr>
          <w:rStyle w:val="Appelnotedebasdep"/>
          <w:lang w:val="en-CA"/>
        </w:rPr>
        <w:t xml:space="preserve"> </w:t>
      </w:r>
      <w:r w:rsidRPr="00E20A08">
        <w:rPr>
          <w:rStyle w:val="Appelnotedebasdep"/>
          <w:lang w:val="en-CA"/>
        </w:rPr>
        <w:footnoteReference w:id="1"/>
      </w:r>
      <w:r w:rsidRPr="00E20A08">
        <w:rPr>
          <w:lang w:val="en-CA"/>
        </w:rPr>
        <w:t xml:space="preserve"> </w:t>
      </w:r>
      <w:r w:rsidR="005A1545">
        <w:rPr>
          <w:lang w:val="en-CA"/>
        </w:rPr>
        <w:t>d</w:t>
      </w:r>
      <w:r w:rsidRPr="00E20A08">
        <w:rPr>
          <w:lang w:val="en-CA"/>
        </w:rPr>
        <w:t xml:space="preserve">o </w:t>
      </w:r>
      <w:r w:rsidR="005A1545">
        <w:rPr>
          <w:lang w:val="en-CA"/>
        </w:rPr>
        <w:t>ss.</w:t>
      </w:r>
      <w:r w:rsidR="006979E7" w:rsidRPr="00E20A08">
        <w:rPr>
          <w:lang w:val="en-CA"/>
        </w:rPr>
        <w:t xml:space="preserve"> </w:t>
      </w:r>
      <w:r w:rsidRPr="00E20A08">
        <w:rPr>
          <w:lang w:val="en-CA"/>
        </w:rPr>
        <w:t xml:space="preserve">63 and 66 of the </w:t>
      </w:r>
      <w:r w:rsidRPr="005A1545">
        <w:rPr>
          <w:i/>
          <w:iCs/>
          <w:lang w:val="en-CA"/>
        </w:rPr>
        <w:t>Individual and Family Assistance Act</w:t>
      </w:r>
      <w:r w:rsidRPr="00E20A08">
        <w:rPr>
          <w:rStyle w:val="Appelnotedebasdep"/>
          <w:lang w:val="en-CA"/>
        </w:rPr>
        <w:footnoteReference w:id="2"/>
      </w:r>
      <w:r w:rsidRPr="00E20A08">
        <w:rPr>
          <w:lang w:val="en-CA"/>
        </w:rPr>
        <w:t xml:space="preserve"> violate </w:t>
      </w:r>
      <w:r w:rsidR="005A1545">
        <w:rPr>
          <w:lang w:val="en-CA"/>
        </w:rPr>
        <w:t xml:space="preserve">s. </w:t>
      </w:r>
      <w:r w:rsidRPr="00E20A08">
        <w:rPr>
          <w:lang w:val="en-CA"/>
        </w:rPr>
        <w:t>1</w:t>
      </w:r>
      <w:r w:rsidR="005A1545">
        <w:rPr>
          <w:lang w:val="en-CA"/>
        </w:rPr>
        <w:t>5(</w:t>
      </w:r>
      <w:r w:rsidRPr="00E20A08">
        <w:rPr>
          <w:lang w:val="en-CA"/>
        </w:rPr>
        <w:t>1</w:t>
      </w:r>
      <w:r w:rsidR="005A1545">
        <w:rPr>
          <w:lang w:val="en-CA"/>
        </w:rPr>
        <w:t xml:space="preserve">) </w:t>
      </w:r>
      <w:r w:rsidRPr="00E20A08">
        <w:rPr>
          <w:lang w:val="en-CA"/>
        </w:rPr>
        <w:t xml:space="preserve">of the </w:t>
      </w:r>
      <w:r w:rsidRPr="00E20A08">
        <w:rPr>
          <w:i/>
          <w:lang w:val="en-CA"/>
        </w:rPr>
        <w:t>Canadian Charter of Rights and Freedoms</w:t>
      </w:r>
      <w:r w:rsidRPr="00E20A08">
        <w:rPr>
          <w:rStyle w:val="Appelnotedebasdep"/>
          <w:lang w:val="en-CA"/>
        </w:rPr>
        <w:footnoteReference w:id="3"/>
      </w:r>
      <w:r w:rsidRPr="00E20A08">
        <w:rPr>
          <w:lang w:val="en-CA"/>
        </w:rPr>
        <w:t xml:space="preserve"> and </w:t>
      </w:r>
      <w:r w:rsidR="005A1545">
        <w:rPr>
          <w:lang w:val="en-CA"/>
        </w:rPr>
        <w:t>s.</w:t>
      </w:r>
      <w:r w:rsidRPr="00E20A08">
        <w:rPr>
          <w:lang w:val="en-CA"/>
        </w:rPr>
        <w:t xml:space="preserve"> 10 of the </w:t>
      </w:r>
      <w:r w:rsidRPr="00E20A08">
        <w:rPr>
          <w:i/>
          <w:lang w:val="en-CA"/>
        </w:rPr>
        <w:t>Charter of human rights and freedoms</w:t>
      </w:r>
      <w:r w:rsidRPr="00E20A08">
        <w:rPr>
          <w:lang w:val="en-CA"/>
        </w:rPr>
        <w:t>?</w:t>
      </w:r>
      <w:r w:rsidRPr="00E20A08">
        <w:rPr>
          <w:rStyle w:val="Appelnotedebasdep"/>
          <w:lang w:val="en-CA"/>
        </w:rPr>
        <w:footnoteReference w:id="4"/>
      </w:r>
      <w:r w:rsidR="006979E7" w:rsidRPr="00E20A08">
        <w:rPr>
          <w:lang w:val="en-CA"/>
        </w:rPr>
        <w:t xml:space="preserve"> </w:t>
      </w:r>
      <w:bookmarkEnd w:id="8"/>
      <w:r w:rsidR="005A1545">
        <w:rPr>
          <w:lang w:val="en-CA"/>
        </w:rPr>
        <w:t>That</w:t>
      </w:r>
      <w:r w:rsidRPr="00E20A08">
        <w:rPr>
          <w:lang w:val="en-CA"/>
        </w:rPr>
        <w:t xml:space="preserve"> is the question raised in this appeal, although it cannot be answered fully because of the significant -- indeed, insurmountable -- gaps in the evidence in the appeal record.</w:t>
      </w:r>
    </w:p>
    <w:p w14:paraId="51A3A27B" w14:textId="1DFD458F" w:rsidR="00640E7F" w:rsidRPr="00E20A08" w:rsidRDefault="00362E91" w:rsidP="00640E7F">
      <w:pPr>
        <w:pStyle w:val="Paragraphe"/>
        <w:numPr>
          <w:ilvl w:val="0"/>
          <w:numId w:val="0"/>
        </w:numPr>
        <w:rPr>
          <w:b/>
          <w:lang w:val="en-CA"/>
        </w:rPr>
      </w:pPr>
      <w:r w:rsidRPr="00E20A08">
        <w:rPr>
          <w:b/>
          <w:lang w:val="en-CA"/>
        </w:rPr>
        <w:t>I.</w:t>
      </w:r>
      <w:r w:rsidR="006979E7" w:rsidRPr="00E20A08">
        <w:rPr>
          <w:b/>
          <w:lang w:val="en-CA"/>
        </w:rPr>
        <w:tab/>
      </w:r>
      <w:r w:rsidRPr="00E20A08">
        <w:rPr>
          <w:b/>
          <w:smallCaps/>
          <w:lang w:val="en-CA"/>
        </w:rPr>
        <w:t>Background</w:t>
      </w:r>
    </w:p>
    <w:p w14:paraId="0D9D211A" w14:textId="76E8AE80" w:rsidR="00640E7F" w:rsidRPr="00E20A08" w:rsidRDefault="00362E91" w:rsidP="00640E7F">
      <w:pPr>
        <w:pStyle w:val="Paragraphe"/>
        <w:rPr>
          <w:lang w:val="en-CA"/>
        </w:rPr>
      </w:pPr>
      <w:r w:rsidRPr="00E20A08">
        <w:rPr>
          <w:lang w:val="en-CA"/>
        </w:rPr>
        <w:t>Since December 2001, the appellant</w:t>
      </w:r>
      <w:r w:rsidR="005A1545">
        <w:rPr>
          <w:lang w:val="en-CA"/>
        </w:rPr>
        <w:t xml:space="preserve">, </w:t>
      </w:r>
      <w:r w:rsidRPr="00E20A08">
        <w:rPr>
          <w:lang w:val="en-CA"/>
        </w:rPr>
        <w:t>who had worked for a long time and</w:t>
      </w:r>
      <w:r w:rsidR="001F1E84">
        <w:rPr>
          <w:lang w:val="en-CA"/>
        </w:rPr>
        <w:t xml:space="preserve"> had</w:t>
      </w:r>
      <w:r w:rsidRPr="00E20A08">
        <w:rPr>
          <w:lang w:val="en-CA"/>
        </w:rPr>
        <w:t xml:space="preserve"> therefore paid into the </w:t>
      </w:r>
      <w:r w:rsidRPr="00E20A08">
        <w:rPr>
          <w:i/>
          <w:iCs/>
          <w:lang w:val="en-CA"/>
        </w:rPr>
        <w:t>Quebec Pension Plan</w:t>
      </w:r>
      <w:r w:rsidR="005A1545">
        <w:rPr>
          <w:lang w:val="en-CA"/>
        </w:rPr>
        <w:t>,</w:t>
      </w:r>
      <w:r w:rsidRPr="00E20A08">
        <w:rPr>
          <w:lang w:val="en-CA"/>
        </w:rPr>
        <w:t xml:space="preserve"> has </w:t>
      </w:r>
      <w:r w:rsidR="001F1E84">
        <w:rPr>
          <w:lang w:val="en-CA"/>
        </w:rPr>
        <w:t>been receiving</w:t>
      </w:r>
      <w:r w:rsidRPr="00E20A08">
        <w:rPr>
          <w:lang w:val="en-CA"/>
        </w:rPr>
        <w:t xml:space="preserve"> </w:t>
      </w:r>
      <w:r w:rsidR="005A1545">
        <w:rPr>
          <w:lang w:val="en-CA"/>
        </w:rPr>
        <w:t>social assistance under the program that is now</w:t>
      </w:r>
      <w:r w:rsidRPr="00E20A08">
        <w:rPr>
          <w:lang w:val="en-CA"/>
        </w:rPr>
        <w:t xml:space="preserve"> governed by the </w:t>
      </w:r>
      <w:r w:rsidRPr="00E20A08">
        <w:rPr>
          <w:i/>
          <w:iCs/>
          <w:lang w:val="en-CA"/>
        </w:rPr>
        <w:t>Individual and Family Assistance Act</w:t>
      </w:r>
      <w:r w:rsidRPr="00E20A08">
        <w:rPr>
          <w:lang w:val="en-CA"/>
        </w:rPr>
        <w:t>.</w:t>
      </w:r>
      <w:bookmarkStart w:id="9" w:name="_Ref72418879"/>
      <w:r w:rsidRPr="00E20A08">
        <w:rPr>
          <w:rStyle w:val="Appelnotedebasdep"/>
          <w:lang w:val="en-CA"/>
        </w:rPr>
        <w:footnoteReference w:id="5"/>
      </w:r>
      <w:bookmarkEnd w:id="9"/>
      <w:r w:rsidR="006979E7" w:rsidRPr="00E20A08">
        <w:rPr>
          <w:lang w:val="en-CA"/>
        </w:rPr>
        <w:t xml:space="preserve"> </w:t>
      </w:r>
      <w:r w:rsidRPr="00E20A08">
        <w:rPr>
          <w:lang w:val="en-CA"/>
        </w:rPr>
        <w:t>In December 2004, the appellant turned 60 and</w:t>
      </w:r>
      <w:r w:rsidR="005A1545">
        <w:rPr>
          <w:lang w:val="en-CA"/>
        </w:rPr>
        <w:t xml:space="preserve">, pursuant to s. </w:t>
      </w:r>
      <w:r w:rsidRPr="00E20A08">
        <w:rPr>
          <w:lang w:val="en-CA"/>
        </w:rPr>
        <w:t xml:space="preserve">106.3 </w:t>
      </w:r>
      <w:r w:rsidR="00040F5E">
        <w:rPr>
          <w:i/>
          <w:iCs/>
          <w:lang w:val="en-CA"/>
        </w:rPr>
        <w:t>A.Q.P.P.</w:t>
      </w:r>
      <w:r w:rsidR="005A1545">
        <w:rPr>
          <w:lang w:val="en-CA"/>
        </w:rPr>
        <w:t>,</w:t>
      </w:r>
      <w:r w:rsidRPr="00E20A08">
        <w:rPr>
          <w:lang w:val="en-CA"/>
        </w:rPr>
        <w:t xml:space="preserve"> became eligible for the </w:t>
      </w:r>
      <w:r w:rsidR="002117F1">
        <w:rPr>
          <w:lang w:val="en-CA"/>
        </w:rPr>
        <w:t xml:space="preserve">retirement </w:t>
      </w:r>
      <w:r w:rsidRPr="00E20A08">
        <w:rPr>
          <w:lang w:val="en-CA"/>
        </w:rPr>
        <w:t>pension provided by this statute.</w:t>
      </w:r>
      <w:r w:rsidR="006979E7" w:rsidRPr="00E20A08">
        <w:rPr>
          <w:lang w:val="en-CA"/>
        </w:rPr>
        <w:t xml:space="preserve"> </w:t>
      </w:r>
      <w:r w:rsidRPr="00E20A08">
        <w:rPr>
          <w:lang w:val="en-CA"/>
        </w:rPr>
        <w:t xml:space="preserve">He chose not to </w:t>
      </w:r>
      <w:r w:rsidR="008C5262">
        <w:rPr>
          <w:lang w:val="en-CA"/>
        </w:rPr>
        <w:t>claim</w:t>
      </w:r>
      <w:r w:rsidR="008C5262" w:rsidRPr="00E20A08">
        <w:rPr>
          <w:lang w:val="en-CA"/>
        </w:rPr>
        <w:t xml:space="preserve"> </w:t>
      </w:r>
      <w:r w:rsidRPr="00E20A08">
        <w:rPr>
          <w:lang w:val="en-CA"/>
        </w:rPr>
        <w:t xml:space="preserve">payments immediately, however, preferring to wait until he </w:t>
      </w:r>
      <w:r w:rsidR="005A1545">
        <w:rPr>
          <w:lang w:val="en-CA"/>
        </w:rPr>
        <w:t xml:space="preserve">reached the age of </w:t>
      </w:r>
      <w:r w:rsidRPr="00E20A08">
        <w:rPr>
          <w:lang w:val="en-CA"/>
        </w:rPr>
        <w:t xml:space="preserve">65. He explains that this was so that he could </w:t>
      </w:r>
      <w:r w:rsidR="001F1E84">
        <w:rPr>
          <w:lang w:val="en-CA"/>
        </w:rPr>
        <w:t xml:space="preserve">then </w:t>
      </w:r>
      <w:r w:rsidRPr="00E20A08">
        <w:rPr>
          <w:lang w:val="en-CA"/>
        </w:rPr>
        <w:t xml:space="preserve">receive a higher monthly </w:t>
      </w:r>
      <w:r w:rsidRPr="002F13F3">
        <w:rPr>
          <w:lang w:val="en-CA"/>
        </w:rPr>
        <w:t>benefit</w:t>
      </w:r>
      <w:r w:rsidRPr="00E20A08">
        <w:rPr>
          <w:lang w:val="en-CA"/>
        </w:rPr>
        <w:t>.</w:t>
      </w:r>
    </w:p>
    <w:p w14:paraId="600BA2CF" w14:textId="4C2962B9" w:rsidR="00640E7F" w:rsidRPr="00E20A08" w:rsidRDefault="001F1E84" w:rsidP="00640E7F">
      <w:pPr>
        <w:pStyle w:val="Paragraphe"/>
        <w:rPr>
          <w:lang w:val="en-CA"/>
        </w:rPr>
      </w:pPr>
      <w:r>
        <w:rPr>
          <w:lang w:val="en-CA"/>
        </w:rPr>
        <w:t xml:space="preserve">However, </w:t>
      </w:r>
      <w:r w:rsidRPr="001F1E84">
        <w:rPr>
          <w:lang w:val="en-CA"/>
        </w:rPr>
        <w:t>the respondent Minister of Employment and Social Solidarity (the “Minister”)</w:t>
      </w:r>
      <w:r w:rsidR="00CE670F">
        <w:rPr>
          <w:lang w:val="en-CA"/>
        </w:rPr>
        <w:t>,</w:t>
      </w:r>
      <w:r w:rsidRPr="001F1E84">
        <w:rPr>
          <w:lang w:val="en-CA"/>
        </w:rPr>
        <w:t xml:space="preserve"> </w:t>
      </w:r>
      <w:r>
        <w:rPr>
          <w:lang w:val="en-CA"/>
        </w:rPr>
        <w:t>relying</w:t>
      </w:r>
      <w:r w:rsidR="00362E91" w:rsidRPr="00E20A08">
        <w:rPr>
          <w:lang w:val="en-CA"/>
        </w:rPr>
        <w:t xml:space="preserve"> on the legislative provisions in force at the time,</w:t>
      </w:r>
      <w:r w:rsidR="00362E91" w:rsidRPr="00E20A08">
        <w:rPr>
          <w:rStyle w:val="Appelnotedebasdep"/>
          <w:lang w:val="en-CA"/>
        </w:rPr>
        <w:footnoteReference w:id="6"/>
      </w:r>
      <w:r w:rsidR="00362E91" w:rsidRPr="00E20A08">
        <w:rPr>
          <w:lang w:val="en-CA"/>
        </w:rPr>
        <w:t xml:space="preserve"> demanded that the appellant exercise the right </w:t>
      </w:r>
      <w:r w:rsidR="009678F8" w:rsidRPr="00E20A08">
        <w:rPr>
          <w:lang w:val="en-CA"/>
        </w:rPr>
        <w:t>conferred</w:t>
      </w:r>
      <w:r w:rsidR="00362E91" w:rsidRPr="00E20A08">
        <w:rPr>
          <w:lang w:val="en-CA"/>
        </w:rPr>
        <w:t xml:space="preserve"> by the</w:t>
      </w:r>
      <w:r w:rsidR="00362E91" w:rsidRPr="00E20A08">
        <w:rPr>
          <w:i/>
          <w:lang w:val="en-CA"/>
        </w:rPr>
        <w:t xml:space="preserve"> Act respecting the Quebec Pension Plan</w:t>
      </w:r>
      <w:r w:rsidR="00362E91" w:rsidRPr="00E20A08">
        <w:rPr>
          <w:lang w:val="en-CA"/>
        </w:rPr>
        <w:t xml:space="preserve"> </w:t>
      </w:r>
      <w:r w:rsidR="00CE670F">
        <w:rPr>
          <w:lang w:val="en-CA"/>
        </w:rPr>
        <w:t>immediately</w:t>
      </w:r>
      <w:r w:rsidR="00362E91" w:rsidRPr="00E20A08">
        <w:rPr>
          <w:lang w:val="en-CA"/>
        </w:rPr>
        <w:t xml:space="preserve"> or his welfare benefits would be discontinued.</w:t>
      </w:r>
      <w:r w:rsidR="006979E7" w:rsidRPr="00E20A08">
        <w:rPr>
          <w:lang w:val="en-CA"/>
        </w:rPr>
        <w:t xml:space="preserve"> </w:t>
      </w:r>
      <w:r w:rsidR="00362E91" w:rsidRPr="00E20A08">
        <w:rPr>
          <w:lang w:val="en-CA"/>
        </w:rPr>
        <w:t>The appellant refused to comply.</w:t>
      </w:r>
      <w:r w:rsidR="006979E7" w:rsidRPr="00E20A08">
        <w:rPr>
          <w:lang w:val="en-CA"/>
        </w:rPr>
        <w:t xml:space="preserve"> </w:t>
      </w:r>
      <w:r w:rsidR="00362E91" w:rsidRPr="00E20A08">
        <w:rPr>
          <w:lang w:val="en-CA"/>
        </w:rPr>
        <w:t>On March 6, 2007, the Minister (</w:t>
      </w:r>
      <w:r w:rsidR="009678F8" w:rsidRPr="00E20A08">
        <w:rPr>
          <w:lang w:val="en-CA"/>
        </w:rPr>
        <w:t>through</w:t>
      </w:r>
      <w:r w:rsidR="00362E91" w:rsidRPr="00E20A08">
        <w:rPr>
          <w:lang w:val="en-CA"/>
        </w:rPr>
        <w:t xml:space="preserve"> the local employment centre) told him that his payments would indeed be terminated as of April 1, 2007.</w:t>
      </w:r>
      <w:r w:rsidR="006979E7" w:rsidRPr="00E20A08">
        <w:rPr>
          <w:lang w:val="en-CA"/>
        </w:rPr>
        <w:t xml:space="preserve"> </w:t>
      </w:r>
    </w:p>
    <w:p w14:paraId="3971BA2A" w14:textId="1DCF1C04" w:rsidR="00640E7F" w:rsidRPr="00E20A08" w:rsidRDefault="009678F8" w:rsidP="00640E7F">
      <w:pPr>
        <w:pStyle w:val="Paragraphe"/>
        <w:rPr>
          <w:lang w:val="en-CA"/>
        </w:rPr>
      </w:pPr>
      <w:r w:rsidRPr="00E20A08">
        <w:rPr>
          <w:lang w:val="en-CA"/>
        </w:rPr>
        <w:t xml:space="preserve">Believing he was the victim of a </w:t>
      </w:r>
      <w:r w:rsidR="00003EA4" w:rsidRPr="00E20A08">
        <w:rPr>
          <w:lang w:val="en-CA"/>
        </w:rPr>
        <w:t>di</w:t>
      </w:r>
      <w:r w:rsidR="00003EA4">
        <w:rPr>
          <w:lang w:val="en-CA"/>
        </w:rPr>
        <w:t>scrimi</w:t>
      </w:r>
      <w:r w:rsidR="00003EA4" w:rsidRPr="00E20A08">
        <w:rPr>
          <w:lang w:val="en-CA"/>
        </w:rPr>
        <w:t>natory</w:t>
      </w:r>
      <w:r w:rsidRPr="00E20A08">
        <w:rPr>
          <w:lang w:val="en-CA"/>
        </w:rPr>
        <w:t xml:space="preserve"> </w:t>
      </w:r>
      <w:r w:rsidR="00CE670F">
        <w:rPr>
          <w:lang w:val="en-CA"/>
        </w:rPr>
        <w:t>penalty</w:t>
      </w:r>
      <w:r w:rsidRPr="00E20A08">
        <w:rPr>
          <w:lang w:val="en-CA"/>
        </w:rPr>
        <w:t xml:space="preserve"> based on his social condition that deprived him of the possibility of </w:t>
      </w:r>
      <w:r w:rsidR="00C62066">
        <w:rPr>
          <w:lang w:val="en-CA"/>
        </w:rPr>
        <w:t xml:space="preserve">enhancing </w:t>
      </w:r>
      <w:r w:rsidRPr="00E20A08">
        <w:rPr>
          <w:lang w:val="en-CA"/>
        </w:rPr>
        <w:t xml:space="preserve">his pension like any other </w:t>
      </w:r>
      <w:r w:rsidRPr="00E20A08">
        <w:rPr>
          <w:lang w:val="en-CA"/>
        </w:rPr>
        <w:lastRenderedPageBreak/>
        <w:t>contributor to the Québec Pension Plan, the appellant contested this decision by way of an application for administrative review, which was dismissed on April 4, 2007.</w:t>
      </w:r>
      <w:r w:rsidRPr="00E20A08">
        <w:rPr>
          <w:rStyle w:val="Appelnotedebasdep"/>
          <w:lang w:val="en-CA"/>
        </w:rPr>
        <w:t xml:space="preserve"> </w:t>
      </w:r>
      <w:r w:rsidRPr="00E20A08">
        <w:rPr>
          <w:rStyle w:val="Appelnotedebasdep"/>
          <w:lang w:val="en-CA"/>
        </w:rPr>
        <w:footnoteReference w:id="7"/>
      </w:r>
      <w:r w:rsidR="006979E7" w:rsidRPr="00E20A08">
        <w:rPr>
          <w:lang w:val="en-CA"/>
        </w:rPr>
        <w:t xml:space="preserve"> </w:t>
      </w:r>
    </w:p>
    <w:p w14:paraId="5AFFA45D" w14:textId="4D44797E" w:rsidR="00640E7F" w:rsidRPr="00E20A08" w:rsidRDefault="009678F8" w:rsidP="00640E7F">
      <w:pPr>
        <w:pStyle w:val="Paragraphe"/>
        <w:rPr>
          <w:lang w:val="en-CA"/>
        </w:rPr>
      </w:pPr>
      <w:bookmarkStart w:id="10" w:name="_Ref71630414"/>
      <w:r w:rsidRPr="00E20A08">
        <w:rPr>
          <w:lang w:val="en-CA"/>
        </w:rPr>
        <w:t xml:space="preserve">The appellant subsequently went before the </w:t>
      </w:r>
      <w:r w:rsidR="00DC31C3">
        <w:rPr>
          <w:lang w:val="en-CA"/>
        </w:rPr>
        <w:t xml:space="preserve">Administrative </w:t>
      </w:r>
      <w:r w:rsidRPr="00E20A08">
        <w:rPr>
          <w:lang w:val="en-CA"/>
        </w:rPr>
        <w:t xml:space="preserve">Tribunal </w:t>
      </w:r>
      <w:r w:rsidR="00DC31C3">
        <w:rPr>
          <w:lang w:val="en-CA"/>
        </w:rPr>
        <w:t xml:space="preserve">of </w:t>
      </w:r>
      <w:r w:rsidRPr="00E20A08">
        <w:rPr>
          <w:lang w:val="en-CA"/>
        </w:rPr>
        <w:t>Qu</w:t>
      </w:r>
      <w:r w:rsidR="00DC31C3">
        <w:rPr>
          <w:lang w:val="en-CA"/>
        </w:rPr>
        <w:t>e</w:t>
      </w:r>
      <w:r w:rsidRPr="00E20A08">
        <w:rPr>
          <w:lang w:val="en-CA"/>
        </w:rPr>
        <w:t>bec (“</w:t>
      </w:r>
      <w:r w:rsidR="00DC31C3">
        <w:rPr>
          <w:lang w:val="en-CA"/>
        </w:rPr>
        <w:t>ATQ</w:t>
      </w:r>
      <w:r w:rsidRPr="00E20A08">
        <w:rPr>
          <w:lang w:val="en-CA"/>
        </w:rPr>
        <w:t xml:space="preserve">”) under </w:t>
      </w:r>
      <w:r w:rsidR="008A0D46">
        <w:rPr>
          <w:lang w:val="en-CA"/>
        </w:rPr>
        <w:t>s.</w:t>
      </w:r>
      <w:r w:rsidR="006979E7" w:rsidRPr="00E20A08">
        <w:rPr>
          <w:lang w:val="en-CA"/>
        </w:rPr>
        <w:t xml:space="preserve"> </w:t>
      </w:r>
      <w:r w:rsidRPr="00E20A08">
        <w:rPr>
          <w:lang w:val="en-CA"/>
        </w:rPr>
        <w:t xml:space="preserve">110 </w:t>
      </w:r>
      <w:r w:rsidRPr="008A0D46">
        <w:rPr>
          <w:i/>
          <w:iCs/>
          <w:lang w:val="en-CA"/>
        </w:rPr>
        <w:t>et seq</w:t>
      </w:r>
      <w:r w:rsidRPr="00E20A08">
        <w:rPr>
          <w:lang w:val="en-CA"/>
        </w:rPr>
        <w:t xml:space="preserve">. of the </w:t>
      </w:r>
      <w:r w:rsidRPr="008A0D46">
        <w:rPr>
          <w:i/>
          <w:iCs/>
          <w:lang w:val="en-CA"/>
        </w:rPr>
        <w:t>Act respecting administrative justice</w:t>
      </w:r>
      <w:r w:rsidR="008A0D46">
        <w:rPr>
          <w:lang w:val="en-CA"/>
        </w:rPr>
        <w:t>,</w:t>
      </w:r>
      <w:r w:rsidRPr="00E20A08">
        <w:rPr>
          <w:rStyle w:val="Appelnotedebasdep"/>
          <w:lang w:val="en-CA"/>
        </w:rPr>
        <w:t xml:space="preserve"> </w:t>
      </w:r>
      <w:r w:rsidRPr="00E20A08">
        <w:rPr>
          <w:rStyle w:val="Appelnotedebasdep"/>
          <w:lang w:val="en-CA"/>
        </w:rPr>
        <w:footnoteReference w:id="8"/>
      </w:r>
      <w:r w:rsidRPr="00E20A08">
        <w:rPr>
          <w:lang w:val="en-CA"/>
        </w:rPr>
        <w:t xml:space="preserve"> impug</w:t>
      </w:r>
      <w:r w:rsidR="008A0D46">
        <w:rPr>
          <w:lang w:val="en-CA"/>
        </w:rPr>
        <w:t>ning</w:t>
      </w:r>
      <w:r w:rsidRPr="00E20A08">
        <w:rPr>
          <w:lang w:val="en-CA"/>
        </w:rPr>
        <w:t xml:space="preserve"> the validity of </w:t>
      </w:r>
      <w:r w:rsidR="001F1E84">
        <w:rPr>
          <w:lang w:val="en-CA"/>
        </w:rPr>
        <w:t>ss.</w:t>
      </w:r>
      <w:r w:rsidR="006979E7" w:rsidRPr="00E20A08">
        <w:rPr>
          <w:lang w:val="en-CA"/>
        </w:rPr>
        <w:t xml:space="preserve"> </w:t>
      </w:r>
      <w:r w:rsidRPr="00E20A08">
        <w:rPr>
          <w:lang w:val="en-CA"/>
        </w:rPr>
        <w:t xml:space="preserve">63 and 66 of the </w:t>
      </w:r>
      <w:r w:rsidR="00040F5E">
        <w:rPr>
          <w:i/>
          <w:iCs/>
          <w:lang w:val="en-CA"/>
        </w:rPr>
        <w:t>I.F.A.A.</w:t>
      </w:r>
      <w:r w:rsidR="008A0D46">
        <w:rPr>
          <w:lang w:val="en-CA"/>
        </w:rPr>
        <w:t xml:space="preserve"> </w:t>
      </w:r>
      <w:r w:rsidRPr="00E20A08">
        <w:rPr>
          <w:lang w:val="en-CA"/>
        </w:rPr>
        <w:t xml:space="preserve">in view of </w:t>
      </w:r>
      <w:r w:rsidR="001F1E84">
        <w:rPr>
          <w:lang w:val="en-CA"/>
        </w:rPr>
        <w:t xml:space="preserve">s. </w:t>
      </w:r>
      <w:r w:rsidR="00362E91" w:rsidRPr="00E20A08">
        <w:rPr>
          <w:lang w:val="en-CA"/>
        </w:rPr>
        <w:t>1</w:t>
      </w:r>
      <w:r w:rsidR="001F1E84">
        <w:rPr>
          <w:lang w:val="en-CA"/>
        </w:rPr>
        <w:t>5(</w:t>
      </w:r>
      <w:r w:rsidR="00362E91" w:rsidRPr="00E20A08">
        <w:rPr>
          <w:lang w:val="en-CA"/>
        </w:rPr>
        <w:t>1</w:t>
      </w:r>
      <w:r w:rsidR="001F1E84">
        <w:rPr>
          <w:lang w:val="en-CA"/>
        </w:rPr>
        <w:t xml:space="preserve">) </w:t>
      </w:r>
      <w:r w:rsidRPr="00E20A08">
        <w:rPr>
          <w:lang w:val="en-CA"/>
        </w:rPr>
        <w:t xml:space="preserve">of the </w:t>
      </w:r>
      <w:r w:rsidRPr="00E20A08">
        <w:rPr>
          <w:i/>
          <w:iCs/>
          <w:lang w:val="en-CA"/>
        </w:rPr>
        <w:t>Canadian Charter of Rights and Freedoms</w:t>
      </w:r>
      <w:r w:rsidRPr="00E20A08">
        <w:rPr>
          <w:lang w:val="en-CA"/>
        </w:rPr>
        <w:t xml:space="preserve"> and </w:t>
      </w:r>
      <w:r w:rsidR="008A0D46">
        <w:rPr>
          <w:lang w:val="en-CA"/>
        </w:rPr>
        <w:t>s.</w:t>
      </w:r>
      <w:r w:rsidRPr="00E20A08">
        <w:rPr>
          <w:lang w:val="en-CA"/>
        </w:rPr>
        <w:t xml:space="preserve"> 10 of the </w:t>
      </w:r>
      <w:r w:rsidRPr="00E20A08">
        <w:rPr>
          <w:i/>
          <w:lang w:val="en-CA"/>
        </w:rPr>
        <w:t>Charter of human rights and freedoms</w:t>
      </w:r>
      <w:r w:rsidRPr="00E20A08">
        <w:rPr>
          <w:lang w:val="en-CA"/>
        </w:rPr>
        <w:t>.</w:t>
      </w:r>
      <w:r w:rsidRPr="00E20A08">
        <w:rPr>
          <w:rStyle w:val="Appelnotedebasdep"/>
          <w:lang w:val="en-CA"/>
        </w:rPr>
        <w:footnoteReference w:id="9"/>
      </w:r>
      <w:r w:rsidR="006979E7" w:rsidRPr="00E20A08">
        <w:rPr>
          <w:lang w:val="en-CA"/>
        </w:rPr>
        <w:t xml:space="preserve"> </w:t>
      </w:r>
      <w:bookmarkEnd w:id="10"/>
      <w:r w:rsidRPr="00E20A08">
        <w:rPr>
          <w:lang w:val="en-CA"/>
        </w:rPr>
        <w:t xml:space="preserve">In December 2007, the </w:t>
      </w:r>
      <w:r w:rsidR="00DC31C3">
        <w:rPr>
          <w:lang w:val="en-CA"/>
        </w:rPr>
        <w:t>ATQ</w:t>
      </w:r>
      <w:r w:rsidRPr="00E20A08">
        <w:rPr>
          <w:lang w:val="en-CA"/>
        </w:rPr>
        <w:t xml:space="preserve"> suspended the execution of the Minister’s </w:t>
      </w:r>
      <w:r w:rsidR="008A0D46">
        <w:rPr>
          <w:lang w:val="en-CA"/>
        </w:rPr>
        <w:t xml:space="preserve">impugned </w:t>
      </w:r>
      <w:r w:rsidRPr="00E20A08">
        <w:rPr>
          <w:lang w:val="en-CA"/>
        </w:rPr>
        <w:t>decision retroactively to April 5, 2007,</w:t>
      </w:r>
      <w:bookmarkStart w:id="11" w:name="_Ref71630427"/>
      <w:r w:rsidRPr="00E20A08">
        <w:rPr>
          <w:rStyle w:val="Appelnotedebasdep"/>
          <w:lang w:val="en-CA"/>
        </w:rPr>
        <w:footnoteReference w:id="10"/>
      </w:r>
      <w:bookmarkEnd w:id="11"/>
      <w:r w:rsidRPr="00E20A08">
        <w:rPr>
          <w:lang w:val="en-CA"/>
        </w:rPr>
        <w:t xml:space="preserve"> </w:t>
      </w:r>
      <w:r w:rsidR="008A0D46">
        <w:rPr>
          <w:lang w:val="en-CA"/>
        </w:rPr>
        <w:t xml:space="preserve">temporarily </w:t>
      </w:r>
      <w:r w:rsidRPr="00E20A08">
        <w:rPr>
          <w:lang w:val="en-CA"/>
        </w:rPr>
        <w:t>restoring payments.</w:t>
      </w:r>
    </w:p>
    <w:p w14:paraId="1C516C16" w14:textId="2CFDAC42" w:rsidR="00640E7F" w:rsidRPr="00E20A08" w:rsidRDefault="009678F8" w:rsidP="00640E7F">
      <w:pPr>
        <w:pStyle w:val="Paragraphe"/>
        <w:rPr>
          <w:lang w:val="en-CA"/>
        </w:rPr>
      </w:pPr>
      <w:r w:rsidRPr="00E20A08">
        <w:rPr>
          <w:lang w:val="en-CA"/>
        </w:rPr>
        <w:t xml:space="preserve">On October 26, 2018, the </w:t>
      </w:r>
      <w:r w:rsidR="00DC31C3">
        <w:rPr>
          <w:lang w:val="en-CA"/>
        </w:rPr>
        <w:t>ATQ</w:t>
      </w:r>
      <w:r w:rsidRPr="00E20A08">
        <w:rPr>
          <w:lang w:val="en-CA"/>
        </w:rPr>
        <w:t xml:space="preserve"> dismissed the appellant’s action.</w:t>
      </w:r>
      <w:bookmarkStart w:id="12" w:name="_Ref71648247"/>
      <w:r w:rsidRPr="00E20A08">
        <w:rPr>
          <w:rStyle w:val="Appelnotedebasdep"/>
          <w:lang w:val="en-CA"/>
        </w:rPr>
        <w:footnoteReference w:id="11"/>
      </w:r>
      <w:bookmarkEnd w:id="12"/>
      <w:r w:rsidR="006979E7" w:rsidRPr="00E20A08">
        <w:rPr>
          <w:lang w:val="en-CA"/>
        </w:rPr>
        <w:t xml:space="preserve"> </w:t>
      </w:r>
      <w:r w:rsidRPr="00E20A08">
        <w:rPr>
          <w:lang w:val="en-CA"/>
        </w:rPr>
        <w:t>In its view, although social condition may be considered a</w:t>
      </w:r>
      <w:r w:rsidR="008A0D46">
        <w:rPr>
          <w:lang w:val="en-CA"/>
        </w:rPr>
        <w:t xml:space="preserve">n analogous </w:t>
      </w:r>
      <w:r w:rsidRPr="00E20A08">
        <w:rPr>
          <w:lang w:val="en-CA"/>
        </w:rPr>
        <w:t xml:space="preserve">prohibited ground of </w:t>
      </w:r>
      <w:r w:rsidR="00003EA4" w:rsidRPr="00E20A08">
        <w:rPr>
          <w:lang w:val="en-CA"/>
        </w:rPr>
        <w:t>di</w:t>
      </w:r>
      <w:r w:rsidR="00003EA4">
        <w:rPr>
          <w:lang w:val="en-CA"/>
        </w:rPr>
        <w:t>scrimi</w:t>
      </w:r>
      <w:r w:rsidR="00003EA4" w:rsidRPr="00E20A08">
        <w:rPr>
          <w:lang w:val="en-CA"/>
        </w:rPr>
        <w:t>nation</w:t>
      </w:r>
      <w:r w:rsidRPr="00E20A08">
        <w:rPr>
          <w:lang w:val="en-CA"/>
        </w:rPr>
        <w:t xml:space="preserve"> under </w:t>
      </w:r>
      <w:r w:rsidR="008A0D46">
        <w:rPr>
          <w:lang w:val="en-CA"/>
        </w:rPr>
        <w:t xml:space="preserve">s. </w:t>
      </w:r>
      <w:r w:rsidR="00362E91" w:rsidRPr="00E20A08">
        <w:rPr>
          <w:lang w:val="en-CA"/>
        </w:rPr>
        <w:t>15</w:t>
      </w:r>
      <w:r w:rsidR="008A0D46">
        <w:rPr>
          <w:lang w:val="en-CA"/>
        </w:rPr>
        <w:t>(</w:t>
      </w:r>
      <w:r w:rsidR="00362E91" w:rsidRPr="00E20A08">
        <w:rPr>
          <w:lang w:val="en-CA"/>
        </w:rPr>
        <w:t>1</w:t>
      </w:r>
      <w:r w:rsidR="008A0D46">
        <w:rPr>
          <w:lang w:val="en-CA"/>
        </w:rPr>
        <w:t>)</w:t>
      </w:r>
      <w:r w:rsidR="006979E7" w:rsidRPr="00E20A08">
        <w:rPr>
          <w:lang w:val="en-CA"/>
        </w:rPr>
        <w:t xml:space="preserve"> </w:t>
      </w:r>
      <w:r w:rsidRPr="00E20A08">
        <w:rPr>
          <w:lang w:val="en-CA"/>
        </w:rPr>
        <w:t xml:space="preserve">of the </w:t>
      </w:r>
      <w:r w:rsidRPr="008A0D46">
        <w:rPr>
          <w:i/>
          <w:iCs/>
          <w:lang w:val="en-CA"/>
        </w:rPr>
        <w:t>Canadian Charter</w:t>
      </w:r>
      <w:r w:rsidRPr="00E20A08">
        <w:rPr>
          <w:lang w:val="en-CA"/>
        </w:rPr>
        <w:t xml:space="preserve">, just as it is </w:t>
      </w:r>
      <w:r w:rsidR="001D07F6">
        <w:rPr>
          <w:lang w:val="en-CA"/>
        </w:rPr>
        <w:t xml:space="preserve">an </w:t>
      </w:r>
      <w:r w:rsidRPr="00E20A08">
        <w:rPr>
          <w:lang w:val="en-CA"/>
        </w:rPr>
        <w:t xml:space="preserve">expressly prohibited </w:t>
      </w:r>
      <w:r w:rsidR="001D07F6">
        <w:rPr>
          <w:lang w:val="en-CA"/>
        </w:rPr>
        <w:t xml:space="preserve">ground under </w:t>
      </w:r>
      <w:r w:rsidR="008A0D46">
        <w:rPr>
          <w:lang w:val="en-CA"/>
        </w:rPr>
        <w:t>s.</w:t>
      </w:r>
      <w:r w:rsidR="006979E7" w:rsidRPr="00E20A08">
        <w:rPr>
          <w:lang w:val="en-CA"/>
        </w:rPr>
        <w:t xml:space="preserve"> </w:t>
      </w:r>
      <w:r w:rsidRPr="00E20A08">
        <w:rPr>
          <w:lang w:val="en-CA"/>
        </w:rPr>
        <w:t>10 para</w:t>
      </w:r>
      <w:r w:rsidR="008A0D46">
        <w:rPr>
          <w:lang w:val="en-CA"/>
        </w:rPr>
        <w:t xml:space="preserve">. </w:t>
      </w:r>
      <w:r w:rsidRPr="00E20A08">
        <w:rPr>
          <w:lang w:val="en-CA"/>
        </w:rPr>
        <w:t xml:space="preserve">1 of the </w:t>
      </w:r>
      <w:r w:rsidRPr="008A0D46">
        <w:rPr>
          <w:i/>
          <w:iCs/>
          <w:lang w:val="en-CA"/>
        </w:rPr>
        <w:t>Quebec Charter</w:t>
      </w:r>
      <w:r w:rsidRPr="00E20A08">
        <w:rPr>
          <w:lang w:val="en-CA"/>
        </w:rPr>
        <w:t xml:space="preserve">, </w:t>
      </w:r>
      <w:r w:rsidR="001F1E84">
        <w:rPr>
          <w:lang w:val="en-CA"/>
        </w:rPr>
        <w:t>ss.</w:t>
      </w:r>
      <w:r w:rsidR="006979E7" w:rsidRPr="00E20A08">
        <w:rPr>
          <w:lang w:val="en-CA"/>
        </w:rPr>
        <w:t xml:space="preserve"> </w:t>
      </w:r>
      <w:r w:rsidRPr="00E20A08">
        <w:rPr>
          <w:lang w:val="en-CA"/>
        </w:rPr>
        <w:t xml:space="preserve">63 and 66 of the </w:t>
      </w:r>
      <w:r w:rsidR="00040F5E" w:rsidRPr="00C62066">
        <w:rPr>
          <w:i/>
          <w:iCs/>
          <w:lang w:val="en-CA"/>
        </w:rPr>
        <w:t>I.F.A.A.</w:t>
      </w:r>
      <w:r w:rsidRPr="00C62066">
        <w:rPr>
          <w:i/>
          <w:iCs/>
          <w:lang w:val="en-CA"/>
        </w:rPr>
        <w:t xml:space="preserve"> </w:t>
      </w:r>
      <w:r w:rsidRPr="00E20A08">
        <w:rPr>
          <w:lang w:val="en-CA"/>
        </w:rPr>
        <w:t>do not infringe these provisions.</w:t>
      </w:r>
      <w:r w:rsidR="006979E7" w:rsidRPr="00E20A08">
        <w:rPr>
          <w:lang w:val="en-CA"/>
        </w:rPr>
        <w:t xml:space="preserve"> </w:t>
      </w:r>
      <w:r w:rsidRPr="00E20A08">
        <w:rPr>
          <w:lang w:val="en-CA"/>
        </w:rPr>
        <w:t>Therefore:</w:t>
      </w:r>
    </w:p>
    <w:p w14:paraId="2C23F66E" w14:textId="2A8148D0" w:rsidR="001D07F6" w:rsidRDefault="001D07F6" w:rsidP="00640E7F">
      <w:pPr>
        <w:pStyle w:val="Citationenretrait"/>
        <w:rPr>
          <w:lang w:val="en-CA"/>
        </w:rPr>
      </w:pPr>
      <w:r>
        <w:rPr>
          <w:lang w:val="en-CA"/>
        </w:rPr>
        <w:t>[</w:t>
      </w:r>
      <w:r w:rsidRPr="001D07F6">
        <w:rPr>
          <w:smallCaps/>
          <w:lang w:val="en-CA"/>
        </w:rPr>
        <w:t>translation</w:t>
      </w:r>
      <w:r>
        <w:rPr>
          <w:lang w:val="en-CA"/>
        </w:rPr>
        <w:t>]</w:t>
      </w:r>
    </w:p>
    <w:p w14:paraId="7AAC5BD5" w14:textId="6677FC22" w:rsidR="00640E7F" w:rsidRPr="00E20A08" w:rsidRDefault="009678F8" w:rsidP="00640E7F">
      <w:pPr>
        <w:pStyle w:val="Citationenretrait"/>
        <w:rPr>
          <w:lang w:val="en-CA"/>
        </w:rPr>
      </w:pPr>
      <w:r w:rsidRPr="00E20A08">
        <w:rPr>
          <w:lang w:val="en-CA"/>
        </w:rPr>
        <w:t>[33]</w:t>
      </w:r>
      <w:r w:rsidR="006979E7" w:rsidRPr="00E20A08">
        <w:rPr>
          <w:lang w:val="en-CA"/>
        </w:rPr>
        <w:tab/>
      </w:r>
      <w:r w:rsidRPr="00E20A08">
        <w:rPr>
          <w:lang w:val="en-CA"/>
        </w:rPr>
        <w:t>The applicant party would like the Tribunal to compare his situation with that of a person who is 60 years of age who does not receive last</w:t>
      </w:r>
      <w:r w:rsidR="001D07F6">
        <w:rPr>
          <w:lang w:val="en-CA"/>
        </w:rPr>
        <w:t xml:space="preserve"> </w:t>
      </w:r>
      <w:r w:rsidRPr="00E20A08">
        <w:rPr>
          <w:lang w:val="en-CA"/>
        </w:rPr>
        <w:t>resort financial assistance.</w:t>
      </w:r>
      <w:r w:rsidR="006979E7" w:rsidRPr="00E20A08">
        <w:rPr>
          <w:lang w:val="en-CA"/>
        </w:rPr>
        <w:t xml:space="preserve"> </w:t>
      </w:r>
      <w:r w:rsidR="001D07F6">
        <w:rPr>
          <w:lang w:val="en-CA"/>
        </w:rPr>
        <w:t xml:space="preserve">However, it </w:t>
      </w:r>
      <w:r w:rsidRPr="00E20A08">
        <w:rPr>
          <w:lang w:val="en-CA"/>
        </w:rPr>
        <w:t xml:space="preserve">is not appropriate to do so, because such a person obtains none of the benefits provided under the </w:t>
      </w:r>
      <w:r w:rsidR="001D07F6" w:rsidRPr="001D07F6">
        <w:rPr>
          <w:i/>
          <w:iCs/>
          <w:lang w:val="en-CA"/>
        </w:rPr>
        <w:t>Individual and Family Assistance Act</w:t>
      </w:r>
      <w:r w:rsidRPr="00E20A08">
        <w:rPr>
          <w:lang w:val="en-CA"/>
        </w:rPr>
        <w:t xml:space="preserve"> and therefore is in no way subject to the obligations </w:t>
      </w:r>
      <w:r w:rsidR="00A7519F">
        <w:rPr>
          <w:lang w:val="en-CA"/>
        </w:rPr>
        <w:t xml:space="preserve">imposed by </w:t>
      </w:r>
      <w:r w:rsidR="001D07F6">
        <w:rPr>
          <w:lang w:val="en-CA"/>
        </w:rPr>
        <w:t xml:space="preserve">this </w:t>
      </w:r>
      <w:r w:rsidRPr="001D07F6">
        <w:rPr>
          <w:i/>
          <w:iCs/>
          <w:lang w:val="en-CA"/>
        </w:rPr>
        <w:t>Act</w:t>
      </w:r>
      <w:r w:rsidRPr="00E20A08">
        <w:rPr>
          <w:lang w:val="en-CA"/>
        </w:rPr>
        <w:t>.</w:t>
      </w:r>
    </w:p>
    <w:p w14:paraId="414C0466" w14:textId="7B5860DE" w:rsidR="00640E7F" w:rsidRPr="00E20A08" w:rsidRDefault="009678F8" w:rsidP="00640E7F">
      <w:pPr>
        <w:pStyle w:val="Citationenretrait"/>
        <w:rPr>
          <w:lang w:val="en-CA"/>
        </w:rPr>
      </w:pPr>
      <w:r w:rsidRPr="00E20A08">
        <w:rPr>
          <w:lang w:val="en-CA"/>
        </w:rPr>
        <w:t>[34</w:t>
      </w:r>
      <w:proofErr w:type="gramStart"/>
      <w:r w:rsidRPr="00E20A08">
        <w:rPr>
          <w:lang w:val="en-CA"/>
        </w:rPr>
        <w:t xml:space="preserve">]  </w:t>
      </w:r>
      <w:r w:rsidR="006979E7" w:rsidRPr="00E20A08">
        <w:rPr>
          <w:lang w:val="en-CA"/>
        </w:rPr>
        <w:tab/>
      </w:r>
      <w:proofErr w:type="gramEnd"/>
      <w:r w:rsidRPr="00E20A08">
        <w:rPr>
          <w:lang w:val="en-CA"/>
        </w:rPr>
        <w:t xml:space="preserve">It is therefore reasonable to </w:t>
      </w:r>
      <w:r w:rsidR="001D07F6">
        <w:rPr>
          <w:lang w:val="en-CA"/>
        </w:rPr>
        <w:t>recognize</w:t>
      </w:r>
      <w:r w:rsidRPr="00E20A08">
        <w:rPr>
          <w:lang w:val="en-CA"/>
        </w:rPr>
        <w:t xml:space="preserve"> </w:t>
      </w:r>
      <w:r w:rsidR="006979E7" w:rsidRPr="00E20A08">
        <w:rPr>
          <w:lang w:val="en-CA"/>
        </w:rPr>
        <w:t>that</w:t>
      </w:r>
      <w:r w:rsidRPr="00E20A08">
        <w:rPr>
          <w:lang w:val="en-CA"/>
        </w:rPr>
        <w:t xml:space="preserve"> there may be differential treatment between a person </w:t>
      </w:r>
      <w:r w:rsidR="001D07F6">
        <w:rPr>
          <w:lang w:val="en-CA"/>
        </w:rPr>
        <w:t xml:space="preserve">covered </w:t>
      </w:r>
      <w:r w:rsidRPr="00E20A08">
        <w:rPr>
          <w:lang w:val="en-CA"/>
        </w:rPr>
        <w:t>by a last</w:t>
      </w:r>
      <w:r w:rsidR="001D07F6">
        <w:rPr>
          <w:lang w:val="en-CA"/>
        </w:rPr>
        <w:t xml:space="preserve"> </w:t>
      </w:r>
      <w:r w:rsidRPr="00E20A08">
        <w:rPr>
          <w:lang w:val="en-CA"/>
        </w:rPr>
        <w:t xml:space="preserve">resort financial assistance regime and </w:t>
      </w:r>
      <w:r w:rsidR="006979E7" w:rsidRPr="00E20A08">
        <w:rPr>
          <w:lang w:val="en-CA"/>
        </w:rPr>
        <w:t>another</w:t>
      </w:r>
      <w:r w:rsidRPr="00E20A08">
        <w:rPr>
          <w:lang w:val="en-CA"/>
        </w:rPr>
        <w:t xml:space="preserve"> who is a</w:t>
      </w:r>
      <w:r w:rsidR="001D07F6">
        <w:rPr>
          <w:lang w:val="en-CA"/>
        </w:rPr>
        <w:t xml:space="preserve">lien to such a </w:t>
      </w:r>
      <w:r w:rsidRPr="00E20A08">
        <w:rPr>
          <w:lang w:val="en-CA"/>
        </w:rPr>
        <w:t xml:space="preserve">regime, without characterizing </w:t>
      </w:r>
      <w:r w:rsidR="00977951">
        <w:rPr>
          <w:lang w:val="en-CA"/>
        </w:rPr>
        <w:t xml:space="preserve">it as </w:t>
      </w:r>
      <w:r w:rsidR="00003EA4" w:rsidRPr="00E20A08">
        <w:rPr>
          <w:lang w:val="en-CA"/>
        </w:rPr>
        <w:t>di</w:t>
      </w:r>
      <w:r w:rsidR="00003EA4">
        <w:rPr>
          <w:lang w:val="en-CA"/>
        </w:rPr>
        <w:t>scrimi</w:t>
      </w:r>
      <w:r w:rsidR="00003EA4" w:rsidRPr="00E20A08">
        <w:rPr>
          <w:lang w:val="en-CA"/>
        </w:rPr>
        <w:t>natory</w:t>
      </w:r>
      <w:r w:rsidRPr="00E20A08">
        <w:rPr>
          <w:lang w:val="en-CA"/>
        </w:rPr>
        <w:t>.</w:t>
      </w:r>
      <w:r w:rsidR="006979E7" w:rsidRPr="00E20A08">
        <w:rPr>
          <w:lang w:val="en-CA"/>
        </w:rPr>
        <w:t xml:space="preserve"> </w:t>
      </w:r>
      <w:r w:rsidRPr="00E20A08">
        <w:rPr>
          <w:lang w:val="en-CA"/>
        </w:rPr>
        <w:t>Moreover, all beneficiaries of last</w:t>
      </w:r>
      <w:r w:rsidR="00977951">
        <w:rPr>
          <w:lang w:val="en-CA"/>
        </w:rPr>
        <w:t xml:space="preserve"> </w:t>
      </w:r>
      <w:r w:rsidRPr="00E20A08">
        <w:rPr>
          <w:lang w:val="en-CA"/>
        </w:rPr>
        <w:t>resort financial assistance who are entitled to a retirement pension when they reach the age of 60 are treated the same way.</w:t>
      </w:r>
    </w:p>
    <w:p w14:paraId="1C518703" w14:textId="54091D16" w:rsidR="00640E7F" w:rsidRPr="00E20A08" w:rsidRDefault="009678F8" w:rsidP="00640E7F">
      <w:pPr>
        <w:pStyle w:val="Citationenretrait"/>
        <w:rPr>
          <w:lang w:val="en-CA"/>
        </w:rPr>
      </w:pPr>
      <w:r w:rsidRPr="00E20A08">
        <w:rPr>
          <w:lang w:val="en-CA"/>
        </w:rPr>
        <w:t xml:space="preserve">[35] </w:t>
      </w:r>
      <w:r w:rsidR="006979E7" w:rsidRPr="00E20A08">
        <w:rPr>
          <w:lang w:val="en-CA"/>
        </w:rPr>
        <w:tab/>
      </w:r>
      <w:r w:rsidRPr="00E20A08">
        <w:rPr>
          <w:lang w:val="en-CA"/>
        </w:rPr>
        <w:t xml:space="preserve">The </w:t>
      </w:r>
      <w:r w:rsidRPr="00977951">
        <w:rPr>
          <w:i/>
          <w:iCs/>
          <w:lang w:val="en-CA"/>
        </w:rPr>
        <w:t>Act</w:t>
      </w:r>
      <w:r w:rsidRPr="00E20A08">
        <w:rPr>
          <w:lang w:val="en-CA"/>
        </w:rPr>
        <w:t xml:space="preserve"> does not deny the applicant rights that are granted to other Quebecers and, accordingly, the applicant suffer</w:t>
      </w:r>
      <w:r w:rsidR="00977951">
        <w:rPr>
          <w:lang w:val="en-CA"/>
        </w:rPr>
        <w:t xml:space="preserve">s no </w:t>
      </w:r>
      <w:r w:rsidRPr="00E20A08">
        <w:rPr>
          <w:lang w:val="en-CA"/>
        </w:rPr>
        <w:t>disadvantage.</w:t>
      </w:r>
      <w:r w:rsidR="006979E7" w:rsidRPr="00E20A08">
        <w:rPr>
          <w:lang w:val="en-CA"/>
        </w:rPr>
        <w:t xml:space="preserve"> </w:t>
      </w:r>
      <w:r w:rsidRPr="00E20A08">
        <w:rPr>
          <w:lang w:val="en-CA"/>
        </w:rPr>
        <w:t xml:space="preserve">All Quebecers </w:t>
      </w:r>
      <w:r w:rsidR="00565649">
        <w:rPr>
          <w:lang w:val="en-CA"/>
        </w:rPr>
        <w:t xml:space="preserve">who request </w:t>
      </w:r>
      <w:r w:rsidRPr="00E20A08">
        <w:rPr>
          <w:lang w:val="en-CA"/>
        </w:rPr>
        <w:t>last</w:t>
      </w:r>
      <w:r w:rsidR="00565649">
        <w:rPr>
          <w:lang w:val="en-CA"/>
        </w:rPr>
        <w:t xml:space="preserve"> </w:t>
      </w:r>
      <w:r w:rsidRPr="00E20A08">
        <w:rPr>
          <w:lang w:val="en-CA"/>
        </w:rPr>
        <w:t xml:space="preserve">resort financial assistance must exhaust their other recourses to provide for their needs, including their entitlement to a retirement pension if they </w:t>
      </w:r>
      <w:r w:rsidRPr="00E20A08">
        <w:rPr>
          <w:lang w:val="en-CA"/>
        </w:rPr>
        <w:lastRenderedPageBreak/>
        <w:t>are 60 years of age.</w:t>
      </w:r>
      <w:r w:rsidR="006979E7" w:rsidRPr="00E20A08">
        <w:rPr>
          <w:lang w:val="en-CA"/>
        </w:rPr>
        <w:t xml:space="preserve"> </w:t>
      </w:r>
      <w:r w:rsidRPr="00E20A08">
        <w:rPr>
          <w:lang w:val="en-CA"/>
        </w:rPr>
        <w:t>In exercising its jurisdiction, the legislature decided to subject the payment of last</w:t>
      </w:r>
      <w:r w:rsidR="00565649">
        <w:rPr>
          <w:lang w:val="en-CA"/>
        </w:rPr>
        <w:t xml:space="preserve"> </w:t>
      </w:r>
      <w:r w:rsidRPr="00E20A08">
        <w:rPr>
          <w:lang w:val="en-CA"/>
        </w:rPr>
        <w:t xml:space="preserve">resort financial assistance to the </w:t>
      </w:r>
      <w:r w:rsidR="00565649">
        <w:rPr>
          <w:lang w:val="en-CA"/>
        </w:rPr>
        <w:t xml:space="preserve">requirement that a person </w:t>
      </w:r>
      <w:r w:rsidRPr="00E20A08">
        <w:rPr>
          <w:lang w:val="en-CA"/>
        </w:rPr>
        <w:t xml:space="preserve">exercise </w:t>
      </w:r>
      <w:r w:rsidR="00565649">
        <w:rPr>
          <w:lang w:val="en-CA"/>
        </w:rPr>
        <w:t xml:space="preserve">all </w:t>
      </w:r>
      <w:r w:rsidRPr="00E20A08">
        <w:rPr>
          <w:lang w:val="en-CA"/>
        </w:rPr>
        <w:t>residual recourses</w:t>
      </w:r>
      <w:r w:rsidR="00565649">
        <w:rPr>
          <w:lang w:val="en-CA"/>
        </w:rPr>
        <w:t xml:space="preserve"> before seeking government assistance</w:t>
      </w:r>
      <w:r w:rsidRPr="00E20A08">
        <w:rPr>
          <w:lang w:val="en-CA"/>
        </w:rPr>
        <w:t>.</w:t>
      </w:r>
      <w:r w:rsidR="006979E7" w:rsidRPr="00E20A08">
        <w:rPr>
          <w:lang w:val="en-CA"/>
        </w:rPr>
        <w:t xml:space="preserve"> </w:t>
      </w:r>
      <w:r w:rsidRPr="00E20A08">
        <w:rPr>
          <w:lang w:val="en-CA"/>
        </w:rPr>
        <w:t xml:space="preserve">This </w:t>
      </w:r>
      <w:r w:rsidR="00565649">
        <w:rPr>
          <w:lang w:val="en-CA"/>
        </w:rPr>
        <w:t xml:space="preserve">is a legitimate </w:t>
      </w:r>
      <w:r w:rsidRPr="00E20A08">
        <w:rPr>
          <w:lang w:val="en-CA"/>
        </w:rPr>
        <w:t xml:space="preserve">objective, and the obligation </w:t>
      </w:r>
      <w:r w:rsidR="004F3AB2" w:rsidRPr="00E20A08">
        <w:rPr>
          <w:lang w:val="en-CA"/>
        </w:rPr>
        <w:t>it imposes</w:t>
      </w:r>
      <w:r w:rsidRPr="00E20A08">
        <w:rPr>
          <w:lang w:val="en-CA"/>
        </w:rPr>
        <w:t xml:space="preserve"> on beneficiaries to exercise their rights when they are realized </w:t>
      </w:r>
      <w:r w:rsidR="00565649">
        <w:rPr>
          <w:lang w:val="en-CA"/>
        </w:rPr>
        <w:t>a</w:t>
      </w:r>
      <w:r w:rsidRPr="00E20A08">
        <w:rPr>
          <w:lang w:val="en-CA"/>
        </w:rPr>
        <w:t>ffect</w:t>
      </w:r>
      <w:r w:rsidR="00565649">
        <w:rPr>
          <w:lang w:val="en-CA"/>
        </w:rPr>
        <w:t>s</w:t>
      </w:r>
      <w:r w:rsidRPr="00E20A08">
        <w:rPr>
          <w:lang w:val="en-CA"/>
        </w:rPr>
        <w:t xml:space="preserve"> their </w:t>
      </w:r>
      <w:r w:rsidR="006979E7" w:rsidRPr="00E20A08">
        <w:rPr>
          <w:lang w:val="en-CA"/>
        </w:rPr>
        <w:t>eligibility</w:t>
      </w:r>
      <w:r w:rsidRPr="00E20A08">
        <w:rPr>
          <w:lang w:val="en-CA"/>
        </w:rPr>
        <w:t xml:space="preserve"> for financial assistance </w:t>
      </w:r>
      <w:r w:rsidR="00FA42FD">
        <w:rPr>
          <w:lang w:val="en-CA"/>
        </w:rPr>
        <w:t xml:space="preserve">is </w:t>
      </w:r>
      <w:r w:rsidRPr="00E20A08">
        <w:rPr>
          <w:lang w:val="en-CA"/>
        </w:rPr>
        <w:t>a foreseeable feature</w:t>
      </w:r>
      <w:r w:rsidR="009B4D3D" w:rsidRPr="00E20A08">
        <w:rPr>
          <w:lang w:val="en-CA"/>
        </w:rPr>
        <w:t xml:space="preserve"> </w:t>
      </w:r>
      <w:r w:rsidRPr="00E20A08">
        <w:rPr>
          <w:lang w:val="en-CA"/>
        </w:rPr>
        <w:t>of the last</w:t>
      </w:r>
      <w:r w:rsidR="00565649">
        <w:rPr>
          <w:lang w:val="en-CA"/>
        </w:rPr>
        <w:t xml:space="preserve"> </w:t>
      </w:r>
      <w:r w:rsidRPr="00E20A08">
        <w:rPr>
          <w:lang w:val="en-CA"/>
        </w:rPr>
        <w:t>resort financial assistance regime.</w:t>
      </w:r>
      <w:r w:rsidR="00565649">
        <w:rPr>
          <w:lang w:val="en-CA"/>
        </w:rPr>
        <w:t xml:space="preserve"> A</w:t>
      </w:r>
      <w:r w:rsidRPr="00E20A08">
        <w:rPr>
          <w:lang w:val="en-CA"/>
        </w:rPr>
        <w:t xml:space="preserve"> person’s essential needs must be covered by relying on available resources</w:t>
      </w:r>
      <w:r w:rsidR="00565649">
        <w:rPr>
          <w:lang w:val="en-CA"/>
        </w:rPr>
        <w:t xml:space="preserve"> first</w:t>
      </w:r>
      <w:r w:rsidRPr="00E20A08">
        <w:rPr>
          <w:lang w:val="en-CA"/>
        </w:rPr>
        <w:t>; only after this is done may the state take charge under the law.</w:t>
      </w:r>
    </w:p>
    <w:p w14:paraId="7EB53C47" w14:textId="784A348B" w:rsidR="00640E7F" w:rsidRPr="00E20A08" w:rsidRDefault="009678F8" w:rsidP="00640E7F">
      <w:pPr>
        <w:pStyle w:val="Citationenretrait"/>
        <w:rPr>
          <w:lang w:val="en-CA"/>
        </w:rPr>
      </w:pPr>
      <w:r w:rsidRPr="00E20A08">
        <w:rPr>
          <w:lang w:val="en-CA"/>
        </w:rPr>
        <w:t xml:space="preserve">[36] </w:t>
      </w:r>
      <w:r w:rsidR="006979E7" w:rsidRPr="00E20A08">
        <w:rPr>
          <w:lang w:val="en-CA"/>
        </w:rPr>
        <w:tab/>
      </w:r>
      <w:r w:rsidRPr="00E20A08">
        <w:rPr>
          <w:lang w:val="en-CA"/>
        </w:rPr>
        <w:t xml:space="preserve">The impugned provision would be </w:t>
      </w:r>
      <w:r w:rsidR="00003EA4" w:rsidRPr="00E20A08">
        <w:rPr>
          <w:lang w:val="en-CA"/>
        </w:rPr>
        <w:t>di</w:t>
      </w:r>
      <w:r w:rsidR="00003EA4">
        <w:rPr>
          <w:lang w:val="en-CA"/>
        </w:rPr>
        <w:t>scrimi</w:t>
      </w:r>
      <w:r w:rsidR="00003EA4" w:rsidRPr="00E20A08">
        <w:rPr>
          <w:lang w:val="en-CA"/>
        </w:rPr>
        <w:t>natory</w:t>
      </w:r>
      <w:r w:rsidRPr="00E20A08">
        <w:rPr>
          <w:lang w:val="en-CA"/>
        </w:rPr>
        <w:t xml:space="preserve"> if it imposed on certain categories of beneficiaries the obligation to exercise their rights or obtain benefits they are entitled to under a different statute, while exempting other categories of </w:t>
      </w:r>
      <w:r w:rsidR="006979E7" w:rsidRPr="00E20A08">
        <w:rPr>
          <w:lang w:val="en-CA"/>
        </w:rPr>
        <w:t>beneficiaries</w:t>
      </w:r>
      <w:r w:rsidRPr="00E20A08">
        <w:rPr>
          <w:lang w:val="en-CA"/>
        </w:rPr>
        <w:t xml:space="preserve"> from this obligation.</w:t>
      </w:r>
      <w:r w:rsidR="006979E7" w:rsidRPr="00E20A08">
        <w:rPr>
          <w:lang w:val="en-CA"/>
        </w:rPr>
        <w:t xml:space="preserve"> </w:t>
      </w:r>
      <w:r w:rsidRPr="00E20A08">
        <w:rPr>
          <w:lang w:val="en-CA"/>
        </w:rPr>
        <w:t>This is in no way the case, however.</w:t>
      </w:r>
      <w:r w:rsidR="006979E7" w:rsidRPr="00E20A08">
        <w:rPr>
          <w:lang w:val="en-CA"/>
        </w:rPr>
        <w:t xml:space="preserve"> </w:t>
      </w:r>
      <w:r w:rsidR="006C5BE4">
        <w:rPr>
          <w:lang w:val="en-CA"/>
        </w:rPr>
        <w:t>S</w:t>
      </w:r>
      <w:r w:rsidR="00FA42FD">
        <w:rPr>
          <w:lang w:val="en-CA"/>
        </w:rPr>
        <w:t>ections</w:t>
      </w:r>
      <w:r w:rsidRPr="00E20A08">
        <w:rPr>
          <w:lang w:val="en-CA"/>
        </w:rPr>
        <w:t xml:space="preserve"> 63 and 66 of the </w:t>
      </w:r>
      <w:r w:rsidRPr="00565649">
        <w:rPr>
          <w:i/>
          <w:iCs/>
          <w:lang w:val="en-CA"/>
        </w:rPr>
        <w:t>Individual and Family Assistance</w:t>
      </w:r>
      <w:r w:rsidRPr="00E20A08">
        <w:rPr>
          <w:lang w:val="en-CA"/>
        </w:rPr>
        <w:t xml:space="preserve"> </w:t>
      </w:r>
      <w:r w:rsidRPr="00565649">
        <w:rPr>
          <w:i/>
          <w:iCs/>
          <w:lang w:val="en-CA"/>
        </w:rPr>
        <w:t>Act</w:t>
      </w:r>
      <w:r w:rsidRPr="00E20A08">
        <w:rPr>
          <w:lang w:val="en-CA"/>
        </w:rPr>
        <w:t xml:space="preserve"> apply to all beneficiaries and, in the situation invoked in this case, all </w:t>
      </w:r>
      <w:r w:rsidR="00565649">
        <w:rPr>
          <w:lang w:val="en-CA"/>
        </w:rPr>
        <w:t xml:space="preserve">of those </w:t>
      </w:r>
      <w:r w:rsidRPr="00E20A08">
        <w:rPr>
          <w:lang w:val="en-CA"/>
        </w:rPr>
        <w:t>who reach the age of 6</w:t>
      </w:r>
      <w:r w:rsidR="006979E7" w:rsidRPr="00E20A08">
        <w:rPr>
          <w:lang w:val="en-CA"/>
        </w:rPr>
        <w:t>0</w:t>
      </w:r>
      <w:r w:rsidRPr="00E20A08">
        <w:rPr>
          <w:lang w:val="en-CA"/>
        </w:rPr>
        <w:t xml:space="preserve"> and are entitled to a retirement pension.</w:t>
      </w:r>
      <w:r w:rsidR="006979E7" w:rsidRPr="00E20A08">
        <w:rPr>
          <w:lang w:val="en-CA"/>
        </w:rPr>
        <w:t xml:space="preserve"> </w:t>
      </w:r>
    </w:p>
    <w:p w14:paraId="09D666DC" w14:textId="188980C2" w:rsidR="00640E7F" w:rsidRPr="00E20A08" w:rsidRDefault="009678F8" w:rsidP="00640E7F">
      <w:pPr>
        <w:pStyle w:val="Paragraphe"/>
        <w:rPr>
          <w:lang w:val="en-CA"/>
        </w:rPr>
      </w:pPr>
      <w:r w:rsidRPr="00E20A08">
        <w:rPr>
          <w:lang w:val="en-CA"/>
        </w:rPr>
        <w:t xml:space="preserve">And </w:t>
      </w:r>
      <w:r w:rsidR="00565649">
        <w:rPr>
          <w:lang w:val="en-CA"/>
        </w:rPr>
        <w:t>further</w:t>
      </w:r>
      <w:r w:rsidRPr="00E20A08">
        <w:rPr>
          <w:lang w:val="en-CA"/>
        </w:rPr>
        <w:t>:</w:t>
      </w:r>
    </w:p>
    <w:p w14:paraId="5AACA0FA" w14:textId="4FC89E1C" w:rsidR="00565649" w:rsidRDefault="00565649" w:rsidP="00640E7F">
      <w:pPr>
        <w:pStyle w:val="Citationenretrait"/>
        <w:rPr>
          <w:lang w:val="en-CA"/>
        </w:rPr>
      </w:pPr>
      <w:r>
        <w:rPr>
          <w:lang w:val="en-CA"/>
        </w:rPr>
        <w:t>[</w:t>
      </w:r>
      <w:r w:rsidRPr="00565649">
        <w:rPr>
          <w:smallCaps/>
          <w:lang w:val="en-CA"/>
        </w:rPr>
        <w:t>translation</w:t>
      </w:r>
      <w:r>
        <w:rPr>
          <w:lang w:val="en-CA"/>
        </w:rPr>
        <w:t>]</w:t>
      </w:r>
    </w:p>
    <w:p w14:paraId="0134AB2A" w14:textId="76043265" w:rsidR="00640E7F" w:rsidRPr="00E20A08" w:rsidRDefault="009678F8" w:rsidP="00640E7F">
      <w:pPr>
        <w:pStyle w:val="Citationenretrait"/>
        <w:rPr>
          <w:lang w:val="en-CA"/>
        </w:rPr>
      </w:pPr>
      <w:r w:rsidRPr="00E20A08">
        <w:rPr>
          <w:lang w:val="en-CA"/>
        </w:rPr>
        <w:t xml:space="preserve">[48] </w:t>
      </w:r>
      <w:r w:rsidR="006979E7" w:rsidRPr="00E20A08">
        <w:rPr>
          <w:lang w:val="en-CA"/>
        </w:rPr>
        <w:tab/>
      </w:r>
      <w:r w:rsidRPr="00E20A08">
        <w:rPr>
          <w:lang w:val="en-CA"/>
        </w:rPr>
        <w:t xml:space="preserve">Accepting the </w:t>
      </w:r>
      <w:r w:rsidR="00083FF9">
        <w:rPr>
          <w:lang w:val="en-CA"/>
        </w:rPr>
        <w:t xml:space="preserve">applicant’s </w:t>
      </w:r>
      <w:r w:rsidRPr="00E20A08">
        <w:rPr>
          <w:lang w:val="en-CA"/>
        </w:rPr>
        <w:t>assertions would be tantamount to allowing a contestation of the last</w:t>
      </w:r>
      <w:r w:rsidR="00083FF9">
        <w:rPr>
          <w:lang w:val="en-CA"/>
        </w:rPr>
        <w:t xml:space="preserve"> </w:t>
      </w:r>
      <w:r w:rsidRPr="00E20A08">
        <w:rPr>
          <w:lang w:val="en-CA"/>
        </w:rPr>
        <w:t>resort financial assistance program as it exists.</w:t>
      </w:r>
      <w:r w:rsidR="006979E7" w:rsidRPr="00E20A08">
        <w:rPr>
          <w:lang w:val="en-CA"/>
        </w:rPr>
        <w:t xml:space="preserve"> </w:t>
      </w:r>
      <w:r w:rsidRPr="00E20A08">
        <w:rPr>
          <w:lang w:val="en-CA"/>
        </w:rPr>
        <w:t xml:space="preserve">Because this is a </w:t>
      </w:r>
      <w:r w:rsidRPr="00083FF9">
        <w:rPr>
          <w:u w:val="single"/>
          <w:lang w:val="en-CA"/>
        </w:rPr>
        <w:t>last</w:t>
      </w:r>
      <w:r w:rsidR="00083FF9" w:rsidRPr="00083FF9">
        <w:rPr>
          <w:u w:val="single"/>
          <w:lang w:val="en-CA"/>
        </w:rPr>
        <w:t xml:space="preserve"> </w:t>
      </w:r>
      <w:r w:rsidRPr="00083FF9">
        <w:rPr>
          <w:u w:val="single"/>
          <w:lang w:val="en-CA"/>
        </w:rPr>
        <w:t>resort</w:t>
      </w:r>
      <w:r w:rsidRPr="00E20A08">
        <w:rPr>
          <w:lang w:val="en-CA"/>
        </w:rPr>
        <w:t xml:space="preserve"> financial assistance program, it follows that </w:t>
      </w:r>
      <w:r w:rsidR="00083FF9">
        <w:rPr>
          <w:lang w:val="en-CA"/>
        </w:rPr>
        <w:t xml:space="preserve">this </w:t>
      </w:r>
      <w:r w:rsidRPr="00E20A08">
        <w:rPr>
          <w:lang w:val="en-CA"/>
        </w:rPr>
        <w:t xml:space="preserve">assistance is provided only once other recourses available to the person seeking </w:t>
      </w:r>
      <w:r w:rsidR="00083FF9">
        <w:rPr>
          <w:lang w:val="en-CA"/>
        </w:rPr>
        <w:t>it are exhausted</w:t>
      </w:r>
      <w:r w:rsidRPr="00E20A08">
        <w:rPr>
          <w:lang w:val="en-CA"/>
        </w:rPr>
        <w:t>.</w:t>
      </w:r>
      <w:r w:rsidR="006979E7" w:rsidRPr="00E20A08">
        <w:rPr>
          <w:lang w:val="en-CA"/>
        </w:rPr>
        <w:t xml:space="preserve"> </w:t>
      </w:r>
      <w:r w:rsidR="00083FF9">
        <w:rPr>
          <w:lang w:val="en-CA"/>
        </w:rPr>
        <w:t>What the applicant seeks is, f</w:t>
      </w:r>
      <w:r w:rsidRPr="00E20A08">
        <w:rPr>
          <w:lang w:val="en-CA"/>
        </w:rPr>
        <w:t xml:space="preserve">or all intents and purposes, the creation of a financial assistance program that does not exist: one that would grant </w:t>
      </w:r>
      <w:r w:rsidR="00083FF9">
        <w:rPr>
          <w:lang w:val="en-CA"/>
        </w:rPr>
        <w:t>government</w:t>
      </w:r>
      <w:r w:rsidRPr="00E20A08">
        <w:rPr>
          <w:lang w:val="en-CA"/>
        </w:rPr>
        <w:t xml:space="preserve"> financial assistance without </w:t>
      </w:r>
      <w:r w:rsidR="00987CC3">
        <w:rPr>
          <w:lang w:val="en-CA"/>
        </w:rPr>
        <w:t>its</w:t>
      </w:r>
      <w:r w:rsidRPr="00E20A08">
        <w:rPr>
          <w:lang w:val="en-CA"/>
        </w:rPr>
        <w:t xml:space="preserve"> </w:t>
      </w:r>
      <w:r w:rsidR="0024648D">
        <w:rPr>
          <w:lang w:val="en-CA"/>
        </w:rPr>
        <w:t>recipient</w:t>
      </w:r>
      <w:r w:rsidR="0024648D" w:rsidRPr="00E20A08">
        <w:rPr>
          <w:lang w:val="en-CA"/>
        </w:rPr>
        <w:t xml:space="preserve"> </w:t>
      </w:r>
      <w:r w:rsidRPr="00E20A08">
        <w:rPr>
          <w:lang w:val="en-CA"/>
        </w:rPr>
        <w:t xml:space="preserve">being required to exercise rights </w:t>
      </w:r>
      <w:r w:rsidR="00987CC3">
        <w:rPr>
          <w:lang w:val="en-CA"/>
        </w:rPr>
        <w:t xml:space="preserve">or </w:t>
      </w:r>
      <w:r w:rsidRPr="00E20A08">
        <w:rPr>
          <w:lang w:val="en-CA"/>
        </w:rPr>
        <w:t xml:space="preserve">recourses that </w:t>
      </w:r>
      <w:r w:rsidR="00987CC3">
        <w:rPr>
          <w:lang w:val="en-CA"/>
        </w:rPr>
        <w:t xml:space="preserve">could </w:t>
      </w:r>
      <w:r w:rsidRPr="00E20A08">
        <w:rPr>
          <w:lang w:val="en-CA"/>
        </w:rPr>
        <w:t xml:space="preserve">meet </w:t>
      </w:r>
      <w:r w:rsidR="00987CC3">
        <w:rPr>
          <w:lang w:val="en-CA"/>
        </w:rPr>
        <w:t xml:space="preserve">the </w:t>
      </w:r>
      <w:r w:rsidR="0024648D">
        <w:rPr>
          <w:lang w:val="en-CA"/>
        </w:rPr>
        <w:t xml:space="preserve">recipient’s </w:t>
      </w:r>
      <w:r w:rsidRPr="00E20A08">
        <w:rPr>
          <w:lang w:val="en-CA"/>
        </w:rPr>
        <w:t>immediate needs.</w:t>
      </w:r>
      <w:r w:rsidR="006979E7" w:rsidRPr="00E20A08">
        <w:rPr>
          <w:lang w:val="en-CA"/>
        </w:rPr>
        <w:t xml:space="preserve"> </w:t>
      </w:r>
    </w:p>
    <w:p w14:paraId="5C97284C" w14:textId="7EE17608" w:rsidR="00640E7F" w:rsidRPr="00E20A08" w:rsidRDefault="005B7390" w:rsidP="00640E7F">
      <w:pPr>
        <w:pStyle w:val="Paragraphe"/>
        <w:rPr>
          <w:lang w:val="en-CA"/>
        </w:rPr>
      </w:pPr>
      <w:r>
        <w:rPr>
          <w:lang w:val="en-CA"/>
        </w:rPr>
        <w:t xml:space="preserve">It was also found that the </w:t>
      </w:r>
      <w:r w:rsidR="009678F8" w:rsidRPr="00E20A08">
        <w:rPr>
          <w:lang w:val="en-CA"/>
        </w:rPr>
        <w:t xml:space="preserve">appellant also </w:t>
      </w:r>
      <w:r>
        <w:rPr>
          <w:lang w:val="en-CA"/>
        </w:rPr>
        <w:t xml:space="preserve">did not </w:t>
      </w:r>
      <w:r w:rsidR="009678F8" w:rsidRPr="00E20A08">
        <w:rPr>
          <w:lang w:val="en-CA"/>
        </w:rPr>
        <w:t>establish that [</w:t>
      </w:r>
      <w:r w:rsidR="009678F8" w:rsidRPr="00E20A08">
        <w:rPr>
          <w:smallCaps/>
          <w:lang w:val="en-CA"/>
        </w:rPr>
        <w:t>translation</w:t>
      </w:r>
      <w:r w:rsidR="009678F8" w:rsidRPr="00E20A08">
        <w:rPr>
          <w:lang w:val="en-CA"/>
        </w:rPr>
        <w:t xml:space="preserve">] “the obligation </w:t>
      </w:r>
      <w:r w:rsidR="00466D20">
        <w:rPr>
          <w:lang w:val="en-CA"/>
        </w:rPr>
        <w:t>imposed on</w:t>
      </w:r>
      <w:r w:rsidR="00466D20" w:rsidRPr="00E20A08">
        <w:rPr>
          <w:lang w:val="en-CA"/>
        </w:rPr>
        <w:t xml:space="preserve"> </w:t>
      </w:r>
      <w:r w:rsidR="009678F8" w:rsidRPr="00E20A08">
        <w:rPr>
          <w:lang w:val="en-CA"/>
        </w:rPr>
        <w:t>a last</w:t>
      </w:r>
      <w:r>
        <w:rPr>
          <w:lang w:val="en-CA"/>
        </w:rPr>
        <w:t xml:space="preserve"> </w:t>
      </w:r>
      <w:r w:rsidR="009678F8" w:rsidRPr="00E20A08">
        <w:rPr>
          <w:lang w:val="en-CA"/>
        </w:rPr>
        <w:t>resort financial assistance</w:t>
      </w:r>
      <w:r>
        <w:rPr>
          <w:lang w:val="en-CA"/>
        </w:rPr>
        <w:t xml:space="preserve"> </w:t>
      </w:r>
      <w:r w:rsidR="0024648D">
        <w:rPr>
          <w:lang w:val="en-CA"/>
        </w:rPr>
        <w:t xml:space="preserve">recipient </w:t>
      </w:r>
      <w:r>
        <w:rPr>
          <w:lang w:val="en-CA"/>
        </w:rPr>
        <w:t xml:space="preserve">who is </w:t>
      </w:r>
      <w:r w:rsidR="009678F8" w:rsidRPr="00E20A08">
        <w:rPr>
          <w:lang w:val="en-CA"/>
        </w:rPr>
        <w:t>60</w:t>
      </w:r>
      <w:r>
        <w:rPr>
          <w:lang w:val="en-CA"/>
        </w:rPr>
        <w:t xml:space="preserve"> years old</w:t>
      </w:r>
      <w:r w:rsidR="009678F8" w:rsidRPr="00E20A08">
        <w:rPr>
          <w:lang w:val="en-CA"/>
        </w:rPr>
        <w:t xml:space="preserve"> to exercise </w:t>
      </w:r>
      <w:r w:rsidR="00AD503B">
        <w:rPr>
          <w:lang w:val="en-CA"/>
        </w:rPr>
        <w:t xml:space="preserve">his or her </w:t>
      </w:r>
      <w:r w:rsidR="009678F8" w:rsidRPr="00E20A08">
        <w:rPr>
          <w:lang w:val="en-CA"/>
        </w:rPr>
        <w:t xml:space="preserve">rights under the </w:t>
      </w:r>
      <w:r>
        <w:rPr>
          <w:lang w:val="en-CA"/>
        </w:rPr>
        <w:t xml:space="preserve">Act </w:t>
      </w:r>
      <w:r w:rsidRPr="005B7390">
        <w:rPr>
          <w:i/>
          <w:iCs/>
          <w:lang w:val="en-CA"/>
        </w:rPr>
        <w:t xml:space="preserve">respecting the </w:t>
      </w:r>
      <w:r w:rsidR="009678F8" w:rsidRPr="005B7390">
        <w:rPr>
          <w:i/>
          <w:iCs/>
          <w:lang w:val="en-CA"/>
        </w:rPr>
        <w:t>Qu</w:t>
      </w:r>
      <w:r w:rsidRPr="005B7390">
        <w:rPr>
          <w:i/>
          <w:iCs/>
          <w:lang w:val="en-CA"/>
        </w:rPr>
        <w:t>é</w:t>
      </w:r>
      <w:r w:rsidR="009678F8" w:rsidRPr="005B7390">
        <w:rPr>
          <w:i/>
          <w:iCs/>
          <w:lang w:val="en-CA"/>
        </w:rPr>
        <w:t>bec Pension Plan</w:t>
      </w:r>
      <w:r w:rsidR="009678F8" w:rsidRPr="00E20A08">
        <w:rPr>
          <w:lang w:val="en-CA"/>
        </w:rPr>
        <w:t xml:space="preserve"> perpetuates a prejudice or is based on stereotypical characterizations of the situation of such people”.</w:t>
      </w:r>
      <w:r w:rsidR="009678F8" w:rsidRPr="00E20A08">
        <w:rPr>
          <w:rStyle w:val="Appelnotedebasdep"/>
          <w:lang w:val="en-CA"/>
        </w:rPr>
        <w:footnoteReference w:id="12"/>
      </w:r>
    </w:p>
    <w:p w14:paraId="2DF1D4BD" w14:textId="39DAE95B" w:rsidR="00640E7F" w:rsidRPr="00E20A08" w:rsidRDefault="00AD503B" w:rsidP="00640E7F">
      <w:pPr>
        <w:pStyle w:val="Paragraphe"/>
        <w:rPr>
          <w:lang w:val="en-CA"/>
        </w:rPr>
      </w:pPr>
      <w:r>
        <w:rPr>
          <w:lang w:val="en-CA"/>
        </w:rPr>
        <w:t>T</w:t>
      </w:r>
      <w:r w:rsidR="00A75045" w:rsidRPr="00E20A08">
        <w:rPr>
          <w:lang w:val="en-CA"/>
        </w:rPr>
        <w:t xml:space="preserve">hat being the case, the </w:t>
      </w:r>
      <w:r w:rsidR="00DC31C3">
        <w:rPr>
          <w:lang w:val="en-CA"/>
        </w:rPr>
        <w:t>ATQ</w:t>
      </w:r>
      <w:r w:rsidR="00A75045" w:rsidRPr="00E20A08">
        <w:rPr>
          <w:lang w:val="en-CA"/>
        </w:rPr>
        <w:t xml:space="preserve"> concluded that the </w:t>
      </w:r>
      <w:r>
        <w:rPr>
          <w:lang w:val="en-CA"/>
        </w:rPr>
        <w:t>impugned</w:t>
      </w:r>
      <w:r w:rsidR="00A75045" w:rsidRPr="00E20A08">
        <w:rPr>
          <w:lang w:val="en-CA"/>
        </w:rPr>
        <w:t xml:space="preserve"> provisions did not infringe the appellant’s equality rights </w:t>
      </w:r>
      <w:r>
        <w:rPr>
          <w:lang w:val="en-CA"/>
        </w:rPr>
        <w:t>guaranteed</w:t>
      </w:r>
      <w:r w:rsidR="00A75045" w:rsidRPr="00E20A08">
        <w:rPr>
          <w:lang w:val="en-CA"/>
        </w:rPr>
        <w:t xml:space="preserve"> </w:t>
      </w:r>
      <w:r w:rsidR="008E4270">
        <w:rPr>
          <w:lang w:val="en-CA"/>
        </w:rPr>
        <w:t xml:space="preserve">by </w:t>
      </w:r>
      <w:r w:rsidR="00A75045" w:rsidRPr="00E20A08">
        <w:rPr>
          <w:lang w:val="en-CA"/>
        </w:rPr>
        <w:t xml:space="preserve">the </w:t>
      </w:r>
      <w:r w:rsidR="00DE6CEC">
        <w:rPr>
          <w:lang w:val="en-CA"/>
        </w:rPr>
        <w:t>c</w:t>
      </w:r>
      <w:r w:rsidR="00A75045" w:rsidRPr="00E20A08">
        <w:rPr>
          <w:lang w:val="en-CA"/>
        </w:rPr>
        <w:t>harters.</w:t>
      </w:r>
      <w:r w:rsidR="006979E7" w:rsidRPr="00E20A08">
        <w:rPr>
          <w:lang w:val="en-CA"/>
        </w:rPr>
        <w:t xml:space="preserve"> </w:t>
      </w:r>
      <w:r w:rsidR="00A75045" w:rsidRPr="00E20A08">
        <w:rPr>
          <w:lang w:val="en-CA"/>
        </w:rPr>
        <w:t xml:space="preserve">In any event, it added, if </w:t>
      </w:r>
      <w:r>
        <w:rPr>
          <w:lang w:val="en-CA"/>
        </w:rPr>
        <w:t>they</w:t>
      </w:r>
      <w:r w:rsidR="00A75045" w:rsidRPr="00E20A08">
        <w:rPr>
          <w:lang w:val="en-CA"/>
        </w:rPr>
        <w:t xml:space="preserve"> did breach </w:t>
      </w:r>
      <w:r w:rsidR="006C5BE4">
        <w:rPr>
          <w:lang w:val="en-CA"/>
        </w:rPr>
        <w:t>s.</w:t>
      </w:r>
      <w:r w:rsidR="00A75045" w:rsidRPr="00E20A08">
        <w:rPr>
          <w:lang w:val="en-CA"/>
        </w:rPr>
        <w:t xml:space="preserve"> </w:t>
      </w:r>
      <w:r w:rsidR="00362E91" w:rsidRPr="00E20A08">
        <w:rPr>
          <w:lang w:val="en-CA"/>
        </w:rPr>
        <w:t>15</w:t>
      </w:r>
      <w:r w:rsidR="00A75045" w:rsidRPr="00E20A08">
        <w:rPr>
          <w:lang w:val="en-CA"/>
        </w:rPr>
        <w:t>(</w:t>
      </w:r>
      <w:r w:rsidR="00362E91" w:rsidRPr="00E20A08">
        <w:rPr>
          <w:lang w:val="en-CA"/>
        </w:rPr>
        <w:t>1</w:t>
      </w:r>
      <w:r w:rsidR="00A75045" w:rsidRPr="00E20A08">
        <w:rPr>
          <w:lang w:val="en-CA"/>
        </w:rPr>
        <w:t>)</w:t>
      </w:r>
      <w:r w:rsidR="006979E7" w:rsidRPr="00E20A08">
        <w:rPr>
          <w:lang w:val="en-CA"/>
        </w:rPr>
        <w:t xml:space="preserve"> </w:t>
      </w:r>
      <w:r w:rsidR="00A75045" w:rsidRPr="00E20A08">
        <w:rPr>
          <w:lang w:val="en-CA"/>
        </w:rPr>
        <w:t xml:space="preserve">of the </w:t>
      </w:r>
      <w:r w:rsidR="00A75045" w:rsidRPr="00E20A08">
        <w:rPr>
          <w:i/>
          <w:iCs/>
          <w:lang w:val="en-CA"/>
        </w:rPr>
        <w:t>Canadian Charter</w:t>
      </w:r>
      <w:r w:rsidR="00A75045" w:rsidRPr="00E20A08">
        <w:rPr>
          <w:lang w:val="en-CA"/>
        </w:rPr>
        <w:t xml:space="preserve">, the treatment </w:t>
      </w:r>
      <w:r>
        <w:rPr>
          <w:lang w:val="en-CA"/>
        </w:rPr>
        <w:t xml:space="preserve">of </w:t>
      </w:r>
      <w:r w:rsidR="00A75045" w:rsidRPr="00E20A08">
        <w:rPr>
          <w:lang w:val="en-CA"/>
        </w:rPr>
        <w:t>last</w:t>
      </w:r>
      <w:r>
        <w:rPr>
          <w:lang w:val="en-CA"/>
        </w:rPr>
        <w:t xml:space="preserve"> </w:t>
      </w:r>
      <w:r w:rsidR="00A75045" w:rsidRPr="00E20A08">
        <w:rPr>
          <w:lang w:val="en-CA"/>
        </w:rPr>
        <w:t xml:space="preserve">resort financial assistance beneficiaries </w:t>
      </w:r>
      <w:r>
        <w:rPr>
          <w:lang w:val="en-CA"/>
        </w:rPr>
        <w:t xml:space="preserve">that they require can </w:t>
      </w:r>
      <w:r w:rsidR="00A75045" w:rsidRPr="00E20A08">
        <w:rPr>
          <w:lang w:val="en-CA"/>
        </w:rPr>
        <w:t xml:space="preserve">be justified under </w:t>
      </w:r>
      <w:r>
        <w:rPr>
          <w:lang w:val="en-CA"/>
        </w:rPr>
        <w:t>s.</w:t>
      </w:r>
      <w:r w:rsidR="00A75045" w:rsidRPr="00E20A08">
        <w:rPr>
          <w:lang w:val="en-CA"/>
        </w:rPr>
        <w:t xml:space="preserve"> 1.</w:t>
      </w:r>
      <w:r w:rsidR="00A75045" w:rsidRPr="00E20A08">
        <w:rPr>
          <w:rStyle w:val="Appelnotedebasdep"/>
          <w:lang w:val="en-CA"/>
        </w:rPr>
        <w:footnoteReference w:id="13"/>
      </w:r>
      <w:r>
        <w:rPr>
          <w:lang w:val="en-CA"/>
        </w:rPr>
        <w:t xml:space="preserve"> </w:t>
      </w:r>
    </w:p>
    <w:p w14:paraId="317B0F88" w14:textId="53800A6F" w:rsidR="00640E7F" w:rsidRPr="00E20A08" w:rsidRDefault="00A75045" w:rsidP="00640E7F">
      <w:pPr>
        <w:pStyle w:val="Paragraphe"/>
        <w:rPr>
          <w:lang w:val="en-CA"/>
        </w:rPr>
      </w:pPr>
      <w:r w:rsidRPr="00E20A08">
        <w:rPr>
          <w:lang w:val="en-CA"/>
        </w:rPr>
        <w:lastRenderedPageBreak/>
        <w:t xml:space="preserve">Not only did the </w:t>
      </w:r>
      <w:r w:rsidR="00DC31C3">
        <w:rPr>
          <w:lang w:val="en-CA"/>
        </w:rPr>
        <w:t>ATQ</w:t>
      </w:r>
      <w:r w:rsidRPr="00E20A08">
        <w:rPr>
          <w:lang w:val="en-CA"/>
        </w:rPr>
        <w:t xml:space="preserve"> dismiss the appellant’s action, </w:t>
      </w:r>
      <w:proofErr w:type="gramStart"/>
      <w:r w:rsidRPr="00E20A08">
        <w:rPr>
          <w:lang w:val="en-CA"/>
        </w:rPr>
        <w:t>it</w:t>
      </w:r>
      <w:proofErr w:type="gramEnd"/>
      <w:r w:rsidRPr="00E20A08">
        <w:rPr>
          <w:lang w:val="en-CA"/>
        </w:rPr>
        <w:t xml:space="preserve"> also ordered him to </w:t>
      </w:r>
      <w:r w:rsidR="000B2C44" w:rsidRPr="00E20A08">
        <w:rPr>
          <w:lang w:val="en-CA"/>
        </w:rPr>
        <w:t>r</w:t>
      </w:r>
      <w:r w:rsidR="000B2C44">
        <w:rPr>
          <w:lang w:val="en-CA"/>
        </w:rPr>
        <w:t>epay</w:t>
      </w:r>
      <w:r w:rsidR="000B2C44" w:rsidRPr="00E20A08">
        <w:rPr>
          <w:lang w:val="en-CA"/>
        </w:rPr>
        <w:t xml:space="preserve"> </w:t>
      </w:r>
      <w:r w:rsidRPr="00E20A08">
        <w:rPr>
          <w:lang w:val="en-CA"/>
        </w:rPr>
        <w:t>the financial assistance he had received since the suspension that had been ordered earlier</w:t>
      </w:r>
      <w:r w:rsidR="003A0D42">
        <w:rPr>
          <w:lang w:val="en-CA"/>
        </w:rPr>
        <w:t xml:space="preserve"> became effective</w:t>
      </w:r>
      <w:r w:rsidRPr="00E20A08">
        <w:rPr>
          <w:lang w:val="en-CA"/>
        </w:rPr>
        <w:t>.</w:t>
      </w:r>
      <w:r w:rsidRPr="00E20A08">
        <w:rPr>
          <w:rStyle w:val="Appelnotedebasdep"/>
          <w:lang w:val="en-CA"/>
        </w:rPr>
        <w:footnoteReference w:id="14"/>
      </w:r>
      <w:r w:rsidR="006979E7" w:rsidRPr="00E20A08">
        <w:rPr>
          <w:lang w:val="en-CA"/>
        </w:rPr>
        <w:t xml:space="preserve"> </w:t>
      </w:r>
      <w:r w:rsidR="00A420AF" w:rsidRPr="00E20A08">
        <w:rPr>
          <w:lang w:val="en-CA"/>
        </w:rPr>
        <w:t>Invoking</w:t>
      </w:r>
      <w:r w:rsidRPr="00E20A08">
        <w:rPr>
          <w:lang w:val="en-CA"/>
        </w:rPr>
        <w:t xml:space="preserve"> lack of jurisdiction and </w:t>
      </w:r>
      <w:r w:rsidRPr="00E20A08">
        <w:rPr>
          <w:i/>
          <w:iCs/>
          <w:lang w:val="en-CA"/>
        </w:rPr>
        <w:t xml:space="preserve">ultra </w:t>
      </w:r>
      <w:proofErr w:type="spellStart"/>
      <w:r w:rsidRPr="00E20A08">
        <w:rPr>
          <w:i/>
          <w:iCs/>
          <w:lang w:val="en-CA"/>
        </w:rPr>
        <w:t>petita</w:t>
      </w:r>
      <w:proofErr w:type="spellEnd"/>
      <w:r w:rsidRPr="00E20A08">
        <w:rPr>
          <w:lang w:val="en-CA"/>
        </w:rPr>
        <w:t xml:space="preserve">, the appellant unsuccessfully sought a review of this order under </w:t>
      </w:r>
      <w:r w:rsidR="006C5BE4">
        <w:rPr>
          <w:lang w:val="en-CA"/>
        </w:rPr>
        <w:t>s.</w:t>
      </w:r>
      <w:r w:rsidR="006979E7" w:rsidRPr="00E20A08">
        <w:rPr>
          <w:lang w:val="en-CA"/>
        </w:rPr>
        <w:t xml:space="preserve"> </w:t>
      </w:r>
      <w:r w:rsidRPr="00E20A08">
        <w:rPr>
          <w:lang w:val="en-CA"/>
        </w:rPr>
        <w:t xml:space="preserve">154 of the </w:t>
      </w:r>
      <w:r w:rsidRPr="006C5BE4">
        <w:rPr>
          <w:i/>
          <w:iCs/>
          <w:lang w:val="en-CA"/>
        </w:rPr>
        <w:t>Act respecting administrative justice</w:t>
      </w:r>
      <w:r w:rsidRPr="00E20A08">
        <w:rPr>
          <w:lang w:val="en-CA"/>
        </w:rPr>
        <w:t>.</w:t>
      </w:r>
      <w:r w:rsidRPr="00E20A08">
        <w:rPr>
          <w:rStyle w:val="Appelnotedebasdep"/>
          <w:lang w:val="en-CA"/>
        </w:rPr>
        <w:footnoteReference w:id="15"/>
      </w:r>
    </w:p>
    <w:p w14:paraId="590FA913" w14:textId="77777777" w:rsidR="00640E7F" w:rsidRPr="00E20A08" w:rsidRDefault="006979E7" w:rsidP="00640E7F">
      <w:pPr>
        <w:pStyle w:val="Paragraphe"/>
        <w:numPr>
          <w:ilvl w:val="0"/>
          <w:numId w:val="0"/>
        </w:numPr>
        <w:jc w:val="center"/>
        <w:rPr>
          <w:lang w:val="en-CA"/>
        </w:rPr>
      </w:pPr>
      <w:r w:rsidRPr="00E20A08">
        <w:rPr>
          <w:lang w:val="en-CA"/>
        </w:rPr>
        <w:t>* *</w:t>
      </w:r>
    </w:p>
    <w:p w14:paraId="48D6217B" w14:textId="3ABA2FDC" w:rsidR="00640E7F" w:rsidRPr="00E20A08" w:rsidRDefault="00A75045" w:rsidP="00640E7F">
      <w:pPr>
        <w:pStyle w:val="Paragraphe"/>
        <w:rPr>
          <w:lang w:val="en-CA"/>
        </w:rPr>
      </w:pPr>
      <w:r w:rsidRPr="00E20A08">
        <w:rPr>
          <w:lang w:val="en-CA"/>
        </w:rPr>
        <w:t xml:space="preserve">Unhappy with the outcome, the appellant applied for a judicial review, arguing that the </w:t>
      </w:r>
      <w:r w:rsidR="00DC31C3">
        <w:rPr>
          <w:lang w:val="en-CA"/>
        </w:rPr>
        <w:t>ATQ</w:t>
      </w:r>
      <w:r w:rsidRPr="00E20A08">
        <w:rPr>
          <w:lang w:val="en-CA"/>
        </w:rPr>
        <w:t xml:space="preserve"> erred in its October 2018 decision</w:t>
      </w:r>
      <w:r w:rsidR="004655F2">
        <w:rPr>
          <w:lang w:val="en-CA"/>
        </w:rPr>
        <w:t xml:space="preserve"> </w:t>
      </w:r>
      <w:r w:rsidR="004655F2" w:rsidRPr="004655F2">
        <w:rPr>
          <w:lang w:val="en-CA"/>
        </w:rPr>
        <w:t>in several respects</w:t>
      </w:r>
      <w:r w:rsidRPr="00E20A08">
        <w:rPr>
          <w:lang w:val="en-CA"/>
        </w:rPr>
        <w:t>.</w:t>
      </w:r>
      <w:r w:rsidR="006979E7" w:rsidRPr="00E20A08">
        <w:rPr>
          <w:lang w:val="en-CA"/>
        </w:rPr>
        <w:t xml:space="preserve"> </w:t>
      </w:r>
      <w:r w:rsidRPr="00E20A08">
        <w:rPr>
          <w:lang w:val="en-CA"/>
        </w:rPr>
        <w:t>He alleged that it erred (1) by comparing the appellant’s situation to that of other social assistance beneficiaries, whe</w:t>
      </w:r>
      <w:r w:rsidR="00C5247F">
        <w:rPr>
          <w:lang w:val="en-CA"/>
        </w:rPr>
        <w:t>reas</w:t>
      </w:r>
      <w:r w:rsidRPr="00E20A08">
        <w:rPr>
          <w:lang w:val="en-CA"/>
        </w:rPr>
        <w:t xml:space="preserve"> the comparison should have been made with</w:t>
      </w:r>
      <w:r w:rsidR="00C5247F">
        <w:rPr>
          <w:lang w:val="en-CA"/>
        </w:rPr>
        <w:t xml:space="preserve"> all persons</w:t>
      </w:r>
      <w:r w:rsidRPr="00E20A08">
        <w:rPr>
          <w:lang w:val="en-CA"/>
        </w:rPr>
        <w:t xml:space="preserve"> eligible for a retirement pension under the </w:t>
      </w:r>
      <w:r w:rsidRPr="00C5247F">
        <w:rPr>
          <w:i/>
          <w:iCs/>
          <w:lang w:val="en-CA"/>
        </w:rPr>
        <w:t>Act respecting the Qu</w:t>
      </w:r>
      <w:r w:rsidR="00C5247F">
        <w:rPr>
          <w:i/>
          <w:iCs/>
          <w:lang w:val="en-CA"/>
        </w:rPr>
        <w:t>é</w:t>
      </w:r>
      <w:r w:rsidRPr="00C5247F">
        <w:rPr>
          <w:i/>
          <w:iCs/>
          <w:lang w:val="en-CA"/>
        </w:rPr>
        <w:t>bec Pension Plan</w:t>
      </w:r>
      <w:r w:rsidRPr="00E20A08">
        <w:rPr>
          <w:lang w:val="en-CA"/>
        </w:rPr>
        <w:t xml:space="preserve">, (2) by ignoring the development of the case law, which no longer requires that </w:t>
      </w:r>
      <w:r w:rsidRPr="00C5247F">
        <w:rPr>
          <w:i/>
          <w:iCs/>
          <w:lang w:val="en-CA"/>
        </w:rPr>
        <w:t>Charter</w:t>
      </w:r>
      <w:r w:rsidRPr="00E20A08">
        <w:rPr>
          <w:lang w:val="en-CA"/>
        </w:rPr>
        <w:t xml:space="preserve">-infringing </w:t>
      </w:r>
      <w:r w:rsidR="00003EA4" w:rsidRPr="00E20A08">
        <w:rPr>
          <w:lang w:val="en-CA"/>
        </w:rPr>
        <w:t>di</w:t>
      </w:r>
      <w:r w:rsidR="00003EA4">
        <w:rPr>
          <w:lang w:val="en-CA"/>
        </w:rPr>
        <w:t>scrimi</w:t>
      </w:r>
      <w:r w:rsidR="00003EA4" w:rsidRPr="00E20A08">
        <w:rPr>
          <w:lang w:val="en-CA"/>
        </w:rPr>
        <w:t>nation</w:t>
      </w:r>
      <w:r w:rsidRPr="00E20A08">
        <w:rPr>
          <w:lang w:val="en-CA"/>
        </w:rPr>
        <w:t xml:space="preserve"> be based on the perpetuation of prejudice or stereotyping, and (3) by assigning undue importance to the objective of the </w:t>
      </w:r>
      <w:r w:rsidRPr="00C5247F">
        <w:rPr>
          <w:i/>
          <w:iCs/>
          <w:lang w:val="en-CA"/>
        </w:rPr>
        <w:t>Individual and Family Assistance Act</w:t>
      </w:r>
      <w:r w:rsidRPr="00E20A08">
        <w:rPr>
          <w:lang w:val="en-CA"/>
        </w:rPr>
        <w:t xml:space="preserve">, </w:t>
      </w:r>
      <w:r w:rsidR="00C5247F">
        <w:rPr>
          <w:lang w:val="en-CA"/>
        </w:rPr>
        <w:t xml:space="preserve">since </w:t>
      </w:r>
      <w:r w:rsidRPr="00E20A08">
        <w:rPr>
          <w:lang w:val="en-CA"/>
        </w:rPr>
        <w:t xml:space="preserve">this objective </w:t>
      </w:r>
      <w:r w:rsidR="00C5247F">
        <w:rPr>
          <w:lang w:val="en-CA"/>
        </w:rPr>
        <w:t xml:space="preserve">should </w:t>
      </w:r>
      <w:r w:rsidRPr="00E20A08">
        <w:rPr>
          <w:lang w:val="en-CA"/>
        </w:rPr>
        <w:t xml:space="preserve">not be considered </w:t>
      </w:r>
      <w:r w:rsidR="00C5247F">
        <w:rPr>
          <w:lang w:val="en-CA"/>
        </w:rPr>
        <w:t xml:space="preserve">at the </w:t>
      </w:r>
      <w:r w:rsidRPr="00E20A08">
        <w:rPr>
          <w:lang w:val="en-CA"/>
        </w:rPr>
        <w:t xml:space="preserve">stage of determining whether equality rights </w:t>
      </w:r>
      <w:r w:rsidR="00C5247F">
        <w:rPr>
          <w:lang w:val="en-CA"/>
        </w:rPr>
        <w:t>have been infringed</w:t>
      </w:r>
      <w:r w:rsidRPr="00E20A08">
        <w:rPr>
          <w:lang w:val="en-CA"/>
        </w:rPr>
        <w:t>.</w:t>
      </w:r>
      <w:r w:rsidR="006979E7" w:rsidRPr="00E20A08">
        <w:rPr>
          <w:lang w:val="en-CA"/>
        </w:rPr>
        <w:t xml:space="preserve"> </w:t>
      </w:r>
      <w:r w:rsidRPr="00E20A08">
        <w:rPr>
          <w:lang w:val="en-CA"/>
        </w:rPr>
        <w:t xml:space="preserve">As he had done in his prior application for judicial review, the appellant also faults the </w:t>
      </w:r>
      <w:r w:rsidR="00DC31C3">
        <w:rPr>
          <w:lang w:val="en-CA"/>
        </w:rPr>
        <w:t>ATQ</w:t>
      </w:r>
      <w:r w:rsidRPr="00E20A08">
        <w:rPr>
          <w:lang w:val="en-CA"/>
        </w:rPr>
        <w:t xml:space="preserve"> for acting without jurisdiction and </w:t>
      </w:r>
      <w:r w:rsidRPr="00C5247F">
        <w:rPr>
          <w:i/>
          <w:iCs/>
          <w:lang w:val="en-CA"/>
        </w:rPr>
        <w:t xml:space="preserve">ultra </w:t>
      </w:r>
      <w:proofErr w:type="spellStart"/>
      <w:r w:rsidRPr="00C5247F">
        <w:rPr>
          <w:i/>
          <w:iCs/>
          <w:lang w:val="en-CA"/>
        </w:rPr>
        <w:t>petita</w:t>
      </w:r>
      <w:proofErr w:type="spellEnd"/>
      <w:r w:rsidRPr="00E20A08">
        <w:rPr>
          <w:lang w:val="en-CA"/>
        </w:rPr>
        <w:t xml:space="preserve"> by ordering him to </w:t>
      </w:r>
      <w:r w:rsidR="000B2C44" w:rsidRPr="00E20A08">
        <w:rPr>
          <w:lang w:val="en-CA"/>
        </w:rPr>
        <w:t>re</w:t>
      </w:r>
      <w:r w:rsidR="000B2C44">
        <w:rPr>
          <w:lang w:val="en-CA"/>
        </w:rPr>
        <w:t>pay</w:t>
      </w:r>
      <w:r w:rsidR="000B2C44" w:rsidRPr="00E20A08">
        <w:rPr>
          <w:lang w:val="en-CA"/>
        </w:rPr>
        <w:t xml:space="preserve"> </w:t>
      </w:r>
      <w:r w:rsidRPr="00E20A08">
        <w:rPr>
          <w:lang w:val="en-CA"/>
        </w:rPr>
        <w:t>the social assistance payments he had received since April 2007.</w:t>
      </w:r>
    </w:p>
    <w:p w14:paraId="59CF54E2" w14:textId="36629221" w:rsidR="00640E7F" w:rsidRPr="00E20A08" w:rsidRDefault="00A75045" w:rsidP="00640E7F">
      <w:pPr>
        <w:pStyle w:val="Paragraphe"/>
        <w:rPr>
          <w:lang w:val="en-CA"/>
        </w:rPr>
      </w:pPr>
      <w:r w:rsidRPr="00E20A08">
        <w:rPr>
          <w:lang w:val="en-CA"/>
        </w:rPr>
        <w:t>In a short judgment dated October 15, 2020, corrected on November 9, 2020,</w:t>
      </w:r>
      <w:r w:rsidR="00C5247F" w:rsidRPr="00E20A08">
        <w:rPr>
          <w:rStyle w:val="Appelnotedebasdep"/>
          <w:lang w:val="en-CA"/>
        </w:rPr>
        <w:footnoteReference w:id="16"/>
      </w:r>
      <w:r w:rsidRPr="00E20A08">
        <w:rPr>
          <w:lang w:val="en-CA"/>
        </w:rPr>
        <w:t xml:space="preserve"> the Superior Court allowed the appellant’s appeal solely to quash the </w:t>
      </w:r>
      <w:r w:rsidR="00DC31C3">
        <w:rPr>
          <w:lang w:val="en-CA"/>
        </w:rPr>
        <w:t>ATQ</w:t>
      </w:r>
      <w:r w:rsidRPr="00E20A08">
        <w:rPr>
          <w:lang w:val="en-CA"/>
        </w:rPr>
        <w:t xml:space="preserve">’s order to </w:t>
      </w:r>
      <w:r w:rsidR="000B2C44" w:rsidRPr="00E20A08">
        <w:rPr>
          <w:lang w:val="en-CA"/>
        </w:rPr>
        <w:t>re</w:t>
      </w:r>
      <w:r w:rsidR="000B2C44">
        <w:rPr>
          <w:lang w:val="en-CA"/>
        </w:rPr>
        <w:t>pay</w:t>
      </w:r>
      <w:r w:rsidR="000B2C44" w:rsidRPr="00E20A08">
        <w:rPr>
          <w:lang w:val="en-CA"/>
        </w:rPr>
        <w:t xml:space="preserve"> </w:t>
      </w:r>
      <w:r w:rsidRPr="00E20A08">
        <w:rPr>
          <w:lang w:val="en-CA"/>
        </w:rPr>
        <w:t>(the reasons for quashing the order were not explained).</w:t>
      </w:r>
      <w:r w:rsidR="006979E7" w:rsidRPr="00E20A08">
        <w:rPr>
          <w:lang w:val="en-CA"/>
        </w:rPr>
        <w:t xml:space="preserve"> </w:t>
      </w:r>
      <w:r w:rsidRPr="00E20A08">
        <w:rPr>
          <w:lang w:val="en-CA"/>
        </w:rPr>
        <w:t>As for the remainder of the issues, the judgement concluded, in the following order:</w:t>
      </w:r>
      <w:r w:rsidR="006979E7" w:rsidRPr="00E20A08">
        <w:rPr>
          <w:lang w:val="en-CA"/>
        </w:rPr>
        <w:t xml:space="preserve"> </w:t>
      </w:r>
    </w:p>
    <w:p w14:paraId="01F83CD8" w14:textId="1B573A19" w:rsidR="00640E7F" w:rsidRPr="00E20A08" w:rsidRDefault="006979E7" w:rsidP="00640E7F">
      <w:pPr>
        <w:pStyle w:val="Citationenretrait"/>
        <w:rPr>
          <w:kern w:val="28"/>
          <w:sz w:val="24"/>
          <w:szCs w:val="24"/>
          <w:lang w:val="en-CA"/>
        </w:rPr>
      </w:pPr>
      <w:r w:rsidRPr="00E20A08">
        <w:rPr>
          <w:kern w:val="28"/>
          <w:sz w:val="24"/>
          <w:szCs w:val="24"/>
          <w:lang w:val="en-CA"/>
        </w:rPr>
        <w:t>-</w:t>
      </w:r>
      <w:r w:rsidRPr="00E20A08">
        <w:rPr>
          <w:kern w:val="28"/>
          <w:sz w:val="24"/>
          <w:szCs w:val="24"/>
          <w:lang w:val="en-CA"/>
        </w:rPr>
        <w:tab/>
      </w:r>
      <w:r w:rsidR="00A75045" w:rsidRPr="00E20A08">
        <w:rPr>
          <w:kern w:val="28"/>
          <w:sz w:val="24"/>
          <w:szCs w:val="24"/>
          <w:lang w:val="en-CA"/>
        </w:rPr>
        <w:t xml:space="preserve">“Social condition” is not an analogous ground under </w:t>
      </w:r>
      <w:r w:rsidR="006C5BE4">
        <w:rPr>
          <w:kern w:val="28"/>
          <w:sz w:val="24"/>
          <w:szCs w:val="24"/>
          <w:lang w:val="en-CA"/>
        </w:rPr>
        <w:t>s.</w:t>
      </w:r>
      <w:r w:rsidR="00A75045" w:rsidRPr="00E20A08">
        <w:rPr>
          <w:kern w:val="28"/>
          <w:sz w:val="24"/>
          <w:szCs w:val="24"/>
          <w:lang w:val="en-CA"/>
        </w:rPr>
        <w:t xml:space="preserve"> 15(1)</w:t>
      </w:r>
      <w:r w:rsidRPr="00E20A08">
        <w:rPr>
          <w:kern w:val="28"/>
          <w:sz w:val="24"/>
          <w:szCs w:val="24"/>
          <w:lang w:val="en-CA"/>
        </w:rPr>
        <w:t xml:space="preserve"> </w:t>
      </w:r>
      <w:r w:rsidR="00A75045" w:rsidRPr="00E20A08">
        <w:rPr>
          <w:kern w:val="28"/>
          <w:sz w:val="24"/>
          <w:szCs w:val="24"/>
          <w:lang w:val="en-CA"/>
        </w:rPr>
        <w:t xml:space="preserve">of the </w:t>
      </w:r>
      <w:r w:rsidR="00A75045" w:rsidRPr="00C5247F">
        <w:rPr>
          <w:i/>
          <w:iCs/>
          <w:kern w:val="28"/>
          <w:sz w:val="24"/>
          <w:szCs w:val="24"/>
          <w:lang w:val="en-CA"/>
        </w:rPr>
        <w:t>Canadian Charter</w:t>
      </w:r>
      <w:r w:rsidR="00A75045" w:rsidRPr="00E20A08">
        <w:rPr>
          <w:kern w:val="28"/>
          <w:sz w:val="24"/>
          <w:szCs w:val="24"/>
          <w:lang w:val="en-CA"/>
        </w:rPr>
        <w:t xml:space="preserve">, and it is not a prohibited ground of </w:t>
      </w:r>
      <w:r w:rsidR="00003EA4" w:rsidRPr="00E20A08">
        <w:rPr>
          <w:kern w:val="28"/>
          <w:sz w:val="24"/>
          <w:szCs w:val="24"/>
          <w:lang w:val="en-CA"/>
        </w:rPr>
        <w:t>di</w:t>
      </w:r>
      <w:r w:rsidR="00003EA4">
        <w:rPr>
          <w:kern w:val="28"/>
          <w:sz w:val="24"/>
          <w:szCs w:val="24"/>
          <w:lang w:val="en-CA"/>
        </w:rPr>
        <w:t>scrimi</w:t>
      </w:r>
      <w:r w:rsidR="00003EA4" w:rsidRPr="00E20A08">
        <w:rPr>
          <w:kern w:val="28"/>
          <w:sz w:val="24"/>
          <w:szCs w:val="24"/>
          <w:lang w:val="en-CA"/>
        </w:rPr>
        <w:t>nation</w:t>
      </w:r>
      <w:r w:rsidR="00A75045" w:rsidRPr="00E20A08">
        <w:rPr>
          <w:kern w:val="28"/>
          <w:sz w:val="24"/>
          <w:szCs w:val="24"/>
          <w:lang w:val="en-CA"/>
        </w:rPr>
        <w:t xml:space="preserve"> under that provision, because [</w:t>
      </w:r>
      <w:r w:rsidR="00A75045" w:rsidRPr="00C5247F">
        <w:rPr>
          <w:smallCaps/>
          <w:kern w:val="28"/>
          <w:sz w:val="24"/>
          <w:szCs w:val="24"/>
          <w:lang w:val="en-CA"/>
        </w:rPr>
        <w:t>translation</w:t>
      </w:r>
      <w:r w:rsidR="00A75045" w:rsidRPr="00E20A08">
        <w:rPr>
          <w:kern w:val="28"/>
          <w:sz w:val="24"/>
          <w:szCs w:val="24"/>
          <w:lang w:val="en-CA"/>
        </w:rPr>
        <w:t xml:space="preserve">] “although the </w:t>
      </w:r>
      <w:r w:rsidR="00C5247F">
        <w:rPr>
          <w:kern w:val="28"/>
          <w:sz w:val="24"/>
          <w:szCs w:val="24"/>
          <w:lang w:val="en-CA"/>
        </w:rPr>
        <w:t>C</w:t>
      </w:r>
      <w:r w:rsidR="00A75045" w:rsidRPr="00E20A08">
        <w:rPr>
          <w:kern w:val="28"/>
          <w:sz w:val="24"/>
          <w:szCs w:val="24"/>
          <w:lang w:val="en-CA"/>
        </w:rPr>
        <w:t xml:space="preserve">ourt might be ready to admit that the condition of social assistance beneficiaries is a characteristic that is changeable only at an unacceptable cost, </w:t>
      </w:r>
      <w:r w:rsidR="00C5247F">
        <w:rPr>
          <w:kern w:val="28"/>
          <w:sz w:val="24"/>
          <w:szCs w:val="24"/>
          <w:lang w:val="en-CA"/>
        </w:rPr>
        <w:t>since</w:t>
      </w:r>
      <w:r w:rsidR="00A75045" w:rsidRPr="00E20A08">
        <w:rPr>
          <w:kern w:val="28"/>
          <w:sz w:val="24"/>
          <w:szCs w:val="24"/>
          <w:lang w:val="en-CA"/>
        </w:rPr>
        <w:t xml:space="preserve"> the applicant must renounce last</w:t>
      </w:r>
      <w:r w:rsidR="00C5247F">
        <w:rPr>
          <w:kern w:val="28"/>
          <w:sz w:val="24"/>
          <w:szCs w:val="24"/>
          <w:lang w:val="en-CA"/>
        </w:rPr>
        <w:t xml:space="preserve"> </w:t>
      </w:r>
      <w:r w:rsidR="00A75045" w:rsidRPr="00E20A08">
        <w:rPr>
          <w:kern w:val="28"/>
          <w:sz w:val="24"/>
          <w:szCs w:val="24"/>
          <w:lang w:val="en-CA"/>
        </w:rPr>
        <w:t xml:space="preserve">resort financial assistance payments to be able to obtain </w:t>
      </w:r>
      <w:r w:rsidR="00C5247F">
        <w:rPr>
          <w:kern w:val="28"/>
          <w:sz w:val="24"/>
          <w:szCs w:val="24"/>
          <w:lang w:val="en-CA"/>
        </w:rPr>
        <w:t>a</w:t>
      </w:r>
      <w:r w:rsidR="00A75045" w:rsidRPr="00E20A08">
        <w:rPr>
          <w:kern w:val="28"/>
          <w:sz w:val="24"/>
          <w:szCs w:val="24"/>
          <w:lang w:val="en-CA"/>
        </w:rPr>
        <w:t xml:space="preserve"> pension at age 65 [reference omitted], it is of the view that this condition is not related to personal identity in the way that conjugal status, for example, would be.”</w:t>
      </w:r>
      <w:r w:rsidR="00A75045" w:rsidRPr="00E20A08">
        <w:rPr>
          <w:rStyle w:val="Appelnotedebasdep"/>
          <w:kern w:val="28"/>
          <w:sz w:val="24"/>
          <w:szCs w:val="24"/>
          <w:lang w:val="en-CA"/>
        </w:rPr>
        <w:t xml:space="preserve"> </w:t>
      </w:r>
      <w:r w:rsidR="00A75045" w:rsidRPr="00E20A08">
        <w:rPr>
          <w:rStyle w:val="Appelnotedebasdep"/>
          <w:kern w:val="28"/>
          <w:sz w:val="24"/>
          <w:szCs w:val="24"/>
          <w:lang w:val="en-CA"/>
        </w:rPr>
        <w:footnoteReference w:id="17"/>
      </w:r>
      <w:r w:rsidRPr="00E20A08">
        <w:rPr>
          <w:kern w:val="28"/>
          <w:sz w:val="24"/>
          <w:szCs w:val="24"/>
          <w:lang w:val="en-CA"/>
        </w:rPr>
        <w:t xml:space="preserve"> </w:t>
      </w:r>
      <w:r w:rsidR="00A75045" w:rsidRPr="00E20A08">
        <w:rPr>
          <w:kern w:val="28"/>
          <w:sz w:val="24"/>
          <w:szCs w:val="24"/>
          <w:lang w:val="en-CA"/>
        </w:rPr>
        <w:t xml:space="preserve">This finding ended the debate on </w:t>
      </w:r>
      <w:r w:rsidR="006C5BE4">
        <w:rPr>
          <w:kern w:val="28"/>
          <w:sz w:val="24"/>
          <w:szCs w:val="24"/>
          <w:lang w:val="en-CA"/>
        </w:rPr>
        <w:t>s.</w:t>
      </w:r>
      <w:r w:rsidRPr="00E20A08">
        <w:rPr>
          <w:kern w:val="28"/>
          <w:sz w:val="24"/>
          <w:szCs w:val="24"/>
          <w:lang w:val="en-CA"/>
        </w:rPr>
        <w:t xml:space="preserve"> </w:t>
      </w:r>
      <w:r w:rsidR="00A75045" w:rsidRPr="00E20A08">
        <w:rPr>
          <w:kern w:val="28"/>
          <w:sz w:val="24"/>
          <w:szCs w:val="24"/>
          <w:lang w:val="en-CA"/>
        </w:rPr>
        <w:t xml:space="preserve">15 of the </w:t>
      </w:r>
      <w:r w:rsidR="00A75045" w:rsidRPr="00C5247F">
        <w:rPr>
          <w:i/>
          <w:iCs/>
          <w:kern w:val="28"/>
          <w:sz w:val="24"/>
          <w:szCs w:val="24"/>
          <w:lang w:val="en-CA"/>
        </w:rPr>
        <w:t>Canadian</w:t>
      </w:r>
      <w:r w:rsidR="00A75045" w:rsidRPr="00E20A08">
        <w:rPr>
          <w:kern w:val="28"/>
          <w:sz w:val="24"/>
          <w:szCs w:val="24"/>
          <w:lang w:val="en-CA"/>
        </w:rPr>
        <w:t xml:space="preserve"> </w:t>
      </w:r>
      <w:r w:rsidR="00A75045" w:rsidRPr="00C5247F">
        <w:rPr>
          <w:i/>
          <w:iCs/>
          <w:kern w:val="28"/>
          <w:sz w:val="24"/>
          <w:szCs w:val="24"/>
          <w:lang w:val="en-CA"/>
        </w:rPr>
        <w:t>Charter</w:t>
      </w:r>
      <w:r w:rsidR="00A75045" w:rsidRPr="00E20A08">
        <w:rPr>
          <w:kern w:val="28"/>
          <w:sz w:val="24"/>
          <w:szCs w:val="24"/>
          <w:lang w:val="en-CA"/>
        </w:rPr>
        <w:t>.</w:t>
      </w:r>
    </w:p>
    <w:p w14:paraId="2B42DCAC" w14:textId="25A9C09E" w:rsidR="00640E7F" w:rsidRPr="00E20A08" w:rsidRDefault="006979E7" w:rsidP="00640E7F">
      <w:pPr>
        <w:pStyle w:val="Citationenretrait"/>
        <w:rPr>
          <w:kern w:val="28"/>
          <w:sz w:val="24"/>
          <w:szCs w:val="24"/>
          <w:lang w:val="en-CA"/>
        </w:rPr>
      </w:pPr>
      <w:r w:rsidRPr="00E20A08">
        <w:rPr>
          <w:kern w:val="28"/>
          <w:sz w:val="24"/>
          <w:szCs w:val="24"/>
          <w:lang w:val="en-CA"/>
        </w:rPr>
        <w:t>-</w:t>
      </w:r>
      <w:r w:rsidRPr="00E20A08">
        <w:rPr>
          <w:kern w:val="28"/>
          <w:sz w:val="24"/>
          <w:szCs w:val="24"/>
          <w:lang w:val="en-CA"/>
        </w:rPr>
        <w:tab/>
      </w:r>
      <w:r w:rsidR="00A75045" w:rsidRPr="00E20A08">
        <w:rPr>
          <w:kern w:val="28"/>
          <w:sz w:val="24"/>
          <w:szCs w:val="24"/>
          <w:lang w:val="en-CA"/>
        </w:rPr>
        <w:t xml:space="preserve">For the purposes of </w:t>
      </w:r>
      <w:r w:rsidR="006C5BE4">
        <w:rPr>
          <w:kern w:val="28"/>
          <w:sz w:val="24"/>
          <w:szCs w:val="24"/>
          <w:lang w:val="en-CA"/>
        </w:rPr>
        <w:t>s.</w:t>
      </w:r>
      <w:r w:rsidRPr="00E20A08">
        <w:rPr>
          <w:kern w:val="28"/>
          <w:sz w:val="24"/>
          <w:szCs w:val="24"/>
          <w:lang w:val="en-CA"/>
        </w:rPr>
        <w:t xml:space="preserve"> </w:t>
      </w:r>
      <w:r w:rsidR="00A75045" w:rsidRPr="00E20A08">
        <w:rPr>
          <w:kern w:val="28"/>
          <w:sz w:val="24"/>
          <w:szCs w:val="24"/>
          <w:lang w:val="en-CA"/>
        </w:rPr>
        <w:t xml:space="preserve">10 of the </w:t>
      </w:r>
      <w:r w:rsidR="00A75045" w:rsidRPr="00C5247F">
        <w:rPr>
          <w:i/>
          <w:iCs/>
          <w:kern w:val="28"/>
          <w:sz w:val="24"/>
          <w:szCs w:val="24"/>
          <w:lang w:val="en-CA"/>
        </w:rPr>
        <w:t>Quebec Charter</w:t>
      </w:r>
      <w:r w:rsidR="00A75045" w:rsidRPr="00E20A08">
        <w:rPr>
          <w:kern w:val="28"/>
          <w:sz w:val="24"/>
          <w:szCs w:val="24"/>
          <w:lang w:val="en-CA"/>
        </w:rPr>
        <w:t xml:space="preserve">, which recognizes social condition as a prohibited ground, to respond to the question raised by the appellant, a last-resort financial assistance </w:t>
      </w:r>
      <w:r w:rsidR="0024648D">
        <w:rPr>
          <w:kern w:val="28"/>
          <w:sz w:val="24"/>
          <w:szCs w:val="24"/>
          <w:lang w:val="en-CA"/>
        </w:rPr>
        <w:t>recipient</w:t>
      </w:r>
      <w:r w:rsidR="0024648D" w:rsidRPr="00E20A08">
        <w:rPr>
          <w:kern w:val="28"/>
          <w:sz w:val="24"/>
          <w:szCs w:val="24"/>
          <w:lang w:val="en-CA"/>
        </w:rPr>
        <w:t xml:space="preserve"> </w:t>
      </w:r>
      <w:r w:rsidR="00A75045" w:rsidRPr="00E20A08">
        <w:rPr>
          <w:kern w:val="28"/>
          <w:sz w:val="24"/>
          <w:szCs w:val="24"/>
          <w:lang w:val="en-CA"/>
        </w:rPr>
        <w:t xml:space="preserve">should be </w:t>
      </w:r>
      <w:r w:rsidR="00A75045" w:rsidRPr="00E20A08">
        <w:rPr>
          <w:kern w:val="28"/>
          <w:sz w:val="24"/>
          <w:szCs w:val="24"/>
          <w:lang w:val="en-CA"/>
        </w:rPr>
        <w:lastRenderedPageBreak/>
        <w:t xml:space="preserve">compared to that of a person who is not such a </w:t>
      </w:r>
      <w:r w:rsidR="0024648D">
        <w:rPr>
          <w:kern w:val="28"/>
          <w:sz w:val="24"/>
          <w:szCs w:val="24"/>
          <w:lang w:val="en-CA"/>
        </w:rPr>
        <w:t>recipient</w:t>
      </w:r>
      <w:r w:rsidR="0024648D" w:rsidRPr="00E20A08">
        <w:rPr>
          <w:kern w:val="28"/>
          <w:sz w:val="24"/>
          <w:szCs w:val="24"/>
          <w:lang w:val="en-CA"/>
        </w:rPr>
        <w:t xml:space="preserve"> </w:t>
      </w:r>
      <w:r w:rsidR="00A75045" w:rsidRPr="00E20A08">
        <w:rPr>
          <w:kern w:val="28"/>
          <w:sz w:val="24"/>
          <w:szCs w:val="24"/>
          <w:lang w:val="en-CA"/>
        </w:rPr>
        <w:t>and retains the choice to benefit from the Quebec pension plan at the age of 65 instead of 60, because [</w:t>
      </w:r>
      <w:r w:rsidR="00A75045" w:rsidRPr="00C5247F">
        <w:rPr>
          <w:smallCaps/>
          <w:kern w:val="28"/>
          <w:sz w:val="24"/>
          <w:szCs w:val="24"/>
          <w:lang w:val="en-CA"/>
        </w:rPr>
        <w:t>translation</w:t>
      </w:r>
      <w:r w:rsidR="00A75045" w:rsidRPr="00E20A08">
        <w:rPr>
          <w:kern w:val="28"/>
          <w:sz w:val="24"/>
          <w:szCs w:val="24"/>
          <w:lang w:val="en-CA"/>
        </w:rPr>
        <w:t xml:space="preserve">] “common sense dictates that the person’s situation be compared with those who may do it without </w:t>
      </w:r>
      <w:r w:rsidR="00C5247F">
        <w:rPr>
          <w:kern w:val="28"/>
          <w:sz w:val="24"/>
          <w:szCs w:val="24"/>
          <w:lang w:val="en-CA"/>
        </w:rPr>
        <w:t xml:space="preserve">a </w:t>
      </w:r>
      <w:r w:rsidR="00A75045" w:rsidRPr="00E20A08">
        <w:rPr>
          <w:kern w:val="28"/>
          <w:sz w:val="24"/>
          <w:szCs w:val="24"/>
          <w:lang w:val="en-CA"/>
        </w:rPr>
        <w:t>“penalty””</w:t>
      </w:r>
      <w:r w:rsidR="00C5247F">
        <w:rPr>
          <w:kern w:val="28"/>
          <w:sz w:val="24"/>
          <w:szCs w:val="24"/>
          <w:lang w:val="en-CA"/>
        </w:rPr>
        <w:t>.</w:t>
      </w:r>
      <w:r w:rsidR="00A75045" w:rsidRPr="00E20A08">
        <w:rPr>
          <w:rStyle w:val="Appelnotedebasdep"/>
          <w:kern w:val="28"/>
          <w:sz w:val="24"/>
          <w:szCs w:val="24"/>
          <w:lang w:val="en-CA"/>
        </w:rPr>
        <w:footnoteReference w:id="18"/>
      </w:r>
    </w:p>
    <w:p w14:paraId="3F1880CA" w14:textId="5E50BB48" w:rsidR="00640E7F" w:rsidRPr="00E20A08" w:rsidRDefault="006979E7" w:rsidP="00640E7F">
      <w:pPr>
        <w:pStyle w:val="Citationenretrait"/>
        <w:rPr>
          <w:kern w:val="28"/>
          <w:sz w:val="24"/>
          <w:szCs w:val="24"/>
          <w:lang w:val="en-CA"/>
        </w:rPr>
      </w:pPr>
      <w:r w:rsidRPr="00E20A08">
        <w:rPr>
          <w:kern w:val="28"/>
          <w:sz w:val="24"/>
          <w:szCs w:val="24"/>
          <w:lang w:val="en-CA"/>
        </w:rPr>
        <w:t>-</w:t>
      </w:r>
      <w:r w:rsidRPr="00E20A08">
        <w:rPr>
          <w:kern w:val="28"/>
          <w:sz w:val="24"/>
          <w:szCs w:val="24"/>
          <w:lang w:val="en-CA"/>
        </w:rPr>
        <w:tab/>
      </w:r>
      <w:r w:rsidR="0046576D">
        <w:rPr>
          <w:kern w:val="28"/>
          <w:sz w:val="24"/>
          <w:szCs w:val="24"/>
          <w:lang w:val="en-CA"/>
        </w:rPr>
        <w:t>An</w:t>
      </w:r>
      <w:r w:rsidR="00A75045" w:rsidRPr="00E20A08">
        <w:rPr>
          <w:kern w:val="28"/>
          <w:sz w:val="24"/>
          <w:szCs w:val="24"/>
          <w:lang w:val="en-CA"/>
        </w:rPr>
        <w:t xml:space="preserve"> </w:t>
      </w:r>
      <w:r w:rsidR="00A75045" w:rsidRPr="00C5247F">
        <w:rPr>
          <w:i/>
          <w:iCs/>
          <w:kern w:val="28"/>
          <w:sz w:val="24"/>
          <w:szCs w:val="24"/>
          <w:lang w:val="en-CA"/>
        </w:rPr>
        <w:t>Act</w:t>
      </w:r>
      <w:r w:rsidR="00A75045" w:rsidRPr="00E20A08">
        <w:rPr>
          <w:kern w:val="28"/>
          <w:sz w:val="24"/>
          <w:szCs w:val="24"/>
          <w:lang w:val="en-CA"/>
        </w:rPr>
        <w:t xml:space="preserve"> (or legislative provision) </w:t>
      </w:r>
      <w:r w:rsidR="0046576D">
        <w:rPr>
          <w:kern w:val="28"/>
          <w:sz w:val="24"/>
          <w:szCs w:val="24"/>
          <w:lang w:val="en-CA"/>
        </w:rPr>
        <w:t xml:space="preserve">is discriminatory within the meaning of s. 10 </w:t>
      </w:r>
      <w:r w:rsidR="00A75045" w:rsidRPr="00E20A08">
        <w:rPr>
          <w:kern w:val="28"/>
          <w:sz w:val="24"/>
          <w:szCs w:val="24"/>
          <w:lang w:val="en-CA"/>
        </w:rPr>
        <w:t xml:space="preserve"> where </w:t>
      </w:r>
      <w:r w:rsidR="00C5247F">
        <w:rPr>
          <w:kern w:val="28"/>
          <w:sz w:val="24"/>
          <w:szCs w:val="24"/>
          <w:lang w:val="en-CA"/>
        </w:rPr>
        <w:t xml:space="preserve">there is infringement of a </w:t>
      </w:r>
      <w:r w:rsidR="00A75045" w:rsidRPr="00F7659E">
        <w:rPr>
          <w:kern w:val="28"/>
          <w:sz w:val="24"/>
          <w:szCs w:val="24"/>
          <w:lang w:val="en-CA"/>
        </w:rPr>
        <w:t>right identified under the</w:t>
      </w:r>
      <w:r w:rsidR="00A75045" w:rsidRPr="00C5247F">
        <w:rPr>
          <w:i/>
          <w:iCs/>
          <w:kern w:val="28"/>
          <w:sz w:val="24"/>
          <w:szCs w:val="24"/>
          <w:lang w:val="en-CA"/>
        </w:rPr>
        <w:t xml:space="preserve"> Quebec Charter</w:t>
      </w:r>
      <w:r w:rsidR="00A75045" w:rsidRPr="00E20A08">
        <w:rPr>
          <w:kern w:val="28"/>
          <w:sz w:val="24"/>
          <w:szCs w:val="24"/>
          <w:lang w:val="en-CA"/>
        </w:rPr>
        <w:t xml:space="preserve">, which </w:t>
      </w:r>
      <w:r w:rsidR="00C5247F">
        <w:rPr>
          <w:kern w:val="28"/>
          <w:sz w:val="24"/>
          <w:szCs w:val="24"/>
          <w:lang w:val="en-CA"/>
        </w:rPr>
        <w:t>in this case</w:t>
      </w:r>
      <w:r w:rsidR="00A75045" w:rsidRPr="00E20A08">
        <w:rPr>
          <w:kern w:val="28"/>
          <w:sz w:val="24"/>
          <w:szCs w:val="24"/>
          <w:lang w:val="en-CA"/>
        </w:rPr>
        <w:t xml:space="preserve"> is not the  </w:t>
      </w:r>
      <w:r w:rsidR="006C5BE4">
        <w:rPr>
          <w:kern w:val="28"/>
          <w:sz w:val="24"/>
          <w:szCs w:val="24"/>
          <w:lang w:val="en-CA"/>
        </w:rPr>
        <w:t>s.</w:t>
      </w:r>
      <w:r w:rsidR="00A75045" w:rsidRPr="00E20A08">
        <w:rPr>
          <w:kern w:val="28"/>
          <w:sz w:val="24"/>
          <w:szCs w:val="24"/>
          <w:lang w:val="en-CA"/>
        </w:rPr>
        <w:t xml:space="preserve"> 4 </w:t>
      </w:r>
      <w:r w:rsidR="0046576D" w:rsidRPr="00E20A08">
        <w:rPr>
          <w:kern w:val="28"/>
          <w:sz w:val="24"/>
          <w:szCs w:val="24"/>
          <w:lang w:val="en-CA"/>
        </w:rPr>
        <w:t xml:space="preserve">right to dignity </w:t>
      </w:r>
      <w:r w:rsidR="00A75045" w:rsidRPr="00E20A08">
        <w:rPr>
          <w:kern w:val="28"/>
          <w:sz w:val="24"/>
          <w:szCs w:val="24"/>
          <w:lang w:val="en-CA"/>
        </w:rPr>
        <w:t>but the</w:t>
      </w:r>
      <w:r w:rsidR="00C5247F">
        <w:rPr>
          <w:kern w:val="28"/>
          <w:sz w:val="24"/>
          <w:szCs w:val="24"/>
          <w:lang w:val="en-CA"/>
        </w:rPr>
        <w:t xml:space="preserve"> </w:t>
      </w:r>
      <w:r w:rsidR="006C5BE4">
        <w:rPr>
          <w:kern w:val="28"/>
          <w:sz w:val="24"/>
          <w:szCs w:val="24"/>
          <w:lang w:val="en-CA"/>
        </w:rPr>
        <w:t>s.</w:t>
      </w:r>
      <w:r w:rsidR="00A75045" w:rsidRPr="00E20A08">
        <w:rPr>
          <w:kern w:val="28"/>
          <w:sz w:val="24"/>
          <w:szCs w:val="24"/>
          <w:lang w:val="en-CA"/>
        </w:rPr>
        <w:t xml:space="preserve"> 45</w:t>
      </w:r>
      <w:r w:rsidR="0046576D">
        <w:rPr>
          <w:kern w:val="28"/>
          <w:sz w:val="24"/>
          <w:szCs w:val="24"/>
          <w:lang w:val="en-CA"/>
        </w:rPr>
        <w:t xml:space="preserve"> </w:t>
      </w:r>
      <w:r w:rsidR="0046576D" w:rsidRPr="00E20A08">
        <w:rPr>
          <w:kern w:val="28"/>
          <w:sz w:val="24"/>
          <w:szCs w:val="24"/>
          <w:lang w:val="en-CA"/>
        </w:rPr>
        <w:t xml:space="preserve"> right</w:t>
      </w:r>
      <w:r w:rsidR="00A75045" w:rsidRPr="00E20A08">
        <w:rPr>
          <w:kern w:val="28"/>
          <w:sz w:val="24"/>
          <w:szCs w:val="24"/>
          <w:lang w:val="en-CA"/>
        </w:rPr>
        <w:t>, which guarantees governmental financial assistance to any person in need</w:t>
      </w:r>
      <w:r w:rsidR="00C5247F">
        <w:rPr>
          <w:kern w:val="28"/>
          <w:sz w:val="24"/>
          <w:szCs w:val="24"/>
          <w:lang w:val="en-CA"/>
        </w:rPr>
        <w:t>,</w:t>
      </w:r>
      <w:r w:rsidRPr="00E20A08">
        <w:rPr>
          <w:kern w:val="28"/>
          <w:sz w:val="24"/>
          <w:szCs w:val="24"/>
          <w:lang w:val="en-CA"/>
        </w:rPr>
        <w:t xml:space="preserve"> </w:t>
      </w:r>
      <w:r w:rsidR="00A75045" w:rsidRPr="00E20A08">
        <w:rPr>
          <w:kern w:val="28"/>
          <w:sz w:val="24"/>
          <w:szCs w:val="24"/>
          <w:lang w:val="en-CA"/>
        </w:rPr>
        <w:t xml:space="preserve">However, </w:t>
      </w:r>
      <w:r w:rsidR="006C5BE4">
        <w:rPr>
          <w:kern w:val="28"/>
          <w:sz w:val="24"/>
          <w:szCs w:val="24"/>
          <w:lang w:val="en-CA"/>
        </w:rPr>
        <w:t>s.</w:t>
      </w:r>
      <w:r w:rsidR="00A75045" w:rsidRPr="00E20A08">
        <w:rPr>
          <w:kern w:val="28"/>
          <w:sz w:val="24"/>
          <w:szCs w:val="24"/>
          <w:lang w:val="en-CA"/>
        </w:rPr>
        <w:t xml:space="preserve"> 52, which prevents the legislature from derogating from </w:t>
      </w:r>
      <w:r w:rsidR="001F1E84">
        <w:rPr>
          <w:kern w:val="28"/>
          <w:sz w:val="24"/>
          <w:szCs w:val="24"/>
          <w:lang w:val="en-CA"/>
        </w:rPr>
        <w:t>ss.</w:t>
      </w:r>
      <w:r w:rsidR="00A75045" w:rsidRPr="00E20A08">
        <w:rPr>
          <w:kern w:val="28"/>
          <w:sz w:val="24"/>
          <w:szCs w:val="24"/>
          <w:lang w:val="en-CA"/>
        </w:rPr>
        <w:t xml:space="preserve"> 1 to 38 of the </w:t>
      </w:r>
      <w:r w:rsidR="00A75045" w:rsidRPr="00F7659E">
        <w:rPr>
          <w:i/>
          <w:iCs/>
          <w:kern w:val="28"/>
          <w:sz w:val="24"/>
          <w:szCs w:val="24"/>
          <w:lang w:val="en-CA"/>
        </w:rPr>
        <w:t>Quebec Charter</w:t>
      </w:r>
      <w:r w:rsidR="00A75045" w:rsidRPr="00E20A08">
        <w:rPr>
          <w:kern w:val="28"/>
          <w:sz w:val="24"/>
          <w:szCs w:val="24"/>
          <w:lang w:val="en-CA"/>
        </w:rPr>
        <w:t xml:space="preserve">, does not apply to </w:t>
      </w:r>
      <w:r w:rsidR="006C5BE4">
        <w:rPr>
          <w:kern w:val="28"/>
          <w:sz w:val="24"/>
          <w:szCs w:val="24"/>
          <w:lang w:val="en-CA"/>
        </w:rPr>
        <w:t>s.</w:t>
      </w:r>
      <w:r w:rsidR="00A75045" w:rsidRPr="00E20A08">
        <w:rPr>
          <w:kern w:val="28"/>
          <w:sz w:val="24"/>
          <w:szCs w:val="24"/>
          <w:lang w:val="en-CA"/>
        </w:rPr>
        <w:t xml:space="preserve"> 45</w:t>
      </w:r>
      <w:r w:rsidR="00F7659E">
        <w:rPr>
          <w:kern w:val="28"/>
          <w:sz w:val="24"/>
          <w:szCs w:val="24"/>
          <w:lang w:val="en-CA"/>
        </w:rPr>
        <w:t>.</w:t>
      </w:r>
      <w:r w:rsidR="00A75045" w:rsidRPr="00E20A08">
        <w:rPr>
          <w:kern w:val="28"/>
          <w:sz w:val="24"/>
          <w:szCs w:val="24"/>
          <w:lang w:val="en-CA"/>
        </w:rPr>
        <w:t xml:space="preserve"> It is therefore allowed to adopt</w:t>
      </w:r>
      <w:r w:rsidR="00F7659E">
        <w:rPr>
          <w:kern w:val="28"/>
          <w:sz w:val="24"/>
          <w:szCs w:val="24"/>
          <w:lang w:val="en-CA"/>
        </w:rPr>
        <w:t>,</w:t>
      </w:r>
      <w:r w:rsidRPr="00E20A08">
        <w:rPr>
          <w:kern w:val="28"/>
          <w:sz w:val="24"/>
          <w:szCs w:val="24"/>
          <w:lang w:val="en-CA"/>
        </w:rPr>
        <w:t xml:space="preserve"> </w:t>
      </w:r>
      <w:r w:rsidR="00A75045" w:rsidRPr="00E20A08">
        <w:rPr>
          <w:kern w:val="28"/>
          <w:sz w:val="24"/>
          <w:szCs w:val="24"/>
          <w:lang w:val="en-CA"/>
        </w:rPr>
        <w:t>[</w:t>
      </w:r>
      <w:r w:rsidR="00A75045" w:rsidRPr="00F7659E">
        <w:rPr>
          <w:smallCaps/>
          <w:kern w:val="28"/>
          <w:sz w:val="24"/>
          <w:szCs w:val="24"/>
          <w:lang w:val="en-CA"/>
        </w:rPr>
        <w:t>translation</w:t>
      </w:r>
      <w:r w:rsidR="00A75045" w:rsidRPr="00E20A08">
        <w:rPr>
          <w:kern w:val="28"/>
          <w:sz w:val="24"/>
          <w:szCs w:val="24"/>
          <w:lang w:val="en-CA"/>
        </w:rPr>
        <w:t xml:space="preserve">] “under the </w:t>
      </w:r>
      <w:r w:rsidR="00A75045" w:rsidRPr="00F7659E">
        <w:rPr>
          <w:i/>
          <w:iCs/>
          <w:kern w:val="28"/>
          <w:sz w:val="24"/>
          <w:szCs w:val="24"/>
          <w:lang w:val="en-CA"/>
        </w:rPr>
        <w:t>Charter</w:t>
      </w:r>
      <w:r w:rsidR="00A75045" w:rsidRPr="00E20A08">
        <w:rPr>
          <w:kern w:val="28"/>
          <w:sz w:val="24"/>
          <w:szCs w:val="24"/>
          <w:lang w:val="en-CA"/>
        </w:rPr>
        <w:t xml:space="preserve"> itself, a </w:t>
      </w:r>
      <w:r w:rsidR="00003EA4" w:rsidRPr="00E20A08">
        <w:rPr>
          <w:kern w:val="28"/>
          <w:sz w:val="24"/>
          <w:szCs w:val="24"/>
          <w:lang w:val="en-CA"/>
        </w:rPr>
        <w:t>di</w:t>
      </w:r>
      <w:r w:rsidR="00003EA4">
        <w:rPr>
          <w:kern w:val="28"/>
          <w:sz w:val="24"/>
          <w:szCs w:val="24"/>
          <w:lang w:val="en-CA"/>
        </w:rPr>
        <w:t>scrimi</w:t>
      </w:r>
      <w:r w:rsidR="00003EA4" w:rsidRPr="00E20A08">
        <w:rPr>
          <w:kern w:val="28"/>
          <w:sz w:val="24"/>
          <w:szCs w:val="24"/>
          <w:lang w:val="en-CA"/>
        </w:rPr>
        <w:t>natory</w:t>
      </w:r>
      <w:r w:rsidR="00A75045" w:rsidRPr="00E20A08">
        <w:rPr>
          <w:kern w:val="28"/>
          <w:sz w:val="24"/>
          <w:szCs w:val="24"/>
          <w:lang w:val="en-CA"/>
        </w:rPr>
        <w:t xml:space="preserve"> measure like </w:t>
      </w:r>
      <w:r w:rsidR="006C5BE4">
        <w:rPr>
          <w:kern w:val="28"/>
          <w:sz w:val="24"/>
          <w:szCs w:val="24"/>
          <w:lang w:val="en-CA"/>
        </w:rPr>
        <w:t>s.</w:t>
      </w:r>
      <w:r w:rsidR="00A75045" w:rsidRPr="00E20A08">
        <w:rPr>
          <w:kern w:val="28"/>
          <w:sz w:val="24"/>
          <w:szCs w:val="24"/>
          <w:lang w:val="en-CA"/>
        </w:rPr>
        <w:t xml:space="preserve"> 63 of the </w:t>
      </w:r>
      <w:r w:rsidR="00A75045" w:rsidRPr="00F7659E">
        <w:rPr>
          <w:i/>
          <w:iCs/>
          <w:kern w:val="28"/>
          <w:sz w:val="24"/>
          <w:szCs w:val="24"/>
          <w:lang w:val="en-CA"/>
        </w:rPr>
        <w:t>Individual and Family Assistance</w:t>
      </w:r>
      <w:r w:rsidR="00A75045" w:rsidRPr="00E20A08">
        <w:rPr>
          <w:kern w:val="28"/>
          <w:sz w:val="24"/>
          <w:szCs w:val="24"/>
          <w:lang w:val="en-CA"/>
        </w:rPr>
        <w:t xml:space="preserve"> </w:t>
      </w:r>
      <w:r w:rsidR="00F7659E">
        <w:rPr>
          <w:kern w:val="28"/>
          <w:sz w:val="24"/>
          <w:szCs w:val="24"/>
          <w:lang w:val="en-CA"/>
        </w:rPr>
        <w:t>A</w:t>
      </w:r>
      <w:r w:rsidR="00A75045" w:rsidRPr="00E20A08">
        <w:rPr>
          <w:kern w:val="28"/>
          <w:sz w:val="24"/>
          <w:szCs w:val="24"/>
          <w:lang w:val="en-CA"/>
        </w:rPr>
        <w:t>ct without having to justify it.”</w:t>
      </w:r>
      <w:r w:rsidR="00A75045" w:rsidRPr="00E20A08">
        <w:rPr>
          <w:rStyle w:val="Appelnotedebasdep"/>
          <w:kern w:val="28"/>
          <w:sz w:val="24"/>
          <w:szCs w:val="24"/>
          <w:lang w:val="en-CA"/>
        </w:rPr>
        <w:footnoteReference w:id="19"/>
      </w:r>
    </w:p>
    <w:p w14:paraId="2A1188BF" w14:textId="77777777" w:rsidR="00640E7F" w:rsidRPr="00E20A08" w:rsidRDefault="006979E7" w:rsidP="00640E7F">
      <w:pPr>
        <w:pStyle w:val="Paragraphe"/>
        <w:numPr>
          <w:ilvl w:val="0"/>
          <w:numId w:val="0"/>
        </w:numPr>
        <w:jc w:val="center"/>
        <w:rPr>
          <w:lang w:val="en-CA"/>
        </w:rPr>
      </w:pPr>
      <w:r w:rsidRPr="00E20A08">
        <w:rPr>
          <w:lang w:val="en-CA"/>
        </w:rPr>
        <w:t>* *</w:t>
      </w:r>
    </w:p>
    <w:p w14:paraId="7DB7C62C" w14:textId="3EAA9374" w:rsidR="00640E7F" w:rsidRPr="00874FC6" w:rsidRDefault="00874FC6" w:rsidP="00640E7F">
      <w:pPr>
        <w:pStyle w:val="Paragraphe"/>
        <w:rPr>
          <w:lang w:val="en-CA"/>
        </w:rPr>
      </w:pPr>
      <w:r>
        <w:rPr>
          <w:lang w:val="en-CA"/>
        </w:rPr>
        <w:t xml:space="preserve">The appellant, as </w:t>
      </w:r>
      <w:r w:rsidR="00A75045" w:rsidRPr="00874FC6">
        <w:rPr>
          <w:lang w:val="en-CA"/>
        </w:rPr>
        <w:t>unhappy with this judgment as he</w:t>
      </w:r>
      <w:r>
        <w:rPr>
          <w:lang w:val="en-CA"/>
        </w:rPr>
        <w:t xml:space="preserve"> was</w:t>
      </w:r>
      <w:r w:rsidR="00A75045" w:rsidRPr="00874FC6">
        <w:rPr>
          <w:lang w:val="en-CA"/>
        </w:rPr>
        <w:t xml:space="preserve"> with the </w:t>
      </w:r>
      <w:r w:rsidR="00DC31C3" w:rsidRPr="00874FC6">
        <w:rPr>
          <w:lang w:val="en-CA"/>
        </w:rPr>
        <w:t>ATQ</w:t>
      </w:r>
      <w:r w:rsidR="00A75045" w:rsidRPr="00874FC6">
        <w:rPr>
          <w:lang w:val="en-CA"/>
        </w:rPr>
        <w:t>’s decision</w:t>
      </w:r>
      <w:r>
        <w:rPr>
          <w:lang w:val="en-CA"/>
        </w:rPr>
        <w:t xml:space="preserve">, </w:t>
      </w:r>
      <w:r w:rsidR="00A75045" w:rsidRPr="00874FC6">
        <w:rPr>
          <w:lang w:val="en-CA"/>
        </w:rPr>
        <w:t>appeal</w:t>
      </w:r>
      <w:r>
        <w:rPr>
          <w:lang w:val="en-CA"/>
        </w:rPr>
        <w:t>s</w:t>
      </w:r>
      <w:r w:rsidR="00A75045" w:rsidRPr="00874FC6">
        <w:rPr>
          <w:lang w:val="en-CA"/>
        </w:rPr>
        <w:t xml:space="preserve"> to this Court.</w:t>
      </w:r>
      <w:r w:rsidR="006979E7" w:rsidRPr="00874FC6">
        <w:rPr>
          <w:lang w:val="en-CA"/>
        </w:rPr>
        <w:t xml:space="preserve"> </w:t>
      </w:r>
      <w:r w:rsidR="00A75045" w:rsidRPr="00874FC6">
        <w:rPr>
          <w:lang w:val="en-CA"/>
        </w:rPr>
        <w:t xml:space="preserve">Because in his view the case puts in issue the specific </w:t>
      </w:r>
      <w:r w:rsidR="00F7659E" w:rsidRPr="00874FC6">
        <w:rPr>
          <w:lang w:val="en-CA"/>
        </w:rPr>
        <w:t>rights</w:t>
      </w:r>
      <w:r w:rsidR="00A75045" w:rsidRPr="00874FC6">
        <w:rPr>
          <w:lang w:val="en-CA"/>
        </w:rPr>
        <w:t xml:space="preserve"> of the State within the meaning of </w:t>
      </w:r>
      <w:r>
        <w:rPr>
          <w:lang w:val="en-CA"/>
        </w:rPr>
        <w:t>art.</w:t>
      </w:r>
      <w:r w:rsidR="006979E7" w:rsidRPr="00874FC6">
        <w:rPr>
          <w:lang w:val="en-CA"/>
        </w:rPr>
        <w:t xml:space="preserve"> </w:t>
      </w:r>
      <w:r w:rsidR="00A75045" w:rsidRPr="00874FC6">
        <w:rPr>
          <w:lang w:val="en-CA"/>
        </w:rPr>
        <w:t>30 para</w:t>
      </w:r>
      <w:r>
        <w:rPr>
          <w:lang w:val="en-CA"/>
        </w:rPr>
        <w:t>.</w:t>
      </w:r>
      <w:r w:rsidR="00A75045" w:rsidRPr="00874FC6">
        <w:rPr>
          <w:lang w:val="en-CA"/>
        </w:rPr>
        <w:t xml:space="preserve"> 1 and</w:t>
      </w:r>
      <w:r>
        <w:rPr>
          <w:lang w:val="en-CA"/>
        </w:rPr>
        <w:t xml:space="preserve"> art.</w:t>
      </w:r>
      <w:r w:rsidR="00A75045" w:rsidRPr="00874FC6">
        <w:rPr>
          <w:lang w:val="en-CA"/>
        </w:rPr>
        <w:t xml:space="preserve"> 75 of the </w:t>
      </w:r>
      <w:r w:rsidR="00040F5E">
        <w:rPr>
          <w:lang w:val="en-CA"/>
        </w:rPr>
        <w:t>C.C.P.</w:t>
      </w:r>
      <w:r w:rsidR="00A75045" w:rsidRPr="00874FC6">
        <w:rPr>
          <w:lang w:val="en-CA"/>
        </w:rPr>
        <w:t>, he believes he is entitled to an appeal as of right.</w:t>
      </w:r>
      <w:r w:rsidR="006979E7" w:rsidRPr="00874FC6">
        <w:rPr>
          <w:lang w:val="en-CA"/>
        </w:rPr>
        <w:t xml:space="preserve"> </w:t>
      </w:r>
      <w:r w:rsidR="00A75045" w:rsidRPr="00874FC6">
        <w:rPr>
          <w:lang w:val="en-CA"/>
        </w:rPr>
        <w:t xml:space="preserve">However, </w:t>
      </w:r>
      <w:r w:rsidR="0064194E">
        <w:rPr>
          <w:lang w:val="en-CA"/>
        </w:rPr>
        <w:t>as a precaution</w:t>
      </w:r>
      <w:r w:rsidR="00A75045" w:rsidRPr="00874FC6">
        <w:rPr>
          <w:lang w:val="en-CA"/>
        </w:rPr>
        <w:t>, concomitantly with his notice of appeal</w:t>
      </w:r>
      <w:r w:rsidR="00773C90">
        <w:rPr>
          <w:lang w:val="en-CA"/>
        </w:rPr>
        <w:t>,</w:t>
      </w:r>
      <w:r w:rsidR="00A75045" w:rsidRPr="00874FC6">
        <w:rPr>
          <w:lang w:val="en-CA"/>
        </w:rPr>
        <w:t xml:space="preserve"> </w:t>
      </w:r>
      <w:r w:rsidR="00773C90">
        <w:rPr>
          <w:lang w:val="en-CA"/>
        </w:rPr>
        <w:t xml:space="preserve">he has filed </w:t>
      </w:r>
      <w:r w:rsidR="00A75045" w:rsidRPr="00874FC6">
        <w:rPr>
          <w:lang w:val="en-CA"/>
        </w:rPr>
        <w:t xml:space="preserve">an application for leave to appeal </w:t>
      </w:r>
      <w:r w:rsidR="00A75045" w:rsidRPr="00874FC6">
        <w:rPr>
          <w:i/>
          <w:iCs/>
          <w:lang w:val="en-CA"/>
        </w:rPr>
        <w:t xml:space="preserve">de bene </w:t>
      </w:r>
      <w:proofErr w:type="spellStart"/>
      <w:r w:rsidR="00A75045" w:rsidRPr="00874FC6">
        <w:rPr>
          <w:i/>
          <w:iCs/>
          <w:lang w:val="en-CA"/>
        </w:rPr>
        <w:t>esse</w:t>
      </w:r>
      <w:proofErr w:type="spellEnd"/>
      <w:r w:rsidR="00A75045" w:rsidRPr="00874FC6">
        <w:rPr>
          <w:lang w:val="en-CA"/>
        </w:rPr>
        <w:t>, which will be referred to the Court so that it may decide on the nature of the right of appeal, while also hearing the parties on the merits of the appeal.</w:t>
      </w:r>
      <w:r w:rsidR="00A75045" w:rsidRPr="00874FC6">
        <w:rPr>
          <w:rStyle w:val="Appelnotedebasdep"/>
          <w:lang w:val="en-CA"/>
        </w:rPr>
        <w:footnoteReference w:id="20"/>
      </w:r>
    </w:p>
    <w:p w14:paraId="0E3A8E6F" w14:textId="19843E33" w:rsidR="00640E7F" w:rsidRPr="00E20A08" w:rsidRDefault="00A75045" w:rsidP="00640E7F">
      <w:pPr>
        <w:pStyle w:val="Paragraphe"/>
        <w:rPr>
          <w:lang w:val="en-CA"/>
        </w:rPr>
      </w:pPr>
      <w:bookmarkStart w:id="13" w:name="_Ref73438060"/>
      <w:r w:rsidRPr="00E20A08">
        <w:rPr>
          <w:lang w:val="en-CA"/>
        </w:rPr>
        <w:t xml:space="preserve">It should be noted that the conclusions in the notice of the appeal, the application for leave to appeal, and the appellant’s </w:t>
      </w:r>
      <w:r w:rsidR="00465E85">
        <w:rPr>
          <w:lang w:val="en-CA"/>
        </w:rPr>
        <w:t xml:space="preserve">memorandum </w:t>
      </w:r>
      <w:r w:rsidRPr="00E20A08">
        <w:rPr>
          <w:lang w:val="en-CA"/>
        </w:rPr>
        <w:t xml:space="preserve">do not perfectly coincide with those </w:t>
      </w:r>
      <w:r w:rsidR="00773C90">
        <w:rPr>
          <w:lang w:val="en-CA"/>
        </w:rPr>
        <w:t xml:space="preserve">presented for </w:t>
      </w:r>
      <w:r w:rsidRPr="00E20A08">
        <w:rPr>
          <w:lang w:val="en-CA"/>
        </w:rPr>
        <w:t>the appeal before the Superior Court.</w:t>
      </w:r>
      <w:r w:rsidR="006979E7" w:rsidRPr="00E20A08">
        <w:rPr>
          <w:lang w:val="en-CA"/>
        </w:rPr>
        <w:t xml:space="preserve"> </w:t>
      </w:r>
      <w:r w:rsidRPr="00E20A08">
        <w:rPr>
          <w:lang w:val="en-CA"/>
        </w:rPr>
        <w:t xml:space="preserve">Essentially, the appellant asks this Court to declare </w:t>
      </w:r>
      <w:r w:rsidR="001F1E84">
        <w:rPr>
          <w:lang w:val="en-CA"/>
        </w:rPr>
        <w:t>ss.</w:t>
      </w:r>
      <w:r w:rsidR="006979E7" w:rsidRPr="00E20A08">
        <w:rPr>
          <w:lang w:val="en-CA"/>
        </w:rPr>
        <w:t xml:space="preserve"> </w:t>
      </w:r>
      <w:r w:rsidRPr="00E20A08">
        <w:rPr>
          <w:lang w:val="en-CA"/>
        </w:rPr>
        <w:t xml:space="preserve">63 and 66 </w:t>
      </w:r>
      <w:r w:rsidR="00040F5E">
        <w:rPr>
          <w:i/>
          <w:iCs/>
          <w:lang w:val="en-CA"/>
        </w:rPr>
        <w:t>I.F.A.A.</w:t>
      </w:r>
      <w:r w:rsidRPr="00E20A08">
        <w:rPr>
          <w:lang w:val="en-CA"/>
        </w:rPr>
        <w:t xml:space="preserve"> inoperative in whole or in part, whereas at first instance, he asked for th</w:t>
      </w:r>
      <w:r w:rsidR="00773C90">
        <w:rPr>
          <w:lang w:val="en-CA"/>
        </w:rPr>
        <w:t>o</w:t>
      </w:r>
      <w:r w:rsidRPr="00E20A08">
        <w:rPr>
          <w:lang w:val="en-CA"/>
        </w:rPr>
        <w:t>se provisions to be declared invalid [</w:t>
      </w:r>
      <w:r w:rsidRPr="00773C90">
        <w:rPr>
          <w:smallCaps/>
          <w:lang w:val="en-CA"/>
        </w:rPr>
        <w:t>translation</w:t>
      </w:r>
      <w:r w:rsidRPr="00E20A08">
        <w:rPr>
          <w:lang w:val="en-CA"/>
        </w:rPr>
        <w:t xml:space="preserve">] “in relation with </w:t>
      </w:r>
      <w:r w:rsidR="006C5BE4">
        <w:rPr>
          <w:lang w:val="en-CA"/>
        </w:rPr>
        <w:t>s.</w:t>
      </w:r>
      <w:r w:rsidRPr="00E20A08">
        <w:rPr>
          <w:lang w:val="en-CA"/>
        </w:rPr>
        <w:t xml:space="preserve"> 106.3 of the </w:t>
      </w:r>
      <w:r w:rsidRPr="00E72B6A">
        <w:rPr>
          <w:i/>
          <w:iCs/>
          <w:lang w:val="en-CA"/>
        </w:rPr>
        <w:t>Act respecting the Qu</w:t>
      </w:r>
      <w:r w:rsidR="00E72B6A">
        <w:rPr>
          <w:i/>
          <w:iCs/>
          <w:lang w:val="en-CA"/>
        </w:rPr>
        <w:t>é</w:t>
      </w:r>
      <w:r w:rsidRPr="00E72B6A">
        <w:rPr>
          <w:i/>
          <w:iCs/>
          <w:lang w:val="en-CA"/>
        </w:rPr>
        <w:t>bec Pension Plan</w:t>
      </w:r>
      <w:r w:rsidRPr="00E20A08">
        <w:rPr>
          <w:lang w:val="en-CA"/>
        </w:rPr>
        <w:t>.”</w:t>
      </w:r>
      <w:r w:rsidRPr="00E20A08">
        <w:rPr>
          <w:rStyle w:val="Appelnotedebasdep"/>
          <w:lang w:val="en-CA"/>
        </w:rPr>
        <w:footnoteReference w:id="21"/>
      </w:r>
      <w:r w:rsidR="006979E7" w:rsidRPr="00E20A08">
        <w:rPr>
          <w:lang w:val="en-CA"/>
        </w:rPr>
        <w:t xml:space="preserve"> </w:t>
      </w:r>
      <w:r w:rsidRPr="00E20A08">
        <w:rPr>
          <w:lang w:val="en-CA"/>
        </w:rPr>
        <w:t xml:space="preserve">I can immediately </w:t>
      </w:r>
      <w:r w:rsidR="00B95B40">
        <w:rPr>
          <w:lang w:val="en-CA"/>
        </w:rPr>
        <w:t xml:space="preserve">affirm </w:t>
      </w:r>
      <w:r w:rsidRPr="00E20A08">
        <w:rPr>
          <w:lang w:val="en-CA"/>
        </w:rPr>
        <w:t xml:space="preserve">that, if the disputed provisions </w:t>
      </w:r>
      <w:r w:rsidR="00B95B40">
        <w:rPr>
          <w:lang w:val="en-CA"/>
        </w:rPr>
        <w:t>must</w:t>
      </w:r>
      <w:r w:rsidRPr="00E20A08">
        <w:rPr>
          <w:lang w:val="en-CA"/>
        </w:rPr>
        <w:t xml:space="preserve"> be declared invalid or inoperative, </w:t>
      </w:r>
      <w:r w:rsidR="00DE6CEC">
        <w:rPr>
          <w:lang w:val="en-CA"/>
        </w:rPr>
        <w:t xml:space="preserve">this </w:t>
      </w:r>
      <w:r w:rsidR="00B95B40">
        <w:rPr>
          <w:lang w:val="en-CA"/>
        </w:rPr>
        <w:t>may be done</w:t>
      </w:r>
      <w:r w:rsidRPr="00E20A08">
        <w:rPr>
          <w:lang w:val="en-CA"/>
        </w:rPr>
        <w:t xml:space="preserve"> only in connection with the debate raised here, which concerns strictly the exercise of the right to the retirement pension at the age of 60</w:t>
      </w:r>
      <w:r w:rsidR="00894F53">
        <w:rPr>
          <w:lang w:val="en-CA"/>
        </w:rPr>
        <w:t xml:space="preserve"> enshrined in</w:t>
      </w:r>
      <w:r w:rsidRPr="00E20A08">
        <w:rPr>
          <w:lang w:val="en-CA"/>
        </w:rPr>
        <w:t xml:space="preserve"> the </w:t>
      </w:r>
      <w:r w:rsidRPr="00DE6CEC">
        <w:rPr>
          <w:i/>
          <w:iCs/>
          <w:lang w:val="en-CA"/>
        </w:rPr>
        <w:t>Act respecting the Qu</w:t>
      </w:r>
      <w:r w:rsidR="00DE6CEC">
        <w:rPr>
          <w:i/>
          <w:iCs/>
          <w:lang w:val="en-CA"/>
        </w:rPr>
        <w:t>é</w:t>
      </w:r>
      <w:r w:rsidRPr="00DE6CEC">
        <w:rPr>
          <w:i/>
          <w:iCs/>
          <w:lang w:val="en-CA"/>
        </w:rPr>
        <w:t>bec Pension Plan</w:t>
      </w:r>
      <w:r w:rsidRPr="00E20A08">
        <w:rPr>
          <w:lang w:val="en-CA"/>
        </w:rPr>
        <w:t>.</w:t>
      </w:r>
      <w:r w:rsidR="006979E7" w:rsidRPr="00E20A08">
        <w:rPr>
          <w:lang w:val="en-CA"/>
        </w:rPr>
        <w:t xml:space="preserve"> </w:t>
      </w:r>
      <w:bookmarkEnd w:id="13"/>
      <w:r w:rsidR="00894F53">
        <w:rPr>
          <w:lang w:val="en-CA"/>
        </w:rPr>
        <w:t>The provisions</w:t>
      </w:r>
      <w:r w:rsidRPr="00E20A08">
        <w:rPr>
          <w:lang w:val="en-CA"/>
        </w:rPr>
        <w:t xml:space="preserve"> cannot be </w:t>
      </w:r>
      <w:r w:rsidR="00894F53">
        <w:rPr>
          <w:lang w:val="en-CA"/>
        </w:rPr>
        <w:t>completely</w:t>
      </w:r>
      <w:r w:rsidRPr="00E20A08">
        <w:rPr>
          <w:lang w:val="en-CA"/>
        </w:rPr>
        <w:t xml:space="preserve"> invalidated </w:t>
      </w:r>
      <w:r w:rsidR="00894F53">
        <w:rPr>
          <w:lang w:val="en-CA"/>
        </w:rPr>
        <w:t>so</w:t>
      </w:r>
      <w:r w:rsidRPr="00E20A08">
        <w:rPr>
          <w:lang w:val="en-CA"/>
        </w:rPr>
        <w:t xml:space="preserve"> long as they concern rights that are not at issue in this case and that have never been </w:t>
      </w:r>
      <w:r w:rsidR="00894F53">
        <w:rPr>
          <w:lang w:val="en-CA"/>
        </w:rPr>
        <w:t xml:space="preserve">debated </w:t>
      </w:r>
      <w:r w:rsidRPr="00E20A08">
        <w:rPr>
          <w:lang w:val="en-CA"/>
        </w:rPr>
        <w:t xml:space="preserve">before the </w:t>
      </w:r>
      <w:r w:rsidR="00DC31C3">
        <w:rPr>
          <w:lang w:val="en-CA"/>
        </w:rPr>
        <w:t>ATQ</w:t>
      </w:r>
      <w:r w:rsidRPr="00E20A08">
        <w:rPr>
          <w:lang w:val="en-CA"/>
        </w:rPr>
        <w:t xml:space="preserve"> or the Superior Court (and are also not invoked in the appellant’s </w:t>
      </w:r>
      <w:r w:rsidR="00465E85">
        <w:rPr>
          <w:lang w:val="en-CA"/>
        </w:rPr>
        <w:t>memorandum</w:t>
      </w:r>
      <w:r w:rsidRPr="00E20A08">
        <w:rPr>
          <w:lang w:val="en-CA"/>
        </w:rPr>
        <w:t>).</w:t>
      </w:r>
    </w:p>
    <w:p w14:paraId="7776E2F5" w14:textId="48590D8D" w:rsidR="00640E7F" w:rsidRPr="00E20A08" w:rsidRDefault="00894F53" w:rsidP="00640E7F">
      <w:pPr>
        <w:pStyle w:val="Paragraphe"/>
        <w:rPr>
          <w:lang w:val="en-CA"/>
        </w:rPr>
      </w:pPr>
      <w:r>
        <w:rPr>
          <w:lang w:val="en-CA"/>
        </w:rPr>
        <w:lastRenderedPageBreak/>
        <w:t>T</w:t>
      </w:r>
      <w:r w:rsidR="00A75045" w:rsidRPr="00E20A08">
        <w:rPr>
          <w:lang w:val="en-CA"/>
        </w:rPr>
        <w:t>he respondent and the impleaded party</w:t>
      </w:r>
      <w:r w:rsidR="00A75045" w:rsidRPr="00E20A08">
        <w:rPr>
          <w:rStyle w:val="Appelnotedebasdep"/>
          <w:lang w:val="en-CA"/>
        </w:rPr>
        <w:footnoteReference w:id="22"/>
      </w:r>
      <w:r>
        <w:rPr>
          <w:lang w:val="en-CA"/>
        </w:rPr>
        <w:t xml:space="preserve"> </w:t>
      </w:r>
      <w:r w:rsidR="00A75045" w:rsidRPr="00E20A08">
        <w:rPr>
          <w:lang w:val="en-CA"/>
        </w:rPr>
        <w:t xml:space="preserve"> have not appealed the Superior Court’s </w:t>
      </w:r>
      <w:r w:rsidR="000B2C44">
        <w:rPr>
          <w:lang w:val="en-CA"/>
        </w:rPr>
        <w:t>quash</w:t>
      </w:r>
      <w:r w:rsidR="007A21FD">
        <w:rPr>
          <w:lang w:val="en-CA"/>
        </w:rPr>
        <w:t>ing of</w:t>
      </w:r>
      <w:r w:rsidR="00A75045" w:rsidRPr="00E20A08">
        <w:rPr>
          <w:lang w:val="en-CA"/>
        </w:rPr>
        <w:t xml:space="preserve"> the order to </w:t>
      </w:r>
      <w:r w:rsidR="000B2C44" w:rsidRPr="00E20A08">
        <w:rPr>
          <w:lang w:val="en-CA"/>
        </w:rPr>
        <w:t>r</w:t>
      </w:r>
      <w:r w:rsidR="000B2C44">
        <w:rPr>
          <w:lang w:val="en-CA"/>
        </w:rPr>
        <w:t>epay</w:t>
      </w:r>
      <w:r w:rsidR="000B2C44" w:rsidRPr="00E20A08">
        <w:rPr>
          <w:lang w:val="en-CA"/>
        </w:rPr>
        <w:t xml:space="preserve"> </w:t>
      </w:r>
      <w:r w:rsidR="00A75045" w:rsidRPr="00E20A08">
        <w:rPr>
          <w:lang w:val="en-CA"/>
        </w:rPr>
        <w:t xml:space="preserve">in the </w:t>
      </w:r>
      <w:r w:rsidR="00DC31C3">
        <w:rPr>
          <w:lang w:val="en-CA"/>
        </w:rPr>
        <w:t>ATQ</w:t>
      </w:r>
      <w:r w:rsidR="00A75045" w:rsidRPr="00E20A08">
        <w:rPr>
          <w:lang w:val="en-CA"/>
        </w:rPr>
        <w:t>’s October 2018 decision.</w:t>
      </w:r>
    </w:p>
    <w:p w14:paraId="26EDB868" w14:textId="77777777" w:rsidR="00640E7F" w:rsidRPr="00E20A08" w:rsidRDefault="006979E7" w:rsidP="00640E7F">
      <w:pPr>
        <w:pStyle w:val="Paragraphe"/>
        <w:numPr>
          <w:ilvl w:val="0"/>
          <w:numId w:val="0"/>
        </w:numPr>
        <w:jc w:val="center"/>
        <w:rPr>
          <w:lang w:val="en-CA"/>
        </w:rPr>
      </w:pPr>
      <w:r w:rsidRPr="00E20A08">
        <w:rPr>
          <w:lang w:val="en-CA"/>
        </w:rPr>
        <w:t>* *</w:t>
      </w:r>
    </w:p>
    <w:p w14:paraId="08C83ABC" w14:textId="56210DA0" w:rsidR="00640E7F" w:rsidRPr="00E20A08" w:rsidRDefault="00A75045" w:rsidP="00640E7F">
      <w:pPr>
        <w:pStyle w:val="Paragraphe"/>
        <w:rPr>
          <w:lang w:val="en-CA"/>
        </w:rPr>
      </w:pPr>
      <w:r w:rsidRPr="00E20A08">
        <w:rPr>
          <w:lang w:val="en-CA"/>
        </w:rPr>
        <w:t xml:space="preserve">Finally, it is noted that, when the appellant turned 65 years old in December 2009, he </w:t>
      </w:r>
      <w:r w:rsidR="008C5262">
        <w:rPr>
          <w:lang w:val="en-CA"/>
        </w:rPr>
        <w:t>claimed</w:t>
      </w:r>
      <w:r w:rsidR="008C5262" w:rsidRPr="00E20A08">
        <w:rPr>
          <w:lang w:val="en-CA"/>
        </w:rPr>
        <w:t xml:space="preserve"> </w:t>
      </w:r>
      <w:r w:rsidRPr="00E20A08">
        <w:rPr>
          <w:lang w:val="en-CA"/>
        </w:rPr>
        <w:t>and obtained his retirement pension.</w:t>
      </w:r>
      <w:r w:rsidR="00894F53">
        <w:rPr>
          <w:lang w:val="en-CA"/>
        </w:rPr>
        <w:t xml:space="preserve"> A</w:t>
      </w:r>
      <w:r w:rsidRPr="00E20A08">
        <w:rPr>
          <w:lang w:val="en-CA"/>
        </w:rPr>
        <w:t xml:space="preserve">t the hearing before the </w:t>
      </w:r>
      <w:r w:rsidR="00DC31C3">
        <w:rPr>
          <w:lang w:val="en-CA"/>
        </w:rPr>
        <w:t>ATQ</w:t>
      </w:r>
      <w:r w:rsidR="000B2C44">
        <w:rPr>
          <w:lang w:val="en-CA"/>
        </w:rPr>
        <w:t xml:space="preserve"> he testified that he</w:t>
      </w:r>
      <w:r w:rsidRPr="00E20A08">
        <w:rPr>
          <w:lang w:val="en-CA"/>
        </w:rPr>
        <w:t xml:space="preserve"> was receiving $804 per month.</w:t>
      </w:r>
      <w:r w:rsidRPr="00E20A08">
        <w:rPr>
          <w:rStyle w:val="Appelnotedebasdep"/>
          <w:lang w:val="en-CA"/>
        </w:rPr>
        <w:footnoteReference w:id="23"/>
      </w:r>
    </w:p>
    <w:p w14:paraId="048206AE" w14:textId="104AF709" w:rsidR="00640E7F" w:rsidRPr="00E20A08" w:rsidRDefault="00A75045" w:rsidP="00640E7F">
      <w:pPr>
        <w:pStyle w:val="Paragraphe"/>
        <w:numPr>
          <w:ilvl w:val="0"/>
          <w:numId w:val="0"/>
        </w:numPr>
        <w:spacing w:before="240" w:after="240"/>
        <w:rPr>
          <w:b/>
          <w:lang w:val="en-CA"/>
        </w:rPr>
      </w:pPr>
      <w:r w:rsidRPr="00E20A08">
        <w:rPr>
          <w:b/>
          <w:lang w:val="en-CA"/>
        </w:rPr>
        <w:t>II.</w:t>
      </w:r>
      <w:r w:rsidR="006979E7" w:rsidRPr="00E20A08">
        <w:rPr>
          <w:b/>
          <w:lang w:val="en-CA"/>
        </w:rPr>
        <w:tab/>
      </w:r>
      <w:r w:rsidRPr="00E20A08">
        <w:rPr>
          <w:b/>
          <w:smallCaps/>
          <w:u w:val="single"/>
          <w:lang w:val="en-CA"/>
        </w:rPr>
        <w:t>Analysis</w:t>
      </w:r>
    </w:p>
    <w:p w14:paraId="0B470686" w14:textId="709923B0" w:rsidR="00640E7F" w:rsidRPr="00E20A08" w:rsidRDefault="00A75045" w:rsidP="00640E7F">
      <w:pPr>
        <w:pStyle w:val="Paragraphe"/>
        <w:rPr>
          <w:lang w:val="en-CA"/>
        </w:rPr>
      </w:pPr>
      <w:r w:rsidRPr="00E20A08">
        <w:rPr>
          <w:lang w:val="en-CA"/>
        </w:rPr>
        <w:t>The appeal therefore raises the following questions:</w:t>
      </w:r>
    </w:p>
    <w:p w14:paraId="3ED1F6D5" w14:textId="63898D21" w:rsidR="00640E7F" w:rsidRPr="00E20A08" w:rsidRDefault="00A75045" w:rsidP="00640E7F">
      <w:pPr>
        <w:pStyle w:val="Citationenretrait"/>
        <w:ind w:left="1440" w:hanging="720"/>
        <w:rPr>
          <w:sz w:val="24"/>
          <w:szCs w:val="24"/>
          <w:lang w:val="en-CA"/>
        </w:rPr>
      </w:pPr>
      <w:r w:rsidRPr="00E20A08">
        <w:rPr>
          <w:sz w:val="24"/>
          <w:szCs w:val="24"/>
          <w:lang w:val="en-CA"/>
        </w:rPr>
        <w:t>(1)</w:t>
      </w:r>
      <w:r w:rsidR="006979E7" w:rsidRPr="00E20A08">
        <w:rPr>
          <w:sz w:val="24"/>
          <w:szCs w:val="24"/>
          <w:lang w:val="en-CA"/>
        </w:rPr>
        <w:tab/>
      </w:r>
      <w:r w:rsidRPr="00E20A08">
        <w:rPr>
          <w:sz w:val="24"/>
          <w:szCs w:val="24"/>
          <w:lang w:val="en-CA"/>
        </w:rPr>
        <w:t>Is the appeal as of right or is leave required?</w:t>
      </w:r>
    </w:p>
    <w:p w14:paraId="17F70D0B" w14:textId="0F58ABE9" w:rsidR="00640E7F" w:rsidRPr="00E20A08" w:rsidRDefault="00A75045" w:rsidP="00640E7F">
      <w:pPr>
        <w:pStyle w:val="Citationenretrait"/>
        <w:ind w:left="1440" w:hanging="720"/>
        <w:rPr>
          <w:sz w:val="24"/>
          <w:szCs w:val="24"/>
          <w:lang w:val="en-CA"/>
        </w:rPr>
      </w:pPr>
      <w:r w:rsidRPr="00E20A08">
        <w:rPr>
          <w:sz w:val="24"/>
          <w:szCs w:val="24"/>
          <w:lang w:val="en-CA"/>
        </w:rPr>
        <w:t xml:space="preserve">(2) </w:t>
      </w:r>
      <w:r w:rsidR="006979E7" w:rsidRPr="00E20A08">
        <w:rPr>
          <w:sz w:val="24"/>
          <w:szCs w:val="24"/>
          <w:lang w:val="en-CA"/>
        </w:rPr>
        <w:tab/>
      </w:r>
      <w:r w:rsidRPr="00E20A08">
        <w:rPr>
          <w:sz w:val="24"/>
          <w:szCs w:val="24"/>
          <w:lang w:val="en-CA"/>
        </w:rPr>
        <w:t xml:space="preserve">Do </w:t>
      </w:r>
      <w:r w:rsidR="001F1E84">
        <w:rPr>
          <w:sz w:val="24"/>
          <w:szCs w:val="24"/>
          <w:lang w:val="en-CA"/>
        </w:rPr>
        <w:t>ss.</w:t>
      </w:r>
      <w:r w:rsidRPr="00E20A08">
        <w:rPr>
          <w:sz w:val="24"/>
          <w:szCs w:val="24"/>
          <w:lang w:val="en-CA"/>
        </w:rPr>
        <w:t xml:space="preserve"> 63 and 66 </w:t>
      </w:r>
      <w:r w:rsidR="009A18C0">
        <w:rPr>
          <w:i/>
          <w:iCs/>
          <w:sz w:val="24"/>
          <w:szCs w:val="24"/>
          <w:lang w:val="en-CA"/>
        </w:rPr>
        <w:t xml:space="preserve">I.F.A.A. </w:t>
      </w:r>
      <w:r w:rsidRPr="00E20A08">
        <w:rPr>
          <w:sz w:val="24"/>
          <w:szCs w:val="24"/>
          <w:lang w:val="en-CA"/>
        </w:rPr>
        <w:t xml:space="preserve">infringe </w:t>
      </w:r>
      <w:r w:rsidR="006C5BE4">
        <w:rPr>
          <w:sz w:val="24"/>
          <w:szCs w:val="24"/>
          <w:lang w:val="en-CA"/>
        </w:rPr>
        <w:t>s.</w:t>
      </w:r>
      <w:r w:rsidR="006979E7" w:rsidRPr="00E20A08">
        <w:rPr>
          <w:sz w:val="24"/>
          <w:szCs w:val="24"/>
          <w:lang w:val="en-CA"/>
        </w:rPr>
        <w:t xml:space="preserve"> </w:t>
      </w:r>
      <w:r w:rsidRPr="00E20A08">
        <w:rPr>
          <w:sz w:val="24"/>
          <w:szCs w:val="24"/>
          <w:lang w:val="en-CA"/>
        </w:rPr>
        <w:t>15(1</w:t>
      </w:r>
      <w:r w:rsidR="000B2C44" w:rsidRPr="00E20A08">
        <w:rPr>
          <w:sz w:val="24"/>
          <w:szCs w:val="24"/>
          <w:lang w:val="en-CA"/>
        </w:rPr>
        <w:t>) of</w:t>
      </w:r>
      <w:r w:rsidRPr="00E20A08">
        <w:rPr>
          <w:sz w:val="24"/>
          <w:szCs w:val="24"/>
          <w:lang w:val="en-CA"/>
        </w:rPr>
        <w:t xml:space="preserve"> the </w:t>
      </w:r>
      <w:r w:rsidRPr="00C069AC">
        <w:rPr>
          <w:i/>
          <w:iCs/>
          <w:sz w:val="24"/>
          <w:szCs w:val="24"/>
          <w:lang w:val="en-CA"/>
        </w:rPr>
        <w:t>Canadian Charter</w:t>
      </w:r>
      <w:r w:rsidRPr="00E20A08">
        <w:rPr>
          <w:sz w:val="24"/>
          <w:szCs w:val="24"/>
          <w:lang w:val="en-CA"/>
        </w:rPr>
        <w:t xml:space="preserve"> and </w:t>
      </w:r>
      <w:r w:rsidR="006C5BE4">
        <w:rPr>
          <w:sz w:val="24"/>
          <w:szCs w:val="24"/>
          <w:lang w:val="en-CA"/>
        </w:rPr>
        <w:t>s.</w:t>
      </w:r>
      <w:r w:rsidRPr="00E20A08">
        <w:rPr>
          <w:sz w:val="24"/>
          <w:szCs w:val="24"/>
          <w:lang w:val="en-CA"/>
        </w:rPr>
        <w:t xml:space="preserve"> 10 of the Quebec </w:t>
      </w:r>
      <w:r w:rsidRPr="00C069AC">
        <w:rPr>
          <w:i/>
          <w:iCs/>
          <w:sz w:val="24"/>
          <w:szCs w:val="24"/>
          <w:lang w:val="en-CA"/>
        </w:rPr>
        <w:t>Charter</w:t>
      </w:r>
      <w:r w:rsidRPr="00E20A08">
        <w:rPr>
          <w:sz w:val="24"/>
          <w:szCs w:val="24"/>
          <w:lang w:val="en-CA"/>
        </w:rPr>
        <w:t>?</w:t>
      </w:r>
    </w:p>
    <w:p w14:paraId="7BBC134B" w14:textId="51BE8A92" w:rsidR="00640E7F" w:rsidRPr="00E20A08" w:rsidRDefault="00A75045" w:rsidP="00640E7F">
      <w:pPr>
        <w:pStyle w:val="Paragraphe"/>
        <w:numPr>
          <w:ilvl w:val="0"/>
          <w:numId w:val="0"/>
        </w:numPr>
        <w:rPr>
          <w:b/>
          <w:u w:val="single"/>
          <w:lang w:val="en-CA"/>
        </w:rPr>
      </w:pPr>
      <w:r w:rsidRPr="00E20A08">
        <w:rPr>
          <w:b/>
          <w:lang w:val="en-CA"/>
        </w:rPr>
        <w:t>A.</w:t>
      </w:r>
      <w:r w:rsidR="006979E7" w:rsidRPr="00E20A08">
        <w:rPr>
          <w:b/>
          <w:lang w:val="en-CA"/>
        </w:rPr>
        <w:tab/>
      </w:r>
      <w:r w:rsidRPr="00E20A08">
        <w:rPr>
          <w:b/>
          <w:lang w:val="en-CA"/>
        </w:rPr>
        <w:t xml:space="preserve">Appeal as of right or </w:t>
      </w:r>
      <w:r w:rsidR="003F61BE">
        <w:rPr>
          <w:b/>
          <w:lang w:val="en-CA"/>
        </w:rPr>
        <w:t>with</w:t>
      </w:r>
      <w:r w:rsidRPr="00E20A08">
        <w:rPr>
          <w:b/>
          <w:lang w:val="en-CA"/>
        </w:rPr>
        <w:t xml:space="preserve"> leave</w:t>
      </w:r>
    </w:p>
    <w:p w14:paraId="793D1C34" w14:textId="710BA5DE" w:rsidR="00640E7F" w:rsidRPr="00E20A08" w:rsidRDefault="00A75045" w:rsidP="00640E7F">
      <w:pPr>
        <w:pStyle w:val="Paragraphe"/>
        <w:rPr>
          <w:lang w:val="en-CA"/>
        </w:rPr>
      </w:pPr>
      <w:r w:rsidRPr="00E20A08">
        <w:rPr>
          <w:lang w:val="en-CA"/>
        </w:rPr>
        <w:t>Th</w:t>
      </w:r>
      <w:r w:rsidR="003F61BE">
        <w:rPr>
          <w:lang w:val="en-CA"/>
        </w:rPr>
        <w:t>is</w:t>
      </w:r>
      <w:r w:rsidRPr="00E20A08">
        <w:rPr>
          <w:lang w:val="en-CA"/>
        </w:rPr>
        <w:t xml:space="preserve"> question is </w:t>
      </w:r>
      <w:r w:rsidR="003F61BE">
        <w:rPr>
          <w:lang w:val="en-CA"/>
        </w:rPr>
        <w:t>rooted in</w:t>
      </w:r>
      <w:r w:rsidRPr="00E20A08">
        <w:rPr>
          <w:lang w:val="en-CA"/>
        </w:rPr>
        <w:t xml:space="preserve"> </w:t>
      </w:r>
      <w:r w:rsidR="00F7659E">
        <w:rPr>
          <w:lang w:val="en-CA"/>
        </w:rPr>
        <w:t xml:space="preserve">art. </w:t>
      </w:r>
      <w:r w:rsidRPr="00E20A08">
        <w:rPr>
          <w:lang w:val="en-CA"/>
        </w:rPr>
        <w:t xml:space="preserve">30 </w:t>
      </w:r>
      <w:r w:rsidR="000B2C44">
        <w:rPr>
          <w:lang w:val="en-CA"/>
        </w:rPr>
        <w:t>C.C.P.</w:t>
      </w:r>
      <w:r w:rsidRPr="00E20A08">
        <w:rPr>
          <w:lang w:val="en-CA"/>
        </w:rPr>
        <w:t xml:space="preserve"> The first paragraph of </w:t>
      </w:r>
      <w:r w:rsidR="003F61BE">
        <w:rPr>
          <w:lang w:val="en-CA"/>
        </w:rPr>
        <w:t>this</w:t>
      </w:r>
      <w:r w:rsidRPr="00E20A08">
        <w:rPr>
          <w:lang w:val="en-CA"/>
        </w:rPr>
        <w:t xml:space="preserve"> provision states that </w:t>
      </w:r>
      <w:r w:rsidR="000B2C44">
        <w:rPr>
          <w:lang w:val="en-CA"/>
        </w:rPr>
        <w:t>an</w:t>
      </w:r>
      <w:r w:rsidR="000B2C44" w:rsidRPr="00E20A08">
        <w:rPr>
          <w:lang w:val="en-CA"/>
        </w:rPr>
        <w:t xml:space="preserve"> </w:t>
      </w:r>
      <w:r w:rsidRPr="00E20A08">
        <w:rPr>
          <w:lang w:val="en-CA"/>
        </w:rPr>
        <w:t xml:space="preserve">appeal is as of right when it concerns the “special rights of the State”, which is defined very broadly in </w:t>
      </w:r>
      <w:r w:rsidR="00F7659E">
        <w:rPr>
          <w:lang w:val="en-CA"/>
        </w:rPr>
        <w:t>arts.</w:t>
      </w:r>
      <w:r w:rsidR="006979E7" w:rsidRPr="00E20A08">
        <w:rPr>
          <w:lang w:val="en-CA"/>
        </w:rPr>
        <w:t xml:space="preserve"> </w:t>
      </w:r>
      <w:r w:rsidRPr="00E20A08">
        <w:rPr>
          <w:lang w:val="en-CA"/>
        </w:rPr>
        <w:t xml:space="preserve">75 to 81 </w:t>
      </w:r>
      <w:r w:rsidR="00040F5E">
        <w:rPr>
          <w:lang w:val="en-CA"/>
        </w:rPr>
        <w:t>C.C.P.</w:t>
      </w:r>
      <w:r w:rsidRPr="00E20A08">
        <w:rPr>
          <w:lang w:val="en-CA"/>
        </w:rPr>
        <w:t xml:space="preserve"> and </w:t>
      </w:r>
      <w:r w:rsidR="003F61BE">
        <w:rPr>
          <w:lang w:val="en-CA"/>
        </w:rPr>
        <w:t xml:space="preserve">in </w:t>
      </w:r>
      <w:r w:rsidR="00F7659E">
        <w:rPr>
          <w:lang w:val="en-CA"/>
        </w:rPr>
        <w:t>art.</w:t>
      </w:r>
      <w:r w:rsidR="00967C97" w:rsidRPr="00E20A08">
        <w:rPr>
          <w:lang w:val="en-CA"/>
        </w:rPr>
        <w:t> </w:t>
      </w:r>
      <w:proofErr w:type="gramStart"/>
      <w:r w:rsidRPr="00E20A08">
        <w:rPr>
          <w:lang w:val="en-CA"/>
        </w:rPr>
        <w:t>76 in particular, which</w:t>
      </w:r>
      <w:proofErr w:type="gramEnd"/>
      <w:r w:rsidRPr="00E20A08">
        <w:rPr>
          <w:lang w:val="en-CA"/>
        </w:rPr>
        <w:t xml:space="preserve"> is echoed in </w:t>
      </w:r>
      <w:r w:rsidR="00F7659E">
        <w:rPr>
          <w:lang w:val="en-CA"/>
        </w:rPr>
        <w:t>art.</w:t>
      </w:r>
      <w:r w:rsidRPr="00E20A08">
        <w:rPr>
          <w:lang w:val="en-CA"/>
        </w:rPr>
        <w:t xml:space="preserve"> </w:t>
      </w:r>
      <w:r w:rsidR="00967C97" w:rsidRPr="00E20A08">
        <w:rPr>
          <w:lang w:val="en-CA"/>
        </w:rPr>
        <w:t xml:space="preserve"> </w:t>
      </w:r>
      <w:r w:rsidRPr="00E20A08">
        <w:rPr>
          <w:lang w:val="en-CA"/>
        </w:rPr>
        <w:t xml:space="preserve">529 </w:t>
      </w:r>
      <w:r w:rsidR="00DE6CEC">
        <w:rPr>
          <w:lang w:val="en-CA"/>
        </w:rPr>
        <w:t>para.</w:t>
      </w:r>
      <w:r w:rsidR="003F61BE">
        <w:rPr>
          <w:lang w:val="en-CA"/>
        </w:rPr>
        <w:t xml:space="preserve"> </w:t>
      </w:r>
      <w:r w:rsidRPr="00E20A08">
        <w:rPr>
          <w:lang w:val="en-CA"/>
        </w:rPr>
        <w:t>2(1)</w:t>
      </w:r>
      <w:r w:rsidR="003F61BE">
        <w:rPr>
          <w:lang w:val="en-CA"/>
        </w:rPr>
        <w:t>.</w:t>
      </w:r>
      <w:r w:rsidRPr="00E20A08">
        <w:rPr>
          <w:rStyle w:val="Appelnotedebasdep"/>
          <w:lang w:val="en-CA"/>
        </w:rPr>
        <w:t xml:space="preserve"> </w:t>
      </w:r>
      <w:r w:rsidRPr="00E20A08">
        <w:rPr>
          <w:rStyle w:val="Appelnotedebasdep"/>
          <w:lang w:val="en-CA"/>
        </w:rPr>
        <w:footnoteReference w:id="24"/>
      </w:r>
      <w:r w:rsidR="006979E7" w:rsidRPr="00E20A08">
        <w:rPr>
          <w:lang w:val="en-CA"/>
        </w:rPr>
        <w:t xml:space="preserve"> </w:t>
      </w:r>
      <w:r w:rsidRPr="00E20A08">
        <w:rPr>
          <w:lang w:val="en-CA"/>
        </w:rPr>
        <w:t xml:space="preserve">In contrast, subparagraph 5 of the second paragraph of </w:t>
      </w:r>
      <w:r w:rsidR="008872C8">
        <w:rPr>
          <w:lang w:val="en-CA"/>
        </w:rPr>
        <w:t>art.</w:t>
      </w:r>
      <w:r w:rsidR="006979E7" w:rsidRPr="00E20A08">
        <w:rPr>
          <w:lang w:val="en-CA"/>
        </w:rPr>
        <w:t xml:space="preserve"> </w:t>
      </w:r>
      <w:r w:rsidRPr="00E20A08">
        <w:rPr>
          <w:lang w:val="en-CA"/>
        </w:rPr>
        <w:t xml:space="preserve">30 requires prior leave for an appeal from “judicial review judgments of the Superior Court relating to ... a decision made by a person or body or a judgment rendered by a court that is subject to judicial review by the Superior Court”, or in other words, a power governed in principle by </w:t>
      </w:r>
      <w:r w:rsidR="00F7659E">
        <w:rPr>
          <w:lang w:val="en-CA"/>
        </w:rPr>
        <w:t>art.</w:t>
      </w:r>
      <w:r w:rsidR="006979E7" w:rsidRPr="00E20A08">
        <w:rPr>
          <w:lang w:val="en-CA"/>
        </w:rPr>
        <w:t xml:space="preserve"> </w:t>
      </w:r>
      <w:r w:rsidR="00DB53B7" w:rsidRPr="00E20A08">
        <w:rPr>
          <w:lang w:val="en-CA"/>
        </w:rPr>
        <w:t xml:space="preserve">529 </w:t>
      </w:r>
      <w:r w:rsidR="00DE6CEC">
        <w:rPr>
          <w:lang w:val="en-CA"/>
        </w:rPr>
        <w:t>para.</w:t>
      </w:r>
      <w:r w:rsidR="00DB53B7" w:rsidRPr="00E20A08">
        <w:rPr>
          <w:lang w:val="en-CA"/>
        </w:rPr>
        <w:t xml:space="preserve">1(2) </w:t>
      </w:r>
      <w:proofErr w:type="gramStart"/>
      <w:r w:rsidR="00040F5E">
        <w:rPr>
          <w:lang w:val="en-CA"/>
        </w:rPr>
        <w:t>C.C.P.</w:t>
      </w:r>
      <w:r w:rsidR="00E3757F">
        <w:rPr>
          <w:lang w:val="en-CA"/>
        </w:rPr>
        <w:t>.</w:t>
      </w:r>
      <w:proofErr w:type="gramEnd"/>
      <w:r w:rsidR="00DB53B7" w:rsidRPr="00E20A08">
        <w:rPr>
          <w:lang w:val="en-CA"/>
        </w:rPr>
        <w:t xml:space="preserve"> But what is required when an appeal targets the decision of an entity subject to </w:t>
      </w:r>
      <w:r w:rsidR="00176ED9">
        <w:rPr>
          <w:lang w:val="en-CA"/>
        </w:rPr>
        <w:t>judicial review</w:t>
      </w:r>
      <w:r w:rsidR="00DB53B7" w:rsidRPr="00E20A08">
        <w:rPr>
          <w:lang w:val="en-CA"/>
        </w:rPr>
        <w:t xml:space="preserve"> </w:t>
      </w:r>
      <w:r w:rsidR="00176ED9">
        <w:rPr>
          <w:lang w:val="en-CA"/>
        </w:rPr>
        <w:t>by</w:t>
      </w:r>
      <w:r w:rsidR="00DB53B7" w:rsidRPr="00E20A08">
        <w:rPr>
          <w:lang w:val="en-CA"/>
        </w:rPr>
        <w:t xml:space="preserve"> the Superior Court on </w:t>
      </w:r>
      <w:r w:rsidR="00BA74E1">
        <w:rPr>
          <w:lang w:val="en-CA"/>
        </w:rPr>
        <w:t xml:space="preserve">the </w:t>
      </w:r>
      <w:r w:rsidR="00DB53B7" w:rsidRPr="00E20A08">
        <w:rPr>
          <w:lang w:val="en-CA"/>
        </w:rPr>
        <w:t>grounds</w:t>
      </w:r>
      <w:r w:rsidR="00BA74E1">
        <w:rPr>
          <w:lang w:val="en-CA"/>
        </w:rPr>
        <w:t xml:space="preserve"> of the </w:t>
      </w:r>
      <w:r w:rsidR="00DB53B7" w:rsidRPr="00E20A08">
        <w:rPr>
          <w:lang w:val="en-CA"/>
        </w:rPr>
        <w:t xml:space="preserve">invalidity or inapplicability of one of the normative instruments listed in </w:t>
      </w:r>
      <w:r w:rsidR="00F7659E">
        <w:rPr>
          <w:lang w:val="en-CA"/>
        </w:rPr>
        <w:t>art</w:t>
      </w:r>
      <w:r w:rsidR="00E3757F">
        <w:rPr>
          <w:lang w:val="en-CA"/>
        </w:rPr>
        <w:t>.</w:t>
      </w:r>
      <w:r w:rsidR="00DB53B7" w:rsidRPr="00E20A08">
        <w:rPr>
          <w:lang w:val="en-CA"/>
        </w:rPr>
        <w:t xml:space="preserve"> 76 </w:t>
      </w:r>
      <w:r w:rsidR="00DE6CEC">
        <w:rPr>
          <w:lang w:val="en-CA"/>
        </w:rPr>
        <w:t>para.</w:t>
      </w:r>
      <w:r w:rsidR="00DB53B7" w:rsidRPr="00E20A08">
        <w:rPr>
          <w:lang w:val="en-CA"/>
        </w:rPr>
        <w:t xml:space="preserve">1 and </w:t>
      </w:r>
      <w:r w:rsidR="00E3757F">
        <w:rPr>
          <w:lang w:val="en-CA"/>
        </w:rPr>
        <w:t xml:space="preserve">art. </w:t>
      </w:r>
      <w:r w:rsidR="00DB53B7" w:rsidRPr="00E20A08">
        <w:rPr>
          <w:lang w:val="en-CA"/>
        </w:rPr>
        <w:t xml:space="preserve">529 </w:t>
      </w:r>
      <w:r w:rsidR="00DE6CEC">
        <w:rPr>
          <w:lang w:val="en-CA"/>
        </w:rPr>
        <w:t>para.</w:t>
      </w:r>
      <w:r w:rsidR="00DB53B7" w:rsidRPr="00E20A08">
        <w:rPr>
          <w:lang w:val="en-CA"/>
        </w:rPr>
        <w:t xml:space="preserve">1(1) </w:t>
      </w:r>
      <w:r w:rsidR="00040F5E">
        <w:rPr>
          <w:lang w:val="en-CA"/>
        </w:rPr>
        <w:t>C.C.P.</w:t>
      </w:r>
      <w:r w:rsidR="00DB53B7" w:rsidRPr="00E20A08">
        <w:rPr>
          <w:lang w:val="en-CA"/>
        </w:rPr>
        <w:t xml:space="preserve"> (law, regulation, government order, etc.), thereby putting in issue the special rights of the State?</w:t>
      </w:r>
    </w:p>
    <w:p w14:paraId="386FEFC0" w14:textId="76969158" w:rsidR="00640E7F" w:rsidRPr="00E20A08" w:rsidRDefault="00DB53B7" w:rsidP="00640E7F">
      <w:pPr>
        <w:pStyle w:val="Paragraphe"/>
        <w:rPr>
          <w:lang w:val="en-CA"/>
        </w:rPr>
      </w:pPr>
      <w:r w:rsidRPr="00E20A08">
        <w:rPr>
          <w:lang w:val="en-CA"/>
        </w:rPr>
        <w:t xml:space="preserve">The Court has already answered this question: </w:t>
      </w:r>
      <w:r w:rsidR="00E3757F">
        <w:rPr>
          <w:lang w:val="en-CA"/>
        </w:rPr>
        <w:t>I</w:t>
      </w:r>
      <w:r w:rsidRPr="00E20A08">
        <w:rPr>
          <w:lang w:val="en-CA"/>
        </w:rPr>
        <w:t xml:space="preserve">n such circumstances, the appeal is </w:t>
      </w:r>
      <w:r w:rsidR="00E3757F">
        <w:rPr>
          <w:lang w:val="en-CA"/>
        </w:rPr>
        <w:t>subjected</w:t>
      </w:r>
      <w:r w:rsidRPr="00E20A08">
        <w:rPr>
          <w:lang w:val="en-CA"/>
        </w:rPr>
        <w:t xml:space="preserve"> to the </w:t>
      </w:r>
      <w:r w:rsidR="00F7659E" w:rsidRPr="00E20A08">
        <w:rPr>
          <w:lang w:val="en-CA"/>
        </w:rPr>
        <w:t>regime</w:t>
      </w:r>
      <w:r w:rsidRPr="00E20A08">
        <w:rPr>
          <w:lang w:val="en-CA"/>
        </w:rPr>
        <w:t xml:space="preserve"> </w:t>
      </w:r>
      <w:r w:rsidR="009F134C">
        <w:rPr>
          <w:lang w:val="en-CA"/>
        </w:rPr>
        <w:t>created by</w:t>
      </w:r>
      <w:r w:rsidR="009F134C" w:rsidRPr="00E20A08">
        <w:rPr>
          <w:lang w:val="en-CA"/>
        </w:rPr>
        <w:t xml:space="preserve"> </w:t>
      </w:r>
      <w:r w:rsidRPr="00E20A08">
        <w:rPr>
          <w:lang w:val="en-CA"/>
        </w:rPr>
        <w:t>a</w:t>
      </w:r>
      <w:r w:rsidR="008872C8">
        <w:rPr>
          <w:lang w:val="en-CA"/>
        </w:rPr>
        <w:t>rt.</w:t>
      </w:r>
      <w:r w:rsidR="006979E7" w:rsidRPr="00E20A08">
        <w:rPr>
          <w:lang w:val="en-CA"/>
        </w:rPr>
        <w:t xml:space="preserve"> </w:t>
      </w:r>
      <w:r w:rsidRPr="00E20A08">
        <w:rPr>
          <w:lang w:val="en-CA"/>
        </w:rPr>
        <w:t xml:space="preserve">30 </w:t>
      </w:r>
      <w:r w:rsidR="00DE6CEC">
        <w:rPr>
          <w:lang w:val="en-CA"/>
        </w:rPr>
        <w:t>para.</w:t>
      </w:r>
      <w:r w:rsidR="00E3757F">
        <w:rPr>
          <w:lang w:val="en-CA"/>
        </w:rPr>
        <w:t xml:space="preserve"> </w:t>
      </w:r>
      <w:r w:rsidRPr="00E20A08">
        <w:rPr>
          <w:lang w:val="en-CA"/>
        </w:rPr>
        <w:t xml:space="preserve">2(5) </w:t>
      </w:r>
      <w:r w:rsidR="00040F5E">
        <w:rPr>
          <w:lang w:val="en-CA"/>
        </w:rPr>
        <w:t>C.C.P.</w:t>
      </w:r>
      <w:r w:rsidRPr="00E20A08">
        <w:rPr>
          <w:lang w:val="en-CA"/>
        </w:rPr>
        <w:t xml:space="preserve"> and </w:t>
      </w:r>
      <w:r w:rsidR="00F7659E" w:rsidRPr="00E20A08">
        <w:rPr>
          <w:lang w:val="en-CA"/>
        </w:rPr>
        <w:t>requires</w:t>
      </w:r>
      <w:r w:rsidRPr="00E20A08">
        <w:rPr>
          <w:lang w:val="en-CA"/>
        </w:rPr>
        <w:t xml:space="preserve"> prior leave.</w:t>
      </w:r>
      <w:r w:rsidR="006979E7" w:rsidRPr="00E20A08">
        <w:rPr>
          <w:lang w:val="en-CA"/>
        </w:rPr>
        <w:t xml:space="preserve"> </w:t>
      </w:r>
      <w:r w:rsidRPr="00E20A08">
        <w:rPr>
          <w:lang w:val="en-CA"/>
        </w:rPr>
        <w:t>Thus, in</w:t>
      </w:r>
      <w:r w:rsidR="00F7659E">
        <w:rPr>
          <w:lang w:val="en-CA"/>
        </w:rPr>
        <w:t xml:space="preserve"> </w:t>
      </w:r>
      <w:r w:rsidRPr="00E20A08">
        <w:rPr>
          <w:i/>
          <w:lang w:val="en-CA"/>
        </w:rPr>
        <w:t>Road to Home Rescue Support c. Ville de Montréal</w:t>
      </w:r>
      <w:r w:rsidRPr="00E20A08">
        <w:rPr>
          <w:lang w:val="en-CA"/>
        </w:rPr>
        <w:t>,</w:t>
      </w:r>
      <w:r w:rsidRPr="00E20A08">
        <w:rPr>
          <w:rStyle w:val="Appelnotedebasdep"/>
          <w:lang w:val="en-CA"/>
        </w:rPr>
        <w:footnoteReference w:id="25"/>
      </w:r>
      <w:r w:rsidRPr="00E20A08">
        <w:rPr>
          <w:lang w:val="en-CA"/>
        </w:rPr>
        <w:t xml:space="preserve"> which itself is grounded </w:t>
      </w:r>
      <w:r w:rsidRPr="00E20A08">
        <w:rPr>
          <w:lang w:val="en-CA"/>
        </w:rPr>
        <w:lastRenderedPageBreak/>
        <w:t xml:space="preserve">on </w:t>
      </w:r>
      <w:proofErr w:type="spellStart"/>
      <w:r w:rsidRPr="00E20A08">
        <w:rPr>
          <w:i/>
          <w:lang w:val="en-CA"/>
        </w:rPr>
        <w:t>Municipalité</w:t>
      </w:r>
      <w:proofErr w:type="spellEnd"/>
      <w:r w:rsidRPr="00E20A08">
        <w:rPr>
          <w:i/>
          <w:lang w:val="en-CA"/>
        </w:rPr>
        <w:t xml:space="preserve"> de Saint-</w:t>
      </w:r>
      <w:proofErr w:type="spellStart"/>
      <w:r w:rsidRPr="00E20A08">
        <w:rPr>
          <w:i/>
          <w:lang w:val="en-CA"/>
        </w:rPr>
        <w:t>Colomban</w:t>
      </w:r>
      <w:proofErr w:type="spellEnd"/>
      <w:r w:rsidRPr="00E20A08">
        <w:rPr>
          <w:i/>
          <w:lang w:val="en-CA"/>
        </w:rPr>
        <w:t xml:space="preserve"> c. Boutique de golf Gilles </w:t>
      </w:r>
      <w:proofErr w:type="spellStart"/>
      <w:r w:rsidRPr="00E20A08">
        <w:rPr>
          <w:i/>
          <w:lang w:val="en-CA"/>
        </w:rPr>
        <w:t>Gareau</w:t>
      </w:r>
      <w:proofErr w:type="spellEnd"/>
      <w:r w:rsidRPr="00E20A08">
        <w:rPr>
          <w:i/>
          <w:lang w:val="en-CA"/>
        </w:rPr>
        <w:t xml:space="preserve"> inc.</w:t>
      </w:r>
      <w:r w:rsidRPr="00E20A08">
        <w:rPr>
          <w:lang w:val="en-CA"/>
        </w:rPr>
        <w:t>,</w:t>
      </w:r>
      <w:r w:rsidRPr="00E20A08">
        <w:rPr>
          <w:rStyle w:val="Appelnotedebasdep"/>
          <w:lang w:val="en-CA"/>
        </w:rPr>
        <w:t xml:space="preserve"> </w:t>
      </w:r>
      <w:r w:rsidRPr="00E20A08">
        <w:rPr>
          <w:rStyle w:val="Appelnotedebasdep"/>
          <w:lang w:val="en-CA"/>
        </w:rPr>
        <w:footnoteReference w:id="26"/>
      </w:r>
      <w:r w:rsidR="00E3757F">
        <w:rPr>
          <w:lang w:val="en-CA"/>
        </w:rPr>
        <w:t xml:space="preserve"> among other things,</w:t>
      </w:r>
      <w:r w:rsidRPr="00E20A08">
        <w:rPr>
          <w:lang w:val="en-CA"/>
        </w:rPr>
        <w:t xml:space="preserve"> the Court wrote:</w:t>
      </w:r>
    </w:p>
    <w:p w14:paraId="481DB3AE" w14:textId="77777777" w:rsidR="00E3757F" w:rsidRDefault="00DB53B7" w:rsidP="00640E7F">
      <w:pPr>
        <w:pStyle w:val="Citationenretrait"/>
        <w:rPr>
          <w:lang w:val="en-CA"/>
        </w:rPr>
      </w:pPr>
      <w:r w:rsidRPr="00E20A08">
        <w:rPr>
          <w:lang w:val="en-CA"/>
        </w:rPr>
        <w:t>[</w:t>
      </w:r>
      <w:r w:rsidRPr="00E20A08">
        <w:rPr>
          <w:smallCaps/>
          <w:lang w:val="en-CA"/>
        </w:rPr>
        <w:t>translation</w:t>
      </w:r>
      <w:r w:rsidRPr="00E20A08">
        <w:rPr>
          <w:lang w:val="en-CA"/>
        </w:rPr>
        <w:t xml:space="preserve">] </w:t>
      </w:r>
    </w:p>
    <w:p w14:paraId="394D7224" w14:textId="2235E8CA" w:rsidR="00640E7F" w:rsidRPr="00E20A08" w:rsidRDefault="00DB53B7" w:rsidP="00640E7F">
      <w:pPr>
        <w:pStyle w:val="Citationenretrait"/>
        <w:rPr>
          <w:lang w:val="en-CA"/>
        </w:rPr>
      </w:pPr>
      <w:r w:rsidRPr="00E20A08">
        <w:rPr>
          <w:lang w:val="en-CA"/>
        </w:rPr>
        <w:t>[13]</w:t>
      </w:r>
      <w:r w:rsidR="006979E7" w:rsidRPr="00E20A08">
        <w:rPr>
          <w:lang w:val="en-CA"/>
        </w:rPr>
        <w:tab/>
      </w:r>
      <w:r w:rsidR="00B96F19">
        <w:rPr>
          <w:lang w:val="en-CA"/>
        </w:rPr>
        <w:t>Put another way</w:t>
      </w:r>
      <w:r w:rsidRPr="00E20A08">
        <w:rPr>
          <w:lang w:val="en-CA"/>
        </w:rPr>
        <w:t xml:space="preserve">, in an application for judicial review of a (jurisdictional or administrative) decision concerning an individual, </w:t>
      </w:r>
      <w:r w:rsidR="00B96F19">
        <w:rPr>
          <w:lang w:val="en-CA"/>
        </w:rPr>
        <w:t>when</w:t>
      </w:r>
      <w:r w:rsidRPr="00E20A08">
        <w:rPr>
          <w:lang w:val="en-CA"/>
        </w:rPr>
        <w:t xml:space="preserve"> the Superior Court considers the validity of a normative instrument, it nevertheless finds itself </w:t>
      </w:r>
      <w:r w:rsidR="00B96F19">
        <w:rPr>
          <w:lang w:val="en-CA"/>
        </w:rPr>
        <w:t xml:space="preserve">having to rule </w:t>
      </w:r>
      <w:r w:rsidRPr="00E20A08">
        <w:rPr>
          <w:lang w:val="en-CA"/>
        </w:rPr>
        <w:t xml:space="preserve">on </w:t>
      </w:r>
      <w:r w:rsidRPr="00B96F19">
        <w:rPr>
          <w:iCs/>
          <w:lang w:val="en-CA"/>
        </w:rPr>
        <w:t>“</w:t>
      </w:r>
      <w:r w:rsidRPr="00E20A08">
        <w:rPr>
          <w:lang w:val="en-CA"/>
        </w:rPr>
        <w:t>a decision made by a person or body or a judgment rendered by a court that is subject to judicial review by the Superior Court/</w:t>
      </w:r>
      <w:proofErr w:type="spellStart"/>
      <w:r w:rsidRPr="00E20A08">
        <w:rPr>
          <w:i/>
          <w:iCs/>
          <w:lang w:val="en-CA"/>
        </w:rPr>
        <w:t>une</w:t>
      </w:r>
      <w:proofErr w:type="spellEnd"/>
      <w:r w:rsidRPr="00E20A08">
        <w:rPr>
          <w:i/>
          <w:iCs/>
          <w:lang w:val="en-CA"/>
        </w:rPr>
        <w:t xml:space="preserve"> </w:t>
      </w:r>
      <w:proofErr w:type="spellStart"/>
      <w:r w:rsidRPr="00E20A08">
        <w:rPr>
          <w:i/>
          <w:iCs/>
          <w:lang w:val="en-CA"/>
        </w:rPr>
        <w:t>décision</w:t>
      </w:r>
      <w:proofErr w:type="spellEnd"/>
      <w:r w:rsidRPr="00E20A08">
        <w:rPr>
          <w:i/>
          <w:iCs/>
          <w:lang w:val="en-CA"/>
        </w:rPr>
        <w:t xml:space="preserve"> prise par </w:t>
      </w:r>
      <w:proofErr w:type="spellStart"/>
      <w:r w:rsidRPr="00E20A08">
        <w:rPr>
          <w:i/>
          <w:iCs/>
          <w:lang w:val="en-CA"/>
        </w:rPr>
        <w:t>une</w:t>
      </w:r>
      <w:proofErr w:type="spellEnd"/>
      <w:r w:rsidRPr="00E20A08">
        <w:rPr>
          <w:i/>
          <w:iCs/>
          <w:lang w:val="en-CA"/>
        </w:rPr>
        <w:t xml:space="preserve"> </w:t>
      </w:r>
      <w:proofErr w:type="spellStart"/>
      <w:r w:rsidRPr="00E20A08">
        <w:rPr>
          <w:i/>
          <w:iCs/>
          <w:lang w:val="en-CA"/>
        </w:rPr>
        <w:t>personne</w:t>
      </w:r>
      <w:proofErr w:type="spellEnd"/>
      <w:r w:rsidRPr="00E20A08">
        <w:rPr>
          <w:i/>
          <w:iCs/>
          <w:lang w:val="en-CA"/>
        </w:rPr>
        <w:t xml:space="preserve"> </w:t>
      </w:r>
      <w:proofErr w:type="spellStart"/>
      <w:r w:rsidRPr="00E20A08">
        <w:rPr>
          <w:i/>
          <w:iCs/>
          <w:lang w:val="en-CA"/>
        </w:rPr>
        <w:t>ou</w:t>
      </w:r>
      <w:proofErr w:type="spellEnd"/>
      <w:r w:rsidRPr="00E20A08">
        <w:rPr>
          <w:i/>
          <w:iCs/>
          <w:lang w:val="en-CA"/>
        </w:rPr>
        <w:t xml:space="preserve"> un </w:t>
      </w:r>
      <w:proofErr w:type="spellStart"/>
      <w:r w:rsidRPr="00E20A08">
        <w:rPr>
          <w:i/>
          <w:iCs/>
          <w:lang w:val="en-CA"/>
        </w:rPr>
        <w:t>organisme</w:t>
      </w:r>
      <w:proofErr w:type="spellEnd"/>
      <w:r w:rsidRPr="00E20A08">
        <w:rPr>
          <w:i/>
          <w:iCs/>
          <w:lang w:val="en-CA"/>
        </w:rPr>
        <w:t xml:space="preserve"> </w:t>
      </w:r>
      <w:proofErr w:type="spellStart"/>
      <w:r w:rsidRPr="00E20A08">
        <w:rPr>
          <w:i/>
          <w:iCs/>
          <w:lang w:val="en-CA"/>
        </w:rPr>
        <w:t>ou</w:t>
      </w:r>
      <w:proofErr w:type="spellEnd"/>
      <w:r w:rsidRPr="00E20A08">
        <w:rPr>
          <w:i/>
          <w:iCs/>
          <w:lang w:val="en-CA"/>
        </w:rPr>
        <w:t xml:space="preserve"> [u]n </w:t>
      </w:r>
      <w:proofErr w:type="spellStart"/>
      <w:r w:rsidRPr="00E20A08">
        <w:rPr>
          <w:i/>
          <w:iCs/>
          <w:lang w:val="en-CA"/>
        </w:rPr>
        <w:t>jugement</w:t>
      </w:r>
      <w:proofErr w:type="spellEnd"/>
      <w:r w:rsidRPr="00E20A08">
        <w:rPr>
          <w:i/>
          <w:iCs/>
          <w:lang w:val="en-CA"/>
        </w:rPr>
        <w:t xml:space="preserve"> </w:t>
      </w:r>
      <w:proofErr w:type="spellStart"/>
      <w:r w:rsidRPr="00E20A08">
        <w:rPr>
          <w:i/>
          <w:iCs/>
          <w:lang w:val="en-CA"/>
        </w:rPr>
        <w:t>rendu</w:t>
      </w:r>
      <w:proofErr w:type="spellEnd"/>
      <w:r w:rsidRPr="00E20A08">
        <w:rPr>
          <w:i/>
          <w:iCs/>
          <w:lang w:val="en-CA"/>
        </w:rPr>
        <w:t xml:space="preserve"> par </w:t>
      </w:r>
      <w:proofErr w:type="spellStart"/>
      <w:r w:rsidRPr="00E20A08">
        <w:rPr>
          <w:i/>
          <w:iCs/>
          <w:lang w:val="en-CA"/>
        </w:rPr>
        <w:t>une</w:t>
      </w:r>
      <w:proofErr w:type="spellEnd"/>
      <w:r w:rsidRPr="00E20A08">
        <w:rPr>
          <w:i/>
          <w:iCs/>
          <w:lang w:val="en-CA"/>
        </w:rPr>
        <w:t xml:space="preserve"> </w:t>
      </w:r>
      <w:proofErr w:type="spellStart"/>
      <w:r w:rsidRPr="00E20A08">
        <w:rPr>
          <w:i/>
          <w:iCs/>
          <w:lang w:val="en-CA"/>
        </w:rPr>
        <w:t>juridiction</w:t>
      </w:r>
      <w:proofErr w:type="spellEnd"/>
      <w:r w:rsidRPr="00E20A08">
        <w:rPr>
          <w:i/>
          <w:iCs/>
          <w:lang w:val="en-CA"/>
        </w:rPr>
        <w:t xml:space="preserve"> </w:t>
      </w:r>
      <w:proofErr w:type="spellStart"/>
      <w:r w:rsidRPr="00E20A08">
        <w:rPr>
          <w:i/>
          <w:iCs/>
          <w:lang w:val="en-CA"/>
        </w:rPr>
        <w:t>assujetti</w:t>
      </w:r>
      <w:proofErr w:type="spellEnd"/>
      <w:r w:rsidRPr="00E20A08">
        <w:rPr>
          <w:i/>
          <w:iCs/>
          <w:lang w:val="en-CA"/>
        </w:rPr>
        <w:t xml:space="preserve"> à </w:t>
      </w:r>
      <w:proofErr w:type="spellStart"/>
      <w:r w:rsidRPr="00E20A08">
        <w:rPr>
          <w:i/>
          <w:iCs/>
          <w:lang w:val="en-CA"/>
        </w:rPr>
        <w:t>ce</w:t>
      </w:r>
      <w:proofErr w:type="spellEnd"/>
      <w:r w:rsidRPr="00E20A08">
        <w:rPr>
          <w:i/>
          <w:iCs/>
          <w:lang w:val="en-CA"/>
        </w:rPr>
        <w:t xml:space="preserve"> </w:t>
      </w:r>
      <w:proofErr w:type="spellStart"/>
      <w:r w:rsidRPr="00E20A08">
        <w:rPr>
          <w:i/>
          <w:iCs/>
          <w:lang w:val="en-CA"/>
        </w:rPr>
        <w:t>pouvoir</w:t>
      </w:r>
      <w:proofErr w:type="spellEnd"/>
      <w:r w:rsidRPr="00E20A08">
        <w:rPr>
          <w:i/>
          <w:iCs/>
          <w:lang w:val="en-CA"/>
        </w:rPr>
        <w:t xml:space="preserve"> de </w:t>
      </w:r>
      <w:proofErr w:type="spellStart"/>
      <w:r w:rsidRPr="00E20A08">
        <w:rPr>
          <w:i/>
          <w:iCs/>
          <w:lang w:val="en-CA"/>
        </w:rPr>
        <w:t>contrôle</w:t>
      </w:r>
      <w:proofErr w:type="spellEnd"/>
      <w:r w:rsidRPr="00E20A08">
        <w:rPr>
          <w:lang w:val="en-CA"/>
        </w:rPr>
        <w:t>” as set out in art</w:t>
      </w:r>
      <w:r w:rsidR="00B96F19">
        <w:rPr>
          <w:lang w:val="en-CA"/>
        </w:rPr>
        <w:t xml:space="preserve">. </w:t>
      </w:r>
      <w:r w:rsidRPr="00E20A08">
        <w:rPr>
          <w:lang w:val="en-CA"/>
        </w:rPr>
        <w:t>30 para</w:t>
      </w:r>
      <w:r w:rsidR="00B96F19">
        <w:rPr>
          <w:lang w:val="en-CA"/>
        </w:rPr>
        <w:t>.</w:t>
      </w:r>
      <w:r w:rsidRPr="00E20A08">
        <w:rPr>
          <w:lang w:val="en-CA"/>
        </w:rPr>
        <w:t xml:space="preserve"> 2(5) [</w:t>
      </w:r>
      <w:r w:rsidR="00182BB2">
        <w:rPr>
          <w:lang w:val="en-CA"/>
        </w:rPr>
        <w:t>r</w:t>
      </w:r>
      <w:r w:rsidRPr="00E20A08">
        <w:rPr>
          <w:lang w:val="en-CA"/>
        </w:rPr>
        <w:t>eference omitted</w:t>
      </w:r>
      <w:r w:rsidR="00B96F19">
        <w:rPr>
          <w:lang w:val="en-CA"/>
        </w:rPr>
        <w:t>]</w:t>
      </w:r>
      <w:r w:rsidR="00182BB2">
        <w:rPr>
          <w:lang w:val="en-CA"/>
        </w:rPr>
        <w:t>.</w:t>
      </w:r>
      <w:r w:rsidR="006979E7" w:rsidRPr="00E20A08">
        <w:rPr>
          <w:lang w:val="en-CA"/>
        </w:rPr>
        <w:t xml:space="preserve"> </w:t>
      </w:r>
      <w:r w:rsidRPr="00E20A08">
        <w:rPr>
          <w:lang w:val="en-CA"/>
        </w:rPr>
        <w:t>Leave to appeal is therefore required.</w:t>
      </w:r>
    </w:p>
    <w:p w14:paraId="6B209D4D" w14:textId="0A774FD9" w:rsidR="00640E7F" w:rsidRPr="00E20A08" w:rsidRDefault="00182BB2" w:rsidP="00640E7F">
      <w:pPr>
        <w:pStyle w:val="Paragraphe"/>
        <w:rPr>
          <w:lang w:val="en-CA"/>
        </w:rPr>
      </w:pPr>
      <w:r>
        <w:rPr>
          <w:lang w:val="en-CA"/>
        </w:rPr>
        <w:t>In short</w:t>
      </w:r>
      <w:r w:rsidR="00F35761" w:rsidRPr="00E20A08">
        <w:rPr>
          <w:lang w:val="en-CA"/>
        </w:rPr>
        <w:t>, whe</w:t>
      </w:r>
      <w:r>
        <w:rPr>
          <w:lang w:val="en-CA"/>
        </w:rPr>
        <w:t>re</w:t>
      </w:r>
      <w:r w:rsidR="00F35761" w:rsidRPr="00E20A08">
        <w:rPr>
          <w:lang w:val="en-CA"/>
        </w:rPr>
        <w:t xml:space="preserve"> an application for judicial review is contemplated </w:t>
      </w:r>
      <w:r>
        <w:rPr>
          <w:lang w:val="en-CA"/>
        </w:rPr>
        <w:t>by</w:t>
      </w:r>
      <w:r w:rsidR="00F35761" w:rsidRPr="00E20A08">
        <w:rPr>
          <w:lang w:val="en-CA"/>
        </w:rPr>
        <w:t xml:space="preserve"> </w:t>
      </w:r>
      <w:r>
        <w:rPr>
          <w:lang w:val="en-CA"/>
        </w:rPr>
        <w:t xml:space="preserve">art. </w:t>
      </w:r>
      <w:r w:rsidR="00F35761" w:rsidRPr="00E20A08">
        <w:rPr>
          <w:lang w:val="en-CA"/>
        </w:rPr>
        <w:t xml:space="preserve">529 </w:t>
      </w:r>
      <w:r w:rsidR="00DE6CEC">
        <w:rPr>
          <w:lang w:val="en-CA"/>
        </w:rPr>
        <w:t>para.</w:t>
      </w:r>
      <w:r w:rsidR="00807D3F">
        <w:rPr>
          <w:lang w:val="en-CA"/>
        </w:rPr>
        <w:t> </w:t>
      </w:r>
      <w:r w:rsidR="00F35761" w:rsidRPr="00E20A08">
        <w:rPr>
          <w:lang w:val="en-CA"/>
        </w:rPr>
        <w:t xml:space="preserve">1(2) </w:t>
      </w:r>
      <w:r w:rsidR="00040F5E">
        <w:rPr>
          <w:lang w:val="en-CA"/>
        </w:rPr>
        <w:t>C.C.P.</w:t>
      </w:r>
      <w:r w:rsidR="00F35761" w:rsidRPr="00E20A08">
        <w:rPr>
          <w:lang w:val="en-CA"/>
        </w:rPr>
        <w:t>,</w:t>
      </w:r>
      <w:r w:rsidR="00F35761" w:rsidRPr="00E20A08">
        <w:rPr>
          <w:rStyle w:val="Appelnotedebasdep"/>
          <w:lang w:val="en-CA"/>
        </w:rPr>
        <w:footnoteReference w:id="27"/>
      </w:r>
      <w:r w:rsidR="00F35761" w:rsidRPr="00E20A08">
        <w:rPr>
          <w:lang w:val="en-CA"/>
        </w:rPr>
        <w:t xml:space="preserve"> the right to appeal the Superior Court judgment is governed by </w:t>
      </w:r>
      <w:r>
        <w:rPr>
          <w:lang w:val="en-CA"/>
        </w:rPr>
        <w:t>art.</w:t>
      </w:r>
      <w:r w:rsidR="006979E7" w:rsidRPr="00E20A08">
        <w:rPr>
          <w:lang w:val="en-CA"/>
        </w:rPr>
        <w:t xml:space="preserve"> </w:t>
      </w:r>
      <w:r w:rsidR="00F35761" w:rsidRPr="00E20A08">
        <w:rPr>
          <w:lang w:val="en-CA"/>
        </w:rPr>
        <w:t xml:space="preserve">30 </w:t>
      </w:r>
      <w:r w:rsidR="00DE6CEC">
        <w:rPr>
          <w:lang w:val="en-CA"/>
        </w:rPr>
        <w:t>para.</w:t>
      </w:r>
      <w:r w:rsidR="00807D3F">
        <w:rPr>
          <w:lang w:val="en-CA"/>
        </w:rPr>
        <w:t xml:space="preserve"> </w:t>
      </w:r>
      <w:r w:rsidR="00F35761" w:rsidRPr="00E20A08">
        <w:rPr>
          <w:lang w:val="en-CA"/>
        </w:rPr>
        <w:t xml:space="preserve">2(5), even if the application puts in issue the validity, applicability, or operability of one of the instruments listed in </w:t>
      </w:r>
      <w:r w:rsidR="008872C8">
        <w:rPr>
          <w:lang w:val="en-CA"/>
        </w:rPr>
        <w:t>art.</w:t>
      </w:r>
      <w:r w:rsidR="006979E7" w:rsidRPr="00E20A08">
        <w:rPr>
          <w:lang w:val="en-CA"/>
        </w:rPr>
        <w:t xml:space="preserve"> </w:t>
      </w:r>
      <w:r w:rsidR="00F35761" w:rsidRPr="00E20A08">
        <w:rPr>
          <w:lang w:val="en-CA"/>
        </w:rPr>
        <w:t xml:space="preserve">529 </w:t>
      </w:r>
      <w:r w:rsidR="00DE6CEC">
        <w:rPr>
          <w:lang w:val="en-CA"/>
        </w:rPr>
        <w:t>para.</w:t>
      </w:r>
      <w:r w:rsidR="00F35761" w:rsidRPr="00E20A08">
        <w:rPr>
          <w:lang w:val="en-CA"/>
        </w:rPr>
        <w:t xml:space="preserve">1(1) (which in this respect coincides with </w:t>
      </w:r>
      <w:r>
        <w:rPr>
          <w:lang w:val="en-CA"/>
        </w:rPr>
        <w:t>art.</w:t>
      </w:r>
      <w:r w:rsidR="00807D3F">
        <w:rPr>
          <w:lang w:val="en-CA"/>
        </w:rPr>
        <w:t> </w:t>
      </w:r>
      <w:r w:rsidR="00F35761" w:rsidRPr="00E20A08">
        <w:rPr>
          <w:lang w:val="en-CA"/>
        </w:rPr>
        <w:t xml:space="preserve">76 </w:t>
      </w:r>
      <w:r w:rsidR="00DE6CEC">
        <w:rPr>
          <w:lang w:val="en-CA"/>
        </w:rPr>
        <w:t>para.</w:t>
      </w:r>
      <w:r w:rsidR="00F35761" w:rsidRPr="00E20A08">
        <w:rPr>
          <w:lang w:val="en-CA"/>
        </w:rPr>
        <w:t xml:space="preserve">1 </w:t>
      </w:r>
      <w:r w:rsidR="00040F5E">
        <w:rPr>
          <w:lang w:val="en-CA"/>
        </w:rPr>
        <w:t>C.C.P.</w:t>
      </w:r>
      <w:r w:rsidR="00F35761" w:rsidRPr="00E20A08">
        <w:rPr>
          <w:lang w:val="en-CA"/>
        </w:rPr>
        <w:t>).</w:t>
      </w:r>
      <w:r w:rsidR="006979E7" w:rsidRPr="00E20A08">
        <w:rPr>
          <w:lang w:val="en-CA"/>
        </w:rPr>
        <w:t xml:space="preserve"> </w:t>
      </w:r>
    </w:p>
    <w:p w14:paraId="5D3F8516" w14:textId="68659174" w:rsidR="00640E7F" w:rsidRPr="00E20A08" w:rsidRDefault="00F35761" w:rsidP="00640E7F">
      <w:pPr>
        <w:pStyle w:val="Paragraphe"/>
        <w:rPr>
          <w:lang w:val="en-CA"/>
        </w:rPr>
      </w:pPr>
      <w:r w:rsidRPr="00E20A08">
        <w:rPr>
          <w:lang w:val="en-CA"/>
        </w:rPr>
        <w:t xml:space="preserve">In this case, the application for judicial review concerns precisely a decision of the </w:t>
      </w:r>
      <w:r w:rsidR="00DC31C3">
        <w:rPr>
          <w:lang w:val="en-CA"/>
        </w:rPr>
        <w:t>ATQ</w:t>
      </w:r>
      <w:r w:rsidRPr="00E20A08">
        <w:rPr>
          <w:lang w:val="en-CA"/>
        </w:rPr>
        <w:t xml:space="preserve">, a body subject to the </w:t>
      </w:r>
      <w:r w:rsidR="00F7659E" w:rsidRPr="00E20A08">
        <w:rPr>
          <w:lang w:val="en-CA"/>
        </w:rPr>
        <w:t>Superior</w:t>
      </w:r>
      <w:r w:rsidRPr="00E20A08">
        <w:rPr>
          <w:lang w:val="en-CA"/>
        </w:rPr>
        <w:t xml:space="preserve"> Court</w:t>
      </w:r>
      <w:r w:rsidR="00A21D1D">
        <w:rPr>
          <w:lang w:val="en-CA"/>
        </w:rPr>
        <w:t>’s superintending power</w:t>
      </w:r>
      <w:r w:rsidRPr="00E20A08">
        <w:rPr>
          <w:lang w:val="en-CA"/>
        </w:rPr>
        <w:t>.</w:t>
      </w:r>
      <w:r w:rsidR="006979E7" w:rsidRPr="00E20A08">
        <w:rPr>
          <w:lang w:val="en-CA"/>
        </w:rPr>
        <w:t xml:space="preserve"> </w:t>
      </w:r>
      <w:r w:rsidRPr="00E20A08">
        <w:rPr>
          <w:lang w:val="en-CA"/>
        </w:rPr>
        <w:t xml:space="preserve">In </w:t>
      </w:r>
      <w:r w:rsidR="00646F5F">
        <w:rPr>
          <w:lang w:val="en-CA"/>
        </w:rPr>
        <w:t>that</w:t>
      </w:r>
      <w:r w:rsidRPr="00E20A08">
        <w:rPr>
          <w:lang w:val="en-CA"/>
        </w:rPr>
        <w:t xml:space="preserve"> case, the </w:t>
      </w:r>
      <w:r w:rsidR="00DC31C3">
        <w:rPr>
          <w:lang w:val="en-CA"/>
        </w:rPr>
        <w:t>ATQ</w:t>
      </w:r>
      <w:r w:rsidRPr="00E20A08">
        <w:rPr>
          <w:lang w:val="en-CA"/>
        </w:rPr>
        <w:t xml:space="preserve"> </w:t>
      </w:r>
      <w:r w:rsidR="00646F5F">
        <w:rPr>
          <w:lang w:val="en-CA"/>
        </w:rPr>
        <w:t xml:space="preserve">was ruling on the </w:t>
      </w:r>
      <w:r w:rsidRPr="00E20A08">
        <w:rPr>
          <w:lang w:val="en-CA"/>
        </w:rPr>
        <w:t xml:space="preserve">application </w:t>
      </w:r>
      <w:r w:rsidR="00646F5F">
        <w:rPr>
          <w:lang w:val="en-CA"/>
        </w:rPr>
        <w:t>contesting</w:t>
      </w:r>
      <w:r w:rsidRPr="00E20A08">
        <w:rPr>
          <w:lang w:val="en-CA"/>
        </w:rPr>
        <w:t xml:space="preserve"> an earlier </w:t>
      </w:r>
      <w:r w:rsidR="00176ED9">
        <w:rPr>
          <w:lang w:val="en-CA"/>
        </w:rPr>
        <w:t>m</w:t>
      </w:r>
      <w:r w:rsidRPr="00E20A08">
        <w:rPr>
          <w:lang w:val="en-CA"/>
        </w:rPr>
        <w:t xml:space="preserve">inisterial decision terminating the appellant’s social </w:t>
      </w:r>
      <w:r w:rsidR="00F7659E" w:rsidRPr="00E20A08">
        <w:rPr>
          <w:lang w:val="en-CA"/>
        </w:rPr>
        <w:t>assistance</w:t>
      </w:r>
      <w:r w:rsidRPr="00E20A08">
        <w:rPr>
          <w:lang w:val="en-CA"/>
        </w:rPr>
        <w:t xml:space="preserve"> payments, an application that was based on the alleged invalidity of </w:t>
      </w:r>
      <w:r w:rsidR="001F1E84">
        <w:rPr>
          <w:lang w:val="en-CA"/>
        </w:rPr>
        <w:t>ss.</w:t>
      </w:r>
      <w:r w:rsidR="00646F5F">
        <w:rPr>
          <w:lang w:val="en-CA"/>
        </w:rPr>
        <w:t> </w:t>
      </w:r>
      <w:r w:rsidRPr="00E20A08">
        <w:rPr>
          <w:lang w:val="en-CA"/>
        </w:rPr>
        <w:t xml:space="preserve">63 and 66 </w:t>
      </w:r>
      <w:r w:rsidR="00040F5E" w:rsidRPr="007A21FD">
        <w:rPr>
          <w:i/>
          <w:iCs/>
          <w:lang w:val="en-CA"/>
        </w:rPr>
        <w:t>I.F.A.A.</w:t>
      </w:r>
      <w:r w:rsidR="006979E7" w:rsidRPr="00E20A08">
        <w:rPr>
          <w:lang w:val="en-CA"/>
        </w:rPr>
        <w:t xml:space="preserve"> </w:t>
      </w:r>
      <w:r w:rsidRPr="00E20A08">
        <w:rPr>
          <w:lang w:val="en-CA"/>
        </w:rPr>
        <w:t xml:space="preserve">(which was claimed to violate the </w:t>
      </w:r>
      <w:r w:rsidRPr="00F422EB">
        <w:rPr>
          <w:i/>
          <w:iCs/>
          <w:lang w:val="en-CA"/>
        </w:rPr>
        <w:t>Canadian Charter</w:t>
      </w:r>
      <w:r w:rsidRPr="00E20A08">
        <w:rPr>
          <w:lang w:val="en-CA"/>
        </w:rPr>
        <w:t xml:space="preserve"> and the </w:t>
      </w:r>
      <w:r w:rsidRPr="00F422EB">
        <w:rPr>
          <w:i/>
          <w:iCs/>
          <w:lang w:val="en-CA"/>
        </w:rPr>
        <w:t>Quebec Charter</w:t>
      </w:r>
      <w:r w:rsidRPr="00E20A08">
        <w:rPr>
          <w:lang w:val="en-CA"/>
        </w:rPr>
        <w:t>).</w:t>
      </w:r>
      <w:r w:rsidR="006979E7" w:rsidRPr="00E20A08">
        <w:rPr>
          <w:lang w:val="en-CA"/>
        </w:rPr>
        <w:t xml:space="preserve"> </w:t>
      </w:r>
      <w:r w:rsidRPr="00E20A08">
        <w:rPr>
          <w:lang w:val="en-CA"/>
        </w:rPr>
        <w:t>Whether the rights of the State are affected by this contestation does not change the subject of the dispute before the Superior Court, however, which remains the decision of a body subject to the superintending and reforming power of the Superior Court.</w:t>
      </w:r>
      <w:r w:rsidR="006979E7" w:rsidRPr="00E20A08">
        <w:rPr>
          <w:lang w:val="en-CA"/>
        </w:rPr>
        <w:t xml:space="preserve"> </w:t>
      </w:r>
      <w:r w:rsidRPr="00E20A08">
        <w:rPr>
          <w:lang w:val="en-CA"/>
        </w:rPr>
        <w:t>The appellant’s application for judicial review therefore clearly falls under</w:t>
      </w:r>
      <w:r w:rsidR="006979E7" w:rsidRPr="00E20A08">
        <w:rPr>
          <w:lang w:val="en-CA"/>
        </w:rPr>
        <w:t xml:space="preserve"> </w:t>
      </w:r>
      <w:r w:rsidR="00182BB2">
        <w:rPr>
          <w:lang w:val="en-CA"/>
        </w:rPr>
        <w:t xml:space="preserve">art. </w:t>
      </w:r>
      <w:r w:rsidRPr="00E20A08">
        <w:rPr>
          <w:lang w:val="en-CA"/>
        </w:rPr>
        <w:t xml:space="preserve">529 </w:t>
      </w:r>
      <w:r w:rsidR="00DE6CEC">
        <w:rPr>
          <w:lang w:val="en-CA"/>
        </w:rPr>
        <w:t>para.</w:t>
      </w:r>
      <w:r w:rsidRPr="00E20A08">
        <w:rPr>
          <w:lang w:val="en-CA"/>
        </w:rPr>
        <w:t xml:space="preserve">1(2) </w:t>
      </w:r>
      <w:r w:rsidR="00040F5E">
        <w:rPr>
          <w:lang w:val="en-CA"/>
        </w:rPr>
        <w:t>C.C.P.</w:t>
      </w:r>
      <w:r w:rsidRPr="00E20A08">
        <w:rPr>
          <w:lang w:val="en-CA"/>
        </w:rPr>
        <w:t xml:space="preserve"> and, accordingly, the right to appeal the Superior Court judgment is available only under </w:t>
      </w:r>
      <w:r w:rsidR="00182BB2">
        <w:rPr>
          <w:lang w:val="en-CA"/>
        </w:rPr>
        <w:t xml:space="preserve">art. </w:t>
      </w:r>
      <w:r w:rsidRPr="00E20A08">
        <w:rPr>
          <w:lang w:val="en-CA"/>
        </w:rPr>
        <w:t xml:space="preserve">30 </w:t>
      </w:r>
      <w:r w:rsidR="00DE6CEC">
        <w:rPr>
          <w:lang w:val="en-CA"/>
        </w:rPr>
        <w:t>para.</w:t>
      </w:r>
      <w:r w:rsidRPr="00E20A08">
        <w:rPr>
          <w:lang w:val="en-CA"/>
        </w:rPr>
        <w:t xml:space="preserve">2(5) </w:t>
      </w:r>
      <w:r w:rsidR="00040F5E">
        <w:rPr>
          <w:lang w:val="en-CA"/>
        </w:rPr>
        <w:t>C.C.P.</w:t>
      </w:r>
      <w:proofErr w:type="gramStart"/>
      <w:r w:rsidRPr="00E20A08">
        <w:rPr>
          <w:lang w:val="en-CA"/>
        </w:rPr>
        <w:t xml:space="preserve">, that is to say, </w:t>
      </w:r>
      <w:r w:rsidR="00733EC3">
        <w:rPr>
          <w:lang w:val="en-CA"/>
        </w:rPr>
        <w:t>with</w:t>
      </w:r>
      <w:proofErr w:type="gramEnd"/>
      <w:r w:rsidRPr="00E20A08">
        <w:rPr>
          <w:lang w:val="en-CA"/>
        </w:rPr>
        <w:t xml:space="preserve"> leave.</w:t>
      </w:r>
    </w:p>
    <w:p w14:paraId="68E18F68" w14:textId="7E7CDA60" w:rsidR="00640E7F" w:rsidRPr="00E20A08" w:rsidRDefault="00F7659E" w:rsidP="00640E7F">
      <w:pPr>
        <w:pStyle w:val="Paragraphe"/>
        <w:rPr>
          <w:lang w:val="en-CA"/>
        </w:rPr>
      </w:pPr>
      <w:r w:rsidRPr="00E20A08">
        <w:rPr>
          <w:lang w:val="en-CA"/>
        </w:rPr>
        <w:t>Should</w:t>
      </w:r>
      <w:r w:rsidR="00F35761" w:rsidRPr="00E20A08">
        <w:rPr>
          <w:lang w:val="en-CA"/>
        </w:rPr>
        <w:t xml:space="preserve"> the leave the appellant </w:t>
      </w:r>
      <w:r w:rsidR="00733EC3">
        <w:rPr>
          <w:lang w:val="en-CA"/>
        </w:rPr>
        <w:t xml:space="preserve">seeks </w:t>
      </w:r>
      <w:r w:rsidR="00F35761" w:rsidRPr="00E20A08">
        <w:rPr>
          <w:lang w:val="en-CA"/>
        </w:rPr>
        <w:t>be granted?</w:t>
      </w:r>
      <w:r w:rsidR="006979E7" w:rsidRPr="00E20A08">
        <w:rPr>
          <w:lang w:val="en-CA"/>
        </w:rPr>
        <w:t xml:space="preserve"> </w:t>
      </w:r>
      <w:r w:rsidR="00F35761" w:rsidRPr="00E20A08">
        <w:rPr>
          <w:lang w:val="en-CA"/>
        </w:rPr>
        <w:t>Certainly</w:t>
      </w:r>
      <w:r w:rsidR="00733EC3">
        <w:rPr>
          <w:lang w:val="en-CA"/>
        </w:rPr>
        <w:t>. D</w:t>
      </w:r>
      <w:r w:rsidR="00F35761" w:rsidRPr="00E20A08">
        <w:rPr>
          <w:lang w:val="en-CA"/>
        </w:rPr>
        <w:t xml:space="preserve">espite the outcome that I ultimately reserve for the appeal, the issues raised </w:t>
      </w:r>
      <w:r w:rsidR="00F35761" w:rsidRPr="00733EC3">
        <w:rPr>
          <w:i/>
          <w:iCs/>
          <w:lang w:val="en-CA"/>
        </w:rPr>
        <w:t>a priori</w:t>
      </w:r>
      <w:r w:rsidR="00F35761" w:rsidRPr="00E20A08">
        <w:rPr>
          <w:lang w:val="en-CA"/>
        </w:rPr>
        <w:t xml:space="preserve"> meet the requirements of </w:t>
      </w:r>
      <w:r w:rsidR="00182BB2">
        <w:rPr>
          <w:lang w:val="en-CA"/>
        </w:rPr>
        <w:t xml:space="preserve">art. </w:t>
      </w:r>
      <w:r w:rsidR="00F35761" w:rsidRPr="00E20A08">
        <w:rPr>
          <w:lang w:val="en-CA"/>
        </w:rPr>
        <w:t xml:space="preserve">30 </w:t>
      </w:r>
      <w:r w:rsidR="00DE6CEC">
        <w:rPr>
          <w:lang w:val="en-CA"/>
        </w:rPr>
        <w:t>para.</w:t>
      </w:r>
      <w:r w:rsidR="00F35761" w:rsidRPr="00E20A08">
        <w:rPr>
          <w:lang w:val="en-CA"/>
        </w:rPr>
        <w:t xml:space="preserve">3 </w:t>
      </w:r>
      <w:r w:rsidR="00040F5E">
        <w:rPr>
          <w:lang w:val="en-CA"/>
        </w:rPr>
        <w:t>C.C.P.</w:t>
      </w:r>
    </w:p>
    <w:p w14:paraId="304770A2" w14:textId="77777777" w:rsidR="00967C97" w:rsidRPr="00E20A08" w:rsidRDefault="006979E7" w:rsidP="00640E7F">
      <w:pPr>
        <w:pStyle w:val="Paragraphe"/>
        <w:numPr>
          <w:ilvl w:val="0"/>
          <w:numId w:val="0"/>
        </w:numPr>
        <w:rPr>
          <w:b/>
          <w:lang w:val="en-CA"/>
        </w:rPr>
      </w:pPr>
      <w:r w:rsidRPr="00E20A08">
        <w:rPr>
          <w:b/>
          <w:lang w:val="en-CA"/>
        </w:rPr>
        <w:br w:type="page"/>
      </w:r>
    </w:p>
    <w:p w14:paraId="3FB8C740" w14:textId="4290B871" w:rsidR="00640E7F" w:rsidRPr="005E49CF" w:rsidRDefault="00F35761" w:rsidP="00640E7F">
      <w:pPr>
        <w:pStyle w:val="Paragraphe"/>
        <w:numPr>
          <w:ilvl w:val="0"/>
          <w:numId w:val="0"/>
        </w:numPr>
        <w:rPr>
          <w:b/>
          <w:u w:val="single"/>
          <w:lang w:val="en-CA"/>
        </w:rPr>
      </w:pPr>
      <w:r w:rsidRPr="005E49CF">
        <w:rPr>
          <w:b/>
          <w:lang w:val="en-CA"/>
        </w:rPr>
        <w:lastRenderedPageBreak/>
        <w:t>B.</w:t>
      </w:r>
      <w:r w:rsidR="006979E7" w:rsidRPr="005E49CF">
        <w:rPr>
          <w:b/>
          <w:lang w:val="en-CA"/>
        </w:rPr>
        <w:tab/>
      </w:r>
      <w:r w:rsidRPr="005E49CF">
        <w:rPr>
          <w:b/>
          <w:u w:val="single"/>
          <w:lang w:val="en-CA"/>
        </w:rPr>
        <w:t xml:space="preserve">Validity of </w:t>
      </w:r>
      <w:r w:rsidR="001F1E84" w:rsidRPr="005E49CF">
        <w:rPr>
          <w:b/>
          <w:u w:val="single"/>
          <w:lang w:val="en-CA"/>
        </w:rPr>
        <w:t>ss.</w:t>
      </w:r>
      <w:r w:rsidR="006979E7" w:rsidRPr="005E49CF">
        <w:rPr>
          <w:b/>
          <w:u w:val="single"/>
          <w:lang w:val="en-CA"/>
        </w:rPr>
        <w:t xml:space="preserve"> </w:t>
      </w:r>
      <w:r w:rsidRPr="005E49CF">
        <w:rPr>
          <w:b/>
          <w:u w:val="single"/>
          <w:lang w:val="en-CA"/>
        </w:rPr>
        <w:t xml:space="preserve">63 and 66 </w:t>
      </w:r>
      <w:r w:rsidR="00040F5E">
        <w:rPr>
          <w:b/>
          <w:u w:val="single"/>
          <w:lang w:val="en-CA"/>
        </w:rPr>
        <w:t>I.F.A.A.</w:t>
      </w:r>
      <w:r w:rsidRPr="005E49CF">
        <w:rPr>
          <w:b/>
          <w:u w:val="single"/>
          <w:lang w:val="en-CA"/>
        </w:rPr>
        <w:t xml:space="preserve"> under the </w:t>
      </w:r>
      <w:r w:rsidR="005E49CF">
        <w:rPr>
          <w:b/>
          <w:u w:val="single"/>
          <w:lang w:val="en-CA"/>
        </w:rPr>
        <w:t>charters</w:t>
      </w:r>
    </w:p>
    <w:p w14:paraId="2EC0B845" w14:textId="5C60B05C" w:rsidR="00640E7F" w:rsidRPr="00E20A08" w:rsidRDefault="00F35761" w:rsidP="00640E7F">
      <w:pPr>
        <w:pStyle w:val="Paragraphe"/>
        <w:rPr>
          <w:lang w:val="en-CA"/>
        </w:rPr>
      </w:pPr>
      <w:r w:rsidRPr="00E20A08">
        <w:rPr>
          <w:lang w:val="en-CA"/>
        </w:rPr>
        <w:t>I will take the liberty of making three preliminary remarks.</w:t>
      </w:r>
    </w:p>
    <w:p w14:paraId="3269F6A0" w14:textId="01F3F822" w:rsidR="00640E7F" w:rsidRPr="00E20A08" w:rsidRDefault="00F35761" w:rsidP="00640E7F">
      <w:pPr>
        <w:pStyle w:val="Paragraphe"/>
        <w:rPr>
          <w:lang w:val="en-CA"/>
        </w:rPr>
      </w:pPr>
      <w:r w:rsidRPr="00E20A08">
        <w:rPr>
          <w:i/>
          <w:lang w:val="en-CA"/>
        </w:rPr>
        <w:t>First remark.</w:t>
      </w:r>
      <w:r w:rsidR="006979E7" w:rsidRPr="00E20A08">
        <w:rPr>
          <w:i/>
          <w:lang w:val="en-CA"/>
        </w:rPr>
        <w:t xml:space="preserve"> </w:t>
      </w:r>
      <w:r w:rsidRPr="00E20A08">
        <w:rPr>
          <w:lang w:val="en-CA"/>
        </w:rPr>
        <w:t xml:space="preserve">Although the appeal puts in issue a decision of the </w:t>
      </w:r>
      <w:r w:rsidR="00DC31C3">
        <w:rPr>
          <w:lang w:val="en-CA"/>
        </w:rPr>
        <w:t>ATQ</w:t>
      </w:r>
      <w:r w:rsidRPr="00E20A08">
        <w:rPr>
          <w:lang w:val="en-CA"/>
        </w:rPr>
        <w:t xml:space="preserve"> that was </w:t>
      </w:r>
      <w:r w:rsidR="002F13F3">
        <w:rPr>
          <w:lang w:val="en-CA"/>
        </w:rPr>
        <w:t xml:space="preserve">undoubtedly </w:t>
      </w:r>
      <w:r w:rsidRPr="00E20A08">
        <w:rPr>
          <w:lang w:val="en-CA"/>
        </w:rPr>
        <w:t xml:space="preserve">acting within its jurisdiction, the presumption </w:t>
      </w:r>
      <w:r w:rsidR="000974AE">
        <w:rPr>
          <w:lang w:val="en-CA"/>
        </w:rPr>
        <w:t xml:space="preserve">in favour of </w:t>
      </w:r>
      <w:r w:rsidR="00C777C2">
        <w:rPr>
          <w:lang w:val="en-CA"/>
        </w:rPr>
        <w:t xml:space="preserve">the </w:t>
      </w:r>
      <w:r w:rsidRPr="00E20A08">
        <w:rPr>
          <w:lang w:val="en-CA"/>
        </w:rPr>
        <w:t xml:space="preserve">reasonableness standard of review </w:t>
      </w:r>
      <w:r w:rsidR="00C777C2">
        <w:rPr>
          <w:lang w:val="en-CA"/>
        </w:rPr>
        <w:t xml:space="preserve">is rebutted </w:t>
      </w:r>
      <w:r w:rsidRPr="00E20A08">
        <w:rPr>
          <w:lang w:val="en-CA"/>
        </w:rPr>
        <w:t>in this case.</w:t>
      </w:r>
      <w:r w:rsidR="006979E7" w:rsidRPr="00E20A08">
        <w:rPr>
          <w:lang w:val="en-CA"/>
        </w:rPr>
        <w:t xml:space="preserve"> </w:t>
      </w:r>
      <w:r w:rsidRPr="00E20A08">
        <w:rPr>
          <w:lang w:val="en-CA"/>
        </w:rPr>
        <w:t xml:space="preserve">The issue of the dispute is constitutional (validity of a statute under the </w:t>
      </w:r>
      <w:r w:rsidRPr="00F803BB">
        <w:rPr>
          <w:i/>
          <w:iCs/>
          <w:lang w:val="en-CA"/>
        </w:rPr>
        <w:t>Canadian Charter</w:t>
      </w:r>
      <w:r w:rsidRPr="00E20A08">
        <w:rPr>
          <w:lang w:val="en-CA"/>
        </w:rPr>
        <w:t xml:space="preserve">) or </w:t>
      </w:r>
      <w:r w:rsidR="00C777C2">
        <w:rPr>
          <w:lang w:val="en-CA"/>
        </w:rPr>
        <w:t xml:space="preserve">can be characterized as a </w:t>
      </w:r>
      <w:r w:rsidRPr="00E20A08">
        <w:rPr>
          <w:lang w:val="en-CA"/>
        </w:rPr>
        <w:t xml:space="preserve">“general question of law of central importance to the legal system as a whole” (validity of the said law under the </w:t>
      </w:r>
      <w:r w:rsidRPr="00F803BB">
        <w:rPr>
          <w:i/>
          <w:iCs/>
          <w:lang w:val="en-CA"/>
        </w:rPr>
        <w:t>Quebec Charter</w:t>
      </w:r>
      <w:r w:rsidRPr="00E20A08">
        <w:rPr>
          <w:lang w:val="en-CA"/>
        </w:rPr>
        <w:t>).</w:t>
      </w:r>
      <w:r w:rsidR="006979E7" w:rsidRPr="00E20A08">
        <w:rPr>
          <w:lang w:val="en-CA"/>
        </w:rPr>
        <w:t xml:space="preserve"> </w:t>
      </w:r>
      <w:r w:rsidRPr="00E20A08">
        <w:rPr>
          <w:lang w:val="en-CA"/>
        </w:rPr>
        <w:t xml:space="preserve">The consideration of that question </w:t>
      </w:r>
      <w:r w:rsidR="00C777C2">
        <w:rPr>
          <w:lang w:val="en-CA"/>
        </w:rPr>
        <w:t xml:space="preserve">therefore must </w:t>
      </w:r>
      <w:r w:rsidR="00533E46">
        <w:rPr>
          <w:lang w:val="en-CA"/>
        </w:rPr>
        <w:t>obey</w:t>
      </w:r>
      <w:r w:rsidRPr="00E20A08">
        <w:rPr>
          <w:lang w:val="en-CA"/>
        </w:rPr>
        <w:t xml:space="preserve"> the standard of correctness.</w:t>
      </w:r>
      <w:r w:rsidRPr="00E20A08">
        <w:rPr>
          <w:rStyle w:val="Appelnotedebasdep"/>
          <w:lang w:val="en-CA"/>
        </w:rPr>
        <w:footnoteReference w:id="28"/>
      </w:r>
      <w:r w:rsidR="006979E7" w:rsidRPr="00E20A08">
        <w:rPr>
          <w:lang w:val="en-CA"/>
        </w:rPr>
        <w:t xml:space="preserve"> </w:t>
      </w:r>
      <w:r w:rsidRPr="00E20A08">
        <w:rPr>
          <w:lang w:val="en-CA"/>
        </w:rPr>
        <w:t>The parties have in fact argued on this basis before the Court, as they appear to have also done before the Superior Court.</w:t>
      </w:r>
    </w:p>
    <w:p w14:paraId="2D753985" w14:textId="39565B36" w:rsidR="00F35761" w:rsidRPr="00E20A08" w:rsidRDefault="00F35761" w:rsidP="00640E7F">
      <w:pPr>
        <w:pStyle w:val="Paragraphe"/>
        <w:rPr>
          <w:lang w:val="en-CA"/>
        </w:rPr>
      </w:pPr>
      <w:bookmarkStart w:id="14" w:name="_Ref75192008"/>
      <w:r w:rsidRPr="00E20A08">
        <w:rPr>
          <w:i/>
          <w:lang w:val="en-CA"/>
        </w:rPr>
        <w:t>Second remark.</w:t>
      </w:r>
      <w:r w:rsidR="006979E7" w:rsidRPr="00E20A08">
        <w:rPr>
          <w:lang w:val="en-CA"/>
        </w:rPr>
        <w:t xml:space="preserve"> </w:t>
      </w:r>
      <w:r w:rsidRPr="00E20A08">
        <w:rPr>
          <w:lang w:val="en-CA"/>
        </w:rPr>
        <w:t xml:space="preserve">The appellant’s </w:t>
      </w:r>
      <w:r w:rsidR="00533E46">
        <w:rPr>
          <w:lang w:val="en-CA"/>
        </w:rPr>
        <w:t>memorandum</w:t>
      </w:r>
      <w:r w:rsidRPr="00E20A08">
        <w:rPr>
          <w:lang w:val="en-CA"/>
        </w:rPr>
        <w:t xml:space="preserve">, which is not very detailed, </w:t>
      </w:r>
      <w:r w:rsidR="00C777C2">
        <w:rPr>
          <w:lang w:val="en-CA"/>
        </w:rPr>
        <w:t xml:space="preserve">makes little reference to </w:t>
      </w:r>
      <w:r w:rsidR="006C5BE4">
        <w:rPr>
          <w:lang w:val="en-CA"/>
        </w:rPr>
        <w:t>s.</w:t>
      </w:r>
      <w:r w:rsidRPr="00E20A08">
        <w:rPr>
          <w:lang w:val="en-CA"/>
        </w:rPr>
        <w:t xml:space="preserve"> 10 of the </w:t>
      </w:r>
      <w:r w:rsidRPr="00C777C2">
        <w:rPr>
          <w:i/>
          <w:iCs/>
          <w:lang w:val="en-CA"/>
        </w:rPr>
        <w:t>Quebec Charter</w:t>
      </w:r>
      <w:r w:rsidRPr="00E20A08">
        <w:rPr>
          <w:lang w:val="en-CA"/>
        </w:rPr>
        <w:t>. Th</w:t>
      </w:r>
      <w:r w:rsidR="00C777C2">
        <w:rPr>
          <w:lang w:val="en-CA"/>
        </w:rPr>
        <w:t xml:space="preserve">is </w:t>
      </w:r>
      <w:r w:rsidRPr="00E20A08">
        <w:rPr>
          <w:lang w:val="en-CA"/>
        </w:rPr>
        <w:t xml:space="preserve">subject </w:t>
      </w:r>
      <w:r w:rsidR="004A0311">
        <w:rPr>
          <w:lang w:val="en-CA"/>
        </w:rPr>
        <w:t>seems</w:t>
      </w:r>
      <w:r w:rsidRPr="00E20A08">
        <w:rPr>
          <w:lang w:val="en-CA"/>
        </w:rPr>
        <w:t xml:space="preserve"> to have </w:t>
      </w:r>
      <w:r w:rsidR="00533E46">
        <w:rPr>
          <w:lang w:val="en-CA"/>
        </w:rPr>
        <w:t>become marginal</w:t>
      </w:r>
      <w:r w:rsidRPr="00E20A08">
        <w:rPr>
          <w:lang w:val="en-CA"/>
        </w:rPr>
        <w:t>, and this impression was not dispelled at the appeal hearing.</w:t>
      </w:r>
      <w:r w:rsidR="006979E7" w:rsidRPr="00E20A08">
        <w:rPr>
          <w:lang w:val="en-CA"/>
        </w:rPr>
        <w:t xml:space="preserve"> </w:t>
      </w:r>
      <w:r w:rsidRPr="00E20A08">
        <w:rPr>
          <w:lang w:val="en-CA"/>
        </w:rPr>
        <w:t xml:space="preserve">Moreover, the appellant does not appear to contest the judge’s statement </w:t>
      </w:r>
      <w:r w:rsidR="004A0311">
        <w:rPr>
          <w:lang w:val="en-CA"/>
        </w:rPr>
        <w:t>about</w:t>
      </w:r>
      <w:r w:rsidRPr="00E20A08">
        <w:rPr>
          <w:lang w:val="en-CA"/>
        </w:rPr>
        <w:t xml:space="preserve"> the effect of </w:t>
      </w:r>
      <w:r w:rsidR="006C5BE4">
        <w:rPr>
          <w:lang w:val="en-CA"/>
        </w:rPr>
        <w:t>s.</w:t>
      </w:r>
      <w:r w:rsidR="006979E7" w:rsidRPr="00E20A08">
        <w:rPr>
          <w:i/>
          <w:lang w:val="en-CA"/>
        </w:rPr>
        <w:t xml:space="preserve"> </w:t>
      </w:r>
      <w:r w:rsidRPr="00E20A08">
        <w:rPr>
          <w:lang w:val="en-CA"/>
        </w:rPr>
        <w:t xml:space="preserve">52 of the </w:t>
      </w:r>
      <w:r w:rsidRPr="004A0311">
        <w:rPr>
          <w:i/>
          <w:iCs/>
          <w:lang w:val="en-CA"/>
        </w:rPr>
        <w:t>Quebec Charter</w:t>
      </w:r>
      <w:r w:rsidRPr="00E20A08">
        <w:rPr>
          <w:lang w:val="en-CA"/>
        </w:rPr>
        <w:t xml:space="preserve"> on the </w:t>
      </w:r>
      <w:r w:rsidR="00F7659E" w:rsidRPr="00E20A08">
        <w:rPr>
          <w:lang w:val="en-CA"/>
        </w:rPr>
        <w:t>application</w:t>
      </w:r>
      <w:r w:rsidRPr="00E20A08">
        <w:rPr>
          <w:lang w:val="en-CA"/>
        </w:rPr>
        <w:t xml:space="preserve"> of </w:t>
      </w:r>
      <w:r w:rsidR="006C5BE4">
        <w:rPr>
          <w:lang w:val="en-CA"/>
        </w:rPr>
        <w:t>s.</w:t>
      </w:r>
      <w:r w:rsidR="006979E7" w:rsidRPr="00E20A08">
        <w:rPr>
          <w:lang w:val="en-CA"/>
        </w:rPr>
        <w:t xml:space="preserve"> </w:t>
      </w:r>
      <w:r w:rsidRPr="00E20A08">
        <w:rPr>
          <w:lang w:val="en-CA"/>
        </w:rPr>
        <w:t xml:space="preserve">10 </w:t>
      </w:r>
      <w:r w:rsidR="00D37E80">
        <w:rPr>
          <w:lang w:val="en-CA"/>
        </w:rPr>
        <w:t>to</w:t>
      </w:r>
      <w:r w:rsidRPr="00E20A08">
        <w:rPr>
          <w:lang w:val="en-CA"/>
        </w:rPr>
        <w:t xml:space="preserve"> </w:t>
      </w:r>
      <w:r w:rsidR="00182BB2">
        <w:rPr>
          <w:lang w:val="en-CA"/>
        </w:rPr>
        <w:t xml:space="preserve">art. </w:t>
      </w:r>
      <w:r w:rsidRPr="00E20A08">
        <w:rPr>
          <w:lang w:val="en-CA"/>
        </w:rPr>
        <w:t>45 (right to financial assistance and other social measures intended to ensure an acceptable standard of living).</w:t>
      </w:r>
      <w:bookmarkStart w:id="15" w:name="_Ref73709704"/>
      <w:r w:rsidRPr="00E20A08">
        <w:rPr>
          <w:rStyle w:val="Appelnotedebasdep"/>
          <w:lang w:val="en-CA"/>
        </w:rPr>
        <w:footnoteReference w:id="29"/>
      </w:r>
      <w:bookmarkEnd w:id="15"/>
      <w:r w:rsidR="006979E7" w:rsidRPr="00E20A08">
        <w:rPr>
          <w:lang w:val="en-CA"/>
        </w:rPr>
        <w:t xml:space="preserve"> </w:t>
      </w:r>
      <w:r w:rsidRPr="00E20A08">
        <w:rPr>
          <w:lang w:val="en-CA"/>
        </w:rPr>
        <w:t xml:space="preserve">On the contrary, it appears to support that statement by </w:t>
      </w:r>
      <w:r w:rsidR="004A0311">
        <w:rPr>
          <w:lang w:val="en-CA"/>
        </w:rPr>
        <w:t xml:space="preserve">connecting </w:t>
      </w:r>
      <w:r w:rsidRPr="00E20A08">
        <w:rPr>
          <w:lang w:val="en-CA"/>
        </w:rPr>
        <w:t xml:space="preserve">(with hardly any arguments) the </w:t>
      </w:r>
      <w:r w:rsidR="00003EA4" w:rsidRPr="00E20A08">
        <w:rPr>
          <w:lang w:val="en-CA"/>
        </w:rPr>
        <w:t>di</w:t>
      </w:r>
      <w:r w:rsidR="00003EA4">
        <w:rPr>
          <w:lang w:val="en-CA"/>
        </w:rPr>
        <w:t>scrimi</w:t>
      </w:r>
      <w:r w:rsidR="00003EA4" w:rsidRPr="00E20A08">
        <w:rPr>
          <w:lang w:val="en-CA"/>
        </w:rPr>
        <w:t>natory</w:t>
      </w:r>
      <w:r w:rsidRPr="00E20A08">
        <w:rPr>
          <w:lang w:val="en-CA"/>
        </w:rPr>
        <w:t xml:space="preserve"> treatment he complains </w:t>
      </w:r>
      <w:r w:rsidR="004A0311">
        <w:rPr>
          <w:lang w:val="en-CA"/>
        </w:rPr>
        <w:t xml:space="preserve">of with </w:t>
      </w:r>
      <w:r w:rsidR="006C5BE4">
        <w:rPr>
          <w:lang w:val="en-CA"/>
        </w:rPr>
        <w:t>s.</w:t>
      </w:r>
      <w:r w:rsidRPr="00E20A08">
        <w:rPr>
          <w:lang w:val="en-CA"/>
        </w:rPr>
        <w:t xml:space="preserve"> 4 or </w:t>
      </w:r>
      <w:r w:rsidR="006C5BE4">
        <w:rPr>
          <w:lang w:val="en-CA"/>
        </w:rPr>
        <w:t>s.</w:t>
      </w:r>
      <w:r w:rsidR="004A0311">
        <w:rPr>
          <w:lang w:val="en-CA"/>
        </w:rPr>
        <w:t> </w:t>
      </w:r>
      <w:r w:rsidRPr="00E20A08">
        <w:rPr>
          <w:lang w:val="en-CA"/>
        </w:rPr>
        <w:t xml:space="preserve">12 of the </w:t>
      </w:r>
      <w:r w:rsidRPr="004A0311">
        <w:rPr>
          <w:i/>
          <w:iCs/>
          <w:lang w:val="en-CA"/>
        </w:rPr>
        <w:t>Quebec</w:t>
      </w:r>
      <w:r w:rsidRPr="00E20A08">
        <w:rPr>
          <w:lang w:val="en-CA"/>
        </w:rPr>
        <w:t xml:space="preserve"> </w:t>
      </w:r>
      <w:r w:rsidRPr="00E20A08">
        <w:rPr>
          <w:i/>
          <w:iCs/>
          <w:lang w:val="en-CA"/>
        </w:rPr>
        <w:t>Charter</w:t>
      </w:r>
      <w:r w:rsidRPr="00E20A08">
        <w:rPr>
          <w:lang w:val="en-CA"/>
        </w:rPr>
        <w:t>.</w:t>
      </w:r>
      <w:r w:rsidR="006979E7" w:rsidRPr="00E20A08">
        <w:rPr>
          <w:lang w:val="en-CA"/>
        </w:rPr>
        <w:t xml:space="preserve"> </w:t>
      </w:r>
      <w:r w:rsidRPr="00E20A08">
        <w:rPr>
          <w:lang w:val="en-CA"/>
        </w:rPr>
        <w:t>Nevertheless, out of an abundance of caution, I will not completely exclude</w:t>
      </w:r>
      <w:r w:rsidR="006979E7" w:rsidRPr="00E20A08">
        <w:rPr>
          <w:lang w:val="en-CA"/>
        </w:rPr>
        <w:t xml:space="preserve"> </w:t>
      </w:r>
      <w:r w:rsidR="006C5BE4">
        <w:rPr>
          <w:lang w:val="en-CA"/>
        </w:rPr>
        <w:t>s.</w:t>
      </w:r>
      <w:r w:rsidRPr="00E20A08">
        <w:rPr>
          <w:lang w:val="en-CA"/>
        </w:rPr>
        <w:t xml:space="preserve"> 10 from the following analysis, </w:t>
      </w:r>
      <w:r w:rsidR="004A0311">
        <w:rPr>
          <w:lang w:val="en-CA"/>
        </w:rPr>
        <w:t>al</w:t>
      </w:r>
      <w:r w:rsidRPr="00E20A08">
        <w:rPr>
          <w:lang w:val="en-CA"/>
        </w:rPr>
        <w:t xml:space="preserve">though I will not personally deal with </w:t>
      </w:r>
      <w:r w:rsidR="006C5BE4">
        <w:rPr>
          <w:lang w:val="en-CA"/>
        </w:rPr>
        <w:t>s.</w:t>
      </w:r>
      <w:r w:rsidRPr="00E20A08">
        <w:rPr>
          <w:lang w:val="en-CA"/>
        </w:rPr>
        <w:t xml:space="preserve"> 52 or the impact of </w:t>
      </w:r>
      <w:r w:rsidR="006C5BE4">
        <w:rPr>
          <w:lang w:val="en-CA"/>
        </w:rPr>
        <w:t>s.</w:t>
      </w:r>
      <w:r w:rsidRPr="00E20A08">
        <w:rPr>
          <w:lang w:val="en-CA"/>
        </w:rPr>
        <w:t xml:space="preserve"> 10 on </w:t>
      </w:r>
      <w:r w:rsidR="006C5BE4">
        <w:rPr>
          <w:lang w:val="en-CA"/>
        </w:rPr>
        <w:t>s.</w:t>
      </w:r>
      <w:r w:rsidRPr="00E20A08">
        <w:rPr>
          <w:lang w:val="en-CA"/>
        </w:rPr>
        <w:t xml:space="preserve"> 45, other than by allusion, due to the evidentiary problem I will </w:t>
      </w:r>
      <w:r w:rsidR="00003EA4" w:rsidRPr="00E20A08">
        <w:rPr>
          <w:lang w:val="en-CA"/>
        </w:rPr>
        <w:t>de</w:t>
      </w:r>
      <w:r w:rsidR="00003EA4">
        <w:rPr>
          <w:lang w:val="en-CA"/>
        </w:rPr>
        <w:t>scribe</w:t>
      </w:r>
      <w:r w:rsidRPr="00E20A08">
        <w:rPr>
          <w:lang w:val="en-CA"/>
        </w:rPr>
        <w:t xml:space="preserve"> below.</w:t>
      </w:r>
      <w:bookmarkStart w:id="16" w:name="_Ref73113104"/>
      <w:bookmarkEnd w:id="14"/>
      <w:r w:rsidRPr="00E20A08">
        <w:rPr>
          <w:lang w:val="en-CA"/>
        </w:rPr>
        <w:t xml:space="preserve"> </w:t>
      </w:r>
    </w:p>
    <w:p w14:paraId="45A3E5B5" w14:textId="5B886E0A" w:rsidR="00640E7F" w:rsidRPr="00E20A08" w:rsidRDefault="00F35761" w:rsidP="00640E7F">
      <w:pPr>
        <w:pStyle w:val="Paragraphe"/>
        <w:rPr>
          <w:lang w:val="en-CA"/>
        </w:rPr>
      </w:pPr>
      <w:r w:rsidRPr="00E20A08">
        <w:rPr>
          <w:i/>
          <w:iCs/>
          <w:lang w:val="en-CA"/>
        </w:rPr>
        <w:t>Third remark.</w:t>
      </w:r>
      <w:r w:rsidR="006979E7" w:rsidRPr="00E20A08">
        <w:rPr>
          <w:lang w:val="en-CA"/>
        </w:rPr>
        <w:t xml:space="preserve"> </w:t>
      </w:r>
      <w:r w:rsidRPr="00E20A08">
        <w:rPr>
          <w:lang w:val="en-CA"/>
        </w:rPr>
        <w:t>I noted the gaps in the evidence in the appeal record above, without explanation.</w:t>
      </w:r>
      <w:r w:rsidRPr="00E20A08">
        <w:rPr>
          <w:rStyle w:val="Appelnotedebasdep"/>
          <w:lang w:val="en-CA"/>
        </w:rPr>
        <w:footnoteReference w:id="30"/>
      </w:r>
      <w:r w:rsidR="006979E7" w:rsidRPr="00E20A08">
        <w:rPr>
          <w:lang w:val="en-CA"/>
        </w:rPr>
        <w:t xml:space="preserve"> </w:t>
      </w:r>
      <w:r w:rsidRPr="00E20A08">
        <w:rPr>
          <w:lang w:val="en-CA"/>
        </w:rPr>
        <w:t>I will address t</w:t>
      </w:r>
      <w:r w:rsidR="006A5F0B">
        <w:rPr>
          <w:lang w:val="en-CA"/>
        </w:rPr>
        <w:t>his here</w:t>
      </w:r>
      <w:r w:rsidRPr="00E20A08">
        <w:rPr>
          <w:lang w:val="en-CA"/>
        </w:rPr>
        <w:t>.</w:t>
      </w:r>
      <w:r w:rsidR="006979E7" w:rsidRPr="00E20A08">
        <w:rPr>
          <w:lang w:val="en-CA"/>
        </w:rPr>
        <w:t xml:space="preserve"> </w:t>
      </w:r>
    </w:p>
    <w:p w14:paraId="3BB036A8" w14:textId="523BA5ED" w:rsidR="00640E7F" w:rsidRPr="00E20A08" w:rsidRDefault="00F35761" w:rsidP="00640E7F">
      <w:pPr>
        <w:pStyle w:val="Paragraphe"/>
        <w:rPr>
          <w:lang w:val="en-CA"/>
        </w:rPr>
      </w:pPr>
      <w:bookmarkStart w:id="17" w:name="_Ref73701873"/>
      <w:r w:rsidRPr="00E20A08">
        <w:rPr>
          <w:lang w:val="en-CA"/>
        </w:rPr>
        <w:t xml:space="preserve">The problem is that the appellant’s </w:t>
      </w:r>
      <w:r w:rsidR="00801CA0">
        <w:rPr>
          <w:lang w:val="en-CA"/>
        </w:rPr>
        <w:t>memorandum</w:t>
      </w:r>
      <w:r w:rsidR="00801CA0" w:rsidRPr="00E20A08">
        <w:rPr>
          <w:lang w:val="en-CA"/>
        </w:rPr>
        <w:t xml:space="preserve"> </w:t>
      </w:r>
      <w:r w:rsidRPr="00E20A08">
        <w:rPr>
          <w:lang w:val="en-CA"/>
        </w:rPr>
        <w:t xml:space="preserve">does not reproduce the testimony or documentary evidence </w:t>
      </w:r>
      <w:r w:rsidR="006A5F0B">
        <w:rPr>
          <w:lang w:val="en-CA"/>
        </w:rPr>
        <w:t>adduced</w:t>
      </w:r>
      <w:r w:rsidRPr="00E20A08">
        <w:rPr>
          <w:lang w:val="en-CA"/>
        </w:rPr>
        <w:t xml:space="preserve"> before the </w:t>
      </w:r>
      <w:r w:rsidR="00DC31C3">
        <w:rPr>
          <w:lang w:val="en-CA"/>
        </w:rPr>
        <w:t>ATQ</w:t>
      </w:r>
      <w:r w:rsidRPr="00E20A08">
        <w:rPr>
          <w:lang w:val="en-CA"/>
        </w:rPr>
        <w:t>.</w:t>
      </w:r>
      <w:r w:rsidR="006979E7" w:rsidRPr="00E20A08">
        <w:rPr>
          <w:lang w:val="en-CA"/>
        </w:rPr>
        <w:t xml:space="preserve"> </w:t>
      </w:r>
      <w:r w:rsidRPr="00E20A08">
        <w:rPr>
          <w:lang w:val="en-CA"/>
        </w:rPr>
        <w:t xml:space="preserve">What we know is therefore limited to the summary in the </w:t>
      </w:r>
      <w:r w:rsidR="00DC31C3">
        <w:rPr>
          <w:lang w:val="en-CA"/>
        </w:rPr>
        <w:t>ATQ</w:t>
      </w:r>
      <w:r w:rsidRPr="00E20A08">
        <w:rPr>
          <w:lang w:val="en-CA"/>
        </w:rPr>
        <w:t>’s decision.</w:t>
      </w:r>
      <w:r w:rsidRPr="00E20A08">
        <w:rPr>
          <w:rStyle w:val="Appelnotedebasdep"/>
          <w:lang w:val="en-CA"/>
        </w:rPr>
        <w:footnoteReference w:id="31"/>
      </w:r>
      <w:r w:rsidR="006979E7" w:rsidRPr="00E20A08">
        <w:rPr>
          <w:lang w:val="en-CA"/>
        </w:rPr>
        <w:t xml:space="preserve"> </w:t>
      </w:r>
      <w:r w:rsidRPr="00E20A08">
        <w:rPr>
          <w:lang w:val="en-CA"/>
        </w:rPr>
        <w:t xml:space="preserve">The decision tells us that the appellant testified and, </w:t>
      </w:r>
      <w:r w:rsidR="006A5F0B">
        <w:rPr>
          <w:lang w:val="en-CA"/>
        </w:rPr>
        <w:t>using</w:t>
      </w:r>
      <w:r w:rsidRPr="00E20A08">
        <w:rPr>
          <w:lang w:val="en-CA"/>
        </w:rPr>
        <w:t xml:space="preserve"> various tables he prepared himself, he apparently tried to </w:t>
      </w:r>
      <w:r w:rsidR="00F7659E" w:rsidRPr="00E20A08">
        <w:rPr>
          <w:lang w:val="en-CA"/>
        </w:rPr>
        <w:t>establish</w:t>
      </w:r>
      <w:r w:rsidRPr="00E20A08">
        <w:rPr>
          <w:lang w:val="en-CA"/>
        </w:rPr>
        <w:t xml:space="preserve"> the following: </w:t>
      </w:r>
      <w:r w:rsidR="006A5F0B">
        <w:rPr>
          <w:lang w:val="en-CA"/>
        </w:rPr>
        <w:t>I</w:t>
      </w:r>
      <w:r w:rsidRPr="00E20A08">
        <w:rPr>
          <w:lang w:val="en-CA"/>
        </w:rPr>
        <w:t xml:space="preserve">f he had complied </w:t>
      </w:r>
      <w:r w:rsidR="00A420AF" w:rsidRPr="00E20A08">
        <w:rPr>
          <w:lang w:val="en-CA"/>
        </w:rPr>
        <w:t>with</w:t>
      </w:r>
      <w:r w:rsidRPr="00E20A08">
        <w:rPr>
          <w:lang w:val="en-CA"/>
        </w:rPr>
        <w:t xml:space="preserve"> the Minister’s request and exercised his rights under </w:t>
      </w:r>
      <w:r w:rsidRPr="00E20A08">
        <w:rPr>
          <w:lang w:val="en-CA"/>
        </w:rPr>
        <w:lastRenderedPageBreak/>
        <w:t xml:space="preserve">the </w:t>
      </w:r>
      <w:r w:rsidRPr="006A5F0B">
        <w:rPr>
          <w:i/>
          <w:iCs/>
          <w:lang w:val="en-CA"/>
        </w:rPr>
        <w:t>Act respecting the Quebec Pension Plan</w:t>
      </w:r>
      <w:r w:rsidRPr="00E20A08">
        <w:rPr>
          <w:lang w:val="en-CA"/>
        </w:rPr>
        <w:t xml:space="preserve"> when he turned 60, he would have </w:t>
      </w:r>
      <w:r w:rsidR="006A5F0B">
        <w:rPr>
          <w:lang w:val="en-CA"/>
        </w:rPr>
        <w:t>received</w:t>
      </w:r>
      <w:r w:rsidRPr="00E20A08">
        <w:rPr>
          <w:lang w:val="en-CA"/>
        </w:rPr>
        <w:t xml:space="preserve"> payments of $495 per month (which would have made him eligible for residual social assistance payments) and, </w:t>
      </w:r>
      <w:r w:rsidR="006A5F0B">
        <w:rPr>
          <w:lang w:val="en-CA"/>
        </w:rPr>
        <w:t xml:space="preserve">when he was </w:t>
      </w:r>
      <w:r w:rsidRPr="00E20A08">
        <w:rPr>
          <w:lang w:val="en-CA"/>
        </w:rPr>
        <w:t xml:space="preserve">73 </w:t>
      </w:r>
      <w:r w:rsidR="006A5F0B">
        <w:rPr>
          <w:lang w:val="en-CA"/>
        </w:rPr>
        <w:t xml:space="preserve">years old </w:t>
      </w:r>
      <w:r w:rsidRPr="00E20A08">
        <w:rPr>
          <w:lang w:val="en-CA"/>
        </w:rPr>
        <w:t>(that is</w:t>
      </w:r>
      <w:r w:rsidR="006A5F0B">
        <w:rPr>
          <w:lang w:val="en-CA"/>
        </w:rPr>
        <w:t xml:space="preserve">, when the </w:t>
      </w:r>
      <w:r w:rsidRPr="00E20A08">
        <w:rPr>
          <w:lang w:val="en-CA"/>
        </w:rPr>
        <w:t xml:space="preserve">hearing before the </w:t>
      </w:r>
      <w:r w:rsidR="00DC31C3">
        <w:rPr>
          <w:lang w:val="en-CA"/>
        </w:rPr>
        <w:t>ATQ</w:t>
      </w:r>
      <w:r w:rsidR="006A5F0B">
        <w:rPr>
          <w:lang w:val="en-CA"/>
        </w:rPr>
        <w:t xml:space="preserve"> took place</w:t>
      </w:r>
      <w:r w:rsidRPr="00E20A08">
        <w:rPr>
          <w:lang w:val="en-CA"/>
        </w:rPr>
        <w:t xml:space="preserve">), he would have been receiving only $560 per month instead of the $804 he </w:t>
      </w:r>
      <w:r w:rsidR="006A5F0B">
        <w:rPr>
          <w:lang w:val="en-CA"/>
        </w:rPr>
        <w:t>was</w:t>
      </w:r>
      <w:r w:rsidRPr="00E20A08">
        <w:rPr>
          <w:lang w:val="en-CA"/>
        </w:rPr>
        <w:t xml:space="preserve"> being paid.</w:t>
      </w:r>
      <w:r w:rsidR="006979E7" w:rsidRPr="00E20A08">
        <w:rPr>
          <w:lang w:val="en-CA"/>
        </w:rPr>
        <w:t xml:space="preserve"> </w:t>
      </w:r>
      <w:bookmarkEnd w:id="16"/>
      <w:bookmarkEnd w:id="17"/>
      <w:r w:rsidRPr="00E20A08">
        <w:rPr>
          <w:lang w:val="en-CA"/>
        </w:rPr>
        <w:t xml:space="preserve">Whatever the case may be, neither this testimony nor the documents filed by </w:t>
      </w:r>
      <w:r w:rsidR="006A5F0B">
        <w:rPr>
          <w:lang w:val="en-CA"/>
        </w:rPr>
        <w:t>the</w:t>
      </w:r>
      <w:r w:rsidRPr="00E20A08">
        <w:rPr>
          <w:lang w:val="en-CA"/>
        </w:rPr>
        <w:t xml:space="preserve"> appellant appear in the record of appeal.</w:t>
      </w:r>
    </w:p>
    <w:p w14:paraId="722DA611" w14:textId="2EDF9233" w:rsidR="00640E7F" w:rsidRPr="00E20A08" w:rsidRDefault="00F35761" w:rsidP="00640E7F">
      <w:pPr>
        <w:pStyle w:val="Paragraphe"/>
        <w:rPr>
          <w:lang w:val="en-CA"/>
        </w:rPr>
      </w:pPr>
      <w:r w:rsidRPr="00E20A08">
        <w:rPr>
          <w:lang w:val="en-CA"/>
        </w:rPr>
        <w:t xml:space="preserve">An actuary from </w:t>
      </w:r>
      <w:proofErr w:type="spellStart"/>
      <w:r w:rsidRPr="00E20A08">
        <w:rPr>
          <w:lang w:val="en-CA"/>
        </w:rPr>
        <w:t>Retraite</w:t>
      </w:r>
      <w:proofErr w:type="spellEnd"/>
      <w:r w:rsidRPr="00E20A08">
        <w:rPr>
          <w:lang w:val="en-CA"/>
        </w:rPr>
        <w:t xml:space="preserve"> Québe</w:t>
      </w:r>
      <w:r w:rsidR="00F7659E">
        <w:rPr>
          <w:lang w:val="en-CA"/>
        </w:rPr>
        <w:t>c</w:t>
      </w:r>
      <w:r w:rsidRPr="00E20A08">
        <w:rPr>
          <w:lang w:val="en-CA"/>
        </w:rPr>
        <w:t xml:space="preserve"> also testified before the </w:t>
      </w:r>
      <w:r w:rsidR="00DC31C3">
        <w:rPr>
          <w:lang w:val="en-CA"/>
        </w:rPr>
        <w:t>ATQ</w:t>
      </w:r>
      <w:r w:rsidRPr="00E20A08">
        <w:rPr>
          <w:lang w:val="en-CA"/>
        </w:rPr>
        <w:t>.</w:t>
      </w:r>
      <w:r w:rsidR="006979E7" w:rsidRPr="00E20A08">
        <w:rPr>
          <w:lang w:val="en-CA"/>
        </w:rPr>
        <w:t xml:space="preserve"> </w:t>
      </w:r>
      <w:r w:rsidRPr="00E20A08">
        <w:rPr>
          <w:lang w:val="en-CA"/>
        </w:rPr>
        <w:t>He explained, among other things, that receiving a more modest pension at the age of 60, in accordance with certain actuarial imperatives, is not in itself disadvantageous and may even be profitable, depending on the contributor’s circumstances</w:t>
      </w:r>
      <w:r w:rsidR="002D1451">
        <w:rPr>
          <w:lang w:val="en-CA"/>
        </w:rPr>
        <w:t xml:space="preserve">. It all </w:t>
      </w:r>
      <w:r w:rsidRPr="00E20A08">
        <w:rPr>
          <w:lang w:val="en-CA"/>
        </w:rPr>
        <w:t>depends on the individual’s situation.</w:t>
      </w:r>
      <w:r w:rsidR="006979E7" w:rsidRPr="00E20A08">
        <w:rPr>
          <w:lang w:val="en-CA"/>
        </w:rPr>
        <w:t xml:space="preserve"> </w:t>
      </w:r>
      <w:r w:rsidRPr="00E20A08">
        <w:rPr>
          <w:lang w:val="en-CA"/>
        </w:rPr>
        <w:t>Furthermore, by the end of life, the total amount received by a contributor who began collecting his pension at 60 and the person who began at 65 will be overall the same.</w:t>
      </w:r>
      <w:r w:rsidR="006979E7" w:rsidRPr="00E20A08">
        <w:rPr>
          <w:lang w:val="en-CA"/>
        </w:rPr>
        <w:t xml:space="preserve"> </w:t>
      </w:r>
      <w:r w:rsidRPr="00E20A08">
        <w:rPr>
          <w:lang w:val="en-CA"/>
        </w:rPr>
        <w:t xml:space="preserve">Unfortunately, this testimony does not appear in the appeal record, and if documents were </w:t>
      </w:r>
      <w:r w:rsidR="002D1451">
        <w:rPr>
          <w:lang w:val="en-CA"/>
        </w:rPr>
        <w:t>f</w:t>
      </w:r>
      <w:r w:rsidRPr="00E20A08">
        <w:rPr>
          <w:lang w:val="en-CA"/>
        </w:rPr>
        <w:t>iled by the witness (which we also do not know), they do not appear either.</w:t>
      </w:r>
    </w:p>
    <w:p w14:paraId="5C48CE9D" w14:textId="3C12478D" w:rsidR="00640E7F" w:rsidRPr="00E20A08" w:rsidRDefault="00F35761" w:rsidP="00640E7F">
      <w:pPr>
        <w:pStyle w:val="Paragraphe"/>
        <w:rPr>
          <w:lang w:val="en-CA"/>
        </w:rPr>
      </w:pPr>
      <w:r w:rsidRPr="00E20A08">
        <w:rPr>
          <w:lang w:val="en-CA"/>
        </w:rPr>
        <w:t xml:space="preserve">As we will see, the </w:t>
      </w:r>
      <w:r w:rsidR="00076CD4">
        <w:rPr>
          <w:lang w:val="en-CA"/>
        </w:rPr>
        <w:t xml:space="preserve">absence </w:t>
      </w:r>
      <w:r w:rsidRPr="00E20A08">
        <w:rPr>
          <w:lang w:val="en-CA"/>
        </w:rPr>
        <w:t xml:space="preserve">of this evidence </w:t>
      </w:r>
      <w:r w:rsidR="00076CD4">
        <w:rPr>
          <w:lang w:val="en-CA"/>
        </w:rPr>
        <w:t xml:space="preserve">from </w:t>
      </w:r>
      <w:r w:rsidRPr="00E20A08">
        <w:rPr>
          <w:lang w:val="en-CA"/>
        </w:rPr>
        <w:t>the appeal record will be an impediment to the appellant’s claim, such that the appeal cannot succeed.</w:t>
      </w:r>
    </w:p>
    <w:p w14:paraId="702B415D" w14:textId="77777777" w:rsidR="00640E7F" w:rsidRPr="00E20A08" w:rsidRDefault="006979E7" w:rsidP="00640E7F">
      <w:pPr>
        <w:pStyle w:val="Paragraphe"/>
        <w:numPr>
          <w:ilvl w:val="0"/>
          <w:numId w:val="0"/>
        </w:numPr>
        <w:spacing w:before="240" w:after="240"/>
        <w:jc w:val="center"/>
        <w:rPr>
          <w:lang w:val="en-CA"/>
        </w:rPr>
      </w:pPr>
      <w:r w:rsidRPr="00E20A08">
        <w:rPr>
          <w:lang w:val="en-CA"/>
        </w:rPr>
        <w:t>* *</w:t>
      </w:r>
    </w:p>
    <w:p w14:paraId="46776EF1" w14:textId="72919BBB" w:rsidR="00640E7F" w:rsidRPr="00E20A08" w:rsidRDefault="00F35761" w:rsidP="00640E7F">
      <w:pPr>
        <w:pStyle w:val="Paragraphe"/>
        <w:rPr>
          <w:lang w:val="en-CA"/>
        </w:rPr>
      </w:pPr>
      <w:r w:rsidRPr="00E20A08">
        <w:rPr>
          <w:lang w:val="en-CA"/>
        </w:rPr>
        <w:t xml:space="preserve">To properly delineate the dispute, let us first consider </w:t>
      </w:r>
      <w:r w:rsidR="001F1E84">
        <w:rPr>
          <w:lang w:val="en-CA"/>
        </w:rPr>
        <w:t>ss.</w:t>
      </w:r>
      <w:r w:rsidR="006979E7" w:rsidRPr="00E20A08">
        <w:rPr>
          <w:lang w:val="en-CA"/>
        </w:rPr>
        <w:t xml:space="preserve"> </w:t>
      </w:r>
      <w:r w:rsidRPr="00E20A08">
        <w:rPr>
          <w:lang w:val="en-CA"/>
        </w:rPr>
        <w:t>105(a), 106.3, and 120.1</w:t>
      </w:r>
      <w:r w:rsidR="00040F5E" w:rsidRPr="00657811">
        <w:rPr>
          <w:i/>
          <w:iCs/>
          <w:lang w:val="en-CA"/>
        </w:rPr>
        <w:t>A.Q.P.P.</w:t>
      </w:r>
      <w:r w:rsidRPr="00657811">
        <w:rPr>
          <w:i/>
          <w:iCs/>
          <w:lang w:val="en-CA"/>
        </w:rPr>
        <w:t>,</w:t>
      </w:r>
      <w:r w:rsidRPr="00E20A08">
        <w:rPr>
          <w:lang w:val="en-CA"/>
        </w:rPr>
        <w:t xml:space="preserve"> </w:t>
      </w:r>
      <w:r w:rsidR="00C05960">
        <w:rPr>
          <w:lang w:val="en-CA"/>
        </w:rPr>
        <w:t>para</w:t>
      </w:r>
      <w:r w:rsidR="002F063A">
        <w:rPr>
          <w:lang w:val="en-CA"/>
        </w:rPr>
        <w:t>.</w:t>
      </w:r>
      <w:r w:rsidR="00C05960">
        <w:rPr>
          <w:lang w:val="en-CA"/>
        </w:rPr>
        <w:t xml:space="preserve"> 1:</w:t>
      </w:r>
      <w:r w:rsidR="006979E7" w:rsidRPr="00E20A08">
        <w:rPr>
          <w:rStyle w:val="Appelnotedebasdep"/>
          <w:lang w:val="en-CA"/>
        </w:rPr>
        <w:footnoteReference w:id="32"/>
      </w:r>
      <w:r w:rsidR="006979E7" w:rsidRPr="00E20A08">
        <w:rPr>
          <w:lang w:val="en-CA"/>
        </w:rPr>
        <w:t>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7044F8" w:rsidRPr="00076CD4" w14:paraId="5F32D729" w14:textId="77777777" w:rsidTr="00DA191C">
        <w:tc>
          <w:tcPr>
            <w:tcW w:w="4032" w:type="dxa"/>
          </w:tcPr>
          <w:p w14:paraId="6EE7EB97" w14:textId="220138ED" w:rsidR="00640E7F" w:rsidRPr="00E20A08" w:rsidRDefault="006979E7" w:rsidP="00DA191C">
            <w:pPr>
              <w:pStyle w:val="Citationenretrait"/>
              <w:ind w:left="0" w:right="0"/>
              <w:rPr>
                <w:lang w:val="en-CA"/>
              </w:rPr>
            </w:pPr>
            <w:r w:rsidRPr="00E20A08">
              <w:rPr>
                <w:b/>
                <w:lang w:val="en-CA"/>
              </w:rPr>
              <w:t>105.</w:t>
            </w:r>
            <w:r w:rsidRPr="00E20A08">
              <w:rPr>
                <w:lang w:val="en-CA"/>
              </w:rPr>
              <w:tab/>
            </w:r>
            <w:proofErr w:type="spellStart"/>
            <w:r w:rsidR="00F35761" w:rsidRPr="00E20A08">
              <w:rPr>
                <w:lang w:val="en-CA"/>
              </w:rPr>
              <w:t>Retraite</w:t>
            </w:r>
            <w:proofErr w:type="spellEnd"/>
            <w:r w:rsidR="00F35761" w:rsidRPr="00E20A08">
              <w:rPr>
                <w:lang w:val="en-CA"/>
              </w:rPr>
              <w:t xml:space="preserve"> Québec shall, subject to the rules laid down in this Act, pay the following pensions and benefits:</w:t>
            </w:r>
          </w:p>
        </w:tc>
        <w:tc>
          <w:tcPr>
            <w:tcW w:w="4032" w:type="dxa"/>
          </w:tcPr>
          <w:p w14:paraId="5245EA1A" w14:textId="6A305E63" w:rsidR="00640E7F" w:rsidRPr="00076CD4" w:rsidRDefault="006979E7" w:rsidP="00DA191C">
            <w:pPr>
              <w:pStyle w:val="Citationenretrait"/>
              <w:ind w:left="0" w:right="0"/>
              <w:rPr>
                <w:b/>
              </w:rPr>
            </w:pPr>
            <w:r w:rsidRPr="00076CD4">
              <w:rPr>
                <w:b/>
              </w:rPr>
              <w:t>105.</w:t>
            </w:r>
            <w:r w:rsidRPr="00076CD4">
              <w:tab/>
            </w:r>
            <w:r w:rsidR="00076CD4" w:rsidRPr="00076CD4">
              <w:t>Retraite Québec doit, selon les règles établies dans la présente loi, payer les rentes et prestations suivantes :</w:t>
            </w:r>
          </w:p>
        </w:tc>
      </w:tr>
      <w:tr w:rsidR="007044F8" w:rsidRPr="00076CD4" w14:paraId="5762853C" w14:textId="77777777" w:rsidTr="00DA191C">
        <w:tc>
          <w:tcPr>
            <w:tcW w:w="4032" w:type="dxa"/>
          </w:tcPr>
          <w:p w14:paraId="3C75396E" w14:textId="3C6DDAE8" w:rsidR="00640E7F" w:rsidRPr="00076CD4" w:rsidRDefault="00F35761" w:rsidP="00DA191C">
            <w:pPr>
              <w:pStyle w:val="Citationenretrait"/>
              <w:tabs>
                <w:tab w:val="left" w:pos="860"/>
              </w:tabs>
              <w:ind w:left="0" w:right="0"/>
              <w:rPr>
                <w:lang w:val="en-CA"/>
              </w:rPr>
            </w:pPr>
            <w:r w:rsidRPr="00076CD4">
              <w:rPr>
                <w:i/>
                <w:lang w:val="en-CA"/>
              </w:rPr>
              <w:t>a)</w:t>
            </w:r>
            <w:r w:rsidRPr="00076CD4">
              <w:rPr>
                <w:lang w:val="en-CA"/>
              </w:rPr>
              <w:t>  </w:t>
            </w:r>
            <w:r w:rsidR="00076CD4" w:rsidRPr="00076CD4">
              <w:rPr>
                <w:i/>
                <w:lang w:val="en-CA"/>
              </w:rPr>
              <w:t>a retirement pension to a qualified contributor and an additional amount for disability after retirement to the beneficiary of a retirement pension who becomes a qualified disabled contributor;</w:t>
            </w:r>
          </w:p>
        </w:tc>
        <w:tc>
          <w:tcPr>
            <w:tcW w:w="4032" w:type="dxa"/>
          </w:tcPr>
          <w:p w14:paraId="7828FC43" w14:textId="35686552" w:rsidR="00640E7F" w:rsidRPr="00076CD4" w:rsidRDefault="00F35761" w:rsidP="00DA191C">
            <w:pPr>
              <w:pStyle w:val="Citationenretrait"/>
              <w:ind w:left="0" w:right="0"/>
            </w:pPr>
            <w:r w:rsidRPr="00076CD4">
              <w:rPr>
                <w:i/>
              </w:rPr>
              <w:t>(a)  </w:t>
            </w:r>
            <w:r w:rsidR="00076CD4" w:rsidRPr="00076CD4">
              <w:rPr>
                <w:i/>
              </w:rPr>
              <w:t>une rente de retraite à un cotisant admissible et un montant additionnel pour invalidité après la retraite au bénéficiaire de la rente de retraite qui devient un cotisant invalide admissible</w:t>
            </w:r>
            <w:r w:rsidRPr="00076CD4">
              <w:t>;</w:t>
            </w:r>
          </w:p>
        </w:tc>
      </w:tr>
      <w:tr w:rsidR="007044F8" w:rsidRPr="00E20A08" w14:paraId="2F6B65A1" w14:textId="77777777" w:rsidTr="00DA191C">
        <w:tc>
          <w:tcPr>
            <w:tcW w:w="4032" w:type="dxa"/>
          </w:tcPr>
          <w:p w14:paraId="799E220A" w14:textId="20D3D088" w:rsidR="00640E7F" w:rsidRPr="00E20A08" w:rsidRDefault="006979E7" w:rsidP="00DA191C">
            <w:pPr>
              <w:pStyle w:val="Citationenretrait"/>
              <w:tabs>
                <w:tab w:val="left" w:pos="860"/>
              </w:tabs>
              <w:ind w:left="0" w:right="0"/>
              <w:rPr>
                <w:lang w:val="en-CA"/>
              </w:rPr>
            </w:pPr>
            <w:r w:rsidRPr="00E20A08">
              <w:rPr>
                <w:lang w:val="en-CA"/>
              </w:rPr>
              <w:t>…</w:t>
            </w:r>
          </w:p>
        </w:tc>
        <w:tc>
          <w:tcPr>
            <w:tcW w:w="4032" w:type="dxa"/>
          </w:tcPr>
          <w:p w14:paraId="428CD244" w14:textId="7C0C3280" w:rsidR="00640E7F" w:rsidRPr="00E20A08" w:rsidRDefault="004F3180" w:rsidP="00DA191C">
            <w:pPr>
              <w:pStyle w:val="Citationenretrait"/>
              <w:ind w:left="0" w:right="0"/>
              <w:rPr>
                <w:lang w:val="en-CA"/>
              </w:rPr>
            </w:pPr>
            <w:r>
              <w:rPr>
                <w:lang w:val="en-CA"/>
              </w:rPr>
              <w:t>[</w:t>
            </w:r>
            <w:r w:rsidR="006979E7" w:rsidRPr="00E20A08">
              <w:rPr>
                <w:lang w:val="en-CA"/>
              </w:rPr>
              <w:t>…</w:t>
            </w:r>
            <w:r>
              <w:rPr>
                <w:lang w:val="en-CA"/>
              </w:rPr>
              <w:t>]</w:t>
            </w:r>
          </w:p>
        </w:tc>
      </w:tr>
      <w:tr w:rsidR="003F1184" w:rsidRPr="003F1184" w14:paraId="3FDAE88C" w14:textId="77777777" w:rsidTr="00DA191C">
        <w:tc>
          <w:tcPr>
            <w:tcW w:w="4032" w:type="dxa"/>
          </w:tcPr>
          <w:p w14:paraId="46268CAE" w14:textId="68C52476" w:rsidR="003F1184" w:rsidRPr="003F1184" w:rsidRDefault="003F1184" w:rsidP="003F1184">
            <w:pPr>
              <w:pStyle w:val="Citationenretrait"/>
              <w:tabs>
                <w:tab w:val="left" w:pos="860"/>
              </w:tabs>
              <w:ind w:left="0" w:right="0"/>
              <w:rPr>
                <w:b/>
                <w:lang w:val="en-CA"/>
              </w:rPr>
            </w:pPr>
            <w:r w:rsidRPr="00C40823">
              <w:rPr>
                <w:b/>
                <w:lang w:val="en-CA"/>
              </w:rPr>
              <w:lastRenderedPageBreak/>
              <w:t>106.3.</w:t>
            </w:r>
            <w:r w:rsidRPr="00C40823">
              <w:rPr>
                <w:lang w:val="en-CA"/>
              </w:rPr>
              <w:tab/>
              <w:t>A contributor is qualified for a retirement pension from the age of 60.</w:t>
            </w:r>
          </w:p>
        </w:tc>
        <w:tc>
          <w:tcPr>
            <w:tcW w:w="4032" w:type="dxa"/>
          </w:tcPr>
          <w:p w14:paraId="4FEFDC15" w14:textId="271BABC4" w:rsidR="003F1184" w:rsidRPr="003F1184" w:rsidRDefault="003F1184" w:rsidP="003F1184">
            <w:pPr>
              <w:pStyle w:val="Citationenretrait"/>
              <w:ind w:left="0" w:right="0"/>
              <w:rPr>
                <w:b/>
              </w:rPr>
            </w:pPr>
            <w:r>
              <w:rPr>
                <w:b/>
              </w:rPr>
              <w:t>106.3.</w:t>
            </w:r>
            <w:r>
              <w:tab/>
            </w:r>
            <w:r w:rsidRPr="00C40823">
              <w:t>Un cotisant est admissible à une rente de retraite à compter de 60</w:t>
            </w:r>
            <w:r>
              <w:t> </w:t>
            </w:r>
            <w:r w:rsidRPr="00C40823">
              <w:t>ans.</w:t>
            </w:r>
          </w:p>
        </w:tc>
      </w:tr>
      <w:tr w:rsidR="003F1184" w:rsidRPr="003F1184" w14:paraId="50B15D09" w14:textId="77777777" w:rsidTr="00DA191C">
        <w:tc>
          <w:tcPr>
            <w:tcW w:w="4032" w:type="dxa"/>
          </w:tcPr>
          <w:p w14:paraId="4C18114F" w14:textId="29310D64" w:rsidR="003F1184" w:rsidRPr="003F1184" w:rsidRDefault="003F1184" w:rsidP="003F1184">
            <w:pPr>
              <w:pStyle w:val="Citationenretrait"/>
              <w:tabs>
                <w:tab w:val="left" w:pos="860"/>
              </w:tabs>
              <w:ind w:left="0" w:right="0"/>
              <w:rPr>
                <w:b/>
                <w:lang w:val="en-CA"/>
              </w:rPr>
            </w:pPr>
            <w:r w:rsidRPr="00D565D3">
              <w:tab/>
            </w:r>
            <w:r w:rsidRPr="00C40823">
              <w:rPr>
                <w:lang w:val="en-CA"/>
              </w:rPr>
              <w:t>However, no contributor qualifies for a retirement pension before the age of 65 if an indemnity referred to in section 105.1 or 105.2 is payable to the contributor, unless the retirement pension has become payable to the contributor before that indemnity. Exclusion from entitlement to a retirement pension for the beneficiary of an indemnity referred to in section 105.1 applies only if the contributor otherwise qualifies for a disability pension.</w:t>
            </w:r>
          </w:p>
        </w:tc>
        <w:tc>
          <w:tcPr>
            <w:tcW w:w="4032" w:type="dxa"/>
          </w:tcPr>
          <w:p w14:paraId="525CE45B" w14:textId="6FB1CAC4" w:rsidR="003F1184" w:rsidRPr="003F1184" w:rsidRDefault="003F1184" w:rsidP="003F1184">
            <w:pPr>
              <w:pStyle w:val="Citationenretrait"/>
              <w:ind w:left="0" w:right="0"/>
            </w:pPr>
            <w:r w:rsidRPr="00C40823">
              <w:rPr>
                <w:lang w:val="en-CA"/>
              </w:rPr>
              <w:tab/>
            </w:r>
            <w:r w:rsidRPr="00C40823">
              <w:t>Toutefois, nul cotisant n’est admissible à la rente de retraite avant l’âge de 65 ans si une indemnité visée à l’article 105.1 ou 105.2 lui est payable, à moins que la rente de retraite ne lui soit devenue payable avant cette indemnité. L’exclusion du droit à la rente de retraite pour le bénéficiaire d’une indemnité visée à l’article 105.1 ne s’applique cependant que si le cotisant est par ailleurs admissible à la rente d’invalidité.</w:t>
            </w:r>
          </w:p>
        </w:tc>
      </w:tr>
      <w:tr w:rsidR="003F1184" w:rsidRPr="003F1184" w14:paraId="7CB440F0" w14:textId="77777777" w:rsidTr="00DA191C">
        <w:tc>
          <w:tcPr>
            <w:tcW w:w="4032" w:type="dxa"/>
          </w:tcPr>
          <w:p w14:paraId="3F4B0447" w14:textId="552D4C05" w:rsidR="003F1184" w:rsidRPr="003F1184" w:rsidRDefault="003F1184" w:rsidP="003F1184">
            <w:pPr>
              <w:pStyle w:val="Citationenretrait"/>
              <w:ind w:left="0" w:right="0"/>
              <w:rPr>
                <w:b/>
                <w:lang w:val="en-CA"/>
              </w:rPr>
            </w:pPr>
            <w:r w:rsidRPr="00D565D3">
              <w:rPr>
                <w:b/>
                <w:lang w:val="en-CA"/>
              </w:rPr>
              <w:t>120.1.</w:t>
            </w:r>
            <w:r w:rsidRPr="00D565D3">
              <w:rPr>
                <w:lang w:val="en-CA"/>
              </w:rPr>
              <w:tab/>
            </w:r>
            <w:r w:rsidRPr="00971719">
              <w:rPr>
                <w:lang w:val="en-CA"/>
              </w:rPr>
              <w:t>The monthly amount of a retirement pension which becomes payable to a contributor on a date other than that of his sixty-fifth birthday is equal to the basic monthly amount of the retirement pension, adjusted as follows:</w:t>
            </w:r>
          </w:p>
        </w:tc>
        <w:tc>
          <w:tcPr>
            <w:tcW w:w="4032" w:type="dxa"/>
          </w:tcPr>
          <w:p w14:paraId="3BEFE1BF" w14:textId="6ECD3F18" w:rsidR="003F1184" w:rsidRPr="003F1184" w:rsidRDefault="003F1184" w:rsidP="003F1184">
            <w:pPr>
              <w:pStyle w:val="Citationenretrait"/>
              <w:ind w:left="0" w:right="0"/>
              <w:rPr>
                <w:b/>
              </w:rPr>
            </w:pPr>
            <w:r>
              <w:rPr>
                <w:b/>
              </w:rPr>
              <w:t>120.1.</w:t>
            </w:r>
            <w:r>
              <w:tab/>
            </w:r>
            <w:r w:rsidRPr="00971719">
              <w:t>Le montant mensuel de la rente de retraite qui devient payable à un cotisant à une date autre que celle de son soixante-cinquième anniversaire, est égal au montant mensuel initial de la rente</w:t>
            </w:r>
            <w:r>
              <w:t xml:space="preserve"> de retraite, ajusté comme suit :</w:t>
            </w:r>
          </w:p>
        </w:tc>
      </w:tr>
      <w:tr w:rsidR="003F1184" w:rsidRPr="003F1184" w14:paraId="51814799" w14:textId="77777777" w:rsidTr="00DA191C">
        <w:tc>
          <w:tcPr>
            <w:tcW w:w="4032" w:type="dxa"/>
          </w:tcPr>
          <w:p w14:paraId="2A2C2E40" w14:textId="79ACFD5F" w:rsidR="003F1184" w:rsidRPr="003F1184" w:rsidRDefault="003F1184" w:rsidP="003F1184">
            <w:pPr>
              <w:pStyle w:val="Citationenretrait"/>
              <w:tabs>
                <w:tab w:val="left" w:pos="860"/>
              </w:tabs>
              <w:ind w:left="0" w:right="0"/>
              <w:rPr>
                <w:lang w:val="en-CA"/>
              </w:rPr>
            </w:pPr>
            <w:r w:rsidRPr="00971719">
              <w:rPr>
                <w:lang w:val="en-CA"/>
              </w:rPr>
              <w:t>(1)</w:t>
            </w:r>
            <w:r>
              <w:rPr>
                <w:lang w:val="en-CA"/>
              </w:rPr>
              <w:t>  </w:t>
            </w:r>
            <w:r w:rsidRPr="00971719">
              <w:rPr>
                <w:lang w:val="en-CA"/>
              </w:rPr>
              <w:t xml:space="preserve">reduced, in the case of a pension that becomes payable after 31 December 2013, by 0.5%, to which is added an adjustment factor multiplied by the ratio between 25% of the average base monthly pensionable earnings of the contributor, calculated as provided in sections 116.1 to 116.5, for the year in which the retirement pension becomes payable and the maximum base monthly retirement pension for the year, calculated as provided in section 116.6, for each month of the period that falls between the date, prior to the contributor’s sixty-fifth birthday, on which the pension </w:t>
            </w:r>
            <w:r w:rsidRPr="00971719">
              <w:rPr>
                <w:lang w:val="en-CA"/>
              </w:rPr>
              <w:lastRenderedPageBreak/>
              <w:t>becomes payable and the date of the contributor’s sixty-fifth birthday; or</w:t>
            </w:r>
          </w:p>
        </w:tc>
        <w:tc>
          <w:tcPr>
            <w:tcW w:w="4032" w:type="dxa"/>
          </w:tcPr>
          <w:p w14:paraId="7BF718D9" w14:textId="6C79D509" w:rsidR="003F1184" w:rsidRPr="003F1184" w:rsidRDefault="003F1184" w:rsidP="003F1184">
            <w:pPr>
              <w:pStyle w:val="Citationenretrait"/>
              <w:ind w:left="0" w:right="0"/>
            </w:pPr>
            <w:r w:rsidRPr="00971719">
              <w:lastRenderedPageBreak/>
              <w:t>1°</w:t>
            </w:r>
            <w:r>
              <w:t>  </w:t>
            </w:r>
            <w:r w:rsidRPr="00971719">
              <w:t xml:space="preserve">soit réduit, dans le cas d’une rente qui devient payable après le 31 décembre 2013, de 0,5% auquel est ajouté un coefficient d’ajustement multiplié par le rapport entre 25% de la moyenne mensuelle des gains admissibles de base du cotisant calculée selon les articles 116.1 à 116.5 pour l’année au cours de laquelle la rente de retraite devient payable et le maximum mensuel de base de la rente de retraite pour l’année calculé selon l’article 116.6, pour chaque mois de la période comprise entre la date, antérieure à son soixante-cinquième anniversaire, à laquelle cette rente lui </w:t>
            </w:r>
            <w:r w:rsidRPr="00971719">
              <w:lastRenderedPageBreak/>
              <w:t>devient payable et celle de cet anniversaire;</w:t>
            </w:r>
          </w:p>
        </w:tc>
      </w:tr>
      <w:tr w:rsidR="003F1184" w:rsidRPr="003F1184" w14:paraId="70D5A15D" w14:textId="77777777" w:rsidTr="00DA191C">
        <w:tc>
          <w:tcPr>
            <w:tcW w:w="4032" w:type="dxa"/>
          </w:tcPr>
          <w:p w14:paraId="67A4A1B4" w14:textId="1F01219A" w:rsidR="003F1184" w:rsidRPr="003F1184" w:rsidRDefault="003F1184" w:rsidP="003F1184">
            <w:pPr>
              <w:pStyle w:val="Citationenretrait"/>
              <w:ind w:left="0" w:right="0"/>
              <w:rPr>
                <w:lang w:val="en-CA"/>
              </w:rPr>
            </w:pPr>
            <w:r w:rsidRPr="00FE1C55">
              <w:rPr>
                <w:lang w:val="en-CA"/>
              </w:rPr>
              <w:lastRenderedPageBreak/>
              <w:t>(2)</w:t>
            </w:r>
            <w:r>
              <w:rPr>
                <w:lang w:val="en-CA"/>
              </w:rPr>
              <w:t>  </w:t>
            </w:r>
            <w:r w:rsidRPr="00FE1C55">
              <w:rPr>
                <w:lang w:val="en-CA"/>
              </w:rPr>
              <w:t xml:space="preserve">increased by 0.7% in the case of a pension that becomes payable after 31 December 2013, for each month of the period that falls between the date of the contributor’s sixty-fifth birthday and the date, </w:t>
            </w:r>
            <w:proofErr w:type="gramStart"/>
            <w:r w:rsidRPr="00FE1C55">
              <w:rPr>
                <w:lang w:val="en-CA"/>
              </w:rPr>
              <w:t>subsequent to</w:t>
            </w:r>
            <w:proofErr w:type="gramEnd"/>
            <w:r w:rsidRPr="00FE1C55">
              <w:rPr>
                <w:lang w:val="en-CA"/>
              </w:rPr>
              <w:t xml:space="preserve"> the contributor’s sixty-fifth birthday, on which the pension becomes payable, up to a maximum of 60 months.</w:t>
            </w:r>
          </w:p>
        </w:tc>
        <w:tc>
          <w:tcPr>
            <w:tcW w:w="4032" w:type="dxa"/>
          </w:tcPr>
          <w:p w14:paraId="31DC7086" w14:textId="6D805B67" w:rsidR="003F1184" w:rsidRPr="003F1184" w:rsidRDefault="003F1184" w:rsidP="003F1184">
            <w:pPr>
              <w:pStyle w:val="Citationenretrait"/>
              <w:ind w:left="0" w:right="0"/>
            </w:pPr>
            <w:r w:rsidRPr="00FE1C55">
              <w:t>2</w:t>
            </w:r>
            <w:proofErr w:type="gramStart"/>
            <w:r w:rsidRPr="00FE1C55">
              <w:t>°</w:t>
            </w:r>
            <w:r>
              <w:t>  </w:t>
            </w:r>
            <w:r w:rsidRPr="00FE1C55">
              <w:t>soit</w:t>
            </w:r>
            <w:proofErr w:type="gramEnd"/>
            <w:r w:rsidRPr="00FE1C55">
              <w:t xml:space="preserve"> augmenté de 0,7% dans le cas d’une rente qui devient payable au cotisant après le 31 décembre 2013, pour chaque mois de la période comprise entre la date de son soixante-cinquième anniversaire et celle, postérieure à cet anniversaire, à laquelle cette rente lui devient payable, jusqu’à concurrence de 60 mois.</w:t>
            </w:r>
          </w:p>
        </w:tc>
      </w:tr>
      <w:tr w:rsidR="003F1184" w:rsidRPr="003F1184" w14:paraId="4F2423E7" w14:textId="77777777" w:rsidTr="00DA191C">
        <w:tc>
          <w:tcPr>
            <w:tcW w:w="4032" w:type="dxa"/>
          </w:tcPr>
          <w:p w14:paraId="4E9C6113" w14:textId="163BEE80" w:rsidR="003F1184" w:rsidRPr="003F1184" w:rsidRDefault="003F1184" w:rsidP="003F1184">
            <w:pPr>
              <w:pStyle w:val="Citationenretrait"/>
              <w:ind w:left="0" w:right="0"/>
              <w:rPr>
                <w:lang w:val="en-CA"/>
              </w:rPr>
            </w:pPr>
            <w:r>
              <w:tab/>
            </w:r>
            <w:r w:rsidRPr="00FE1C55">
              <w:rPr>
                <w:lang w:val="en-CA"/>
              </w:rPr>
              <w:t>For the purposes of this section, the adjustment factor is 0.03% if the retirement pension becomes payable in 2014, 0.06% if it becomes payable in 2015 and 0.1% if it becomes payable in 2016 or in any subsequent year.</w:t>
            </w:r>
          </w:p>
        </w:tc>
        <w:tc>
          <w:tcPr>
            <w:tcW w:w="4032" w:type="dxa"/>
          </w:tcPr>
          <w:p w14:paraId="6044EC25" w14:textId="4A23C28C" w:rsidR="003F1184" w:rsidRPr="003F1184" w:rsidRDefault="003F1184" w:rsidP="003F1184">
            <w:pPr>
              <w:pStyle w:val="Citationenretrait"/>
              <w:ind w:left="0" w:right="0"/>
            </w:pPr>
            <w:r w:rsidRPr="00BF341D">
              <w:rPr>
                <w:lang w:val="en-CA"/>
              </w:rPr>
              <w:tab/>
            </w:r>
            <w:r w:rsidRPr="00FE1C55">
              <w:t>Pour l’application du présent article, le coefficient d’ajustement est de 0,03% si la rente de retraite devient payable en 2014, de 0,06% si elle devient payable en 2015 et de 0,1% si elle devient payable en 2016 ou lors d’une année subséquente.</w:t>
            </w:r>
          </w:p>
        </w:tc>
      </w:tr>
    </w:tbl>
    <w:p w14:paraId="3882344D" w14:textId="5F89B54A" w:rsidR="00640E7F" w:rsidRPr="00E20A08" w:rsidRDefault="00F35761" w:rsidP="00640E7F">
      <w:pPr>
        <w:pStyle w:val="Paragraphe"/>
        <w:rPr>
          <w:lang w:val="en-CA"/>
        </w:rPr>
      </w:pPr>
      <w:r w:rsidRPr="00E20A08">
        <w:rPr>
          <w:lang w:val="en-CA"/>
        </w:rPr>
        <w:t>Within these parameters, contributors choose</w:t>
      </w:r>
      <w:r w:rsidR="006B7BD9">
        <w:rPr>
          <w:lang w:val="en-CA"/>
        </w:rPr>
        <w:t xml:space="preserve"> </w:t>
      </w:r>
      <w:r w:rsidR="00EE02C2">
        <w:rPr>
          <w:lang w:val="en-CA"/>
        </w:rPr>
        <w:t xml:space="preserve">when to </w:t>
      </w:r>
      <w:r w:rsidR="008C5262">
        <w:rPr>
          <w:lang w:val="en-CA"/>
        </w:rPr>
        <w:t xml:space="preserve">claim </w:t>
      </w:r>
      <w:r w:rsidRPr="00E20A08">
        <w:rPr>
          <w:lang w:val="en-CA"/>
        </w:rPr>
        <w:t>payment of their retirement pensions: they may claim at the age of 60, or between the ages of 60 and 70, and this choice</w:t>
      </w:r>
      <w:r w:rsidR="00133050">
        <w:rPr>
          <w:lang w:val="en-CA"/>
        </w:rPr>
        <w:t xml:space="preserve"> affects</w:t>
      </w:r>
      <w:r w:rsidRPr="00E20A08">
        <w:rPr>
          <w:lang w:val="en-CA"/>
        </w:rPr>
        <w:t xml:space="preserve"> the monthly amounts received, in accordance with the provisions of </w:t>
      </w:r>
      <w:r w:rsidR="006C5BE4">
        <w:rPr>
          <w:lang w:val="en-CA"/>
        </w:rPr>
        <w:t>s.</w:t>
      </w:r>
      <w:r w:rsidR="006979E7" w:rsidRPr="00E20A08">
        <w:rPr>
          <w:lang w:val="en-CA"/>
        </w:rPr>
        <w:t xml:space="preserve"> </w:t>
      </w:r>
      <w:r w:rsidRPr="00E20A08">
        <w:rPr>
          <w:lang w:val="en-CA"/>
        </w:rPr>
        <w:t xml:space="preserve">120.1 </w:t>
      </w:r>
      <w:r w:rsidR="002B2821">
        <w:rPr>
          <w:i/>
          <w:iCs/>
          <w:lang w:val="en-CA"/>
        </w:rPr>
        <w:t>A.Q.P.P.</w:t>
      </w:r>
      <w:r w:rsidR="006979E7" w:rsidRPr="00E20A08">
        <w:rPr>
          <w:lang w:val="en-CA"/>
        </w:rPr>
        <w:t xml:space="preserve"> </w:t>
      </w:r>
      <w:r w:rsidRPr="00E20A08">
        <w:rPr>
          <w:lang w:val="en-CA"/>
        </w:rPr>
        <w:t>Contributors make this choice on the basis of need, the state of their personal finances,</w:t>
      </w:r>
      <w:r w:rsidR="00133050">
        <w:rPr>
          <w:lang w:val="en-CA"/>
        </w:rPr>
        <w:t xml:space="preserve"> the state of</w:t>
      </w:r>
      <w:r w:rsidRPr="00E20A08">
        <w:rPr>
          <w:lang w:val="en-CA"/>
        </w:rPr>
        <w:t xml:space="preserve"> their health, their life expectancy, the tax impact of </w:t>
      </w:r>
      <w:r w:rsidR="00133050">
        <w:rPr>
          <w:lang w:val="en-CA"/>
        </w:rPr>
        <w:t xml:space="preserve">receiving </w:t>
      </w:r>
      <w:r w:rsidRPr="00E20A08">
        <w:rPr>
          <w:lang w:val="en-CA"/>
        </w:rPr>
        <w:t xml:space="preserve">the pension, the interrelationship of the pension </w:t>
      </w:r>
      <w:r w:rsidR="00F7659E" w:rsidRPr="00E20A08">
        <w:rPr>
          <w:lang w:val="en-CA"/>
        </w:rPr>
        <w:t>with</w:t>
      </w:r>
      <w:r w:rsidRPr="00E20A08">
        <w:rPr>
          <w:lang w:val="en-CA"/>
        </w:rPr>
        <w:t xml:space="preserve"> other retirement </w:t>
      </w:r>
      <w:r w:rsidR="00F7659E" w:rsidRPr="00E20A08">
        <w:rPr>
          <w:lang w:val="en-CA"/>
        </w:rPr>
        <w:t>plans</w:t>
      </w:r>
      <w:r w:rsidRPr="00E20A08">
        <w:rPr>
          <w:lang w:val="en-CA"/>
        </w:rPr>
        <w:t>, whether public (such as the Canadian Old Age Security and Guaranteed Income Supplement</w:t>
      </w:r>
      <w:r w:rsidR="00133050">
        <w:rPr>
          <w:lang w:val="en-CA"/>
        </w:rPr>
        <w:t xml:space="preserve"> regimes</w:t>
      </w:r>
      <w:r w:rsidRPr="00E20A08">
        <w:rPr>
          <w:lang w:val="en-CA"/>
        </w:rPr>
        <w:t xml:space="preserve">, for example, </w:t>
      </w:r>
      <w:r w:rsidR="00133050">
        <w:rPr>
          <w:lang w:val="en-CA"/>
        </w:rPr>
        <w:t xml:space="preserve">starting at </w:t>
      </w:r>
      <w:r w:rsidRPr="00E20A08">
        <w:rPr>
          <w:lang w:val="en-CA"/>
        </w:rPr>
        <w:t xml:space="preserve">age 65) or private (such as a supplemental pension plan) and other </w:t>
      </w:r>
      <w:r w:rsidR="00B22150">
        <w:rPr>
          <w:lang w:val="en-CA"/>
        </w:rPr>
        <w:t>personal</w:t>
      </w:r>
      <w:r w:rsidR="00B22150" w:rsidRPr="00E20A08">
        <w:rPr>
          <w:lang w:val="en-CA"/>
        </w:rPr>
        <w:t xml:space="preserve"> </w:t>
      </w:r>
      <w:r w:rsidRPr="00E20A08">
        <w:rPr>
          <w:lang w:val="en-CA"/>
        </w:rPr>
        <w:t>factors</w:t>
      </w:r>
      <w:r w:rsidR="00133050">
        <w:rPr>
          <w:lang w:val="en-CA"/>
        </w:rPr>
        <w:t>.</w:t>
      </w:r>
      <w:r w:rsidR="006979E7" w:rsidRPr="00E20A08">
        <w:rPr>
          <w:lang w:val="en-CA"/>
        </w:rPr>
        <w:t xml:space="preserve"> </w:t>
      </w:r>
    </w:p>
    <w:p w14:paraId="761D5093" w14:textId="57923609" w:rsidR="00640E7F" w:rsidRPr="00E20A08" w:rsidRDefault="00133050" w:rsidP="00640E7F">
      <w:pPr>
        <w:pStyle w:val="Paragraphe"/>
        <w:rPr>
          <w:lang w:val="en-CA"/>
        </w:rPr>
      </w:pPr>
      <w:bookmarkStart w:id="18" w:name="_Ref71977500"/>
      <w:r>
        <w:rPr>
          <w:lang w:val="en-CA"/>
        </w:rPr>
        <w:t>It should be noted that t</w:t>
      </w:r>
      <w:r w:rsidR="00F35761" w:rsidRPr="00E20A08">
        <w:rPr>
          <w:lang w:val="en-CA"/>
        </w:rPr>
        <w:t xml:space="preserve">he </w:t>
      </w:r>
      <w:r w:rsidR="00F35761" w:rsidRPr="00657811">
        <w:rPr>
          <w:i/>
          <w:iCs/>
          <w:lang w:val="en-CA"/>
        </w:rPr>
        <w:t>Act</w:t>
      </w:r>
      <w:r w:rsidR="00F35761" w:rsidRPr="00E20A08">
        <w:rPr>
          <w:lang w:val="en-CA"/>
        </w:rPr>
        <w:t xml:space="preserve"> </w:t>
      </w:r>
      <w:r w:rsidR="00F35761" w:rsidRPr="00133050">
        <w:rPr>
          <w:i/>
          <w:iCs/>
          <w:lang w:val="en-CA"/>
        </w:rPr>
        <w:t>respecting the Qu</w:t>
      </w:r>
      <w:r w:rsidRPr="00133050">
        <w:rPr>
          <w:i/>
          <w:iCs/>
          <w:lang w:val="en-CA"/>
        </w:rPr>
        <w:t>é</w:t>
      </w:r>
      <w:r w:rsidR="00F35761" w:rsidRPr="00133050">
        <w:rPr>
          <w:i/>
          <w:iCs/>
          <w:lang w:val="en-CA"/>
        </w:rPr>
        <w:t>bec Pension Plan</w:t>
      </w:r>
      <w:r>
        <w:rPr>
          <w:lang w:val="en-CA"/>
        </w:rPr>
        <w:t xml:space="preserve"> </w:t>
      </w:r>
      <w:r w:rsidR="00F35761" w:rsidRPr="00E20A08">
        <w:rPr>
          <w:lang w:val="en-CA"/>
        </w:rPr>
        <w:t xml:space="preserve">does not differentiate between contributors according to </w:t>
      </w:r>
      <w:proofErr w:type="gramStart"/>
      <w:r w:rsidR="00F35761" w:rsidRPr="00E20A08">
        <w:rPr>
          <w:lang w:val="en-CA"/>
        </w:rPr>
        <w:t>whether or not</w:t>
      </w:r>
      <w:proofErr w:type="gramEnd"/>
      <w:r w:rsidR="00F35761" w:rsidRPr="00E20A08">
        <w:rPr>
          <w:lang w:val="en-CA"/>
        </w:rPr>
        <w:t xml:space="preserve"> they receive last</w:t>
      </w:r>
      <w:r>
        <w:rPr>
          <w:lang w:val="en-CA"/>
        </w:rPr>
        <w:t xml:space="preserve"> </w:t>
      </w:r>
      <w:r w:rsidR="00F35761" w:rsidRPr="00E20A08">
        <w:rPr>
          <w:lang w:val="en-CA"/>
        </w:rPr>
        <w:t xml:space="preserve">resort financial assistance under the </w:t>
      </w:r>
      <w:r w:rsidR="00F35761" w:rsidRPr="00133050">
        <w:rPr>
          <w:i/>
          <w:iCs/>
          <w:lang w:val="en-CA"/>
        </w:rPr>
        <w:t>Individual and Family Assistance Act</w:t>
      </w:r>
      <w:r w:rsidR="00F35761" w:rsidRPr="00E20A08">
        <w:rPr>
          <w:lang w:val="en-CA"/>
        </w:rPr>
        <w:t>.</w:t>
      </w:r>
      <w:r w:rsidR="006979E7" w:rsidRPr="00E20A08">
        <w:rPr>
          <w:lang w:val="en-CA"/>
        </w:rPr>
        <w:t xml:space="preserve"> </w:t>
      </w:r>
      <w:r w:rsidR="00F35761" w:rsidRPr="00E20A08">
        <w:rPr>
          <w:lang w:val="en-CA"/>
        </w:rPr>
        <w:t xml:space="preserve">If </w:t>
      </w:r>
      <w:r>
        <w:rPr>
          <w:lang w:val="en-CA"/>
        </w:rPr>
        <w:t xml:space="preserve">any </w:t>
      </w:r>
      <w:r w:rsidR="00F35761" w:rsidRPr="00E20A08">
        <w:rPr>
          <w:lang w:val="en-CA"/>
        </w:rPr>
        <w:t xml:space="preserve">distinction </w:t>
      </w:r>
      <w:r w:rsidR="0082043B">
        <w:rPr>
          <w:lang w:val="en-CA"/>
        </w:rPr>
        <w:t>is</w:t>
      </w:r>
      <w:r>
        <w:rPr>
          <w:lang w:val="en-CA"/>
        </w:rPr>
        <w:t xml:space="preserve"> made </w:t>
      </w:r>
      <w:r w:rsidR="00F35761" w:rsidRPr="00E20A08">
        <w:rPr>
          <w:lang w:val="en-CA"/>
        </w:rPr>
        <w:t xml:space="preserve">among contributors, it </w:t>
      </w:r>
      <w:r>
        <w:rPr>
          <w:lang w:val="en-CA"/>
        </w:rPr>
        <w:t xml:space="preserve">arises </w:t>
      </w:r>
      <w:r w:rsidR="00F35761" w:rsidRPr="00E20A08">
        <w:rPr>
          <w:lang w:val="en-CA"/>
        </w:rPr>
        <w:t xml:space="preserve">from the latter </w:t>
      </w:r>
      <w:r w:rsidR="00F35761" w:rsidRPr="00133050">
        <w:rPr>
          <w:i/>
          <w:iCs/>
          <w:lang w:val="en-CA"/>
        </w:rPr>
        <w:t>Act</w:t>
      </w:r>
      <w:r w:rsidR="00F35761" w:rsidRPr="00E20A08">
        <w:rPr>
          <w:lang w:val="en-CA"/>
        </w:rPr>
        <w:t>.</w:t>
      </w:r>
      <w:r w:rsidR="006979E7" w:rsidRPr="00E20A08">
        <w:rPr>
          <w:lang w:val="en-CA"/>
        </w:rPr>
        <w:t xml:space="preserve"> </w:t>
      </w:r>
      <w:bookmarkEnd w:id="18"/>
      <w:r w:rsidR="00F35761" w:rsidRPr="00E20A08">
        <w:rPr>
          <w:lang w:val="en-CA"/>
        </w:rPr>
        <w:t xml:space="preserve">And that is where </w:t>
      </w:r>
      <w:r w:rsidR="001F1E84">
        <w:rPr>
          <w:lang w:val="en-CA"/>
        </w:rPr>
        <w:t>ss.</w:t>
      </w:r>
      <w:r w:rsidR="006979E7" w:rsidRPr="00E20A08">
        <w:rPr>
          <w:lang w:val="en-CA"/>
        </w:rPr>
        <w:t xml:space="preserve"> </w:t>
      </w:r>
      <w:r w:rsidR="00F35761" w:rsidRPr="00E20A08">
        <w:rPr>
          <w:lang w:val="en-CA"/>
        </w:rPr>
        <w:t xml:space="preserve">63 and 66 </w:t>
      </w:r>
      <w:r w:rsidR="00040F5E">
        <w:rPr>
          <w:i/>
          <w:iCs/>
          <w:lang w:val="en-CA"/>
        </w:rPr>
        <w:t>I.F.A.A.</w:t>
      </w:r>
      <w:r w:rsidR="00F35761" w:rsidRPr="00E20A08">
        <w:rPr>
          <w:lang w:val="en-CA"/>
        </w:rPr>
        <w:t xml:space="preserve"> </w:t>
      </w:r>
      <w:r w:rsidR="006979E7" w:rsidRPr="00E20A08">
        <w:rPr>
          <w:lang w:val="en-CA"/>
        </w:rPr>
        <w:t xml:space="preserve"> </w:t>
      </w:r>
      <w:r w:rsidR="0082043B">
        <w:rPr>
          <w:lang w:val="en-CA"/>
        </w:rPr>
        <w:t xml:space="preserve">– </w:t>
      </w:r>
      <w:r w:rsidR="00F35761" w:rsidRPr="00E20A08">
        <w:rPr>
          <w:lang w:val="en-CA"/>
        </w:rPr>
        <w:t>the provisions applicable to beneficiaries of the Social Assistance Program (</w:t>
      </w:r>
      <w:r w:rsidR="006C5BE4">
        <w:rPr>
          <w:lang w:val="en-CA"/>
        </w:rPr>
        <w:t>s.</w:t>
      </w:r>
      <w:r w:rsidR="006979E7" w:rsidRPr="00E20A08">
        <w:rPr>
          <w:lang w:val="en-CA"/>
        </w:rPr>
        <w:t xml:space="preserve"> </w:t>
      </w:r>
      <w:r w:rsidR="00F35761" w:rsidRPr="00E20A08">
        <w:rPr>
          <w:lang w:val="en-CA"/>
        </w:rPr>
        <w:t xml:space="preserve">44 </w:t>
      </w:r>
      <w:r w:rsidR="00040F5E" w:rsidRPr="00657811">
        <w:rPr>
          <w:i/>
          <w:iCs/>
          <w:lang w:val="en-CA"/>
        </w:rPr>
        <w:t>I.F.A.A.</w:t>
      </w:r>
      <w:r w:rsidR="00F35761" w:rsidRPr="00E20A08">
        <w:rPr>
          <w:lang w:val="en-CA"/>
        </w:rPr>
        <w:t xml:space="preserve">) </w:t>
      </w:r>
      <w:r>
        <w:rPr>
          <w:lang w:val="en-CA"/>
        </w:rPr>
        <w:t>and</w:t>
      </w:r>
      <w:r w:rsidR="00F35761" w:rsidRPr="00E20A08">
        <w:rPr>
          <w:lang w:val="en-CA"/>
        </w:rPr>
        <w:t xml:space="preserve"> the Social Solidarity Program (</w:t>
      </w:r>
      <w:r w:rsidR="006C5BE4">
        <w:rPr>
          <w:lang w:val="en-CA"/>
        </w:rPr>
        <w:t>s.</w:t>
      </w:r>
      <w:r w:rsidR="006979E7" w:rsidRPr="00E20A08">
        <w:rPr>
          <w:lang w:val="en-CA"/>
        </w:rPr>
        <w:t xml:space="preserve"> </w:t>
      </w:r>
      <w:r w:rsidR="00F35761" w:rsidRPr="00E20A08">
        <w:rPr>
          <w:lang w:val="en-CA"/>
        </w:rPr>
        <w:t xml:space="preserve">67 </w:t>
      </w:r>
      <w:r w:rsidR="00040F5E" w:rsidRPr="00E66EFC">
        <w:rPr>
          <w:i/>
          <w:iCs/>
          <w:lang w:val="en-CA"/>
        </w:rPr>
        <w:t>I.F.A.A</w:t>
      </w:r>
      <w:r w:rsidR="00040F5E">
        <w:rPr>
          <w:lang w:val="en-CA"/>
        </w:rPr>
        <w:t>.</w:t>
      </w:r>
      <w:r w:rsidR="00F35761" w:rsidRPr="00E20A08">
        <w:rPr>
          <w:lang w:val="en-CA"/>
        </w:rPr>
        <w:t xml:space="preserve">), </w:t>
      </w:r>
      <w:r>
        <w:rPr>
          <w:lang w:val="en-CA"/>
        </w:rPr>
        <w:t xml:space="preserve">both of </w:t>
      </w:r>
      <w:r w:rsidR="00F35761" w:rsidRPr="00E20A08">
        <w:rPr>
          <w:lang w:val="en-CA"/>
        </w:rPr>
        <w:t>which are last resort assistance programs)</w:t>
      </w:r>
      <w:r w:rsidR="00F35761" w:rsidRPr="00E20A08">
        <w:rPr>
          <w:rStyle w:val="Appelnotedebasdep"/>
          <w:lang w:val="en-CA"/>
        </w:rPr>
        <w:footnoteReference w:id="33"/>
      </w:r>
      <w:r w:rsidR="00F35761" w:rsidRPr="00E20A08">
        <w:rPr>
          <w:lang w:val="en-CA"/>
        </w:rPr>
        <w:t xml:space="preserve"> </w:t>
      </w:r>
      <w:r w:rsidR="0082043B">
        <w:rPr>
          <w:lang w:val="en-CA"/>
        </w:rPr>
        <w:t xml:space="preserve">– </w:t>
      </w:r>
      <w:r w:rsidR="00F35761" w:rsidRPr="00E20A08">
        <w:rPr>
          <w:lang w:val="en-CA"/>
        </w:rPr>
        <w:t>come into play:</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032"/>
      </w:tblGrid>
      <w:tr w:rsidR="0082043B" w:rsidRPr="0082043B" w14:paraId="772DAA41" w14:textId="77777777" w:rsidTr="00DA191C">
        <w:tc>
          <w:tcPr>
            <w:tcW w:w="4032" w:type="dxa"/>
          </w:tcPr>
          <w:p w14:paraId="5DA9191A" w14:textId="7D120754" w:rsidR="0082043B" w:rsidRPr="0082043B" w:rsidRDefault="0082043B" w:rsidP="0082043B">
            <w:pPr>
              <w:pStyle w:val="Citationenretrait"/>
              <w:ind w:left="0" w:right="0"/>
              <w:rPr>
                <w:b/>
                <w:lang w:val="en-CA"/>
              </w:rPr>
            </w:pPr>
            <w:r w:rsidRPr="001414AE">
              <w:rPr>
                <w:b/>
                <w:lang w:val="en-CA"/>
              </w:rPr>
              <w:lastRenderedPageBreak/>
              <w:t>63.</w:t>
            </w:r>
            <w:r w:rsidRPr="001414AE">
              <w:rPr>
                <w:lang w:val="en-CA"/>
              </w:rPr>
              <w:tab/>
            </w:r>
            <w:r w:rsidRPr="00892047">
              <w:rPr>
                <w:u w:val="single"/>
                <w:lang w:val="en-CA"/>
              </w:rPr>
              <w:t xml:space="preserve">An independent adult or the members of a family must exercise their rights or take advantage of other statutory benefits when the exercise of such rights or the receipt of such benefits would affect the adult’s or the family’s eligibility for a financial assistance </w:t>
            </w:r>
            <w:proofErr w:type="gramStart"/>
            <w:r w:rsidRPr="00892047">
              <w:rPr>
                <w:u w:val="single"/>
                <w:lang w:val="en-CA"/>
              </w:rPr>
              <w:t>program, or</w:t>
            </w:r>
            <w:proofErr w:type="gramEnd"/>
            <w:r w:rsidRPr="00892047">
              <w:rPr>
                <w:u w:val="single"/>
                <w:lang w:val="en-CA"/>
              </w:rPr>
              <w:t xml:space="preserve"> reduce the amount of assistance</w:t>
            </w:r>
            <w:r w:rsidRPr="001414AE">
              <w:rPr>
                <w:lang w:val="en-CA"/>
              </w:rPr>
              <w:t>.</w:t>
            </w:r>
          </w:p>
        </w:tc>
        <w:tc>
          <w:tcPr>
            <w:tcW w:w="4032" w:type="dxa"/>
          </w:tcPr>
          <w:p w14:paraId="3B34E478" w14:textId="0DCC5F02" w:rsidR="0082043B" w:rsidRPr="0082043B" w:rsidRDefault="0082043B" w:rsidP="0082043B">
            <w:pPr>
              <w:pStyle w:val="Citationenretrait"/>
              <w:ind w:left="0" w:right="0"/>
              <w:rPr>
                <w:b/>
              </w:rPr>
            </w:pPr>
            <w:r w:rsidRPr="00874FC6">
              <w:rPr>
                <w:b/>
              </w:rPr>
              <w:t>63.</w:t>
            </w:r>
            <w:r w:rsidRPr="00874FC6">
              <w:tab/>
            </w:r>
            <w:r w:rsidRPr="00874FC6">
              <w:rPr>
                <w:u w:val="single"/>
              </w:rPr>
              <w:t xml:space="preserve">L’adulte seul ou les membres de la famille doivent exercer leurs </w:t>
            </w:r>
            <w:r w:rsidRPr="00874FC6">
              <w:t>droits</w:t>
            </w:r>
            <w:r w:rsidRPr="00874FC6">
              <w:rPr>
                <w:u w:val="single"/>
              </w:rPr>
              <w:t xml:space="preserve"> ou se prévaloir des avantages dont ils peuvent bénéficier en vertu d’une autre loi lorsque la réalisation de ces </w:t>
            </w:r>
            <w:r w:rsidRPr="00874FC6">
              <w:t>droits</w:t>
            </w:r>
            <w:r w:rsidRPr="00874FC6">
              <w:rPr>
                <w:u w:val="single"/>
              </w:rPr>
              <w:t xml:space="preserve"> et avantages aurait un effet sur l’admissibilité de l’adulte ou de la famille à </w:t>
            </w:r>
            <w:r w:rsidRPr="007A21FD">
              <w:rPr>
                <w:u w:val="single"/>
              </w:rPr>
              <w:t xml:space="preserve">un programme d’aide financière </w:t>
            </w:r>
            <w:r w:rsidRPr="00874FC6">
              <w:rPr>
                <w:u w:val="single"/>
              </w:rPr>
              <w:t>ou réduirait le montant de cette aide</w:t>
            </w:r>
            <w:r w:rsidRPr="00874FC6">
              <w:t>.</w:t>
            </w:r>
          </w:p>
        </w:tc>
      </w:tr>
      <w:tr w:rsidR="0082043B" w:rsidRPr="0082043B" w14:paraId="553794DE" w14:textId="77777777" w:rsidTr="00DA191C">
        <w:tc>
          <w:tcPr>
            <w:tcW w:w="4032" w:type="dxa"/>
          </w:tcPr>
          <w:p w14:paraId="2DE97793" w14:textId="37B0265D" w:rsidR="0082043B" w:rsidRPr="0082043B" w:rsidRDefault="0082043B" w:rsidP="0082043B">
            <w:pPr>
              <w:pStyle w:val="Citationenretrait"/>
              <w:tabs>
                <w:tab w:val="left" w:pos="860"/>
              </w:tabs>
              <w:ind w:left="0" w:right="0"/>
              <w:rPr>
                <w:lang w:val="en-CA"/>
              </w:rPr>
            </w:pPr>
            <w:r>
              <w:tab/>
            </w:r>
            <w:r w:rsidRPr="00706B8B">
              <w:rPr>
                <w:lang w:val="en-CA"/>
              </w:rPr>
              <w:t xml:space="preserve">In the case of an adult who is not deemed to receive a parental contribution under the second paragraph of section 57, the Minister is </w:t>
            </w:r>
            <w:proofErr w:type="spellStart"/>
            <w:r w:rsidRPr="00706B8B">
              <w:rPr>
                <w:lang w:val="en-CA"/>
              </w:rPr>
              <w:t>subrograted</w:t>
            </w:r>
            <w:proofErr w:type="spellEnd"/>
            <w:r w:rsidRPr="00706B8B">
              <w:rPr>
                <w:lang w:val="en-CA"/>
              </w:rPr>
              <w:t xml:space="preserve"> by operation of law in the rights of the adult to have support payments fixed or varied, unless the adult has elected to exercise his or her remedy for support. The Minister may also exercise the rights of any other creditor of support to have support payments fixed or varied if the Minister is of the opinion that the creditor’s circumstances place the exercise of such rights in jeopardy.</w:t>
            </w:r>
          </w:p>
        </w:tc>
        <w:tc>
          <w:tcPr>
            <w:tcW w:w="4032" w:type="dxa"/>
          </w:tcPr>
          <w:p w14:paraId="709D14E5" w14:textId="78978ED5" w:rsidR="0082043B" w:rsidRPr="0082043B" w:rsidRDefault="0082043B" w:rsidP="0082043B">
            <w:pPr>
              <w:pStyle w:val="Citationenretrait"/>
              <w:ind w:left="0" w:right="0"/>
            </w:pPr>
            <w:r w:rsidRPr="0082043B">
              <w:rPr>
                <w:lang w:val="en-CA"/>
              </w:rPr>
              <w:tab/>
            </w:r>
            <w:r w:rsidRPr="00874FC6">
              <w:t>Toutefois, dans le cas d’un adulte qui n’est pas réputé recevoir une contribution parentale en vertu du deuxième alinéa de l’article 57, le ministre est, à moins que l’adulte n’ait choisi d’exercer son recours alimentaire, subrogé de plein droit aux droits de ce dernier pour faire fixer une pension alimentaire ou pour la faire réviser. Le ministre peut également exercer les droits de tout autre créancier d’une obligation alimentaire aux fins d’une telle fixation ou révision s’il estime que la situation de ce dernier compromet l’exercice de ces droits.</w:t>
            </w:r>
          </w:p>
        </w:tc>
      </w:tr>
      <w:tr w:rsidR="0082043B" w:rsidRPr="0082043B" w14:paraId="3422DD28" w14:textId="77777777" w:rsidTr="00DA191C">
        <w:tc>
          <w:tcPr>
            <w:tcW w:w="4032" w:type="dxa"/>
          </w:tcPr>
          <w:p w14:paraId="5056F645" w14:textId="7BBC9992" w:rsidR="0082043B" w:rsidRPr="0082043B" w:rsidRDefault="0082043B" w:rsidP="0082043B">
            <w:pPr>
              <w:pStyle w:val="Citationenretrait"/>
              <w:tabs>
                <w:tab w:val="left" w:pos="860"/>
              </w:tabs>
              <w:ind w:left="0" w:right="0"/>
              <w:rPr>
                <w:lang w:val="en-CA"/>
              </w:rPr>
            </w:pPr>
            <w:r>
              <w:tab/>
            </w:r>
            <w:r w:rsidRPr="00706B8B">
              <w:rPr>
                <w:lang w:val="en-CA"/>
              </w:rPr>
              <w:t>The fact that an adult or a member of the adult’s family engages in activities as a volunteer with a non-profit organization does not constitute failure to fulfil the obligations imposed by the first paragraph.</w:t>
            </w:r>
          </w:p>
        </w:tc>
        <w:tc>
          <w:tcPr>
            <w:tcW w:w="4032" w:type="dxa"/>
          </w:tcPr>
          <w:p w14:paraId="333284F1" w14:textId="27342505" w:rsidR="0082043B" w:rsidRPr="0082043B" w:rsidRDefault="0082043B" w:rsidP="0082043B">
            <w:pPr>
              <w:pStyle w:val="Citationenretrait"/>
              <w:ind w:left="0" w:right="0"/>
            </w:pPr>
            <w:r w:rsidRPr="0082043B">
              <w:rPr>
                <w:lang w:val="en-CA"/>
              </w:rPr>
              <w:tab/>
            </w:r>
            <w:r w:rsidRPr="00874FC6">
              <w:t>Ne constitue pas un manquement aux obligations prévues au premier alinéa le fait pour un adulte ou un des membres de la famille de réaliser des activités bénévoles auprès d’un organisme sans but lucratif.</w:t>
            </w:r>
          </w:p>
        </w:tc>
      </w:tr>
      <w:tr w:rsidR="0082043B" w:rsidRPr="0082043B" w14:paraId="638A6E07" w14:textId="77777777" w:rsidTr="00DA191C">
        <w:tc>
          <w:tcPr>
            <w:tcW w:w="4032" w:type="dxa"/>
          </w:tcPr>
          <w:p w14:paraId="388B0593" w14:textId="0D5C6370" w:rsidR="0082043B" w:rsidRPr="0082043B" w:rsidRDefault="0082043B" w:rsidP="0082043B">
            <w:pPr>
              <w:pStyle w:val="Citationenretrait"/>
              <w:ind w:left="0" w:right="0"/>
              <w:rPr>
                <w:b/>
                <w:lang w:val="en-CA"/>
              </w:rPr>
            </w:pPr>
            <w:r w:rsidRPr="001414AE">
              <w:rPr>
                <w:b/>
                <w:lang w:val="en-CA"/>
              </w:rPr>
              <w:t>6</w:t>
            </w:r>
            <w:r>
              <w:rPr>
                <w:b/>
                <w:lang w:val="en-CA"/>
              </w:rPr>
              <w:t>6</w:t>
            </w:r>
            <w:r w:rsidRPr="001414AE">
              <w:rPr>
                <w:b/>
                <w:lang w:val="en-CA"/>
              </w:rPr>
              <w:t>.</w:t>
            </w:r>
            <w:r w:rsidRPr="001414AE">
              <w:rPr>
                <w:lang w:val="en-CA"/>
              </w:rPr>
              <w:tab/>
            </w:r>
            <w:r w:rsidRPr="00892047">
              <w:rPr>
                <w:u w:val="single"/>
                <w:lang w:val="en-CA"/>
              </w:rPr>
              <w:t>When there is failure to fulfil any of the obligations imposed by sections</w:t>
            </w:r>
            <w:r w:rsidRPr="00AF54F8">
              <w:rPr>
                <w:lang w:val="en-CA"/>
              </w:rPr>
              <w:t xml:space="preserve"> 30, 31, 36, </w:t>
            </w:r>
            <w:r w:rsidRPr="00892047">
              <w:rPr>
                <w:u w:val="single"/>
                <w:lang w:val="en-CA"/>
              </w:rPr>
              <w:t>63</w:t>
            </w:r>
            <w:r w:rsidRPr="00AF54F8">
              <w:rPr>
                <w:lang w:val="en-CA"/>
              </w:rPr>
              <w:t xml:space="preserve"> and 64, </w:t>
            </w:r>
            <w:r w:rsidRPr="00892047">
              <w:rPr>
                <w:u w:val="single"/>
                <w:lang w:val="en-CA"/>
              </w:rPr>
              <w:t>the Minister may refuse or cease to pay financial assistance or reduce it</w:t>
            </w:r>
            <w:r w:rsidRPr="00AF54F8">
              <w:rPr>
                <w:lang w:val="en-CA"/>
              </w:rPr>
              <w:t>.</w:t>
            </w:r>
          </w:p>
        </w:tc>
        <w:tc>
          <w:tcPr>
            <w:tcW w:w="4032" w:type="dxa"/>
          </w:tcPr>
          <w:p w14:paraId="48619B2A" w14:textId="5359DFDF" w:rsidR="0082043B" w:rsidRPr="0082043B" w:rsidRDefault="0082043B" w:rsidP="0082043B">
            <w:pPr>
              <w:pStyle w:val="Citationenretrait"/>
              <w:ind w:left="0" w:right="0"/>
              <w:rPr>
                <w:b/>
              </w:rPr>
            </w:pPr>
            <w:r w:rsidRPr="00874FC6">
              <w:rPr>
                <w:b/>
              </w:rPr>
              <w:t>66.</w:t>
            </w:r>
            <w:r w:rsidRPr="00874FC6">
              <w:tab/>
            </w:r>
            <w:r w:rsidRPr="00874FC6">
              <w:rPr>
                <w:u w:val="single"/>
              </w:rPr>
              <w:t xml:space="preserve">Le </w:t>
            </w:r>
            <w:r w:rsidRPr="00E66EFC">
              <w:rPr>
                <w:u w:val="single"/>
              </w:rPr>
              <w:t>ministre</w:t>
            </w:r>
            <w:r w:rsidRPr="002F063A">
              <w:rPr>
                <w:u w:val="single"/>
              </w:rPr>
              <w:t xml:space="preserve"> </w:t>
            </w:r>
            <w:r w:rsidRPr="00874FC6">
              <w:rPr>
                <w:u w:val="single"/>
              </w:rPr>
              <w:t xml:space="preserve">peut, lorsqu’il y a </w:t>
            </w:r>
            <w:r w:rsidRPr="00E66EFC">
              <w:rPr>
                <w:u w:val="single"/>
              </w:rPr>
              <w:t>manquement</w:t>
            </w:r>
            <w:r w:rsidRPr="002F063A">
              <w:rPr>
                <w:u w:val="single"/>
              </w:rPr>
              <w:t xml:space="preserve"> à l’une des </w:t>
            </w:r>
            <w:r w:rsidRPr="00E66EFC">
              <w:rPr>
                <w:u w:val="single"/>
              </w:rPr>
              <w:t>obligations</w:t>
            </w:r>
            <w:r w:rsidRPr="002F063A">
              <w:rPr>
                <w:u w:val="single"/>
              </w:rPr>
              <w:t xml:space="preserve"> prévues aux </w:t>
            </w:r>
            <w:r w:rsidRPr="00E66EFC">
              <w:rPr>
                <w:u w:val="single"/>
              </w:rPr>
              <w:t>articles</w:t>
            </w:r>
            <w:r w:rsidRPr="00874FC6">
              <w:t xml:space="preserve"> 30, 31, 36, </w:t>
            </w:r>
            <w:r w:rsidRPr="00874FC6">
              <w:rPr>
                <w:u w:val="single"/>
              </w:rPr>
              <w:t>63</w:t>
            </w:r>
            <w:r w:rsidRPr="00874FC6">
              <w:t xml:space="preserve"> et 64, selon le cas, </w:t>
            </w:r>
            <w:r w:rsidRPr="00874FC6">
              <w:rPr>
                <w:u w:val="single"/>
              </w:rPr>
              <w:t xml:space="preserve">refuser ou cesser de verser </w:t>
            </w:r>
            <w:r w:rsidRPr="002F063A">
              <w:rPr>
                <w:u w:val="single"/>
              </w:rPr>
              <w:t xml:space="preserve">une </w:t>
            </w:r>
            <w:r w:rsidRPr="00E66EFC">
              <w:rPr>
                <w:u w:val="single"/>
              </w:rPr>
              <w:t>aide financière</w:t>
            </w:r>
            <w:r w:rsidRPr="002F063A">
              <w:rPr>
                <w:u w:val="single"/>
              </w:rPr>
              <w:t xml:space="preserve"> ou</w:t>
            </w:r>
            <w:r w:rsidRPr="00874FC6">
              <w:rPr>
                <w:u w:val="single"/>
              </w:rPr>
              <w:t xml:space="preserve"> la réduire</w:t>
            </w:r>
            <w:r w:rsidRPr="00874FC6">
              <w:t>.</w:t>
            </w:r>
          </w:p>
        </w:tc>
      </w:tr>
      <w:tr w:rsidR="0082043B" w:rsidRPr="0082043B" w14:paraId="440AA7AA" w14:textId="77777777" w:rsidTr="00DA191C">
        <w:tc>
          <w:tcPr>
            <w:tcW w:w="4032" w:type="dxa"/>
          </w:tcPr>
          <w:p w14:paraId="50ABDF3B" w14:textId="2CF85B19" w:rsidR="0082043B" w:rsidRPr="0082043B" w:rsidRDefault="0082043B" w:rsidP="0082043B">
            <w:pPr>
              <w:pStyle w:val="Citationenretrait"/>
              <w:tabs>
                <w:tab w:val="left" w:pos="860"/>
              </w:tabs>
              <w:ind w:left="0" w:right="0"/>
              <w:rPr>
                <w:lang w:val="en-CA"/>
              </w:rPr>
            </w:pPr>
            <w:r>
              <w:tab/>
            </w:r>
            <w:r w:rsidRPr="00892047">
              <w:rPr>
                <w:lang w:val="en-CA"/>
              </w:rPr>
              <w:t xml:space="preserve">The Minister may also refuse or cease to pay financial assistance or reduce it when there is failure to fulfil the obligation under section 65, in the </w:t>
            </w:r>
            <w:r w:rsidRPr="00892047">
              <w:rPr>
                <w:lang w:val="en-CA"/>
              </w:rPr>
              <w:lastRenderedPageBreak/>
              <w:t xml:space="preserve">cases and under the conditions </w:t>
            </w:r>
            <w:r w:rsidR="00003EA4" w:rsidRPr="00892047">
              <w:rPr>
                <w:lang w:val="en-CA"/>
              </w:rPr>
              <w:t>pre</w:t>
            </w:r>
            <w:r w:rsidR="00003EA4">
              <w:rPr>
                <w:lang w:val="en-CA"/>
              </w:rPr>
              <w:t>scribe</w:t>
            </w:r>
            <w:r w:rsidR="00003EA4" w:rsidRPr="00892047">
              <w:rPr>
                <w:lang w:val="en-CA"/>
              </w:rPr>
              <w:t>d</w:t>
            </w:r>
            <w:r w:rsidRPr="00892047">
              <w:rPr>
                <w:lang w:val="en-CA"/>
              </w:rPr>
              <w:t xml:space="preserve"> by regulation.</w:t>
            </w:r>
          </w:p>
        </w:tc>
        <w:tc>
          <w:tcPr>
            <w:tcW w:w="4032" w:type="dxa"/>
          </w:tcPr>
          <w:p w14:paraId="6C9FA85B" w14:textId="04923005" w:rsidR="0082043B" w:rsidRPr="0082043B" w:rsidRDefault="0082043B" w:rsidP="0082043B">
            <w:pPr>
              <w:pStyle w:val="Citationenretrait"/>
              <w:ind w:left="0" w:right="0"/>
            </w:pPr>
            <w:r w:rsidRPr="0082043B">
              <w:rPr>
                <w:lang w:val="en-CA"/>
              </w:rPr>
              <w:lastRenderedPageBreak/>
              <w:tab/>
            </w:r>
            <w:r w:rsidRPr="00874FC6">
              <w:t xml:space="preserve">Il peut également, en cas de manquement à l’article 65, refuser ou cesser de verser une aide financière ou </w:t>
            </w:r>
            <w:r w:rsidRPr="00874FC6">
              <w:lastRenderedPageBreak/>
              <w:t>la réduire, dans les cas et conditions prévus par règlement.</w:t>
            </w:r>
          </w:p>
        </w:tc>
      </w:tr>
      <w:tr w:rsidR="0082043B" w:rsidRPr="0082043B" w14:paraId="1C5F4C12" w14:textId="77777777" w:rsidTr="00DA191C">
        <w:tc>
          <w:tcPr>
            <w:tcW w:w="4032" w:type="dxa"/>
          </w:tcPr>
          <w:p w14:paraId="67CF014B" w14:textId="39E816F8" w:rsidR="0082043B" w:rsidRPr="0082043B" w:rsidRDefault="0082043B" w:rsidP="0082043B">
            <w:pPr>
              <w:pStyle w:val="Citationenretrait"/>
              <w:ind w:left="0" w:right="0"/>
              <w:rPr>
                <w:lang w:val="en-CA"/>
              </w:rPr>
            </w:pPr>
            <w:r w:rsidRPr="00874FC6">
              <w:lastRenderedPageBreak/>
              <w:tab/>
            </w:r>
            <w:r w:rsidRPr="00E20A08">
              <w:rPr>
                <w:lang w:val="en-CA"/>
              </w:rPr>
              <w:t>Decisions made by the Minister under this section must include reasons and be communicated in writing to the person concerned.</w:t>
            </w:r>
          </w:p>
        </w:tc>
        <w:tc>
          <w:tcPr>
            <w:tcW w:w="4032" w:type="dxa"/>
          </w:tcPr>
          <w:p w14:paraId="0B71809A" w14:textId="65A37461" w:rsidR="0082043B" w:rsidRPr="0082043B" w:rsidRDefault="0082043B" w:rsidP="0082043B">
            <w:pPr>
              <w:pStyle w:val="Citationenretrait"/>
              <w:ind w:left="0" w:right="0"/>
            </w:pPr>
            <w:r w:rsidRPr="00892047">
              <w:rPr>
                <w:lang w:val="en-CA"/>
              </w:rPr>
              <w:tab/>
            </w:r>
            <w:r w:rsidRPr="00AF54F8">
              <w:t>Dans tous les cas où une décision est rendue par le ministre en application du présent article, celle-ci doit être motivée et communiquée par écrit à la personne concernée.</w:t>
            </w:r>
          </w:p>
        </w:tc>
      </w:tr>
      <w:tr w:rsidR="0082043B" w:rsidRPr="00E20A08" w14:paraId="0E556D49" w14:textId="77777777" w:rsidTr="00DA191C">
        <w:tc>
          <w:tcPr>
            <w:tcW w:w="4032" w:type="dxa"/>
          </w:tcPr>
          <w:p w14:paraId="0EF603E4" w14:textId="77777777" w:rsidR="0082043B" w:rsidRPr="0082043B" w:rsidRDefault="0082043B" w:rsidP="0082043B">
            <w:pPr>
              <w:pStyle w:val="Citationenretrait"/>
              <w:spacing w:before="0"/>
              <w:ind w:left="0" w:right="0"/>
              <w:jc w:val="right"/>
              <w:rPr>
                <w:sz w:val="20"/>
              </w:rPr>
            </w:pPr>
          </w:p>
        </w:tc>
        <w:tc>
          <w:tcPr>
            <w:tcW w:w="4032" w:type="dxa"/>
          </w:tcPr>
          <w:p w14:paraId="0F0001E5" w14:textId="1F77EAB3" w:rsidR="0082043B" w:rsidRPr="00E20A08" w:rsidRDefault="0082043B" w:rsidP="0082043B">
            <w:pPr>
              <w:pStyle w:val="Citationenretrait"/>
              <w:spacing w:before="0"/>
              <w:ind w:left="0" w:right="0"/>
              <w:jc w:val="right"/>
              <w:rPr>
                <w:sz w:val="20"/>
                <w:lang w:val="en-CA"/>
              </w:rPr>
            </w:pPr>
            <w:r w:rsidRPr="00E20A08">
              <w:rPr>
                <w:sz w:val="20"/>
                <w:lang w:val="en-CA"/>
              </w:rPr>
              <w:t>[</w:t>
            </w:r>
            <w:r>
              <w:rPr>
                <w:sz w:val="20"/>
                <w:lang w:val="en-CA"/>
              </w:rPr>
              <w:t>E</w:t>
            </w:r>
            <w:proofErr w:type="spellStart"/>
            <w:r>
              <w:rPr>
                <w:sz w:val="20"/>
              </w:rPr>
              <w:t>mphasis</w:t>
            </w:r>
            <w:proofErr w:type="spellEnd"/>
            <w:r>
              <w:rPr>
                <w:sz w:val="20"/>
              </w:rPr>
              <w:t xml:space="preserve"> </w:t>
            </w:r>
            <w:proofErr w:type="spellStart"/>
            <w:r>
              <w:rPr>
                <w:sz w:val="20"/>
              </w:rPr>
              <w:t>added</w:t>
            </w:r>
            <w:proofErr w:type="spellEnd"/>
            <w:r w:rsidRPr="00E20A08">
              <w:rPr>
                <w:sz w:val="20"/>
                <w:lang w:val="en-CA"/>
              </w:rPr>
              <w:t>]</w:t>
            </w:r>
          </w:p>
        </w:tc>
      </w:tr>
    </w:tbl>
    <w:p w14:paraId="7E4E3ABE" w14:textId="3AE890EE" w:rsidR="00640E7F" w:rsidRPr="00E20A08" w:rsidRDefault="00F35761" w:rsidP="00640E7F">
      <w:pPr>
        <w:pStyle w:val="Paragraphe"/>
        <w:rPr>
          <w:lang w:val="en-CA"/>
        </w:rPr>
      </w:pPr>
      <w:bookmarkStart w:id="19" w:name="_Ref71977506"/>
      <w:r w:rsidRPr="00E20A08">
        <w:rPr>
          <w:lang w:val="en-CA"/>
        </w:rPr>
        <w:t>Were it not for these two provisions, contributor</w:t>
      </w:r>
      <w:r w:rsidR="0082043B">
        <w:rPr>
          <w:lang w:val="en-CA"/>
        </w:rPr>
        <w:t>s</w:t>
      </w:r>
      <w:r w:rsidRPr="00E20A08">
        <w:rPr>
          <w:lang w:val="en-CA"/>
        </w:rPr>
        <w:t xml:space="preserve"> </w:t>
      </w:r>
      <w:r w:rsidR="0082043B">
        <w:rPr>
          <w:lang w:val="en-CA"/>
        </w:rPr>
        <w:t xml:space="preserve">who are also </w:t>
      </w:r>
      <w:r w:rsidRPr="00E20A08">
        <w:rPr>
          <w:lang w:val="en-CA"/>
        </w:rPr>
        <w:t xml:space="preserve">last resort financial assistance </w:t>
      </w:r>
      <w:r w:rsidR="0082043B">
        <w:rPr>
          <w:lang w:val="en-CA"/>
        </w:rPr>
        <w:t xml:space="preserve">beneficiaries </w:t>
      </w:r>
      <w:r w:rsidRPr="00E20A08">
        <w:rPr>
          <w:lang w:val="en-CA"/>
        </w:rPr>
        <w:t xml:space="preserve">could, like </w:t>
      </w:r>
      <w:r w:rsidR="0082043B">
        <w:rPr>
          <w:lang w:val="en-CA"/>
        </w:rPr>
        <w:t xml:space="preserve">all </w:t>
      </w:r>
      <w:r w:rsidRPr="00E20A08">
        <w:rPr>
          <w:lang w:val="en-CA"/>
        </w:rPr>
        <w:t>other contributor</w:t>
      </w:r>
      <w:r w:rsidR="0082043B">
        <w:rPr>
          <w:lang w:val="en-CA"/>
        </w:rPr>
        <w:t>s</w:t>
      </w:r>
      <w:r w:rsidRPr="00E20A08">
        <w:rPr>
          <w:lang w:val="en-CA"/>
        </w:rPr>
        <w:t>, choose when to begin receiving the pension a</w:t>
      </w:r>
      <w:r w:rsidR="0082043B">
        <w:rPr>
          <w:lang w:val="en-CA"/>
        </w:rPr>
        <w:t>s they wish, based on their personal preference.</w:t>
      </w:r>
      <w:r w:rsidR="006979E7" w:rsidRPr="00E20A08">
        <w:rPr>
          <w:lang w:val="en-CA"/>
        </w:rPr>
        <w:t xml:space="preserve"> </w:t>
      </w:r>
      <w:r w:rsidRPr="00E20A08">
        <w:rPr>
          <w:lang w:val="en-CA"/>
        </w:rPr>
        <w:t xml:space="preserve">This latitude is restricted, however, by </w:t>
      </w:r>
      <w:r w:rsidR="006C5BE4">
        <w:rPr>
          <w:lang w:val="en-CA"/>
        </w:rPr>
        <w:t>s.</w:t>
      </w:r>
      <w:r w:rsidR="006979E7" w:rsidRPr="00E20A08">
        <w:rPr>
          <w:lang w:val="en-CA"/>
        </w:rPr>
        <w:t xml:space="preserve"> </w:t>
      </w:r>
      <w:r w:rsidRPr="00E20A08">
        <w:rPr>
          <w:lang w:val="en-CA"/>
        </w:rPr>
        <w:t xml:space="preserve">63 </w:t>
      </w:r>
      <w:r w:rsidR="00040F5E">
        <w:rPr>
          <w:i/>
          <w:iCs/>
          <w:lang w:val="en-CA"/>
        </w:rPr>
        <w:t>I.F.A.A.</w:t>
      </w:r>
      <w:r w:rsidRPr="00E20A08">
        <w:rPr>
          <w:lang w:val="en-CA"/>
        </w:rPr>
        <w:t xml:space="preserve">, which requires last resort financial assistance beneficiaries to claim their retirement pensions as soon as possible, since the pension is a right or </w:t>
      </w:r>
      <w:proofErr w:type="gramStart"/>
      <w:r w:rsidRPr="00E20A08">
        <w:rPr>
          <w:lang w:val="en-CA"/>
        </w:rPr>
        <w:t>benefit</w:t>
      </w:r>
      <w:proofErr w:type="gramEnd"/>
      <w:r w:rsidRPr="00E20A08">
        <w:rPr>
          <w:lang w:val="en-CA"/>
        </w:rPr>
        <w:t xml:space="preserve"> they enjoy under another</w:t>
      </w:r>
      <w:r w:rsidR="0082043B">
        <w:rPr>
          <w:lang w:val="en-CA"/>
        </w:rPr>
        <w:t xml:space="preserve"> statute</w:t>
      </w:r>
      <w:r w:rsidRPr="00E20A08">
        <w:rPr>
          <w:lang w:val="en-CA"/>
        </w:rPr>
        <w:t>, within the meaning of this provision.</w:t>
      </w:r>
      <w:r w:rsidR="006979E7" w:rsidRPr="00E20A08">
        <w:rPr>
          <w:lang w:val="en-CA"/>
        </w:rPr>
        <w:t xml:space="preserve"> </w:t>
      </w:r>
      <w:r w:rsidRPr="00E20A08">
        <w:rPr>
          <w:lang w:val="en-CA"/>
        </w:rPr>
        <w:t xml:space="preserve">Contributors who do not do so may be </w:t>
      </w:r>
      <w:r w:rsidR="0082043B">
        <w:rPr>
          <w:lang w:val="en-CA"/>
        </w:rPr>
        <w:t>penalized</w:t>
      </w:r>
      <w:r w:rsidRPr="00E20A08">
        <w:rPr>
          <w:lang w:val="en-CA"/>
        </w:rPr>
        <w:t xml:space="preserve"> under </w:t>
      </w:r>
      <w:r w:rsidR="006C5BE4">
        <w:rPr>
          <w:lang w:val="en-CA"/>
        </w:rPr>
        <w:t>s.</w:t>
      </w:r>
      <w:r w:rsidR="006979E7" w:rsidRPr="00E20A08">
        <w:rPr>
          <w:lang w:val="en-CA"/>
        </w:rPr>
        <w:t xml:space="preserve"> </w:t>
      </w:r>
      <w:r w:rsidRPr="00E20A08">
        <w:rPr>
          <w:lang w:val="en-CA"/>
        </w:rPr>
        <w:t xml:space="preserve">66 </w:t>
      </w:r>
      <w:r w:rsidR="00040F5E">
        <w:rPr>
          <w:i/>
          <w:iCs/>
          <w:lang w:val="en-CA"/>
        </w:rPr>
        <w:t>I.F.A.A.</w:t>
      </w:r>
      <w:r w:rsidR="001C4E02">
        <w:rPr>
          <w:lang w:val="en-CA"/>
        </w:rPr>
        <w:t>:</w:t>
      </w:r>
      <w:r w:rsidR="006979E7" w:rsidRPr="00E20A08">
        <w:rPr>
          <w:lang w:val="en-CA"/>
        </w:rPr>
        <w:t> </w:t>
      </w:r>
      <w:r w:rsidRPr="00E20A08">
        <w:rPr>
          <w:lang w:val="en-CA"/>
        </w:rPr>
        <w:t>last resort financial assistance may cease or be reduced (or applications for assistance may be refused).</w:t>
      </w:r>
      <w:r w:rsidR="006979E7" w:rsidRPr="00E20A08">
        <w:rPr>
          <w:lang w:val="en-CA"/>
        </w:rPr>
        <w:t xml:space="preserve"> </w:t>
      </w:r>
      <w:proofErr w:type="gramStart"/>
      <w:r w:rsidRPr="00E20A08">
        <w:rPr>
          <w:lang w:val="en-CA"/>
        </w:rPr>
        <w:t>In reality, therefore</w:t>
      </w:r>
      <w:proofErr w:type="gramEnd"/>
      <w:r w:rsidRPr="00E20A08">
        <w:rPr>
          <w:lang w:val="en-CA"/>
        </w:rPr>
        <w:t xml:space="preserve">, this provision offers contributors no choice </w:t>
      </w:r>
      <w:r w:rsidR="001C4E02">
        <w:rPr>
          <w:lang w:val="en-CA"/>
        </w:rPr>
        <w:t>but</w:t>
      </w:r>
      <w:r w:rsidRPr="00E20A08">
        <w:rPr>
          <w:lang w:val="en-CA"/>
        </w:rPr>
        <w:t xml:space="preserve"> to claim their pensions even if they are not yet 65 years of age. Pursuant to </w:t>
      </w:r>
      <w:r w:rsidR="006C5BE4">
        <w:rPr>
          <w:lang w:val="en-CA"/>
        </w:rPr>
        <w:t>s.</w:t>
      </w:r>
      <w:r w:rsidR="006979E7" w:rsidRPr="00E20A08">
        <w:rPr>
          <w:lang w:val="en-CA"/>
        </w:rPr>
        <w:t xml:space="preserve"> </w:t>
      </w:r>
      <w:r w:rsidRPr="00E20A08">
        <w:rPr>
          <w:lang w:val="en-CA"/>
        </w:rPr>
        <w:t>120.1</w:t>
      </w:r>
      <w:r w:rsidR="006979E7" w:rsidRPr="00E20A08">
        <w:rPr>
          <w:lang w:val="en-CA"/>
        </w:rPr>
        <w:t xml:space="preserve"> </w:t>
      </w:r>
      <w:bookmarkEnd w:id="19"/>
      <w:r w:rsidR="00DE6CEC">
        <w:rPr>
          <w:lang w:val="en-CA"/>
        </w:rPr>
        <w:t>para.</w:t>
      </w:r>
      <w:r w:rsidRPr="00E20A08">
        <w:rPr>
          <w:lang w:val="en-CA"/>
        </w:rPr>
        <w:t xml:space="preserve">1 </w:t>
      </w:r>
      <w:r w:rsidR="002B2821">
        <w:rPr>
          <w:i/>
          <w:iCs/>
          <w:lang w:val="en-CA"/>
        </w:rPr>
        <w:t>A.Q.P.P</w:t>
      </w:r>
      <w:r w:rsidR="00040F5E">
        <w:rPr>
          <w:i/>
          <w:iCs/>
          <w:lang w:val="en-CA"/>
        </w:rPr>
        <w:t>.</w:t>
      </w:r>
      <w:r w:rsidRPr="00E20A08">
        <w:rPr>
          <w:lang w:val="en-CA"/>
        </w:rPr>
        <w:t xml:space="preserve">, the consequence is that the amount the contributor will receive at that age will be reduced </w:t>
      </w:r>
      <w:r w:rsidR="00061ED4">
        <w:rPr>
          <w:lang w:val="en-CA"/>
        </w:rPr>
        <w:t>compared to the amount</w:t>
      </w:r>
      <w:r w:rsidRPr="00E20A08">
        <w:rPr>
          <w:lang w:val="en-CA"/>
        </w:rPr>
        <w:t xml:space="preserve"> they would have received if they had </w:t>
      </w:r>
      <w:r w:rsidR="0054614B">
        <w:rPr>
          <w:lang w:val="en-CA"/>
        </w:rPr>
        <w:t>waited until</w:t>
      </w:r>
      <w:r w:rsidR="00BB609D" w:rsidRPr="00E20A08">
        <w:rPr>
          <w:lang w:val="en-CA"/>
        </w:rPr>
        <w:t xml:space="preserve"> </w:t>
      </w:r>
      <w:r w:rsidRPr="00E20A08">
        <w:rPr>
          <w:lang w:val="en-CA"/>
        </w:rPr>
        <w:t>the age of 65</w:t>
      </w:r>
      <w:r w:rsidR="00061ED4">
        <w:rPr>
          <w:lang w:val="en-CA"/>
        </w:rPr>
        <w:t xml:space="preserve"> only</w:t>
      </w:r>
      <w:r w:rsidRPr="00E20A08">
        <w:rPr>
          <w:lang w:val="en-CA"/>
        </w:rPr>
        <w:t xml:space="preserve"> (or even 70).</w:t>
      </w:r>
      <w:r w:rsidRPr="00E20A08">
        <w:rPr>
          <w:rStyle w:val="Appelnotedebasdep"/>
          <w:lang w:val="en-CA"/>
        </w:rPr>
        <w:footnoteReference w:id="34"/>
      </w:r>
      <w:r w:rsidR="006979E7" w:rsidRPr="00E20A08">
        <w:rPr>
          <w:lang w:val="en-CA"/>
        </w:rPr>
        <w:t xml:space="preserve"> </w:t>
      </w:r>
      <w:r w:rsidR="006C5BE4">
        <w:rPr>
          <w:lang w:val="en-CA"/>
        </w:rPr>
        <w:t>Section</w:t>
      </w:r>
      <w:r w:rsidRPr="00E20A08">
        <w:rPr>
          <w:lang w:val="en-CA"/>
        </w:rPr>
        <w:t>s</w:t>
      </w:r>
      <w:r w:rsidR="006979E7" w:rsidRPr="00E20A08">
        <w:rPr>
          <w:lang w:val="en-CA"/>
        </w:rPr>
        <w:t xml:space="preserve"> </w:t>
      </w:r>
      <w:r w:rsidRPr="00E20A08">
        <w:rPr>
          <w:lang w:val="en-CA"/>
        </w:rPr>
        <w:t xml:space="preserve">63 and 66 </w:t>
      </w:r>
      <w:r w:rsidR="00040F5E">
        <w:rPr>
          <w:lang w:val="en-CA"/>
        </w:rPr>
        <w:t>I.F.A.A.</w:t>
      </w:r>
      <w:r w:rsidR="001C4E02">
        <w:rPr>
          <w:lang w:val="en-CA"/>
        </w:rPr>
        <w:t>,</w:t>
      </w:r>
      <w:r w:rsidRPr="00E20A08">
        <w:rPr>
          <w:lang w:val="en-CA"/>
        </w:rPr>
        <w:t xml:space="preserve"> therefore, </w:t>
      </w:r>
      <w:r w:rsidR="001C4E02">
        <w:rPr>
          <w:lang w:val="en-CA"/>
        </w:rPr>
        <w:t xml:space="preserve">when </w:t>
      </w:r>
      <w:r w:rsidRPr="00E20A08">
        <w:rPr>
          <w:lang w:val="en-CA"/>
        </w:rPr>
        <w:t xml:space="preserve">taken together, neutralize in practice </w:t>
      </w:r>
      <w:r w:rsidR="001C4E02">
        <w:rPr>
          <w:lang w:val="en-CA"/>
        </w:rPr>
        <w:t xml:space="preserve">the </w:t>
      </w:r>
      <w:r w:rsidRPr="00E20A08">
        <w:rPr>
          <w:lang w:val="en-CA"/>
        </w:rPr>
        <w:t xml:space="preserve">freedom of choice granted </w:t>
      </w:r>
      <w:r w:rsidR="001C4E02">
        <w:rPr>
          <w:lang w:val="en-CA"/>
        </w:rPr>
        <w:t xml:space="preserve">contributors </w:t>
      </w:r>
      <w:r w:rsidRPr="00E20A08">
        <w:rPr>
          <w:lang w:val="en-CA"/>
        </w:rPr>
        <w:t xml:space="preserve">under the </w:t>
      </w:r>
      <w:r w:rsidRPr="001C4E02">
        <w:rPr>
          <w:i/>
          <w:iCs/>
          <w:lang w:val="en-CA"/>
        </w:rPr>
        <w:t>Act respecting the Qu</w:t>
      </w:r>
      <w:r w:rsidR="001C4E02">
        <w:rPr>
          <w:i/>
          <w:iCs/>
          <w:lang w:val="en-CA"/>
        </w:rPr>
        <w:t>é</w:t>
      </w:r>
      <w:r w:rsidRPr="001C4E02">
        <w:rPr>
          <w:i/>
          <w:iCs/>
          <w:lang w:val="en-CA"/>
        </w:rPr>
        <w:t>bec Pension Plan</w:t>
      </w:r>
      <w:r w:rsidRPr="00E20A08">
        <w:rPr>
          <w:lang w:val="en-CA"/>
        </w:rPr>
        <w:t>.</w:t>
      </w:r>
    </w:p>
    <w:p w14:paraId="1A309831" w14:textId="59700AD2" w:rsidR="00640E7F" w:rsidRPr="00E20A08" w:rsidRDefault="00F35761" w:rsidP="00640E7F">
      <w:pPr>
        <w:pStyle w:val="Paragraphe"/>
        <w:rPr>
          <w:lang w:val="en-CA"/>
        </w:rPr>
      </w:pPr>
      <w:r w:rsidRPr="00E20A08">
        <w:rPr>
          <w:lang w:val="en-CA"/>
        </w:rPr>
        <w:t xml:space="preserve">Is this </w:t>
      </w:r>
      <w:r w:rsidR="00003EA4" w:rsidRPr="00E20A08">
        <w:rPr>
          <w:lang w:val="en-CA"/>
        </w:rPr>
        <w:t>di</w:t>
      </w:r>
      <w:r w:rsidR="00003EA4">
        <w:rPr>
          <w:lang w:val="en-CA"/>
        </w:rPr>
        <w:t>scrimi</w:t>
      </w:r>
      <w:r w:rsidR="00003EA4" w:rsidRPr="00E20A08">
        <w:rPr>
          <w:lang w:val="en-CA"/>
        </w:rPr>
        <w:t>natory</w:t>
      </w:r>
      <w:r w:rsidRPr="00E20A08">
        <w:rPr>
          <w:lang w:val="en-CA"/>
        </w:rPr>
        <w:t xml:space="preserve"> treatment </w:t>
      </w:r>
      <w:r w:rsidR="001C4E02" w:rsidRPr="00E20A08">
        <w:rPr>
          <w:lang w:val="en-CA"/>
        </w:rPr>
        <w:t>within</w:t>
      </w:r>
      <w:r w:rsidRPr="00E20A08">
        <w:rPr>
          <w:lang w:val="en-CA"/>
        </w:rPr>
        <w:t xml:space="preserve"> the meaning of </w:t>
      </w:r>
      <w:r w:rsidR="006C5BE4">
        <w:rPr>
          <w:lang w:val="en-CA"/>
        </w:rPr>
        <w:t>s.</w:t>
      </w:r>
      <w:r w:rsidR="006979E7" w:rsidRPr="00E20A08">
        <w:rPr>
          <w:lang w:val="en-CA"/>
        </w:rPr>
        <w:t xml:space="preserve"> </w:t>
      </w:r>
      <w:r w:rsidRPr="00E20A08">
        <w:rPr>
          <w:lang w:val="en-CA"/>
        </w:rPr>
        <w:t>15(1)</w:t>
      </w:r>
      <w:r w:rsidR="006979E7" w:rsidRPr="00E20A08">
        <w:rPr>
          <w:lang w:val="en-CA"/>
        </w:rPr>
        <w:t xml:space="preserve"> </w:t>
      </w:r>
      <w:r w:rsidRPr="00E20A08">
        <w:rPr>
          <w:lang w:val="en-CA"/>
        </w:rPr>
        <w:t xml:space="preserve">of the </w:t>
      </w:r>
      <w:r w:rsidRPr="001C4E02">
        <w:rPr>
          <w:i/>
          <w:iCs/>
          <w:lang w:val="en-CA"/>
        </w:rPr>
        <w:t>Canadian Charter</w:t>
      </w:r>
      <w:r w:rsidRPr="00E20A08">
        <w:rPr>
          <w:lang w:val="en-CA"/>
        </w:rPr>
        <w:t xml:space="preserve"> or </w:t>
      </w:r>
      <w:r w:rsidR="006C5BE4">
        <w:rPr>
          <w:lang w:val="en-CA"/>
        </w:rPr>
        <w:t>s.</w:t>
      </w:r>
      <w:r w:rsidRPr="00E20A08">
        <w:rPr>
          <w:lang w:val="en-CA"/>
        </w:rPr>
        <w:t xml:space="preserve"> 10 of the </w:t>
      </w:r>
      <w:r w:rsidRPr="001C4E02">
        <w:rPr>
          <w:i/>
          <w:iCs/>
          <w:lang w:val="en-CA"/>
        </w:rPr>
        <w:t>Quebec Charter</w:t>
      </w:r>
      <w:r w:rsidRPr="00E20A08">
        <w:rPr>
          <w:lang w:val="en-CA"/>
        </w:rPr>
        <w:t>?</w:t>
      </w:r>
    </w:p>
    <w:p w14:paraId="554B4B5E" w14:textId="77777777" w:rsidR="00640E7F" w:rsidRPr="00E20A08" w:rsidRDefault="006979E7" w:rsidP="00640E7F">
      <w:pPr>
        <w:pStyle w:val="Paragraphe"/>
        <w:numPr>
          <w:ilvl w:val="0"/>
          <w:numId w:val="0"/>
        </w:numPr>
        <w:jc w:val="center"/>
        <w:rPr>
          <w:lang w:val="en-CA"/>
        </w:rPr>
      </w:pPr>
      <w:r w:rsidRPr="00E20A08">
        <w:rPr>
          <w:lang w:val="en-CA"/>
        </w:rPr>
        <w:t>* *</w:t>
      </w:r>
    </w:p>
    <w:p w14:paraId="44973E7F" w14:textId="60140304" w:rsidR="00640E7F" w:rsidRPr="00E20A08" w:rsidRDefault="00F35761" w:rsidP="00640E7F">
      <w:pPr>
        <w:pStyle w:val="Paragraphe"/>
        <w:rPr>
          <w:lang w:val="en-CA"/>
        </w:rPr>
      </w:pPr>
      <w:r w:rsidRPr="00E20A08">
        <w:rPr>
          <w:lang w:val="en-CA"/>
        </w:rPr>
        <w:t>First, let us recall the burden incumbent on the party alleging a violation of these provisions, which burden also provides an analytical framework (</w:t>
      </w:r>
      <w:r w:rsidR="004468B7">
        <w:rPr>
          <w:lang w:val="en-CA"/>
        </w:rPr>
        <w:t xml:space="preserve">which was, moreover, accurately set out in the </w:t>
      </w:r>
      <w:r w:rsidR="00DC31C3">
        <w:rPr>
          <w:lang w:val="en-CA"/>
        </w:rPr>
        <w:t>ATQ</w:t>
      </w:r>
      <w:r w:rsidRPr="00E20A08">
        <w:rPr>
          <w:lang w:val="en-CA"/>
        </w:rPr>
        <w:t xml:space="preserve"> decision)</w:t>
      </w:r>
      <w:r w:rsidR="004468B7">
        <w:rPr>
          <w:lang w:val="en-CA"/>
        </w:rPr>
        <w:t>.</w:t>
      </w:r>
    </w:p>
    <w:p w14:paraId="794576CF" w14:textId="1D3CCC74" w:rsidR="00640E7F" w:rsidRPr="00E20A08" w:rsidRDefault="00F35761" w:rsidP="00640E7F">
      <w:pPr>
        <w:pStyle w:val="Paragraphe"/>
        <w:rPr>
          <w:lang w:val="en-CA"/>
        </w:rPr>
      </w:pPr>
      <w:r w:rsidRPr="00E20A08">
        <w:rPr>
          <w:lang w:val="en-CA"/>
        </w:rPr>
        <w:lastRenderedPageBreak/>
        <w:t xml:space="preserve">Regarding </w:t>
      </w:r>
      <w:r w:rsidR="006C5BE4">
        <w:rPr>
          <w:lang w:val="en-CA"/>
        </w:rPr>
        <w:t>s.</w:t>
      </w:r>
      <w:r w:rsidR="006979E7" w:rsidRPr="00E20A08">
        <w:rPr>
          <w:lang w:val="en-CA"/>
        </w:rPr>
        <w:t xml:space="preserve"> </w:t>
      </w:r>
      <w:r w:rsidRPr="00E20A08">
        <w:rPr>
          <w:lang w:val="en-CA"/>
        </w:rPr>
        <w:t>15(1)</w:t>
      </w:r>
      <w:r w:rsidR="006979E7" w:rsidRPr="00E20A08">
        <w:rPr>
          <w:lang w:val="en-CA"/>
        </w:rPr>
        <w:t xml:space="preserve"> </w:t>
      </w:r>
      <w:r w:rsidRPr="00E20A08">
        <w:rPr>
          <w:lang w:val="en-CA"/>
        </w:rPr>
        <w:t xml:space="preserve">of the </w:t>
      </w:r>
      <w:r w:rsidRPr="004468B7">
        <w:rPr>
          <w:i/>
          <w:iCs/>
          <w:lang w:val="en-CA"/>
        </w:rPr>
        <w:t>Canadian Charter</w:t>
      </w:r>
      <w:r w:rsidRPr="00E20A08">
        <w:rPr>
          <w:lang w:val="en-CA"/>
        </w:rPr>
        <w:t xml:space="preserve">, </w:t>
      </w:r>
      <w:r w:rsidR="000F48D4">
        <w:rPr>
          <w:lang w:val="en-CA"/>
        </w:rPr>
        <w:t>recently</w:t>
      </w:r>
      <w:r w:rsidRPr="00E20A08">
        <w:rPr>
          <w:lang w:val="en-CA"/>
        </w:rPr>
        <w:t xml:space="preserve"> in </w:t>
      </w:r>
      <w:r w:rsidRPr="004468B7">
        <w:rPr>
          <w:i/>
          <w:iCs/>
          <w:lang w:val="en-CA"/>
        </w:rPr>
        <w:t>R. v. C.P</w:t>
      </w:r>
      <w:r w:rsidRPr="00E20A08">
        <w:rPr>
          <w:lang w:val="en-CA"/>
        </w:rPr>
        <w:t>.,</w:t>
      </w:r>
      <w:r w:rsidRPr="00E20A08">
        <w:rPr>
          <w:rStyle w:val="Appelnotedebasdep"/>
          <w:lang w:val="en-CA"/>
        </w:rPr>
        <w:footnoteReference w:id="35"/>
      </w:r>
      <w:r w:rsidRPr="00E20A08">
        <w:rPr>
          <w:lang w:val="en-CA"/>
        </w:rPr>
        <w:t xml:space="preserve"> Wagner</w:t>
      </w:r>
      <w:r w:rsidR="000F48D4">
        <w:rPr>
          <w:lang w:val="en-CA"/>
        </w:rPr>
        <w:t>,</w:t>
      </w:r>
      <w:r w:rsidRPr="00E20A08">
        <w:rPr>
          <w:lang w:val="en-CA"/>
        </w:rPr>
        <w:t xml:space="preserve"> </w:t>
      </w:r>
      <w:r w:rsidR="004468B7">
        <w:rPr>
          <w:lang w:val="en-CA"/>
        </w:rPr>
        <w:t>C</w:t>
      </w:r>
      <w:r w:rsidR="000F48D4">
        <w:rPr>
          <w:lang w:val="en-CA"/>
        </w:rPr>
        <w:t>.</w:t>
      </w:r>
      <w:r w:rsidR="004468B7">
        <w:rPr>
          <w:lang w:val="en-CA"/>
        </w:rPr>
        <w:t>J</w:t>
      </w:r>
      <w:r w:rsidR="000F48D4">
        <w:rPr>
          <w:lang w:val="en-CA"/>
        </w:rPr>
        <w:t>,</w:t>
      </w:r>
      <w:r w:rsidR="004468B7">
        <w:rPr>
          <w:lang w:val="en-CA"/>
        </w:rPr>
        <w:t xml:space="preserve"> </w:t>
      </w:r>
      <w:r w:rsidRPr="00E20A08">
        <w:rPr>
          <w:lang w:val="en-CA"/>
        </w:rPr>
        <w:t>wrote:</w:t>
      </w:r>
    </w:p>
    <w:p w14:paraId="78EBD9E2" w14:textId="705F0272" w:rsidR="00640E7F" w:rsidRPr="00E20A08" w:rsidRDefault="006979E7" w:rsidP="00640E7F">
      <w:pPr>
        <w:pStyle w:val="Citationenretrait"/>
        <w:rPr>
          <w:lang w:val="en-CA"/>
        </w:rPr>
      </w:pPr>
      <w:r w:rsidRPr="00E20A08">
        <w:rPr>
          <w:lang w:val="en-CA"/>
        </w:rPr>
        <w:t>[141]</w:t>
      </w:r>
      <w:r w:rsidRPr="00E20A08">
        <w:rPr>
          <w:lang w:val="en-CA"/>
        </w:rPr>
        <w:tab/>
      </w:r>
      <w:r w:rsidR="00F35761" w:rsidRPr="00E20A08">
        <w:rPr>
          <w:lang w:val="en-CA"/>
        </w:rPr>
        <w:t xml:space="preserve">A law or a government action will contravene this guarantee: (1) if, on its face or in its impact, it creates a distinction based on enumerated or analogous grounds; and (2) if it imposes burdens or denies a benefit in a manner that has the effect of reinforcing, perpetuating or exacerbating a disadvantage </w:t>
      </w:r>
      <w:r w:rsidR="00F35761" w:rsidRPr="004468B7">
        <w:rPr>
          <w:i/>
          <w:iCs/>
          <w:lang w:val="en-CA"/>
        </w:rPr>
        <w:t>(Fraser v. Canada (Attorney General</w:t>
      </w:r>
      <w:r w:rsidR="004468B7">
        <w:rPr>
          <w:lang w:val="en-CA"/>
        </w:rPr>
        <w:t>)</w:t>
      </w:r>
      <w:r w:rsidR="00F35761" w:rsidRPr="00E20A08">
        <w:rPr>
          <w:lang w:val="en-CA"/>
        </w:rPr>
        <w:t>, 2020 SCC 28, at para. 27</w:t>
      </w:r>
      <w:r w:rsidR="00F35761" w:rsidRPr="004468B7">
        <w:rPr>
          <w:i/>
          <w:iCs/>
          <w:lang w:val="en-CA"/>
        </w:rPr>
        <w:t xml:space="preserve">; </w:t>
      </w:r>
      <w:proofErr w:type="spellStart"/>
      <w:r w:rsidR="00F35761" w:rsidRPr="004468B7">
        <w:rPr>
          <w:i/>
          <w:iCs/>
          <w:lang w:val="en-CA"/>
        </w:rPr>
        <w:t>Kahkewistahaw</w:t>
      </w:r>
      <w:proofErr w:type="spellEnd"/>
      <w:r w:rsidR="00F35761" w:rsidRPr="004468B7">
        <w:rPr>
          <w:i/>
          <w:iCs/>
          <w:lang w:val="en-CA"/>
        </w:rPr>
        <w:t xml:space="preserve"> First Nation v. </w:t>
      </w:r>
      <w:proofErr w:type="spellStart"/>
      <w:r w:rsidR="00F35761" w:rsidRPr="004468B7">
        <w:rPr>
          <w:i/>
          <w:iCs/>
          <w:lang w:val="en-CA"/>
        </w:rPr>
        <w:t>Taypotat</w:t>
      </w:r>
      <w:proofErr w:type="spellEnd"/>
      <w:r w:rsidR="00F35761" w:rsidRPr="00E20A08">
        <w:rPr>
          <w:lang w:val="en-CA"/>
        </w:rPr>
        <w:t>, 2015 SCC 30, [2015] 2 S.C.R. 548, at paras. 19</w:t>
      </w:r>
      <w:r w:rsidR="00F35761" w:rsidRPr="00E20A08">
        <w:rPr>
          <w:rFonts w:ascii="Cambria Math" w:hAnsi="Cambria Math" w:cs="Cambria Math"/>
          <w:lang w:val="en-CA"/>
        </w:rPr>
        <w:t>‑</w:t>
      </w:r>
      <w:r w:rsidR="00F35761" w:rsidRPr="00E20A08">
        <w:rPr>
          <w:lang w:val="en-CA"/>
        </w:rPr>
        <w:t>20</w:t>
      </w:r>
      <w:r w:rsidR="004468B7">
        <w:rPr>
          <w:lang w:val="en-CA"/>
        </w:rPr>
        <w:t>)</w:t>
      </w:r>
      <w:r w:rsidRPr="00E20A08">
        <w:rPr>
          <w:lang w:val="en-CA"/>
        </w:rPr>
        <w:t>.</w:t>
      </w:r>
    </w:p>
    <w:p w14:paraId="0B12A885" w14:textId="7828B03E" w:rsidR="00640E7F" w:rsidRPr="00E20A08" w:rsidRDefault="00F35761" w:rsidP="00640E7F">
      <w:pPr>
        <w:pStyle w:val="Paragraphe"/>
        <w:rPr>
          <w:lang w:val="en-CA"/>
        </w:rPr>
      </w:pPr>
      <w:r w:rsidRPr="00E20A08">
        <w:rPr>
          <w:lang w:val="en-CA"/>
        </w:rPr>
        <w:t xml:space="preserve">In separate reasons, </w:t>
      </w:r>
      <w:proofErr w:type="spellStart"/>
      <w:r w:rsidRPr="00E20A08">
        <w:rPr>
          <w:lang w:val="en-CA"/>
        </w:rPr>
        <w:t>Abella</w:t>
      </w:r>
      <w:proofErr w:type="spellEnd"/>
      <w:r w:rsidRPr="00E20A08">
        <w:rPr>
          <w:lang w:val="en-CA"/>
        </w:rPr>
        <w:t xml:space="preserve"> J. repeated the same test,</w:t>
      </w:r>
      <w:r w:rsidRPr="00E20A08">
        <w:rPr>
          <w:rStyle w:val="Appelnotedebasdep"/>
          <w:lang w:val="en-CA"/>
        </w:rPr>
        <w:t xml:space="preserve"> </w:t>
      </w:r>
      <w:r w:rsidRPr="00E20A08">
        <w:rPr>
          <w:rStyle w:val="Appelnotedebasdep"/>
          <w:lang w:val="en-CA"/>
        </w:rPr>
        <w:footnoteReference w:id="36"/>
      </w:r>
      <w:r w:rsidRPr="00E20A08">
        <w:rPr>
          <w:lang w:val="en-CA"/>
        </w:rPr>
        <w:t xml:space="preserve"> which </w:t>
      </w:r>
      <w:r w:rsidR="004468B7">
        <w:rPr>
          <w:lang w:val="en-CA"/>
        </w:rPr>
        <w:t>was</w:t>
      </w:r>
      <w:r w:rsidRPr="00E20A08">
        <w:rPr>
          <w:lang w:val="en-CA"/>
        </w:rPr>
        <w:t xml:space="preserve"> also applied in more detail in </w:t>
      </w:r>
      <w:r w:rsidRPr="004468B7">
        <w:rPr>
          <w:i/>
          <w:iCs/>
          <w:lang w:val="en-CA"/>
        </w:rPr>
        <w:t>Ontario (Attorney General) v. G.</w:t>
      </w:r>
      <w:r w:rsidR="004468B7">
        <w:rPr>
          <w:lang w:val="en-CA"/>
        </w:rPr>
        <w:t>,</w:t>
      </w:r>
      <w:r w:rsidRPr="00E20A08">
        <w:rPr>
          <w:rStyle w:val="Appelnotedebasdep"/>
          <w:lang w:val="en-CA"/>
        </w:rPr>
        <w:t xml:space="preserve"> </w:t>
      </w:r>
      <w:r w:rsidRPr="00E20A08">
        <w:rPr>
          <w:rStyle w:val="Appelnotedebasdep"/>
          <w:lang w:val="en-CA"/>
        </w:rPr>
        <w:footnoteReference w:id="37"/>
      </w:r>
      <w:r w:rsidRPr="00E20A08">
        <w:rPr>
          <w:lang w:val="en-CA"/>
        </w:rPr>
        <w:t xml:space="preserve"> this time by Karakatsanis J., for the majority:</w:t>
      </w:r>
    </w:p>
    <w:p w14:paraId="65D79BB4" w14:textId="413FC63F" w:rsidR="00640E7F" w:rsidRPr="00E20A08" w:rsidRDefault="006979E7" w:rsidP="00640E7F">
      <w:pPr>
        <w:pStyle w:val="Citationenretrait"/>
        <w:rPr>
          <w:lang w:val="en-CA"/>
        </w:rPr>
      </w:pPr>
      <w:r w:rsidRPr="00E20A08">
        <w:rPr>
          <w:lang w:val="en-CA"/>
        </w:rPr>
        <w:t>[40]</w:t>
      </w:r>
      <w:r w:rsidRPr="00E20A08">
        <w:rPr>
          <w:lang w:val="en-CA"/>
        </w:rPr>
        <w:tab/>
      </w:r>
      <w:r w:rsidR="00F35761" w:rsidRPr="00E20A08">
        <w:rPr>
          <w:lang w:val="en-CA"/>
        </w:rPr>
        <w:t xml:space="preserve">The Court asks two questions in determining whether a law infringes s. 15(1). First, does the challenged law, on its face or in its impact, draw a distinction based on an enumerated or analogous ground? If a law is facially neutral, it may draw a distinction indirectly where it has an adverse impact upon members of a protected group. Second, if it does draw a distinction, does it impose “burdens or [deny] a benefit in a manner that has the effect of reinforcing, perpetuating or exacerbating . . . disadvantage”, including “historical” disadvantage? (See </w:t>
      </w:r>
      <w:r w:rsidR="00F35761" w:rsidRPr="00491578">
        <w:rPr>
          <w:i/>
          <w:iCs/>
          <w:lang w:val="en-CA"/>
        </w:rPr>
        <w:t xml:space="preserve">Centrale des </w:t>
      </w:r>
      <w:proofErr w:type="spellStart"/>
      <w:r w:rsidR="00F35761" w:rsidRPr="00491578">
        <w:rPr>
          <w:i/>
          <w:iCs/>
          <w:lang w:val="en-CA"/>
        </w:rPr>
        <w:t>syndicats</w:t>
      </w:r>
      <w:proofErr w:type="spellEnd"/>
      <w:r w:rsidR="00F35761" w:rsidRPr="00491578">
        <w:rPr>
          <w:i/>
          <w:iCs/>
          <w:lang w:val="en-CA"/>
        </w:rPr>
        <w:t xml:space="preserve"> du Québec v. Quebec (Attorney General)</w:t>
      </w:r>
      <w:r w:rsidR="00491578">
        <w:rPr>
          <w:lang w:val="en-CA"/>
        </w:rPr>
        <w:t>,</w:t>
      </w:r>
      <w:r w:rsidR="00F35761" w:rsidRPr="00E20A08">
        <w:rPr>
          <w:lang w:val="en-CA"/>
        </w:rPr>
        <w:t xml:space="preserve"> 2018 SCC 18, [2018] 1 S.C.R. 522, at para. 22, citing </w:t>
      </w:r>
      <w:proofErr w:type="spellStart"/>
      <w:r w:rsidR="00F35761" w:rsidRPr="00491578">
        <w:rPr>
          <w:i/>
          <w:iCs/>
          <w:lang w:val="en-CA"/>
        </w:rPr>
        <w:t>Kahkewistahaw</w:t>
      </w:r>
      <w:proofErr w:type="spellEnd"/>
      <w:r w:rsidR="00F35761" w:rsidRPr="00491578">
        <w:rPr>
          <w:i/>
          <w:iCs/>
          <w:lang w:val="en-CA"/>
        </w:rPr>
        <w:t xml:space="preserve"> First Nation v. </w:t>
      </w:r>
      <w:proofErr w:type="spellStart"/>
      <w:r w:rsidR="00F35761" w:rsidRPr="00491578">
        <w:rPr>
          <w:i/>
          <w:iCs/>
          <w:lang w:val="en-CA"/>
        </w:rPr>
        <w:t>Taypotat</w:t>
      </w:r>
      <w:proofErr w:type="spellEnd"/>
      <w:r w:rsidR="00491578">
        <w:rPr>
          <w:lang w:val="en-CA"/>
        </w:rPr>
        <w:t>,</w:t>
      </w:r>
      <w:r w:rsidR="00F35761" w:rsidRPr="00E20A08">
        <w:rPr>
          <w:lang w:val="en-CA"/>
        </w:rPr>
        <w:t xml:space="preserve"> 2015 SCC 30, [2015] 2 S.C.R. 548, at paras. 19-20, and </w:t>
      </w:r>
      <w:r w:rsidR="00F35761" w:rsidRPr="00491578">
        <w:rPr>
          <w:i/>
          <w:iCs/>
          <w:lang w:val="en-CA"/>
        </w:rPr>
        <w:t>Quebec v. A</w:t>
      </w:r>
      <w:r w:rsidR="00F35761" w:rsidRPr="00E20A08">
        <w:rPr>
          <w:lang w:val="en-CA"/>
        </w:rPr>
        <w:t xml:space="preserve">, at paras. 323-24 and 327; see also </w:t>
      </w:r>
      <w:r w:rsidR="00F35761" w:rsidRPr="00491578">
        <w:rPr>
          <w:i/>
          <w:iCs/>
          <w:lang w:val="en-CA"/>
        </w:rPr>
        <w:t>Quebec v. A</w:t>
      </w:r>
      <w:r w:rsidR="00F35761" w:rsidRPr="00E20A08">
        <w:rPr>
          <w:lang w:val="en-CA"/>
        </w:rPr>
        <w:t xml:space="preserve">, at para. </w:t>
      </w:r>
      <w:r w:rsidR="00F35761" w:rsidRPr="00874FC6">
        <w:t xml:space="preserve">332, </w:t>
      </w:r>
      <w:proofErr w:type="spellStart"/>
      <w:r w:rsidR="00F35761" w:rsidRPr="00491578">
        <w:rPr>
          <w:i/>
          <w:iCs/>
        </w:rPr>
        <w:t>Quebec</w:t>
      </w:r>
      <w:proofErr w:type="spellEnd"/>
      <w:r w:rsidR="00F35761" w:rsidRPr="00491578">
        <w:rPr>
          <w:i/>
          <w:iCs/>
        </w:rPr>
        <w:t xml:space="preserve"> (Attorney General) v. Alliance du personnel professionnel et technique de la santé et des services sociaux</w:t>
      </w:r>
      <w:r w:rsidR="00F35761" w:rsidRPr="00874FC6">
        <w:t xml:space="preserve">, 2018 SCC 17, [2018] 1 S.C.R. 464, at paras. </w:t>
      </w:r>
      <w:r w:rsidR="00F35761" w:rsidRPr="00E20A08">
        <w:rPr>
          <w:lang w:val="en-CA"/>
        </w:rPr>
        <w:t>25</w:t>
      </w:r>
      <w:r w:rsidR="00F35761" w:rsidRPr="00E20A08">
        <w:rPr>
          <w:rFonts w:ascii="Cambria Math" w:hAnsi="Cambria Math" w:cs="Cambria Math"/>
          <w:lang w:val="en-CA"/>
        </w:rPr>
        <w:t>‑</w:t>
      </w:r>
      <w:r w:rsidR="00F35761" w:rsidRPr="00E20A08">
        <w:rPr>
          <w:lang w:val="en-CA"/>
        </w:rPr>
        <w:t xml:space="preserve">28, and </w:t>
      </w:r>
      <w:r w:rsidR="00F35761" w:rsidRPr="00491578">
        <w:rPr>
          <w:i/>
          <w:iCs/>
          <w:lang w:val="en-CA"/>
        </w:rPr>
        <w:t>Fraser v. Canada (Attorney General)</w:t>
      </w:r>
      <w:r w:rsidR="00491578">
        <w:rPr>
          <w:lang w:val="en-CA"/>
        </w:rPr>
        <w:t xml:space="preserve">, </w:t>
      </w:r>
      <w:r w:rsidR="00F35761" w:rsidRPr="00E20A08">
        <w:rPr>
          <w:lang w:val="en-CA"/>
        </w:rPr>
        <w:t xml:space="preserve">2020 SCC 28, at paras. 27 and 30, per </w:t>
      </w:r>
      <w:proofErr w:type="spellStart"/>
      <w:r w:rsidR="00F35761" w:rsidRPr="00E20A08">
        <w:rPr>
          <w:lang w:val="en-CA"/>
        </w:rPr>
        <w:t>Abella</w:t>
      </w:r>
      <w:proofErr w:type="spellEnd"/>
      <w:r w:rsidR="00F35761" w:rsidRPr="00E20A08">
        <w:rPr>
          <w:lang w:val="en-CA"/>
        </w:rPr>
        <w:t xml:space="preserve"> J.)</w:t>
      </w:r>
    </w:p>
    <w:p w14:paraId="1B7D3ABC" w14:textId="19673564" w:rsidR="00640E7F" w:rsidRPr="00E20A08" w:rsidRDefault="006979E7" w:rsidP="00640E7F">
      <w:pPr>
        <w:pStyle w:val="Citationenretrait"/>
        <w:rPr>
          <w:lang w:val="en-CA"/>
        </w:rPr>
      </w:pPr>
      <w:r w:rsidRPr="00E20A08">
        <w:rPr>
          <w:lang w:val="en-CA"/>
        </w:rPr>
        <w:t>[41]</w:t>
      </w:r>
      <w:r w:rsidRPr="00E20A08">
        <w:rPr>
          <w:lang w:val="en-CA"/>
        </w:rPr>
        <w:tab/>
      </w:r>
      <w:r w:rsidR="00F35761" w:rsidRPr="00E20A08">
        <w:rPr>
          <w:lang w:val="en-CA"/>
        </w:rPr>
        <w:t>The first step — whether the law creates a distinction based on enumerated or analogous grounds — is not a preliminary merits test or “an onerous hurdle designed to weed out claims on technical bases” (</w:t>
      </w:r>
      <w:r w:rsidR="00F35761" w:rsidRPr="00491578">
        <w:rPr>
          <w:i/>
          <w:iCs/>
          <w:lang w:val="en-CA"/>
        </w:rPr>
        <w:t>Quebec v. Alliance</w:t>
      </w:r>
      <w:r w:rsidR="00F35761" w:rsidRPr="00E20A08">
        <w:rPr>
          <w:lang w:val="en-CA"/>
        </w:rPr>
        <w:t>, at para. 26). It is aimed at ensuring that those who access the protection of s. 15(1) are those it is designed to protect (</w:t>
      </w:r>
      <w:r w:rsidR="00F35761" w:rsidRPr="00491578">
        <w:rPr>
          <w:i/>
          <w:iCs/>
          <w:lang w:val="en-CA"/>
        </w:rPr>
        <w:t>Alliance</w:t>
      </w:r>
      <w:r w:rsidR="00F35761" w:rsidRPr="00E20A08">
        <w:rPr>
          <w:lang w:val="en-CA"/>
        </w:rPr>
        <w:t>, at para. 26). In cases involving laws that draw distinctions in their impact, the disproportionate impact on a protected group is enough — the disproportionate impact need not be caused by the protected ground (</w:t>
      </w:r>
      <w:r w:rsidR="00F35761" w:rsidRPr="00491578">
        <w:rPr>
          <w:i/>
          <w:iCs/>
          <w:lang w:val="en-CA"/>
        </w:rPr>
        <w:t>Fraser</w:t>
      </w:r>
      <w:r w:rsidR="00F35761" w:rsidRPr="00E20A08">
        <w:rPr>
          <w:lang w:val="en-CA"/>
        </w:rPr>
        <w:t>, at para. 70).</w:t>
      </w:r>
    </w:p>
    <w:p w14:paraId="2E42F8D1" w14:textId="3E9AA238" w:rsidR="00640E7F" w:rsidRPr="00E20A08" w:rsidRDefault="006979E7" w:rsidP="00640E7F">
      <w:pPr>
        <w:pStyle w:val="Citationenretrait"/>
        <w:rPr>
          <w:lang w:val="en-CA"/>
        </w:rPr>
      </w:pPr>
      <w:r w:rsidRPr="00E20A08">
        <w:rPr>
          <w:lang w:val="en-CA"/>
        </w:rPr>
        <w:t>[42]</w:t>
      </w:r>
      <w:r w:rsidRPr="00E20A08">
        <w:rPr>
          <w:lang w:val="en-CA"/>
        </w:rPr>
        <w:tab/>
      </w:r>
      <w:r w:rsidR="00F35761" w:rsidRPr="00E20A08">
        <w:rPr>
          <w:lang w:val="en-CA"/>
        </w:rPr>
        <w:t xml:space="preserve">The second step asks whether the challenged law imposes a burden or denies a benefit in a manner that is </w:t>
      </w:r>
      <w:r w:rsidR="00003EA4" w:rsidRPr="00E20A08">
        <w:rPr>
          <w:lang w:val="en-CA"/>
        </w:rPr>
        <w:t>di</w:t>
      </w:r>
      <w:r w:rsidR="00003EA4">
        <w:rPr>
          <w:lang w:val="en-CA"/>
        </w:rPr>
        <w:t>scrimi</w:t>
      </w:r>
      <w:r w:rsidR="00003EA4" w:rsidRPr="00E20A08">
        <w:rPr>
          <w:lang w:val="en-CA"/>
        </w:rPr>
        <w:t>natory</w:t>
      </w:r>
      <w:r w:rsidR="00F35761" w:rsidRPr="00E20A08">
        <w:rPr>
          <w:lang w:val="en-CA"/>
        </w:rPr>
        <w:t xml:space="preserve">. Importantly, it does not matter </w:t>
      </w:r>
      <w:r w:rsidR="00F35761" w:rsidRPr="00E20A08">
        <w:rPr>
          <w:lang w:val="en-CA"/>
        </w:rPr>
        <w:lastRenderedPageBreak/>
        <w:t>to either step of the analysis whether the challenged law created the social, political or legal disadvantage of protected groups (</w:t>
      </w:r>
      <w:r w:rsidR="00F35761" w:rsidRPr="00491578">
        <w:rPr>
          <w:i/>
          <w:iCs/>
          <w:lang w:val="en-CA"/>
        </w:rPr>
        <w:t xml:space="preserve">Centrale des </w:t>
      </w:r>
      <w:proofErr w:type="spellStart"/>
      <w:r w:rsidR="00F35761" w:rsidRPr="00491578">
        <w:rPr>
          <w:i/>
          <w:iCs/>
          <w:lang w:val="en-CA"/>
        </w:rPr>
        <w:t>syndicats</w:t>
      </w:r>
      <w:proofErr w:type="spellEnd"/>
      <w:r w:rsidR="00F35761" w:rsidRPr="00E20A08">
        <w:rPr>
          <w:lang w:val="en-CA"/>
        </w:rPr>
        <w:t xml:space="preserve">, at para. 32, citing </w:t>
      </w:r>
      <w:proofErr w:type="spellStart"/>
      <w:r w:rsidR="00F35761" w:rsidRPr="00491578">
        <w:rPr>
          <w:i/>
          <w:iCs/>
          <w:lang w:val="en-CA"/>
        </w:rPr>
        <w:t>Vriend</w:t>
      </w:r>
      <w:proofErr w:type="spellEnd"/>
      <w:r w:rsidR="00F35761" w:rsidRPr="00491578">
        <w:rPr>
          <w:i/>
          <w:iCs/>
          <w:lang w:val="en-CA"/>
        </w:rPr>
        <w:t xml:space="preserve"> v. Alberta</w:t>
      </w:r>
      <w:r w:rsidR="00F35761" w:rsidRPr="00E20A08">
        <w:rPr>
          <w:lang w:val="en-CA"/>
        </w:rPr>
        <w:t xml:space="preserve">, 1998 CanLII 816 (SCC), [1998] 1 S.C.R. 493, at paras. 84 and 97; </w:t>
      </w:r>
      <w:r w:rsidR="00F35761" w:rsidRPr="00491578">
        <w:rPr>
          <w:i/>
          <w:iCs/>
          <w:lang w:val="en-CA"/>
        </w:rPr>
        <w:t>Fraser</w:t>
      </w:r>
      <w:r w:rsidR="00F35761" w:rsidRPr="00E20A08">
        <w:rPr>
          <w:lang w:val="en-CA"/>
        </w:rPr>
        <w:t xml:space="preserve">, at para. 71). If the law reinforces, perpetuates, or exacerbates their disadvantage, it violates the equality guarantee and thereby gives </w:t>
      </w:r>
      <w:r w:rsidR="00003EA4" w:rsidRPr="00E20A08">
        <w:rPr>
          <w:lang w:val="en-CA"/>
        </w:rPr>
        <w:t>di</w:t>
      </w:r>
      <w:r w:rsidR="00003EA4">
        <w:rPr>
          <w:lang w:val="en-CA"/>
        </w:rPr>
        <w:t>scrimi</w:t>
      </w:r>
      <w:r w:rsidR="00003EA4" w:rsidRPr="00E20A08">
        <w:rPr>
          <w:lang w:val="en-CA"/>
        </w:rPr>
        <w:t>nation</w:t>
      </w:r>
      <w:r w:rsidR="00F35761" w:rsidRPr="00E20A08">
        <w:rPr>
          <w:lang w:val="en-CA"/>
        </w:rPr>
        <w:t xml:space="preserve"> the force of law.</w:t>
      </w:r>
    </w:p>
    <w:p w14:paraId="5A503E72" w14:textId="10E1DBE6" w:rsidR="00640E7F" w:rsidRPr="00E20A08" w:rsidRDefault="006979E7" w:rsidP="00640E7F">
      <w:pPr>
        <w:pStyle w:val="Citationenretrait"/>
        <w:rPr>
          <w:lang w:val="en-CA"/>
        </w:rPr>
      </w:pPr>
      <w:r w:rsidRPr="00E20A08">
        <w:rPr>
          <w:lang w:val="en-CA"/>
        </w:rPr>
        <w:t>[43]</w:t>
      </w:r>
      <w:proofErr w:type="gramStart"/>
      <w:r w:rsidRPr="00E20A08">
        <w:rPr>
          <w:lang w:val="en-CA"/>
        </w:rPr>
        <w:tab/>
      </w:r>
      <w:r w:rsidR="00F35761" w:rsidRPr="00E20A08">
        <w:rPr>
          <w:lang w:val="en-CA"/>
        </w:rPr>
        <w:t xml:space="preserve">  The</w:t>
      </w:r>
      <w:proofErr w:type="gramEnd"/>
      <w:r w:rsidR="00F35761" w:rsidRPr="00E20A08">
        <w:rPr>
          <w:lang w:val="en-CA"/>
        </w:rPr>
        <w:t xml:space="preserve"> ultimate issue in s. 15(1) cases is whether the challenged law violates the animating norm of substantive equality (</w:t>
      </w:r>
      <w:r w:rsidR="00F35761" w:rsidRPr="00491578">
        <w:rPr>
          <w:i/>
          <w:iCs/>
          <w:lang w:val="en-CA"/>
        </w:rPr>
        <w:t>Quebec v. A</w:t>
      </w:r>
      <w:r w:rsidR="00F35761" w:rsidRPr="00E20A08">
        <w:rPr>
          <w:lang w:val="en-CA"/>
        </w:rPr>
        <w:t xml:space="preserve">, at para. 325, citing </w:t>
      </w:r>
      <w:proofErr w:type="spellStart"/>
      <w:r w:rsidR="00F35761" w:rsidRPr="00491578">
        <w:rPr>
          <w:i/>
          <w:iCs/>
          <w:lang w:val="en-CA"/>
        </w:rPr>
        <w:t>Withler</w:t>
      </w:r>
      <w:proofErr w:type="spellEnd"/>
      <w:r w:rsidR="00F35761" w:rsidRPr="00491578">
        <w:rPr>
          <w:i/>
          <w:iCs/>
          <w:lang w:val="en-CA"/>
        </w:rPr>
        <w:t xml:space="preserve"> v. Canada (Attorney General)</w:t>
      </w:r>
      <w:r w:rsidR="00491578">
        <w:rPr>
          <w:lang w:val="en-CA"/>
        </w:rPr>
        <w:t xml:space="preserve">, </w:t>
      </w:r>
      <w:r w:rsidR="00F35761" w:rsidRPr="00E20A08">
        <w:rPr>
          <w:lang w:val="en-CA"/>
        </w:rPr>
        <w:t xml:space="preserve">2011 SCC 12, [2011] 1 S.C.R. 396, at para. 2; </w:t>
      </w:r>
      <w:r w:rsidR="00F35761" w:rsidRPr="00491578">
        <w:rPr>
          <w:i/>
          <w:iCs/>
          <w:lang w:val="en-CA"/>
        </w:rPr>
        <w:t>Fraser</w:t>
      </w:r>
      <w:r w:rsidR="00F35761" w:rsidRPr="00E20A08">
        <w:rPr>
          <w:lang w:val="en-CA"/>
        </w:rPr>
        <w:t xml:space="preserve">, at para. 42; </w:t>
      </w:r>
      <w:r w:rsidR="00F35761" w:rsidRPr="00491578">
        <w:rPr>
          <w:i/>
          <w:iCs/>
          <w:lang w:val="en-CA"/>
        </w:rPr>
        <w:t>R. v. Kapp</w:t>
      </w:r>
      <w:r w:rsidR="00F35761" w:rsidRPr="00E20A08">
        <w:rPr>
          <w:lang w:val="en-CA"/>
        </w:rPr>
        <w:t>, 2008 SCC 41, [2008] 2 S.C.R. 483, at para. 14). Substantive equality focuses both steps of the s. 15(1) analysis on the concrete, material impacts the challenged law has on the claimant and the protected group or groups to which they belong in the context of their actual circumstances, including historical and present</w:t>
      </w:r>
      <w:r w:rsidR="00F35761" w:rsidRPr="00E20A08">
        <w:rPr>
          <w:rFonts w:ascii="Cambria Math" w:hAnsi="Cambria Math" w:cs="Cambria Math"/>
          <w:lang w:val="en-CA"/>
        </w:rPr>
        <w:t>‑</w:t>
      </w:r>
      <w:r w:rsidR="00F35761" w:rsidRPr="00E20A08">
        <w:rPr>
          <w:lang w:val="en-CA"/>
        </w:rPr>
        <w:t>day social, political, and legal disadvantage. An appreciation of the role substantive equality has played in our jurisprudence is necessary to understand why many of the arguments the Attorney General presented to this Court must be rejected.</w:t>
      </w:r>
    </w:p>
    <w:p w14:paraId="5378710E" w14:textId="2F59A646" w:rsidR="00640E7F" w:rsidRPr="00E20A08" w:rsidRDefault="00F35761" w:rsidP="00640E7F">
      <w:pPr>
        <w:pStyle w:val="Paragraphe"/>
        <w:rPr>
          <w:lang w:val="en-CA"/>
        </w:rPr>
      </w:pPr>
      <w:r w:rsidRPr="00E20A08">
        <w:rPr>
          <w:lang w:val="en-CA"/>
        </w:rPr>
        <w:t xml:space="preserve">As </w:t>
      </w:r>
      <w:proofErr w:type="spellStart"/>
      <w:r w:rsidRPr="00E20A08">
        <w:rPr>
          <w:lang w:val="en-CA"/>
        </w:rPr>
        <w:t>Abella</w:t>
      </w:r>
      <w:proofErr w:type="spellEnd"/>
      <w:r w:rsidRPr="00E20A08">
        <w:rPr>
          <w:lang w:val="en-CA"/>
        </w:rPr>
        <w:t xml:space="preserve"> J. states on behalf of the majority judges in</w:t>
      </w:r>
      <w:r w:rsidR="006979E7" w:rsidRPr="00E20A08">
        <w:rPr>
          <w:lang w:val="en-CA"/>
        </w:rPr>
        <w:t xml:space="preserve"> </w:t>
      </w:r>
      <w:r w:rsidR="006979E7" w:rsidRPr="00E20A08">
        <w:rPr>
          <w:i/>
          <w:lang w:val="en-CA"/>
        </w:rPr>
        <w:t xml:space="preserve">Fraser </w:t>
      </w:r>
      <w:r w:rsidRPr="00E20A08">
        <w:rPr>
          <w:i/>
          <w:lang w:val="en-CA"/>
        </w:rPr>
        <w:t>v</w:t>
      </w:r>
      <w:r w:rsidR="006979E7" w:rsidRPr="00E20A08">
        <w:rPr>
          <w:i/>
          <w:lang w:val="en-CA"/>
        </w:rPr>
        <w:t>. Canada (</w:t>
      </w:r>
      <w:r w:rsidRPr="00E20A08">
        <w:rPr>
          <w:i/>
          <w:lang w:val="en-CA"/>
        </w:rPr>
        <w:t>Attorney General</w:t>
      </w:r>
      <w:r w:rsidR="006979E7" w:rsidRPr="00E20A08">
        <w:rPr>
          <w:i/>
          <w:lang w:val="en-CA"/>
        </w:rPr>
        <w:t>)</w:t>
      </w:r>
      <w:bookmarkStart w:id="20" w:name="_Ref71980709"/>
      <w:r w:rsidRPr="00E20A08">
        <w:rPr>
          <w:iCs/>
          <w:lang w:val="en-CA"/>
        </w:rPr>
        <w:t>,</w:t>
      </w:r>
      <w:r w:rsidR="006979E7" w:rsidRPr="00E20A08">
        <w:rPr>
          <w:rStyle w:val="Appelnotedebasdep"/>
          <w:lang w:val="en-CA"/>
        </w:rPr>
        <w:footnoteReference w:id="38"/>
      </w:r>
      <w:bookmarkEnd w:id="20"/>
      <w:r w:rsidRPr="00E20A08">
        <w:rPr>
          <w:lang w:val="en-CA"/>
        </w:rPr>
        <w:t xml:space="preserve">  the issue of prejudice and stereotyping, about which much has already been written in the case law of the Supreme Court, </w:t>
      </w:r>
      <w:r w:rsidR="00491578">
        <w:rPr>
          <w:lang w:val="en-CA"/>
        </w:rPr>
        <w:t>becomes less important</w:t>
      </w:r>
      <w:r w:rsidRPr="00E20A08">
        <w:rPr>
          <w:lang w:val="en-CA"/>
        </w:rPr>
        <w:t xml:space="preserve"> at the second stage of analysis under </w:t>
      </w:r>
      <w:r w:rsidR="006C5BE4">
        <w:rPr>
          <w:lang w:val="en-CA"/>
        </w:rPr>
        <w:t>s.</w:t>
      </w:r>
      <w:r w:rsidRPr="00E20A08">
        <w:rPr>
          <w:lang w:val="en-CA"/>
        </w:rPr>
        <w:t xml:space="preserve"> 15(1)</w:t>
      </w:r>
      <w:r w:rsidR="006979E7" w:rsidRPr="00E20A08">
        <w:rPr>
          <w:lang w:val="en-CA"/>
        </w:rPr>
        <w:t>:</w:t>
      </w:r>
    </w:p>
    <w:p w14:paraId="4E961787" w14:textId="0E5F9E5B" w:rsidR="00640E7F" w:rsidRPr="00E20A08" w:rsidRDefault="006979E7" w:rsidP="00640E7F">
      <w:pPr>
        <w:pStyle w:val="Citationenretrait"/>
        <w:rPr>
          <w:lang w:val="en-CA"/>
        </w:rPr>
      </w:pPr>
      <w:r w:rsidRPr="00E20A08">
        <w:rPr>
          <w:lang w:val="en-CA"/>
        </w:rPr>
        <w:t>[76]</w:t>
      </w:r>
      <w:r w:rsidRPr="00E20A08">
        <w:rPr>
          <w:lang w:val="en-CA"/>
        </w:rPr>
        <w:tab/>
      </w:r>
      <w:r w:rsidR="00F35761" w:rsidRPr="00E20A08">
        <w:rPr>
          <w:lang w:val="en-CA"/>
        </w:rPr>
        <w:t>This brings us to the second step of the s. 15 test: whether the law has the effect of reinforcing, perpetuating, or exacerbating disadvantage (</w:t>
      </w:r>
      <w:r w:rsidR="00F35761" w:rsidRPr="00491578">
        <w:rPr>
          <w:i/>
          <w:iCs/>
          <w:lang w:val="en-CA"/>
        </w:rPr>
        <w:t>Alliance</w:t>
      </w:r>
      <w:r w:rsidR="00F35761" w:rsidRPr="00E20A08">
        <w:rPr>
          <w:lang w:val="en-CA"/>
        </w:rPr>
        <w:t xml:space="preserve">, at para. 25). This inquiry will usually proceed similarly in cases of disparate impact and explicit </w:t>
      </w:r>
      <w:r w:rsidR="00003EA4" w:rsidRPr="00E20A08">
        <w:rPr>
          <w:lang w:val="en-CA"/>
        </w:rPr>
        <w:t>di</w:t>
      </w:r>
      <w:r w:rsidR="00003EA4">
        <w:rPr>
          <w:lang w:val="en-CA"/>
        </w:rPr>
        <w:t>scrimi</w:t>
      </w:r>
      <w:r w:rsidR="00003EA4" w:rsidRPr="00E20A08">
        <w:rPr>
          <w:lang w:val="en-CA"/>
        </w:rPr>
        <w:t>nation</w:t>
      </w:r>
      <w:r w:rsidR="00F35761" w:rsidRPr="00E20A08">
        <w:rPr>
          <w:lang w:val="en-CA"/>
        </w:rPr>
        <w:t>. There is no “rigid template” of factors relevant to this inquiry (</w:t>
      </w:r>
      <w:r w:rsidR="00F35761" w:rsidRPr="00491578">
        <w:rPr>
          <w:i/>
          <w:iCs/>
          <w:lang w:val="en-CA"/>
        </w:rPr>
        <w:t>Quebec v. A</w:t>
      </w:r>
      <w:r w:rsidR="00491578">
        <w:rPr>
          <w:lang w:val="en-CA"/>
        </w:rPr>
        <w:t>,</w:t>
      </w:r>
      <w:r w:rsidR="00F35761" w:rsidRPr="00E20A08">
        <w:rPr>
          <w:lang w:val="en-CA"/>
        </w:rPr>
        <w:t xml:space="preserve"> at para. 331, quoting </w:t>
      </w:r>
      <w:proofErr w:type="spellStart"/>
      <w:r w:rsidR="00F35761" w:rsidRPr="00491578">
        <w:rPr>
          <w:i/>
          <w:iCs/>
          <w:lang w:val="en-CA"/>
        </w:rPr>
        <w:t>Withler</w:t>
      </w:r>
      <w:proofErr w:type="spellEnd"/>
      <w:r w:rsidR="00F35761" w:rsidRPr="00E20A08">
        <w:rPr>
          <w:lang w:val="en-CA"/>
        </w:rPr>
        <w:t xml:space="preserve">, at para. 66). </w:t>
      </w:r>
      <w:r w:rsidR="00F35761" w:rsidRPr="00E66EFC">
        <w:rPr>
          <w:u w:val="single"/>
          <w:lang w:val="en-CA"/>
        </w:rPr>
        <w:t>The goal is to examine the impact of the harm caused to the affected group</w:t>
      </w:r>
      <w:r w:rsidR="00F35761" w:rsidRPr="00E20A08">
        <w:rPr>
          <w:lang w:val="en-CA"/>
        </w:rPr>
        <w:t>. The harm may include “[e]</w:t>
      </w:r>
      <w:proofErr w:type="spellStart"/>
      <w:r w:rsidR="00F35761" w:rsidRPr="00E20A08">
        <w:rPr>
          <w:lang w:val="en-CA"/>
        </w:rPr>
        <w:t>conomic</w:t>
      </w:r>
      <w:proofErr w:type="spellEnd"/>
      <w:r w:rsidR="00F35761" w:rsidRPr="00E20A08">
        <w:rPr>
          <w:lang w:val="en-CA"/>
        </w:rPr>
        <w:t xml:space="preserve"> exclusion or disadvantage, [s]</w:t>
      </w:r>
      <w:proofErr w:type="spellStart"/>
      <w:r w:rsidR="00F35761" w:rsidRPr="00E20A08">
        <w:rPr>
          <w:lang w:val="en-CA"/>
        </w:rPr>
        <w:t>ocial</w:t>
      </w:r>
      <w:proofErr w:type="spellEnd"/>
      <w:r w:rsidR="00F35761" w:rsidRPr="00E20A08">
        <w:rPr>
          <w:lang w:val="en-CA"/>
        </w:rPr>
        <w:t xml:space="preserve"> exclusion . . . [p]</w:t>
      </w:r>
      <w:proofErr w:type="spellStart"/>
      <w:r w:rsidR="00F35761" w:rsidRPr="00E20A08">
        <w:rPr>
          <w:lang w:val="en-CA"/>
        </w:rPr>
        <w:t>sychological</w:t>
      </w:r>
      <w:proofErr w:type="spellEnd"/>
      <w:r w:rsidR="00F35761" w:rsidRPr="00E20A08">
        <w:rPr>
          <w:lang w:val="en-CA"/>
        </w:rPr>
        <w:t xml:space="preserve"> harms . . . [p]</w:t>
      </w:r>
      <w:proofErr w:type="spellStart"/>
      <w:r w:rsidR="00F35761" w:rsidRPr="00E20A08">
        <w:rPr>
          <w:lang w:val="en-CA"/>
        </w:rPr>
        <w:t>hysical</w:t>
      </w:r>
      <w:proofErr w:type="spellEnd"/>
      <w:r w:rsidR="00F35761" w:rsidRPr="00E20A08">
        <w:rPr>
          <w:lang w:val="en-CA"/>
        </w:rPr>
        <w:t xml:space="preserve"> harms . . . [or] [p]</w:t>
      </w:r>
      <w:proofErr w:type="spellStart"/>
      <w:r w:rsidR="00F35761" w:rsidRPr="00E20A08">
        <w:rPr>
          <w:lang w:val="en-CA"/>
        </w:rPr>
        <w:t>olitical</w:t>
      </w:r>
      <w:proofErr w:type="spellEnd"/>
      <w:r w:rsidR="00F35761" w:rsidRPr="00E20A08">
        <w:rPr>
          <w:lang w:val="en-CA"/>
        </w:rPr>
        <w:t xml:space="preserve"> exclusion</w:t>
      </w:r>
      <w:proofErr w:type="gramStart"/>
      <w:r w:rsidR="00F35761" w:rsidRPr="00E20A08">
        <w:rPr>
          <w:lang w:val="en-CA"/>
        </w:rPr>
        <w:t xml:space="preserve">”, </w:t>
      </w:r>
      <w:r w:rsidR="00F35761" w:rsidRPr="00E66EFC">
        <w:rPr>
          <w:u w:val="single"/>
          <w:lang w:val="en-CA"/>
        </w:rPr>
        <w:t>and</w:t>
      </w:r>
      <w:proofErr w:type="gramEnd"/>
      <w:r w:rsidR="00F35761" w:rsidRPr="00E66EFC">
        <w:rPr>
          <w:u w:val="single"/>
          <w:lang w:val="en-CA"/>
        </w:rPr>
        <w:t xml:space="preserve"> must be viewed in light of any systemic or historical disadvantages faced by the claimant group</w:t>
      </w:r>
      <w:r w:rsidR="00F35761" w:rsidRPr="00E20A08">
        <w:rPr>
          <w:lang w:val="en-CA"/>
        </w:rPr>
        <w:t xml:space="preserve"> (</w:t>
      </w:r>
      <w:r w:rsidR="00F35761" w:rsidRPr="00491578">
        <w:rPr>
          <w:i/>
          <w:iCs/>
          <w:lang w:val="en-CA"/>
        </w:rPr>
        <w:t>Sheppard</w:t>
      </w:r>
      <w:r w:rsidR="00F35761" w:rsidRPr="00E20A08">
        <w:rPr>
          <w:lang w:val="en-CA"/>
        </w:rPr>
        <w:t xml:space="preserve"> (2010), at pp. 62</w:t>
      </w:r>
      <w:r w:rsidR="00F35761" w:rsidRPr="00E20A08">
        <w:rPr>
          <w:rFonts w:ascii="Cambria Math" w:hAnsi="Cambria Math" w:cs="Cambria Math"/>
          <w:lang w:val="en-CA"/>
        </w:rPr>
        <w:t>‑</w:t>
      </w:r>
      <w:r w:rsidR="00F35761" w:rsidRPr="00E20A08">
        <w:rPr>
          <w:lang w:val="en-CA"/>
        </w:rPr>
        <w:t>63 (emphasis deleted)).</w:t>
      </w:r>
    </w:p>
    <w:p w14:paraId="6F117008" w14:textId="7BED6B84" w:rsidR="00640E7F" w:rsidRPr="00E20A08" w:rsidRDefault="006979E7" w:rsidP="00640E7F">
      <w:pPr>
        <w:pStyle w:val="Citationenretrait"/>
        <w:rPr>
          <w:lang w:val="en-CA"/>
        </w:rPr>
      </w:pPr>
      <w:r w:rsidRPr="00E20A08">
        <w:rPr>
          <w:lang w:val="en-CA"/>
        </w:rPr>
        <w:t>[77]</w:t>
      </w:r>
      <w:r w:rsidRPr="00E20A08">
        <w:rPr>
          <w:lang w:val="en-CA"/>
        </w:rPr>
        <w:tab/>
      </w:r>
      <w:r w:rsidR="00F35761" w:rsidRPr="00E20A08">
        <w:rPr>
          <w:lang w:val="en-CA"/>
        </w:rPr>
        <w:t xml:space="preserve">The purpose of the inquiry is to keep s. 15(1) focussed on the protection of groups that have experienced exclusionary disadvantage based on group characteristics, as well as the protection of those “who are members of more than one socially disadvantaged group in society” (Colleen Sheppard, “Grounds of </w:t>
      </w:r>
      <w:r w:rsidR="00003EA4" w:rsidRPr="00E20A08">
        <w:rPr>
          <w:lang w:val="en-CA"/>
        </w:rPr>
        <w:t>Di</w:t>
      </w:r>
      <w:r w:rsidR="00003EA4">
        <w:rPr>
          <w:lang w:val="en-CA"/>
        </w:rPr>
        <w:t>scrimi</w:t>
      </w:r>
      <w:r w:rsidR="00003EA4" w:rsidRPr="00E20A08">
        <w:rPr>
          <w:lang w:val="en-CA"/>
        </w:rPr>
        <w:t>nation</w:t>
      </w:r>
      <w:r w:rsidR="00F35761" w:rsidRPr="00E20A08">
        <w:rPr>
          <w:lang w:val="en-CA"/>
        </w:rPr>
        <w:t xml:space="preserve">: Towards an Inclusive and Contextual Approach” (2001), 80 Can. </w:t>
      </w:r>
      <w:r w:rsidR="00F35761" w:rsidRPr="00E20A08">
        <w:rPr>
          <w:lang w:val="en-CA"/>
        </w:rPr>
        <w:lastRenderedPageBreak/>
        <w:t xml:space="preserve">Bar Rev. 893, at p. 896; see also </w:t>
      </w:r>
      <w:proofErr w:type="spellStart"/>
      <w:r w:rsidR="00F35761" w:rsidRPr="00491578">
        <w:rPr>
          <w:i/>
          <w:iCs/>
          <w:lang w:val="en-CA"/>
        </w:rPr>
        <w:t>Withler</w:t>
      </w:r>
      <w:proofErr w:type="spellEnd"/>
      <w:r w:rsidR="00F35761" w:rsidRPr="00E20A08">
        <w:rPr>
          <w:lang w:val="en-CA"/>
        </w:rPr>
        <w:t xml:space="preserve">, at para. 58). As the Court noted in </w:t>
      </w:r>
      <w:r w:rsidR="00F35761" w:rsidRPr="00491578">
        <w:rPr>
          <w:i/>
          <w:iCs/>
          <w:lang w:val="en-CA"/>
        </w:rPr>
        <w:t>Quebec v. A</w:t>
      </w:r>
      <w:r w:rsidR="00F35761" w:rsidRPr="00E20A08">
        <w:rPr>
          <w:lang w:val="en-CA"/>
        </w:rPr>
        <w:t xml:space="preserve"> when discussing the second stage of the s. 15 test:</w:t>
      </w:r>
    </w:p>
    <w:p w14:paraId="0B03C285" w14:textId="4064B5E5" w:rsidR="00640E7F" w:rsidRPr="00E20A08" w:rsidRDefault="00F35761" w:rsidP="00640E7F">
      <w:pPr>
        <w:pStyle w:val="Citationenretrait"/>
        <w:ind w:left="1440" w:right="1082"/>
        <w:rPr>
          <w:sz w:val="20"/>
          <w:lang w:val="en-CA"/>
        </w:rPr>
      </w:pPr>
      <w:r w:rsidRPr="00E20A08">
        <w:rPr>
          <w:sz w:val="20"/>
          <w:lang w:val="en-CA"/>
        </w:rPr>
        <w:t xml:space="preserve">The root of s. 15 is our awareness that certain groups have been historically </w:t>
      </w:r>
      <w:r w:rsidR="00003EA4" w:rsidRPr="00E20A08">
        <w:rPr>
          <w:sz w:val="20"/>
          <w:lang w:val="en-CA"/>
        </w:rPr>
        <w:t>di</w:t>
      </w:r>
      <w:r w:rsidR="00003EA4">
        <w:rPr>
          <w:sz w:val="20"/>
          <w:lang w:val="en-CA"/>
        </w:rPr>
        <w:t>scrimi</w:t>
      </w:r>
      <w:r w:rsidR="00003EA4" w:rsidRPr="00E20A08">
        <w:rPr>
          <w:sz w:val="20"/>
          <w:lang w:val="en-CA"/>
        </w:rPr>
        <w:t>nated</w:t>
      </w:r>
      <w:r w:rsidRPr="00E20A08">
        <w:rPr>
          <w:sz w:val="20"/>
          <w:lang w:val="en-CA"/>
        </w:rPr>
        <w:t xml:space="preserve"> against, and that the perpetuation of such </w:t>
      </w:r>
      <w:r w:rsidR="00003EA4" w:rsidRPr="00E20A08">
        <w:rPr>
          <w:sz w:val="20"/>
          <w:lang w:val="en-CA"/>
        </w:rPr>
        <w:t>di</w:t>
      </w:r>
      <w:r w:rsidR="00003EA4">
        <w:rPr>
          <w:sz w:val="20"/>
          <w:lang w:val="en-CA"/>
        </w:rPr>
        <w:t>scrimi</w:t>
      </w:r>
      <w:r w:rsidR="00003EA4" w:rsidRPr="00E20A08">
        <w:rPr>
          <w:sz w:val="20"/>
          <w:lang w:val="en-CA"/>
        </w:rPr>
        <w:t>nation</w:t>
      </w:r>
      <w:r w:rsidRPr="00E20A08">
        <w:rPr>
          <w:sz w:val="20"/>
          <w:lang w:val="en-CA"/>
        </w:rPr>
        <w:t xml:space="preserve"> should be curtailed. [para. 332].</w:t>
      </w:r>
      <w:r w:rsidR="006979E7" w:rsidRPr="00E20A08">
        <w:rPr>
          <w:sz w:val="20"/>
          <w:lang w:val="en-CA"/>
        </w:rPr>
        <w:t xml:space="preserve"> [par</w:t>
      </w:r>
      <w:r w:rsidRPr="00E20A08">
        <w:rPr>
          <w:sz w:val="20"/>
          <w:lang w:val="en-CA"/>
        </w:rPr>
        <w:t>a</w:t>
      </w:r>
      <w:r w:rsidR="006979E7" w:rsidRPr="00E20A08">
        <w:rPr>
          <w:sz w:val="20"/>
          <w:lang w:val="en-CA"/>
        </w:rPr>
        <w:t>. 332]</w:t>
      </w:r>
    </w:p>
    <w:p w14:paraId="2A4A131A" w14:textId="374D089F" w:rsidR="00640E7F" w:rsidRPr="00E20A08" w:rsidRDefault="006979E7" w:rsidP="00640E7F">
      <w:pPr>
        <w:pStyle w:val="Citationenretrait"/>
        <w:rPr>
          <w:lang w:val="en-CA"/>
        </w:rPr>
      </w:pPr>
      <w:r w:rsidRPr="00E20A08">
        <w:rPr>
          <w:lang w:val="en-CA"/>
        </w:rPr>
        <w:t>(</w:t>
      </w:r>
      <w:r w:rsidR="00F35761" w:rsidRPr="00E20A08">
        <w:rPr>
          <w:lang w:val="en-CA"/>
        </w:rPr>
        <w:t>See also</w:t>
      </w:r>
      <w:r w:rsidRPr="00E20A08">
        <w:rPr>
          <w:lang w:val="en-CA"/>
        </w:rPr>
        <w:t xml:space="preserve"> </w:t>
      </w:r>
      <w:proofErr w:type="spellStart"/>
      <w:r w:rsidRPr="00E20A08">
        <w:rPr>
          <w:i/>
          <w:lang w:val="en-CA"/>
        </w:rPr>
        <w:t>Taypotat</w:t>
      </w:r>
      <w:proofErr w:type="spellEnd"/>
      <w:r w:rsidRPr="00E20A08">
        <w:rPr>
          <w:lang w:val="en-CA"/>
        </w:rPr>
        <w:t xml:space="preserve">, </w:t>
      </w:r>
      <w:r w:rsidR="00F35761" w:rsidRPr="00E20A08">
        <w:rPr>
          <w:lang w:val="en-CA"/>
        </w:rPr>
        <w:t xml:space="preserve">at </w:t>
      </w:r>
      <w:r w:rsidRPr="00E20A08">
        <w:rPr>
          <w:lang w:val="en-CA"/>
        </w:rPr>
        <w:t>par</w:t>
      </w:r>
      <w:r w:rsidR="00F35761" w:rsidRPr="00E20A08">
        <w:rPr>
          <w:lang w:val="en-CA"/>
        </w:rPr>
        <w:t>a</w:t>
      </w:r>
      <w:r w:rsidRPr="00E20A08">
        <w:rPr>
          <w:lang w:val="en-CA"/>
        </w:rPr>
        <w:t>. 20.)</w:t>
      </w:r>
    </w:p>
    <w:p w14:paraId="76CB9B6B" w14:textId="238A94E0" w:rsidR="00640E7F" w:rsidRPr="00E20A08" w:rsidRDefault="006979E7" w:rsidP="00640E7F">
      <w:pPr>
        <w:pStyle w:val="Citationenretrait"/>
        <w:rPr>
          <w:lang w:val="en-CA"/>
        </w:rPr>
      </w:pPr>
      <w:r w:rsidRPr="00E20A08">
        <w:rPr>
          <w:lang w:val="en-CA"/>
        </w:rPr>
        <w:t>[78]</w:t>
      </w:r>
      <w:r w:rsidRPr="00E20A08">
        <w:rPr>
          <w:lang w:val="en-CA"/>
        </w:rPr>
        <w:tab/>
      </w:r>
      <w:r w:rsidR="00F35761" w:rsidRPr="00E20A08">
        <w:rPr>
          <w:u w:val="single"/>
          <w:lang w:val="en-CA"/>
        </w:rPr>
        <w:t xml:space="preserve">Notably, the presence of social prejudices or stereotyping are not necessary factors in the s. 15(1) inquiry. They may assist in showing that a law has negative effects on a particular group, but they “are neither separate elements of the Andrews test, nor categories into which a claim of </w:t>
      </w:r>
      <w:r w:rsidR="00003EA4" w:rsidRPr="00E20A08">
        <w:rPr>
          <w:u w:val="single"/>
          <w:lang w:val="en-CA"/>
        </w:rPr>
        <w:t>di</w:t>
      </w:r>
      <w:r w:rsidR="00003EA4">
        <w:rPr>
          <w:u w:val="single"/>
          <w:lang w:val="en-CA"/>
        </w:rPr>
        <w:t>scrimi</w:t>
      </w:r>
      <w:r w:rsidR="00003EA4" w:rsidRPr="00E20A08">
        <w:rPr>
          <w:u w:val="single"/>
          <w:lang w:val="en-CA"/>
        </w:rPr>
        <w:t>nation</w:t>
      </w:r>
      <w:r w:rsidR="00F35761" w:rsidRPr="00E20A08">
        <w:rPr>
          <w:u w:val="single"/>
          <w:lang w:val="en-CA"/>
        </w:rPr>
        <w:t xml:space="preserve"> must fit” </w:t>
      </w:r>
      <w:r w:rsidR="00F35761" w:rsidRPr="00E20A08">
        <w:rPr>
          <w:lang w:val="en-CA"/>
        </w:rPr>
        <w:t>(</w:t>
      </w:r>
      <w:r w:rsidR="00F35761" w:rsidRPr="00491578">
        <w:rPr>
          <w:i/>
          <w:iCs/>
          <w:lang w:val="en-CA"/>
        </w:rPr>
        <w:t>Quebec v. A</w:t>
      </w:r>
      <w:r w:rsidR="00491578">
        <w:rPr>
          <w:lang w:val="en-CA"/>
        </w:rPr>
        <w:t>,</w:t>
      </w:r>
      <w:r w:rsidR="00F35761" w:rsidRPr="00E20A08">
        <w:rPr>
          <w:lang w:val="en-CA"/>
        </w:rPr>
        <w:t xml:space="preserve"> at para. 329), since</w:t>
      </w:r>
    </w:p>
    <w:p w14:paraId="7D13071E" w14:textId="4430AA49" w:rsidR="00640E7F" w:rsidRDefault="006979E7" w:rsidP="00F35761">
      <w:pPr>
        <w:pStyle w:val="Citationenretrait"/>
        <w:ind w:left="1440" w:right="1082"/>
        <w:rPr>
          <w:sz w:val="20"/>
          <w:lang w:val="en-CA"/>
        </w:rPr>
      </w:pPr>
      <w:r w:rsidRPr="00E20A08">
        <w:rPr>
          <w:sz w:val="20"/>
          <w:u w:val="single"/>
          <w:lang w:val="en-CA"/>
        </w:rPr>
        <w:t>[</w:t>
      </w:r>
      <w:r w:rsidR="00F35761" w:rsidRPr="00E20A08">
        <w:rPr>
          <w:sz w:val="20"/>
          <w:u w:val="single"/>
          <w:lang w:val="en-CA"/>
        </w:rPr>
        <w:t xml:space="preserve">w]e must be careful not to treat </w:t>
      </w:r>
      <w:r w:rsidR="00F35761" w:rsidRPr="00E20A08">
        <w:rPr>
          <w:i/>
          <w:iCs/>
          <w:sz w:val="20"/>
          <w:u w:val="single"/>
          <w:lang w:val="en-CA"/>
        </w:rPr>
        <w:t>Kapp</w:t>
      </w:r>
      <w:r w:rsidR="00F35761" w:rsidRPr="00E20A08">
        <w:rPr>
          <w:sz w:val="20"/>
          <w:u w:val="single"/>
          <w:lang w:val="en-CA"/>
        </w:rPr>
        <w:t xml:space="preserve"> and </w:t>
      </w:r>
      <w:proofErr w:type="spellStart"/>
      <w:r w:rsidR="00F35761" w:rsidRPr="00E20A08">
        <w:rPr>
          <w:i/>
          <w:iCs/>
          <w:sz w:val="20"/>
          <w:u w:val="single"/>
          <w:lang w:val="en-CA"/>
        </w:rPr>
        <w:t>Withler</w:t>
      </w:r>
      <w:proofErr w:type="spellEnd"/>
      <w:r w:rsidR="00F35761" w:rsidRPr="00E20A08">
        <w:rPr>
          <w:sz w:val="20"/>
          <w:u w:val="single"/>
          <w:lang w:val="en-CA"/>
        </w:rPr>
        <w:t xml:space="preserve"> as establishing an additional requirement on s. 15 claimants to prove that a distinction will perpetuate prejudicial or stereotypical attitudes towards them. Such an approach improperly focuses attention on whether a </w:t>
      </w:r>
      <w:r w:rsidR="00003EA4" w:rsidRPr="00E20A08">
        <w:rPr>
          <w:sz w:val="20"/>
          <w:u w:val="single"/>
          <w:lang w:val="en-CA"/>
        </w:rPr>
        <w:t>di</w:t>
      </w:r>
      <w:r w:rsidR="00003EA4">
        <w:rPr>
          <w:sz w:val="20"/>
          <w:u w:val="single"/>
          <w:lang w:val="en-CA"/>
        </w:rPr>
        <w:t>scrimi</w:t>
      </w:r>
      <w:r w:rsidR="00003EA4" w:rsidRPr="00E20A08">
        <w:rPr>
          <w:sz w:val="20"/>
          <w:u w:val="single"/>
          <w:lang w:val="en-CA"/>
        </w:rPr>
        <w:t>natory</w:t>
      </w:r>
      <w:r w:rsidR="00F35761" w:rsidRPr="00E20A08">
        <w:rPr>
          <w:sz w:val="20"/>
          <w:u w:val="single"/>
          <w:lang w:val="en-CA"/>
        </w:rPr>
        <w:t xml:space="preserve"> attitude exists, not a </w:t>
      </w:r>
      <w:r w:rsidR="00003EA4" w:rsidRPr="00E20A08">
        <w:rPr>
          <w:sz w:val="20"/>
          <w:u w:val="single"/>
          <w:lang w:val="en-CA"/>
        </w:rPr>
        <w:t>di</w:t>
      </w:r>
      <w:r w:rsidR="00003EA4">
        <w:rPr>
          <w:sz w:val="20"/>
          <w:u w:val="single"/>
          <w:lang w:val="en-CA"/>
        </w:rPr>
        <w:t>scrimi</w:t>
      </w:r>
      <w:r w:rsidR="00003EA4" w:rsidRPr="00E20A08">
        <w:rPr>
          <w:sz w:val="20"/>
          <w:u w:val="single"/>
          <w:lang w:val="en-CA"/>
        </w:rPr>
        <w:t>natory</w:t>
      </w:r>
      <w:r w:rsidR="00F35761" w:rsidRPr="00E20A08">
        <w:rPr>
          <w:sz w:val="20"/>
          <w:u w:val="single"/>
          <w:lang w:val="en-CA"/>
        </w:rPr>
        <w:t xml:space="preserve"> impact, </w:t>
      </w:r>
      <w:r w:rsidR="00F35761" w:rsidRPr="00E20A08">
        <w:rPr>
          <w:sz w:val="20"/>
          <w:lang w:val="en-CA"/>
        </w:rPr>
        <w:t xml:space="preserve">contrary to </w:t>
      </w:r>
      <w:r w:rsidR="00F35761" w:rsidRPr="00E20A08">
        <w:rPr>
          <w:i/>
          <w:iCs/>
          <w:sz w:val="20"/>
          <w:lang w:val="en-CA"/>
        </w:rPr>
        <w:t>Andrews</w:t>
      </w:r>
      <w:r w:rsidR="00F35761" w:rsidRPr="00E20A08">
        <w:rPr>
          <w:sz w:val="20"/>
          <w:lang w:val="en-CA"/>
        </w:rPr>
        <w:t xml:space="preserve">, </w:t>
      </w:r>
      <w:r w:rsidR="00F35761" w:rsidRPr="00E20A08">
        <w:rPr>
          <w:i/>
          <w:iCs/>
          <w:sz w:val="20"/>
          <w:lang w:val="en-CA"/>
        </w:rPr>
        <w:t>Kapp</w:t>
      </w:r>
      <w:r w:rsidR="00F35761" w:rsidRPr="00E20A08">
        <w:rPr>
          <w:sz w:val="20"/>
          <w:lang w:val="en-CA"/>
        </w:rPr>
        <w:t xml:space="preserve"> and </w:t>
      </w:r>
      <w:proofErr w:type="spellStart"/>
      <w:r w:rsidR="00F35761" w:rsidRPr="00E20A08">
        <w:rPr>
          <w:i/>
          <w:iCs/>
          <w:sz w:val="20"/>
          <w:lang w:val="en-CA"/>
        </w:rPr>
        <w:t>Withler</w:t>
      </w:r>
      <w:proofErr w:type="spellEnd"/>
      <w:r w:rsidR="00F35761" w:rsidRPr="00E20A08">
        <w:rPr>
          <w:sz w:val="20"/>
          <w:lang w:val="en-CA"/>
        </w:rPr>
        <w:t xml:space="preserve">. [Emphasis in original; para. 327.] </w:t>
      </w:r>
    </w:p>
    <w:p w14:paraId="1A019E32" w14:textId="3D8B6A98" w:rsidR="00241E44" w:rsidRPr="00E20A08" w:rsidRDefault="00241E44" w:rsidP="00E66EFC">
      <w:pPr>
        <w:pStyle w:val="Citationenretrait"/>
        <w:ind w:right="1082"/>
        <w:rPr>
          <w:lang w:val="en-CA"/>
        </w:rPr>
      </w:pPr>
      <w:r>
        <w:rPr>
          <w:sz w:val="20"/>
          <w:u w:val="single"/>
          <w:lang w:val="en-CA"/>
        </w:rPr>
        <w:t>(See also paras. 329-31.)</w:t>
      </w:r>
    </w:p>
    <w:p w14:paraId="5E04F592" w14:textId="7432D01B" w:rsidR="00640E7F" w:rsidRPr="00E20A08" w:rsidRDefault="006979E7" w:rsidP="00640E7F">
      <w:pPr>
        <w:pStyle w:val="Citationenretrait"/>
        <w:spacing w:before="0"/>
        <w:jc w:val="right"/>
        <w:rPr>
          <w:sz w:val="20"/>
          <w:lang w:val="en-CA"/>
        </w:rPr>
      </w:pPr>
      <w:r w:rsidRPr="00E20A08">
        <w:rPr>
          <w:sz w:val="20"/>
          <w:lang w:val="en-CA"/>
        </w:rPr>
        <w:t>[</w:t>
      </w:r>
      <w:r w:rsidR="00F35761" w:rsidRPr="00E20A08">
        <w:rPr>
          <w:sz w:val="20"/>
          <w:lang w:val="en-CA"/>
        </w:rPr>
        <w:t>Emphasis added</w:t>
      </w:r>
      <w:r w:rsidRPr="00E20A08">
        <w:rPr>
          <w:sz w:val="20"/>
          <w:lang w:val="en-CA"/>
        </w:rPr>
        <w:t>]</w:t>
      </w:r>
    </w:p>
    <w:p w14:paraId="7F4DBCA0" w14:textId="0DE8D770" w:rsidR="00640E7F" w:rsidRPr="00E20A08" w:rsidRDefault="00F35761" w:rsidP="00640E7F">
      <w:pPr>
        <w:pStyle w:val="Paragraphe"/>
        <w:rPr>
          <w:lang w:val="en-CA"/>
        </w:rPr>
      </w:pPr>
      <w:r w:rsidRPr="00E20A08">
        <w:rPr>
          <w:lang w:val="en-CA"/>
        </w:rPr>
        <w:t>It</w:t>
      </w:r>
      <w:r w:rsidR="00491578">
        <w:rPr>
          <w:lang w:val="en-CA"/>
        </w:rPr>
        <w:t xml:space="preserve"> is</w:t>
      </w:r>
      <w:r w:rsidRPr="00E20A08">
        <w:rPr>
          <w:lang w:val="en-CA"/>
        </w:rPr>
        <w:t xml:space="preserve"> therefore not essential to establish the existence of prejudice or stereotyping to prove disadvantage and di</w:t>
      </w:r>
      <w:r w:rsidR="00003EA4">
        <w:rPr>
          <w:lang w:val="en-CA"/>
        </w:rPr>
        <w:t>scrimination</w:t>
      </w:r>
      <w:r w:rsidRPr="00E20A08">
        <w:rPr>
          <w:lang w:val="en-CA"/>
        </w:rPr>
        <w:t xml:space="preserve">, although evidence </w:t>
      </w:r>
      <w:r w:rsidR="001E1C2C">
        <w:rPr>
          <w:lang w:val="en-CA"/>
        </w:rPr>
        <w:t xml:space="preserve">of such </w:t>
      </w:r>
      <w:r w:rsidRPr="00E20A08">
        <w:rPr>
          <w:lang w:val="en-CA"/>
        </w:rPr>
        <w:t>can be an eloquent indicator.</w:t>
      </w:r>
      <w:bookmarkStart w:id="21" w:name="_Ref72580882"/>
      <w:r w:rsidRPr="00E20A08">
        <w:rPr>
          <w:rStyle w:val="Appelnotedebasdep"/>
          <w:lang w:val="en-CA"/>
        </w:rPr>
        <w:footnoteReference w:id="39"/>
      </w:r>
      <w:bookmarkEnd w:id="21"/>
    </w:p>
    <w:p w14:paraId="644A371D" w14:textId="0C2FF7DD" w:rsidR="00640E7F" w:rsidRPr="00E20A08" w:rsidRDefault="000D3A9B" w:rsidP="00640E7F">
      <w:pPr>
        <w:pStyle w:val="Paragraphe"/>
        <w:rPr>
          <w:lang w:val="en-CA"/>
        </w:rPr>
      </w:pPr>
      <w:r w:rsidRPr="00E20A08">
        <w:rPr>
          <w:lang w:val="en-CA"/>
        </w:rPr>
        <w:t xml:space="preserve">The requirement for a specific violation of dignity has also faded into the background since </w:t>
      </w:r>
      <w:r w:rsidRPr="001E1C2C">
        <w:rPr>
          <w:i/>
          <w:iCs/>
          <w:lang w:val="en-CA"/>
        </w:rPr>
        <w:t>Kapp</w:t>
      </w:r>
      <w:r w:rsidRPr="00E20A08">
        <w:rPr>
          <w:lang w:val="en-CA"/>
        </w:rPr>
        <w:t xml:space="preserve">, with the </w:t>
      </w:r>
      <w:r w:rsidR="001E1C2C">
        <w:rPr>
          <w:lang w:val="en-CA"/>
        </w:rPr>
        <w:t>emphasis</w:t>
      </w:r>
      <w:r w:rsidRPr="00E20A08">
        <w:rPr>
          <w:lang w:val="en-CA"/>
        </w:rPr>
        <w:t xml:space="preserve"> now placed </w:t>
      </w:r>
      <w:r w:rsidR="001E1C2C">
        <w:rPr>
          <w:lang w:val="en-CA"/>
        </w:rPr>
        <w:t>on</w:t>
      </w:r>
      <w:r w:rsidRPr="00E20A08">
        <w:rPr>
          <w:lang w:val="en-CA"/>
        </w:rPr>
        <w:t xml:space="preserve"> di</w:t>
      </w:r>
      <w:r w:rsidR="00003EA4">
        <w:rPr>
          <w:lang w:val="en-CA"/>
        </w:rPr>
        <w:t>scr</w:t>
      </w:r>
      <w:r w:rsidRPr="00E20A08">
        <w:rPr>
          <w:lang w:val="en-CA"/>
        </w:rPr>
        <w:t>iminatory effect and the factors to identify it.</w:t>
      </w:r>
      <w:r w:rsidRPr="00E20A08">
        <w:rPr>
          <w:rStyle w:val="Appelnotedebasdep"/>
          <w:lang w:val="en-CA"/>
        </w:rPr>
        <w:footnoteReference w:id="40"/>
      </w:r>
    </w:p>
    <w:p w14:paraId="0E315072" w14:textId="4C11250E" w:rsidR="00640E7F" w:rsidRPr="00040F5E" w:rsidRDefault="00A420AF" w:rsidP="00640E7F">
      <w:pPr>
        <w:pStyle w:val="Paragraphe"/>
        <w:rPr>
          <w:lang w:val="en-CA"/>
        </w:rPr>
      </w:pPr>
      <w:r w:rsidRPr="00040F5E">
        <w:rPr>
          <w:lang w:val="en-CA"/>
        </w:rPr>
        <w:t xml:space="preserve">Finally, </w:t>
      </w:r>
      <w:r w:rsidR="00B75CFF">
        <w:rPr>
          <w:lang w:val="en-CA"/>
        </w:rPr>
        <w:t xml:space="preserve">it is not at the </w:t>
      </w:r>
      <w:r w:rsidRPr="00040F5E">
        <w:rPr>
          <w:lang w:val="en-CA"/>
        </w:rPr>
        <w:t xml:space="preserve">stage of determining </w:t>
      </w:r>
      <w:r w:rsidR="00241E44" w:rsidRPr="00040F5E">
        <w:rPr>
          <w:lang w:val="en-CA"/>
        </w:rPr>
        <w:t>whether</w:t>
      </w:r>
      <w:r w:rsidRPr="00040F5E">
        <w:rPr>
          <w:lang w:val="en-CA"/>
        </w:rPr>
        <w:t xml:space="preserve"> a legislative measure is </w:t>
      </w:r>
      <w:r w:rsidR="00003EA4" w:rsidRPr="00040F5E">
        <w:rPr>
          <w:lang w:val="en-CA"/>
        </w:rPr>
        <w:t>discriminatory</w:t>
      </w:r>
      <w:r w:rsidRPr="00040F5E">
        <w:rPr>
          <w:lang w:val="en-CA"/>
        </w:rPr>
        <w:t xml:space="preserve"> </w:t>
      </w:r>
      <w:r w:rsidR="00B75CFF">
        <w:rPr>
          <w:lang w:val="en-CA"/>
        </w:rPr>
        <w:t>that</w:t>
      </w:r>
      <w:r w:rsidRPr="00040F5E">
        <w:rPr>
          <w:lang w:val="en-CA"/>
        </w:rPr>
        <w:t xml:space="preserve"> the legislative objective should be considered, </w:t>
      </w:r>
      <w:r w:rsidR="001E1C2C" w:rsidRPr="00040F5E">
        <w:rPr>
          <w:lang w:val="en-CA"/>
        </w:rPr>
        <w:t xml:space="preserve">since </w:t>
      </w:r>
      <w:r w:rsidRPr="00040F5E">
        <w:rPr>
          <w:lang w:val="en-CA"/>
        </w:rPr>
        <w:t xml:space="preserve">this </w:t>
      </w:r>
      <w:r w:rsidR="001E1C2C" w:rsidRPr="00040F5E">
        <w:rPr>
          <w:lang w:val="en-CA"/>
        </w:rPr>
        <w:t xml:space="preserve">matter </w:t>
      </w:r>
      <w:r w:rsidRPr="00040F5E">
        <w:rPr>
          <w:lang w:val="en-CA"/>
        </w:rPr>
        <w:t xml:space="preserve">falls under the justification under </w:t>
      </w:r>
      <w:r w:rsidR="006C5BE4" w:rsidRPr="00040F5E">
        <w:rPr>
          <w:lang w:val="en-CA"/>
        </w:rPr>
        <w:t>s.</w:t>
      </w:r>
      <w:r w:rsidR="006979E7" w:rsidRPr="00040F5E">
        <w:rPr>
          <w:lang w:val="en-CA"/>
        </w:rPr>
        <w:t xml:space="preserve"> </w:t>
      </w:r>
      <w:r w:rsidRPr="00040F5E">
        <w:rPr>
          <w:lang w:val="en-CA"/>
        </w:rPr>
        <w:t xml:space="preserve">1 of the </w:t>
      </w:r>
      <w:r w:rsidRPr="00040F5E">
        <w:rPr>
          <w:i/>
          <w:iCs/>
          <w:lang w:val="en-CA"/>
        </w:rPr>
        <w:t>Canadian Charter</w:t>
      </w:r>
      <w:r w:rsidRPr="00040F5E">
        <w:rPr>
          <w:lang w:val="en-CA"/>
        </w:rPr>
        <w:t>.</w:t>
      </w:r>
      <w:r w:rsidRPr="00040F5E">
        <w:rPr>
          <w:rStyle w:val="Appelnotedebasdep"/>
          <w:lang w:val="en-CA"/>
        </w:rPr>
        <w:t xml:space="preserve"> </w:t>
      </w:r>
      <w:r w:rsidRPr="00040F5E">
        <w:rPr>
          <w:rStyle w:val="Appelnotedebasdep"/>
          <w:lang w:val="en-CA"/>
        </w:rPr>
        <w:footnoteReference w:id="41"/>
      </w:r>
    </w:p>
    <w:p w14:paraId="14E7D106" w14:textId="45B65CAC" w:rsidR="00640E7F" w:rsidRPr="00E20A08" w:rsidRDefault="00A420AF" w:rsidP="00640E7F">
      <w:pPr>
        <w:pStyle w:val="Paragraphe"/>
        <w:rPr>
          <w:lang w:val="en-CA"/>
        </w:rPr>
      </w:pPr>
      <w:r w:rsidRPr="00E20A08">
        <w:rPr>
          <w:lang w:val="en-CA"/>
        </w:rPr>
        <w:lastRenderedPageBreak/>
        <w:t xml:space="preserve">In short, as the Supreme Court wrote in </w:t>
      </w:r>
      <w:proofErr w:type="spellStart"/>
      <w:r w:rsidRPr="001E1C2C">
        <w:rPr>
          <w:i/>
          <w:iCs/>
          <w:lang w:val="en-CA"/>
        </w:rPr>
        <w:t>Withler</w:t>
      </w:r>
      <w:proofErr w:type="spellEnd"/>
      <w:r w:rsidRPr="00E20A08">
        <w:rPr>
          <w:lang w:val="en-CA"/>
        </w:rPr>
        <w:t>:</w:t>
      </w:r>
      <w:bookmarkStart w:id="22" w:name="_Ref73381385"/>
      <w:r w:rsidRPr="00E20A08">
        <w:rPr>
          <w:rStyle w:val="Appelnotedebasdep"/>
          <w:lang w:val="en-CA"/>
        </w:rPr>
        <w:t xml:space="preserve"> </w:t>
      </w:r>
      <w:r w:rsidRPr="00E20A08">
        <w:rPr>
          <w:rStyle w:val="Appelnotedebasdep"/>
          <w:lang w:val="en-CA"/>
        </w:rPr>
        <w:footnoteReference w:id="42"/>
      </w:r>
      <w:bookmarkEnd w:id="22"/>
    </w:p>
    <w:p w14:paraId="1C4AA215" w14:textId="616942A5" w:rsidR="00640E7F" w:rsidRPr="00E20A08" w:rsidRDefault="00A420AF" w:rsidP="00640E7F">
      <w:pPr>
        <w:pStyle w:val="Citationenretrait"/>
        <w:rPr>
          <w:lang w:val="en-CA"/>
        </w:rPr>
      </w:pPr>
      <w:r w:rsidRPr="00E20A08">
        <w:rPr>
          <w:lang w:val="en-CA"/>
        </w:rPr>
        <w:t xml:space="preserve">[37] </w:t>
      </w:r>
      <w:r w:rsidR="006979E7" w:rsidRPr="00E20A08">
        <w:rPr>
          <w:lang w:val="en-CA"/>
        </w:rPr>
        <w:tab/>
      </w:r>
      <w:r w:rsidRPr="00E20A08">
        <w:rPr>
          <w:lang w:val="en-CA"/>
        </w:rPr>
        <w:t>Whether the s. 15 analysis focusses on perpetuating disadvantage or stereotyping, the analysis involves looking at the circumstances of members of the group and the negative impact of the law on them.</w:t>
      </w:r>
      <w:r w:rsidR="006979E7" w:rsidRPr="00E20A08">
        <w:rPr>
          <w:lang w:val="en-CA"/>
        </w:rPr>
        <w:t xml:space="preserve"> </w:t>
      </w:r>
      <w:r w:rsidRPr="00E20A08">
        <w:rPr>
          <w:lang w:val="en-CA"/>
        </w:rPr>
        <w:t>The analysis is contextual, not formalistic, grounded in the actual situation of the group and the potential of the impugned law to worsen their situation.</w:t>
      </w:r>
    </w:p>
    <w:p w14:paraId="7638BD5E" w14:textId="49CBACCB" w:rsidR="00640E7F" w:rsidRPr="00E20A08" w:rsidRDefault="00F35761" w:rsidP="00640E7F">
      <w:pPr>
        <w:pStyle w:val="Paragraphe"/>
        <w:rPr>
          <w:lang w:val="en-CA"/>
        </w:rPr>
      </w:pPr>
      <w:r w:rsidRPr="00E20A08">
        <w:rPr>
          <w:lang w:val="en-CA"/>
        </w:rPr>
        <w:t xml:space="preserve">Regarding </w:t>
      </w:r>
      <w:r w:rsidR="006C5BE4">
        <w:rPr>
          <w:lang w:val="en-CA"/>
        </w:rPr>
        <w:t>s.</w:t>
      </w:r>
      <w:r w:rsidR="006979E7" w:rsidRPr="00E20A08">
        <w:rPr>
          <w:lang w:val="en-CA"/>
        </w:rPr>
        <w:t xml:space="preserve"> </w:t>
      </w:r>
      <w:r w:rsidR="00A420AF" w:rsidRPr="00E20A08">
        <w:rPr>
          <w:lang w:val="en-CA"/>
        </w:rPr>
        <w:t xml:space="preserve">10 of the </w:t>
      </w:r>
      <w:r w:rsidR="00A420AF" w:rsidRPr="005B4495">
        <w:rPr>
          <w:i/>
          <w:iCs/>
          <w:lang w:val="en-CA"/>
        </w:rPr>
        <w:t>Quebec Charter</w:t>
      </w:r>
      <w:r w:rsidR="00A420AF" w:rsidRPr="00E20A08">
        <w:rPr>
          <w:lang w:val="en-CA"/>
        </w:rPr>
        <w:t xml:space="preserve">, the analytical framework applicable to determining the existence </w:t>
      </w:r>
      <w:r w:rsidR="005B4495">
        <w:rPr>
          <w:lang w:val="en-CA"/>
        </w:rPr>
        <w:t>of</w:t>
      </w:r>
      <w:r w:rsidR="00A420AF" w:rsidRPr="00E20A08">
        <w:rPr>
          <w:lang w:val="en-CA"/>
        </w:rPr>
        <w:t xml:space="preserve"> </w:t>
      </w:r>
      <w:r w:rsidR="00003EA4" w:rsidRPr="00E20A08">
        <w:rPr>
          <w:lang w:val="en-CA"/>
        </w:rPr>
        <w:t>di</w:t>
      </w:r>
      <w:r w:rsidR="00003EA4">
        <w:rPr>
          <w:lang w:val="en-CA"/>
        </w:rPr>
        <w:t>scrimi</w:t>
      </w:r>
      <w:r w:rsidR="00003EA4" w:rsidRPr="00E20A08">
        <w:rPr>
          <w:lang w:val="en-CA"/>
        </w:rPr>
        <w:t>natory</w:t>
      </w:r>
      <w:r w:rsidR="00A420AF" w:rsidRPr="00E20A08">
        <w:rPr>
          <w:lang w:val="en-CA"/>
        </w:rPr>
        <w:t xml:space="preserve"> treatment and the burden on the party alleging it</w:t>
      </w:r>
      <w:r w:rsidR="005B4495">
        <w:rPr>
          <w:lang w:val="en-CA"/>
        </w:rPr>
        <w:t xml:space="preserve"> was</w:t>
      </w:r>
      <w:r w:rsidR="00A420AF" w:rsidRPr="00E20A08">
        <w:rPr>
          <w:lang w:val="en-CA"/>
        </w:rPr>
        <w:t xml:space="preserve"> explained by Wagner J., as he then was, and </w:t>
      </w:r>
      <w:proofErr w:type="spellStart"/>
      <w:r w:rsidR="00A420AF" w:rsidRPr="00E20A08">
        <w:rPr>
          <w:lang w:val="en-CA"/>
        </w:rPr>
        <w:t>Côté</w:t>
      </w:r>
      <w:proofErr w:type="spellEnd"/>
      <w:r w:rsidR="00A420AF" w:rsidRPr="00E20A08">
        <w:rPr>
          <w:lang w:val="en-CA"/>
        </w:rPr>
        <w:t xml:space="preserve"> J., in joint reasons:</w:t>
      </w:r>
    </w:p>
    <w:p w14:paraId="79C5B2C2" w14:textId="140D81FF" w:rsidR="00640E7F" w:rsidRPr="00E20A08" w:rsidRDefault="009678F8" w:rsidP="00640E7F">
      <w:pPr>
        <w:pStyle w:val="Citationenretrait"/>
        <w:rPr>
          <w:lang w:val="en-CA"/>
        </w:rPr>
      </w:pPr>
      <w:r w:rsidRPr="00E20A08">
        <w:rPr>
          <w:lang w:val="en-CA"/>
        </w:rPr>
        <w:t xml:space="preserve">[35] </w:t>
      </w:r>
      <w:r w:rsidR="006979E7" w:rsidRPr="00E20A08">
        <w:rPr>
          <w:lang w:val="en-CA"/>
        </w:rPr>
        <w:tab/>
      </w:r>
      <w:r w:rsidR="00A420AF" w:rsidRPr="00E20A08">
        <w:rPr>
          <w:lang w:val="en-CA"/>
        </w:rPr>
        <w:t>First, s. 10 requires that the plaintiff prove three elements: “(1) a ‘distinction, exclusion or preference’, (2) based on one of the grounds listed in the first paragraph, and (3) which ‘has the effect of nullifying or impairing’ the right to full and equal recognition and exercise of a human right or freedom” (</w:t>
      </w:r>
      <w:r w:rsidR="00A420AF" w:rsidRPr="005B4495">
        <w:rPr>
          <w:i/>
          <w:iCs/>
          <w:lang w:val="en-CA"/>
        </w:rPr>
        <w:t>Forget</w:t>
      </w:r>
      <w:r w:rsidR="00A420AF" w:rsidRPr="00E20A08">
        <w:rPr>
          <w:lang w:val="en-CA"/>
        </w:rPr>
        <w:t xml:space="preserve">, at p. 98; </w:t>
      </w:r>
      <w:r w:rsidR="00A420AF" w:rsidRPr="005B4495">
        <w:rPr>
          <w:i/>
          <w:iCs/>
          <w:lang w:val="en-CA"/>
        </w:rPr>
        <w:t>Ford</w:t>
      </w:r>
      <w:r w:rsidR="00A420AF" w:rsidRPr="00E20A08">
        <w:rPr>
          <w:lang w:val="en-CA"/>
        </w:rPr>
        <w:t>, at pp. 783</w:t>
      </w:r>
      <w:r w:rsidR="00A420AF" w:rsidRPr="00E20A08">
        <w:rPr>
          <w:rFonts w:ascii="Cambria Math" w:hAnsi="Cambria Math" w:cs="Cambria Math"/>
          <w:lang w:val="en-CA"/>
        </w:rPr>
        <w:t>‑</w:t>
      </w:r>
      <w:r w:rsidR="00A420AF" w:rsidRPr="00E20A08">
        <w:rPr>
          <w:lang w:val="en-CA"/>
        </w:rPr>
        <w:t xml:space="preserve">84; </w:t>
      </w:r>
      <w:r w:rsidR="00A420AF" w:rsidRPr="005B4495">
        <w:rPr>
          <w:i/>
          <w:iCs/>
          <w:lang w:val="en-CA"/>
        </w:rPr>
        <w:t>Devine v. Quebec (Attorney General)</w:t>
      </w:r>
      <w:r w:rsidR="00A420AF" w:rsidRPr="005B4495">
        <w:rPr>
          <w:lang w:val="en-CA"/>
        </w:rPr>
        <w:t xml:space="preserve">, </w:t>
      </w:r>
      <w:r w:rsidR="00A420AF" w:rsidRPr="00E20A08">
        <w:rPr>
          <w:lang w:val="en-CA"/>
        </w:rPr>
        <w:t xml:space="preserve">1988 CanLII 20 (SCC), [1988] 2 S.C.R. 790, at p. 817; </w:t>
      </w:r>
      <w:r w:rsidR="00A420AF" w:rsidRPr="005B4495">
        <w:rPr>
          <w:i/>
          <w:iCs/>
          <w:lang w:val="en-CA"/>
        </w:rPr>
        <w:t>Bergevin</w:t>
      </w:r>
      <w:r w:rsidR="00A420AF" w:rsidRPr="00E20A08">
        <w:rPr>
          <w:lang w:val="en-CA"/>
        </w:rPr>
        <w:t>, at p. 538).</w:t>
      </w:r>
      <w:bookmarkStart w:id="23" w:name="_Ref71882321"/>
      <w:r w:rsidR="006979E7" w:rsidRPr="00E20A08">
        <w:rPr>
          <w:rStyle w:val="Appelnotedebasdep"/>
          <w:lang w:val="en-CA"/>
        </w:rPr>
        <w:footnoteReference w:id="43"/>
      </w:r>
      <w:bookmarkEnd w:id="23"/>
    </w:p>
    <w:p w14:paraId="3067C72C" w14:textId="0CCFF894" w:rsidR="00640E7F" w:rsidRPr="005B4495" w:rsidRDefault="005B4495" w:rsidP="00640E7F">
      <w:pPr>
        <w:pStyle w:val="Paragraphe"/>
        <w:rPr>
          <w:lang w:val="en-CA"/>
        </w:rPr>
      </w:pPr>
      <w:r w:rsidRPr="005B4495">
        <w:rPr>
          <w:lang w:val="en-CA"/>
        </w:rPr>
        <w:t>Adding to the third element, Wagner and</w:t>
      </w:r>
      <w:r w:rsidR="006979E7" w:rsidRPr="005B4495">
        <w:rPr>
          <w:lang w:val="en-CA"/>
        </w:rPr>
        <w:t xml:space="preserve"> </w:t>
      </w:r>
      <w:proofErr w:type="spellStart"/>
      <w:r w:rsidR="006979E7" w:rsidRPr="005B4495">
        <w:rPr>
          <w:lang w:val="en-CA"/>
        </w:rPr>
        <w:t>Côté</w:t>
      </w:r>
      <w:proofErr w:type="spellEnd"/>
      <w:r w:rsidR="006979E7" w:rsidRPr="005B4495">
        <w:rPr>
          <w:lang w:val="en-CA"/>
        </w:rPr>
        <w:t xml:space="preserve"> </w:t>
      </w:r>
      <w:r w:rsidRPr="005B4495">
        <w:rPr>
          <w:lang w:val="en-CA"/>
        </w:rPr>
        <w:t xml:space="preserve">JJ. </w:t>
      </w:r>
      <w:r w:rsidR="0062552E">
        <w:rPr>
          <w:lang w:val="en-CA"/>
        </w:rPr>
        <w:t>wrote</w:t>
      </w:r>
      <w:r w:rsidR="006979E7" w:rsidRPr="005B4495">
        <w:rPr>
          <w:lang w:val="en-CA"/>
        </w:rPr>
        <w:t>:</w:t>
      </w:r>
    </w:p>
    <w:p w14:paraId="18509EDB" w14:textId="02090259" w:rsidR="00640E7F" w:rsidRPr="00E20A08" w:rsidRDefault="006979E7" w:rsidP="00640E7F">
      <w:pPr>
        <w:pStyle w:val="Citationenretrait"/>
        <w:rPr>
          <w:lang w:val="en-CA"/>
        </w:rPr>
      </w:pPr>
      <w:r w:rsidRPr="00E20A08">
        <w:rPr>
          <w:lang w:val="en-CA"/>
        </w:rPr>
        <w:t>[53]</w:t>
      </w:r>
      <w:r w:rsidRPr="00E20A08">
        <w:rPr>
          <w:lang w:val="en-CA"/>
        </w:rPr>
        <w:tab/>
      </w:r>
      <w:r w:rsidR="00A420AF" w:rsidRPr="00E20A08">
        <w:rPr>
          <w:lang w:val="en-CA"/>
        </w:rPr>
        <w:t xml:space="preserve">Lastly, the plaintiff must show that the distinction, exclusion or preference affects the full and equal exercise of a right or freedom guaranteed to him or her by the </w:t>
      </w:r>
      <w:r w:rsidR="00A420AF" w:rsidRPr="0062222C">
        <w:rPr>
          <w:i/>
          <w:iCs/>
          <w:lang w:val="en-CA"/>
        </w:rPr>
        <w:t>Charter</w:t>
      </w:r>
      <w:r w:rsidR="00A420AF" w:rsidRPr="00E20A08">
        <w:rPr>
          <w:lang w:val="en-CA"/>
        </w:rPr>
        <w:t xml:space="preserve">. </w:t>
      </w:r>
      <w:r w:rsidR="00A420AF" w:rsidRPr="00657811">
        <w:rPr>
          <w:u w:val="single"/>
          <w:lang w:val="en-CA"/>
        </w:rPr>
        <w:t xml:space="preserve">The </w:t>
      </w:r>
      <w:r w:rsidR="00A420AF" w:rsidRPr="00657811">
        <w:rPr>
          <w:i/>
          <w:iCs/>
          <w:u w:val="single"/>
          <w:lang w:val="en-CA"/>
        </w:rPr>
        <w:t>Charter</w:t>
      </w:r>
      <w:r w:rsidR="00A420AF" w:rsidRPr="00657811">
        <w:rPr>
          <w:u w:val="single"/>
          <w:lang w:val="en-CA"/>
        </w:rPr>
        <w:t xml:space="preserve">, unlike the </w:t>
      </w:r>
      <w:r w:rsidR="00A420AF" w:rsidRPr="00657811">
        <w:rPr>
          <w:i/>
          <w:iCs/>
          <w:u w:val="single"/>
          <w:lang w:val="en-CA"/>
        </w:rPr>
        <w:t>Canadian Charter</w:t>
      </w:r>
      <w:r w:rsidR="00A420AF" w:rsidRPr="00657811">
        <w:rPr>
          <w:u w:val="single"/>
          <w:lang w:val="en-CA"/>
        </w:rPr>
        <w:t>, does not protect the right to equality per se; this right is protected only in the exercise of the other rights and freedoms guaranteed by the Charter</w:t>
      </w:r>
      <w:r w:rsidR="00A420AF" w:rsidRPr="00E20A08">
        <w:rPr>
          <w:lang w:val="en-CA"/>
        </w:rPr>
        <w:t xml:space="preserve">: see, inter alia, </w:t>
      </w:r>
      <w:r w:rsidR="00A420AF" w:rsidRPr="0062222C">
        <w:rPr>
          <w:i/>
          <w:iCs/>
          <w:lang w:val="en-CA"/>
        </w:rPr>
        <w:t xml:space="preserve">Ruel v. </w:t>
      </w:r>
      <w:proofErr w:type="spellStart"/>
      <w:r w:rsidR="00A420AF" w:rsidRPr="0062222C">
        <w:rPr>
          <w:i/>
          <w:iCs/>
          <w:lang w:val="en-CA"/>
        </w:rPr>
        <w:t>Marois</w:t>
      </w:r>
      <w:proofErr w:type="spellEnd"/>
      <w:r w:rsidR="00A420AF" w:rsidRPr="00E20A08">
        <w:rPr>
          <w:lang w:val="en-CA"/>
        </w:rPr>
        <w:t xml:space="preserve">, 2001 CanLII 27967 (QC CA), [2001] R.J.Q. 2590 (C.A.), at para. 129; </w:t>
      </w:r>
      <w:proofErr w:type="spellStart"/>
      <w:r w:rsidR="00A420AF" w:rsidRPr="0062222C">
        <w:rPr>
          <w:i/>
          <w:iCs/>
          <w:lang w:val="en-CA"/>
        </w:rPr>
        <w:t>Velk</w:t>
      </w:r>
      <w:proofErr w:type="spellEnd"/>
      <w:r w:rsidR="00A420AF" w:rsidRPr="0062222C">
        <w:rPr>
          <w:i/>
          <w:iCs/>
          <w:lang w:val="en-CA"/>
        </w:rPr>
        <w:t xml:space="preserve"> v. McGill</w:t>
      </w:r>
      <w:r w:rsidR="00A420AF" w:rsidRPr="00E20A08">
        <w:rPr>
          <w:lang w:val="en-CA"/>
        </w:rPr>
        <w:t xml:space="preserve"> </w:t>
      </w:r>
      <w:r w:rsidR="00A420AF" w:rsidRPr="0062222C">
        <w:rPr>
          <w:i/>
          <w:iCs/>
          <w:lang w:val="en-CA"/>
        </w:rPr>
        <w:t>University</w:t>
      </w:r>
      <w:r w:rsidR="00A420AF" w:rsidRPr="00E20A08">
        <w:rPr>
          <w:lang w:val="en-CA"/>
        </w:rPr>
        <w:t xml:space="preserve">, 2011 QCCA 578, at para. 42 (CanLII); see also </w:t>
      </w:r>
      <w:r w:rsidR="00A420AF" w:rsidRPr="0062222C">
        <w:rPr>
          <w:i/>
          <w:iCs/>
          <w:lang w:val="en-CA"/>
        </w:rPr>
        <w:t>Ford</w:t>
      </w:r>
      <w:r w:rsidR="00A420AF" w:rsidRPr="00E20A08">
        <w:rPr>
          <w:lang w:val="en-CA"/>
        </w:rPr>
        <w:t>, at pp. 786</w:t>
      </w:r>
      <w:r w:rsidR="00A420AF" w:rsidRPr="00E20A08">
        <w:rPr>
          <w:rFonts w:ascii="Cambria Math" w:hAnsi="Cambria Math" w:cs="Cambria Math"/>
          <w:lang w:val="en-CA"/>
        </w:rPr>
        <w:t>‑</w:t>
      </w:r>
      <w:r w:rsidR="00FE133C" w:rsidRPr="00E20A08">
        <w:rPr>
          <w:lang w:val="en-CA"/>
        </w:rPr>
        <w:t>87.</w:t>
      </w:r>
    </w:p>
    <w:p w14:paraId="67EAF00D" w14:textId="74A4FEDD" w:rsidR="00640E7F" w:rsidRPr="00E20A08" w:rsidRDefault="006979E7" w:rsidP="00640E7F">
      <w:pPr>
        <w:pStyle w:val="Citationenretrait"/>
        <w:rPr>
          <w:lang w:val="en-CA"/>
        </w:rPr>
      </w:pPr>
      <w:r w:rsidRPr="00E20A08">
        <w:rPr>
          <w:lang w:val="en-CA"/>
        </w:rPr>
        <w:t>[54]</w:t>
      </w:r>
      <w:r w:rsidRPr="00E20A08">
        <w:rPr>
          <w:lang w:val="en-CA"/>
        </w:rPr>
        <w:tab/>
      </w:r>
      <w:r w:rsidR="00A420AF" w:rsidRPr="00E20A08">
        <w:rPr>
          <w:lang w:val="en-CA"/>
        </w:rPr>
        <w:t>This means that the right to non</w:t>
      </w:r>
      <w:r w:rsidR="00A420AF" w:rsidRPr="00E20A08">
        <w:rPr>
          <w:rFonts w:ascii="Cambria Math" w:hAnsi="Cambria Math" w:cs="Cambria Math"/>
          <w:lang w:val="en-CA"/>
        </w:rPr>
        <w:t>‑</w:t>
      </w:r>
      <w:r w:rsidR="00003EA4" w:rsidRPr="00E20A08">
        <w:rPr>
          <w:lang w:val="en-CA"/>
        </w:rPr>
        <w:t>di</w:t>
      </w:r>
      <w:r w:rsidR="00003EA4">
        <w:rPr>
          <w:lang w:val="en-CA"/>
        </w:rPr>
        <w:t>scrimi</w:t>
      </w:r>
      <w:r w:rsidR="00003EA4" w:rsidRPr="00E20A08">
        <w:rPr>
          <w:lang w:val="en-CA"/>
        </w:rPr>
        <w:t>nation</w:t>
      </w:r>
      <w:r w:rsidR="00A420AF" w:rsidRPr="00E20A08">
        <w:rPr>
          <w:lang w:val="en-CA"/>
        </w:rPr>
        <w:t xml:space="preserve"> cannot serve as a basis for an application on its own and that it must necessarily be attached to another human right or freedom recognized by law. However, this requirement should not be confused with the independent scope of the right to equality; the Charter does not require a “double violation” (right to equality and, for example, freedom of religion), which would make s. 10 redundant: see, </w:t>
      </w:r>
      <w:r w:rsidR="00A420AF" w:rsidRPr="00AB3D10">
        <w:rPr>
          <w:i/>
          <w:iCs/>
          <w:lang w:val="en-CA"/>
        </w:rPr>
        <w:t>inter alia</w:t>
      </w:r>
      <w:r w:rsidR="00A420AF" w:rsidRPr="00E20A08">
        <w:rPr>
          <w:lang w:val="en-CA"/>
        </w:rPr>
        <w:t>, D. Robitaille, “Non</w:t>
      </w:r>
      <w:r w:rsidR="00A420AF" w:rsidRPr="00E20A08">
        <w:rPr>
          <w:rFonts w:ascii="Cambria Math" w:hAnsi="Cambria Math" w:cs="Cambria Math"/>
          <w:lang w:val="en-CA"/>
        </w:rPr>
        <w:t>‑</w:t>
      </w:r>
      <w:proofErr w:type="spellStart"/>
      <w:r w:rsidR="00A420AF" w:rsidRPr="00E20A08">
        <w:rPr>
          <w:lang w:val="en-CA"/>
        </w:rPr>
        <w:t>ind</w:t>
      </w:r>
      <w:r w:rsidR="00A420AF" w:rsidRPr="00E20A08">
        <w:rPr>
          <w:rFonts w:cs="Arial"/>
          <w:lang w:val="en-CA"/>
        </w:rPr>
        <w:t>é</w:t>
      </w:r>
      <w:r w:rsidR="00A420AF" w:rsidRPr="00E20A08">
        <w:rPr>
          <w:lang w:val="en-CA"/>
        </w:rPr>
        <w:t>pendance</w:t>
      </w:r>
      <w:proofErr w:type="spellEnd"/>
      <w:r w:rsidR="00A420AF" w:rsidRPr="00E20A08">
        <w:rPr>
          <w:lang w:val="en-CA"/>
        </w:rPr>
        <w:t xml:space="preserve"> et </w:t>
      </w:r>
      <w:proofErr w:type="spellStart"/>
      <w:r w:rsidR="00A420AF" w:rsidRPr="00E20A08">
        <w:rPr>
          <w:lang w:val="en-CA"/>
        </w:rPr>
        <w:t>autonomie</w:t>
      </w:r>
      <w:proofErr w:type="spellEnd"/>
      <w:r w:rsidR="00A420AF" w:rsidRPr="00E20A08">
        <w:rPr>
          <w:lang w:val="en-CA"/>
        </w:rPr>
        <w:t xml:space="preserve"> de la </w:t>
      </w:r>
      <w:proofErr w:type="spellStart"/>
      <w:r w:rsidR="00A420AF" w:rsidRPr="00E20A08">
        <w:rPr>
          <w:lang w:val="en-CA"/>
        </w:rPr>
        <w:t>norme</w:t>
      </w:r>
      <w:proofErr w:type="spellEnd"/>
      <w:r w:rsidR="00A420AF" w:rsidRPr="00E20A08">
        <w:rPr>
          <w:lang w:val="en-CA"/>
        </w:rPr>
        <w:t xml:space="preserve"> </w:t>
      </w:r>
      <w:proofErr w:type="spellStart"/>
      <w:r w:rsidR="00A420AF" w:rsidRPr="00E20A08">
        <w:rPr>
          <w:lang w:val="en-CA"/>
        </w:rPr>
        <w:t>d’égalité</w:t>
      </w:r>
      <w:proofErr w:type="spellEnd"/>
      <w:r w:rsidR="00A420AF" w:rsidRPr="00E20A08">
        <w:rPr>
          <w:lang w:val="en-CA"/>
        </w:rPr>
        <w:t xml:space="preserve"> québécoise: des concepts ‘</w:t>
      </w:r>
      <w:proofErr w:type="spellStart"/>
      <w:r w:rsidR="00A420AF" w:rsidRPr="00E20A08">
        <w:rPr>
          <w:lang w:val="en-CA"/>
        </w:rPr>
        <w:t>fondateurs</w:t>
      </w:r>
      <w:proofErr w:type="spellEnd"/>
      <w:r w:rsidR="00A420AF" w:rsidRPr="00E20A08">
        <w:rPr>
          <w:lang w:val="en-CA"/>
        </w:rPr>
        <w:t xml:space="preserve">’ qui </w:t>
      </w:r>
      <w:proofErr w:type="spellStart"/>
      <w:r w:rsidR="00A420AF" w:rsidRPr="00E20A08">
        <w:rPr>
          <w:lang w:val="en-CA"/>
        </w:rPr>
        <w:t>méritent</w:t>
      </w:r>
      <w:proofErr w:type="spellEnd"/>
      <w:r w:rsidR="00A420AF" w:rsidRPr="00E20A08">
        <w:rPr>
          <w:lang w:val="en-CA"/>
        </w:rPr>
        <w:t xml:space="preserve"> d’être </w:t>
      </w:r>
      <w:proofErr w:type="spellStart"/>
      <w:r w:rsidR="00A420AF" w:rsidRPr="00E20A08">
        <w:rPr>
          <w:lang w:val="en-CA"/>
        </w:rPr>
        <w:t>mieux</w:t>
      </w:r>
      <w:proofErr w:type="spellEnd"/>
      <w:r w:rsidR="00A420AF" w:rsidRPr="00E20A08">
        <w:rPr>
          <w:lang w:val="en-CA"/>
        </w:rPr>
        <w:t xml:space="preserve"> </w:t>
      </w:r>
      <w:proofErr w:type="spellStart"/>
      <w:r w:rsidR="00A420AF" w:rsidRPr="00E20A08">
        <w:rPr>
          <w:lang w:val="en-CA"/>
        </w:rPr>
        <w:t>connus</w:t>
      </w:r>
      <w:proofErr w:type="spellEnd"/>
      <w:r w:rsidR="00A420AF" w:rsidRPr="00E20A08">
        <w:rPr>
          <w:lang w:val="en-CA"/>
        </w:rPr>
        <w:t>” (2004), 35 R.D.U.S. 103.</w:t>
      </w:r>
      <w:bookmarkStart w:id="24" w:name="_Ref71908478"/>
      <w:r w:rsidRPr="00E20A08">
        <w:rPr>
          <w:rStyle w:val="Appelnotedebasdep"/>
          <w:lang w:val="en-CA"/>
        </w:rPr>
        <w:footnoteReference w:id="44"/>
      </w:r>
      <w:bookmarkEnd w:id="24"/>
    </w:p>
    <w:p w14:paraId="7A3E4B14" w14:textId="77777777" w:rsidR="000C5393" w:rsidRPr="00E20A08" w:rsidRDefault="000C5393" w:rsidP="000C5393">
      <w:pPr>
        <w:pStyle w:val="Citationenretrait"/>
        <w:spacing w:before="0"/>
        <w:jc w:val="right"/>
        <w:rPr>
          <w:sz w:val="20"/>
          <w:lang w:val="en-CA"/>
        </w:rPr>
      </w:pPr>
      <w:r w:rsidRPr="00E20A08">
        <w:rPr>
          <w:sz w:val="20"/>
          <w:lang w:val="en-CA"/>
        </w:rPr>
        <w:lastRenderedPageBreak/>
        <w:t>[Emphasis added]</w:t>
      </w:r>
    </w:p>
    <w:p w14:paraId="41F1729D" w14:textId="5D1BF3C2" w:rsidR="00640E7F" w:rsidRPr="001E661E" w:rsidRDefault="00A420AF" w:rsidP="00640E7F">
      <w:pPr>
        <w:pStyle w:val="Paragraphe"/>
        <w:rPr>
          <w:lang w:val="en-CA"/>
        </w:rPr>
      </w:pPr>
      <w:r w:rsidRPr="001E661E">
        <w:rPr>
          <w:lang w:val="en-CA"/>
        </w:rPr>
        <w:t xml:space="preserve">As can be seen, the two analytical frameworks </w:t>
      </w:r>
      <w:r w:rsidR="00BA74E1" w:rsidRPr="001E661E">
        <w:rPr>
          <w:lang w:val="en-CA"/>
        </w:rPr>
        <w:t>are similar</w:t>
      </w:r>
      <w:r w:rsidRPr="001E661E">
        <w:rPr>
          <w:lang w:val="en-CA"/>
        </w:rPr>
        <w:t xml:space="preserve"> in that, first, they require double proof of a distinction </w:t>
      </w:r>
      <w:r w:rsidR="00BA74E1" w:rsidRPr="001E661E">
        <w:rPr>
          <w:lang w:val="en-CA"/>
        </w:rPr>
        <w:t xml:space="preserve">based on </w:t>
      </w:r>
      <w:r w:rsidRPr="001E661E">
        <w:rPr>
          <w:lang w:val="en-CA"/>
        </w:rPr>
        <w:t xml:space="preserve">a prohibited ground, which </w:t>
      </w:r>
      <w:r w:rsidR="00D526A1">
        <w:rPr>
          <w:lang w:val="en-CA"/>
        </w:rPr>
        <w:t xml:space="preserve">in the case of s. 10 </w:t>
      </w:r>
      <w:r w:rsidR="001E661E">
        <w:rPr>
          <w:lang w:val="en-CA"/>
        </w:rPr>
        <w:t xml:space="preserve">is one element from an exhaustive list, and </w:t>
      </w:r>
      <w:r w:rsidR="00D526A1">
        <w:rPr>
          <w:lang w:val="en-CA"/>
        </w:rPr>
        <w:t xml:space="preserve">in the case of s. 15(1) is </w:t>
      </w:r>
      <w:r w:rsidR="001E661E">
        <w:rPr>
          <w:lang w:val="en-CA"/>
        </w:rPr>
        <w:t>included in an open-ended list,</w:t>
      </w:r>
      <w:r w:rsidR="00D526A1">
        <w:rPr>
          <w:lang w:val="en-CA"/>
        </w:rPr>
        <w:t xml:space="preserve"> </w:t>
      </w:r>
      <w:r w:rsidR="001E661E">
        <w:rPr>
          <w:lang w:val="en-CA"/>
        </w:rPr>
        <w:t xml:space="preserve">which </w:t>
      </w:r>
      <w:r w:rsidRPr="001E661E">
        <w:rPr>
          <w:lang w:val="en-CA"/>
        </w:rPr>
        <w:t xml:space="preserve">implicitly </w:t>
      </w:r>
      <w:r w:rsidR="001E661E">
        <w:rPr>
          <w:lang w:val="en-CA"/>
        </w:rPr>
        <w:t>comprises</w:t>
      </w:r>
      <w:r w:rsidRPr="001E661E">
        <w:rPr>
          <w:lang w:val="en-CA"/>
        </w:rPr>
        <w:t xml:space="preserve"> analogous grounds.</w:t>
      </w:r>
      <w:r w:rsidR="006979E7" w:rsidRPr="001E661E">
        <w:rPr>
          <w:lang w:val="en-CA"/>
        </w:rPr>
        <w:t xml:space="preserve"> </w:t>
      </w:r>
      <w:r w:rsidRPr="001E661E">
        <w:rPr>
          <w:lang w:val="en-CA"/>
        </w:rPr>
        <w:t xml:space="preserve">Second, they both require proof of a negative </w:t>
      </w:r>
      <w:r w:rsidR="00D526A1">
        <w:rPr>
          <w:lang w:val="en-CA"/>
        </w:rPr>
        <w:t>impact</w:t>
      </w:r>
      <w:r w:rsidRPr="001E661E">
        <w:rPr>
          <w:lang w:val="en-CA"/>
        </w:rPr>
        <w:t xml:space="preserve">, </w:t>
      </w:r>
      <w:r w:rsidR="00D526A1">
        <w:rPr>
          <w:lang w:val="en-CA"/>
        </w:rPr>
        <w:t xml:space="preserve">of </w:t>
      </w:r>
      <w:r w:rsidRPr="001E661E">
        <w:rPr>
          <w:lang w:val="en-CA"/>
        </w:rPr>
        <w:t xml:space="preserve">harm, in the form </w:t>
      </w:r>
      <w:r w:rsidR="00C11188">
        <w:rPr>
          <w:lang w:val="en-CA"/>
        </w:rPr>
        <w:t>of the imposition of a</w:t>
      </w:r>
      <w:r w:rsidR="0089395E">
        <w:rPr>
          <w:lang w:val="en-CA"/>
        </w:rPr>
        <w:t xml:space="preserve"> </w:t>
      </w:r>
      <w:r w:rsidRPr="001E661E">
        <w:rPr>
          <w:lang w:val="en-CA"/>
        </w:rPr>
        <w:t xml:space="preserve">burden or obligation, </w:t>
      </w:r>
      <w:r w:rsidR="00C11188">
        <w:rPr>
          <w:lang w:val="en-CA"/>
        </w:rPr>
        <w:t xml:space="preserve">the deprivation or limitation of </w:t>
      </w:r>
      <w:r w:rsidRPr="001E661E">
        <w:rPr>
          <w:lang w:val="en-CA"/>
        </w:rPr>
        <w:t xml:space="preserve">an advantage, </w:t>
      </w:r>
      <w:r w:rsidR="00D526A1">
        <w:rPr>
          <w:lang w:val="en-CA"/>
        </w:rPr>
        <w:t xml:space="preserve">or </w:t>
      </w:r>
      <w:r w:rsidR="00C11188">
        <w:rPr>
          <w:lang w:val="en-CA"/>
        </w:rPr>
        <w:t>the inf</w:t>
      </w:r>
      <w:r w:rsidR="0089395E">
        <w:rPr>
          <w:lang w:val="en-CA"/>
        </w:rPr>
        <w:t>l</w:t>
      </w:r>
      <w:r w:rsidR="00C11188">
        <w:rPr>
          <w:lang w:val="en-CA"/>
        </w:rPr>
        <w:t xml:space="preserve">iction of </w:t>
      </w:r>
      <w:r w:rsidRPr="001E661E">
        <w:rPr>
          <w:lang w:val="en-CA"/>
        </w:rPr>
        <w:t>a disadvantage, penalty, unfavourable treatment, or harm</w:t>
      </w:r>
      <w:r w:rsidR="00D526A1">
        <w:rPr>
          <w:lang w:val="en-CA"/>
        </w:rPr>
        <w:t xml:space="preserve">, </w:t>
      </w:r>
      <w:r w:rsidRPr="001E661E">
        <w:rPr>
          <w:lang w:val="en-CA"/>
        </w:rPr>
        <w:t xml:space="preserve">which, </w:t>
      </w:r>
      <w:r w:rsidR="00D526A1">
        <w:rPr>
          <w:lang w:val="en-CA"/>
        </w:rPr>
        <w:t>pursuant to</w:t>
      </w:r>
      <w:r w:rsidRPr="001E661E">
        <w:rPr>
          <w:lang w:val="en-CA"/>
        </w:rPr>
        <w:t xml:space="preserve"> </w:t>
      </w:r>
      <w:r w:rsidR="006C5BE4" w:rsidRPr="001E661E">
        <w:rPr>
          <w:lang w:val="en-CA"/>
        </w:rPr>
        <w:t>s.</w:t>
      </w:r>
      <w:r w:rsidRPr="001E661E">
        <w:rPr>
          <w:lang w:val="en-CA"/>
        </w:rPr>
        <w:t xml:space="preserve"> 10 of the </w:t>
      </w:r>
      <w:r w:rsidRPr="00D526A1">
        <w:rPr>
          <w:i/>
          <w:iCs/>
          <w:lang w:val="en-CA"/>
        </w:rPr>
        <w:t>Quebec</w:t>
      </w:r>
      <w:r w:rsidRPr="001E661E">
        <w:rPr>
          <w:lang w:val="en-CA"/>
        </w:rPr>
        <w:t xml:space="preserve"> </w:t>
      </w:r>
      <w:r w:rsidRPr="00D526A1">
        <w:rPr>
          <w:i/>
          <w:iCs/>
          <w:lang w:val="en-CA"/>
        </w:rPr>
        <w:t>Charter</w:t>
      </w:r>
      <w:r w:rsidRPr="001E661E">
        <w:rPr>
          <w:lang w:val="en-CA"/>
        </w:rPr>
        <w:t>, undermine</w:t>
      </w:r>
      <w:r w:rsidR="00D526A1">
        <w:rPr>
          <w:lang w:val="en-CA"/>
        </w:rPr>
        <w:t>s</w:t>
      </w:r>
      <w:r w:rsidRPr="001E661E">
        <w:rPr>
          <w:lang w:val="en-CA"/>
        </w:rPr>
        <w:t xml:space="preserve"> the exercise of a right otherwise guaranteed (under </w:t>
      </w:r>
      <w:r w:rsidR="001F1E84" w:rsidRPr="001E661E">
        <w:rPr>
          <w:lang w:val="en-CA"/>
        </w:rPr>
        <w:t>ss.</w:t>
      </w:r>
      <w:r w:rsidR="006979E7" w:rsidRPr="001E661E">
        <w:rPr>
          <w:lang w:val="en-CA"/>
        </w:rPr>
        <w:t xml:space="preserve"> </w:t>
      </w:r>
      <w:r w:rsidRPr="001E661E">
        <w:rPr>
          <w:lang w:val="en-CA"/>
        </w:rPr>
        <w:t xml:space="preserve">1 to 9 and 21 to 48, or under </w:t>
      </w:r>
      <w:r w:rsidR="006979E7" w:rsidRPr="001E661E">
        <w:rPr>
          <w:lang w:val="en-CA"/>
        </w:rPr>
        <w:t xml:space="preserve"> </w:t>
      </w:r>
      <w:r w:rsidRPr="001E661E">
        <w:rPr>
          <w:lang w:val="en-CA"/>
        </w:rPr>
        <w:t>10.1 to 2.1).</w:t>
      </w:r>
      <w:r w:rsidRPr="001E661E">
        <w:rPr>
          <w:rStyle w:val="Appelnotedebasdep"/>
          <w:lang w:val="en-CA"/>
        </w:rPr>
        <w:footnoteReference w:id="45"/>
      </w:r>
      <w:r w:rsidR="006979E7" w:rsidRPr="001E661E">
        <w:rPr>
          <w:lang w:val="en-CA"/>
        </w:rPr>
        <w:t xml:space="preserve"> </w:t>
      </w:r>
      <w:r w:rsidRPr="001E661E">
        <w:rPr>
          <w:lang w:val="en-CA"/>
        </w:rPr>
        <w:t xml:space="preserve">Not </w:t>
      </w:r>
      <w:r w:rsidR="00D526A1">
        <w:rPr>
          <w:lang w:val="en-CA"/>
        </w:rPr>
        <w:t>every</w:t>
      </w:r>
      <w:r w:rsidRPr="001E661E">
        <w:rPr>
          <w:lang w:val="en-CA"/>
        </w:rPr>
        <w:t xml:space="preserve"> distinction</w:t>
      </w:r>
      <w:r w:rsidR="00D526A1">
        <w:rPr>
          <w:lang w:val="en-CA"/>
        </w:rPr>
        <w:t xml:space="preserve"> is</w:t>
      </w:r>
      <w:r w:rsidRPr="001E661E">
        <w:rPr>
          <w:lang w:val="en-CA"/>
        </w:rPr>
        <w:t xml:space="preserve"> are </w:t>
      </w:r>
      <w:r w:rsidRPr="00D526A1">
        <w:rPr>
          <w:i/>
          <w:iCs/>
          <w:lang w:val="en-CA"/>
        </w:rPr>
        <w:t>ipso facto</w:t>
      </w:r>
      <w:r w:rsidRPr="001E661E">
        <w:rPr>
          <w:lang w:val="en-CA"/>
        </w:rPr>
        <w:t xml:space="preserve"> </w:t>
      </w:r>
      <w:r w:rsidR="00003EA4" w:rsidRPr="001E661E">
        <w:rPr>
          <w:lang w:val="en-CA"/>
        </w:rPr>
        <w:t>discriminatory</w:t>
      </w:r>
      <w:r w:rsidRPr="001E661E">
        <w:rPr>
          <w:lang w:val="en-CA"/>
        </w:rPr>
        <w:t xml:space="preserve">: it must create or contribute to harm. </w:t>
      </w:r>
    </w:p>
    <w:p w14:paraId="66C6D85C" w14:textId="7D9E909A" w:rsidR="00640E7F" w:rsidRPr="00E20A08" w:rsidRDefault="00A420AF" w:rsidP="00640E7F">
      <w:pPr>
        <w:pStyle w:val="Paragraphe"/>
        <w:rPr>
          <w:lang w:val="en-CA"/>
        </w:rPr>
      </w:pPr>
      <w:r w:rsidRPr="00E20A08">
        <w:rPr>
          <w:lang w:val="en-CA"/>
        </w:rPr>
        <w:t xml:space="preserve">What is the </w:t>
      </w:r>
      <w:r w:rsidR="001836FC">
        <w:rPr>
          <w:lang w:val="en-CA"/>
        </w:rPr>
        <w:t>situation</w:t>
      </w:r>
      <w:r w:rsidRPr="00E20A08">
        <w:rPr>
          <w:lang w:val="en-CA"/>
        </w:rPr>
        <w:t xml:space="preserve"> here?</w:t>
      </w:r>
    </w:p>
    <w:p w14:paraId="75672DC4" w14:textId="334F4E81" w:rsidR="00640E7F" w:rsidRPr="00E20A08" w:rsidRDefault="00A420AF" w:rsidP="00640E7F">
      <w:pPr>
        <w:pStyle w:val="Paragraphe"/>
        <w:rPr>
          <w:lang w:val="en-CA"/>
        </w:rPr>
      </w:pPr>
      <w:r w:rsidRPr="00E20A08">
        <w:rPr>
          <w:lang w:val="en-CA"/>
        </w:rPr>
        <w:t>In my view, the appellant’s action must fail.</w:t>
      </w:r>
      <w:r w:rsidR="006979E7" w:rsidRPr="00E20A08">
        <w:rPr>
          <w:lang w:val="en-CA"/>
        </w:rPr>
        <w:t xml:space="preserve"> </w:t>
      </w:r>
      <w:r w:rsidRPr="00E20A08">
        <w:rPr>
          <w:lang w:val="en-CA"/>
        </w:rPr>
        <w:t xml:space="preserve">Even if </w:t>
      </w:r>
      <w:r w:rsidR="00A515E7">
        <w:rPr>
          <w:lang w:val="en-CA"/>
        </w:rPr>
        <w:t xml:space="preserve">it were found </w:t>
      </w:r>
      <w:r w:rsidRPr="00E20A08">
        <w:rPr>
          <w:lang w:val="en-CA"/>
        </w:rPr>
        <w:t xml:space="preserve">that he has made a </w:t>
      </w:r>
      <w:r w:rsidRPr="00A515E7">
        <w:rPr>
          <w:i/>
          <w:iCs/>
          <w:lang w:val="en-CA"/>
        </w:rPr>
        <w:t>prima facie</w:t>
      </w:r>
      <w:r w:rsidRPr="00E20A08">
        <w:rPr>
          <w:lang w:val="en-CA"/>
        </w:rPr>
        <w:t xml:space="preserve"> case of distinction (see </w:t>
      </w:r>
      <w:r w:rsidRPr="00A515E7">
        <w:rPr>
          <w:i/>
          <w:iCs/>
          <w:lang w:val="en-CA"/>
        </w:rPr>
        <w:t>infra</w:t>
      </w:r>
      <w:r w:rsidRPr="00E20A08">
        <w:rPr>
          <w:lang w:val="en-CA"/>
        </w:rPr>
        <w:t>, para.</w:t>
      </w:r>
      <w:r w:rsidR="006979E7" w:rsidRPr="00E20A08">
        <w:rPr>
          <w:lang w:val="en-CA"/>
        </w:rPr>
        <w:t> </w:t>
      </w:r>
      <w:r w:rsidRPr="00E20A08">
        <w:rPr>
          <w:lang w:val="en-CA"/>
        </w:rPr>
        <w:t xml:space="preserve">[51] </w:t>
      </w:r>
      <w:r w:rsidR="004B4684" w:rsidRPr="004B4684">
        <w:rPr>
          <w:i/>
          <w:lang w:val="en-CA"/>
        </w:rPr>
        <w:t>et seq</w:t>
      </w:r>
      <w:r w:rsidRPr="0089395E">
        <w:rPr>
          <w:lang w:val="en-CA"/>
        </w:rPr>
        <w:t>.)</w:t>
      </w:r>
      <w:r w:rsidRPr="00E20A08">
        <w:rPr>
          <w:lang w:val="en-CA"/>
        </w:rPr>
        <w:t xml:space="preserve"> and established that it is based on a prohibited ground under the </w:t>
      </w:r>
      <w:r w:rsidR="00A515E7">
        <w:rPr>
          <w:lang w:val="en-CA"/>
        </w:rPr>
        <w:t>c</w:t>
      </w:r>
      <w:r w:rsidRPr="00E20A08">
        <w:rPr>
          <w:lang w:val="en-CA"/>
        </w:rPr>
        <w:t xml:space="preserve">harters (see </w:t>
      </w:r>
      <w:r w:rsidRPr="00A515E7">
        <w:rPr>
          <w:i/>
          <w:iCs/>
          <w:lang w:val="en-CA"/>
        </w:rPr>
        <w:t>infra</w:t>
      </w:r>
      <w:r w:rsidRPr="00E20A08">
        <w:rPr>
          <w:lang w:val="en-CA"/>
        </w:rPr>
        <w:t xml:space="preserve"> at para.</w:t>
      </w:r>
      <w:r w:rsidR="006979E7" w:rsidRPr="00E20A08">
        <w:rPr>
          <w:lang w:val="en-CA"/>
        </w:rPr>
        <w:t xml:space="preserve"> </w:t>
      </w:r>
      <w:r w:rsidRPr="00E20A08">
        <w:rPr>
          <w:lang w:val="en-CA"/>
        </w:rPr>
        <w:t xml:space="preserve">[56] </w:t>
      </w:r>
      <w:r w:rsidR="004B4684" w:rsidRPr="004B4684">
        <w:rPr>
          <w:i/>
          <w:lang w:val="en-CA"/>
        </w:rPr>
        <w:t>et seq</w:t>
      </w:r>
      <w:r w:rsidR="00A515E7" w:rsidRPr="007A21FD">
        <w:rPr>
          <w:lang w:val="en-CA"/>
        </w:rPr>
        <w:t>.</w:t>
      </w:r>
      <w:r w:rsidRPr="0089395E">
        <w:rPr>
          <w:lang w:val="en-CA"/>
        </w:rPr>
        <w:t>,</w:t>
      </w:r>
      <w:r w:rsidRPr="00E20A08">
        <w:rPr>
          <w:lang w:val="en-CA"/>
        </w:rPr>
        <w:t xml:space="preserve"> the appeal record as </w:t>
      </w:r>
      <w:r w:rsidR="00003EA4" w:rsidRPr="00E20A08">
        <w:rPr>
          <w:lang w:val="en-CA"/>
        </w:rPr>
        <w:t>constituted</w:t>
      </w:r>
      <w:r w:rsidRPr="00E20A08">
        <w:rPr>
          <w:lang w:val="en-CA"/>
        </w:rPr>
        <w:t xml:space="preserve"> does not </w:t>
      </w:r>
      <w:r w:rsidR="00A515E7">
        <w:rPr>
          <w:lang w:val="en-CA"/>
        </w:rPr>
        <w:t xml:space="preserve">ground the conclusion </w:t>
      </w:r>
      <w:r w:rsidRPr="00E20A08">
        <w:rPr>
          <w:lang w:val="en-CA"/>
        </w:rPr>
        <w:t xml:space="preserve">that the impugned provisions have a negative impact on him and persons in a situation </w:t>
      </w:r>
      <w:r w:rsidR="00A515E7">
        <w:rPr>
          <w:lang w:val="en-CA"/>
        </w:rPr>
        <w:t xml:space="preserve">similar to </w:t>
      </w:r>
      <w:r w:rsidRPr="00E20A08">
        <w:rPr>
          <w:lang w:val="en-CA"/>
        </w:rPr>
        <w:t xml:space="preserve">his and </w:t>
      </w:r>
      <w:r w:rsidR="00003EA4" w:rsidRPr="00E20A08">
        <w:rPr>
          <w:lang w:val="en-CA"/>
        </w:rPr>
        <w:t>that</w:t>
      </w:r>
      <w:r w:rsidRPr="00E20A08">
        <w:rPr>
          <w:lang w:val="en-CA"/>
        </w:rPr>
        <w:t xml:space="preserve"> they penalize him or impose on him a burden or deny him a benefit “in a way that reinforces, perpetuates or exacerbates a disadvantage”, within the meaning of </w:t>
      </w:r>
      <w:r w:rsidR="006979E7" w:rsidRPr="00E20A08">
        <w:rPr>
          <w:lang w:val="en-CA"/>
        </w:rPr>
        <w:t xml:space="preserve"> </w:t>
      </w:r>
      <w:r w:rsidRPr="00E20A08">
        <w:rPr>
          <w:lang w:val="en-CA"/>
        </w:rPr>
        <w:t xml:space="preserve">15 of the </w:t>
      </w:r>
      <w:r w:rsidRPr="00A515E7">
        <w:rPr>
          <w:i/>
          <w:iCs/>
          <w:lang w:val="en-CA"/>
        </w:rPr>
        <w:t>Canadian Charter</w:t>
      </w:r>
      <w:r w:rsidRPr="00E20A08">
        <w:rPr>
          <w:lang w:val="en-CA"/>
        </w:rPr>
        <w:t xml:space="preserve">, or that they have “the effect of nullifying or impairing the right to full and equal recognition and exercise of a human right or freedom” within the meaning of </w:t>
      </w:r>
      <w:r w:rsidR="006C5BE4">
        <w:rPr>
          <w:lang w:val="en-CA"/>
        </w:rPr>
        <w:t>s.</w:t>
      </w:r>
      <w:r w:rsidR="006979E7" w:rsidRPr="00E20A08">
        <w:rPr>
          <w:lang w:val="en-CA"/>
        </w:rPr>
        <w:t xml:space="preserve"> </w:t>
      </w:r>
      <w:r w:rsidRPr="00E20A08">
        <w:rPr>
          <w:lang w:val="en-CA"/>
        </w:rPr>
        <w:t xml:space="preserve">10 of the </w:t>
      </w:r>
      <w:r w:rsidRPr="00A515E7">
        <w:rPr>
          <w:i/>
          <w:iCs/>
          <w:lang w:val="en-CA"/>
        </w:rPr>
        <w:t>Quebec</w:t>
      </w:r>
      <w:r w:rsidRPr="00E20A08">
        <w:rPr>
          <w:lang w:val="en-CA"/>
        </w:rPr>
        <w:t xml:space="preserve"> </w:t>
      </w:r>
      <w:r w:rsidRPr="00A515E7">
        <w:rPr>
          <w:i/>
          <w:iCs/>
          <w:lang w:val="en-CA"/>
        </w:rPr>
        <w:t>Charter</w:t>
      </w:r>
      <w:r w:rsidRPr="00E20A08">
        <w:rPr>
          <w:lang w:val="en-CA"/>
        </w:rPr>
        <w:t>.</w:t>
      </w:r>
      <w:r w:rsidR="006979E7" w:rsidRPr="00E20A08">
        <w:rPr>
          <w:lang w:val="en-CA"/>
        </w:rPr>
        <w:t xml:space="preserve"> </w:t>
      </w:r>
      <w:r w:rsidRPr="00E20A08">
        <w:rPr>
          <w:lang w:val="en-CA"/>
        </w:rPr>
        <w:t>Let us consider</w:t>
      </w:r>
      <w:r w:rsidR="0089395E">
        <w:rPr>
          <w:lang w:val="en-CA"/>
        </w:rPr>
        <w:t xml:space="preserve"> this</w:t>
      </w:r>
      <w:r w:rsidRPr="00E20A08">
        <w:rPr>
          <w:lang w:val="en-CA"/>
        </w:rPr>
        <w:t>.</w:t>
      </w:r>
    </w:p>
    <w:p w14:paraId="1253AB12" w14:textId="77777777" w:rsidR="00640E7F" w:rsidRPr="00E20A08" w:rsidRDefault="006979E7" w:rsidP="00640E7F">
      <w:pPr>
        <w:pStyle w:val="Paragraphe"/>
        <w:numPr>
          <w:ilvl w:val="0"/>
          <w:numId w:val="0"/>
        </w:numPr>
        <w:jc w:val="center"/>
        <w:rPr>
          <w:lang w:val="en-CA"/>
        </w:rPr>
      </w:pPr>
      <w:r w:rsidRPr="00E20A08">
        <w:rPr>
          <w:lang w:val="en-CA"/>
        </w:rPr>
        <w:t>* *</w:t>
      </w:r>
    </w:p>
    <w:p w14:paraId="2ED6968D" w14:textId="2EAE91FB" w:rsidR="00640E7F" w:rsidRPr="00E20A08" w:rsidRDefault="00A420AF" w:rsidP="00640E7F">
      <w:pPr>
        <w:pStyle w:val="Paragraphe"/>
        <w:rPr>
          <w:lang w:val="en-CA"/>
        </w:rPr>
      </w:pPr>
      <w:r w:rsidRPr="00E20A08">
        <w:rPr>
          <w:lang w:val="en-CA"/>
        </w:rPr>
        <w:t>First, has the appellant established a distinction?</w:t>
      </w:r>
    </w:p>
    <w:p w14:paraId="795A5DDC" w14:textId="79A00D7C" w:rsidR="00640E7F" w:rsidRPr="00E20A08" w:rsidRDefault="00A420AF" w:rsidP="00640E7F">
      <w:pPr>
        <w:pStyle w:val="Paragraphe"/>
        <w:rPr>
          <w:lang w:val="en-CA"/>
        </w:rPr>
      </w:pPr>
      <w:r w:rsidRPr="00E20A08">
        <w:rPr>
          <w:lang w:val="en-CA"/>
        </w:rPr>
        <w:t xml:space="preserve">The notion of distinction for the purposes of </w:t>
      </w:r>
      <w:r w:rsidR="006C5BE4">
        <w:rPr>
          <w:lang w:val="en-CA"/>
        </w:rPr>
        <w:t>s.</w:t>
      </w:r>
      <w:r w:rsidR="006979E7" w:rsidRPr="00E20A08">
        <w:rPr>
          <w:lang w:val="en-CA"/>
        </w:rPr>
        <w:t xml:space="preserve"> </w:t>
      </w:r>
      <w:r w:rsidRPr="00E20A08">
        <w:rPr>
          <w:lang w:val="en-CA"/>
        </w:rPr>
        <w:t>15(1)</w:t>
      </w:r>
      <w:r w:rsidR="006979E7" w:rsidRPr="00E20A08">
        <w:rPr>
          <w:lang w:val="en-CA"/>
        </w:rPr>
        <w:t xml:space="preserve"> </w:t>
      </w:r>
      <w:r w:rsidRPr="00E20A08">
        <w:rPr>
          <w:lang w:val="en-CA"/>
        </w:rPr>
        <w:t xml:space="preserve">of the </w:t>
      </w:r>
      <w:r w:rsidRPr="004623D0">
        <w:rPr>
          <w:i/>
          <w:iCs/>
          <w:lang w:val="en-CA"/>
        </w:rPr>
        <w:t>Canadian Charter</w:t>
      </w:r>
      <w:r w:rsidRPr="00E20A08">
        <w:rPr>
          <w:lang w:val="en-CA"/>
        </w:rPr>
        <w:t xml:space="preserve"> expresses a relationship of otherness based intrinsically on comparison, which makes it possible to identify differential treatment</w:t>
      </w:r>
      <w:bookmarkStart w:id="25" w:name="_Ref73436925"/>
      <w:r w:rsidRPr="00E20A08">
        <w:rPr>
          <w:rStyle w:val="Appelnotedebasdep"/>
          <w:lang w:val="en-CA"/>
        </w:rPr>
        <w:footnoteReference w:id="46"/>
      </w:r>
      <w:bookmarkEnd w:id="25"/>
      <w:r w:rsidRPr="00E20A08">
        <w:rPr>
          <w:lang w:val="en-CA"/>
        </w:rPr>
        <w:t xml:space="preserve"> between groups and to verify whether </w:t>
      </w:r>
      <w:r w:rsidR="004623D0">
        <w:rPr>
          <w:lang w:val="en-CA"/>
        </w:rPr>
        <w:t xml:space="preserve">it </w:t>
      </w:r>
      <w:r w:rsidRPr="00E20A08">
        <w:rPr>
          <w:lang w:val="en-CA"/>
        </w:rPr>
        <w:t xml:space="preserve">is </w:t>
      </w:r>
      <w:r w:rsidR="00BA74E1">
        <w:rPr>
          <w:lang w:val="en-CA"/>
        </w:rPr>
        <w:t xml:space="preserve">based on </w:t>
      </w:r>
      <w:r w:rsidRPr="00E20A08">
        <w:rPr>
          <w:lang w:val="en-CA"/>
        </w:rPr>
        <w:t>a prohibited ground.</w:t>
      </w:r>
      <w:r w:rsidR="006979E7" w:rsidRPr="00E20A08">
        <w:rPr>
          <w:lang w:val="en-CA"/>
        </w:rPr>
        <w:t xml:space="preserve"> </w:t>
      </w:r>
      <w:r w:rsidRPr="00E20A08">
        <w:rPr>
          <w:lang w:val="en-CA"/>
        </w:rPr>
        <w:t xml:space="preserve">Distinction and comparison are in this sense inextricably </w:t>
      </w:r>
      <w:r w:rsidRPr="00E20A08">
        <w:rPr>
          <w:lang w:val="en-CA"/>
        </w:rPr>
        <w:lastRenderedPageBreak/>
        <w:t>linked.</w:t>
      </w:r>
      <w:bookmarkStart w:id="26" w:name="_Ref73440574"/>
      <w:r w:rsidRPr="00E20A08">
        <w:rPr>
          <w:rStyle w:val="Appelnotedebasdep"/>
          <w:lang w:val="en-CA"/>
        </w:rPr>
        <w:footnoteReference w:id="47"/>
      </w:r>
      <w:bookmarkEnd w:id="26"/>
      <w:r w:rsidR="006979E7" w:rsidRPr="00E20A08">
        <w:rPr>
          <w:lang w:val="en-CA"/>
        </w:rPr>
        <w:t xml:space="preserve"> </w:t>
      </w:r>
      <w:r w:rsidRPr="00E20A08">
        <w:rPr>
          <w:lang w:val="en-CA"/>
        </w:rPr>
        <w:t xml:space="preserve">However, the search for a </w:t>
      </w:r>
      <w:r w:rsidR="00003EA4" w:rsidRPr="00E20A08">
        <w:rPr>
          <w:lang w:val="en-CA"/>
        </w:rPr>
        <w:t>comparator</w:t>
      </w:r>
      <w:r w:rsidRPr="00E20A08">
        <w:rPr>
          <w:lang w:val="en-CA"/>
        </w:rPr>
        <w:t xml:space="preserve"> group is no longer the focus of the exercise, and the case law of the Supreme Court since </w:t>
      </w:r>
      <w:proofErr w:type="spellStart"/>
      <w:r w:rsidRPr="004623D0">
        <w:rPr>
          <w:i/>
          <w:iCs/>
          <w:lang w:val="en-CA"/>
        </w:rPr>
        <w:t>Withler</w:t>
      </w:r>
      <w:bookmarkStart w:id="27" w:name="_Ref73356702"/>
      <w:proofErr w:type="spellEnd"/>
      <w:r w:rsidR="004623D0" w:rsidRPr="004623D0">
        <w:rPr>
          <w:rStyle w:val="Appelnotedebasdep"/>
          <w:lang w:val="en-CA"/>
        </w:rPr>
        <w:t xml:space="preserve"> </w:t>
      </w:r>
      <w:r w:rsidR="004623D0" w:rsidRPr="00E20A08">
        <w:rPr>
          <w:rStyle w:val="Appelnotedebasdep"/>
          <w:lang w:val="en-CA"/>
        </w:rPr>
        <w:footnoteReference w:id="48"/>
      </w:r>
      <w:bookmarkEnd w:id="27"/>
      <w:r w:rsidRPr="00E20A08">
        <w:rPr>
          <w:lang w:val="en-CA"/>
        </w:rPr>
        <w:t xml:space="preserve"> </w:t>
      </w:r>
      <w:r w:rsidR="004623D0">
        <w:rPr>
          <w:lang w:val="en-CA"/>
        </w:rPr>
        <w:t xml:space="preserve">has preferred </w:t>
      </w:r>
      <w:r w:rsidRPr="00E20A08">
        <w:rPr>
          <w:lang w:val="en-CA"/>
        </w:rPr>
        <w:t xml:space="preserve">a broader and more contextual approach </w:t>
      </w:r>
      <w:r w:rsidR="004623D0">
        <w:rPr>
          <w:lang w:val="en-CA"/>
        </w:rPr>
        <w:t xml:space="preserve">focussing </w:t>
      </w:r>
      <w:r w:rsidRPr="00E20A08">
        <w:rPr>
          <w:lang w:val="en-CA"/>
        </w:rPr>
        <w:t>on substantive equality.</w:t>
      </w:r>
      <w:r w:rsidR="006979E7" w:rsidRPr="00E20A08">
        <w:rPr>
          <w:lang w:val="en-CA"/>
        </w:rPr>
        <w:t xml:space="preserve"> </w:t>
      </w:r>
      <w:r w:rsidRPr="00E20A08">
        <w:rPr>
          <w:lang w:val="en-CA"/>
        </w:rPr>
        <w:t xml:space="preserve">As De </w:t>
      </w:r>
      <w:proofErr w:type="spellStart"/>
      <w:r w:rsidRPr="00E20A08">
        <w:rPr>
          <w:lang w:val="en-CA"/>
        </w:rPr>
        <w:t>Montigny</w:t>
      </w:r>
      <w:proofErr w:type="spellEnd"/>
      <w:r w:rsidRPr="00E20A08">
        <w:rPr>
          <w:lang w:val="en-CA"/>
        </w:rPr>
        <w:t xml:space="preserve"> J. stated in </w:t>
      </w:r>
      <w:r w:rsidRPr="004623D0">
        <w:rPr>
          <w:i/>
          <w:iCs/>
          <w:lang w:val="en-CA"/>
        </w:rPr>
        <w:t>Begum v Canada</w:t>
      </w:r>
      <w:bookmarkStart w:id="28" w:name="_Ref72575583"/>
      <w:r w:rsidR="004623D0">
        <w:rPr>
          <w:lang w:val="en-CA"/>
        </w:rPr>
        <w:t>,</w:t>
      </w:r>
      <w:r w:rsidRPr="00E20A08">
        <w:rPr>
          <w:rStyle w:val="Appelnotedebasdep"/>
          <w:lang w:val="en-CA"/>
        </w:rPr>
        <w:footnoteReference w:id="49"/>
      </w:r>
      <w:bookmarkEnd w:id="28"/>
      <w:r w:rsidRPr="00E20A08">
        <w:rPr>
          <w:lang w:val="en-CA"/>
        </w:rPr>
        <w:t xml:space="preserve"> “What is crucial at the first stage, however, is not that a claimant identify a particular group that does not share the disqualifying characteristic that sets him or her apart, but rather that the claimant be able to establish that he or she is treated differently than others”.</w:t>
      </w:r>
      <w:r w:rsidRPr="00E20A08">
        <w:rPr>
          <w:rStyle w:val="Appelnotedebasdep"/>
          <w:lang w:val="en-CA"/>
        </w:rPr>
        <w:footnoteReference w:id="50"/>
      </w:r>
    </w:p>
    <w:p w14:paraId="1ACFBB6F" w14:textId="280C41C4" w:rsidR="00640E7F" w:rsidRPr="00E20A08" w:rsidRDefault="00A420AF" w:rsidP="00640E7F">
      <w:pPr>
        <w:pStyle w:val="Paragraphe"/>
        <w:rPr>
          <w:lang w:val="en-CA"/>
        </w:rPr>
      </w:pPr>
      <w:r w:rsidRPr="00E20A08">
        <w:rPr>
          <w:lang w:val="en-CA"/>
        </w:rPr>
        <w:t xml:space="preserve">These remarks can be transposed, </w:t>
      </w:r>
      <w:r w:rsidRPr="000D6E6E">
        <w:rPr>
          <w:i/>
          <w:iCs/>
          <w:lang w:val="en-CA"/>
        </w:rPr>
        <w:t>mutatis</w:t>
      </w:r>
      <w:r w:rsidRPr="00E20A08">
        <w:rPr>
          <w:lang w:val="en-CA"/>
        </w:rPr>
        <w:t xml:space="preserve"> </w:t>
      </w:r>
      <w:r w:rsidRPr="000D6E6E">
        <w:rPr>
          <w:i/>
          <w:iCs/>
          <w:lang w:val="en-CA"/>
        </w:rPr>
        <w:t>mutandis</w:t>
      </w:r>
      <w:r w:rsidRPr="00E20A08">
        <w:rPr>
          <w:lang w:val="en-CA"/>
        </w:rPr>
        <w:t xml:space="preserve">, to the notions of distinction, exclusion, or preference in </w:t>
      </w:r>
      <w:r w:rsidR="006C5BE4">
        <w:rPr>
          <w:lang w:val="en-CA"/>
        </w:rPr>
        <w:t>s.</w:t>
      </w:r>
      <w:r w:rsidR="006979E7" w:rsidRPr="00E20A08">
        <w:rPr>
          <w:lang w:val="en-CA"/>
        </w:rPr>
        <w:t xml:space="preserve"> </w:t>
      </w:r>
      <w:r w:rsidRPr="00E20A08">
        <w:rPr>
          <w:lang w:val="en-CA"/>
        </w:rPr>
        <w:t xml:space="preserve">10 of the </w:t>
      </w:r>
      <w:r w:rsidRPr="005760C8">
        <w:rPr>
          <w:i/>
          <w:iCs/>
          <w:lang w:val="en-CA"/>
        </w:rPr>
        <w:t>Quebec Charter</w:t>
      </w:r>
      <w:r w:rsidRPr="00E20A08">
        <w:rPr>
          <w:lang w:val="en-CA"/>
        </w:rPr>
        <w:t>.</w:t>
      </w:r>
    </w:p>
    <w:p w14:paraId="2E564434" w14:textId="11DA205D" w:rsidR="00640E7F" w:rsidRPr="00E20A08" w:rsidRDefault="00A420AF" w:rsidP="00640E7F">
      <w:pPr>
        <w:pStyle w:val="Paragraphe"/>
        <w:rPr>
          <w:lang w:val="en-CA"/>
        </w:rPr>
      </w:pPr>
      <w:r w:rsidRPr="00E20A08">
        <w:rPr>
          <w:lang w:val="en-CA"/>
        </w:rPr>
        <w:t xml:space="preserve">In this case, it is certain that, if we agree with the respondent and the impleaded party, and if we compare the appellant with everyone who, like him, receives last resort financial assistance (and more </w:t>
      </w:r>
      <w:r w:rsidR="00A055F7">
        <w:rPr>
          <w:lang w:val="en-CA"/>
        </w:rPr>
        <w:t>specifically</w:t>
      </w:r>
      <w:r w:rsidRPr="00E20A08">
        <w:rPr>
          <w:lang w:val="en-CA"/>
        </w:rPr>
        <w:t xml:space="preserve"> everyone who has contributed to the Qu</w:t>
      </w:r>
      <w:r w:rsidR="00A055F7">
        <w:rPr>
          <w:lang w:val="en-CA"/>
        </w:rPr>
        <w:t>é</w:t>
      </w:r>
      <w:r w:rsidRPr="00E20A08">
        <w:rPr>
          <w:lang w:val="en-CA"/>
        </w:rPr>
        <w:t xml:space="preserve">bec Pension Plan and is now </w:t>
      </w:r>
      <w:r w:rsidR="00ED2690" w:rsidRPr="00E20A08">
        <w:rPr>
          <w:lang w:val="en-CA"/>
        </w:rPr>
        <w:t>receiving</w:t>
      </w:r>
      <w:r w:rsidRPr="00E20A08">
        <w:rPr>
          <w:lang w:val="en-CA"/>
        </w:rPr>
        <w:t xml:space="preserve"> last resort financial assistance), our conclusion on this point (as the </w:t>
      </w:r>
      <w:r w:rsidR="00DC31C3">
        <w:rPr>
          <w:lang w:val="en-CA"/>
        </w:rPr>
        <w:t>ATQ</w:t>
      </w:r>
      <w:r w:rsidRPr="00E20A08">
        <w:rPr>
          <w:lang w:val="en-CA"/>
        </w:rPr>
        <w:t xml:space="preserve"> decision makes clear) would be very different from what </w:t>
      </w:r>
      <w:r w:rsidR="00A055F7">
        <w:rPr>
          <w:lang w:val="en-CA"/>
        </w:rPr>
        <w:t xml:space="preserve">it would be </w:t>
      </w:r>
      <w:r w:rsidRPr="00E20A08">
        <w:rPr>
          <w:lang w:val="en-CA"/>
        </w:rPr>
        <w:t xml:space="preserve">if we compared the appellant </w:t>
      </w:r>
      <w:r w:rsidR="00A055F7">
        <w:rPr>
          <w:lang w:val="en-CA"/>
        </w:rPr>
        <w:t xml:space="preserve">generally </w:t>
      </w:r>
      <w:r w:rsidRPr="00E20A08">
        <w:rPr>
          <w:lang w:val="en-CA"/>
        </w:rPr>
        <w:t xml:space="preserve">to all contributors </w:t>
      </w:r>
      <w:r w:rsidR="00A055F7">
        <w:rPr>
          <w:lang w:val="en-CA"/>
        </w:rPr>
        <w:t xml:space="preserve">to </w:t>
      </w:r>
      <w:r w:rsidRPr="00E20A08">
        <w:rPr>
          <w:lang w:val="en-CA"/>
        </w:rPr>
        <w:t>the Qu</w:t>
      </w:r>
      <w:r w:rsidR="00A055F7">
        <w:rPr>
          <w:lang w:val="en-CA"/>
        </w:rPr>
        <w:t>é</w:t>
      </w:r>
      <w:r w:rsidRPr="00E20A08">
        <w:rPr>
          <w:lang w:val="en-CA"/>
        </w:rPr>
        <w:t>bec Pension Plan, and specifically to all contributors who do not receive last resort financial assistance.</w:t>
      </w:r>
    </w:p>
    <w:p w14:paraId="3E833F2E" w14:textId="0EAA0DD8" w:rsidR="00640E7F" w:rsidRPr="00E20A08" w:rsidRDefault="00A420AF" w:rsidP="00640E7F">
      <w:pPr>
        <w:pStyle w:val="Paragraphe"/>
        <w:rPr>
          <w:lang w:val="en-CA"/>
        </w:rPr>
      </w:pPr>
      <w:bookmarkStart w:id="29" w:name="_Ref72165566"/>
      <w:r w:rsidRPr="00E20A08">
        <w:rPr>
          <w:lang w:val="en-CA"/>
        </w:rPr>
        <w:t>In my view, considering the teaching</w:t>
      </w:r>
      <w:r w:rsidR="00A055F7">
        <w:rPr>
          <w:lang w:val="en-CA"/>
        </w:rPr>
        <w:t>s</w:t>
      </w:r>
      <w:r w:rsidRPr="00E20A08">
        <w:rPr>
          <w:lang w:val="en-CA"/>
        </w:rPr>
        <w:t xml:space="preserve"> of the Supreme Court since </w:t>
      </w:r>
      <w:proofErr w:type="spellStart"/>
      <w:r w:rsidRPr="00A055F7">
        <w:rPr>
          <w:i/>
          <w:iCs/>
          <w:lang w:val="en-CA"/>
        </w:rPr>
        <w:t>Withler</w:t>
      </w:r>
      <w:proofErr w:type="spellEnd"/>
      <w:r w:rsidRPr="00E20A08">
        <w:rPr>
          <w:lang w:val="en-CA"/>
        </w:rPr>
        <w:t xml:space="preserve">, </w:t>
      </w:r>
      <w:r w:rsidR="000D6E6E">
        <w:rPr>
          <w:lang w:val="en-CA"/>
        </w:rPr>
        <w:t xml:space="preserve">and considering </w:t>
      </w:r>
      <w:r w:rsidRPr="00E20A08">
        <w:rPr>
          <w:lang w:val="en-CA"/>
        </w:rPr>
        <w:t xml:space="preserve">the legal proposition </w:t>
      </w:r>
      <w:r w:rsidR="00ED2690" w:rsidRPr="00E20A08">
        <w:rPr>
          <w:lang w:val="en-CA"/>
        </w:rPr>
        <w:t>formulated</w:t>
      </w:r>
      <w:r w:rsidRPr="00E20A08">
        <w:rPr>
          <w:lang w:val="en-CA"/>
        </w:rPr>
        <w:t xml:space="preserve"> by the appellant, it seems </w:t>
      </w:r>
      <w:r w:rsidR="000D6E6E">
        <w:rPr>
          <w:lang w:val="en-CA"/>
        </w:rPr>
        <w:t xml:space="preserve">that we must make </w:t>
      </w:r>
      <w:r w:rsidRPr="00E20A08">
        <w:rPr>
          <w:lang w:val="en-CA"/>
        </w:rPr>
        <w:t xml:space="preserve">a choice between these hypotheses: as the trial judge explained (and contrary to what the </w:t>
      </w:r>
      <w:r w:rsidR="00DC31C3">
        <w:rPr>
          <w:lang w:val="en-CA"/>
        </w:rPr>
        <w:t>ATQ</w:t>
      </w:r>
      <w:r w:rsidRPr="00E20A08">
        <w:rPr>
          <w:lang w:val="en-CA"/>
        </w:rPr>
        <w:t xml:space="preserve"> decided), we may legitimately compare the appellant’s situation with that of contributors who do not receive last resort financial assistance under </w:t>
      </w:r>
      <w:r w:rsidRPr="000D6E6E">
        <w:rPr>
          <w:lang w:val="en-CA"/>
        </w:rPr>
        <w:t>the</w:t>
      </w:r>
      <w:r w:rsidRPr="000D6E6E">
        <w:rPr>
          <w:i/>
          <w:iCs/>
          <w:lang w:val="en-CA"/>
        </w:rPr>
        <w:t xml:space="preserve"> Individual and Family Assistance Act</w:t>
      </w:r>
      <w:r w:rsidRPr="00E20A08">
        <w:rPr>
          <w:lang w:val="en-CA"/>
        </w:rPr>
        <w:t>.</w:t>
      </w:r>
      <w:r w:rsidR="006979E7" w:rsidRPr="00E20A08">
        <w:rPr>
          <w:rStyle w:val="Appelnotedebasdep"/>
          <w:lang w:val="en-CA"/>
        </w:rPr>
        <w:footnoteReference w:id="51"/>
      </w:r>
      <w:r w:rsidR="000D6E6E">
        <w:rPr>
          <w:lang w:val="en-CA"/>
        </w:rPr>
        <w:t xml:space="preserve"> </w:t>
      </w:r>
      <w:r w:rsidRPr="00E20A08">
        <w:rPr>
          <w:lang w:val="en-CA"/>
        </w:rPr>
        <w:t xml:space="preserve">The appellant is in </w:t>
      </w:r>
      <w:r w:rsidR="000D6E6E">
        <w:rPr>
          <w:lang w:val="en-CA"/>
        </w:rPr>
        <w:t xml:space="preserve">actual </w:t>
      </w:r>
      <w:r w:rsidRPr="00E20A08">
        <w:rPr>
          <w:lang w:val="en-CA"/>
        </w:rPr>
        <w:t xml:space="preserve">fact complaining that </w:t>
      </w:r>
      <w:r w:rsidR="000D6E6E">
        <w:rPr>
          <w:lang w:val="en-CA"/>
        </w:rPr>
        <w:t xml:space="preserve">the </w:t>
      </w:r>
      <w:r w:rsidR="000D6E6E" w:rsidRPr="000D6E6E">
        <w:rPr>
          <w:i/>
          <w:iCs/>
          <w:lang w:val="en-CA"/>
        </w:rPr>
        <w:t>Act</w:t>
      </w:r>
      <w:r w:rsidR="000D6E6E">
        <w:rPr>
          <w:lang w:val="en-CA"/>
        </w:rPr>
        <w:t xml:space="preserve"> </w:t>
      </w:r>
      <w:r w:rsidRPr="00E20A08">
        <w:rPr>
          <w:lang w:val="en-CA"/>
        </w:rPr>
        <w:t xml:space="preserve">imposes on him the </w:t>
      </w:r>
      <w:r w:rsidR="00ED2690" w:rsidRPr="00E20A08">
        <w:rPr>
          <w:lang w:val="en-CA"/>
        </w:rPr>
        <w:t>obligation</w:t>
      </w:r>
      <w:r w:rsidRPr="00E20A08">
        <w:rPr>
          <w:lang w:val="en-CA"/>
        </w:rPr>
        <w:t xml:space="preserve"> (because it is one, as we have already seen) to claim his </w:t>
      </w:r>
      <w:r w:rsidR="00ED2690" w:rsidRPr="00E20A08">
        <w:rPr>
          <w:lang w:val="en-CA"/>
        </w:rPr>
        <w:t>retirement</w:t>
      </w:r>
      <w:r w:rsidRPr="00E20A08">
        <w:rPr>
          <w:lang w:val="en-CA"/>
        </w:rPr>
        <w:t xml:space="preserve"> pension as soon as possible, in his case at the age of 60, which is an obligation not borne by other contributors, who are free to </w:t>
      </w:r>
      <w:r w:rsidR="00B32E79">
        <w:rPr>
          <w:lang w:val="en-CA"/>
        </w:rPr>
        <w:t>claim</w:t>
      </w:r>
      <w:r w:rsidR="00B32E79" w:rsidRPr="00E20A08">
        <w:rPr>
          <w:lang w:val="en-CA"/>
        </w:rPr>
        <w:t xml:space="preserve"> </w:t>
      </w:r>
      <w:r w:rsidRPr="00E20A08">
        <w:rPr>
          <w:lang w:val="en-CA"/>
        </w:rPr>
        <w:t xml:space="preserve">payment when they deem it </w:t>
      </w:r>
      <w:r w:rsidR="00ED2690" w:rsidRPr="00E20A08">
        <w:rPr>
          <w:lang w:val="en-CA"/>
        </w:rPr>
        <w:t>appropriate</w:t>
      </w:r>
      <w:r w:rsidRPr="00E20A08">
        <w:rPr>
          <w:lang w:val="en-CA"/>
        </w:rPr>
        <w:t xml:space="preserve"> (within the general limits provided in the </w:t>
      </w:r>
      <w:r w:rsidRPr="000D6E6E">
        <w:rPr>
          <w:i/>
          <w:iCs/>
          <w:lang w:val="en-CA"/>
        </w:rPr>
        <w:t>Act respecting the Qu</w:t>
      </w:r>
      <w:r w:rsidR="000D6E6E">
        <w:rPr>
          <w:i/>
          <w:iCs/>
          <w:lang w:val="en-CA"/>
        </w:rPr>
        <w:t>é</w:t>
      </w:r>
      <w:r w:rsidRPr="000D6E6E">
        <w:rPr>
          <w:i/>
          <w:iCs/>
          <w:lang w:val="en-CA"/>
        </w:rPr>
        <w:t>bec Pension Plan</w:t>
      </w:r>
      <w:r w:rsidRPr="00E20A08">
        <w:rPr>
          <w:lang w:val="en-CA"/>
        </w:rPr>
        <w:t>).</w:t>
      </w:r>
      <w:r w:rsidR="006979E7" w:rsidRPr="00E20A08">
        <w:rPr>
          <w:lang w:val="en-CA"/>
        </w:rPr>
        <w:t xml:space="preserve"> </w:t>
      </w:r>
      <w:r w:rsidRPr="00E20A08">
        <w:rPr>
          <w:lang w:val="en-CA"/>
        </w:rPr>
        <w:t>The appellant, like all contributors in situation</w:t>
      </w:r>
      <w:r w:rsidR="000D6E6E">
        <w:rPr>
          <w:lang w:val="en-CA"/>
        </w:rPr>
        <w:t>s</w:t>
      </w:r>
      <w:r w:rsidRPr="00E20A08">
        <w:rPr>
          <w:lang w:val="en-CA"/>
        </w:rPr>
        <w:t xml:space="preserve"> similar to his, is therefore deprived of the room to manoeuvre </w:t>
      </w:r>
      <w:r w:rsidR="000D6E6E">
        <w:rPr>
          <w:lang w:val="en-CA"/>
        </w:rPr>
        <w:t xml:space="preserve">that </w:t>
      </w:r>
      <w:r w:rsidRPr="00E20A08">
        <w:rPr>
          <w:lang w:val="en-CA"/>
        </w:rPr>
        <w:t>other contributors</w:t>
      </w:r>
      <w:r w:rsidR="000D6E6E">
        <w:rPr>
          <w:lang w:val="en-CA"/>
        </w:rPr>
        <w:t xml:space="preserve"> enjoy</w:t>
      </w:r>
      <w:r w:rsidRPr="00E20A08">
        <w:rPr>
          <w:lang w:val="en-CA"/>
        </w:rPr>
        <w:t>, with the resulting financial consequences that, if he begins to collect his retirement pension before the age of 65, the amount he will receive once he turns 65 will be lower, at least for a period.</w:t>
      </w:r>
      <w:r w:rsidRPr="00E20A08">
        <w:rPr>
          <w:rStyle w:val="Appelnotedebasdep"/>
          <w:lang w:val="en-CA"/>
        </w:rPr>
        <w:footnoteReference w:id="52"/>
      </w:r>
      <w:r w:rsidR="006979E7" w:rsidRPr="00E20A08">
        <w:rPr>
          <w:lang w:val="en-CA"/>
        </w:rPr>
        <w:t xml:space="preserve"> </w:t>
      </w:r>
      <w:bookmarkEnd w:id="29"/>
      <w:r w:rsidRPr="00E20A08">
        <w:rPr>
          <w:lang w:val="en-CA"/>
        </w:rPr>
        <w:t xml:space="preserve">This difference </w:t>
      </w:r>
      <w:r w:rsidR="000D6E6E">
        <w:rPr>
          <w:lang w:val="en-CA"/>
        </w:rPr>
        <w:t xml:space="preserve">– </w:t>
      </w:r>
      <w:r w:rsidRPr="00E20A08">
        <w:rPr>
          <w:lang w:val="en-CA"/>
        </w:rPr>
        <w:t xml:space="preserve">this </w:t>
      </w:r>
      <w:r w:rsidR="00ED2690" w:rsidRPr="00E20A08">
        <w:rPr>
          <w:lang w:val="en-CA"/>
        </w:rPr>
        <w:lastRenderedPageBreak/>
        <w:t>substantive</w:t>
      </w:r>
      <w:r w:rsidRPr="00E20A08">
        <w:rPr>
          <w:lang w:val="en-CA"/>
        </w:rPr>
        <w:t xml:space="preserve"> difference </w:t>
      </w:r>
      <w:r w:rsidR="000D6E6E">
        <w:rPr>
          <w:lang w:val="en-CA"/>
        </w:rPr>
        <w:t>–</w:t>
      </w:r>
      <w:r w:rsidRPr="00E20A08">
        <w:rPr>
          <w:lang w:val="en-CA"/>
        </w:rPr>
        <w:t xml:space="preserve"> is what he believes is </w:t>
      </w:r>
      <w:r w:rsidR="00ED2690" w:rsidRPr="00E20A08">
        <w:rPr>
          <w:lang w:val="en-CA"/>
        </w:rPr>
        <w:t>di</w:t>
      </w:r>
      <w:r w:rsidR="00ED2690">
        <w:rPr>
          <w:lang w:val="en-CA"/>
        </w:rPr>
        <w:t>scrimi</w:t>
      </w:r>
      <w:r w:rsidR="00ED2690" w:rsidRPr="00E20A08">
        <w:rPr>
          <w:lang w:val="en-CA"/>
        </w:rPr>
        <w:t>natory</w:t>
      </w:r>
      <w:r w:rsidRPr="00E20A08">
        <w:rPr>
          <w:lang w:val="en-CA"/>
        </w:rPr>
        <w:t xml:space="preserve"> and this is the difference we must consider, which will require us first </w:t>
      </w:r>
      <w:r w:rsidR="000D6E6E">
        <w:rPr>
          <w:lang w:val="en-CA"/>
        </w:rPr>
        <w:t xml:space="preserve">to </w:t>
      </w:r>
      <w:r w:rsidRPr="00E20A08">
        <w:rPr>
          <w:lang w:val="en-CA"/>
        </w:rPr>
        <w:t>verify whether it is based on a prohibited ground.</w:t>
      </w:r>
    </w:p>
    <w:p w14:paraId="4C1B9BB5" w14:textId="77777777" w:rsidR="00640E7F" w:rsidRPr="00E20A08" w:rsidRDefault="006979E7" w:rsidP="00640E7F">
      <w:pPr>
        <w:pStyle w:val="Paragraphe"/>
        <w:numPr>
          <w:ilvl w:val="0"/>
          <w:numId w:val="0"/>
        </w:numPr>
        <w:jc w:val="center"/>
        <w:rPr>
          <w:lang w:val="en-CA"/>
        </w:rPr>
      </w:pPr>
      <w:r w:rsidRPr="00E20A08">
        <w:rPr>
          <w:lang w:val="en-CA"/>
        </w:rPr>
        <w:t>* *</w:t>
      </w:r>
    </w:p>
    <w:p w14:paraId="5A3139FB" w14:textId="5D38A616" w:rsidR="00640E7F" w:rsidRPr="00E20A08" w:rsidRDefault="00A420AF" w:rsidP="00640E7F">
      <w:pPr>
        <w:pStyle w:val="Paragraphe"/>
        <w:rPr>
          <w:lang w:val="en-CA"/>
        </w:rPr>
      </w:pPr>
      <w:bookmarkStart w:id="30" w:name="_Ref73366919"/>
      <w:r w:rsidRPr="00E20A08">
        <w:rPr>
          <w:lang w:val="en-CA"/>
        </w:rPr>
        <w:t xml:space="preserve">The appellant submits that there is such a ground in this case, namely, social condition, which includes the fact that he is a </w:t>
      </w:r>
      <w:r w:rsidR="001B77B8">
        <w:rPr>
          <w:lang w:val="en-CA"/>
        </w:rPr>
        <w:t xml:space="preserve">recipient </w:t>
      </w:r>
      <w:r w:rsidRPr="00E20A08">
        <w:rPr>
          <w:lang w:val="en-CA"/>
        </w:rPr>
        <w:t>of last resort financial assistance or another similar form of government assistance.</w:t>
      </w:r>
      <w:r w:rsidR="006979E7" w:rsidRPr="00E20A08">
        <w:rPr>
          <w:lang w:val="en-CA"/>
        </w:rPr>
        <w:t xml:space="preserve"> </w:t>
      </w:r>
      <w:bookmarkEnd w:id="30"/>
      <w:r w:rsidRPr="00E20A08">
        <w:rPr>
          <w:lang w:val="en-CA"/>
        </w:rPr>
        <w:t>This double claim is at the heart of the debate between the parties.</w:t>
      </w:r>
      <w:r w:rsidR="006979E7" w:rsidRPr="00E20A08">
        <w:rPr>
          <w:lang w:val="en-CA"/>
        </w:rPr>
        <w:t xml:space="preserve"> </w:t>
      </w:r>
    </w:p>
    <w:p w14:paraId="2D8A3A1C" w14:textId="64874D1F" w:rsidR="00640E7F" w:rsidRPr="00E20A08" w:rsidRDefault="00A420AF" w:rsidP="00640E7F">
      <w:pPr>
        <w:pStyle w:val="Paragraphe"/>
        <w:rPr>
          <w:lang w:val="en-CA"/>
        </w:rPr>
      </w:pPr>
      <w:bookmarkStart w:id="31" w:name="_Ref73359284"/>
      <w:r w:rsidRPr="00E20A08">
        <w:rPr>
          <w:lang w:val="en-CA"/>
        </w:rPr>
        <w:t xml:space="preserve">It goes without saying </w:t>
      </w:r>
      <w:r w:rsidR="009216B9">
        <w:rPr>
          <w:lang w:val="en-CA"/>
        </w:rPr>
        <w:t>–</w:t>
      </w:r>
      <w:r w:rsidRPr="00E20A08">
        <w:rPr>
          <w:lang w:val="en-CA"/>
        </w:rPr>
        <w:t xml:space="preserve"> because it is clearly spelled out by the legislature </w:t>
      </w:r>
      <w:r w:rsidR="009216B9">
        <w:rPr>
          <w:lang w:val="en-CA"/>
        </w:rPr>
        <w:t>–</w:t>
      </w:r>
      <w:r w:rsidRPr="00E20A08">
        <w:rPr>
          <w:lang w:val="en-CA"/>
        </w:rPr>
        <w:t xml:space="preserve"> that “social condition / </w:t>
      </w:r>
      <w:r w:rsidRPr="000D6E6E">
        <w:rPr>
          <w:i/>
          <w:iCs/>
          <w:lang w:val="en-CA"/>
        </w:rPr>
        <w:t>condition</w:t>
      </w:r>
      <w:r w:rsidRPr="00E20A08">
        <w:rPr>
          <w:lang w:val="en-CA"/>
        </w:rPr>
        <w:t xml:space="preserve"> </w:t>
      </w:r>
      <w:proofErr w:type="spellStart"/>
      <w:r w:rsidRPr="000D6E6E">
        <w:rPr>
          <w:i/>
          <w:iCs/>
          <w:lang w:val="en-CA"/>
        </w:rPr>
        <w:t>sociale</w:t>
      </w:r>
      <w:proofErr w:type="spellEnd"/>
      <w:r w:rsidRPr="00E20A08">
        <w:rPr>
          <w:lang w:val="en-CA"/>
        </w:rPr>
        <w:t xml:space="preserve">” is a prohibited ground under </w:t>
      </w:r>
      <w:r w:rsidR="006C5BE4">
        <w:rPr>
          <w:lang w:val="en-CA"/>
        </w:rPr>
        <w:t>s.</w:t>
      </w:r>
      <w:r w:rsidR="006979E7" w:rsidRPr="00E20A08">
        <w:rPr>
          <w:lang w:val="en-CA"/>
        </w:rPr>
        <w:t xml:space="preserve"> </w:t>
      </w:r>
      <w:r w:rsidRPr="00E20A08">
        <w:rPr>
          <w:lang w:val="en-CA"/>
        </w:rPr>
        <w:t xml:space="preserve">10 of the </w:t>
      </w:r>
      <w:r w:rsidRPr="009216B9">
        <w:rPr>
          <w:i/>
          <w:iCs/>
          <w:lang w:val="en-CA"/>
        </w:rPr>
        <w:t>Quebec</w:t>
      </w:r>
      <w:r w:rsidRPr="00E20A08">
        <w:rPr>
          <w:lang w:val="en-CA"/>
        </w:rPr>
        <w:t xml:space="preserve"> </w:t>
      </w:r>
      <w:r w:rsidRPr="009216B9">
        <w:rPr>
          <w:i/>
          <w:iCs/>
          <w:lang w:val="en-CA"/>
        </w:rPr>
        <w:t>Charter</w:t>
      </w:r>
      <w:r w:rsidRPr="00E20A08">
        <w:rPr>
          <w:lang w:val="en-CA"/>
        </w:rPr>
        <w:t>.</w:t>
      </w:r>
      <w:r w:rsidR="006979E7" w:rsidRPr="00E20A08">
        <w:rPr>
          <w:lang w:val="en-CA"/>
        </w:rPr>
        <w:t xml:space="preserve"> </w:t>
      </w:r>
      <w:r w:rsidRPr="00E20A08">
        <w:rPr>
          <w:lang w:val="en-CA"/>
        </w:rPr>
        <w:t>The legislature does not specify what it means by this term, however, and leave</w:t>
      </w:r>
      <w:r w:rsidR="00F0780A">
        <w:rPr>
          <w:lang w:val="en-CA"/>
        </w:rPr>
        <w:t>s</w:t>
      </w:r>
      <w:r w:rsidRPr="00E20A08">
        <w:rPr>
          <w:lang w:val="en-CA"/>
        </w:rPr>
        <w:t xml:space="preserve"> this task to the courts.</w:t>
      </w:r>
      <w:r w:rsidR="006979E7" w:rsidRPr="00E20A08">
        <w:rPr>
          <w:lang w:val="en-CA"/>
        </w:rPr>
        <w:t xml:space="preserve"> </w:t>
      </w:r>
      <w:bookmarkEnd w:id="31"/>
      <w:r w:rsidRPr="00E20A08">
        <w:rPr>
          <w:lang w:val="en-CA"/>
        </w:rPr>
        <w:t xml:space="preserve">As long ago as 1978, </w:t>
      </w:r>
      <w:proofErr w:type="spellStart"/>
      <w:r w:rsidRPr="00E20A08">
        <w:rPr>
          <w:lang w:val="en-CA"/>
        </w:rPr>
        <w:t>Tôth</w:t>
      </w:r>
      <w:proofErr w:type="spellEnd"/>
      <w:r w:rsidRPr="00E20A08">
        <w:rPr>
          <w:lang w:val="en-CA"/>
        </w:rPr>
        <w:t xml:space="preserve"> J. of the Superior Court </w:t>
      </w:r>
      <w:r w:rsidR="00ED2690" w:rsidRPr="00E20A08">
        <w:rPr>
          <w:lang w:val="en-CA"/>
        </w:rPr>
        <w:t>proposed</w:t>
      </w:r>
      <w:r w:rsidRPr="00E20A08">
        <w:rPr>
          <w:lang w:val="en-CA"/>
        </w:rPr>
        <w:t xml:space="preserve"> the following definition, which has been generally approved by Quebec case law and our Court in particular:</w:t>
      </w:r>
    </w:p>
    <w:p w14:paraId="503D3964" w14:textId="6AEE259B" w:rsidR="00F0780A" w:rsidRDefault="00F0780A" w:rsidP="00640E7F">
      <w:pPr>
        <w:pStyle w:val="Citationenretrait"/>
        <w:rPr>
          <w:lang w:val="en-CA"/>
        </w:rPr>
      </w:pPr>
      <w:r>
        <w:rPr>
          <w:lang w:val="en-CA"/>
        </w:rPr>
        <w:t>[</w:t>
      </w:r>
      <w:r w:rsidRPr="00F0780A">
        <w:rPr>
          <w:smallCaps/>
          <w:lang w:val="en-CA"/>
        </w:rPr>
        <w:t>translation</w:t>
      </w:r>
      <w:r>
        <w:rPr>
          <w:smallCaps/>
          <w:lang w:val="en-CA"/>
        </w:rPr>
        <w:t>]</w:t>
      </w:r>
    </w:p>
    <w:p w14:paraId="2AE41B8A" w14:textId="35A684B1" w:rsidR="00640E7F" w:rsidRPr="00E20A08" w:rsidRDefault="00A420AF" w:rsidP="00640E7F">
      <w:pPr>
        <w:pStyle w:val="Citationenretrait"/>
        <w:rPr>
          <w:lang w:val="en-CA"/>
        </w:rPr>
      </w:pPr>
      <w:r w:rsidRPr="00E20A08">
        <w:rPr>
          <w:lang w:val="en-CA"/>
        </w:rPr>
        <w:t>...in common parlance, [</w:t>
      </w:r>
      <w:r w:rsidRPr="00F0780A">
        <w:rPr>
          <w:smallCaps/>
          <w:lang w:val="en-CA"/>
        </w:rPr>
        <w:t>translation</w:t>
      </w:r>
      <w:r w:rsidRPr="00E20A08">
        <w:rPr>
          <w:lang w:val="en-CA"/>
        </w:rPr>
        <w:t>] “social condition” refers to the rank, place, or position occupied by an individual in society – by birth, income, level of education, or occupation – or to all the circumstances and events that cause a person or group to occupy such a situation or position in society.</w:t>
      </w:r>
      <w:r w:rsidR="006979E7" w:rsidRPr="00E20A08">
        <w:rPr>
          <w:lang w:val="en-CA"/>
        </w:rPr>
        <w:t xml:space="preserve"> </w:t>
      </w:r>
      <w:r w:rsidRPr="00E20A08">
        <w:rPr>
          <w:lang w:val="en-CA"/>
        </w:rPr>
        <w:t>The Court agrees with this proposition.</w:t>
      </w:r>
      <w:r w:rsidR="006979E7" w:rsidRPr="00E20A08">
        <w:rPr>
          <w:rStyle w:val="Appelnotedebasdep"/>
          <w:lang w:val="en-CA"/>
        </w:rPr>
        <w:footnoteReference w:id="53"/>
      </w:r>
    </w:p>
    <w:p w14:paraId="0C014F08" w14:textId="298484F7" w:rsidR="00640E7F" w:rsidRPr="00E20A08" w:rsidRDefault="00A420AF" w:rsidP="00640E7F">
      <w:pPr>
        <w:pStyle w:val="Paragraphe"/>
        <w:rPr>
          <w:lang w:val="en-CA"/>
        </w:rPr>
      </w:pPr>
      <w:r w:rsidRPr="00E20A08">
        <w:rPr>
          <w:lang w:val="en-CA"/>
        </w:rPr>
        <w:t xml:space="preserve">In the guidelines it adopted in this respect in 1995, the Commission des droits de la </w:t>
      </w:r>
      <w:proofErr w:type="spellStart"/>
      <w:r w:rsidRPr="00E20A08">
        <w:rPr>
          <w:lang w:val="en-CA"/>
        </w:rPr>
        <w:t>personne</w:t>
      </w:r>
      <w:proofErr w:type="spellEnd"/>
      <w:r w:rsidRPr="00E20A08">
        <w:rPr>
          <w:lang w:val="en-CA"/>
        </w:rPr>
        <w:t xml:space="preserve"> et des droits de la jeunesse defined social condition and its indicators, basing itself </w:t>
      </w:r>
      <w:proofErr w:type="gramStart"/>
      <w:r w:rsidRPr="00E20A08">
        <w:rPr>
          <w:lang w:val="en-CA"/>
        </w:rPr>
        <w:t>in particular on</w:t>
      </w:r>
      <w:proofErr w:type="gramEnd"/>
      <w:r w:rsidRPr="00E20A08">
        <w:rPr>
          <w:lang w:val="en-CA"/>
        </w:rPr>
        <w:t xml:space="preserve"> the case law of the Human Rights Tribunal:</w:t>
      </w:r>
      <w:r w:rsidR="006979E7" w:rsidRPr="00E20A08">
        <w:rPr>
          <w:lang w:val="en-CA"/>
        </w:rPr>
        <w:t xml:space="preserve"> </w:t>
      </w:r>
    </w:p>
    <w:p w14:paraId="6A7FA840" w14:textId="1C35675F" w:rsidR="0096430C" w:rsidRDefault="0096430C" w:rsidP="00640E7F">
      <w:pPr>
        <w:pStyle w:val="Citationenretrait"/>
        <w:rPr>
          <w:lang w:val="en-CA"/>
        </w:rPr>
      </w:pPr>
      <w:r>
        <w:rPr>
          <w:lang w:val="en-CA"/>
        </w:rPr>
        <w:t>[</w:t>
      </w:r>
      <w:r w:rsidRPr="0096430C">
        <w:rPr>
          <w:smallCaps/>
          <w:lang w:val="en-CA"/>
        </w:rPr>
        <w:t>translation</w:t>
      </w:r>
      <w:r>
        <w:rPr>
          <w:lang w:val="en-CA"/>
        </w:rPr>
        <w:t>]</w:t>
      </w:r>
    </w:p>
    <w:p w14:paraId="2941ADD7" w14:textId="2058D1E9" w:rsidR="00640E7F" w:rsidRPr="00E20A08" w:rsidRDefault="0096430C" w:rsidP="00640E7F">
      <w:pPr>
        <w:pStyle w:val="Citationenretrait"/>
        <w:rPr>
          <w:lang w:val="en-CA"/>
        </w:rPr>
      </w:pPr>
      <w:r>
        <w:rPr>
          <w:lang w:val="en-CA"/>
        </w:rPr>
        <w:t xml:space="preserve">The </w:t>
      </w:r>
      <w:r w:rsidR="00A420AF" w:rsidRPr="00E20A08">
        <w:rPr>
          <w:lang w:val="en-CA"/>
        </w:rPr>
        <w:t>new propos</w:t>
      </w:r>
      <w:r w:rsidR="00DC06D6">
        <w:rPr>
          <w:lang w:val="en-CA"/>
        </w:rPr>
        <w:t xml:space="preserve">al for </w:t>
      </w:r>
      <w:r w:rsidR="00A420AF" w:rsidRPr="00E20A08">
        <w:rPr>
          <w:lang w:val="en-CA"/>
        </w:rPr>
        <w:t>guidelines run</w:t>
      </w:r>
      <w:r w:rsidR="00DC06D6">
        <w:rPr>
          <w:lang w:val="en-CA"/>
        </w:rPr>
        <w:t>s</w:t>
      </w:r>
      <w:r w:rsidR="00A420AF" w:rsidRPr="00E20A08">
        <w:rPr>
          <w:lang w:val="en-CA"/>
        </w:rPr>
        <w:t xml:space="preserve"> along the same continuum as the current guidelines.</w:t>
      </w:r>
      <w:r w:rsidR="006979E7" w:rsidRPr="00E20A08">
        <w:rPr>
          <w:lang w:val="en-CA"/>
        </w:rPr>
        <w:t xml:space="preserve"> </w:t>
      </w:r>
      <w:r w:rsidR="00A420AF" w:rsidRPr="00E20A08">
        <w:rPr>
          <w:lang w:val="en-CA"/>
        </w:rPr>
        <w:t xml:space="preserve">It </w:t>
      </w:r>
      <w:r w:rsidR="00DC06D6">
        <w:rPr>
          <w:lang w:val="en-CA"/>
        </w:rPr>
        <w:t xml:space="preserve">is based on </w:t>
      </w:r>
      <w:r w:rsidR="00A420AF" w:rsidRPr="00E20A08">
        <w:rPr>
          <w:lang w:val="en-CA"/>
        </w:rPr>
        <w:t>three premises: (1) social condition refers to [</w:t>
      </w:r>
      <w:r w:rsidR="00A420AF" w:rsidRPr="0096430C">
        <w:rPr>
          <w:smallCaps/>
          <w:lang w:val="en-CA"/>
        </w:rPr>
        <w:t>translation</w:t>
      </w:r>
      <w:r w:rsidR="00A420AF" w:rsidRPr="00E20A08">
        <w:rPr>
          <w:lang w:val="en-CA"/>
        </w:rPr>
        <w:t>] “the rank, place, or position occupied by an individual in society</w:t>
      </w:r>
      <w:r w:rsidR="00DF19AA">
        <w:rPr>
          <w:lang w:val="en-CA"/>
        </w:rPr>
        <w:t xml:space="preserve"> [</w:t>
      </w:r>
      <w:r w:rsidR="00A54818">
        <w:rPr>
          <w:lang w:val="en-CA"/>
        </w:rPr>
        <w:t xml:space="preserve">citation </w:t>
      </w:r>
      <w:r w:rsidR="00DF19AA">
        <w:rPr>
          <w:lang w:val="en-CA"/>
        </w:rPr>
        <w:t>omitted]…</w:t>
      </w:r>
      <w:r w:rsidR="00A420AF" w:rsidRPr="00E20A08">
        <w:rPr>
          <w:lang w:val="en-CA"/>
        </w:rPr>
        <w:t>”</w:t>
      </w:r>
      <w:r w:rsidR="00DF19AA">
        <w:rPr>
          <w:lang w:val="en-CA"/>
        </w:rPr>
        <w:t>;</w:t>
      </w:r>
      <w:r w:rsidR="006979E7" w:rsidRPr="00E20A08">
        <w:rPr>
          <w:lang w:val="en-CA"/>
        </w:rPr>
        <w:t> </w:t>
      </w:r>
      <w:r w:rsidR="00A420AF" w:rsidRPr="00E20A08">
        <w:rPr>
          <w:lang w:val="en-CA"/>
        </w:rPr>
        <w:t xml:space="preserve">(2) a person’s education, occupation, and income, among </w:t>
      </w:r>
      <w:r w:rsidR="00A420AF" w:rsidRPr="00E20A08">
        <w:rPr>
          <w:lang w:val="en-CA"/>
        </w:rPr>
        <w:lastRenderedPageBreak/>
        <w:t xml:space="preserve">other criteria, </w:t>
      </w:r>
      <w:r w:rsidR="00DF19AA">
        <w:rPr>
          <w:lang w:val="en-CA"/>
        </w:rPr>
        <w:t>help to determine</w:t>
      </w:r>
      <w:r w:rsidR="00A420AF" w:rsidRPr="00E20A08">
        <w:rPr>
          <w:lang w:val="en-CA"/>
        </w:rPr>
        <w:t xml:space="preserve"> their social condition; (3) social condition is not an inherent characteristic of individuals; it is attributed based on characteristics possessed by or attributed to the person.</w:t>
      </w:r>
      <w:r w:rsidR="006979E7" w:rsidRPr="00E20A08">
        <w:rPr>
          <w:lang w:val="en-CA"/>
        </w:rPr>
        <w:t xml:space="preserve"> </w:t>
      </w:r>
      <w:r w:rsidR="00A420AF" w:rsidRPr="00E20A08">
        <w:rPr>
          <w:lang w:val="en-CA"/>
        </w:rPr>
        <w:t xml:space="preserve">Social condition therefore includes an </w:t>
      </w:r>
      <w:r w:rsidR="00A420AF" w:rsidRPr="0081742E">
        <w:rPr>
          <w:b/>
          <w:bCs/>
          <w:lang w:val="en-CA"/>
        </w:rPr>
        <w:t>objective aspect</w:t>
      </w:r>
      <w:r w:rsidR="00A420AF" w:rsidRPr="00E20A08">
        <w:rPr>
          <w:lang w:val="en-CA"/>
        </w:rPr>
        <w:t xml:space="preserve"> referring to an identifiable if not measurable socioeconomic characteristic </w:t>
      </w:r>
      <w:proofErr w:type="gramStart"/>
      <w:r w:rsidR="00A420AF" w:rsidRPr="00E20A08">
        <w:rPr>
          <w:lang w:val="en-CA"/>
        </w:rPr>
        <w:t>on the basis of</w:t>
      </w:r>
      <w:proofErr w:type="gramEnd"/>
      <w:r w:rsidR="00A420AF" w:rsidRPr="00E20A08">
        <w:rPr>
          <w:lang w:val="en-CA"/>
        </w:rPr>
        <w:t xml:space="preserve"> which the attribution is made, and a subjective aspect determining the value judgment underlying the attribution.</w:t>
      </w:r>
      <w:r w:rsidR="006979E7" w:rsidRPr="00E20A08">
        <w:rPr>
          <w:lang w:val="en-CA"/>
        </w:rPr>
        <w:t xml:space="preserve"> …</w:t>
      </w:r>
    </w:p>
    <w:p w14:paraId="57B6D2F7" w14:textId="38698EA6" w:rsidR="00640E7F" w:rsidRPr="00E20A08" w:rsidRDefault="006979E7" w:rsidP="00640E7F">
      <w:pPr>
        <w:pStyle w:val="Citationenretrait"/>
        <w:rPr>
          <w:lang w:val="en-CA"/>
        </w:rPr>
      </w:pPr>
      <w:r w:rsidRPr="00E20A08">
        <w:rPr>
          <w:lang w:val="en-CA"/>
        </w:rPr>
        <w:t>…</w:t>
      </w:r>
    </w:p>
    <w:p w14:paraId="1BC840F9" w14:textId="16C01696" w:rsidR="00640E7F" w:rsidRPr="00E20A08" w:rsidRDefault="00A420AF" w:rsidP="00640E7F">
      <w:pPr>
        <w:pStyle w:val="Citationenretrait"/>
        <w:numPr>
          <w:ilvl w:val="0"/>
          <w:numId w:val="20"/>
        </w:numPr>
        <w:rPr>
          <w:lang w:val="en-CA"/>
        </w:rPr>
      </w:pPr>
      <w:r w:rsidRPr="00E20A08">
        <w:rPr>
          <w:lang w:val="en-CA"/>
        </w:rPr>
        <w:t xml:space="preserve">The </w:t>
      </w:r>
      <w:r w:rsidRPr="00DA549A">
        <w:rPr>
          <w:b/>
          <w:bCs/>
          <w:lang w:val="en-CA"/>
        </w:rPr>
        <w:t>objective</w:t>
      </w:r>
      <w:r w:rsidRPr="00E20A08">
        <w:rPr>
          <w:lang w:val="en-CA"/>
        </w:rPr>
        <w:t xml:space="preserve"> aspect refers to economic class</w:t>
      </w:r>
      <w:proofErr w:type="gramStart"/>
      <w:r w:rsidRPr="00E20A08">
        <w:rPr>
          <w:lang w:val="en-CA"/>
        </w:rPr>
        <w:t>, that is</w:t>
      </w:r>
      <w:r w:rsidR="00265A04">
        <w:rPr>
          <w:lang w:val="en-CA"/>
        </w:rPr>
        <w:t xml:space="preserve"> to say</w:t>
      </w:r>
      <w:r w:rsidRPr="00E20A08">
        <w:rPr>
          <w:lang w:val="en-CA"/>
        </w:rPr>
        <w:t>, society</w:t>
      </w:r>
      <w:proofErr w:type="gramEnd"/>
      <w:r w:rsidRPr="00E20A08">
        <w:rPr>
          <w:lang w:val="en-CA"/>
        </w:rPr>
        <w:t xml:space="preserve"> as a configuration of hierarchical, distinct, and opposable categories (economic “classes”) into which individuals are classified based on the market power indicated by their income, occupation, or education.</w:t>
      </w:r>
    </w:p>
    <w:p w14:paraId="6C7151DE" w14:textId="24821D09" w:rsidR="00640E7F" w:rsidRPr="00E20A08" w:rsidRDefault="00A420AF" w:rsidP="00640E7F">
      <w:pPr>
        <w:pStyle w:val="Citationenretrait"/>
        <w:numPr>
          <w:ilvl w:val="0"/>
          <w:numId w:val="20"/>
        </w:numPr>
        <w:rPr>
          <w:lang w:val="en-CA"/>
        </w:rPr>
      </w:pPr>
      <w:bookmarkStart w:id="32" w:name="_Ref72507527"/>
      <w:r w:rsidRPr="00E20A08">
        <w:rPr>
          <w:lang w:val="en-CA"/>
        </w:rPr>
        <w:t xml:space="preserve">The </w:t>
      </w:r>
      <w:r w:rsidRPr="00DA549A">
        <w:rPr>
          <w:b/>
          <w:bCs/>
          <w:lang w:val="en-CA"/>
        </w:rPr>
        <w:t>subjective</w:t>
      </w:r>
      <w:r w:rsidRPr="00E20A08">
        <w:rPr>
          <w:lang w:val="en-CA"/>
        </w:rPr>
        <w:t xml:space="preserve"> aspect refers to status</w:t>
      </w:r>
      <w:proofErr w:type="gramStart"/>
      <w:r w:rsidRPr="00E20A08">
        <w:rPr>
          <w:lang w:val="en-CA"/>
        </w:rPr>
        <w:t>, that is</w:t>
      </w:r>
      <w:r w:rsidR="00286047">
        <w:rPr>
          <w:lang w:val="en-CA"/>
        </w:rPr>
        <w:t xml:space="preserve"> to say</w:t>
      </w:r>
      <w:r w:rsidRPr="00E20A08">
        <w:rPr>
          <w:lang w:val="en-CA"/>
        </w:rPr>
        <w:t>, the</w:t>
      </w:r>
      <w:proofErr w:type="gramEnd"/>
      <w:r w:rsidRPr="00E20A08">
        <w:rPr>
          <w:lang w:val="en-CA"/>
        </w:rPr>
        <w:t xml:space="preserve"> value assigned to individuals on the basis of social representation, negative or positive stereotypes associated with, </w:t>
      </w:r>
      <w:r w:rsidR="00286047" w:rsidRPr="00286047">
        <w:rPr>
          <w:i/>
          <w:iCs/>
          <w:lang w:val="en-CA"/>
        </w:rPr>
        <w:t>inter</w:t>
      </w:r>
      <w:r w:rsidR="00286047">
        <w:rPr>
          <w:lang w:val="en-CA"/>
        </w:rPr>
        <w:t xml:space="preserve"> </w:t>
      </w:r>
      <w:r w:rsidR="00286047" w:rsidRPr="00286047">
        <w:rPr>
          <w:i/>
          <w:iCs/>
          <w:lang w:val="en-CA"/>
        </w:rPr>
        <w:t>alia</w:t>
      </w:r>
      <w:r w:rsidR="00286047">
        <w:rPr>
          <w:lang w:val="en-CA"/>
        </w:rPr>
        <w:t>,</w:t>
      </w:r>
      <w:r w:rsidRPr="00E20A08">
        <w:rPr>
          <w:lang w:val="en-CA"/>
        </w:rPr>
        <w:t xml:space="preserve"> their education, their occupation, or their income</w:t>
      </w:r>
      <w:r w:rsidR="00286047">
        <w:rPr>
          <w:lang w:val="en-CA"/>
        </w:rPr>
        <w:t>.</w:t>
      </w:r>
      <w:r w:rsidRPr="00E20A08">
        <w:rPr>
          <w:lang w:val="en-CA"/>
        </w:rPr>
        <w:t xml:space="preserve"> [citation omitted]</w:t>
      </w:r>
      <w:r w:rsidR="006979E7" w:rsidRPr="00E20A08">
        <w:rPr>
          <w:rStyle w:val="Appelnotedebasdep"/>
          <w:lang w:val="en-CA"/>
        </w:rPr>
        <w:footnoteReference w:id="54"/>
      </w:r>
      <w:bookmarkEnd w:id="32"/>
      <w:r w:rsidR="006979E7" w:rsidRPr="00E20A08">
        <w:rPr>
          <w:lang w:val="en-CA"/>
        </w:rPr>
        <w:t xml:space="preserve"> </w:t>
      </w:r>
    </w:p>
    <w:p w14:paraId="525EA171" w14:textId="319281FC" w:rsidR="00640E7F" w:rsidRPr="00E20A08" w:rsidRDefault="00A420AF" w:rsidP="00640E7F">
      <w:pPr>
        <w:pStyle w:val="Paragraphe"/>
        <w:rPr>
          <w:lang w:val="en-CA"/>
        </w:rPr>
      </w:pPr>
      <w:r w:rsidRPr="00E20A08">
        <w:rPr>
          <w:lang w:val="en-CA"/>
        </w:rPr>
        <w:lastRenderedPageBreak/>
        <w:t>Quite recently, this Court reiterated and confirmed this vision of social condition.</w:t>
      </w:r>
      <w:bookmarkStart w:id="33" w:name="_Ref72571155"/>
      <w:r w:rsidRPr="00E20A08">
        <w:rPr>
          <w:rStyle w:val="Appelnotedebasdep"/>
          <w:lang w:val="en-CA"/>
        </w:rPr>
        <w:t xml:space="preserve"> </w:t>
      </w:r>
      <w:r w:rsidRPr="00E20A08">
        <w:rPr>
          <w:rStyle w:val="Appelnotedebasdep"/>
          <w:lang w:val="en-CA"/>
        </w:rPr>
        <w:footnoteReference w:id="55"/>
      </w:r>
      <w:bookmarkEnd w:id="33"/>
    </w:p>
    <w:p w14:paraId="13644631" w14:textId="3A841D6E" w:rsidR="00640E7F" w:rsidRPr="00E20A08" w:rsidRDefault="00A420AF" w:rsidP="00640E7F">
      <w:pPr>
        <w:pStyle w:val="Paragraphe"/>
        <w:rPr>
          <w:lang w:val="en-CA"/>
        </w:rPr>
      </w:pPr>
      <w:r w:rsidRPr="00E20A08">
        <w:rPr>
          <w:lang w:val="en-CA"/>
        </w:rPr>
        <w:t xml:space="preserve">Although the concept </w:t>
      </w:r>
      <w:r w:rsidR="00A2250D">
        <w:rPr>
          <w:lang w:val="en-CA"/>
        </w:rPr>
        <w:t xml:space="preserve">need not be defined </w:t>
      </w:r>
      <w:r w:rsidRPr="00E20A08">
        <w:rPr>
          <w:lang w:val="en-CA"/>
        </w:rPr>
        <w:t xml:space="preserve">exhaustively, it can certainly be said that the fact that he is the </w:t>
      </w:r>
      <w:r w:rsidR="001B77B8">
        <w:rPr>
          <w:lang w:val="en-CA"/>
        </w:rPr>
        <w:t>recipient</w:t>
      </w:r>
      <w:r w:rsidR="001B77B8" w:rsidRPr="00E20A08">
        <w:rPr>
          <w:lang w:val="en-CA"/>
        </w:rPr>
        <w:t xml:space="preserve"> </w:t>
      </w:r>
      <w:r w:rsidRPr="00E20A08">
        <w:rPr>
          <w:lang w:val="en-CA"/>
        </w:rPr>
        <w:t xml:space="preserve">of financial support like that </w:t>
      </w:r>
      <w:r w:rsidR="00ED2690" w:rsidRPr="00E20A08">
        <w:rPr>
          <w:lang w:val="en-CA"/>
        </w:rPr>
        <w:t>offered</w:t>
      </w:r>
      <w:r w:rsidRPr="00E20A08">
        <w:rPr>
          <w:lang w:val="en-CA"/>
        </w:rPr>
        <w:t xml:space="preserve"> under the </w:t>
      </w:r>
      <w:r w:rsidR="00286047" w:rsidRPr="00286047">
        <w:rPr>
          <w:i/>
          <w:iCs/>
          <w:lang w:val="en-CA"/>
        </w:rPr>
        <w:t>Individual</w:t>
      </w:r>
      <w:r w:rsidRPr="00286047">
        <w:rPr>
          <w:i/>
          <w:iCs/>
          <w:lang w:val="en-CA"/>
        </w:rPr>
        <w:t xml:space="preserve"> and </w:t>
      </w:r>
      <w:r w:rsidR="00286047" w:rsidRPr="00286047">
        <w:rPr>
          <w:i/>
          <w:iCs/>
          <w:lang w:val="en-CA"/>
        </w:rPr>
        <w:t>F</w:t>
      </w:r>
      <w:r w:rsidRPr="00286047">
        <w:rPr>
          <w:i/>
          <w:iCs/>
          <w:lang w:val="en-CA"/>
        </w:rPr>
        <w:t xml:space="preserve">amily </w:t>
      </w:r>
      <w:r w:rsidR="00286047" w:rsidRPr="00286047">
        <w:rPr>
          <w:i/>
          <w:iCs/>
          <w:lang w:val="en-CA"/>
        </w:rPr>
        <w:t>A</w:t>
      </w:r>
      <w:r w:rsidRPr="00286047">
        <w:rPr>
          <w:i/>
          <w:iCs/>
          <w:lang w:val="en-CA"/>
        </w:rPr>
        <w:t>ssistance Act</w:t>
      </w:r>
      <w:r w:rsidRPr="00E20A08">
        <w:rPr>
          <w:lang w:val="en-CA"/>
        </w:rPr>
        <w:t xml:space="preserve"> (support that is granted under </w:t>
      </w:r>
      <w:r w:rsidR="006C5BE4">
        <w:rPr>
          <w:lang w:val="en-CA"/>
        </w:rPr>
        <w:t>s.</w:t>
      </w:r>
      <w:r w:rsidR="006979E7" w:rsidRPr="00E20A08">
        <w:rPr>
          <w:lang w:val="en-CA"/>
        </w:rPr>
        <w:t xml:space="preserve"> </w:t>
      </w:r>
      <w:r w:rsidRPr="00E20A08">
        <w:rPr>
          <w:lang w:val="en-CA"/>
        </w:rPr>
        <w:t xml:space="preserve">45 of the </w:t>
      </w:r>
      <w:r w:rsidRPr="00A2250D">
        <w:rPr>
          <w:i/>
          <w:iCs/>
          <w:lang w:val="en-CA"/>
        </w:rPr>
        <w:t>Quebec</w:t>
      </w:r>
      <w:r w:rsidRPr="00E20A08">
        <w:rPr>
          <w:lang w:val="en-CA"/>
        </w:rPr>
        <w:t xml:space="preserve"> </w:t>
      </w:r>
      <w:r w:rsidRPr="00A2250D">
        <w:rPr>
          <w:i/>
          <w:iCs/>
          <w:lang w:val="en-CA"/>
        </w:rPr>
        <w:t>C</w:t>
      </w:r>
      <w:r w:rsidR="00A2250D" w:rsidRPr="00A2250D">
        <w:rPr>
          <w:i/>
          <w:iCs/>
          <w:lang w:val="en-CA"/>
        </w:rPr>
        <w:t>h</w:t>
      </w:r>
      <w:r w:rsidRPr="00A2250D">
        <w:rPr>
          <w:i/>
          <w:iCs/>
          <w:lang w:val="en-CA"/>
        </w:rPr>
        <w:t>arter</w:t>
      </w:r>
      <w:r w:rsidRPr="00E20A08">
        <w:rPr>
          <w:lang w:val="en-CA"/>
        </w:rPr>
        <w:t xml:space="preserve">, </w:t>
      </w:r>
      <w:r w:rsidR="00A54818">
        <w:rPr>
          <w:lang w:val="en-CA"/>
        </w:rPr>
        <w:t>in the chapter</w:t>
      </w:r>
      <w:r w:rsidR="00A54818" w:rsidRPr="00E20A08">
        <w:rPr>
          <w:lang w:val="en-CA"/>
        </w:rPr>
        <w:t xml:space="preserve"> </w:t>
      </w:r>
      <w:r w:rsidR="00657811">
        <w:rPr>
          <w:lang w:val="en-CA"/>
        </w:rPr>
        <w:t xml:space="preserve">on </w:t>
      </w:r>
      <w:r w:rsidRPr="00E20A08">
        <w:rPr>
          <w:lang w:val="en-CA"/>
        </w:rPr>
        <w:t>economic and social rights) is a strong sign (if not to say a stigma) of social condition.</w:t>
      </w:r>
      <w:r w:rsidR="006979E7" w:rsidRPr="00E20A08">
        <w:rPr>
          <w:lang w:val="en-CA"/>
        </w:rPr>
        <w:t xml:space="preserve"> </w:t>
      </w:r>
      <w:r w:rsidRPr="00E20A08">
        <w:rPr>
          <w:lang w:val="en-CA"/>
        </w:rPr>
        <w:t xml:space="preserve">Furthermore, this has already been </w:t>
      </w:r>
      <w:r w:rsidR="00ED2690" w:rsidRPr="00E20A08">
        <w:rPr>
          <w:lang w:val="en-CA"/>
        </w:rPr>
        <w:t>recognized</w:t>
      </w:r>
      <w:r w:rsidRPr="00E20A08">
        <w:rPr>
          <w:lang w:val="en-CA"/>
        </w:rPr>
        <w:t xml:space="preserve"> by this Court, </w:t>
      </w:r>
      <w:proofErr w:type="gramStart"/>
      <w:r w:rsidRPr="00E20A08">
        <w:rPr>
          <w:lang w:val="en-CA"/>
        </w:rPr>
        <w:t>in particular in</w:t>
      </w:r>
      <w:proofErr w:type="gramEnd"/>
      <w:r w:rsidRPr="00E20A08">
        <w:rPr>
          <w:lang w:val="en-CA"/>
        </w:rPr>
        <w:t xml:space="preserve"> </w:t>
      </w:r>
      <w:r w:rsidRPr="00A2250D">
        <w:rPr>
          <w:i/>
          <w:iCs/>
          <w:lang w:val="en-CA"/>
        </w:rPr>
        <w:t>Quebec (Attorney General) c. Lambert</w:t>
      </w:r>
      <w:r w:rsidRPr="00E20A08">
        <w:rPr>
          <w:lang w:val="en-CA"/>
        </w:rPr>
        <w:t>:</w:t>
      </w:r>
      <w:r w:rsidRPr="00E20A08">
        <w:rPr>
          <w:rStyle w:val="Appelnotedebasdep"/>
          <w:lang w:val="en-CA"/>
        </w:rPr>
        <w:footnoteReference w:id="56"/>
      </w:r>
    </w:p>
    <w:p w14:paraId="15AD759E" w14:textId="4ADD9F5E" w:rsidR="009C2E36" w:rsidRDefault="009C2E36" w:rsidP="00640E7F">
      <w:pPr>
        <w:pStyle w:val="Citationenretrait"/>
        <w:rPr>
          <w:lang w:val="en-CA"/>
        </w:rPr>
      </w:pPr>
      <w:r>
        <w:rPr>
          <w:lang w:val="en-CA"/>
        </w:rPr>
        <w:t>[</w:t>
      </w:r>
      <w:r w:rsidRPr="009C2E36">
        <w:rPr>
          <w:smallCaps/>
          <w:lang w:val="en-CA"/>
        </w:rPr>
        <w:t>translation</w:t>
      </w:r>
      <w:r>
        <w:rPr>
          <w:lang w:val="en-CA"/>
        </w:rPr>
        <w:t>]</w:t>
      </w:r>
    </w:p>
    <w:p w14:paraId="08E58CFD" w14:textId="3377F38D" w:rsidR="00640E7F" w:rsidRPr="00E20A08" w:rsidRDefault="006979E7" w:rsidP="00640E7F">
      <w:pPr>
        <w:pStyle w:val="Citationenretrait"/>
        <w:rPr>
          <w:lang w:val="en-CA"/>
        </w:rPr>
      </w:pPr>
      <w:r w:rsidRPr="00E20A08">
        <w:rPr>
          <w:lang w:val="en-CA"/>
        </w:rPr>
        <w:t>[78]</w:t>
      </w:r>
      <w:r w:rsidRPr="00E20A08">
        <w:rPr>
          <w:lang w:val="en-CA"/>
        </w:rPr>
        <w:tab/>
      </w:r>
      <w:r w:rsidR="007A56C0" w:rsidRPr="00E20A08">
        <w:rPr>
          <w:lang w:val="en-CA"/>
        </w:rPr>
        <w:t xml:space="preserve">There is no doubt that the fact that a person is an income security </w:t>
      </w:r>
      <w:r w:rsidR="00B577EE">
        <w:rPr>
          <w:lang w:val="en-CA"/>
        </w:rPr>
        <w:t>recipient</w:t>
      </w:r>
      <w:r w:rsidR="00B577EE" w:rsidRPr="00E20A08">
        <w:rPr>
          <w:lang w:val="en-CA"/>
        </w:rPr>
        <w:t xml:space="preserve"> </w:t>
      </w:r>
      <w:r w:rsidR="007A56C0" w:rsidRPr="00E20A08">
        <w:rPr>
          <w:lang w:val="en-CA"/>
        </w:rPr>
        <w:t>is an integral part of his or her social condition [</w:t>
      </w:r>
      <w:r w:rsidR="00ED2690">
        <w:rPr>
          <w:lang w:val="en-CA"/>
        </w:rPr>
        <w:t>reference</w:t>
      </w:r>
      <w:r w:rsidR="007A56C0" w:rsidRPr="00E20A08">
        <w:rPr>
          <w:lang w:val="en-CA"/>
        </w:rPr>
        <w:t xml:space="preserve"> omitted</w:t>
      </w:r>
      <w:r w:rsidR="00ED2690">
        <w:rPr>
          <w:lang w:val="en-CA"/>
        </w:rPr>
        <w:t>]</w:t>
      </w:r>
    </w:p>
    <w:p w14:paraId="695E6873" w14:textId="7237D97F" w:rsidR="00640E7F" w:rsidRPr="00874FC6" w:rsidRDefault="009C2E36" w:rsidP="00640E7F">
      <w:pPr>
        <w:pStyle w:val="Paragraphe"/>
      </w:pPr>
      <w:r>
        <w:t xml:space="preserve">This Court </w:t>
      </w:r>
      <w:proofErr w:type="spellStart"/>
      <w:r>
        <w:t>also</w:t>
      </w:r>
      <w:proofErr w:type="spellEnd"/>
      <w:r>
        <w:t xml:space="preserve"> </w:t>
      </w:r>
      <w:proofErr w:type="spellStart"/>
      <w:r w:rsidR="007A56C0" w:rsidRPr="00874FC6">
        <w:t>recognized</w:t>
      </w:r>
      <w:proofErr w:type="spellEnd"/>
      <w:r w:rsidR="007A56C0" w:rsidRPr="00874FC6">
        <w:t xml:space="preserve"> </w:t>
      </w:r>
      <w:proofErr w:type="spellStart"/>
      <w:r w:rsidR="007A56C0" w:rsidRPr="00874FC6">
        <w:t>it</w:t>
      </w:r>
      <w:proofErr w:type="spellEnd"/>
      <w:r w:rsidR="007A56C0" w:rsidRPr="00874FC6">
        <w:t xml:space="preserve"> in </w:t>
      </w:r>
      <w:r w:rsidR="007A56C0" w:rsidRPr="00874FC6">
        <w:rPr>
          <w:i/>
        </w:rPr>
        <w:t xml:space="preserve">Aluminerie de Bécancour </w:t>
      </w:r>
      <w:proofErr w:type="spellStart"/>
      <w:r w:rsidR="007A56C0" w:rsidRPr="00874FC6">
        <w:rPr>
          <w:i/>
        </w:rPr>
        <w:t>inc.</w:t>
      </w:r>
      <w:proofErr w:type="spellEnd"/>
      <w:r w:rsidR="007A56C0" w:rsidRPr="00874FC6">
        <w:rPr>
          <w:i/>
        </w:rPr>
        <w:t xml:space="preserve"> c. Commission des droits de la personne et des droits de la jeunesse (Beaudry et autres</w:t>
      </w:r>
      <w:r w:rsidR="002C28C1">
        <w:rPr>
          <w:iCs/>
        </w:rPr>
        <w:t>)</w:t>
      </w:r>
      <w:r w:rsidR="007A56C0" w:rsidRPr="00874FC6">
        <w:t>,</w:t>
      </w:r>
      <w:r w:rsidR="007A56C0" w:rsidRPr="00E20A08">
        <w:rPr>
          <w:rStyle w:val="Appelnotedebasdep"/>
          <w:lang w:val="en-CA"/>
        </w:rPr>
        <w:footnoteReference w:id="57"/>
      </w:r>
      <w:r w:rsidR="007A56C0" w:rsidRPr="00874FC6">
        <w:t xml:space="preserve"> per </w:t>
      </w:r>
      <w:proofErr w:type="spellStart"/>
      <w:r w:rsidR="007A56C0" w:rsidRPr="00874FC6">
        <w:t>Thibeault</w:t>
      </w:r>
      <w:proofErr w:type="spellEnd"/>
      <w:r w:rsidR="007A56C0" w:rsidRPr="00874FC6">
        <w:t xml:space="preserve"> and Lévesque</w:t>
      </w:r>
      <w:r w:rsidR="002C28C1">
        <w:t xml:space="preserve"> JJ.</w:t>
      </w:r>
      <w:r w:rsidR="007A56C0" w:rsidRPr="00874FC6">
        <w:t>:</w:t>
      </w:r>
    </w:p>
    <w:p w14:paraId="0EB4F9CA" w14:textId="0F420035" w:rsidR="009C2E36" w:rsidRDefault="009C2E36" w:rsidP="00640E7F">
      <w:pPr>
        <w:pStyle w:val="Citationenretrait"/>
        <w:rPr>
          <w:lang w:val="en-CA"/>
        </w:rPr>
      </w:pPr>
      <w:r>
        <w:rPr>
          <w:lang w:val="en-CA"/>
        </w:rPr>
        <w:t>[</w:t>
      </w:r>
      <w:r w:rsidRPr="009C2E36">
        <w:rPr>
          <w:smallCaps/>
          <w:lang w:val="en-CA"/>
        </w:rPr>
        <w:t>translation</w:t>
      </w:r>
      <w:r>
        <w:rPr>
          <w:lang w:val="en-CA"/>
        </w:rPr>
        <w:t>]</w:t>
      </w:r>
    </w:p>
    <w:p w14:paraId="65D9F9DD" w14:textId="75210475" w:rsidR="00640E7F" w:rsidRPr="00E20A08" w:rsidRDefault="006979E7" w:rsidP="00640E7F">
      <w:pPr>
        <w:pStyle w:val="Citationenretrait"/>
        <w:rPr>
          <w:lang w:val="en-CA"/>
        </w:rPr>
      </w:pPr>
      <w:r w:rsidRPr="00E20A08">
        <w:rPr>
          <w:lang w:val="en-CA"/>
        </w:rPr>
        <w:t>[47]</w:t>
      </w:r>
      <w:r w:rsidRPr="00E20A08">
        <w:rPr>
          <w:lang w:val="en-CA"/>
        </w:rPr>
        <w:tab/>
      </w:r>
      <w:r w:rsidR="007A56C0" w:rsidRPr="00E20A08">
        <w:rPr>
          <w:lang w:val="en-CA"/>
        </w:rPr>
        <w:t>Yet, according to the case law, social condition is the result of characteristics generally attributed to a person because of socio-economic criteria and the underlying idea that the person occupies a lower position due</w:t>
      </w:r>
      <w:proofErr w:type="gramStart"/>
      <w:r w:rsidR="007A56C0" w:rsidRPr="00E20A08">
        <w:rPr>
          <w:lang w:val="en-CA"/>
        </w:rPr>
        <w:t>, in particular, to</w:t>
      </w:r>
      <w:proofErr w:type="gramEnd"/>
      <w:r w:rsidR="007A56C0" w:rsidRPr="00E20A08">
        <w:rPr>
          <w:lang w:val="en-CA"/>
        </w:rPr>
        <w:t xml:space="preserve"> his or her income, </w:t>
      </w:r>
      <w:r w:rsidR="007A56C0" w:rsidRPr="00657811">
        <w:rPr>
          <w:u w:val="single"/>
          <w:lang w:val="en-CA"/>
        </w:rPr>
        <w:t>such as those receiving social assistance</w:t>
      </w:r>
      <w:r w:rsidR="007A56C0" w:rsidRPr="00E20A08">
        <w:rPr>
          <w:lang w:val="en-CA"/>
        </w:rPr>
        <w:t>, students, refugees, etc.</w:t>
      </w:r>
      <w:r w:rsidRPr="00E20A08">
        <w:rPr>
          <w:lang w:val="en-CA"/>
        </w:rPr>
        <w:t xml:space="preserve"> </w:t>
      </w:r>
      <w:r w:rsidR="007A56C0" w:rsidRPr="00E20A08">
        <w:rPr>
          <w:lang w:val="en-CA"/>
        </w:rPr>
        <w:t>Overall, we note that Quebec case law has favoured the protection of various categories of persons who generally – but not always – have as a common denominator a low income or a precarious economic situation.</w:t>
      </w:r>
    </w:p>
    <w:p w14:paraId="76537750" w14:textId="1C8AB0E9" w:rsidR="00640E7F" w:rsidRPr="00E20A08" w:rsidRDefault="006979E7" w:rsidP="00640E7F">
      <w:pPr>
        <w:pStyle w:val="Citationenretrait"/>
        <w:rPr>
          <w:lang w:val="en-CA"/>
        </w:rPr>
      </w:pPr>
      <w:r w:rsidRPr="00E20A08">
        <w:rPr>
          <w:lang w:val="en-CA"/>
        </w:rPr>
        <w:t>…</w:t>
      </w:r>
    </w:p>
    <w:p w14:paraId="7B1524B5" w14:textId="653D88D2" w:rsidR="00640E7F" w:rsidRPr="00E20A08" w:rsidRDefault="006979E7" w:rsidP="00640E7F">
      <w:pPr>
        <w:pStyle w:val="Citationenretrait"/>
        <w:rPr>
          <w:sz w:val="20"/>
          <w:lang w:val="en-CA"/>
        </w:rPr>
      </w:pPr>
      <w:r w:rsidRPr="00E20A08">
        <w:rPr>
          <w:lang w:val="en-CA"/>
        </w:rPr>
        <w:t>[52]</w:t>
      </w:r>
      <w:r w:rsidRPr="00E20A08">
        <w:rPr>
          <w:lang w:val="en-CA"/>
        </w:rPr>
        <w:tab/>
      </w:r>
      <w:r w:rsidR="007A56C0" w:rsidRPr="00E20A08">
        <w:rPr>
          <w:lang w:val="en-CA"/>
        </w:rPr>
        <w:t xml:space="preserve">Applying the definition set out above, it is apparent that students, </w:t>
      </w:r>
      <w:r w:rsidR="007A56C0" w:rsidRPr="00657811">
        <w:rPr>
          <w:u w:val="single"/>
          <w:lang w:val="en-CA"/>
        </w:rPr>
        <w:t>people receiving social assistance</w:t>
      </w:r>
      <w:r w:rsidR="007A56C0" w:rsidRPr="00E20A08">
        <w:rPr>
          <w:lang w:val="en-CA"/>
        </w:rPr>
        <w:t>, refugees, etc. are identifiable social groups in the community.</w:t>
      </w:r>
    </w:p>
    <w:p w14:paraId="752E1C47" w14:textId="205A1F58" w:rsidR="00640E7F" w:rsidRPr="00E20A08" w:rsidRDefault="007A56C0" w:rsidP="00640E7F">
      <w:pPr>
        <w:pStyle w:val="Citationenretrait"/>
        <w:spacing w:before="0"/>
        <w:jc w:val="right"/>
        <w:rPr>
          <w:sz w:val="20"/>
          <w:lang w:val="en-CA"/>
        </w:rPr>
      </w:pPr>
      <w:r w:rsidRPr="00E20A08">
        <w:rPr>
          <w:sz w:val="20"/>
          <w:lang w:val="en-CA"/>
        </w:rPr>
        <w:t>[Emphasis added.]</w:t>
      </w:r>
    </w:p>
    <w:p w14:paraId="04FFB89F" w14:textId="4653B9A8" w:rsidR="00640E7F" w:rsidRPr="00E20A08" w:rsidRDefault="007A56C0" w:rsidP="00640E7F">
      <w:pPr>
        <w:pStyle w:val="Paragraphe"/>
        <w:rPr>
          <w:lang w:val="en-CA"/>
        </w:rPr>
      </w:pPr>
      <w:r w:rsidRPr="00E20A08">
        <w:rPr>
          <w:lang w:val="en-CA"/>
        </w:rPr>
        <w:lastRenderedPageBreak/>
        <w:t xml:space="preserve">There is little need to say more, insomuch as this fact, whether permanent or temporary, is a stereotyped marker of social condition </w:t>
      </w:r>
      <w:r w:rsidR="008F3364">
        <w:rPr>
          <w:lang w:val="en-CA"/>
        </w:rPr>
        <w:t xml:space="preserve">and </w:t>
      </w:r>
      <w:r w:rsidRPr="00E20A08">
        <w:rPr>
          <w:lang w:val="en-CA"/>
        </w:rPr>
        <w:t>so well-known as to be a matter for judicial notice (</w:t>
      </w:r>
      <w:r w:rsidR="00182BB2">
        <w:rPr>
          <w:lang w:val="en-CA"/>
        </w:rPr>
        <w:t xml:space="preserve">art. </w:t>
      </w:r>
      <w:r w:rsidRPr="00E20A08">
        <w:rPr>
          <w:lang w:val="en-CA"/>
        </w:rPr>
        <w:t xml:space="preserve">2808 </w:t>
      </w:r>
      <w:r w:rsidR="00040F5E" w:rsidRPr="008F3364">
        <w:rPr>
          <w:iCs/>
          <w:lang w:val="en-CA"/>
        </w:rPr>
        <w:t>C</w:t>
      </w:r>
      <w:r w:rsidR="00040F5E">
        <w:rPr>
          <w:i/>
          <w:lang w:val="en-CA"/>
        </w:rPr>
        <w:t>.</w:t>
      </w:r>
      <w:r w:rsidR="00040F5E" w:rsidRPr="008F3364">
        <w:rPr>
          <w:iCs/>
          <w:lang w:val="en-CA"/>
        </w:rPr>
        <w:t>C.Q</w:t>
      </w:r>
      <w:r w:rsidR="00040F5E">
        <w:rPr>
          <w:i/>
          <w:lang w:val="en-CA"/>
        </w:rPr>
        <w:t>.</w:t>
      </w:r>
      <w:r w:rsidRPr="00E20A08">
        <w:rPr>
          <w:lang w:val="en-CA"/>
        </w:rPr>
        <w:t>)</w:t>
      </w:r>
      <w:r w:rsidR="008F3364">
        <w:rPr>
          <w:lang w:val="en-CA"/>
        </w:rPr>
        <w:t>.</w:t>
      </w:r>
      <w:r w:rsidRPr="00E20A08">
        <w:rPr>
          <w:rStyle w:val="Appelnotedebasdep"/>
          <w:lang w:val="en-CA"/>
        </w:rPr>
        <w:footnoteReference w:id="58"/>
      </w:r>
    </w:p>
    <w:p w14:paraId="615A63BB" w14:textId="3B8E3784" w:rsidR="00640E7F" w:rsidRPr="00E20A08" w:rsidRDefault="007A56C0" w:rsidP="00640E7F">
      <w:pPr>
        <w:pStyle w:val="Paragraphe"/>
        <w:rPr>
          <w:lang w:val="en-CA"/>
        </w:rPr>
      </w:pPr>
      <w:r w:rsidRPr="00E20A08">
        <w:rPr>
          <w:lang w:val="en-CA"/>
        </w:rPr>
        <w:t xml:space="preserve">Section 15 of the </w:t>
      </w:r>
      <w:r w:rsidRPr="008F3364">
        <w:rPr>
          <w:i/>
          <w:iCs/>
          <w:lang w:val="en-CA"/>
        </w:rPr>
        <w:t>Canadian Charter</w:t>
      </w:r>
      <w:r w:rsidRPr="00E20A08">
        <w:rPr>
          <w:lang w:val="en-CA"/>
        </w:rPr>
        <w:t>, on the other hand</w:t>
      </w:r>
      <w:r w:rsidR="00DA5A32">
        <w:rPr>
          <w:lang w:val="en-CA"/>
        </w:rPr>
        <w:t xml:space="preserve">, </w:t>
      </w:r>
      <w:r w:rsidRPr="00E20A08">
        <w:rPr>
          <w:lang w:val="en-CA"/>
        </w:rPr>
        <w:t>does not refer to “social condition” or mention (as certain provincial statutes</w:t>
      </w:r>
      <w:r w:rsidR="00DA5A32">
        <w:rPr>
          <w:lang w:val="en-CA"/>
        </w:rPr>
        <w:t xml:space="preserve"> </w:t>
      </w:r>
      <w:r w:rsidRPr="00E20A08">
        <w:rPr>
          <w:lang w:val="en-CA"/>
        </w:rPr>
        <w:t>do</w:t>
      </w:r>
      <w:r w:rsidR="00DA5A32" w:rsidRPr="00E20A08">
        <w:rPr>
          <w:rStyle w:val="Appelnotedebasdep"/>
          <w:lang w:val="en-CA"/>
        </w:rPr>
        <w:footnoteReference w:id="59"/>
      </w:r>
      <w:r w:rsidRPr="00E20A08">
        <w:rPr>
          <w:lang w:val="en-CA"/>
        </w:rPr>
        <w:t>) the “receipt of public assistance”,</w:t>
      </w:r>
      <w:r w:rsidR="00DA5A32" w:rsidRPr="00E20A08">
        <w:rPr>
          <w:rStyle w:val="Appelnotedebasdep"/>
          <w:lang w:val="en-CA"/>
        </w:rPr>
        <w:footnoteReference w:id="60"/>
      </w:r>
      <w:r w:rsidR="00DA5A32" w:rsidRPr="00E20A08">
        <w:rPr>
          <w:lang w:val="en-CA"/>
        </w:rPr>
        <w:t xml:space="preserve"> </w:t>
      </w:r>
      <w:r w:rsidRPr="00E20A08">
        <w:rPr>
          <w:lang w:val="en-CA"/>
        </w:rPr>
        <w:t xml:space="preserve"> “income”, “source of income”,</w:t>
      </w:r>
      <w:r w:rsidR="00DA5A32" w:rsidRPr="00DA5A32">
        <w:rPr>
          <w:rStyle w:val="Appelnotedebasdep"/>
          <w:lang w:val="en-CA"/>
        </w:rPr>
        <w:t xml:space="preserve"> </w:t>
      </w:r>
      <w:r w:rsidR="00DA5A32" w:rsidRPr="00E20A08">
        <w:rPr>
          <w:rStyle w:val="Appelnotedebasdep"/>
          <w:lang w:val="en-CA"/>
        </w:rPr>
        <w:footnoteReference w:id="61"/>
      </w:r>
      <w:r w:rsidR="00DA5A32">
        <w:rPr>
          <w:lang w:val="en-CA"/>
        </w:rPr>
        <w:t xml:space="preserve"> </w:t>
      </w:r>
      <w:r w:rsidRPr="00E20A08">
        <w:rPr>
          <w:lang w:val="en-CA"/>
        </w:rPr>
        <w:t xml:space="preserve"> or “social disadvantage”</w:t>
      </w:r>
      <w:r w:rsidR="00DA5A32" w:rsidRPr="00DA5A32">
        <w:rPr>
          <w:rStyle w:val="Appelnotedebasdep"/>
          <w:lang w:val="en-CA"/>
        </w:rPr>
        <w:t xml:space="preserve"> </w:t>
      </w:r>
      <w:r w:rsidR="00DA5A32" w:rsidRPr="00E20A08">
        <w:rPr>
          <w:rStyle w:val="Appelnotedebasdep"/>
          <w:lang w:val="en-CA"/>
        </w:rPr>
        <w:footnoteReference w:id="62"/>
      </w:r>
      <w:r w:rsidRPr="00E20A08">
        <w:rPr>
          <w:lang w:val="en-CA"/>
        </w:rPr>
        <w:t xml:space="preserve"> (elements often held up as indicators of social condition) as prohibited causes of </w:t>
      </w:r>
      <w:r w:rsidR="00ED2690" w:rsidRPr="00E20A08">
        <w:rPr>
          <w:lang w:val="en-CA"/>
        </w:rPr>
        <w:t>di</w:t>
      </w:r>
      <w:r w:rsidR="00ED2690">
        <w:rPr>
          <w:lang w:val="en-CA"/>
        </w:rPr>
        <w:t>scrimi</w:t>
      </w:r>
      <w:r w:rsidR="00ED2690" w:rsidRPr="00E20A08">
        <w:rPr>
          <w:lang w:val="en-CA"/>
        </w:rPr>
        <w:t>nation</w:t>
      </w:r>
      <w:r w:rsidRPr="00E20A08">
        <w:rPr>
          <w:lang w:val="en-CA"/>
        </w:rPr>
        <w:t>.</w:t>
      </w:r>
      <w:r w:rsidR="006979E7" w:rsidRPr="00E20A08">
        <w:rPr>
          <w:lang w:val="en-CA"/>
        </w:rPr>
        <w:t xml:space="preserve"> </w:t>
      </w:r>
      <w:r w:rsidRPr="00E20A08">
        <w:rPr>
          <w:lang w:val="en-CA"/>
        </w:rPr>
        <w:t xml:space="preserve">The list of grounds in this provision is not exhaustive, however, as we know: Can social condition or the condition of being a social assistance </w:t>
      </w:r>
      <w:r w:rsidR="00B577EE">
        <w:rPr>
          <w:lang w:val="en-CA"/>
        </w:rPr>
        <w:t>recipient</w:t>
      </w:r>
      <w:r w:rsidR="00B577EE" w:rsidRPr="00E20A08">
        <w:rPr>
          <w:lang w:val="en-CA"/>
        </w:rPr>
        <w:t xml:space="preserve"> </w:t>
      </w:r>
      <w:r w:rsidRPr="00E20A08">
        <w:rPr>
          <w:lang w:val="en-CA"/>
        </w:rPr>
        <w:t>be an analogous prohibited ground?</w:t>
      </w:r>
    </w:p>
    <w:p w14:paraId="63B0F112" w14:textId="2B5E3918" w:rsidR="00640E7F" w:rsidRPr="00E20A08" w:rsidRDefault="007A56C0" w:rsidP="00640E7F">
      <w:pPr>
        <w:pStyle w:val="Paragraphe"/>
        <w:rPr>
          <w:lang w:val="en-CA"/>
        </w:rPr>
      </w:pPr>
      <w:r w:rsidRPr="00E20A08">
        <w:rPr>
          <w:lang w:val="en-CA"/>
        </w:rPr>
        <w:lastRenderedPageBreak/>
        <w:t>The case law on the subject is not clear, but there are a few judgments (none from the Supreme Court</w:t>
      </w:r>
      <w:bookmarkStart w:id="34" w:name="_Ref72585773"/>
      <w:r w:rsidRPr="00E20A08">
        <w:rPr>
          <w:rStyle w:val="Appelnotedebasdep"/>
          <w:lang w:val="en-CA"/>
        </w:rPr>
        <w:footnoteReference w:id="63"/>
      </w:r>
      <w:bookmarkEnd w:id="34"/>
      <w:r w:rsidRPr="00E20A08">
        <w:rPr>
          <w:lang w:val="en-CA"/>
        </w:rPr>
        <w:t>) that reject social condition or dependence on government assistance (if this latter element is to be distinguished from the former) as an analogous ground</w:t>
      </w:r>
      <w:r w:rsidRPr="00E20A08">
        <w:rPr>
          <w:rStyle w:val="Appelnotedebasdep"/>
          <w:lang w:val="en-CA"/>
        </w:rPr>
        <w:footnoteReference w:id="64"/>
      </w:r>
      <w:r w:rsidRPr="00E20A08">
        <w:rPr>
          <w:lang w:val="en-CA"/>
        </w:rPr>
        <w:t xml:space="preserve"> because in essence it is not a permanent and immutable state or characteristic or one that can be changed only at an unacceptable cost, when considered from the standpoint of personal identity, a requirement set out </w:t>
      </w:r>
      <w:r w:rsidRPr="00BB491F">
        <w:rPr>
          <w:lang w:val="en-CA"/>
        </w:rPr>
        <w:t>in</w:t>
      </w:r>
      <w:r w:rsidRPr="00BB491F">
        <w:rPr>
          <w:i/>
          <w:iCs/>
          <w:lang w:val="en-CA"/>
        </w:rPr>
        <w:t xml:space="preserve"> </w:t>
      </w:r>
      <w:proofErr w:type="spellStart"/>
      <w:r w:rsidRPr="00BB491F">
        <w:rPr>
          <w:i/>
          <w:iCs/>
          <w:lang w:val="en-CA"/>
        </w:rPr>
        <w:t>Corbiere</w:t>
      </w:r>
      <w:proofErr w:type="spellEnd"/>
      <w:r w:rsidRPr="00BB491F">
        <w:rPr>
          <w:i/>
          <w:iCs/>
          <w:lang w:val="en-CA"/>
        </w:rPr>
        <w:t xml:space="preserve"> v</w:t>
      </w:r>
      <w:r w:rsidR="00B577EE">
        <w:rPr>
          <w:i/>
          <w:iCs/>
          <w:lang w:val="en-CA"/>
        </w:rPr>
        <w:t>.</w:t>
      </w:r>
      <w:r w:rsidRPr="00BB491F">
        <w:rPr>
          <w:i/>
          <w:iCs/>
          <w:lang w:val="en-CA"/>
        </w:rPr>
        <w:t xml:space="preserve"> Canada (Minister of</w:t>
      </w:r>
      <w:r w:rsidRPr="00E20A08">
        <w:rPr>
          <w:lang w:val="en-CA"/>
        </w:rPr>
        <w:t xml:space="preserve"> </w:t>
      </w:r>
      <w:r w:rsidRPr="00BB491F">
        <w:rPr>
          <w:i/>
          <w:iCs/>
          <w:lang w:val="en-CA"/>
        </w:rPr>
        <w:t>Indian and Northern Affairs).</w:t>
      </w:r>
      <w:bookmarkStart w:id="35" w:name="_Ref72582630"/>
      <w:r w:rsidRPr="00E20A08">
        <w:rPr>
          <w:rStyle w:val="Appelnotedebasdep"/>
          <w:lang w:val="en-CA"/>
        </w:rPr>
        <w:footnoteReference w:id="65"/>
      </w:r>
      <w:bookmarkEnd w:id="35"/>
      <w:r w:rsidR="006979E7" w:rsidRPr="00E20A08">
        <w:rPr>
          <w:lang w:val="en-CA"/>
        </w:rPr>
        <w:t xml:space="preserve"> </w:t>
      </w:r>
    </w:p>
    <w:p w14:paraId="161D2E36" w14:textId="3BD88710" w:rsidR="00640E7F" w:rsidRPr="00E20A08" w:rsidRDefault="007A56C0" w:rsidP="00640E7F">
      <w:pPr>
        <w:pStyle w:val="Paragraphe"/>
        <w:rPr>
          <w:lang w:val="en-CA"/>
        </w:rPr>
      </w:pPr>
      <w:r w:rsidRPr="00E20A08">
        <w:rPr>
          <w:lang w:val="en-CA"/>
        </w:rPr>
        <w:t xml:space="preserve">For my part, I am inclined to follow the example of </w:t>
      </w:r>
      <w:proofErr w:type="spellStart"/>
      <w:r w:rsidRPr="00E20A08">
        <w:rPr>
          <w:lang w:val="en-CA"/>
        </w:rPr>
        <w:t>Laskin</w:t>
      </w:r>
      <w:proofErr w:type="spellEnd"/>
      <w:r w:rsidRPr="00E20A08">
        <w:rPr>
          <w:lang w:val="en-CA"/>
        </w:rPr>
        <w:t xml:space="preserve"> J. in </w:t>
      </w:r>
      <w:proofErr w:type="spellStart"/>
      <w:r w:rsidRPr="00BB491F">
        <w:rPr>
          <w:i/>
          <w:iCs/>
          <w:lang w:val="en-CA"/>
        </w:rPr>
        <w:t>Falkiner</w:t>
      </w:r>
      <w:proofErr w:type="spellEnd"/>
      <w:r w:rsidRPr="00BB491F">
        <w:rPr>
          <w:i/>
          <w:iCs/>
          <w:lang w:val="en-CA"/>
        </w:rPr>
        <w:t xml:space="preserve"> v. Director</w:t>
      </w:r>
      <w:r w:rsidRPr="00E20A08">
        <w:rPr>
          <w:i/>
          <w:lang w:val="en-CA"/>
        </w:rPr>
        <w:t>, Income Maintenance Branch</w:t>
      </w:r>
      <w:r w:rsidRPr="00E20A08">
        <w:rPr>
          <w:rStyle w:val="Appelnotedebasdep"/>
          <w:lang w:val="en-CA"/>
        </w:rPr>
        <w:footnoteReference w:id="66"/>
      </w:r>
      <w:r w:rsidRPr="00E20A08">
        <w:rPr>
          <w:lang w:val="en-CA"/>
        </w:rPr>
        <w:t xml:space="preserve"> and, for the same reasons, to answer the question in the affirmative, since in my view it goes without saying that social condition and, within it, the (even transitory) </w:t>
      </w:r>
      <w:r w:rsidR="00B07F5D" w:rsidRPr="00E20A08">
        <w:rPr>
          <w:lang w:val="en-CA"/>
        </w:rPr>
        <w:t xml:space="preserve">state </w:t>
      </w:r>
      <w:r w:rsidRPr="00E20A08">
        <w:rPr>
          <w:lang w:val="en-CA"/>
        </w:rPr>
        <w:t xml:space="preserve">of “receipt of social assistance” (a term itself that carries negative stereotypes) relate to a circumstances that are admittedly contextual and </w:t>
      </w:r>
      <w:r w:rsidR="00B07F5D" w:rsidRPr="00E20A08">
        <w:rPr>
          <w:lang w:val="en-CA"/>
        </w:rPr>
        <w:t>multifactorial</w:t>
      </w:r>
      <w:r w:rsidRPr="00E20A08">
        <w:rPr>
          <w:lang w:val="en-CA"/>
        </w:rPr>
        <w:t xml:space="preserve"> but </w:t>
      </w:r>
      <w:r w:rsidR="00BB491F">
        <w:rPr>
          <w:lang w:val="en-CA"/>
        </w:rPr>
        <w:t xml:space="preserve">that </w:t>
      </w:r>
      <w:r w:rsidRPr="00E20A08">
        <w:rPr>
          <w:lang w:val="en-CA"/>
        </w:rPr>
        <w:t>also that meet the tests developed in such matters by the Supreme Cour</w:t>
      </w:r>
      <w:r w:rsidR="00B07F5D" w:rsidRPr="00E20A08">
        <w:rPr>
          <w:lang w:val="en-CA"/>
        </w:rPr>
        <w:t>t</w:t>
      </w:r>
      <w:r w:rsidRPr="00E20A08">
        <w:rPr>
          <w:rStyle w:val="Appelnotedebasdep"/>
          <w:lang w:val="en-CA"/>
        </w:rPr>
        <w:footnoteReference w:id="67"/>
      </w:r>
      <w:r w:rsidR="00B07F5D" w:rsidRPr="00E20A08">
        <w:rPr>
          <w:lang w:val="en-CA"/>
        </w:rPr>
        <w:t xml:space="preserve"> </w:t>
      </w:r>
      <w:r w:rsidRPr="00E20A08">
        <w:rPr>
          <w:lang w:val="en-CA"/>
        </w:rPr>
        <w:t xml:space="preserve">(which </w:t>
      </w:r>
      <w:r w:rsidRPr="00E20A08">
        <w:rPr>
          <w:lang w:val="en-CA"/>
        </w:rPr>
        <w:lastRenderedPageBreak/>
        <w:t>has already recognized citizenship or the lack thereof,</w:t>
      </w:r>
      <w:bookmarkStart w:id="36" w:name="_Ref73108121"/>
      <w:r w:rsidRPr="00E20A08">
        <w:rPr>
          <w:rStyle w:val="Appelnotedebasdep"/>
          <w:lang w:val="en-CA"/>
        </w:rPr>
        <w:footnoteReference w:id="68"/>
      </w:r>
      <w:bookmarkEnd w:id="36"/>
      <w:r w:rsidRPr="00E20A08">
        <w:rPr>
          <w:lang w:val="en-CA"/>
        </w:rPr>
        <w:t xml:space="preserve"> Aboriginality-residence,</w:t>
      </w:r>
      <w:r w:rsidRPr="00E20A08">
        <w:rPr>
          <w:rStyle w:val="Appelnotedebasdep"/>
          <w:lang w:val="en-CA"/>
        </w:rPr>
        <w:footnoteReference w:id="69"/>
      </w:r>
      <w:r w:rsidRPr="00E20A08">
        <w:rPr>
          <w:lang w:val="en-CA"/>
        </w:rPr>
        <w:t xml:space="preserve"> sexual </w:t>
      </w:r>
      <w:r w:rsidR="00B07F5D" w:rsidRPr="00E20A08">
        <w:rPr>
          <w:lang w:val="en-CA"/>
        </w:rPr>
        <w:t>orientation</w:t>
      </w:r>
      <w:r w:rsidRPr="00E20A08">
        <w:rPr>
          <w:lang w:val="en-CA"/>
        </w:rPr>
        <w:t>,</w:t>
      </w:r>
      <w:bookmarkStart w:id="37" w:name="_Ref73109406"/>
      <w:r w:rsidRPr="00E20A08">
        <w:rPr>
          <w:rStyle w:val="Appelnotedebasdep"/>
          <w:lang w:val="en-CA"/>
        </w:rPr>
        <w:footnoteReference w:id="70"/>
      </w:r>
      <w:bookmarkEnd w:id="37"/>
      <w:r w:rsidRPr="00E20A08">
        <w:rPr>
          <w:lang w:val="en-CA"/>
        </w:rPr>
        <w:t xml:space="preserve"> and matrimonial status</w:t>
      </w:r>
      <w:r w:rsidRPr="00E20A08">
        <w:rPr>
          <w:rStyle w:val="Appelnotedebasdep"/>
          <w:lang w:val="en-CA"/>
        </w:rPr>
        <w:footnoteReference w:id="71"/>
      </w:r>
      <w:r w:rsidRPr="00E20A08">
        <w:rPr>
          <w:lang w:val="en-CA"/>
        </w:rPr>
        <w:t xml:space="preserve"> as analogous grounds.</w:t>
      </w:r>
      <w:bookmarkStart w:id="38" w:name="_Ref73114513"/>
      <w:r w:rsidRPr="00E20A08">
        <w:rPr>
          <w:rStyle w:val="Appelnotedebasdep"/>
          <w:lang w:val="en-CA"/>
        </w:rPr>
        <w:footnoteReference w:id="72"/>
      </w:r>
      <w:bookmarkEnd w:id="38"/>
      <w:r w:rsidR="006979E7" w:rsidRPr="00E20A08">
        <w:rPr>
          <w:lang w:val="en-CA"/>
        </w:rPr>
        <w:t xml:space="preserve"> </w:t>
      </w:r>
    </w:p>
    <w:p w14:paraId="78828BF4" w14:textId="25591CC7" w:rsidR="00640E7F" w:rsidRPr="00E20A08" w:rsidRDefault="007A56C0" w:rsidP="00640E7F">
      <w:pPr>
        <w:pStyle w:val="Paragraphe"/>
        <w:rPr>
          <w:lang w:val="en-CA"/>
        </w:rPr>
      </w:pPr>
      <w:r w:rsidRPr="00E20A08">
        <w:rPr>
          <w:lang w:val="en-CA"/>
        </w:rPr>
        <w:t xml:space="preserve">Without a doubt, as the respondent and the impleaded party note, we may not (and we must not) make “social assistance” or, more generally, social condition a definitional aspect of personal </w:t>
      </w:r>
      <w:r w:rsidR="00B07F5D" w:rsidRPr="00E20A08">
        <w:rPr>
          <w:lang w:val="en-CA"/>
        </w:rPr>
        <w:t>identity</w:t>
      </w:r>
      <w:r w:rsidR="00F845CE">
        <w:rPr>
          <w:lang w:val="en-CA"/>
        </w:rPr>
        <w:t>. Nevertheless</w:t>
      </w:r>
      <w:r w:rsidRPr="00E20A08">
        <w:rPr>
          <w:lang w:val="en-CA"/>
        </w:rPr>
        <w:t>, in the eyes of others, these characteristics have a definitional impact, without regard to the merits or needs of the individual.</w:t>
      </w:r>
      <w:r w:rsidR="006979E7" w:rsidRPr="00E20A08">
        <w:rPr>
          <w:lang w:val="en-CA"/>
        </w:rPr>
        <w:t xml:space="preserve"> </w:t>
      </w:r>
      <w:r w:rsidRPr="00E20A08">
        <w:rPr>
          <w:lang w:val="en-CA"/>
        </w:rPr>
        <w:t>As I stated above, the negative stereotyping of social assistance recipients is still well-established in our society</w:t>
      </w:r>
      <w:r w:rsidRPr="00E20A08">
        <w:rPr>
          <w:rStyle w:val="Appelnotedebasdep"/>
          <w:lang w:val="en-CA"/>
        </w:rPr>
        <w:footnoteReference w:id="73"/>
      </w:r>
      <w:r w:rsidRPr="00E20A08">
        <w:rPr>
          <w:lang w:val="en-CA"/>
        </w:rPr>
        <w:t xml:space="preserve"> and if there is any group </w:t>
      </w:r>
      <w:r w:rsidR="00F845CE">
        <w:rPr>
          <w:lang w:val="en-CA"/>
        </w:rPr>
        <w:t xml:space="preserve">– </w:t>
      </w:r>
      <w:r w:rsidRPr="00E20A08">
        <w:rPr>
          <w:lang w:val="en-CA"/>
        </w:rPr>
        <w:t xml:space="preserve">one might be tempted to say “class” </w:t>
      </w:r>
      <w:r w:rsidR="00F845CE">
        <w:rPr>
          <w:lang w:val="en-CA"/>
        </w:rPr>
        <w:t>–</w:t>
      </w:r>
      <w:r w:rsidRPr="00E20A08">
        <w:rPr>
          <w:lang w:val="en-CA"/>
        </w:rPr>
        <w:t xml:space="preserve"> of vulnerable individuals who may be characterized as a distinct and isolated </w:t>
      </w:r>
      <w:r w:rsidR="00B07F5D" w:rsidRPr="00E20A08">
        <w:rPr>
          <w:lang w:val="en-CA"/>
        </w:rPr>
        <w:t>minority</w:t>
      </w:r>
      <w:r w:rsidRPr="00E20A08">
        <w:rPr>
          <w:rStyle w:val="Appelnotedebasdep"/>
          <w:lang w:val="en-CA"/>
        </w:rPr>
        <w:t xml:space="preserve"> </w:t>
      </w:r>
      <w:r w:rsidRPr="00E20A08">
        <w:rPr>
          <w:rStyle w:val="Appelnotedebasdep"/>
          <w:lang w:val="en-CA"/>
        </w:rPr>
        <w:footnoteReference w:id="74"/>
      </w:r>
      <w:r w:rsidRPr="00E20A08">
        <w:rPr>
          <w:lang w:val="en-CA"/>
        </w:rPr>
        <w:t xml:space="preserve"> and who are victims of persistent political or social prejudice as well as unjust generalizations and malicious insinuations, </w:t>
      </w:r>
      <w:r w:rsidR="00F845CE">
        <w:rPr>
          <w:lang w:val="en-CA"/>
        </w:rPr>
        <w:t>this group</w:t>
      </w:r>
      <w:r w:rsidRPr="00E20A08">
        <w:rPr>
          <w:lang w:val="en-CA"/>
        </w:rPr>
        <w:t xml:space="preserve"> certainly </w:t>
      </w:r>
      <w:r w:rsidR="004D4FF9">
        <w:rPr>
          <w:lang w:val="en-CA"/>
        </w:rPr>
        <w:t xml:space="preserve">is </w:t>
      </w:r>
      <w:r w:rsidRPr="00E20A08">
        <w:rPr>
          <w:lang w:val="en-CA"/>
        </w:rPr>
        <w:t>one.</w:t>
      </w:r>
      <w:r w:rsidRPr="00E20A08">
        <w:rPr>
          <w:rStyle w:val="Appelnotedebasdep"/>
          <w:lang w:val="en-CA"/>
        </w:rPr>
        <w:footnoteReference w:id="75"/>
      </w:r>
      <w:r w:rsidR="006979E7" w:rsidRPr="00E20A08">
        <w:rPr>
          <w:lang w:val="en-CA"/>
        </w:rPr>
        <w:t xml:space="preserve"> </w:t>
      </w:r>
      <w:r w:rsidRPr="00E20A08">
        <w:rPr>
          <w:lang w:val="en-CA"/>
        </w:rPr>
        <w:t xml:space="preserve">These are all indicators that should </w:t>
      </w:r>
      <w:r w:rsidR="00F845CE">
        <w:rPr>
          <w:i/>
          <w:iCs/>
          <w:lang w:val="en-CA"/>
        </w:rPr>
        <w:t xml:space="preserve">a </w:t>
      </w:r>
      <w:r w:rsidR="00F845CE" w:rsidRPr="00F845CE">
        <w:rPr>
          <w:i/>
          <w:iCs/>
          <w:lang w:val="en-CA"/>
        </w:rPr>
        <w:t>priori</w:t>
      </w:r>
      <w:r w:rsidR="00F845CE">
        <w:rPr>
          <w:lang w:val="en-CA"/>
        </w:rPr>
        <w:t xml:space="preserve"> </w:t>
      </w:r>
      <w:r w:rsidRPr="00E20A08">
        <w:rPr>
          <w:lang w:val="en-CA"/>
        </w:rPr>
        <w:t xml:space="preserve">favour the recognition of social condition or the receipt of social assistance (and other terms designating this reality) as an analogous ground for the purposes of </w:t>
      </w:r>
      <w:r w:rsidR="006C5BE4">
        <w:rPr>
          <w:lang w:val="en-CA"/>
        </w:rPr>
        <w:t>s.</w:t>
      </w:r>
      <w:r w:rsidR="00CC4277">
        <w:rPr>
          <w:lang w:val="en-CA"/>
        </w:rPr>
        <w:t> </w:t>
      </w:r>
      <w:r w:rsidRPr="00E20A08">
        <w:rPr>
          <w:lang w:val="en-CA"/>
        </w:rPr>
        <w:t>15(1)</w:t>
      </w:r>
      <w:r w:rsidR="006979E7" w:rsidRPr="00E20A08">
        <w:rPr>
          <w:lang w:val="en-CA"/>
        </w:rPr>
        <w:t xml:space="preserve"> </w:t>
      </w:r>
      <w:r w:rsidRPr="00E20A08">
        <w:rPr>
          <w:lang w:val="en-CA"/>
        </w:rPr>
        <w:t xml:space="preserve">of the </w:t>
      </w:r>
      <w:r w:rsidRPr="00CC4277">
        <w:rPr>
          <w:i/>
          <w:iCs/>
          <w:lang w:val="en-CA"/>
        </w:rPr>
        <w:t>Canadian</w:t>
      </w:r>
      <w:r w:rsidRPr="00E20A08">
        <w:rPr>
          <w:lang w:val="en-CA"/>
        </w:rPr>
        <w:t xml:space="preserve"> </w:t>
      </w:r>
      <w:r w:rsidRPr="00CC4277">
        <w:rPr>
          <w:i/>
          <w:iCs/>
          <w:lang w:val="en-CA"/>
        </w:rPr>
        <w:t>Charter</w:t>
      </w:r>
      <w:r w:rsidRPr="00E20A08">
        <w:rPr>
          <w:lang w:val="en-CA"/>
        </w:rPr>
        <w:t>.</w:t>
      </w:r>
      <w:r w:rsidR="006979E7" w:rsidRPr="00E20A08">
        <w:rPr>
          <w:lang w:val="en-CA"/>
        </w:rPr>
        <w:t xml:space="preserve"> </w:t>
      </w:r>
      <w:r w:rsidRPr="00E20A08">
        <w:rPr>
          <w:lang w:val="en-CA"/>
        </w:rPr>
        <w:t xml:space="preserve">In a legal system that </w:t>
      </w:r>
      <w:r w:rsidR="004D4FF9" w:rsidRPr="00E20A08">
        <w:rPr>
          <w:lang w:val="en-CA"/>
        </w:rPr>
        <w:t>promote</w:t>
      </w:r>
      <w:r w:rsidR="004D4FF9">
        <w:rPr>
          <w:lang w:val="en-CA"/>
        </w:rPr>
        <w:t xml:space="preserve">s </w:t>
      </w:r>
      <w:r w:rsidRPr="00E20A08">
        <w:rPr>
          <w:lang w:val="en-CA"/>
        </w:rPr>
        <w:t>substantive equality as opposed to formal equality, this would not appear to be an unreasonable conclusion.</w:t>
      </w:r>
      <w:r w:rsidRPr="00E20A08">
        <w:rPr>
          <w:rStyle w:val="Appelnotedebasdep"/>
          <w:lang w:val="en-CA"/>
        </w:rPr>
        <w:footnoteReference w:id="76"/>
      </w:r>
      <w:r w:rsidRPr="00E20A08">
        <w:rPr>
          <w:lang w:val="en-CA"/>
        </w:rPr>
        <w:t xml:space="preserve"> </w:t>
      </w:r>
      <w:r w:rsidR="00647D41" w:rsidRPr="00E20A08">
        <w:rPr>
          <w:lang w:val="en-CA"/>
        </w:rPr>
        <w:t xml:space="preserve">Regarding the criteria of immutability or quasi-immutability, I will merely remark that some of the grounds enumerated in </w:t>
      </w:r>
      <w:r w:rsidR="006C5BE4">
        <w:rPr>
          <w:lang w:val="en-CA"/>
        </w:rPr>
        <w:t>s.</w:t>
      </w:r>
      <w:r w:rsidR="00CC4277">
        <w:rPr>
          <w:lang w:val="en-CA"/>
        </w:rPr>
        <w:t xml:space="preserve"> </w:t>
      </w:r>
      <w:r w:rsidR="00647D41" w:rsidRPr="00E20A08">
        <w:rPr>
          <w:lang w:val="en-CA"/>
        </w:rPr>
        <w:t>15 are not immutable; age is but one example.</w:t>
      </w:r>
      <w:r w:rsidR="006979E7" w:rsidRPr="00E20A08">
        <w:rPr>
          <w:lang w:val="en-CA"/>
        </w:rPr>
        <w:t xml:space="preserve"> </w:t>
      </w:r>
      <w:r w:rsidR="00647D41" w:rsidRPr="00E20A08">
        <w:rPr>
          <w:lang w:val="en-CA"/>
        </w:rPr>
        <w:t xml:space="preserve">The analogous grounds of citizenship and the absence of citizenship or matrimonial status are also not immutable, </w:t>
      </w:r>
      <w:r w:rsidR="00B07F5D" w:rsidRPr="00E20A08">
        <w:rPr>
          <w:lang w:val="en-CA"/>
        </w:rPr>
        <w:t>even though</w:t>
      </w:r>
      <w:r w:rsidR="00647D41" w:rsidRPr="00E20A08">
        <w:rPr>
          <w:lang w:val="en-CA"/>
        </w:rPr>
        <w:t xml:space="preserve"> they are characteristics that are not solely the result of the individual’s will, as the Supreme Court </w:t>
      </w:r>
      <w:r w:rsidR="00CC4277">
        <w:rPr>
          <w:lang w:val="en-CA"/>
        </w:rPr>
        <w:t>notes</w:t>
      </w:r>
      <w:r w:rsidR="00647D41" w:rsidRPr="00E20A08">
        <w:rPr>
          <w:lang w:val="en-CA"/>
        </w:rPr>
        <w:t xml:space="preserve"> in </w:t>
      </w:r>
      <w:r w:rsidR="00647D41" w:rsidRPr="00CC4277">
        <w:rPr>
          <w:i/>
          <w:iCs/>
          <w:lang w:val="en-CA"/>
        </w:rPr>
        <w:t>Andrews</w:t>
      </w:r>
      <w:r w:rsidR="00647D41" w:rsidRPr="00E20A08">
        <w:rPr>
          <w:lang w:val="en-CA"/>
        </w:rPr>
        <w:t>.</w:t>
      </w:r>
      <w:r w:rsidR="006979E7" w:rsidRPr="00E20A08">
        <w:rPr>
          <w:lang w:val="en-CA"/>
        </w:rPr>
        <w:t xml:space="preserve"> </w:t>
      </w:r>
      <w:r w:rsidR="00647D41" w:rsidRPr="00E20A08">
        <w:rPr>
          <w:lang w:val="en-CA"/>
        </w:rPr>
        <w:t>This is also the case, it seems</w:t>
      </w:r>
      <w:r w:rsidR="00CC4277">
        <w:rPr>
          <w:lang w:val="en-CA"/>
        </w:rPr>
        <w:t xml:space="preserve"> to me</w:t>
      </w:r>
      <w:r w:rsidR="00647D41" w:rsidRPr="00E20A08">
        <w:rPr>
          <w:lang w:val="en-CA"/>
        </w:rPr>
        <w:t xml:space="preserve">, with social condition, including the status of being a social assistance </w:t>
      </w:r>
      <w:r w:rsidR="00647D41" w:rsidRPr="00E20A08">
        <w:rPr>
          <w:lang w:val="en-CA"/>
        </w:rPr>
        <w:lastRenderedPageBreak/>
        <w:t>recipient.</w:t>
      </w:r>
      <w:r w:rsidR="006979E7" w:rsidRPr="00E20A08">
        <w:rPr>
          <w:lang w:val="en-CA"/>
        </w:rPr>
        <w:t xml:space="preserve"> </w:t>
      </w:r>
      <w:r w:rsidR="00647D41" w:rsidRPr="00E20A08">
        <w:rPr>
          <w:lang w:val="en-CA"/>
        </w:rPr>
        <w:t>To find otherwise would in fact validate the stereotype afflicting persons who receive such assistance.</w:t>
      </w:r>
    </w:p>
    <w:p w14:paraId="434014A3" w14:textId="6C6E09CB" w:rsidR="00640E7F" w:rsidRPr="00E20A08" w:rsidRDefault="008E32DB" w:rsidP="00640E7F">
      <w:pPr>
        <w:pStyle w:val="Paragraphe"/>
        <w:rPr>
          <w:lang w:val="en-CA"/>
        </w:rPr>
      </w:pPr>
      <w:r>
        <w:rPr>
          <w:lang w:val="en-CA"/>
        </w:rPr>
        <w:t xml:space="preserve">I </w:t>
      </w:r>
      <w:r w:rsidR="00647D41" w:rsidRPr="00E20A08">
        <w:rPr>
          <w:lang w:val="en-CA"/>
        </w:rPr>
        <w:t xml:space="preserve">nevertheless </w:t>
      </w:r>
      <w:r w:rsidR="00CC4277">
        <w:rPr>
          <w:lang w:val="en-CA"/>
        </w:rPr>
        <w:t xml:space="preserve">speak in </w:t>
      </w:r>
      <w:r w:rsidR="00647D41" w:rsidRPr="00E20A08">
        <w:rPr>
          <w:lang w:val="en-CA"/>
        </w:rPr>
        <w:t xml:space="preserve">the conditional, because the prudence the Supreme Court urges the courts to adopt in matters regarding the recognition of </w:t>
      </w:r>
      <w:r>
        <w:rPr>
          <w:lang w:val="en-CA"/>
        </w:rPr>
        <w:t>“</w:t>
      </w:r>
      <w:r w:rsidR="00647D41" w:rsidRPr="00E20A08">
        <w:rPr>
          <w:lang w:val="en-CA"/>
        </w:rPr>
        <w:t>analogous grounds</w:t>
      </w:r>
      <w:r>
        <w:rPr>
          <w:lang w:val="en-CA"/>
        </w:rPr>
        <w:t>”</w:t>
      </w:r>
      <w:r w:rsidRPr="00E20A08">
        <w:rPr>
          <w:rStyle w:val="Appelnotedebasdep"/>
          <w:lang w:val="en-CA"/>
        </w:rPr>
        <w:footnoteReference w:id="77"/>
      </w:r>
      <w:r w:rsidRPr="008E32DB">
        <w:rPr>
          <w:lang w:val="en-CA"/>
        </w:rPr>
        <w:t xml:space="preserve"> </w:t>
      </w:r>
      <w:r w:rsidR="00647D41" w:rsidRPr="00E20A08">
        <w:rPr>
          <w:lang w:val="en-CA"/>
        </w:rPr>
        <w:t>ultimately persuade</w:t>
      </w:r>
      <w:r w:rsidR="007B74D8">
        <w:rPr>
          <w:lang w:val="en-CA"/>
        </w:rPr>
        <w:t>s</w:t>
      </w:r>
      <w:r w:rsidR="00647D41" w:rsidRPr="00E20A08">
        <w:rPr>
          <w:lang w:val="en-CA"/>
        </w:rPr>
        <w:t xml:space="preserve"> me not to rule formally on the existence of such a ground in this case, </w:t>
      </w:r>
      <w:r>
        <w:rPr>
          <w:lang w:val="en-CA"/>
        </w:rPr>
        <w:t>since</w:t>
      </w:r>
      <w:r w:rsidR="00647D41" w:rsidRPr="00E20A08">
        <w:rPr>
          <w:lang w:val="en-CA"/>
        </w:rPr>
        <w:t xml:space="preserve"> it is not essential for the purposes of ruling on this appeal.</w:t>
      </w:r>
      <w:r w:rsidR="006979E7" w:rsidRPr="00E20A08">
        <w:rPr>
          <w:lang w:val="en-CA"/>
        </w:rPr>
        <w:t xml:space="preserve"> </w:t>
      </w:r>
    </w:p>
    <w:p w14:paraId="0C649AF1" w14:textId="371B9BEE" w:rsidR="00640E7F" w:rsidRPr="00E20A08" w:rsidRDefault="00647D41" w:rsidP="00640E7F">
      <w:pPr>
        <w:pStyle w:val="Paragraphe"/>
        <w:rPr>
          <w:lang w:val="en-CA"/>
        </w:rPr>
      </w:pPr>
      <w:r w:rsidRPr="00E20A08">
        <w:rPr>
          <w:lang w:val="en-CA"/>
        </w:rPr>
        <w:t xml:space="preserve">Even if we know that social condition, or simply the state of someone who receives financial support under the </w:t>
      </w:r>
      <w:r w:rsidRPr="008E32DB">
        <w:rPr>
          <w:i/>
          <w:iCs/>
          <w:lang w:val="en-CA"/>
        </w:rPr>
        <w:t>Individual and Family Assistance Act</w:t>
      </w:r>
      <w:r w:rsidRPr="00E20A08">
        <w:rPr>
          <w:lang w:val="en-CA"/>
        </w:rPr>
        <w:t xml:space="preserve"> or other support of a similar kind is a prohibited ground</w:t>
      </w:r>
      <w:r w:rsidR="006979E7" w:rsidRPr="00E20A08">
        <w:rPr>
          <w:lang w:val="en-CA"/>
        </w:rPr>
        <w:t xml:space="preserve"> </w:t>
      </w:r>
      <w:r w:rsidRPr="00E20A08">
        <w:rPr>
          <w:lang w:val="en-CA"/>
        </w:rPr>
        <w:t xml:space="preserve">under </w:t>
      </w:r>
      <w:r w:rsidR="006C5BE4">
        <w:rPr>
          <w:lang w:val="en-CA"/>
        </w:rPr>
        <w:t>s.</w:t>
      </w:r>
      <w:r w:rsidRPr="00E20A08">
        <w:rPr>
          <w:lang w:val="en-CA"/>
        </w:rPr>
        <w:t xml:space="preserve"> 10 of the </w:t>
      </w:r>
      <w:r w:rsidRPr="008E32DB">
        <w:rPr>
          <w:i/>
          <w:iCs/>
          <w:lang w:val="en-CA"/>
        </w:rPr>
        <w:t>Charter</w:t>
      </w:r>
      <w:r w:rsidRPr="00E20A08">
        <w:rPr>
          <w:lang w:val="en-CA"/>
        </w:rPr>
        <w:t xml:space="preserve">, and if we suppose that it is also, by analogy, an illicit ground for the purposes of </w:t>
      </w:r>
      <w:r w:rsidR="006C5BE4">
        <w:rPr>
          <w:lang w:val="en-CA"/>
        </w:rPr>
        <w:t>s.</w:t>
      </w:r>
      <w:r w:rsidR="006979E7" w:rsidRPr="00E20A08">
        <w:rPr>
          <w:lang w:val="en-CA"/>
        </w:rPr>
        <w:t xml:space="preserve"> </w:t>
      </w:r>
      <w:r w:rsidRPr="00E20A08">
        <w:rPr>
          <w:lang w:val="en-CA"/>
        </w:rPr>
        <w:t xml:space="preserve">15 of the </w:t>
      </w:r>
      <w:r w:rsidRPr="008E32DB">
        <w:rPr>
          <w:i/>
          <w:iCs/>
          <w:lang w:val="en-CA"/>
        </w:rPr>
        <w:t>Canadian Charter</w:t>
      </w:r>
      <w:r w:rsidRPr="00E20A08">
        <w:rPr>
          <w:lang w:val="en-CA"/>
        </w:rPr>
        <w:t>, the analysis does not stop there: the appellant must also establish, on the one hand, a connection between the distinction to which he is subjected and the prohibited ground, and</w:t>
      </w:r>
      <w:r w:rsidR="008E32DB">
        <w:rPr>
          <w:lang w:val="en-CA"/>
        </w:rPr>
        <w:t xml:space="preserve"> </w:t>
      </w:r>
      <w:r w:rsidRPr="00E20A08">
        <w:rPr>
          <w:lang w:val="en-CA"/>
        </w:rPr>
        <w:t xml:space="preserve">further, </w:t>
      </w:r>
      <w:r w:rsidR="008E32DB">
        <w:rPr>
          <w:lang w:val="en-CA"/>
        </w:rPr>
        <w:t xml:space="preserve">that </w:t>
      </w:r>
      <w:r w:rsidRPr="00E20A08">
        <w:rPr>
          <w:lang w:val="en-CA"/>
        </w:rPr>
        <w:t xml:space="preserve">this distinction, that is to say, the differential treatment of which he complains, has a prejudicial </w:t>
      </w:r>
      <w:r w:rsidR="008E32DB">
        <w:rPr>
          <w:lang w:val="en-CA"/>
        </w:rPr>
        <w:t>effect and</w:t>
      </w:r>
      <w:r w:rsidRPr="00E20A08">
        <w:rPr>
          <w:lang w:val="en-CA"/>
        </w:rPr>
        <w:t xml:space="preserve">, in the case of </w:t>
      </w:r>
      <w:r w:rsidR="006C5BE4">
        <w:rPr>
          <w:lang w:val="en-CA"/>
        </w:rPr>
        <w:t>s.</w:t>
      </w:r>
      <w:r w:rsidR="006979E7" w:rsidRPr="00E20A08">
        <w:rPr>
          <w:lang w:val="en-CA"/>
        </w:rPr>
        <w:t xml:space="preserve"> </w:t>
      </w:r>
      <w:r w:rsidRPr="00E20A08">
        <w:rPr>
          <w:lang w:val="en-CA"/>
        </w:rPr>
        <w:t xml:space="preserve">10 of the </w:t>
      </w:r>
      <w:r w:rsidRPr="008E32DB">
        <w:rPr>
          <w:i/>
          <w:iCs/>
          <w:lang w:val="en-CA"/>
        </w:rPr>
        <w:t>Quebec</w:t>
      </w:r>
      <w:r w:rsidRPr="00E20A08">
        <w:rPr>
          <w:lang w:val="en-CA"/>
        </w:rPr>
        <w:t xml:space="preserve"> </w:t>
      </w:r>
      <w:r w:rsidRPr="008E32DB">
        <w:rPr>
          <w:i/>
          <w:iCs/>
          <w:lang w:val="en-CA"/>
        </w:rPr>
        <w:t>Charter</w:t>
      </w:r>
      <w:r w:rsidRPr="00E20A08">
        <w:rPr>
          <w:lang w:val="en-CA"/>
        </w:rPr>
        <w:t xml:space="preserve">, </w:t>
      </w:r>
      <w:r w:rsidR="008E32DB">
        <w:rPr>
          <w:lang w:val="en-CA"/>
        </w:rPr>
        <w:t xml:space="preserve">that it </w:t>
      </w:r>
      <w:r w:rsidRPr="00E20A08">
        <w:rPr>
          <w:lang w:val="en-CA"/>
        </w:rPr>
        <w:t>undermines the exercise of the rights granted by this provision.</w:t>
      </w:r>
      <w:r w:rsidRPr="00E20A08">
        <w:rPr>
          <w:rStyle w:val="Appelnotedebasdep"/>
          <w:lang w:val="en-CA"/>
        </w:rPr>
        <w:footnoteReference w:id="78"/>
      </w:r>
    </w:p>
    <w:p w14:paraId="0A98CE58" w14:textId="2E7192A0" w:rsidR="00640E7F" w:rsidRPr="00E20A08" w:rsidRDefault="00647D41" w:rsidP="00640E7F">
      <w:pPr>
        <w:pStyle w:val="Paragraphe"/>
        <w:rPr>
          <w:lang w:val="en-CA"/>
        </w:rPr>
      </w:pPr>
      <w:r w:rsidRPr="00E20A08">
        <w:rPr>
          <w:lang w:val="en-CA"/>
        </w:rPr>
        <w:t xml:space="preserve">On the first point, the appellant easily discharges his burden of proof: at the risk of repeating what I said earlier, the obligation to exercise his right conferred by the </w:t>
      </w:r>
      <w:r w:rsidRPr="00621F58">
        <w:rPr>
          <w:i/>
          <w:iCs/>
          <w:lang w:val="en-CA"/>
        </w:rPr>
        <w:t>Act</w:t>
      </w:r>
      <w:r w:rsidRPr="00E20A08">
        <w:rPr>
          <w:lang w:val="en-CA"/>
        </w:rPr>
        <w:t xml:space="preserve"> </w:t>
      </w:r>
      <w:r w:rsidRPr="00621F58">
        <w:rPr>
          <w:i/>
          <w:iCs/>
          <w:lang w:val="en-CA"/>
        </w:rPr>
        <w:t>respecting the Qu</w:t>
      </w:r>
      <w:r w:rsidR="00621F58">
        <w:rPr>
          <w:i/>
          <w:iCs/>
          <w:lang w:val="en-CA"/>
        </w:rPr>
        <w:t>é</w:t>
      </w:r>
      <w:r w:rsidRPr="00621F58">
        <w:rPr>
          <w:i/>
          <w:iCs/>
          <w:lang w:val="en-CA"/>
        </w:rPr>
        <w:t>bec Pension Plan</w:t>
      </w:r>
      <w:r w:rsidRPr="00E20A08">
        <w:rPr>
          <w:lang w:val="en-CA"/>
        </w:rPr>
        <w:t xml:space="preserve"> once he turns 60, which is an obligation that other contributors do</w:t>
      </w:r>
      <w:r w:rsidR="00621F58">
        <w:rPr>
          <w:lang w:val="en-CA"/>
        </w:rPr>
        <w:t xml:space="preserve"> not</w:t>
      </w:r>
      <w:r w:rsidRPr="00E20A08">
        <w:rPr>
          <w:lang w:val="en-CA"/>
        </w:rPr>
        <w:t xml:space="preserve"> have, is directly </w:t>
      </w:r>
      <w:r w:rsidR="00BA74E1">
        <w:rPr>
          <w:lang w:val="en-CA"/>
        </w:rPr>
        <w:t xml:space="preserve">based on </w:t>
      </w:r>
      <w:r w:rsidRPr="00E20A08">
        <w:rPr>
          <w:lang w:val="en-CA"/>
        </w:rPr>
        <w:t>his stat</w:t>
      </w:r>
      <w:r w:rsidR="00621F58">
        <w:rPr>
          <w:lang w:val="en-CA"/>
        </w:rPr>
        <w:t>us</w:t>
      </w:r>
      <w:r w:rsidRPr="00E20A08">
        <w:rPr>
          <w:lang w:val="en-CA"/>
        </w:rPr>
        <w:t xml:space="preserve"> as a </w:t>
      </w:r>
      <w:r w:rsidR="00807E9A">
        <w:rPr>
          <w:lang w:val="en-CA"/>
        </w:rPr>
        <w:t xml:space="preserve">recipient </w:t>
      </w:r>
      <w:r w:rsidRPr="00E20A08">
        <w:rPr>
          <w:lang w:val="en-CA"/>
        </w:rPr>
        <w:t xml:space="preserve">of the assistance regime </w:t>
      </w:r>
      <w:r w:rsidR="00621F58">
        <w:rPr>
          <w:lang w:val="en-CA"/>
        </w:rPr>
        <w:t xml:space="preserve">established </w:t>
      </w:r>
      <w:r w:rsidRPr="00E20A08">
        <w:rPr>
          <w:lang w:val="en-CA"/>
        </w:rPr>
        <w:t xml:space="preserve">by the </w:t>
      </w:r>
      <w:r w:rsidRPr="00621F58">
        <w:rPr>
          <w:i/>
          <w:iCs/>
          <w:lang w:val="en-CA"/>
        </w:rPr>
        <w:t>Individual and Family Assistance Act</w:t>
      </w:r>
      <w:r w:rsidRPr="00E20A08">
        <w:rPr>
          <w:lang w:val="en-CA"/>
        </w:rPr>
        <w:t xml:space="preserve">, which </w:t>
      </w:r>
      <w:r w:rsidR="00621F58">
        <w:rPr>
          <w:lang w:val="en-CA"/>
        </w:rPr>
        <w:t>penalizes</w:t>
      </w:r>
      <w:r w:rsidRPr="00E20A08">
        <w:rPr>
          <w:lang w:val="en-CA"/>
        </w:rPr>
        <w:t xml:space="preserve"> failure through the loss, suspension, or reduction of the assistance in question.</w:t>
      </w:r>
      <w:r w:rsidR="006979E7" w:rsidRPr="00E20A08">
        <w:rPr>
          <w:lang w:val="en-CA"/>
        </w:rPr>
        <w:t xml:space="preserve"> </w:t>
      </w:r>
      <w:r w:rsidRPr="00E20A08">
        <w:rPr>
          <w:lang w:val="en-CA"/>
        </w:rPr>
        <w:t xml:space="preserve">The differential treatment stems directly from the combination of </w:t>
      </w:r>
      <w:r w:rsidR="001F1E84">
        <w:rPr>
          <w:lang w:val="en-CA"/>
        </w:rPr>
        <w:t>ss.</w:t>
      </w:r>
      <w:r w:rsidR="006979E7" w:rsidRPr="00E20A08">
        <w:rPr>
          <w:lang w:val="en-CA"/>
        </w:rPr>
        <w:t xml:space="preserve"> </w:t>
      </w:r>
      <w:r w:rsidR="00F35761" w:rsidRPr="00E20A08">
        <w:rPr>
          <w:lang w:val="en-CA"/>
        </w:rPr>
        <w:t xml:space="preserve">63 and 66 </w:t>
      </w:r>
      <w:r w:rsidR="00040F5E" w:rsidRPr="00621F58">
        <w:rPr>
          <w:i/>
          <w:iCs/>
          <w:lang w:val="en-CA"/>
        </w:rPr>
        <w:t>I.F.A.A.</w:t>
      </w:r>
      <w:r w:rsidR="006979E7" w:rsidRPr="00621F58">
        <w:rPr>
          <w:i/>
          <w:iCs/>
          <w:lang w:val="en-CA"/>
        </w:rPr>
        <w:t xml:space="preserve"> </w:t>
      </w:r>
    </w:p>
    <w:p w14:paraId="2330C1B0" w14:textId="385056B1" w:rsidR="00640E7F" w:rsidRPr="00E20A08" w:rsidRDefault="00647D41" w:rsidP="00640E7F">
      <w:pPr>
        <w:pStyle w:val="Paragraphe"/>
        <w:rPr>
          <w:lang w:val="en-CA"/>
        </w:rPr>
      </w:pPr>
      <w:r w:rsidRPr="00E20A08">
        <w:rPr>
          <w:lang w:val="en-CA"/>
        </w:rPr>
        <w:t xml:space="preserve">But the second point is where the problem arises, where the appellant </w:t>
      </w:r>
      <w:r w:rsidR="00807E9A">
        <w:rPr>
          <w:lang w:val="en-CA"/>
        </w:rPr>
        <w:t>fails</w:t>
      </w:r>
      <w:r w:rsidRPr="00E20A08">
        <w:rPr>
          <w:lang w:val="en-CA"/>
        </w:rPr>
        <w:t xml:space="preserve"> to establish that this obligation causes him harm.</w:t>
      </w:r>
      <w:r w:rsidR="006979E7" w:rsidRPr="00E20A08">
        <w:rPr>
          <w:lang w:val="en-CA"/>
        </w:rPr>
        <w:t xml:space="preserve"> </w:t>
      </w:r>
      <w:r w:rsidRPr="00E20A08">
        <w:rPr>
          <w:lang w:val="en-CA"/>
        </w:rPr>
        <w:t xml:space="preserve">In this case, the appellant believes that he was deprived of the freedom to choose that is recognized for every other Quebec contributor and that he was thereby prevented from maximizing the pension that his previous contributions could </w:t>
      </w:r>
      <w:r w:rsidR="00807E9A">
        <w:rPr>
          <w:lang w:val="en-CA"/>
        </w:rPr>
        <w:t xml:space="preserve">have </w:t>
      </w:r>
      <w:r w:rsidRPr="00E20A08">
        <w:rPr>
          <w:lang w:val="en-CA"/>
        </w:rPr>
        <w:t>generate</w:t>
      </w:r>
      <w:r w:rsidR="00807E9A">
        <w:rPr>
          <w:lang w:val="en-CA"/>
        </w:rPr>
        <w:t>d</w:t>
      </w:r>
      <w:r w:rsidRPr="00E20A08">
        <w:rPr>
          <w:lang w:val="en-CA"/>
        </w:rPr>
        <w:t xml:space="preserve"> at the age of 65 </w:t>
      </w:r>
      <w:r w:rsidR="00807E9A">
        <w:rPr>
          <w:lang w:val="en-CA"/>
        </w:rPr>
        <w:t xml:space="preserve">had he not been </w:t>
      </w:r>
      <w:r w:rsidRPr="00E20A08">
        <w:rPr>
          <w:lang w:val="en-CA"/>
        </w:rPr>
        <w:t xml:space="preserve">forced to </w:t>
      </w:r>
      <w:r w:rsidR="00807E9A">
        <w:rPr>
          <w:lang w:val="en-CA"/>
        </w:rPr>
        <w:t>claim it</w:t>
      </w:r>
      <w:r w:rsidR="00807E9A" w:rsidRPr="00E20A08">
        <w:rPr>
          <w:lang w:val="en-CA"/>
        </w:rPr>
        <w:t xml:space="preserve"> </w:t>
      </w:r>
      <w:r w:rsidRPr="00E20A08">
        <w:rPr>
          <w:lang w:val="en-CA"/>
        </w:rPr>
        <w:t>at the age of 60.</w:t>
      </w:r>
      <w:r w:rsidR="006979E7" w:rsidRPr="00E20A08">
        <w:rPr>
          <w:lang w:val="en-CA"/>
        </w:rPr>
        <w:t xml:space="preserve"> </w:t>
      </w:r>
      <w:r w:rsidRPr="00E20A08">
        <w:rPr>
          <w:lang w:val="en-CA"/>
        </w:rPr>
        <w:t>He believes that he is thereby being unduly condemned to greater poverty than would otherwise be the case.</w:t>
      </w:r>
      <w:r w:rsidR="006979E7" w:rsidRPr="00E20A08">
        <w:rPr>
          <w:lang w:val="en-CA"/>
        </w:rPr>
        <w:t xml:space="preserve"> </w:t>
      </w:r>
    </w:p>
    <w:p w14:paraId="20834DDD" w14:textId="60DE83FE" w:rsidR="00640E7F" w:rsidRPr="005A1CC2" w:rsidRDefault="00647D41" w:rsidP="00640E7F">
      <w:pPr>
        <w:pStyle w:val="Paragraphe"/>
        <w:rPr>
          <w:lang w:val="en-CA"/>
        </w:rPr>
      </w:pPr>
      <w:r w:rsidRPr="005A1CC2">
        <w:rPr>
          <w:lang w:val="en-CA"/>
        </w:rPr>
        <w:t xml:space="preserve">Even </w:t>
      </w:r>
      <w:r w:rsidR="00FB46A9">
        <w:rPr>
          <w:lang w:val="en-CA"/>
        </w:rPr>
        <w:t xml:space="preserve">in the </w:t>
      </w:r>
      <w:r w:rsidRPr="005A1CC2">
        <w:rPr>
          <w:lang w:val="en-CA"/>
        </w:rPr>
        <w:t>broad</w:t>
      </w:r>
      <w:r w:rsidR="00FB46A9">
        <w:rPr>
          <w:lang w:val="en-CA"/>
        </w:rPr>
        <w:t xml:space="preserve">est </w:t>
      </w:r>
      <w:r w:rsidRPr="005A1CC2">
        <w:rPr>
          <w:lang w:val="en-CA"/>
        </w:rPr>
        <w:t xml:space="preserve">and </w:t>
      </w:r>
      <w:r w:rsidR="00FB46A9">
        <w:rPr>
          <w:lang w:val="en-CA"/>
        </w:rPr>
        <w:t xml:space="preserve">most </w:t>
      </w:r>
      <w:r w:rsidRPr="005A1CC2">
        <w:rPr>
          <w:lang w:val="en-CA"/>
        </w:rPr>
        <w:t xml:space="preserve">generous </w:t>
      </w:r>
      <w:r w:rsidR="00FB46A9">
        <w:rPr>
          <w:lang w:val="en-CA"/>
        </w:rPr>
        <w:t>sense, in the interests of</w:t>
      </w:r>
      <w:r w:rsidR="005A1CC2" w:rsidRPr="005A1CC2">
        <w:rPr>
          <w:lang w:val="en-CA"/>
        </w:rPr>
        <w:t xml:space="preserve"> </w:t>
      </w:r>
      <w:r w:rsidRPr="005A1CC2">
        <w:rPr>
          <w:lang w:val="en-CA"/>
        </w:rPr>
        <w:t xml:space="preserve">substantive and not simply formal equality, I find that the Court </w:t>
      </w:r>
      <w:r w:rsidR="00FB46A9">
        <w:rPr>
          <w:lang w:val="en-CA"/>
        </w:rPr>
        <w:t>cannot conclude here</w:t>
      </w:r>
      <w:r w:rsidRPr="005A1CC2">
        <w:rPr>
          <w:lang w:val="en-CA"/>
        </w:rPr>
        <w:t xml:space="preserve"> that there has been </w:t>
      </w:r>
      <w:r w:rsidRPr="005A1CC2">
        <w:rPr>
          <w:lang w:val="en-CA"/>
        </w:rPr>
        <w:lastRenderedPageBreak/>
        <w:t xml:space="preserve">a genuine disadvantage that violates the </w:t>
      </w:r>
      <w:r w:rsidRPr="005A1CC2">
        <w:rPr>
          <w:i/>
          <w:iCs/>
          <w:lang w:val="en-CA"/>
        </w:rPr>
        <w:t>Canadian</w:t>
      </w:r>
      <w:r w:rsidRPr="005A1CC2">
        <w:rPr>
          <w:lang w:val="en-CA"/>
        </w:rPr>
        <w:t xml:space="preserve"> </w:t>
      </w:r>
      <w:r w:rsidRPr="005A1CC2">
        <w:rPr>
          <w:i/>
          <w:iCs/>
          <w:lang w:val="en-CA"/>
        </w:rPr>
        <w:t>Charter</w:t>
      </w:r>
      <w:r w:rsidRPr="005A1CC2">
        <w:rPr>
          <w:lang w:val="en-CA"/>
        </w:rPr>
        <w:t xml:space="preserve"> or, in the case of the </w:t>
      </w:r>
      <w:r w:rsidRPr="005A1CC2">
        <w:rPr>
          <w:i/>
          <w:iCs/>
          <w:lang w:val="en-CA"/>
        </w:rPr>
        <w:t>Quebec</w:t>
      </w:r>
      <w:r w:rsidRPr="005A1CC2">
        <w:rPr>
          <w:lang w:val="en-CA"/>
        </w:rPr>
        <w:t xml:space="preserve"> </w:t>
      </w:r>
      <w:r w:rsidRPr="005A1CC2">
        <w:rPr>
          <w:i/>
          <w:iCs/>
          <w:lang w:val="en-CA"/>
        </w:rPr>
        <w:t>Charter</w:t>
      </w:r>
      <w:r w:rsidRPr="005A1CC2">
        <w:rPr>
          <w:lang w:val="en-CA"/>
        </w:rPr>
        <w:t xml:space="preserve">, undermines the full and equal exercise of the rights recognized by </w:t>
      </w:r>
      <w:r w:rsidR="001F1E84" w:rsidRPr="005A1CC2">
        <w:rPr>
          <w:lang w:val="en-CA"/>
        </w:rPr>
        <w:t>ss.</w:t>
      </w:r>
      <w:r w:rsidR="005A1CC2">
        <w:rPr>
          <w:lang w:val="en-CA"/>
        </w:rPr>
        <w:t> </w:t>
      </w:r>
      <w:r w:rsidRPr="005A1CC2">
        <w:rPr>
          <w:lang w:val="en-CA"/>
        </w:rPr>
        <w:t>4, 12 or 45.</w:t>
      </w:r>
      <w:r w:rsidR="006979E7" w:rsidRPr="005A1CC2">
        <w:rPr>
          <w:lang w:val="en-CA"/>
        </w:rPr>
        <w:t xml:space="preserve"> </w:t>
      </w:r>
    </w:p>
    <w:p w14:paraId="684ED15A" w14:textId="71431628" w:rsidR="0079751C" w:rsidRPr="00E20A08" w:rsidRDefault="00647D41" w:rsidP="00640E7F">
      <w:pPr>
        <w:pStyle w:val="Paragraphe"/>
        <w:rPr>
          <w:lang w:val="en-CA"/>
        </w:rPr>
      </w:pPr>
      <w:r w:rsidRPr="00E20A08">
        <w:rPr>
          <w:lang w:val="en-CA"/>
        </w:rPr>
        <w:t>Of course, the fact that</w:t>
      </w:r>
      <w:r w:rsidR="008257B7" w:rsidRPr="00E20A08">
        <w:rPr>
          <w:lang w:val="en-CA"/>
        </w:rPr>
        <w:t xml:space="preserve"> the appellant lost the social assistance </w:t>
      </w:r>
      <w:r w:rsidR="00FB46A9">
        <w:rPr>
          <w:lang w:val="en-CA"/>
        </w:rPr>
        <w:t xml:space="preserve">benefits </w:t>
      </w:r>
      <w:r w:rsidR="008257B7" w:rsidRPr="00E20A08">
        <w:rPr>
          <w:lang w:val="en-CA"/>
        </w:rPr>
        <w:t xml:space="preserve">he was entitled to </w:t>
      </w:r>
      <w:r w:rsidRPr="00E20A08">
        <w:rPr>
          <w:lang w:val="en-CA"/>
        </w:rPr>
        <w:t xml:space="preserve">because of </w:t>
      </w:r>
      <w:r w:rsidR="006C5BE4">
        <w:rPr>
          <w:lang w:val="en-CA"/>
        </w:rPr>
        <w:t>s.</w:t>
      </w:r>
      <w:r w:rsidRPr="00E20A08">
        <w:rPr>
          <w:lang w:val="en-CA"/>
        </w:rPr>
        <w:t xml:space="preserve"> 66 </w:t>
      </w:r>
      <w:r w:rsidR="00040F5E" w:rsidRPr="005A1CC2">
        <w:rPr>
          <w:i/>
          <w:iCs/>
          <w:lang w:val="en-CA"/>
        </w:rPr>
        <w:t>I</w:t>
      </w:r>
      <w:r w:rsidR="00040F5E">
        <w:rPr>
          <w:lang w:val="en-CA"/>
        </w:rPr>
        <w:t>.</w:t>
      </w:r>
      <w:r w:rsidR="00040F5E" w:rsidRPr="005A1CC2">
        <w:rPr>
          <w:i/>
          <w:iCs/>
          <w:lang w:val="en-CA"/>
        </w:rPr>
        <w:t>F.A.A</w:t>
      </w:r>
      <w:r w:rsidR="00040F5E">
        <w:rPr>
          <w:lang w:val="en-CA"/>
        </w:rPr>
        <w:t>.</w:t>
      </w:r>
      <w:r w:rsidR="008257B7" w:rsidRPr="00E20A08">
        <w:rPr>
          <w:lang w:val="en-CA"/>
        </w:rPr>
        <w:t xml:space="preserve"> </w:t>
      </w:r>
      <w:r w:rsidRPr="00E20A08">
        <w:rPr>
          <w:lang w:val="en-CA"/>
        </w:rPr>
        <w:t xml:space="preserve">caused him prejudice, within the narrow </w:t>
      </w:r>
      <w:r w:rsidR="008257B7" w:rsidRPr="00E20A08">
        <w:rPr>
          <w:lang w:val="en-CA"/>
        </w:rPr>
        <w:t>sense</w:t>
      </w:r>
      <w:r w:rsidRPr="00E20A08">
        <w:rPr>
          <w:lang w:val="en-CA"/>
        </w:rPr>
        <w:t xml:space="preserve"> of the term. </w:t>
      </w:r>
      <w:r w:rsidR="006979E7" w:rsidRPr="00E20A08">
        <w:rPr>
          <w:lang w:val="en-CA"/>
        </w:rPr>
        <w:t xml:space="preserve"> </w:t>
      </w:r>
      <w:r w:rsidRPr="00E20A08">
        <w:rPr>
          <w:lang w:val="en-CA"/>
        </w:rPr>
        <w:t>But that is not the question.</w:t>
      </w:r>
      <w:r w:rsidR="006979E7" w:rsidRPr="00E20A08">
        <w:rPr>
          <w:lang w:val="en-CA"/>
        </w:rPr>
        <w:t xml:space="preserve"> </w:t>
      </w:r>
      <w:r w:rsidR="009A6D0E" w:rsidRPr="00E20A08">
        <w:rPr>
          <w:lang w:val="en-CA"/>
        </w:rPr>
        <w:t xml:space="preserve">Rather, the question is whether the obligation, thus </w:t>
      </w:r>
      <w:r w:rsidR="005A1CC2">
        <w:rPr>
          <w:lang w:val="en-CA"/>
        </w:rPr>
        <w:t>penalized</w:t>
      </w:r>
      <w:r w:rsidR="009A6D0E" w:rsidRPr="00E20A08">
        <w:rPr>
          <w:lang w:val="en-CA"/>
        </w:rPr>
        <w:t xml:space="preserve">, imposed on the appellant and </w:t>
      </w:r>
      <w:r w:rsidR="00ED2690" w:rsidRPr="00E20A08">
        <w:rPr>
          <w:lang w:val="en-CA"/>
        </w:rPr>
        <w:t>other</w:t>
      </w:r>
      <w:r w:rsidR="009A6D0E" w:rsidRPr="00E20A08">
        <w:rPr>
          <w:lang w:val="en-CA"/>
        </w:rPr>
        <w:t xml:space="preserve"> last re</w:t>
      </w:r>
      <w:r w:rsidR="005A1CC2">
        <w:rPr>
          <w:lang w:val="en-CA"/>
        </w:rPr>
        <w:t>s</w:t>
      </w:r>
      <w:r w:rsidR="009A6D0E" w:rsidRPr="00E20A08">
        <w:rPr>
          <w:lang w:val="en-CA"/>
        </w:rPr>
        <w:t xml:space="preserve">ort financial </w:t>
      </w:r>
      <w:r w:rsidR="008249BD" w:rsidRPr="00E20A08">
        <w:rPr>
          <w:lang w:val="en-CA"/>
        </w:rPr>
        <w:t>assistance recipients</w:t>
      </w:r>
      <w:r w:rsidR="008249BD">
        <w:rPr>
          <w:lang w:val="en-CA"/>
        </w:rPr>
        <w:t xml:space="preserve"> </w:t>
      </w:r>
      <w:r w:rsidR="009A6D0E" w:rsidRPr="00E20A08">
        <w:rPr>
          <w:lang w:val="en-CA"/>
        </w:rPr>
        <w:t xml:space="preserve">by </w:t>
      </w:r>
      <w:r w:rsidR="006C5BE4">
        <w:rPr>
          <w:lang w:val="en-CA"/>
        </w:rPr>
        <w:t>s.</w:t>
      </w:r>
      <w:r w:rsidR="009A6D0E" w:rsidRPr="00E20A08">
        <w:rPr>
          <w:lang w:val="en-CA"/>
        </w:rPr>
        <w:t xml:space="preserve"> 63 </w:t>
      </w:r>
      <w:r w:rsidR="00040F5E">
        <w:rPr>
          <w:lang w:val="en-CA"/>
        </w:rPr>
        <w:t>I.F.A.A.</w:t>
      </w:r>
      <w:r w:rsidR="009A6D0E" w:rsidRPr="00E20A08">
        <w:rPr>
          <w:lang w:val="en-CA"/>
        </w:rPr>
        <w:t xml:space="preserve"> to claim their pension as soon as they turn 60 (and, more generally, before age 65) constitutes a burden or </w:t>
      </w:r>
      <w:r w:rsidR="008249BD">
        <w:rPr>
          <w:lang w:val="en-CA"/>
        </w:rPr>
        <w:t>the</w:t>
      </w:r>
      <w:r w:rsidR="008249BD" w:rsidRPr="00E20A08">
        <w:rPr>
          <w:lang w:val="en-CA"/>
        </w:rPr>
        <w:t xml:space="preserve"> </w:t>
      </w:r>
      <w:r w:rsidR="009A6D0E" w:rsidRPr="00E20A08">
        <w:rPr>
          <w:lang w:val="en-CA"/>
        </w:rPr>
        <w:t>denial of a benefit</w:t>
      </w:r>
      <w:r w:rsidR="006979E7" w:rsidRPr="00E20A08">
        <w:rPr>
          <w:lang w:val="en-CA"/>
        </w:rPr>
        <w:t>.</w:t>
      </w:r>
      <w:r w:rsidR="006979E7" w:rsidRPr="00E20A08">
        <w:rPr>
          <w:rStyle w:val="Appelnotedebasdep"/>
          <w:lang w:val="en-CA"/>
        </w:rPr>
        <w:footnoteReference w:id="79"/>
      </w:r>
      <w:r w:rsidR="005A1CC2">
        <w:rPr>
          <w:lang w:val="en-CA"/>
        </w:rPr>
        <w:t xml:space="preserve"> </w:t>
      </w:r>
      <w:r w:rsidR="009A6D0E" w:rsidRPr="00E20A08">
        <w:rPr>
          <w:lang w:val="en-CA"/>
        </w:rPr>
        <w:t xml:space="preserve">As I have already noted, surely there is a difference between the appellant (and persons in similar situations) and contributors who do not receive last resort financial assistance: the former, unlike the latter, cannot choose when to claim </w:t>
      </w:r>
      <w:r w:rsidR="005A1CC2">
        <w:rPr>
          <w:lang w:val="en-CA"/>
        </w:rPr>
        <w:t>their</w:t>
      </w:r>
      <w:r w:rsidR="009A6D0E" w:rsidRPr="00E20A08">
        <w:rPr>
          <w:lang w:val="en-CA"/>
        </w:rPr>
        <w:t xml:space="preserve"> pension.</w:t>
      </w:r>
      <w:r w:rsidR="006979E7" w:rsidRPr="00E20A08">
        <w:rPr>
          <w:lang w:val="en-CA"/>
        </w:rPr>
        <w:t xml:space="preserve"> </w:t>
      </w:r>
      <w:r w:rsidR="009A6D0E" w:rsidRPr="00E20A08">
        <w:rPr>
          <w:lang w:val="en-CA"/>
        </w:rPr>
        <w:t xml:space="preserve">But does this difference </w:t>
      </w:r>
      <w:r w:rsidR="008249BD" w:rsidRPr="00E20A08">
        <w:rPr>
          <w:lang w:val="en-CA"/>
        </w:rPr>
        <w:t>c</w:t>
      </w:r>
      <w:r w:rsidR="008249BD">
        <w:rPr>
          <w:lang w:val="en-CA"/>
        </w:rPr>
        <w:t>reate</w:t>
      </w:r>
      <w:r w:rsidR="008249BD" w:rsidRPr="00E20A08">
        <w:rPr>
          <w:lang w:val="en-CA"/>
        </w:rPr>
        <w:t xml:space="preserve"> </w:t>
      </w:r>
      <w:r w:rsidR="009A6D0E" w:rsidRPr="00E20A08">
        <w:rPr>
          <w:lang w:val="en-CA"/>
        </w:rPr>
        <w:t>a disadvantage?</w:t>
      </w:r>
      <w:r w:rsidR="006979E7" w:rsidRPr="00E20A08">
        <w:rPr>
          <w:lang w:val="en-CA"/>
        </w:rPr>
        <w:t xml:space="preserve"> </w:t>
      </w:r>
    </w:p>
    <w:p w14:paraId="32C26122" w14:textId="5E57CCE0" w:rsidR="00640E7F" w:rsidRPr="00E20A08" w:rsidRDefault="009A6D0E" w:rsidP="00640E7F">
      <w:pPr>
        <w:pStyle w:val="Paragraphe"/>
        <w:rPr>
          <w:lang w:val="en-CA"/>
        </w:rPr>
      </w:pPr>
      <w:r w:rsidRPr="00E20A08">
        <w:rPr>
          <w:lang w:val="en-CA"/>
        </w:rPr>
        <w:t>Unfortunately, the statement the appellant</w:t>
      </w:r>
      <w:r w:rsidR="003D7C0E">
        <w:rPr>
          <w:lang w:val="en-CA"/>
        </w:rPr>
        <w:t xml:space="preserve"> </w:t>
      </w:r>
      <w:r w:rsidRPr="00E20A08">
        <w:rPr>
          <w:lang w:val="en-CA"/>
        </w:rPr>
        <w:t>makes before us begs the question.</w:t>
      </w:r>
    </w:p>
    <w:p w14:paraId="66151D5B" w14:textId="38EFCBF0" w:rsidR="00640E7F" w:rsidRPr="00E20A08" w:rsidRDefault="009A6D0E" w:rsidP="00640E7F">
      <w:pPr>
        <w:pStyle w:val="Paragraphe"/>
        <w:rPr>
          <w:lang w:val="en-CA"/>
        </w:rPr>
      </w:pPr>
      <w:r w:rsidRPr="00E20A08">
        <w:rPr>
          <w:lang w:val="en-CA"/>
        </w:rPr>
        <w:t xml:space="preserve">We should recall that when the appellant appeared before the </w:t>
      </w:r>
      <w:r w:rsidR="00DC31C3">
        <w:rPr>
          <w:lang w:val="en-CA"/>
        </w:rPr>
        <w:t>ATQ</w:t>
      </w:r>
      <w:r w:rsidRPr="00E20A08">
        <w:rPr>
          <w:lang w:val="en-CA"/>
        </w:rPr>
        <w:t>, when he was over age 65, he declared that he was receiving a pension of $804 per month ($9,648/year).</w:t>
      </w:r>
      <w:r w:rsidRPr="00E20A08">
        <w:rPr>
          <w:rStyle w:val="Appelnotedebasdep"/>
          <w:lang w:val="en-CA"/>
        </w:rPr>
        <w:footnoteReference w:id="80"/>
      </w:r>
      <w:r w:rsidR="006979E7" w:rsidRPr="00E20A08">
        <w:rPr>
          <w:lang w:val="en-CA"/>
        </w:rPr>
        <w:t xml:space="preserve"> </w:t>
      </w:r>
      <w:r w:rsidRPr="00E20A08">
        <w:rPr>
          <w:lang w:val="en-CA"/>
        </w:rPr>
        <w:t xml:space="preserve">How much would he have </w:t>
      </w:r>
      <w:r w:rsidR="00ED2690" w:rsidRPr="00E20A08">
        <w:rPr>
          <w:lang w:val="en-CA"/>
        </w:rPr>
        <w:t>received</w:t>
      </w:r>
      <w:r w:rsidRPr="00E20A08">
        <w:rPr>
          <w:lang w:val="en-CA"/>
        </w:rPr>
        <w:t xml:space="preserve"> on that same date if he had claimed his pension as soon as he turned 60?</w:t>
      </w:r>
      <w:r w:rsidR="006979E7" w:rsidRPr="00E20A08">
        <w:rPr>
          <w:lang w:val="en-CA"/>
        </w:rPr>
        <w:t xml:space="preserve"> </w:t>
      </w:r>
      <w:r w:rsidRPr="00E20A08">
        <w:rPr>
          <w:lang w:val="en-CA"/>
        </w:rPr>
        <w:t xml:space="preserve">According to his calculations, which the </w:t>
      </w:r>
      <w:r w:rsidR="00DC31C3">
        <w:rPr>
          <w:lang w:val="en-CA"/>
        </w:rPr>
        <w:t>ATQ</w:t>
      </w:r>
      <w:r w:rsidRPr="00E20A08">
        <w:rPr>
          <w:lang w:val="en-CA"/>
        </w:rPr>
        <w:t xml:space="preserve"> reports, this amount would have been $560, not $804.</w:t>
      </w:r>
      <w:r w:rsidR="006979E7" w:rsidRPr="00E20A08">
        <w:rPr>
          <w:lang w:val="en-CA"/>
        </w:rPr>
        <w:t xml:space="preserve"> </w:t>
      </w:r>
      <w:r w:rsidRPr="00E20A08">
        <w:rPr>
          <w:lang w:val="en-CA"/>
        </w:rPr>
        <w:t xml:space="preserve">Is this mathematical difference enough to find that a </w:t>
      </w:r>
      <w:r w:rsidR="00ED2690" w:rsidRPr="00E20A08">
        <w:rPr>
          <w:lang w:val="en-CA"/>
        </w:rPr>
        <w:t>disadvantage</w:t>
      </w:r>
      <w:r w:rsidRPr="00E20A08">
        <w:rPr>
          <w:lang w:val="en-CA"/>
        </w:rPr>
        <w:t xml:space="preserve"> exists?</w:t>
      </w:r>
      <w:r w:rsidR="006979E7" w:rsidRPr="00E20A08">
        <w:rPr>
          <w:lang w:val="en-CA"/>
        </w:rPr>
        <w:t xml:space="preserve"> </w:t>
      </w:r>
      <w:r w:rsidRPr="00E20A08">
        <w:rPr>
          <w:lang w:val="en-CA"/>
        </w:rPr>
        <w:t>The answer must be no.</w:t>
      </w:r>
      <w:r w:rsidR="006979E7" w:rsidRPr="00E20A08">
        <w:rPr>
          <w:lang w:val="en-CA"/>
        </w:rPr>
        <w:t xml:space="preserve"> </w:t>
      </w:r>
      <w:r w:rsidRPr="00E20A08">
        <w:rPr>
          <w:lang w:val="en-CA"/>
        </w:rPr>
        <w:t>As I stated above, the appeal record does not reproduce the testimony or the appellant’s calculations on paper, and it is obviously impossible to assess the contents or evaluate the reliability or credibility of that testimony and those calculations.</w:t>
      </w:r>
      <w:r w:rsidRPr="00E20A08">
        <w:rPr>
          <w:rStyle w:val="Appelnotedebasdep"/>
          <w:lang w:val="en-CA"/>
        </w:rPr>
        <w:footnoteReference w:id="81"/>
      </w:r>
      <w:r w:rsidR="006979E7" w:rsidRPr="00E20A08">
        <w:rPr>
          <w:lang w:val="en-CA"/>
        </w:rPr>
        <w:t xml:space="preserve"> </w:t>
      </w:r>
      <w:r w:rsidRPr="00E20A08">
        <w:rPr>
          <w:lang w:val="en-CA"/>
        </w:rPr>
        <w:t xml:space="preserve">We cannot even rely on the </w:t>
      </w:r>
      <w:r w:rsidR="00DC31C3">
        <w:rPr>
          <w:lang w:val="en-CA"/>
        </w:rPr>
        <w:t>ATQ</w:t>
      </w:r>
      <w:r w:rsidRPr="00E20A08">
        <w:rPr>
          <w:lang w:val="en-CA"/>
        </w:rPr>
        <w:t xml:space="preserve">, whose decision was silent on this subject and merely summarized the elements without commenting on them, other than to state that the appellant’s estimates were never validated by </w:t>
      </w:r>
      <w:proofErr w:type="spellStart"/>
      <w:r w:rsidRPr="00E20A08">
        <w:rPr>
          <w:lang w:val="en-CA"/>
        </w:rPr>
        <w:t>Retraite</w:t>
      </w:r>
      <w:proofErr w:type="spellEnd"/>
      <w:r w:rsidRPr="00E20A08">
        <w:rPr>
          <w:lang w:val="en-CA"/>
        </w:rPr>
        <w:t xml:space="preserve"> Québec, since he always refused to</w:t>
      </w:r>
      <w:r w:rsidR="006A57B2">
        <w:rPr>
          <w:lang w:val="en-CA"/>
        </w:rPr>
        <w:t xml:space="preserve"> </w:t>
      </w:r>
      <w:r w:rsidR="00DE7392">
        <w:rPr>
          <w:lang w:val="en-CA"/>
        </w:rPr>
        <w:t xml:space="preserve">contact </w:t>
      </w:r>
      <w:proofErr w:type="spellStart"/>
      <w:r w:rsidR="00DE7392">
        <w:rPr>
          <w:lang w:val="en-CA"/>
        </w:rPr>
        <w:t>Retraite</w:t>
      </w:r>
      <w:proofErr w:type="spellEnd"/>
      <w:r w:rsidR="00DE7392">
        <w:rPr>
          <w:lang w:val="en-CA"/>
        </w:rPr>
        <w:t xml:space="preserve"> Québec</w:t>
      </w:r>
      <w:r w:rsidRPr="00E20A08">
        <w:rPr>
          <w:lang w:val="en-CA"/>
        </w:rPr>
        <w:t>.</w:t>
      </w:r>
      <w:r w:rsidRPr="00E20A08">
        <w:rPr>
          <w:rStyle w:val="Appelnotedebasdep"/>
          <w:lang w:val="en-CA"/>
        </w:rPr>
        <w:footnoteReference w:id="82"/>
      </w:r>
      <w:r w:rsidR="006979E7" w:rsidRPr="00E20A08">
        <w:rPr>
          <w:lang w:val="en-CA"/>
        </w:rPr>
        <w:t xml:space="preserve"> </w:t>
      </w:r>
      <w:r w:rsidRPr="00E20A08">
        <w:rPr>
          <w:lang w:val="en-CA"/>
        </w:rPr>
        <w:t xml:space="preserve">We therefore do not know what the appellant would have </w:t>
      </w:r>
      <w:r w:rsidR="006A57B2">
        <w:rPr>
          <w:lang w:val="en-CA"/>
        </w:rPr>
        <w:t>been paid</w:t>
      </w:r>
      <w:r w:rsidRPr="00E20A08">
        <w:rPr>
          <w:lang w:val="en-CA"/>
        </w:rPr>
        <w:t xml:space="preserve"> in </w:t>
      </w:r>
      <w:r w:rsidR="00ED2690" w:rsidRPr="00E20A08">
        <w:rPr>
          <w:lang w:val="en-CA"/>
        </w:rPr>
        <w:t>retirement</w:t>
      </w:r>
      <w:r w:rsidRPr="00E20A08">
        <w:rPr>
          <w:lang w:val="en-CA"/>
        </w:rPr>
        <w:t xml:space="preserve"> pension between the ages of 60 and 65 if he had </w:t>
      </w:r>
      <w:r w:rsidR="00DE7392">
        <w:rPr>
          <w:lang w:val="en-CA"/>
        </w:rPr>
        <w:t>claimed</w:t>
      </w:r>
      <w:r w:rsidRPr="00E20A08">
        <w:rPr>
          <w:lang w:val="en-CA"/>
        </w:rPr>
        <w:t xml:space="preserve"> it; we also do not know what he would have received in residual social assistance before or after age 65 if he had claimed his </w:t>
      </w:r>
      <w:r w:rsidR="00ED2690" w:rsidRPr="00E20A08">
        <w:rPr>
          <w:lang w:val="en-CA"/>
        </w:rPr>
        <w:t>retirement</w:t>
      </w:r>
      <w:r w:rsidRPr="00E20A08">
        <w:rPr>
          <w:lang w:val="en-CA"/>
        </w:rPr>
        <w:t xml:space="preserve"> pension at the age of 60; we do not know what he receives or </w:t>
      </w:r>
      <w:r w:rsidR="00ED2690" w:rsidRPr="00E20A08">
        <w:rPr>
          <w:lang w:val="en-CA"/>
        </w:rPr>
        <w:t>would</w:t>
      </w:r>
      <w:r w:rsidRPr="00E20A08">
        <w:rPr>
          <w:lang w:val="en-CA"/>
        </w:rPr>
        <w:t xml:space="preserve"> have received in payment under other plans (old age security, guaranteed income supplement) as of the age of 65, and what his total income would have amounted to at that time; and finally, we do not know if or how his total income was affected in each different scenario.</w:t>
      </w:r>
      <w:r w:rsidR="006979E7" w:rsidRPr="00E20A08">
        <w:rPr>
          <w:lang w:val="en-CA"/>
        </w:rPr>
        <w:t xml:space="preserve"> </w:t>
      </w:r>
      <w:proofErr w:type="gramStart"/>
      <w:r w:rsidRPr="00E20A08">
        <w:rPr>
          <w:lang w:val="en-CA"/>
        </w:rPr>
        <w:lastRenderedPageBreak/>
        <w:t xml:space="preserve">It should be </w:t>
      </w:r>
      <w:r w:rsidR="00103E48" w:rsidRPr="00E20A08">
        <w:rPr>
          <w:lang w:val="en-CA"/>
        </w:rPr>
        <w:t>pointed</w:t>
      </w:r>
      <w:r w:rsidRPr="00E20A08">
        <w:rPr>
          <w:lang w:val="en-CA"/>
        </w:rPr>
        <w:t xml:space="preserve"> out that the</w:t>
      </w:r>
      <w:proofErr w:type="gramEnd"/>
      <w:r w:rsidRPr="00E20A08">
        <w:rPr>
          <w:lang w:val="en-CA"/>
        </w:rPr>
        <w:t xml:space="preserve"> respondent and the impleaded party admit none of the appellant’s factual claims.</w:t>
      </w:r>
    </w:p>
    <w:p w14:paraId="53141B40" w14:textId="0648FC87" w:rsidR="00640E7F" w:rsidRPr="00E20A08" w:rsidRDefault="009A6D0E" w:rsidP="00640E7F">
      <w:pPr>
        <w:pStyle w:val="Paragraphe"/>
        <w:rPr>
          <w:lang w:val="en-CA"/>
        </w:rPr>
      </w:pPr>
      <w:r w:rsidRPr="00E20A08">
        <w:rPr>
          <w:lang w:val="en-CA"/>
        </w:rPr>
        <w:t xml:space="preserve">The appeal record, as we know, also does not reproduce the testimony of Charles Cossette, interim head of </w:t>
      </w:r>
      <w:proofErr w:type="spellStart"/>
      <w:r w:rsidRPr="00E20A08">
        <w:rPr>
          <w:lang w:val="en-CA"/>
        </w:rPr>
        <w:t>Retraite</w:t>
      </w:r>
      <w:proofErr w:type="spellEnd"/>
      <w:r w:rsidRPr="00E20A08">
        <w:rPr>
          <w:lang w:val="en-CA"/>
        </w:rPr>
        <w:t xml:space="preserve"> Québec development and administration.</w:t>
      </w:r>
      <w:r w:rsidR="006979E7" w:rsidRPr="00E20A08">
        <w:rPr>
          <w:lang w:val="en-CA"/>
        </w:rPr>
        <w:t xml:space="preserve"> </w:t>
      </w:r>
      <w:r w:rsidRPr="00E20A08">
        <w:rPr>
          <w:lang w:val="en-CA"/>
        </w:rPr>
        <w:t xml:space="preserve">According to what the </w:t>
      </w:r>
      <w:r w:rsidR="00DC31C3">
        <w:rPr>
          <w:lang w:val="en-CA"/>
        </w:rPr>
        <w:t>ATQ</w:t>
      </w:r>
      <w:r w:rsidRPr="00E20A08">
        <w:rPr>
          <w:lang w:val="en-CA"/>
        </w:rPr>
        <w:t xml:space="preserve"> says on the subject, while conceding that, because of </w:t>
      </w:r>
      <w:r w:rsidR="006C5BE4">
        <w:rPr>
          <w:lang w:val="en-CA"/>
        </w:rPr>
        <w:t>s.</w:t>
      </w:r>
      <w:r w:rsidR="006979E7" w:rsidRPr="00E20A08">
        <w:rPr>
          <w:lang w:val="en-CA"/>
        </w:rPr>
        <w:t xml:space="preserve"> </w:t>
      </w:r>
      <w:r w:rsidRPr="00E20A08">
        <w:rPr>
          <w:lang w:val="en-CA"/>
        </w:rPr>
        <w:t>120.</w:t>
      </w:r>
      <w:r w:rsidRPr="006A57B2">
        <w:rPr>
          <w:lang w:val="en-CA"/>
        </w:rPr>
        <w:t>1</w:t>
      </w:r>
      <w:r w:rsidRPr="006A57B2">
        <w:rPr>
          <w:i/>
          <w:iCs/>
          <w:lang w:val="en-CA"/>
        </w:rPr>
        <w:t xml:space="preserve"> </w:t>
      </w:r>
      <w:r w:rsidR="00767F85">
        <w:rPr>
          <w:i/>
          <w:iCs/>
          <w:lang w:val="en-CA"/>
        </w:rPr>
        <w:t>A.Q.P.P</w:t>
      </w:r>
      <w:r w:rsidR="00040F5E" w:rsidRPr="006A57B2">
        <w:rPr>
          <w:lang w:val="en-CA"/>
        </w:rPr>
        <w:t>.</w:t>
      </w:r>
      <w:r w:rsidRPr="006A57B2">
        <w:rPr>
          <w:lang w:val="en-CA"/>
        </w:rPr>
        <w:t>, the</w:t>
      </w:r>
      <w:r w:rsidRPr="00E20A08">
        <w:rPr>
          <w:lang w:val="en-CA"/>
        </w:rPr>
        <w:t xml:space="preserve"> </w:t>
      </w:r>
      <w:r w:rsidR="00103E48" w:rsidRPr="00E20A08">
        <w:rPr>
          <w:lang w:val="en-CA"/>
        </w:rPr>
        <w:t>pension</w:t>
      </w:r>
      <w:r w:rsidRPr="00E20A08">
        <w:rPr>
          <w:lang w:val="en-CA"/>
        </w:rPr>
        <w:t xml:space="preserve"> obtained at the age of 65 by a </w:t>
      </w:r>
      <w:r w:rsidR="00103E48" w:rsidRPr="00E20A08">
        <w:rPr>
          <w:lang w:val="en-CA"/>
        </w:rPr>
        <w:t>person</w:t>
      </w:r>
      <w:r w:rsidRPr="00E20A08">
        <w:rPr>
          <w:lang w:val="en-CA"/>
        </w:rPr>
        <w:t xml:space="preserve"> who asked for it before that age would indeed be a lower amount. Mr. Cossette explains, however, that this does not necessarily mean a disadvantage: it may have a neutral effect or even constitute an economic advantage (including in the case of a last resort financial assistance </w:t>
      </w:r>
      <w:r w:rsidR="00DE7392">
        <w:rPr>
          <w:lang w:val="en-CA"/>
        </w:rPr>
        <w:t>recipient</w:t>
      </w:r>
      <w:r w:rsidRPr="00E20A08">
        <w:rPr>
          <w:lang w:val="en-CA"/>
        </w:rPr>
        <w:t xml:space="preserve">), </w:t>
      </w:r>
      <w:proofErr w:type="gramStart"/>
      <w:r w:rsidRPr="00E20A08">
        <w:rPr>
          <w:lang w:val="en-CA"/>
        </w:rPr>
        <w:t>in particular thanks to</w:t>
      </w:r>
      <w:proofErr w:type="gramEnd"/>
      <w:r w:rsidRPr="00E20A08">
        <w:rPr>
          <w:lang w:val="en-CA"/>
        </w:rPr>
        <w:t xml:space="preserve"> the impact of the other support regimes for which the appellant and persons in his </w:t>
      </w:r>
      <w:r w:rsidR="00103E48" w:rsidRPr="00E20A08">
        <w:rPr>
          <w:lang w:val="en-CA"/>
        </w:rPr>
        <w:t>situation</w:t>
      </w:r>
      <w:r w:rsidRPr="00E20A08">
        <w:rPr>
          <w:lang w:val="en-CA"/>
        </w:rPr>
        <w:t xml:space="preserve"> are eligible as of the age of 65.</w:t>
      </w:r>
      <w:r w:rsidR="006979E7" w:rsidRPr="00E20A08">
        <w:rPr>
          <w:lang w:val="en-CA"/>
        </w:rPr>
        <w:t xml:space="preserve"> </w:t>
      </w:r>
      <w:r w:rsidRPr="00E20A08">
        <w:rPr>
          <w:lang w:val="en-CA"/>
        </w:rPr>
        <w:t xml:space="preserve">Placing ourselves at the end of the contributors’ lives, thanks to adjustments and indexations, there </w:t>
      </w:r>
      <w:r w:rsidR="006A57B2">
        <w:rPr>
          <w:lang w:val="en-CA"/>
        </w:rPr>
        <w:t xml:space="preserve">is also </w:t>
      </w:r>
      <w:r w:rsidRPr="00E20A08">
        <w:rPr>
          <w:lang w:val="en-CA"/>
        </w:rPr>
        <w:t xml:space="preserve">an actuarial equivalence </w:t>
      </w:r>
      <w:r w:rsidR="006A57B2">
        <w:rPr>
          <w:lang w:val="en-CA"/>
        </w:rPr>
        <w:t xml:space="preserve">between </w:t>
      </w:r>
      <w:r w:rsidRPr="00E20A08">
        <w:rPr>
          <w:lang w:val="en-CA"/>
        </w:rPr>
        <w:t xml:space="preserve">the amounts received by the contributor who claims </w:t>
      </w:r>
      <w:r w:rsidR="006A57B2">
        <w:rPr>
          <w:lang w:val="en-CA"/>
        </w:rPr>
        <w:t xml:space="preserve">their </w:t>
      </w:r>
      <w:r w:rsidRPr="00E20A08">
        <w:rPr>
          <w:lang w:val="en-CA"/>
        </w:rPr>
        <w:t xml:space="preserve">pension before the age of 65 and that received by </w:t>
      </w:r>
      <w:r w:rsidR="006A57B2">
        <w:rPr>
          <w:lang w:val="en-CA"/>
        </w:rPr>
        <w:t xml:space="preserve">a </w:t>
      </w:r>
      <w:r w:rsidRPr="00E20A08">
        <w:rPr>
          <w:lang w:val="en-CA"/>
        </w:rPr>
        <w:t>person who claims at age 65.</w:t>
      </w:r>
      <w:r w:rsidR="006979E7" w:rsidRPr="00E20A08">
        <w:rPr>
          <w:lang w:val="en-CA"/>
        </w:rPr>
        <w:t xml:space="preserve"> </w:t>
      </w:r>
      <w:r w:rsidR="00565E8F" w:rsidRPr="00E20A08">
        <w:rPr>
          <w:lang w:val="en-CA"/>
        </w:rPr>
        <w:t xml:space="preserve">Did witness Cossette file a report on this subject, explanatory tables, </w:t>
      </w:r>
      <w:r w:rsidR="006A57B2">
        <w:rPr>
          <w:lang w:val="en-CA"/>
        </w:rPr>
        <w:t xml:space="preserve">or </w:t>
      </w:r>
      <w:r w:rsidR="00565E8F" w:rsidRPr="00E20A08">
        <w:rPr>
          <w:lang w:val="en-CA"/>
        </w:rPr>
        <w:t xml:space="preserve">comparative scenarios illustrating concrete short-, medium-, and long-term effects of payment of a pension before the age of 65 and of payment </w:t>
      </w:r>
      <w:r w:rsidR="006A57B2">
        <w:rPr>
          <w:lang w:val="en-CA"/>
        </w:rPr>
        <w:t xml:space="preserve">starting at </w:t>
      </w:r>
      <w:r w:rsidR="00565E8F" w:rsidRPr="00E20A08">
        <w:rPr>
          <w:lang w:val="en-CA"/>
        </w:rPr>
        <w:t xml:space="preserve">that age, </w:t>
      </w:r>
      <w:proofErr w:type="gramStart"/>
      <w:r w:rsidR="00565E8F" w:rsidRPr="00E20A08">
        <w:rPr>
          <w:lang w:val="en-CA"/>
        </w:rPr>
        <w:t>taking into account</w:t>
      </w:r>
      <w:proofErr w:type="gramEnd"/>
      <w:r w:rsidR="00565E8F" w:rsidRPr="00E20A08">
        <w:rPr>
          <w:lang w:val="en-CA"/>
        </w:rPr>
        <w:t xml:space="preserve"> the impact on social assistance payments?</w:t>
      </w:r>
      <w:r w:rsidR="006979E7" w:rsidRPr="00E20A08">
        <w:rPr>
          <w:lang w:val="en-CA"/>
        </w:rPr>
        <w:t xml:space="preserve"> </w:t>
      </w:r>
      <w:r w:rsidR="00565E8F" w:rsidRPr="00E20A08">
        <w:rPr>
          <w:lang w:val="en-CA"/>
        </w:rPr>
        <w:t xml:space="preserve">If such documents were filed (which the </w:t>
      </w:r>
      <w:r w:rsidR="00DC31C3">
        <w:rPr>
          <w:lang w:val="en-CA"/>
        </w:rPr>
        <w:t>ATQ</w:t>
      </w:r>
      <w:r w:rsidR="00565E8F" w:rsidRPr="00E20A08">
        <w:rPr>
          <w:lang w:val="en-CA"/>
        </w:rPr>
        <w:t xml:space="preserve"> decision does not mention), the appeal record does not reproduce them.</w:t>
      </w:r>
    </w:p>
    <w:p w14:paraId="4566555E" w14:textId="6A32324B" w:rsidR="00640E7F" w:rsidRPr="00E20A08" w:rsidRDefault="00565E8F" w:rsidP="00640E7F">
      <w:pPr>
        <w:pStyle w:val="Paragraphe"/>
        <w:rPr>
          <w:lang w:val="en-CA"/>
        </w:rPr>
      </w:pPr>
      <w:r w:rsidRPr="00E20A08">
        <w:rPr>
          <w:lang w:val="en-CA"/>
        </w:rPr>
        <w:t xml:space="preserve">That said, is witness </w:t>
      </w:r>
      <w:proofErr w:type="gramStart"/>
      <w:r w:rsidRPr="00E20A08">
        <w:rPr>
          <w:lang w:val="en-CA"/>
        </w:rPr>
        <w:t>Cossette</w:t>
      </w:r>
      <w:proofErr w:type="gramEnd"/>
      <w:r w:rsidRPr="00E20A08">
        <w:rPr>
          <w:lang w:val="en-CA"/>
        </w:rPr>
        <w:t xml:space="preserve"> right?</w:t>
      </w:r>
      <w:r w:rsidR="006979E7" w:rsidRPr="00E20A08">
        <w:rPr>
          <w:lang w:val="en-CA"/>
        </w:rPr>
        <w:t xml:space="preserve"> </w:t>
      </w:r>
      <w:r w:rsidRPr="00E20A08">
        <w:rPr>
          <w:lang w:val="en-CA"/>
        </w:rPr>
        <w:t xml:space="preserve">Although they appear plausible, the Court cannot precisely measure the value or accuracy of his explanations, on which the </w:t>
      </w:r>
      <w:r w:rsidR="00DC31C3">
        <w:rPr>
          <w:lang w:val="en-CA"/>
        </w:rPr>
        <w:t>ATQ</w:t>
      </w:r>
      <w:r w:rsidRPr="00E20A08">
        <w:rPr>
          <w:lang w:val="en-CA"/>
        </w:rPr>
        <w:t xml:space="preserve"> also does not comment, even though, if we read between the lines, it might be concluded that the administrative judges received them favourably.</w:t>
      </w:r>
    </w:p>
    <w:p w14:paraId="01E5DF4E" w14:textId="318FDA44" w:rsidR="00640E7F" w:rsidRPr="00E20A08" w:rsidRDefault="00565E8F" w:rsidP="00640E7F">
      <w:pPr>
        <w:pStyle w:val="Paragraphe"/>
        <w:rPr>
          <w:lang w:val="en-CA"/>
        </w:rPr>
      </w:pPr>
      <w:r w:rsidRPr="00E20A08">
        <w:rPr>
          <w:lang w:val="en-CA"/>
        </w:rPr>
        <w:t xml:space="preserve">From the </w:t>
      </w:r>
      <w:r w:rsidR="00DC31C3">
        <w:rPr>
          <w:lang w:val="en-CA"/>
        </w:rPr>
        <w:t>ATQ</w:t>
      </w:r>
      <w:r w:rsidRPr="00E20A08">
        <w:rPr>
          <w:lang w:val="en-CA"/>
        </w:rPr>
        <w:t xml:space="preserve">’s </w:t>
      </w:r>
      <w:r w:rsidR="00AC56D6">
        <w:rPr>
          <w:lang w:val="en-CA"/>
        </w:rPr>
        <w:t>account</w:t>
      </w:r>
      <w:r w:rsidRPr="00E20A08">
        <w:rPr>
          <w:lang w:val="en-CA"/>
        </w:rPr>
        <w:t>, it also appears that Mr. Cossette’s testimony tends to establish that the question as to whether there was a benefit or a disadvantage depends on the specific situation of each contributor, and that it is impossible to generalize.</w:t>
      </w:r>
      <w:r w:rsidR="006979E7" w:rsidRPr="00E20A08">
        <w:rPr>
          <w:lang w:val="en-CA"/>
        </w:rPr>
        <w:t xml:space="preserve"> </w:t>
      </w:r>
      <w:r w:rsidRPr="00E20A08">
        <w:rPr>
          <w:lang w:val="en-CA"/>
        </w:rPr>
        <w:t xml:space="preserve">In theory, then, the appellant’s situation may have been disadvantageous without </w:t>
      </w:r>
      <w:r w:rsidR="006A57B2">
        <w:rPr>
          <w:lang w:val="en-CA"/>
        </w:rPr>
        <w:t>it being necessary</w:t>
      </w:r>
      <w:r w:rsidRPr="00E20A08">
        <w:rPr>
          <w:lang w:val="en-CA"/>
        </w:rPr>
        <w:t xml:space="preserve"> to conclude </w:t>
      </w:r>
      <w:r w:rsidR="00AC56D6">
        <w:rPr>
          <w:lang w:val="en-CA"/>
        </w:rPr>
        <w:t>by</w:t>
      </w:r>
      <w:r w:rsidRPr="00E20A08">
        <w:rPr>
          <w:lang w:val="en-CA"/>
        </w:rPr>
        <w:t xml:space="preserve"> extrapolation that the same is true for all, or most, or even a significant portion of the last resort financial assistance </w:t>
      </w:r>
      <w:r w:rsidR="00AC56D6">
        <w:rPr>
          <w:lang w:val="en-CA"/>
        </w:rPr>
        <w:t>recipients</w:t>
      </w:r>
      <w:r w:rsidR="00AC56D6" w:rsidRPr="00E20A08">
        <w:rPr>
          <w:lang w:val="en-CA"/>
        </w:rPr>
        <w:t xml:space="preserve"> </w:t>
      </w:r>
      <w:r w:rsidRPr="00E20A08">
        <w:rPr>
          <w:lang w:val="en-CA"/>
        </w:rPr>
        <w:t>who are former contributors to the Qu</w:t>
      </w:r>
      <w:r w:rsidR="006A57B2">
        <w:rPr>
          <w:lang w:val="en-CA"/>
        </w:rPr>
        <w:t>é</w:t>
      </w:r>
      <w:r w:rsidRPr="00E20A08">
        <w:rPr>
          <w:lang w:val="en-CA"/>
        </w:rPr>
        <w:t>bec Pension Plan.</w:t>
      </w:r>
      <w:r w:rsidR="006979E7" w:rsidRPr="00E20A08">
        <w:rPr>
          <w:rStyle w:val="Appelnotedebasdep"/>
          <w:lang w:val="en-CA"/>
        </w:rPr>
        <w:footnoteReference w:id="83"/>
      </w:r>
      <w:r w:rsidR="006A57B2">
        <w:rPr>
          <w:lang w:val="en-CA"/>
        </w:rPr>
        <w:t xml:space="preserve"> </w:t>
      </w:r>
      <w:r w:rsidRPr="00E20A08">
        <w:rPr>
          <w:lang w:val="en-CA"/>
        </w:rPr>
        <w:t xml:space="preserve">Of </w:t>
      </w:r>
      <w:r w:rsidR="00103E48" w:rsidRPr="00E20A08">
        <w:rPr>
          <w:lang w:val="en-CA"/>
        </w:rPr>
        <w:t>course,</w:t>
      </w:r>
      <w:r w:rsidRPr="00E20A08">
        <w:rPr>
          <w:lang w:val="en-CA"/>
        </w:rPr>
        <w:t xml:space="preserve"> the fact that a measure does not affect every member of a group or does not affect each member of the group in the same way is not a sign </w:t>
      </w:r>
      <w:r w:rsidR="00B146F3">
        <w:rPr>
          <w:lang w:val="en-CA"/>
        </w:rPr>
        <w:t>that there is no</w:t>
      </w:r>
      <w:r w:rsidRPr="00E20A08">
        <w:rPr>
          <w:lang w:val="en-CA"/>
        </w:rPr>
        <w:t xml:space="preserve"> disadvantage, but that is not the </w:t>
      </w:r>
      <w:r w:rsidR="00103E48" w:rsidRPr="00E20A08">
        <w:rPr>
          <w:lang w:val="en-CA"/>
        </w:rPr>
        <w:t>question</w:t>
      </w:r>
      <w:r w:rsidRPr="00E20A08">
        <w:rPr>
          <w:lang w:val="en-CA"/>
        </w:rPr>
        <w:t xml:space="preserve"> here, when (1) it is not possible to verify that the appellant personally suffered a genuine disadvantage, and (2) there is no evidence of the more general effect of the impugned measure on the group of persons who, like the appellant, contributed to the </w:t>
      </w:r>
      <w:r w:rsidR="00103E48" w:rsidRPr="00E20A08">
        <w:rPr>
          <w:lang w:val="en-CA"/>
        </w:rPr>
        <w:t>Quebec</w:t>
      </w:r>
      <w:r w:rsidRPr="00E20A08">
        <w:rPr>
          <w:lang w:val="en-CA"/>
        </w:rPr>
        <w:t xml:space="preserve"> pension plan before and </w:t>
      </w:r>
      <w:r w:rsidR="006A57B2">
        <w:rPr>
          <w:lang w:val="en-CA"/>
        </w:rPr>
        <w:t xml:space="preserve">were </w:t>
      </w:r>
      <w:r w:rsidRPr="00E20A08">
        <w:rPr>
          <w:lang w:val="en-CA"/>
        </w:rPr>
        <w:t>receiv</w:t>
      </w:r>
      <w:r w:rsidR="006A57B2">
        <w:rPr>
          <w:lang w:val="en-CA"/>
        </w:rPr>
        <w:t>ing</w:t>
      </w:r>
      <w:r w:rsidRPr="00E20A08">
        <w:rPr>
          <w:lang w:val="en-CA"/>
        </w:rPr>
        <w:t xml:space="preserve"> last resort financial assistance when they became eligible for payment of </w:t>
      </w:r>
      <w:r w:rsidR="006A57B2">
        <w:rPr>
          <w:lang w:val="en-CA"/>
        </w:rPr>
        <w:t>that</w:t>
      </w:r>
      <w:r w:rsidRPr="00E20A08">
        <w:rPr>
          <w:lang w:val="en-CA"/>
        </w:rPr>
        <w:t xml:space="preserve"> pension.</w:t>
      </w:r>
      <w:r w:rsidRPr="00E20A08">
        <w:rPr>
          <w:rStyle w:val="Appelnotedebasdep"/>
          <w:lang w:val="en-CA"/>
        </w:rPr>
        <w:footnoteReference w:id="84"/>
      </w:r>
    </w:p>
    <w:p w14:paraId="6AB452E1" w14:textId="046A963B" w:rsidR="00640E7F" w:rsidRPr="00E20A08" w:rsidRDefault="00565E8F" w:rsidP="00640E7F">
      <w:pPr>
        <w:pStyle w:val="Paragraphe"/>
        <w:rPr>
          <w:lang w:val="en-CA"/>
        </w:rPr>
      </w:pPr>
      <w:r w:rsidRPr="00E20A08">
        <w:rPr>
          <w:lang w:val="en-CA"/>
        </w:rPr>
        <w:lastRenderedPageBreak/>
        <w:t xml:space="preserve">In short, at best, the Court is faced with contradictory evidence of which it has only indirect and piecemeal knowledge and is consequently unable to observe </w:t>
      </w:r>
      <w:r w:rsidR="00B146F3">
        <w:rPr>
          <w:lang w:val="en-CA"/>
        </w:rPr>
        <w:t>the presence or absence of</w:t>
      </w:r>
      <w:r w:rsidR="003D7C0E">
        <w:rPr>
          <w:lang w:val="en-CA"/>
        </w:rPr>
        <w:t xml:space="preserve"> </w:t>
      </w:r>
      <w:r w:rsidRPr="00E20A08">
        <w:rPr>
          <w:lang w:val="en-CA"/>
        </w:rPr>
        <w:t xml:space="preserve">an advantage or a disadvantage, or a prejudicial or negative effect on the appellant, or, more generally, on beneficiaries of programs </w:t>
      </w:r>
      <w:r w:rsidR="00103E48" w:rsidRPr="00E20A08">
        <w:rPr>
          <w:lang w:val="en-CA"/>
        </w:rPr>
        <w:t>established</w:t>
      </w:r>
      <w:r w:rsidRPr="00E20A08">
        <w:rPr>
          <w:lang w:val="en-CA"/>
        </w:rPr>
        <w:t xml:space="preserve"> under the </w:t>
      </w:r>
      <w:r w:rsidRPr="00BA3A95">
        <w:rPr>
          <w:i/>
          <w:iCs/>
          <w:lang w:val="en-CA"/>
        </w:rPr>
        <w:t>Individual and Family</w:t>
      </w:r>
      <w:r w:rsidRPr="00E20A08">
        <w:rPr>
          <w:lang w:val="en-CA"/>
        </w:rPr>
        <w:t xml:space="preserve"> </w:t>
      </w:r>
      <w:r w:rsidRPr="00BA3A95">
        <w:rPr>
          <w:i/>
          <w:iCs/>
          <w:lang w:val="en-CA"/>
        </w:rPr>
        <w:t>Assistance Act</w:t>
      </w:r>
      <w:r w:rsidRPr="00E20A08">
        <w:rPr>
          <w:lang w:val="en-CA"/>
        </w:rPr>
        <w:t xml:space="preserve"> (and </w:t>
      </w:r>
      <w:proofErr w:type="gramStart"/>
      <w:r w:rsidRPr="00E20A08">
        <w:rPr>
          <w:lang w:val="en-CA"/>
        </w:rPr>
        <w:t>in particular social</w:t>
      </w:r>
      <w:proofErr w:type="gramEnd"/>
      <w:r w:rsidRPr="00E20A08">
        <w:rPr>
          <w:lang w:val="en-CA"/>
        </w:rPr>
        <w:t xml:space="preserve"> assistance and social </w:t>
      </w:r>
      <w:r w:rsidR="00103E48" w:rsidRPr="00E20A08">
        <w:rPr>
          <w:lang w:val="en-CA"/>
        </w:rPr>
        <w:t>solidarity</w:t>
      </w:r>
      <w:r w:rsidRPr="00E20A08">
        <w:rPr>
          <w:lang w:val="en-CA"/>
        </w:rPr>
        <w:t xml:space="preserve"> programs).</w:t>
      </w:r>
      <w:r w:rsidR="006979E7" w:rsidRPr="00E20A08">
        <w:rPr>
          <w:lang w:val="en-CA"/>
        </w:rPr>
        <w:t xml:space="preserve"> </w:t>
      </w:r>
      <w:r w:rsidRPr="00E20A08">
        <w:rPr>
          <w:lang w:val="en-CA"/>
        </w:rPr>
        <w:t xml:space="preserve">The fact that these beneficiaries, </w:t>
      </w:r>
      <w:r w:rsidR="00103E48" w:rsidRPr="00E20A08">
        <w:rPr>
          <w:lang w:val="en-CA"/>
        </w:rPr>
        <w:t>under</w:t>
      </w:r>
      <w:r w:rsidRPr="00E20A08">
        <w:rPr>
          <w:lang w:val="en-CA"/>
        </w:rPr>
        <w:t xml:space="preserve"> </w:t>
      </w:r>
      <w:r w:rsidR="001F1E84">
        <w:rPr>
          <w:lang w:val="en-CA"/>
        </w:rPr>
        <w:t>ss.</w:t>
      </w:r>
      <w:r w:rsidR="006979E7" w:rsidRPr="00E20A08">
        <w:rPr>
          <w:lang w:val="en-CA"/>
        </w:rPr>
        <w:t xml:space="preserve"> </w:t>
      </w:r>
      <w:r w:rsidRPr="00E20A08">
        <w:rPr>
          <w:lang w:val="en-CA"/>
        </w:rPr>
        <w:t xml:space="preserve">63 </w:t>
      </w:r>
      <w:r w:rsidR="00103E48" w:rsidRPr="00E20A08">
        <w:rPr>
          <w:lang w:val="en-CA"/>
        </w:rPr>
        <w:t>and</w:t>
      </w:r>
      <w:r w:rsidRPr="00E20A08">
        <w:rPr>
          <w:lang w:val="en-CA"/>
        </w:rPr>
        <w:t xml:space="preserve"> 66 </w:t>
      </w:r>
      <w:r w:rsidR="00040F5E" w:rsidRPr="003D7C0E">
        <w:rPr>
          <w:i/>
          <w:iCs/>
          <w:lang w:val="en-CA"/>
        </w:rPr>
        <w:t>I.F.A.A.</w:t>
      </w:r>
      <w:r w:rsidRPr="00E20A08">
        <w:rPr>
          <w:lang w:val="en-CA"/>
        </w:rPr>
        <w:t xml:space="preserve"> are obligated to claim their </w:t>
      </w:r>
      <w:r w:rsidR="00B146F3">
        <w:rPr>
          <w:lang w:val="en-CA"/>
        </w:rPr>
        <w:t xml:space="preserve">retirement </w:t>
      </w:r>
      <w:r w:rsidRPr="00E20A08">
        <w:rPr>
          <w:lang w:val="en-CA"/>
        </w:rPr>
        <w:t xml:space="preserve">pension between the ages of 60 and 65 and </w:t>
      </w:r>
      <w:r w:rsidR="00BA3A95">
        <w:rPr>
          <w:lang w:val="en-CA"/>
        </w:rPr>
        <w:t>are therefore</w:t>
      </w:r>
      <w:r w:rsidRPr="00E20A08">
        <w:rPr>
          <w:lang w:val="en-CA"/>
        </w:rPr>
        <w:t xml:space="preserve"> </w:t>
      </w:r>
      <w:r w:rsidR="00BA3A95">
        <w:rPr>
          <w:lang w:val="en-CA"/>
        </w:rPr>
        <w:t xml:space="preserve">subjected to </w:t>
      </w:r>
      <w:r w:rsidRPr="00E20A08">
        <w:rPr>
          <w:lang w:val="en-CA"/>
        </w:rPr>
        <w:t xml:space="preserve">the consequences of </w:t>
      </w:r>
      <w:r w:rsidR="006C5BE4">
        <w:rPr>
          <w:lang w:val="en-CA"/>
        </w:rPr>
        <w:t>s.</w:t>
      </w:r>
      <w:r w:rsidR="00BA3A95">
        <w:rPr>
          <w:lang w:val="en-CA"/>
        </w:rPr>
        <w:t> 12</w:t>
      </w:r>
      <w:r w:rsidR="00F35761" w:rsidRPr="00E20A08">
        <w:rPr>
          <w:lang w:val="en-CA"/>
        </w:rPr>
        <w:t>0.1</w:t>
      </w:r>
      <w:r w:rsidR="006979E7" w:rsidRPr="00E20A08">
        <w:rPr>
          <w:lang w:val="en-CA"/>
        </w:rPr>
        <w:t> </w:t>
      </w:r>
      <w:r w:rsidR="00767F85">
        <w:rPr>
          <w:i/>
          <w:iCs/>
          <w:lang w:val="en-CA"/>
        </w:rPr>
        <w:t xml:space="preserve">A.Q.P.P. </w:t>
      </w:r>
      <w:r w:rsidR="00BA3A95">
        <w:rPr>
          <w:lang w:val="en-CA"/>
        </w:rPr>
        <w:t xml:space="preserve">does not, on its own, justify concluding that they suffer as a result or that they suffer generally or in significant numbers, and it does not </w:t>
      </w:r>
      <w:r w:rsidRPr="00E20A08">
        <w:rPr>
          <w:lang w:val="en-CA"/>
        </w:rPr>
        <w:t>meet the requirement of evidence on a balance of probabilities supported otherwise than by intuition or estimates.</w:t>
      </w:r>
      <w:r w:rsidRPr="00E20A08">
        <w:rPr>
          <w:rStyle w:val="Appelnotedebasdep"/>
          <w:lang w:val="en-CA"/>
        </w:rPr>
        <w:footnoteReference w:id="85"/>
      </w:r>
      <w:r w:rsidR="006979E7" w:rsidRPr="00E20A08">
        <w:rPr>
          <w:lang w:val="en-CA"/>
        </w:rPr>
        <w:t xml:space="preserve"> </w:t>
      </w:r>
      <w:r w:rsidRPr="00E20A08">
        <w:rPr>
          <w:lang w:val="en-CA"/>
        </w:rPr>
        <w:t>It is also not a determination likely to be made on the basis of judicial notice or simple logical reasoning.</w:t>
      </w:r>
      <w:r w:rsidRPr="00E20A08">
        <w:rPr>
          <w:rStyle w:val="Appelnotedebasdep"/>
          <w:lang w:val="en-CA"/>
        </w:rPr>
        <w:footnoteReference w:id="86"/>
      </w:r>
      <w:r w:rsidR="006979E7" w:rsidRPr="00E20A08">
        <w:rPr>
          <w:lang w:val="en-CA"/>
        </w:rPr>
        <w:t xml:space="preserve"> </w:t>
      </w:r>
      <w:r w:rsidRPr="00E20A08">
        <w:rPr>
          <w:lang w:val="en-CA"/>
        </w:rPr>
        <w:t xml:space="preserve">The </w:t>
      </w:r>
      <w:r w:rsidR="00AC47D0">
        <w:rPr>
          <w:lang w:val="en-CA"/>
        </w:rPr>
        <w:t>deficienc</w:t>
      </w:r>
      <w:r w:rsidR="00AC47D0" w:rsidRPr="00E20A08">
        <w:rPr>
          <w:lang w:val="en-CA"/>
        </w:rPr>
        <w:t xml:space="preserve">y </w:t>
      </w:r>
      <w:r w:rsidRPr="00E20A08">
        <w:rPr>
          <w:lang w:val="en-CA"/>
        </w:rPr>
        <w:t xml:space="preserve">of the appeal record in this regard irreparably precludes any finding on the reality of the disadvantage alleged by the appellant and deprives the Court of the possibility of moving its analysis of the </w:t>
      </w:r>
      <w:r w:rsidR="00DC31C3">
        <w:rPr>
          <w:lang w:val="en-CA"/>
        </w:rPr>
        <w:t>ATQ</w:t>
      </w:r>
      <w:r w:rsidRPr="00E20A08">
        <w:rPr>
          <w:lang w:val="en-CA"/>
        </w:rPr>
        <w:t>’s decision forward.</w:t>
      </w:r>
      <w:r w:rsidR="006979E7" w:rsidRPr="00E20A08">
        <w:rPr>
          <w:lang w:val="en-CA"/>
        </w:rPr>
        <w:t xml:space="preserve"> </w:t>
      </w:r>
    </w:p>
    <w:p w14:paraId="22DC6DA4" w14:textId="66719A0E" w:rsidR="00640E7F" w:rsidRPr="00E20A08" w:rsidRDefault="00591464" w:rsidP="00640E7F">
      <w:pPr>
        <w:pStyle w:val="Paragraphe"/>
        <w:rPr>
          <w:lang w:val="en-CA"/>
        </w:rPr>
      </w:pPr>
      <w:bookmarkStart w:id="39" w:name="_Ref73116895"/>
      <w:r>
        <w:rPr>
          <w:lang w:val="en-CA"/>
        </w:rPr>
        <w:t>It</w:t>
      </w:r>
      <w:r w:rsidR="00565E8F" w:rsidRPr="00E20A08">
        <w:rPr>
          <w:lang w:val="en-CA"/>
        </w:rPr>
        <w:t xml:space="preserve"> is true </w:t>
      </w:r>
      <w:r>
        <w:rPr>
          <w:lang w:val="en-CA"/>
        </w:rPr>
        <w:t xml:space="preserve">that this decision </w:t>
      </w:r>
      <w:r w:rsidR="00565E8F" w:rsidRPr="00E20A08">
        <w:rPr>
          <w:lang w:val="en-CA"/>
        </w:rPr>
        <w:t xml:space="preserve">does not answer the question </w:t>
      </w:r>
      <w:r w:rsidR="00BA3A95">
        <w:rPr>
          <w:lang w:val="en-CA"/>
        </w:rPr>
        <w:t>as to</w:t>
      </w:r>
      <w:r w:rsidR="00565E8F" w:rsidRPr="00E20A08">
        <w:rPr>
          <w:lang w:val="en-CA"/>
        </w:rPr>
        <w:t xml:space="preserve"> the disadvantage other than by arguing that there can be no prejudice where the individual actually obtains </w:t>
      </w:r>
      <w:r w:rsidR="00BA3A95">
        <w:rPr>
          <w:lang w:val="en-CA"/>
        </w:rPr>
        <w:t xml:space="preserve">a benefit – </w:t>
      </w:r>
      <w:r w:rsidR="00565E8F" w:rsidRPr="00E20A08">
        <w:rPr>
          <w:lang w:val="en-CA"/>
        </w:rPr>
        <w:t xml:space="preserve">the one provided under the </w:t>
      </w:r>
      <w:r w:rsidR="00565E8F" w:rsidRPr="00BA3A95">
        <w:rPr>
          <w:i/>
          <w:iCs/>
          <w:lang w:val="en-CA"/>
        </w:rPr>
        <w:t>Individual and Family Assistance Act</w:t>
      </w:r>
      <w:r w:rsidR="00565E8F" w:rsidRPr="00E20A08">
        <w:rPr>
          <w:lang w:val="en-CA"/>
        </w:rPr>
        <w:t xml:space="preserve"> in this case -- which requires the individual to comply with the conditions set out in </w:t>
      </w:r>
      <w:r w:rsidRPr="00E20A08">
        <w:rPr>
          <w:lang w:val="en-CA"/>
        </w:rPr>
        <w:t>th</w:t>
      </w:r>
      <w:r>
        <w:rPr>
          <w:lang w:val="en-CA"/>
        </w:rPr>
        <w:t>at</w:t>
      </w:r>
      <w:r w:rsidRPr="00E20A08">
        <w:rPr>
          <w:lang w:val="en-CA"/>
        </w:rPr>
        <w:t xml:space="preserve"> </w:t>
      </w:r>
      <w:r w:rsidR="00565E8F" w:rsidRPr="00E20A08">
        <w:rPr>
          <w:lang w:val="en-CA"/>
        </w:rPr>
        <w:t>statute</w:t>
      </w:r>
      <w:r>
        <w:rPr>
          <w:lang w:val="en-CA"/>
        </w:rPr>
        <w:t>, conditions</w:t>
      </w:r>
      <w:r w:rsidR="00BA3A95">
        <w:rPr>
          <w:lang w:val="en-CA"/>
        </w:rPr>
        <w:t xml:space="preserve"> that anyone who </w:t>
      </w:r>
      <w:r w:rsidR="00565E8F" w:rsidRPr="00E20A08">
        <w:rPr>
          <w:lang w:val="en-CA"/>
        </w:rPr>
        <w:t>hope</w:t>
      </w:r>
      <w:r w:rsidR="00BA3A95">
        <w:rPr>
          <w:lang w:val="en-CA"/>
        </w:rPr>
        <w:t>s</w:t>
      </w:r>
      <w:r w:rsidR="00565E8F" w:rsidRPr="00E20A08">
        <w:rPr>
          <w:lang w:val="en-CA"/>
        </w:rPr>
        <w:t xml:space="preserve"> to access those benefits must respect.</w:t>
      </w:r>
      <w:r w:rsidR="006979E7" w:rsidRPr="00E20A08">
        <w:rPr>
          <w:lang w:val="en-CA"/>
        </w:rPr>
        <w:t xml:space="preserve"> </w:t>
      </w:r>
      <w:r w:rsidR="00565E8F" w:rsidRPr="00E20A08">
        <w:rPr>
          <w:lang w:val="en-CA"/>
        </w:rPr>
        <w:t xml:space="preserve">Although this is a serious argument, we nevertheless regret that the </w:t>
      </w:r>
      <w:r w:rsidR="00DC31C3">
        <w:rPr>
          <w:lang w:val="en-CA"/>
        </w:rPr>
        <w:t>ATQ</w:t>
      </w:r>
      <w:r w:rsidR="00565E8F" w:rsidRPr="00E20A08">
        <w:rPr>
          <w:lang w:val="en-CA"/>
        </w:rPr>
        <w:t xml:space="preserve"> did not rule on the evidence adduced before it to draw conclusions regarding whether the disadvantage alleged by the appellant truly existed, even if only to note that the evidence was </w:t>
      </w:r>
      <w:proofErr w:type="gramStart"/>
      <w:r w:rsidR="00AC47D0">
        <w:rPr>
          <w:lang w:val="en-CA"/>
        </w:rPr>
        <w:t>deficient</w:t>
      </w:r>
      <w:r w:rsidR="00565E8F" w:rsidRPr="00E20A08">
        <w:rPr>
          <w:lang w:val="en-CA"/>
        </w:rPr>
        <w:t>, if</w:t>
      </w:r>
      <w:proofErr w:type="gramEnd"/>
      <w:r w:rsidR="00565E8F" w:rsidRPr="00E20A08">
        <w:rPr>
          <w:lang w:val="en-CA"/>
        </w:rPr>
        <w:t xml:space="preserve"> that was the case.</w:t>
      </w:r>
      <w:r w:rsidR="006979E7" w:rsidRPr="00E20A08">
        <w:rPr>
          <w:lang w:val="en-CA"/>
        </w:rPr>
        <w:t xml:space="preserve"> </w:t>
      </w:r>
      <w:r w:rsidR="00565E8F" w:rsidRPr="00E20A08">
        <w:rPr>
          <w:lang w:val="en-CA"/>
        </w:rPr>
        <w:t xml:space="preserve">In any event, the fact remains that, before the Court, the appellant is the one who has failed to discharge his burden of showing how the evidence establishes on a balance of probabilities the existence of such a disadvantage, that is, </w:t>
      </w:r>
      <w:r w:rsidR="00BA3A95">
        <w:rPr>
          <w:lang w:val="en-CA"/>
        </w:rPr>
        <w:t>a</w:t>
      </w:r>
      <w:r w:rsidR="00565E8F" w:rsidRPr="00E20A08">
        <w:rPr>
          <w:lang w:val="en-CA"/>
        </w:rPr>
        <w:t xml:space="preserve"> disadvantage arising from the obligation to claim his retirement pension before the age of 65 and flowing from the conjunction of </w:t>
      </w:r>
      <w:r w:rsidR="001F1E84">
        <w:rPr>
          <w:lang w:val="en-CA"/>
        </w:rPr>
        <w:t>ss.</w:t>
      </w:r>
      <w:r w:rsidR="00565E8F" w:rsidRPr="00E20A08">
        <w:rPr>
          <w:lang w:val="en-CA"/>
        </w:rPr>
        <w:t xml:space="preserve"> 63 and 66 </w:t>
      </w:r>
      <w:r w:rsidR="00040F5E" w:rsidRPr="00BA3A95">
        <w:rPr>
          <w:i/>
          <w:iCs/>
          <w:lang w:val="en-CA"/>
        </w:rPr>
        <w:t>I.F.A.A.</w:t>
      </w:r>
      <w:r w:rsidR="00565E8F" w:rsidRPr="00E20A08">
        <w:rPr>
          <w:lang w:val="en-CA"/>
        </w:rPr>
        <w:t xml:space="preserve"> and 120.1 (1</w:t>
      </w:r>
      <w:proofErr w:type="gramStart"/>
      <w:r w:rsidR="00565E8F" w:rsidRPr="00E20A08">
        <w:rPr>
          <w:lang w:val="en-CA"/>
        </w:rPr>
        <w:t xml:space="preserve">) </w:t>
      </w:r>
      <w:r w:rsidR="006979E7" w:rsidRPr="00E20A08">
        <w:rPr>
          <w:lang w:val="en-CA"/>
        </w:rPr>
        <w:t xml:space="preserve"> </w:t>
      </w:r>
      <w:r w:rsidR="00040F5E" w:rsidRPr="00BA3A95">
        <w:rPr>
          <w:i/>
          <w:iCs/>
          <w:lang w:val="en-CA"/>
        </w:rPr>
        <w:t>A.Q.P.P</w:t>
      </w:r>
      <w:r w:rsidR="00040F5E">
        <w:rPr>
          <w:lang w:val="en-CA"/>
        </w:rPr>
        <w:t>.</w:t>
      </w:r>
      <w:proofErr w:type="gramEnd"/>
      <w:r w:rsidR="006979E7" w:rsidRPr="00E20A08">
        <w:rPr>
          <w:i/>
          <w:lang w:val="en-CA"/>
        </w:rPr>
        <w:t xml:space="preserve"> </w:t>
      </w:r>
      <w:bookmarkEnd w:id="39"/>
      <w:r w:rsidR="00565E8F" w:rsidRPr="00E20A08">
        <w:rPr>
          <w:lang w:val="en-CA"/>
        </w:rPr>
        <w:t xml:space="preserve">To do so, he would at least </w:t>
      </w:r>
      <w:r w:rsidR="00A84500" w:rsidRPr="00E20A08">
        <w:rPr>
          <w:lang w:val="en-CA"/>
        </w:rPr>
        <w:t xml:space="preserve">have had to </w:t>
      </w:r>
      <w:r w:rsidR="00565E8F" w:rsidRPr="00E20A08">
        <w:rPr>
          <w:lang w:val="en-CA"/>
        </w:rPr>
        <w:t xml:space="preserve">file </w:t>
      </w:r>
      <w:r w:rsidR="00A84500" w:rsidRPr="00E20A08">
        <w:rPr>
          <w:lang w:val="en-CA"/>
        </w:rPr>
        <w:t xml:space="preserve">in the appeal record </w:t>
      </w:r>
      <w:r w:rsidR="00565E8F" w:rsidRPr="00E20A08">
        <w:rPr>
          <w:lang w:val="en-CA"/>
        </w:rPr>
        <w:t xml:space="preserve">the </w:t>
      </w:r>
      <w:r w:rsidR="00A84500" w:rsidRPr="00E20A08">
        <w:rPr>
          <w:lang w:val="en-CA"/>
        </w:rPr>
        <w:t>testimon</w:t>
      </w:r>
      <w:r w:rsidR="00A84500">
        <w:rPr>
          <w:lang w:val="en-CA"/>
        </w:rPr>
        <w:t>ial</w:t>
      </w:r>
      <w:r w:rsidR="00A84500" w:rsidRPr="00E20A08">
        <w:rPr>
          <w:lang w:val="en-CA"/>
        </w:rPr>
        <w:t xml:space="preserve"> </w:t>
      </w:r>
      <w:r w:rsidR="00565E8F" w:rsidRPr="00E20A08">
        <w:rPr>
          <w:lang w:val="en-CA"/>
        </w:rPr>
        <w:t xml:space="preserve">and documentary evidence </w:t>
      </w:r>
      <w:r w:rsidR="00A84500">
        <w:rPr>
          <w:lang w:val="en-CA"/>
        </w:rPr>
        <w:t>adduced</w:t>
      </w:r>
      <w:r w:rsidR="00A84500" w:rsidRPr="00E20A08">
        <w:rPr>
          <w:lang w:val="en-CA"/>
        </w:rPr>
        <w:t xml:space="preserve"> </w:t>
      </w:r>
      <w:r w:rsidR="00565E8F" w:rsidRPr="00E20A08">
        <w:rPr>
          <w:lang w:val="en-CA"/>
        </w:rPr>
        <w:t xml:space="preserve">before the </w:t>
      </w:r>
      <w:r w:rsidR="00DC31C3">
        <w:rPr>
          <w:lang w:val="en-CA"/>
        </w:rPr>
        <w:t>ATQ</w:t>
      </w:r>
      <w:r w:rsidR="00565E8F" w:rsidRPr="00E20A08">
        <w:rPr>
          <w:lang w:val="en-CA"/>
        </w:rPr>
        <w:t>, which he did not do.</w:t>
      </w:r>
    </w:p>
    <w:p w14:paraId="7D66E645" w14:textId="2AD63124" w:rsidR="00640E7F" w:rsidRPr="00E20A08" w:rsidRDefault="009B4D3D" w:rsidP="00640E7F">
      <w:pPr>
        <w:pStyle w:val="Paragraphe"/>
        <w:rPr>
          <w:lang w:val="en-CA"/>
        </w:rPr>
      </w:pPr>
      <w:r w:rsidRPr="00E20A08">
        <w:rPr>
          <w:lang w:val="en-CA"/>
        </w:rPr>
        <w:t xml:space="preserve">However, is the simple fact that he cannot determine the date on which he </w:t>
      </w:r>
      <w:r w:rsidR="00E70940">
        <w:rPr>
          <w:lang w:val="en-CA"/>
        </w:rPr>
        <w:t xml:space="preserve">may claim </w:t>
      </w:r>
      <w:r w:rsidRPr="00E20A08">
        <w:rPr>
          <w:lang w:val="en-CA"/>
        </w:rPr>
        <w:t xml:space="preserve">his retirement pension as he sees fit a disadvantage </w:t>
      </w:r>
      <w:proofErr w:type="gramStart"/>
      <w:r w:rsidR="00E70940">
        <w:rPr>
          <w:lang w:val="en-CA"/>
        </w:rPr>
        <w:t xml:space="preserve">in itself </w:t>
      </w:r>
      <w:r w:rsidRPr="00E20A08">
        <w:rPr>
          <w:lang w:val="en-CA"/>
        </w:rPr>
        <w:t>that</w:t>
      </w:r>
      <w:proofErr w:type="gramEnd"/>
      <w:r w:rsidRPr="00E20A08">
        <w:rPr>
          <w:lang w:val="en-CA"/>
        </w:rPr>
        <w:t xml:space="preserve"> is sufficient to support the appellant’s claim that the impugned provisions are </w:t>
      </w:r>
      <w:r w:rsidR="00ED2690" w:rsidRPr="00E20A08">
        <w:rPr>
          <w:lang w:val="en-CA"/>
        </w:rPr>
        <w:t>di</w:t>
      </w:r>
      <w:r w:rsidR="00ED2690">
        <w:rPr>
          <w:lang w:val="en-CA"/>
        </w:rPr>
        <w:t>scrimi</w:t>
      </w:r>
      <w:r w:rsidR="00ED2690" w:rsidRPr="00E20A08">
        <w:rPr>
          <w:lang w:val="en-CA"/>
        </w:rPr>
        <w:t>natory</w:t>
      </w:r>
      <w:r w:rsidRPr="00E20A08">
        <w:rPr>
          <w:lang w:val="en-CA"/>
        </w:rPr>
        <w:t>?</w:t>
      </w:r>
      <w:r w:rsidR="006979E7" w:rsidRPr="00E20A08">
        <w:rPr>
          <w:lang w:val="en-CA"/>
        </w:rPr>
        <w:t xml:space="preserve"> </w:t>
      </w:r>
      <w:r w:rsidRPr="00E20A08">
        <w:rPr>
          <w:lang w:val="en-CA"/>
        </w:rPr>
        <w:t>I do not believe so, absent proof of any other negative impact.</w:t>
      </w:r>
      <w:r w:rsidR="006979E7" w:rsidRPr="00E20A08">
        <w:rPr>
          <w:lang w:val="en-CA"/>
        </w:rPr>
        <w:t xml:space="preserve"> </w:t>
      </w:r>
      <w:r w:rsidRPr="00E20A08">
        <w:rPr>
          <w:lang w:val="en-CA"/>
        </w:rPr>
        <w:t xml:space="preserve">Moreover, from the perspective of this limited </w:t>
      </w:r>
      <w:r w:rsidR="00103E48" w:rsidRPr="00E20A08">
        <w:rPr>
          <w:lang w:val="en-CA"/>
        </w:rPr>
        <w:t>hypothesis</w:t>
      </w:r>
      <w:r w:rsidRPr="00E20A08">
        <w:rPr>
          <w:lang w:val="en-CA"/>
        </w:rPr>
        <w:t xml:space="preserve">, the obligation imposed on last resort financial assistance </w:t>
      </w:r>
      <w:r w:rsidR="0038402B">
        <w:rPr>
          <w:lang w:val="en-CA"/>
        </w:rPr>
        <w:t>recipients</w:t>
      </w:r>
      <w:r w:rsidR="0038402B" w:rsidRPr="00E20A08">
        <w:rPr>
          <w:lang w:val="en-CA"/>
        </w:rPr>
        <w:t xml:space="preserve"> </w:t>
      </w:r>
      <w:r w:rsidRPr="00E20A08">
        <w:rPr>
          <w:lang w:val="en-CA"/>
        </w:rPr>
        <w:t xml:space="preserve">cannot be taken in isolation from the benefit they </w:t>
      </w:r>
      <w:proofErr w:type="gramStart"/>
      <w:r w:rsidRPr="00E20A08">
        <w:rPr>
          <w:lang w:val="en-CA"/>
        </w:rPr>
        <w:t>receive</w:t>
      </w:r>
      <w:proofErr w:type="gramEnd"/>
      <w:r w:rsidRPr="00E20A08">
        <w:rPr>
          <w:lang w:val="en-CA"/>
        </w:rPr>
        <w:t xml:space="preserve"> and the general </w:t>
      </w:r>
      <w:r w:rsidRPr="00E20A08">
        <w:rPr>
          <w:lang w:val="en-CA"/>
        </w:rPr>
        <w:lastRenderedPageBreak/>
        <w:t xml:space="preserve">context of the assistance measures set out in the </w:t>
      </w:r>
      <w:r w:rsidRPr="00E70940">
        <w:rPr>
          <w:i/>
          <w:iCs/>
          <w:lang w:val="en-CA"/>
        </w:rPr>
        <w:t>Individual and Family Assistance Act.</w:t>
      </w:r>
      <w:r w:rsidR="006979E7" w:rsidRPr="00E20A08">
        <w:rPr>
          <w:lang w:val="en-CA"/>
        </w:rPr>
        <w:t xml:space="preserve"> </w:t>
      </w:r>
      <w:r w:rsidRPr="00E20A08">
        <w:rPr>
          <w:lang w:val="en-CA"/>
        </w:rPr>
        <w:t xml:space="preserve">As the Supreme Court </w:t>
      </w:r>
      <w:r w:rsidR="0038402B">
        <w:rPr>
          <w:lang w:val="en-CA"/>
        </w:rPr>
        <w:t xml:space="preserve">has </w:t>
      </w:r>
      <w:r w:rsidRPr="00E20A08">
        <w:rPr>
          <w:lang w:val="en-CA"/>
        </w:rPr>
        <w:t xml:space="preserve">often </w:t>
      </w:r>
      <w:r w:rsidR="0038402B" w:rsidRPr="00E20A08">
        <w:rPr>
          <w:lang w:val="en-CA"/>
        </w:rPr>
        <w:t>re</w:t>
      </w:r>
      <w:r w:rsidR="0038402B">
        <w:rPr>
          <w:lang w:val="en-CA"/>
        </w:rPr>
        <w:t>iterated</w:t>
      </w:r>
      <w:r w:rsidRPr="00E20A08">
        <w:rPr>
          <w:lang w:val="en-CA"/>
        </w:rPr>
        <w:t xml:space="preserve">, not all distinctions or differential treatments are necessarily </w:t>
      </w:r>
      <w:r w:rsidR="003D7C0E">
        <w:rPr>
          <w:lang w:val="en-CA"/>
        </w:rPr>
        <w:t>prohibited</w:t>
      </w:r>
      <w:r w:rsidRPr="00E20A08">
        <w:rPr>
          <w:lang w:val="en-CA"/>
        </w:rPr>
        <w:t xml:space="preserve">, particularly when they </w:t>
      </w:r>
      <w:r w:rsidR="0038402B">
        <w:rPr>
          <w:lang w:val="en-CA"/>
        </w:rPr>
        <w:t>are</w:t>
      </w:r>
      <w:r w:rsidR="0038402B" w:rsidRPr="00E20A08">
        <w:rPr>
          <w:lang w:val="en-CA"/>
        </w:rPr>
        <w:t xml:space="preserve"> </w:t>
      </w:r>
      <w:r w:rsidRPr="00E20A08">
        <w:rPr>
          <w:lang w:val="en-CA"/>
        </w:rPr>
        <w:t>accompanied by the granting of a benefit</w:t>
      </w:r>
      <w:r w:rsidR="0038402B">
        <w:rPr>
          <w:lang w:val="en-CA"/>
        </w:rPr>
        <w:t xml:space="preserve"> (in this case last resort assistance</w:t>
      </w:r>
      <w:r w:rsidRPr="00E20A08">
        <w:rPr>
          <w:lang w:val="en-CA"/>
        </w:rPr>
        <w:t xml:space="preserve">, which is </w:t>
      </w:r>
      <w:r w:rsidR="0038402B">
        <w:rPr>
          <w:lang w:val="en-CA"/>
        </w:rPr>
        <w:t xml:space="preserve">itself </w:t>
      </w:r>
      <w:r w:rsidRPr="00E20A08">
        <w:rPr>
          <w:lang w:val="en-CA"/>
        </w:rPr>
        <w:t xml:space="preserve">provided by </w:t>
      </w:r>
      <w:r w:rsidR="006C5BE4">
        <w:rPr>
          <w:lang w:val="en-CA"/>
        </w:rPr>
        <w:t>s.</w:t>
      </w:r>
      <w:r w:rsidR="006979E7" w:rsidRPr="00E20A08">
        <w:rPr>
          <w:lang w:val="en-CA"/>
        </w:rPr>
        <w:t xml:space="preserve"> </w:t>
      </w:r>
      <w:r w:rsidRPr="00E20A08">
        <w:rPr>
          <w:lang w:val="en-CA"/>
        </w:rPr>
        <w:t xml:space="preserve">45 of the </w:t>
      </w:r>
      <w:r w:rsidRPr="00E70940">
        <w:rPr>
          <w:i/>
          <w:iCs/>
          <w:lang w:val="en-CA"/>
        </w:rPr>
        <w:t>Quebec</w:t>
      </w:r>
      <w:r w:rsidRPr="00E20A08">
        <w:rPr>
          <w:lang w:val="en-CA"/>
        </w:rPr>
        <w:t xml:space="preserve"> </w:t>
      </w:r>
      <w:r w:rsidRPr="00E70940">
        <w:rPr>
          <w:i/>
          <w:iCs/>
          <w:lang w:val="en-CA"/>
        </w:rPr>
        <w:t>Charter</w:t>
      </w:r>
      <w:r w:rsidRPr="00E20A08">
        <w:rPr>
          <w:lang w:val="en-CA"/>
        </w:rPr>
        <w:t>).</w:t>
      </w:r>
      <w:r w:rsidR="00E70940">
        <w:rPr>
          <w:lang w:val="en-CA"/>
        </w:rPr>
        <w:t xml:space="preserve"> </w:t>
      </w:r>
      <w:r w:rsidRPr="00E20A08">
        <w:rPr>
          <w:lang w:val="en-CA"/>
        </w:rPr>
        <w:t>It is true that a government that decides to confer such a benefit must do so in a non-</w:t>
      </w:r>
      <w:r w:rsidR="00ED2690" w:rsidRPr="00E20A08">
        <w:rPr>
          <w:lang w:val="en-CA"/>
        </w:rPr>
        <w:t>di</w:t>
      </w:r>
      <w:r w:rsidR="00ED2690">
        <w:rPr>
          <w:lang w:val="en-CA"/>
        </w:rPr>
        <w:t>scrimi</w:t>
      </w:r>
      <w:r w:rsidR="00ED2690" w:rsidRPr="00E20A08">
        <w:rPr>
          <w:lang w:val="en-CA"/>
        </w:rPr>
        <w:t>natory</w:t>
      </w:r>
      <w:r w:rsidRPr="00E20A08">
        <w:rPr>
          <w:lang w:val="en-CA"/>
        </w:rPr>
        <w:t xml:space="preserve"> manner,</w:t>
      </w:r>
      <w:r w:rsidR="00693BDC" w:rsidRPr="00E20A08">
        <w:rPr>
          <w:rStyle w:val="Appelnotedebasdep"/>
          <w:lang w:val="en-CA"/>
        </w:rPr>
        <w:footnoteReference w:id="87"/>
      </w:r>
      <w:r w:rsidRPr="00E20A08">
        <w:rPr>
          <w:lang w:val="en-CA"/>
        </w:rPr>
        <w:t xml:space="preserve"> but “a legislative choice not to accord a particular benefit [in this case, that of the freedom to choose to </w:t>
      </w:r>
      <w:r w:rsidR="0038402B">
        <w:rPr>
          <w:lang w:val="en-CA"/>
        </w:rPr>
        <w:t xml:space="preserve">claim </w:t>
      </w:r>
      <w:r w:rsidRPr="00E20A08">
        <w:rPr>
          <w:lang w:val="en-CA"/>
        </w:rPr>
        <w:t xml:space="preserve">a retirement pension] absent demonstration of </w:t>
      </w:r>
      <w:r w:rsidR="00ED2690" w:rsidRPr="00E20A08">
        <w:rPr>
          <w:lang w:val="en-CA"/>
        </w:rPr>
        <w:t>di</w:t>
      </w:r>
      <w:r w:rsidR="00ED2690">
        <w:rPr>
          <w:lang w:val="en-CA"/>
        </w:rPr>
        <w:t>scrimi</w:t>
      </w:r>
      <w:r w:rsidR="00ED2690" w:rsidRPr="00E20A08">
        <w:rPr>
          <w:lang w:val="en-CA"/>
        </w:rPr>
        <w:t>natory</w:t>
      </w:r>
      <w:r w:rsidRPr="00E20A08">
        <w:rPr>
          <w:lang w:val="en-CA"/>
        </w:rPr>
        <w:t xml:space="preserve"> purpose, policy</w:t>
      </w:r>
      <w:r w:rsidR="00E70940">
        <w:rPr>
          <w:lang w:val="en-CA"/>
        </w:rPr>
        <w:t>,</w:t>
      </w:r>
      <w:r w:rsidRPr="00E20A08">
        <w:rPr>
          <w:lang w:val="en-CA"/>
        </w:rPr>
        <w:t xml:space="preserve"> or effect does not offend this principle and does not give rise to a s.</w:t>
      </w:r>
      <w:r w:rsidR="006979E7" w:rsidRPr="00E20A08">
        <w:rPr>
          <w:lang w:val="en-CA"/>
        </w:rPr>
        <w:t xml:space="preserve"> </w:t>
      </w:r>
      <w:r w:rsidRPr="00E20A08">
        <w:rPr>
          <w:lang w:val="en-CA"/>
        </w:rPr>
        <w:t>15 review”.</w:t>
      </w:r>
      <w:r w:rsidRPr="00E20A08">
        <w:rPr>
          <w:rStyle w:val="Appelnotedebasdep"/>
          <w:lang w:val="en-CA"/>
        </w:rPr>
        <w:t xml:space="preserve"> </w:t>
      </w:r>
      <w:r w:rsidRPr="00E20A08">
        <w:rPr>
          <w:rStyle w:val="Appelnotedebasdep"/>
          <w:lang w:val="en-CA"/>
        </w:rPr>
        <w:footnoteReference w:id="88"/>
      </w:r>
      <w:r w:rsidR="006979E7" w:rsidRPr="00E20A08">
        <w:rPr>
          <w:lang w:val="en-CA"/>
        </w:rPr>
        <w:t xml:space="preserve"> </w:t>
      </w:r>
      <w:r w:rsidRPr="00E20A08">
        <w:rPr>
          <w:lang w:val="en-CA"/>
        </w:rPr>
        <w:t xml:space="preserve">This remark can be transposed to </w:t>
      </w:r>
      <w:r w:rsidR="006C5BE4">
        <w:rPr>
          <w:lang w:val="en-CA"/>
        </w:rPr>
        <w:t>s.</w:t>
      </w:r>
      <w:r w:rsidR="006979E7" w:rsidRPr="00E20A08">
        <w:rPr>
          <w:lang w:val="en-CA"/>
        </w:rPr>
        <w:t xml:space="preserve"> </w:t>
      </w:r>
      <w:r w:rsidR="00A420AF" w:rsidRPr="00E20A08">
        <w:rPr>
          <w:lang w:val="en-CA"/>
        </w:rPr>
        <w:t xml:space="preserve">10 of the </w:t>
      </w:r>
      <w:r w:rsidR="00A420AF" w:rsidRPr="003D7C0E">
        <w:rPr>
          <w:i/>
          <w:iCs/>
          <w:lang w:val="en-CA"/>
        </w:rPr>
        <w:t>Quebec Charter</w:t>
      </w:r>
      <w:r w:rsidR="00A420AF" w:rsidRPr="00E20A08">
        <w:rPr>
          <w:lang w:val="en-CA"/>
        </w:rPr>
        <w:t>.</w:t>
      </w:r>
    </w:p>
    <w:p w14:paraId="6F9CE005" w14:textId="04745F9A" w:rsidR="00640E7F" w:rsidRPr="00E20A08" w:rsidRDefault="009B4D3D" w:rsidP="00640E7F">
      <w:pPr>
        <w:pStyle w:val="Paragraphe"/>
        <w:rPr>
          <w:lang w:val="en-CA"/>
        </w:rPr>
      </w:pPr>
      <w:r w:rsidRPr="00E20A08">
        <w:rPr>
          <w:lang w:val="en-CA"/>
        </w:rPr>
        <w:t xml:space="preserve">That being the case, it is impossible to proceed any further with the </w:t>
      </w:r>
      <w:r w:rsidR="00E70940">
        <w:rPr>
          <w:lang w:val="en-CA"/>
        </w:rPr>
        <w:t>assessment</w:t>
      </w:r>
      <w:r w:rsidRPr="00E20A08">
        <w:rPr>
          <w:lang w:val="en-CA"/>
        </w:rPr>
        <w:t xml:space="preserve"> of </w:t>
      </w:r>
      <w:r w:rsidR="00E70940">
        <w:rPr>
          <w:lang w:val="en-CA"/>
        </w:rPr>
        <w:t xml:space="preserve">this </w:t>
      </w:r>
      <w:r w:rsidRPr="00E20A08">
        <w:rPr>
          <w:lang w:val="en-CA"/>
        </w:rPr>
        <w:t xml:space="preserve">file, and it is pointless to revisit whether social condition in general or the social condition of a last resort financial assistance </w:t>
      </w:r>
      <w:r w:rsidR="0038402B">
        <w:rPr>
          <w:lang w:val="en-CA"/>
        </w:rPr>
        <w:t>recipient</w:t>
      </w:r>
      <w:r w:rsidR="0038402B" w:rsidRPr="00E20A08">
        <w:rPr>
          <w:lang w:val="en-CA"/>
        </w:rPr>
        <w:t xml:space="preserve"> </w:t>
      </w:r>
      <w:r w:rsidRPr="00E20A08">
        <w:rPr>
          <w:lang w:val="en-CA"/>
        </w:rPr>
        <w:t xml:space="preserve">is an analogous ground under </w:t>
      </w:r>
      <w:r w:rsidR="006979E7" w:rsidRPr="00E20A08">
        <w:rPr>
          <w:lang w:val="en-CA"/>
        </w:rPr>
        <w:t xml:space="preserve"> </w:t>
      </w:r>
      <w:r w:rsidR="006C5BE4">
        <w:rPr>
          <w:lang w:val="en-CA"/>
        </w:rPr>
        <w:t>s.</w:t>
      </w:r>
      <w:r w:rsidRPr="00E20A08">
        <w:rPr>
          <w:lang w:val="en-CA"/>
        </w:rPr>
        <w:t xml:space="preserve"> 15 of the </w:t>
      </w:r>
      <w:r w:rsidRPr="00E70940">
        <w:rPr>
          <w:i/>
          <w:iCs/>
          <w:lang w:val="en-CA"/>
        </w:rPr>
        <w:t>Canadian Charter</w:t>
      </w:r>
      <w:r w:rsidR="00E70940">
        <w:rPr>
          <w:lang w:val="en-CA"/>
        </w:rPr>
        <w:t>,</w:t>
      </w:r>
      <w:r w:rsidRPr="00E20A08">
        <w:rPr>
          <w:lang w:val="en-CA"/>
        </w:rPr>
        <w:t xml:space="preserve"> or whether </w:t>
      </w:r>
      <w:r w:rsidR="001F1E84">
        <w:rPr>
          <w:lang w:val="en-CA"/>
        </w:rPr>
        <w:t>ss.</w:t>
      </w:r>
      <w:r w:rsidR="006979E7" w:rsidRPr="00E20A08">
        <w:rPr>
          <w:lang w:val="en-CA"/>
        </w:rPr>
        <w:t xml:space="preserve"> </w:t>
      </w:r>
      <w:r w:rsidRPr="00E20A08">
        <w:rPr>
          <w:lang w:val="en-CA"/>
        </w:rPr>
        <w:t xml:space="preserve">63 and </w:t>
      </w:r>
      <w:r w:rsidRPr="00E70940">
        <w:rPr>
          <w:lang w:val="en-CA"/>
        </w:rPr>
        <w:t>66</w:t>
      </w:r>
      <w:r w:rsidRPr="00E70940">
        <w:rPr>
          <w:i/>
          <w:iCs/>
          <w:lang w:val="en-CA"/>
        </w:rPr>
        <w:t xml:space="preserve"> </w:t>
      </w:r>
      <w:r w:rsidR="00040F5E" w:rsidRPr="00E70940">
        <w:rPr>
          <w:i/>
          <w:iCs/>
          <w:lang w:val="en-CA"/>
        </w:rPr>
        <w:t>I.F.A.A.</w:t>
      </w:r>
      <w:r w:rsidRPr="00E20A08">
        <w:rPr>
          <w:lang w:val="en-CA"/>
        </w:rPr>
        <w:t xml:space="preserve"> nullify or impair a right recognized by the </w:t>
      </w:r>
      <w:r w:rsidRPr="00E70940">
        <w:rPr>
          <w:i/>
          <w:iCs/>
          <w:lang w:val="en-CA"/>
        </w:rPr>
        <w:t>Quebec</w:t>
      </w:r>
      <w:r w:rsidRPr="00E20A08">
        <w:rPr>
          <w:lang w:val="en-CA"/>
        </w:rPr>
        <w:t xml:space="preserve"> </w:t>
      </w:r>
      <w:r w:rsidRPr="00E70940">
        <w:rPr>
          <w:i/>
          <w:iCs/>
          <w:lang w:val="en-CA"/>
        </w:rPr>
        <w:t>Charter</w:t>
      </w:r>
      <w:r w:rsidRPr="00E20A08">
        <w:rPr>
          <w:lang w:val="en-CA"/>
        </w:rPr>
        <w:t xml:space="preserve">, within the meaning of </w:t>
      </w:r>
      <w:r w:rsidR="006C5BE4">
        <w:rPr>
          <w:lang w:val="en-CA"/>
        </w:rPr>
        <w:t>s.</w:t>
      </w:r>
      <w:r w:rsidR="006979E7" w:rsidRPr="00E20A08">
        <w:rPr>
          <w:lang w:val="en-CA"/>
        </w:rPr>
        <w:t xml:space="preserve"> </w:t>
      </w:r>
      <w:r w:rsidRPr="00E20A08">
        <w:rPr>
          <w:lang w:val="en-CA"/>
        </w:rPr>
        <w:t xml:space="preserve">10 of that </w:t>
      </w:r>
      <w:r w:rsidR="00217007">
        <w:rPr>
          <w:lang w:val="en-CA"/>
        </w:rPr>
        <w:t>c</w:t>
      </w:r>
      <w:r w:rsidRPr="003D7C0E">
        <w:rPr>
          <w:lang w:val="en-CA"/>
        </w:rPr>
        <w:t>harter</w:t>
      </w:r>
      <w:r w:rsidRPr="00217007">
        <w:rPr>
          <w:lang w:val="en-CA"/>
        </w:rPr>
        <w:t>.</w:t>
      </w:r>
      <w:r w:rsidR="006979E7" w:rsidRPr="00E20A08">
        <w:rPr>
          <w:lang w:val="en-CA"/>
        </w:rPr>
        <w:t xml:space="preserve"> </w:t>
      </w:r>
      <w:r w:rsidRPr="00E20A08">
        <w:rPr>
          <w:i/>
          <w:lang w:val="en-CA"/>
        </w:rPr>
        <w:t xml:space="preserve">A fortiori, </w:t>
      </w:r>
      <w:r w:rsidRPr="00E20A08">
        <w:rPr>
          <w:iCs/>
          <w:lang w:val="en-CA"/>
        </w:rPr>
        <w:t xml:space="preserve">it is not possible or appropriate to ask whether </w:t>
      </w:r>
      <w:r w:rsidR="006C5BE4">
        <w:rPr>
          <w:iCs/>
          <w:lang w:val="en-CA"/>
        </w:rPr>
        <w:t>s.</w:t>
      </w:r>
      <w:r w:rsidRPr="00E20A08">
        <w:rPr>
          <w:iCs/>
          <w:lang w:val="en-CA"/>
        </w:rPr>
        <w:t xml:space="preserve"> 1 of the </w:t>
      </w:r>
      <w:r w:rsidRPr="00E70940">
        <w:rPr>
          <w:i/>
          <w:lang w:val="en-CA"/>
        </w:rPr>
        <w:t>Canadian</w:t>
      </w:r>
      <w:r w:rsidRPr="00E20A08">
        <w:rPr>
          <w:iCs/>
          <w:lang w:val="en-CA"/>
        </w:rPr>
        <w:t xml:space="preserve"> </w:t>
      </w:r>
      <w:r w:rsidRPr="00E70940">
        <w:rPr>
          <w:i/>
          <w:lang w:val="en-CA"/>
        </w:rPr>
        <w:t>Charter</w:t>
      </w:r>
      <w:r w:rsidRPr="00E20A08">
        <w:rPr>
          <w:iCs/>
          <w:lang w:val="en-CA"/>
        </w:rPr>
        <w:t xml:space="preserve"> can justify such </w:t>
      </w:r>
      <w:r w:rsidR="00ED2690" w:rsidRPr="00E20A08">
        <w:rPr>
          <w:iCs/>
          <w:lang w:val="en-CA"/>
        </w:rPr>
        <w:t>di</w:t>
      </w:r>
      <w:r w:rsidR="00ED2690">
        <w:rPr>
          <w:iCs/>
          <w:lang w:val="en-CA"/>
        </w:rPr>
        <w:t>scrimi</w:t>
      </w:r>
      <w:r w:rsidR="00ED2690" w:rsidRPr="00E20A08">
        <w:rPr>
          <w:iCs/>
          <w:lang w:val="en-CA"/>
        </w:rPr>
        <w:t>nation</w:t>
      </w:r>
      <w:r w:rsidRPr="00E20A08">
        <w:rPr>
          <w:iCs/>
          <w:lang w:val="en-CA"/>
        </w:rPr>
        <w:t xml:space="preserve">, or what the effect of </w:t>
      </w:r>
      <w:r w:rsidR="006C5BE4">
        <w:rPr>
          <w:iCs/>
          <w:lang w:val="en-CA"/>
        </w:rPr>
        <w:t>s.</w:t>
      </w:r>
      <w:r w:rsidRPr="00E20A08">
        <w:rPr>
          <w:iCs/>
          <w:lang w:val="en-CA"/>
        </w:rPr>
        <w:t xml:space="preserve"> 52 of the </w:t>
      </w:r>
      <w:r w:rsidRPr="00E70940">
        <w:rPr>
          <w:i/>
          <w:lang w:val="en-CA"/>
        </w:rPr>
        <w:t>Quebec</w:t>
      </w:r>
      <w:r w:rsidRPr="00E20A08">
        <w:rPr>
          <w:iCs/>
          <w:lang w:val="en-CA"/>
        </w:rPr>
        <w:t xml:space="preserve"> </w:t>
      </w:r>
      <w:r w:rsidRPr="00E70940">
        <w:rPr>
          <w:i/>
          <w:lang w:val="en-CA"/>
        </w:rPr>
        <w:t>Charter</w:t>
      </w:r>
      <w:r w:rsidRPr="00E20A08">
        <w:rPr>
          <w:iCs/>
          <w:lang w:val="en-CA"/>
        </w:rPr>
        <w:t xml:space="preserve"> is on a violation of </w:t>
      </w:r>
      <w:r w:rsidR="006C5BE4">
        <w:rPr>
          <w:iCs/>
          <w:lang w:val="en-CA"/>
        </w:rPr>
        <w:t>s.</w:t>
      </w:r>
      <w:r w:rsidRPr="00E20A08">
        <w:rPr>
          <w:iCs/>
          <w:lang w:val="en-CA"/>
        </w:rPr>
        <w:t xml:space="preserve"> 10, </w:t>
      </w:r>
      <w:r w:rsidR="00BA74E1">
        <w:rPr>
          <w:iCs/>
          <w:lang w:val="en-CA"/>
        </w:rPr>
        <w:t>based on</w:t>
      </w:r>
      <w:r w:rsidRPr="00E20A08">
        <w:rPr>
          <w:iCs/>
          <w:lang w:val="en-CA"/>
        </w:rPr>
        <w:t xml:space="preserve"> </w:t>
      </w:r>
      <w:r w:rsidR="006C5BE4">
        <w:rPr>
          <w:iCs/>
          <w:lang w:val="en-CA"/>
        </w:rPr>
        <w:t>s.</w:t>
      </w:r>
      <w:r w:rsidRPr="00E20A08">
        <w:rPr>
          <w:iCs/>
          <w:lang w:val="en-CA"/>
        </w:rPr>
        <w:t xml:space="preserve"> 45 (right to financial support from the government) or even </w:t>
      </w:r>
      <w:r w:rsidR="006C5BE4">
        <w:rPr>
          <w:iCs/>
          <w:lang w:val="en-CA"/>
        </w:rPr>
        <w:t>s.</w:t>
      </w:r>
      <w:r w:rsidRPr="00E20A08">
        <w:rPr>
          <w:iCs/>
          <w:lang w:val="en-CA"/>
        </w:rPr>
        <w:t xml:space="preserve"> 4 (right to dignity).</w:t>
      </w:r>
    </w:p>
    <w:p w14:paraId="704B22DD" w14:textId="77777777" w:rsidR="00640E7F" w:rsidRPr="00E20A08" w:rsidRDefault="006979E7" w:rsidP="00415200">
      <w:pPr>
        <w:pStyle w:val="Paragraphe"/>
        <w:keepNext/>
        <w:numPr>
          <w:ilvl w:val="0"/>
          <w:numId w:val="0"/>
        </w:numPr>
        <w:rPr>
          <w:rFonts w:ascii="Arial Gras" w:hAnsi="Arial Gras"/>
          <w:b/>
          <w:smallCaps/>
          <w:lang w:val="en-CA"/>
        </w:rPr>
      </w:pPr>
      <w:r w:rsidRPr="00E20A08">
        <w:rPr>
          <w:rFonts w:ascii="Arial Gras" w:hAnsi="Arial Gras"/>
          <w:b/>
          <w:smallCaps/>
          <w:lang w:val="en-CA"/>
        </w:rPr>
        <w:t>III.</w:t>
      </w:r>
      <w:r w:rsidRPr="00E20A08">
        <w:rPr>
          <w:rFonts w:ascii="Arial Gras" w:hAnsi="Arial Gras"/>
          <w:b/>
          <w:smallCaps/>
          <w:lang w:val="en-CA"/>
        </w:rPr>
        <w:tab/>
      </w:r>
      <w:r w:rsidRPr="00E20A08">
        <w:rPr>
          <w:rFonts w:ascii="Arial Gras" w:hAnsi="Arial Gras"/>
          <w:b/>
          <w:smallCaps/>
          <w:u w:val="single"/>
          <w:lang w:val="en-CA"/>
        </w:rPr>
        <w:t>Conclusion</w:t>
      </w:r>
    </w:p>
    <w:p w14:paraId="52A5F997" w14:textId="4864473E" w:rsidR="00640E7F" w:rsidRPr="00C81064" w:rsidRDefault="009B4D3D" w:rsidP="001A2832">
      <w:pPr>
        <w:pStyle w:val="Paragraphe"/>
        <w:keepNext/>
        <w:numPr>
          <w:ilvl w:val="0"/>
          <w:numId w:val="0"/>
        </w:numPr>
        <w:rPr>
          <w:lang w:val="en-CA"/>
        </w:rPr>
      </w:pPr>
      <w:r w:rsidRPr="00C81064">
        <w:rPr>
          <w:lang w:val="en-CA"/>
        </w:rPr>
        <w:t>For these reasons, I would dismiss the appeal, but without legal costs, given the nature of the debate and the appellant’s circumstances.</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7044F8" w:rsidRPr="00B210EA" w14:paraId="701E27E4" w14:textId="77777777" w:rsidTr="00DA191C">
        <w:trPr>
          <w:cantSplit/>
          <w:trHeight w:val="513"/>
        </w:trPr>
        <w:tc>
          <w:tcPr>
            <w:tcW w:w="9360" w:type="dxa"/>
            <w:gridSpan w:val="2"/>
          </w:tcPr>
          <w:p w14:paraId="4464F52A" w14:textId="77777777" w:rsidR="00640E7F" w:rsidRPr="00E20A08" w:rsidRDefault="00640E7F" w:rsidP="00DA191C">
            <w:pPr>
              <w:rPr>
                <w:lang w:val="en-CA"/>
              </w:rPr>
            </w:pPr>
          </w:p>
        </w:tc>
      </w:tr>
      <w:tr w:rsidR="007044F8" w:rsidRPr="00B210EA" w14:paraId="764FC6B1" w14:textId="77777777" w:rsidTr="00DA191C">
        <w:tblPrEx>
          <w:tblCellMar>
            <w:left w:w="0" w:type="dxa"/>
            <w:right w:w="0" w:type="dxa"/>
          </w:tblCellMar>
        </w:tblPrEx>
        <w:trPr>
          <w:cantSplit/>
          <w:trHeight w:val="277"/>
        </w:trPr>
        <w:tc>
          <w:tcPr>
            <w:tcW w:w="4735" w:type="dxa"/>
            <w:vMerge w:val="restart"/>
          </w:tcPr>
          <w:p w14:paraId="4FED5BA6" w14:textId="77777777" w:rsidR="00640E7F" w:rsidRPr="00E20A08" w:rsidRDefault="00640E7F" w:rsidP="00DA191C">
            <w:pPr>
              <w:rPr>
                <w:lang w:val="en-CA"/>
              </w:rPr>
            </w:pPr>
          </w:p>
        </w:tc>
        <w:tc>
          <w:tcPr>
            <w:tcW w:w="4625" w:type="dxa"/>
            <w:tcBorders>
              <w:bottom w:val="single" w:sz="8" w:space="0" w:color="auto"/>
            </w:tcBorders>
          </w:tcPr>
          <w:p w14:paraId="5FE1D907" w14:textId="77777777" w:rsidR="00640E7F" w:rsidRPr="00E20A08" w:rsidRDefault="00640E7F" w:rsidP="00DA191C">
            <w:pPr>
              <w:rPr>
                <w:lang w:val="en-CA"/>
              </w:rPr>
            </w:pPr>
          </w:p>
        </w:tc>
      </w:tr>
      <w:tr w:rsidR="007044F8" w:rsidRPr="00E20A08" w14:paraId="6BECA313" w14:textId="77777777" w:rsidTr="00DA191C">
        <w:tblPrEx>
          <w:tblCellMar>
            <w:left w:w="0" w:type="dxa"/>
            <w:right w:w="0" w:type="dxa"/>
          </w:tblCellMar>
        </w:tblPrEx>
        <w:trPr>
          <w:cantSplit/>
          <w:trHeight w:val="276"/>
        </w:trPr>
        <w:tc>
          <w:tcPr>
            <w:tcW w:w="4735" w:type="dxa"/>
            <w:vMerge/>
          </w:tcPr>
          <w:p w14:paraId="6D867CBE" w14:textId="77777777" w:rsidR="00640E7F" w:rsidRPr="00E20A08" w:rsidRDefault="00640E7F" w:rsidP="00DA191C">
            <w:pPr>
              <w:rPr>
                <w:lang w:val="en-CA"/>
              </w:rPr>
            </w:pPr>
          </w:p>
        </w:tc>
        <w:tc>
          <w:tcPr>
            <w:tcW w:w="4625" w:type="dxa"/>
          </w:tcPr>
          <w:p w14:paraId="5B6C7C62" w14:textId="7B66BE45" w:rsidR="00640E7F" w:rsidRPr="00874FC6" w:rsidRDefault="00362E91" w:rsidP="00DA191C">
            <w:r w:rsidRPr="00874FC6">
              <w:t>MARIE-FRANCE BICH, J.A.</w:t>
            </w:r>
          </w:p>
        </w:tc>
      </w:tr>
      <w:bookmarkEnd w:id="6"/>
    </w:tbl>
    <w:p w14:paraId="70390A2F" w14:textId="77777777" w:rsidR="00740A17" w:rsidRPr="00874FC6" w:rsidRDefault="00740A17" w:rsidP="00F43D2A"/>
    <w:sectPr w:rsidR="00740A17" w:rsidRPr="00874FC6" w:rsidSect="00640E7F">
      <w:headerReference w:type="default" r:id="rId14"/>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D0F3" w14:textId="77777777" w:rsidR="00C860BD" w:rsidRDefault="00C860BD">
      <w:pPr>
        <w:spacing w:line="240" w:lineRule="auto"/>
      </w:pPr>
      <w:r>
        <w:separator/>
      </w:r>
    </w:p>
  </w:endnote>
  <w:endnote w:type="continuationSeparator" w:id="0">
    <w:p w14:paraId="405FDD6C" w14:textId="77777777" w:rsidR="00C860BD" w:rsidRDefault="00C86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E35" w14:textId="77777777" w:rsidR="004C6D2E" w:rsidRDefault="004C6D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C0A4" w14:textId="77777777" w:rsidR="004C6D2E" w:rsidRDefault="004C6D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FCDA" w14:textId="77777777" w:rsidR="004C6D2E" w:rsidRDefault="004C6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9909" w14:textId="77777777" w:rsidR="00C860BD" w:rsidRDefault="00C860BD">
      <w:r>
        <w:separator/>
      </w:r>
    </w:p>
  </w:footnote>
  <w:footnote w:type="continuationSeparator" w:id="0">
    <w:p w14:paraId="76A9413D" w14:textId="77777777" w:rsidR="00C860BD" w:rsidRDefault="00C860BD">
      <w:r>
        <w:continuationSeparator/>
      </w:r>
    </w:p>
  </w:footnote>
  <w:footnote w:id="1">
    <w:p w14:paraId="20F263B3" w14:textId="6B6447C3" w:rsidR="00362E91" w:rsidRPr="00623D91"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 xml:space="preserve">CQLR, </w:t>
      </w:r>
      <w:r w:rsidR="009B4D3D" w:rsidRPr="009B4D3D">
        <w:rPr>
          <w:lang w:val="en-CA"/>
        </w:rPr>
        <w:t>c R-9 (or “</w:t>
      </w:r>
      <w:r w:rsidR="00040F5E">
        <w:rPr>
          <w:i/>
          <w:iCs/>
          <w:lang w:val="en-CA"/>
        </w:rPr>
        <w:t>A.Q.P.P.</w:t>
      </w:r>
      <w:r w:rsidR="009B4D3D" w:rsidRPr="009B4D3D">
        <w:rPr>
          <w:lang w:val="en-CA"/>
        </w:rPr>
        <w:t>”)</w:t>
      </w:r>
      <w:r w:rsidRPr="00623D91">
        <w:rPr>
          <w:lang w:val="en-CA"/>
        </w:rPr>
        <w:t>.</w:t>
      </w:r>
    </w:p>
  </w:footnote>
  <w:footnote w:id="2">
    <w:p w14:paraId="59AF409C" w14:textId="01E267ED" w:rsidR="00362E91" w:rsidRPr="009B4D3D"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CQ</w:t>
      </w:r>
      <w:r w:rsidR="00DE6CEC">
        <w:rPr>
          <w:lang w:val="en-CA"/>
        </w:rPr>
        <w:t>L</w:t>
      </w:r>
      <w:r w:rsidR="009B4D3D" w:rsidRPr="00D05948">
        <w:rPr>
          <w:lang w:val="en-CA"/>
        </w:rPr>
        <w:t xml:space="preserve">R, c </w:t>
      </w:r>
      <w:r w:rsidR="009B4D3D" w:rsidRPr="009B4D3D">
        <w:rPr>
          <w:lang w:val="en-CA"/>
        </w:rPr>
        <w:t>A-13.1.1 (or “</w:t>
      </w:r>
      <w:r w:rsidR="00040F5E">
        <w:rPr>
          <w:i/>
          <w:iCs/>
          <w:lang w:val="en-CA"/>
        </w:rPr>
        <w:t>I.F.A.A.</w:t>
      </w:r>
      <w:r w:rsidR="009B4D3D" w:rsidRPr="009B4D3D">
        <w:rPr>
          <w:lang w:val="en-CA"/>
        </w:rPr>
        <w:t>”)</w:t>
      </w:r>
      <w:r w:rsidR="009B4D3D" w:rsidRPr="00D05948">
        <w:rPr>
          <w:lang w:val="en-CA"/>
        </w:rPr>
        <w:t>, effective date January 1, 2007.</w:t>
      </w:r>
    </w:p>
  </w:footnote>
  <w:footnote w:id="3">
    <w:p w14:paraId="35314472" w14:textId="6221A78E" w:rsidR="00362E91" w:rsidRPr="009B4D3D"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1F1E84">
        <w:rPr>
          <w:i/>
          <w:iCs/>
          <w:lang w:val="en-CA"/>
        </w:rPr>
        <w:t>Constitution Act, 1982</w:t>
      </w:r>
      <w:r w:rsidR="009B4D3D" w:rsidRPr="00D05948">
        <w:rPr>
          <w:lang w:val="en-CA"/>
        </w:rPr>
        <w:t xml:space="preserve">, Part I, being Schedule B to the </w:t>
      </w:r>
      <w:r w:rsidR="009B4D3D" w:rsidRPr="001F1E84">
        <w:rPr>
          <w:i/>
          <w:iCs/>
          <w:lang w:val="en-CA"/>
        </w:rPr>
        <w:t>Canada Act 1982</w:t>
      </w:r>
      <w:r w:rsidR="009B4D3D" w:rsidRPr="00D05948">
        <w:rPr>
          <w:lang w:val="en-CA"/>
        </w:rPr>
        <w:t xml:space="preserve">, c 11 (UK) </w:t>
      </w:r>
      <w:proofErr w:type="gramStart"/>
      <w:r w:rsidR="009B4D3D" w:rsidRPr="00D05948">
        <w:rPr>
          <w:lang w:val="en-CA"/>
        </w:rPr>
        <w:t>(”</w:t>
      </w:r>
      <w:r w:rsidR="009B4D3D" w:rsidRPr="00D05948">
        <w:rPr>
          <w:i/>
          <w:lang w:val="en-CA"/>
        </w:rPr>
        <w:t>Canadian</w:t>
      </w:r>
      <w:proofErr w:type="gramEnd"/>
      <w:r w:rsidR="009B4D3D" w:rsidRPr="00D05948">
        <w:rPr>
          <w:i/>
          <w:lang w:val="en-CA"/>
        </w:rPr>
        <w:t xml:space="preserve"> Charter</w:t>
      </w:r>
      <w:r w:rsidR="009B4D3D" w:rsidRPr="00D05948">
        <w:rPr>
          <w:lang w:val="en-CA"/>
        </w:rPr>
        <w:t>”).</w:t>
      </w:r>
    </w:p>
  </w:footnote>
  <w:footnote w:id="4">
    <w:p w14:paraId="7C184810" w14:textId="6A4B921C" w:rsidR="00362E91" w:rsidRPr="009B4D3D"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CQLR, c C-12</w:t>
      </w:r>
      <w:r w:rsidR="008A0D46">
        <w:rPr>
          <w:lang w:val="en-CA"/>
        </w:rPr>
        <w:t>.</w:t>
      </w:r>
    </w:p>
  </w:footnote>
  <w:footnote w:id="5">
    <w:p w14:paraId="0DBC0A5F" w14:textId="250224FD" w:rsidR="00362E91" w:rsidRPr="009B4D3D"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The Social Assistance Program is one of the financial aid programs provided </w:t>
      </w:r>
      <w:r w:rsidR="008A0D46">
        <w:rPr>
          <w:lang w:val="en-CA"/>
        </w:rPr>
        <w:t xml:space="preserve">under </w:t>
      </w:r>
      <w:r w:rsidR="009B4D3D" w:rsidRPr="009B4D3D">
        <w:rPr>
          <w:lang w:val="en-CA"/>
        </w:rPr>
        <w:t xml:space="preserve">this </w:t>
      </w:r>
      <w:r w:rsidR="009B4D3D" w:rsidRPr="008A0D46">
        <w:rPr>
          <w:i/>
          <w:iCs/>
          <w:lang w:val="en-CA"/>
        </w:rPr>
        <w:t>Act</w:t>
      </w:r>
      <w:r w:rsidR="009B4D3D" w:rsidRPr="009B4D3D">
        <w:rPr>
          <w:lang w:val="en-CA"/>
        </w:rPr>
        <w:t xml:space="preserve"> (s. 44 </w:t>
      </w:r>
      <w:r w:rsidR="009B4D3D" w:rsidRPr="008A0D46">
        <w:rPr>
          <w:i/>
          <w:iCs/>
          <w:lang w:val="en-CA"/>
        </w:rPr>
        <w:t>et seq</w:t>
      </w:r>
      <w:r w:rsidR="009B4D3D" w:rsidRPr="009B4D3D">
        <w:rPr>
          <w:lang w:val="en-CA"/>
        </w:rPr>
        <w:t>), which also includes the Social Solidarity Program (</w:t>
      </w:r>
      <w:r w:rsidR="001F1E84">
        <w:rPr>
          <w:lang w:val="en-CA"/>
        </w:rPr>
        <w:t>s.</w:t>
      </w:r>
      <w:r w:rsidRPr="009B4D3D">
        <w:rPr>
          <w:lang w:val="en-CA"/>
        </w:rPr>
        <w:t xml:space="preserve"> </w:t>
      </w:r>
      <w:r w:rsidR="009B4D3D" w:rsidRPr="00D05948">
        <w:rPr>
          <w:lang w:val="en-CA"/>
        </w:rPr>
        <w:t xml:space="preserve">67 </w:t>
      </w:r>
      <w:r w:rsidR="009B4D3D" w:rsidRPr="008A0D46">
        <w:rPr>
          <w:i/>
          <w:iCs/>
          <w:lang w:val="en-CA"/>
        </w:rPr>
        <w:t>et seq</w:t>
      </w:r>
      <w:r w:rsidR="00296606">
        <w:rPr>
          <w:i/>
          <w:iCs/>
          <w:lang w:val="en-CA"/>
        </w:rPr>
        <w:t>.</w:t>
      </w:r>
      <w:r w:rsidR="009B4D3D" w:rsidRPr="00D05948">
        <w:rPr>
          <w:lang w:val="en-CA"/>
        </w:rPr>
        <w:t>), the Aim for Employment Program (</w:t>
      </w:r>
      <w:r w:rsidR="001F1E84">
        <w:rPr>
          <w:lang w:val="en-CA"/>
        </w:rPr>
        <w:t>s.</w:t>
      </w:r>
      <w:r w:rsidRPr="009B4D3D">
        <w:rPr>
          <w:lang w:val="en-CA"/>
        </w:rPr>
        <w:t xml:space="preserve"> </w:t>
      </w:r>
      <w:r w:rsidR="009B4D3D" w:rsidRPr="009B4D3D">
        <w:rPr>
          <w:lang w:val="en-CA"/>
        </w:rPr>
        <w:t xml:space="preserve">83.1 </w:t>
      </w:r>
      <w:r w:rsidR="009B4D3D" w:rsidRPr="008A0D46">
        <w:rPr>
          <w:i/>
          <w:iCs/>
          <w:lang w:val="en-CA"/>
        </w:rPr>
        <w:t>et seq</w:t>
      </w:r>
      <w:r w:rsidR="00296606">
        <w:rPr>
          <w:i/>
          <w:iCs/>
          <w:lang w:val="en-CA"/>
        </w:rPr>
        <w:t>.</w:t>
      </w:r>
      <w:r w:rsidR="009B4D3D" w:rsidRPr="009B4D3D">
        <w:rPr>
          <w:lang w:val="en-CA"/>
        </w:rPr>
        <w:t>) as well as various specific programs (</w:t>
      </w:r>
      <w:r w:rsidR="001F1E84">
        <w:rPr>
          <w:lang w:val="en-CA"/>
        </w:rPr>
        <w:t>s.</w:t>
      </w:r>
      <w:r w:rsidRPr="009B4D3D">
        <w:rPr>
          <w:lang w:val="en-CA"/>
        </w:rPr>
        <w:t xml:space="preserve"> </w:t>
      </w:r>
      <w:r w:rsidR="009B4D3D" w:rsidRPr="009B4D3D">
        <w:rPr>
          <w:lang w:val="en-CA"/>
        </w:rPr>
        <w:t xml:space="preserve">79 </w:t>
      </w:r>
      <w:r w:rsidR="009B4D3D" w:rsidRPr="00133050">
        <w:rPr>
          <w:i/>
          <w:iCs/>
          <w:lang w:val="en-CA"/>
        </w:rPr>
        <w:t>et seq</w:t>
      </w:r>
      <w:r w:rsidR="009B4D3D" w:rsidRPr="009B4D3D">
        <w:rPr>
          <w:lang w:val="en-CA"/>
        </w:rPr>
        <w:t>)</w:t>
      </w:r>
      <w:r w:rsidR="008A0D46">
        <w:rPr>
          <w:lang w:val="en-CA"/>
        </w:rPr>
        <w:t>.</w:t>
      </w:r>
      <w:r w:rsidRPr="009B4D3D">
        <w:rPr>
          <w:lang w:val="en-CA"/>
        </w:rPr>
        <w:t xml:space="preserve"> </w:t>
      </w:r>
      <w:r w:rsidR="008620BF">
        <w:rPr>
          <w:lang w:val="en-CA"/>
        </w:rPr>
        <w:t>In accordance with</w:t>
      </w:r>
      <w:r w:rsidR="009B4D3D" w:rsidRPr="00D05948">
        <w:rPr>
          <w:lang w:val="en-CA"/>
        </w:rPr>
        <w:t xml:space="preserve"> </w:t>
      </w:r>
      <w:r w:rsidR="001F1E84">
        <w:rPr>
          <w:lang w:val="en-CA"/>
        </w:rPr>
        <w:t>s.</w:t>
      </w:r>
      <w:r w:rsidRPr="009B4D3D">
        <w:rPr>
          <w:lang w:val="en-CA"/>
        </w:rPr>
        <w:t xml:space="preserve"> </w:t>
      </w:r>
      <w:r w:rsidR="009B4D3D" w:rsidRPr="00D05948">
        <w:rPr>
          <w:lang w:val="en-CA"/>
        </w:rPr>
        <w:t>3, para</w:t>
      </w:r>
      <w:r w:rsidR="008A0D46">
        <w:rPr>
          <w:lang w:val="en-CA"/>
        </w:rPr>
        <w:t xml:space="preserve">. </w:t>
      </w:r>
      <w:r w:rsidR="009B4D3D" w:rsidRPr="00D05948">
        <w:rPr>
          <w:lang w:val="en-CA"/>
        </w:rPr>
        <w:t xml:space="preserve">2, </w:t>
      </w:r>
      <w:r w:rsidR="00040F5E">
        <w:rPr>
          <w:i/>
          <w:iCs/>
          <w:lang w:val="en-CA"/>
        </w:rPr>
        <w:t>I.F.A.A.</w:t>
      </w:r>
      <w:r w:rsidR="008A0D46">
        <w:rPr>
          <w:lang w:val="en-CA"/>
        </w:rPr>
        <w:t>,</w:t>
      </w:r>
      <w:r w:rsidRPr="009B4D3D">
        <w:rPr>
          <w:lang w:val="en-CA"/>
        </w:rPr>
        <w:t xml:space="preserve"> </w:t>
      </w:r>
      <w:r w:rsidR="009B4D3D" w:rsidRPr="009B4D3D">
        <w:rPr>
          <w:lang w:val="en-CA"/>
        </w:rPr>
        <w:t>“[a]</w:t>
      </w:r>
      <w:proofErr w:type="spellStart"/>
      <w:r w:rsidR="009B4D3D" w:rsidRPr="009B4D3D">
        <w:rPr>
          <w:lang w:val="en-CA"/>
        </w:rPr>
        <w:t>ny</w:t>
      </w:r>
      <w:proofErr w:type="spellEnd"/>
      <w:r w:rsidR="009B4D3D" w:rsidRPr="009B4D3D">
        <w:rPr>
          <w:lang w:val="en-CA"/>
        </w:rPr>
        <w:t xml:space="preserve"> reference to a last resort financial assistance program refers to the Social Assistance Program or the Social Solidarity Program”</w:t>
      </w:r>
      <w:r w:rsidRPr="009B4D3D">
        <w:rPr>
          <w:lang w:val="en-CA"/>
        </w:rPr>
        <w:t xml:space="preserve"> </w:t>
      </w:r>
      <w:r w:rsidR="00133050">
        <w:rPr>
          <w:lang w:val="en-CA"/>
        </w:rPr>
        <w:t xml:space="preserve">(ss. </w:t>
      </w:r>
      <w:r w:rsidR="009B4D3D">
        <w:rPr>
          <w:lang w:val="en-CA"/>
        </w:rPr>
        <w:t>44 and 67)</w:t>
      </w:r>
      <w:r w:rsidR="00133050">
        <w:rPr>
          <w:lang w:val="en-CA"/>
        </w:rPr>
        <w:t>,</w:t>
      </w:r>
    </w:p>
  </w:footnote>
  <w:footnote w:id="6">
    <w:p w14:paraId="03EC2ACC" w14:textId="180C85C4" w:rsidR="00362E91" w:rsidRPr="009B4D3D" w:rsidRDefault="00362E91" w:rsidP="00362E9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The</w:t>
      </w:r>
      <w:r w:rsidR="008A0D46">
        <w:rPr>
          <w:lang w:val="en-CA"/>
        </w:rPr>
        <w:t>se</w:t>
      </w:r>
      <w:r w:rsidR="009B4D3D" w:rsidRPr="00D05948">
        <w:rPr>
          <w:lang w:val="en-CA"/>
        </w:rPr>
        <w:t xml:space="preserve"> were</w:t>
      </w:r>
      <w:r w:rsidRPr="009B4D3D">
        <w:rPr>
          <w:lang w:val="en-CA"/>
        </w:rPr>
        <w:t xml:space="preserve"> </w:t>
      </w:r>
      <w:r w:rsidR="008A0D46">
        <w:rPr>
          <w:lang w:val="en-CA"/>
        </w:rPr>
        <w:t xml:space="preserve">ss. </w:t>
      </w:r>
      <w:r w:rsidR="009B4D3D" w:rsidRPr="00D05948">
        <w:rPr>
          <w:lang w:val="en-CA"/>
        </w:rPr>
        <w:t xml:space="preserve">41 and 54 of the </w:t>
      </w:r>
      <w:r w:rsidR="009B4D3D" w:rsidRPr="008A0D46">
        <w:rPr>
          <w:i/>
          <w:iCs/>
          <w:lang w:val="en-CA"/>
        </w:rPr>
        <w:t>Act respecting income support, employment assistance and social solidarity</w:t>
      </w:r>
      <w:r w:rsidR="009B4D3D" w:rsidRPr="00D05948">
        <w:rPr>
          <w:lang w:val="en-CA"/>
        </w:rPr>
        <w:t xml:space="preserve">, CQLR, c S-32.001, which became, </w:t>
      </w:r>
      <w:r w:rsidR="001F1E84">
        <w:rPr>
          <w:lang w:val="en-CA"/>
        </w:rPr>
        <w:t>ss</w:t>
      </w:r>
      <w:r w:rsidR="008A0D46">
        <w:rPr>
          <w:lang w:val="en-CA"/>
        </w:rPr>
        <w:t>.</w:t>
      </w:r>
      <w:r w:rsidRPr="009B4D3D">
        <w:rPr>
          <w:lang w:val="en-CA"/>
        </w:rPr>
        <w:t xml:space="preserve"> </w:t>
      </w:r>
      <w:r w:rsidR="00F35761" w:rsidRPr="00D05948">
        <w:rPr>
          <w:lang w:val="en-CA"/>
        </w:rPr>
        <w:t xml:space="preserve">63 and 66 </w:t>
      </w:r>
      <w:r w:rsidR="00040F5E" w:rsidRPr="00E66EFC">
        <w:rPr>
          <w:i/>
          <w:iCs/>
          <w:lang w:val="en-CA"/>
        </w:rPr>
        <w:t>I.F.A.A</w:t>
      </w:r>
      <w:r w:rsidR="00040F5E">
        <w:rPr>
          <w:lang w:val="en-CA"/>
        </w:rPr>
        <w:t>.</w:t>
      </w:r>
      <w:r w:rsidR="008A0D46">
        <w:rPr>
          <w:lang w:val="en-CA"/>
        </w:rPr>
        <w:t>, respectively</w:t>
      </w:r>
      <w:r w:rsidR="00F35761" w:rsidRPr="00D05948">
        <w:rPr>
          <w:lang w:val="en-CA"/>
        </w:rPr>
        <w:t>.</w:t>
      </w:r>
    </w:p>
  </w:footnote>
  <w:footnote w:id="7">
    <w:p w14:paraId="1E9347AA" w14:textId="0EC0CA35" w:rsidR="009678F8" w:rsidRPr="009B4D3D" w:rsidRDefault="009678F8" w:rsidP="009678F8">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 xml:space="preserve">Decision dated April 4, 2007, signed by André </w:t>
      </w:r>
      <w:proofErr w:type="spellStart"/>
      <w:r w:rsidR="009B4D3D" w:rsidRPr="00D05948">
        <w:rPr>
          <w:lang w:val="en-CA"/>
        </w:rPr>
        <w:t>Hétu</w:t>
      </w:r>
      <w:proofErr w:type="spellEnd"/>
      <w:r w:rsidR="009B4D3D" w:rsidRPr="00D05948">
        <w:rPr>
          <w:lang w:val="en-CA"/>
        </w:rPr>
        <w:t xml:space="preserve">, reviewer, </w:t>
      </w:r>
      <w:proofErr w:type="spellStart"/>
      <w:r w:rsidR="009B4D3D" w:rsidRPr="00D05948">
        <w:rPr>
          <w:lang w:val="en-CA"/>
        </w:rPr>
        <w:t>Ministère</w:t>
      </w:r>
      <w:proofErr w:type="spellEnd"/>
      <w:r w:rsidR="009B4D3D" w:rsidRPr="00D05948">
        <w:rPr>
          <w:lang w:val="en-CA"/>
        </w:rPr>
        <w:t xml:space="preserve"> </w:t>
      </w:r>
      <w:r w:rsidR="009B4D3D" w:rsidRPr="009B4D3D">
        <w:rPr>
          <w:lang w:val="en-CA"/>
        </w:rPr>
        <w:t xml:space="preserve">de </w:t>
      </w:r>
      <w:proofErr w:type="spellStart"/>
      <w:r w:rsidR="009B4D3D" w:rsidRPr="009B4D3D">
        <w:rPr>
          <w:lang w:val="en-CA"/>
        </w:rPr>
        <w:t>l’Emploi</w:t>
      </w:r>
      <w:proofErr w:type="spellEnd"/>
      <w:r w:rsidR="009B4D3D" w:rsidRPr="009B4D3D">
        <w:rPr>
          <w:lang w:val="en-CA"/>
        </w:rPr>
        <w:t xml:space="preserve"> et de la </w:t>
      </w:r>
      <w:proofErr w:type="spellStart"/>
      <w:r w:rsidR="009B4D3D" w:rsidRPr="009B4D3D">
        <w:rPr>
          <w:lang w:val="en-CA"/>
        </w:rPr>
        <w:t>Solidarité</w:t>
      </w:r>
      <w:proofErr w:type="spellEnd"/>
      <w:r w:rsidR="009B4D3D" w:rsidRPr="009B4D3D">
        <w:rPr>
          <w:lang w:val="en-CA"/>
        </w:rPr>
        <w:t xml:space="preserve"> </w:t>
      </w:r>
      <w:proofErr w:type="spellStart"/>
      <w:r w:rsidR="009B4D3D" w:rsidRPr="009B4D3D">
        <w:rPr>
          <w:lang w:val="en-CA"/>
        </w:rPr>
        <w:t>sociale</w:t>
      </w:r>
      <w:proofErr w:type="spellEnd"/>
      <w:r w:rsidR="009B4D3D" w:rsidRPr="009B4D3D">
        <w:rPr>
          <w:lang w:val="en-CA"/>
        </w:rPr>
        <w:t xml:space="preserve">, </w:t>
      </w:r>
      <w:r w:rsidR="00DA2751">
        <w:rPr>
          <w:lang w:val="en-CA"/>
        </w:rPr>
        <w:t xml:space="preserve">Department of </w:t>
      </w:r>
      <w:r w:rsidR="009B4D3D" w:rsidRPr="009B4D3D">
        <w:rPr>
          <w:lang w:val="en-CA"/>
        </w:rPr>
        <w:t xml:space="preserve">Review and Representation before the </w:t>
      </w:r>
      <w:r w:rsidR="00DC31C3">
        <w:rPr>
          <w:lang w:val="en-CA"/>
        </w:rPr>
        <w:t>ATQ</w:t>
      </w:r>
      <w:r w:rsidR="009B4D3D" w:rsidRPr="009B4D3D">
        <w:rPr>
          <w:lang w:val="en-CA"/>
        </w:rPr>
        <w:t>, Western Sector.</w:t>
      </w:r>
    </w:p>
  </w:footnote>
  <w:footnote w:id="8">
    <w:p w14:paraId="4CC16EF0" w14:textId="2AA80BA3" w:rsidR="009678F8" w:rsidRPr="009B4D3D" w:rsidRDefault="009678F8" w:rsidP="009678F8">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CQLR, c. J-3.</w:t>
      </w:r>
    </w:p>
  </w:footnote>
  <w:footnote w:id="9">
    <w:p w14:paraId="6BAA4EEE" w14:textId="6AF4B555" w:rsidR="009678F8" w:rsidRPr="009B4D3D" w:rsidRDefault="009678F8" w:rsidP="009678F8">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Which explains the notice the appellant sent the impleaded Attorney General of Quebec, </w:t>
      </w:r>
      <w:r w:rsidR="00DA2751">
        <w:rPr>
          <w:lang w:val="en-CA"/>
        </w:rPr>
        <w:t>under</w:t>
      </w:r>
      <w:r w:rsidR="009B4D3D" w:rsidRPr="009B4D3D">
        <w:rPr>
          <w:lang w:val="en-CA"/>
        </w:rPr>
        <w:t xml:space="preserve"> what was then </w:t>
      </w:r>
      <w:r w:rsidR="00DA2751">
        <w:rPr>
          <w:lang w:val="en-CA"/>
        </w:rPr>
        <w:t>art</w:t>
      </w:r>
      <w:r w:rsidR="001F1E84">
        <w:rPr>
          <w:lang w:val="en-CA"/>
        </w:rPr>
        <w:t>.</w:t>
      </w:r>
      <w:r w:rsidRPr="009B4D3D">
        <w:rPr>
          <w:lang w:val="en-CA"/>
        </w:rPr>
        <w:t xml:space="preserve"> </w:t>
      </w:r>
      <w:r w:rsidR="009B4D3D" w:rsidRPr="00D05948">
        <w:rPr>
          <w:lang w:val="en-CA"/>
        </w:rPr>
        <w:t xml:space="preserve">95 </w:t>
      </w:r>
      <w:r w:rsidR="00040F5E">
        <w:rPr>
          <w:lang w:val="en-CA"/>
        </w:rPr>
        <w:t>C.C.P.</w:t>
      </w:r>
      <w:r w:rsidR="009B4D3D" w:rsidRPr="00D05948">
        <w:rPr>
          <w:lang w:val="en-CA"/>
        </w:rPr>
        <w:t xml:space="preserve"> and what is today </w:t>
      </w:r>
      <w:r w:rsidR="00DA2751">
        <w:rPr>
          <w:lang w:val="en-CA"/>
        </w:rPr>
        <w:t xml:space="preserve">art. </w:t>
      </w:r>
      <w:r w:rsidR="009B4D3D" w:rsidRPr="00D05948">
        <w:rPr>
          <w:lang w:val="en-CA"/>
        </w:rPr>
        <w:t xml:space="preserve">76 </w:t>
      </w:r>
      <w:proofErr w:type="gramStart"/>
      <w:r w:rsidR="00040F5E">
        <w:rPr>
          <w:lang w:val="en-CA"/>
        </w:rPr>
        <w:t>C.C.P.</w:t>
      </w:r>
      <w:r w:rsidR="009B4D3D" w:rsidRPr="00D05948">
        <w:rPr>
          <w:lang w:val="en-CA"/>
        </w:rPr>
        <w:t>.</w:t>
      </w:r>
      <w:proofErr w:type="gramEnd"/>
    </w:p>
  </w:footnote>
  <w:footnote w:id="10">
    <w:p w14:paraId="016B82D8" w14:textId="48EB4874" w:rsidR="009678F8" w:rsidRPr="009B4D3D" w:rsidRDefault="009678F8" w:rsidP="009678F8">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i/>
          <w:lang w:val="en-CA"/>
        </w:rPr>
        <w:t xml:space="preserve">Ordonnance </w:t>
      </w:r>
      <w:proofErr w:type="spellStart"/>
      <w:r w:rsidR="009B4D3D" w:rsidRPr="00D05948">
        <w:rPr>
          <w:i/>
          <w:lang w:val="en-CA"/>
        </w:rPr>
        <w:t>en</w:t>
      </w:r>
      <w:proofErr w:type="spellEnd"/>
      <w:r w:rsidR="009B4D3D" w:rsidRPr="00D05948">
        <w:rPr>
          <w:i/>
          <w:lang w:val="en-CA"/>
        </w:rPr>
        <w:t xml:space="preserve"> vertu de </w:t>
      </w:r>
      <w:proofErr w:type="spellStart"/>
      <w:r w:rsidR="009B4D3D" w:rsidRPr="00D05948">
        <w:rPr>
          <w:i/>
          <w:lang w:val="en-CA"/>
        </w:rPr>
        <w:t>l’article</w:t>
      </w:r>
      <w:proofErr w:type="spellEnd"/>
      <w:r w:rsidR="009B4D3D" w:rsidRPr="00D05948">
        <w:rPr>
          <w:i/>
          <w:lang w:val="en-CA"/>
        </w:rPr>
        <w:t xml:space="preserve"> 107 de la </w:t>
      </w:r>
      <w:proofErr w:type="spellStart"/>
      <w:r w:rsidR="009B4D3D" w:rsidRPr="00D05948">
        <w:rPr>
          <w:i/>
          <w:lang w:val="en-CA"/>
        </w:rPr>
        <w:t>Loi</w:t>
      </w:r>
      <w:proofErr w:type="spellEnd"/>
      <w:r w:rsidR="009B4D3D" w:rsidRPr="00D05948">
        <w:rPr>
          <w:i/>
          <w:lang w:val="en-CA"/>
        </w:rPr>
        <w:t xml:space="preserve"> sur la justice administrative </w:t>
      </w:r>
      <w:r w:rsidR="009B4D3D" w:rsidRPr="009B4D3D">
        <w:rPr>
          <w:lang w:val="en-CA"/>
        </w:rPr>
        <w:t xml:space="preserve">(Order under </w:t>
      </w:r>
      <w:r w:rsidR="001F1E84">
        <w:rPr>
          <w:lang w:val="en-CA"/>
        </w:rPr>
        <w:t>s.</w:t>
      </w:r>
      <w:r w:rsidR="009B4D3D" w:rsidRPr="009B4D3D">
        <w:rPr>
          <w:lang w:val="en-CA"/>
        </w:rPr>
        <w:t xml:space="preserve"> 107 of the </w:t>
      </w:r>
      <w:r w:rsidR="009B4D3D" w:rsidRPr="00DA2751">
        <w:rPr>
          <w:i/>
          <w:iCs/>
          <w:lang w:val="en-CA"/>
        </w:rPr>
        <w:t xml:space="preserve">Act respecting </w:t>
      </w:r>
      <w:proofErr w:type="gramStart"/>
      <w:r w:rsidR="009B4D3D" w:rsidRPr="00DA2751">
        <w:rPr>
          <w:i/>
          <w:iCs/>
          <w:lang w:val="en-CA"/>
        </w:rPr>
        <w:t>Administrative</w:t>
      </w:r>
      <w:proofErr w:type="gramEnd"/>
      <w:r w:rsidR="009B4D3D" w:rsidRPr="00DA2751">
        <w:rPr>
          <w:i/>
          <w:iCs/>
          <w:lang w:val="en-CA"/>
        </w:rPr>
        <w:t xml:space="preserve"> justice</w:t>
      </w:r>
      <w:r w:rsidR="009B4D3D" w:rsidRPr="009B4D3D">
        <w:rPr>
          <w:lang w:val="en-CA"/>
        </w:rPr>
        <w:t xml:space="preserve">), SAS-M-130348-0704, </w:t>
      </w:r>
      <w:r w:rsidR="00565649">
        <w:rPr>
          <w:lang w:val="en-CA"/>
        </w:rPr>
        <w:t>A</w:t>
      </w:r>
      <w:r w:rsidR="009B4D3D" w:rsidRPr="009B4D3D">
        <w:rPr>
          <w:lang w:val="en-CA"/>
        </w:rPr>
        <w:t xml:space="preserve">dministrative </w:t>
      </w:r>
      <w:r w:rsidR="00565649">
        <w:rPr>
          <w:lang w:val="en-CA"/>
        </w:rPr>
        <w:t>J</w:t>
      </w:r>
      <w:r w:rsidR="009B4D3D" w:rsidRPr="009B4D3D">
        <w:rPr>
          <w:lang w:val="en-CA"/>
        </w:rPr>
        <w:t>udge Christine Truesdell (13 December 2007).</w:t>
      </w:r>
    </w:p>
  </w:footnote>
  <w:footnote w:id="11">
    <w:p w14:paraId="5D634C43" w14:textId="0368D460" w:rsidR="009678F8" w:rsidRPr="009B4D3D" w:rsidRDefault="009678F8" w:rsidP="009678F8">
      <w:pPr>
        <w:pStyle w:val="Notedebasdepage"/>
        <w:rPr>
          <w:lang w:val="en-CA"/>
        </w:rPr>
      </w:pPr>
      <w:r>
        <w:rPr>
          <w:rStyle w:val="Appelnotedebasdep"/>
        </w:rPr>
        <w:footnoteRef/>
      </w:r>
      <w:r>
        <w:t xml:space="preserve"> </w:t>
      </w:r>
      <w:r>
        <w:tab/>
      </w:r>
      <w:r w:rsidR="009B4D3D" w:rsidRPr="00D05948">
        <w:rPr>
          <w:i/>
        </w:rPr>
        <w:t>R.O. c. Ministre de l'Emploi et de la Solidarité sociale</w:t>
      </w:r>
      <w:r w:rsidR="009B4D3D" w:rsidRPr="00D05948">
        <w:t>, 2018 QC</w:t>
      </w:r>
      <w:r w:rsidR="00DC31C3">
        <w:t>ATQ</w:t>
      </w:r>
      <w:r w:rsidR="009B4D3D" w:rsidRPr="00D05948">
        <w:t xml:space="preserve"> 10667 (or “</w:t>
      </w:r>
      <w:r w:rsidR="00DC31C3">
        <w:t>ATQ</w:t>
      </w:r>
      <w:r w:rsidR="009B4D3D" w:rsidRPr="00D05948">
        <w:t xml:space="preserve"> </w:t>
      </w:r>
      <w:proofErr w:type="spellStart"/>
      <w:r w:rsidR="009B4D3D" w:rsidRPr="00874FC6">
        <w:t>decision</w:t>
      </w:r>
      <w:proofErr w:type="spellEnd"/>
      <w:r w:rsidR="009B4D3D" w:rsidRPr="00D05948">
        <w:t>”).</w:t>
      </w:r>
      <w:r w:rsidRPr="0080518B">
        <w:t xml:space="preserve"> </w:t>
      </w:r>
      <w:r w:rsidR="009B4D3D" w:rsidRPr="009B4D3D">
        <w:rPr>
          <w:lang w:val="en-CA"/>
        </w:rPr>
        <w:t xml:space="preserve">The record does not </w:t>
      </w:r>
      <w:r w:rsidR="00987CC3">
        <w:rPr>
          <w:lang w:val="en-CA"/>
        </w:rPr>
        <w:t>reveal</w:t>
      </w:r>
      <w:r w:rsidR="009B4D3D" w:rsidRPr="009B4D3D">
        <w:rPr>
          <w:lang w:val="en-CA"/>
        </w:rPr>
        <w:t xml:space="preserve"> </w:t>
      </w:r>
      <w:r w:rsidR="00466D20">
        <w:rPr>
          <w:lang w:val="en-CA"/>
        </w:rPr>
        <w:t>why</w:t>
      </w:r>
      <w:r w:rsidR="009B4D3D" w:rsidRPr="009B4D3D">
        <w:rPr>
          <w:lang w:val="en-CA"/>
        </w:rPr>
        <w:t xml:space="preserve"> the proceeding the appellant brought in 2007 was decided in 2018.</w:t>
      </w:r>
    </w:p>
  </w:footnote>
  <w:footnote w:id="12">
    <w:p w14:paraId="2267C49C" w14:textId="0AE26873" w:rsidR="009678F8" w:rsidRPr="009B4D3D" w:rsidRDefault="009678F8" w:rsidP="009678F8">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i/>
          <w:lang w:val="en-CA"/>
        </w:rPr>
        <w:t xml:space="preserve">Ibid. </w:t>
      </w:r>
      <w:r w:rsidR="009B4D3D" w:rsidRPr="00987CC3">
        <w:rPr>
          <w:iCs/>
          <w:lang w:val="en-CA"/>
        </w:rPr>
        <w:t>at para</w:t>
      </w:r>
      <w:r w:rsidR="009B4D3D" w:rsidRPr="00D05948">
        <w:rPr>
          <w:i/>
          <w:lang w:val="en-CA"/>
        </w:rPr>
        <w:t xml:space="preserve">. </w:t>
      </w:r>
      <w:r w:rsidRPr="009B4D3D">
        <w:rPr>
          <w:lang w:val="en-CA"/>
        </w:rPr>
        <w:t xml:space="preserve"> 39.</w:t>
      </w:r>
    </w:p>
  </w:footnote>
  <w:footnote w:id="13">
    <w:p w14:paraId="494F210C" w14:textId="30CE0C5B" w:rsidR="00A75045" w:rsidRPr="009B4D3D" w:rsidRDefault="00A75045" w:rsidP="00A75045">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i/>
          <w:lang w:val="en-CA"/>
        </w:rPr>
        <w:t xml:space="preserve">Ibid. </w:t>
      </w:r>
      <w:r w:rsidR="009B4D3D" w:rsidRPr="00AD503B">
        <w:rPr>
          <w:iCs/>
          <w:lang w:val="en-CA"/>
        </w:rPr>
        <w:t>at para</w:t>
      </w:r>
      <w:r w:rsidR="009B4D3D" w:rsidRPr="00D05948">
        <w:rPr>
          <w:i/>
          <w:lang w:val="en-CA"/>
        </w:rPr>
        <w:t xml:space="preserve">. </w:t>
      </w:r>
      <w:r w:rsidRPr="009B4D3D">
        <w:rPr>
          <w:lang w:val="en-CA"/>
        </w:rPr>
        <w:t xml:space="preserve"> 41.</w:t>
      </w:r>
    </w:p>
  </w:footnote>
  <w:footnote w:id="14">
    <w:p w14:paraId="2DFC4B52" w14:textId="77AD2E7B" w:rsidR="00A75045" w:rsidRPr="00E66EFC" w:rsidRDefault="00A75045" w:rsidP="00A75045">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See above at para.</w:t>
      </w:r>
      <w:r w:rsidRPr="009B4D3D">
        <w:rPr>
          <w:lang w:val="en-CA"/>
        </w:rPr>
        <w:t xml:space="preserve"> </w:t>
      </w:r>
      <w:r w:rsidR="009B4D3D" w:rsidRPr="009B4D3D">
        <w:fldChar w:fldCharType="begin"/>
      </w:r>
      <w:r w:rsidR="009B4D3D" w:rsidRPr="009B4D3D">
        <w:rPr>
          <w:lang w:val="en-CA"/>
        </w:rPr>
        <w:instrText xml:space="preserve"> REF _Ref71630414 \r \h </w:instrText>
      </w:r>
      <w:r w:rsidR="009B4D3D" w:rsidRPr="009B4D3D">
        <w:fldChar w:fldCharType="separate"/>
      </w:r>
      <w:r w:rsidR="009B4D3D" w:rsidRPr="00623D91">
        <w:rPr>
          <w:lang w:val="en-CA"/>
        </w:rPr>
        <w:t>[8]</w:t>
      </w:r>
      <w:r w:rsidR="009B4D3D" w:rsidRPr="009B4D3D">
        <w:fldChar w:fldCharType="end"/>
      </w:r>
      <w:r w:rsidR="009B4D3D" w:rsidRPr="00623D91">
        <w:rPr>
          <w:lang w:val="en-CA"/>
        </w:rPr>
        <w:t xml:space="preserve"> </w:t>
      </w:r>
      <w:r w:rsidR="009B4D3D" w:rsidRPr="00623D91">
        <w:rPr>
          <w:i/>
          <w:lang w:val="en-CA"/>
        </w:rPr>
        <w:t>in fine</w:t>
      </w:r>
      <w:r w:rsidR="009B4D3D" w:rsidRPr="00623D91">
        <w:rPr>
          <w:lang w:val="en-CA"/>
        </w:rPr>
        <w:t xml:space="preserve"> and footnote</w:t>
      </w:r>
      <w:r w:rsidR="00E66EFC">
        <w:rPr>
          <w:lang w:val="en-CA"/>
        </w:rPr>
        <w:t xml:space="preserve"> </w:t>
      </w:r>
      <w:r>
        <w:fldChar w:fldCharType="begin"/>
      </w:r>
      <w:r w:rsidRPr="00623D91">
        <w:rPr>
          <w:lang w:val="en-CA"/>
        </w:rPr>
        <w:instrText xml:space="preserve"> NOTEREF _Ref71630427 \h </w:instrText>
      </w:r>
      <w:r>
        <w:fldChar w:fldCharType="separate"/>
      </w:r>
      <w:r w:rsidRPr="00E66EFC">
        <w:rPr>
          <w:lang w:val="en-CA"/>
        </w:rPr>
        <w:t>10</w:t>
      </w:r>
      <w:r>
        <w:fldChar w:fldCharType="end"/>
      </w:r>
      <w:r w:rsidRPr="00E66EFC">
        <w:rPr>
          <w:lang w:val="en-CA"/>
        </w:rPr>
        <w:t>.</w:t>
      </w:r>
    </w:p>
  </w:footnote>
  <w:footnote w:id="15">
    <w:p w14:paraId="0F74EB3B" w14:textId="5E681C08" w:rsidR="00A75045" w:rsidRDefault="00A75045" w:rsidP="00A75045">
      <w:pPr>
        <w:pStyle w:val="Notedebasdepage"/>
      </w:pPr>
      <w:r>
        <w:rPr>
          <w:rStyle w:val="Appelnotedebasdep"/>
        </w:rPr>
        <w:footnoteRef/>
      </w:r>
      <w:r>
        <w:t xml:space="preserve"> </w:t>
      </w:r>
      <w:r>
        <w:tab/>
      </w:r>
      <w:r w:rsidR="009B4D3D" w:rsidRPr="00D05948">
        <w:rPr>
          <w:i/>
        </w:rPr>
        <w:t>R.O. c. Ministre du Travail, de l'Emploi et de la Solidarité sociale</w:t>
      </w:r>
      <w:r w:rsidR="009B4D3D" w:rsidRPr="00D05948">
        <w:t>, 2019 QCTAQ 09538.</w:t>
      </w:r>
    </w:p>
  </w:footnote>
  <w:footnote w:id="16">
    <w:p w14:paraId="173E58CB" w14:textId="77777777" w:rsidR="00C5247F" w:rsidRDefault="00C5247F" w:rsidP="00C5247F">
      <w:pPr>
        <w:pStyle w:val="Notedebasdepage"/>
      </w:pPr>
      <w:r>
        <w:rPr>
          <w:rStyle w:val="Appelnotedebasdep"/>
        </w:rPr>
        <w:footnoteRef/>
      </w:r>
      <w:r>
        <w:t xml:space="preserve"> </w:t>
      </w:r>
      <w:r>
        <w:tab/>
      </w:r>
      <w:r w:rsidRPr="00D05948">
        <w:rPr>
          <w:i/>
        </w:rPr>
        <w:t>R.O. c. Tribunal administratif du Québec (section des affaires sociales)</w:t>
      </w:r>
      <w:r w:rsidRPr="00D05948">
        <w:t>, 2020 QCCS 4256.</w:t>
      </w:r>
    </w:p>
  </w:footnote>
  <w:footnote w:id="17">
    <w:p w14:paraId="236EC186" w14:textId="238340F7" w:rsidR="00A75045" w:rsidRPr="00623D91" w:rsidRDefault="00A75045" w:rsidP="00A75045">
      <w:pPr>
        <w:pStyle w:val="Notedebasdepage"/>
        <w:rPr>
          <w:lang w:val="en-CA"/>
        </w:rPr>
      </w:pPr>
      <w:r>
        <w:rPr>
          <w:rStyle w:val="Appelnotedebasdep"/>
        </w:rPr>
        <w:footnoteRef/>
      </w:r>
      <w:r w:rsidRPr="00623D91">
        <w:rPr>
          <w:lang w:val="en-CA"/>
        </w:rPr>
        <w:t xml:space="preserve"> </w:t>
      </w:r>
      <w:r w:rsidRPr="00623D91">
        <w:rPr>
          <w:lang w:val="en-CA"/>
        </w:rPr>
        <w:tab/>
      </w:r>
      <w:r w:rsidR="009B4D3D" w:rsidRPr="00D05948">
        <w:rPr>
          <w:lang w:val="en-CA"/>
        </w:rPr>
        <w:t>Trial judgment at para.</w:t>
      </w:r>
      <w:r w:rsidRPr="00623D91">
        <w:rPr>
          <w:lang w:val="en-CA"/>
        </w:rPr>
        <w:t xml:space="preserve"> 18.</w:t>
      </w:r>
    </w:p>
  </w:footnote>
  <w:footnote w:id="18">
    <w:p w14:paraId="2F9A71EF" w14:textId="452A94A0" w:rsidR="00A75045" w:rsidRPr="00623D91" w:rsidRDefault="00A75045" w:rsidP="00A75045">
      <w:pPr>
        <w:pStyle w:val="Notedebasdepage"/>
      </w:pPr>
      <w:r>
        <w:rPr>
          <w:rStyle w:val="Appelnotedebasdep"/>
        </w:rPr>
        <w:footnoteRef/>
      </w:r>
      <w:r w:rsidRPr="009B4D3D">
        <w:rPr>
          <w:lang w:val="en-CA"/>
        </w:rPr>
        <w:t xml:space="preserve"> </w:t>
      </w:r>
      <w:r w:rsidRPr="009B4D3D">
        <w:rPr>
          <w:lang w:val="en-CA"/>
        </w:rPr>
        <w:tab/>
      </w:r>
      <w:r w:rsidR="009B4D3D" w:rsidRPr="00D05948">
        <w:rPr>
          <w:i/>
          <w:lang w:val="en-CA"/>
        </w:rPr>
        <w:t xml:space="preserve">Ibid. at para. </w:t>
      </w:r>
      <w:r w:rsidRPr="009B4D3D">
        <w:rPr>
          <w:lang w:val="en-CA"/>
        </w:rPr>
        <w:t xml:space="preserve"> </w:t>
      </w:r>
      <w:r w:rsidRPr="00623D91">
        <w:t>22.</w:t>
      </w:r>
    </w:p>
  </w:footnote>
  <w:footnote w:id="19">
    <w:p w14:paraId="365E894B" w14:textId="3EA172C6" w:rsidR="00A75045" w:rsidRDefault="00A75045" w:rsidP="00A75045">
      <w:pPr>
        <w:pStyle w:val="Notedebasdepage"/>
      </w:pPr>
      <w:r>
        <w:rPr>
          <w:rStyle w:val="Appelnotedebasdep"/>
        </w:rPr>
        <w:footnoteRef/>
      </w:r>
      <w:r w:rsidRPr="00623D91">
        <w:t xml:space="preserve"> </w:t>
      </w:r>
      <w:r w:rsidRPr="00623D91">
        <w:tab/>
      </w:r>
      <w:r w:rsidR="009B4D3D" w:rsidRPr="00D05948">
        <w:t xml:space="preserve">Trial </w:t>
      </w:r>
      <w:proofErr w:type="spellStart"/>
      <w:r w:rsidR="00F7659E">
        <w:t>judgment</w:t>
      </w:r>
      <w:proofErr w:type="spellEnd"/>
      <w:r w:rsidR="009B4D3D" w:rsidRPr="00D05948">
        <w:t xml:space="preserve"> at para.</w:t>
      </w:r>
      <w:r w:rsidRPr="00623D91">
        <w:t xml:space="preserve"> </w:t>
      </w:r>
      <w:r>
        <w:t>30.</w:t>
      </w:r>
    </w:p>
  </w:footnote>
  <w:footnote w:id="20">
    <w:p w14:paraId="63E146C8" w14:textId="2C7DC5DA" w:rsidR="00A75045" w:rsidRDefault="00A75045" w:rsidP="00A75045">
      <w:pPr>
        <w:pStyle w:val="Notedebasdepage"/>
      </w:pPr>
      <w:r>
        <w:rPr>
          <w:rStyle w:val="Appelnotedebasdep"/>
        </w:rPr>
        <w:footnoteRef/>
      </w:r>
      <w:r>
        <w:t xml:space="preserve"> </w:t>
      </w:r>
      <w:r>
        <w:tab/>
      </w:r>
      <w:r w:rsidR="009B4D3D" w:rsidRPr="00D05948">
        <w:rPr>
          <w:i/>
        </w:rPr>
        <w:t xml:space="preserve">R.O. c. </w:t>
      </w:r>
      <w:proofErr w:type="gramStart"/>
      <w:r w:rsidR="009B4D3D" w:rsidRPr="00D05948">
        <w:rPr>
          <w:i/>
        </w:rPr>
        <w:t>Ministre de l'Emploi</w:t>
      </w:r>
      <w:proofErr w:type="gramEnd"/>
      <w:r w:rsidR="009B4D3D" w:rsidRPr="00D05948">
        <w:rPr>
          <w:i/>
        </w:rPr>
        <w:t xml:space="preserve"> et de la Solidarité sociale</w:t>
      </w:r>
      <w:r w:rsidR="009B4D3D" w:rsidRPr="00D05948">
        <w:t xml:space="preserve">, 2020 QCCA 1611 (single </w:t>
      </w:r>
      <w:proofErr w:type="spellStart"/>
      <w:r w:rsidR="009B4D3D" w:rsidRPr="00D05948">
        <w:t>judge</w:t>
      </w:r>
      <w:proofErr w:type="spellEnd"/>
      <w:r w:rsidR="009B4D3D" w:rsidRPr="00D05948">
        <w:t>).</w:t>
      </w:r>
    </w:p>
  </w:footnote>
  <w:footnote w:id="21">
    <w:p w14:paraId="5C467B4C" w14:textId="6FAE91D3" w:rsidR="00A75045" w:rsidRPr="009B4D3D" w:rsidRDefault="00A75045" w:rsidP="00A75045">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See the originating application </w:t>
      </w:r>
      <w:proofErr w:type="gramStart"/>
      <w:r w:rsidR="009B4D3D" w:rsidRPr="009B4D3D">
        <w:rPr>
          <w:lang w:val="en-CA"/>
        </w:rPr>
        <w:t>(”Judicial</w:t>
      </w:r>
      <w:proofErr w:type="gramEnd"/>
      <w:r w:rsidR="009B4D3D" w:rsidRPr="009B4D3D">
        <w:rPr>
          <w:lang w:val="en-CA"/>
        </w:rPr>
        <w:t xml:space="preserve"> review power (conclusions in review of a decision), </w:t>
      </w:r>
      <w:r w:rsidR="008872C8">
        <w:rPr>
          <w:lang w:val="en-CA"/>
        </w:rPr>
        <w:t>art.</w:t>
      </w:r>
      <w:r w:rsidR="009B4D3D" w:rsidRPr="009B4D3D">
        <w:rPr>
          <w:lang w:val="en-CA"/>
        </w:rPr>
        <w:t xml:space="preserve"> 529 paragraph 1(2) </w:t>
      </w:r>
      <w:r w:rsidR="00040F5E">
        <w:rPr>
          <w:lang w:val="en-CA"/>
        </w:rPr>
        <w:t>C.C.P.</w:t>
      </w:r>
      <w:r w:rsidR="009B4D3D" w:rsidRPr="009B4D3D">
        <w:rPr>
          <w:lang w:val="en-CA"/>
        </w:rPr>
        <w:t>) (26 November 2018) at 6.</w:t>
      </w:r>
    </w:p>
  </w:footnote>
  <w:footnote w:id="22">
    <w:p w14:paraId="224ACF7F" w14:textId="4F3BD887" w:rsidR="00A75045" w:rsidRPr="009B4D3D" w:rsidRDefault="00A75045" w:rsidP="00A75045">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In these reasons, the term “impleaded party” refers solely to the Attorney General of Quebec,</w:t>
      </w:r>
      <w:r w:rsidR="00E3757F">
        <w:rPr>
          <w:lang w:val="en-CA"/>
        </w:rPr>
        <w:t xml:space="preserve"> because </w:t>
      </w:r>
      <w:r w:rsidR="009B4D3D" w:rsidRPr="009B4D3D">
        <w:rPr>
          <w:lang w:val="en-CA"/>
        </w:rPr>
        <w:t xml:space="preserve">the Administrative Tribunal of Quebec did not </w:t>
      </w:r>
      <w:r w:rsidR="00E3757F">
        <w:rPr>
          <w:lang w:val="en-CA"/>
        </w:rPr>
        <w:t xml:space="preserve">take part in the </w:t>
      </w:r>
      <w:r w:rsidR="009B4D3D" w:rsidRPr="009B4D3D">
        <w:rPr>
          <w:lang w:val="en-CA"/>
        </w:rPr>
        <w:t>appeal.</w:t>
      </w:r>
    </w:p>
  </w:footnote>
  <w:footnote w:id="23">
    <w:p w14:paraId="3A622754" w14:textId="45EE9127" w:rsidR="00A75045" w:rsidRPr="00623D91" w:rsidRDefault="00A75045" w:rsidP="00A75045">
      <w:pPr>
        <w:pStyle w:val="Notedebasdepage"/>
        <w:rPr>
          <w:lang w:val="en-CA"/>
        </w:rPr>
      </w:pPr>
      <w:r>
        <w:rPr>
          <w:rStyle w:val="Appelnotedebasdep"/>
        </w:rPr>
        <w:footnoteRef/>
      </w:r>
      <w:r>
        <w:t xml:space="preserve"> </w:t>
      </w:r>
      <w:r>
        <w:tab/>
      </w:r>
      <w:r w:rsidR="009B4D3D" w:rsidRPr="00D05948">
        <w:rPr>
          <w:i/>
        </w:rPr>
        <w:t xml:space="preserve">R.O. c. </w:t>
      </w:r>
      <w:proofErr w:type="gramStart"/>
      <w:r w:rsidR="009B4D3D" w:rsidRPr="00D05948">
        <w:rPr>
          <w:i/>
        </w:rPr>
        <w:t>Ministre de l'Emploi</w:t>
      </w:r>
      <w:proofErr w:type="gramEnd"/>
      <w:r w:rsidR="009B4D3D" w:rsidRPr="00D05948">
        <w:rPr>
          <w:i/>
        </w:rPr>
        <w:t xml:space="preserve"> et de la Solidarité sociale</w:t>
      </w:r>
      <w:r w:rsidR="009B4D3D" w:rsidRPr="00D05948">
        <w:t xml:space="preserve">, </w:t>
      </w:r>
      <w:r w:rsidR="009B4D3D" w:rsidRPr="00E3757F">
        <w:rPr>
          <w:i/>
          <w:iCs/>
        </w:rPr>
        <w:t>supra</w:t>
      </w:r>
      <w:r w:rsidR="009B4D3D" w:rsidRPr="00D05948">
        <w:t xml:space="preserve"> note</w:t>
      </w:r>
      <w:r>
        <w:t xml:space="preserve"> </w:t>
      </w:r>
      <w:r>
        <w:fldChar w:fldCharType="begin"/>
      </w:r>
      <w:r>
        <w:instrText xml:space="preserve"> NOTEREF _Ref71648247 \h </w:instrText>
      </w:r>
      <w:r>
        <w:fldChar w:fldCharType="separate"/>
      </w:r>
      <w:r>
        <w:t>11</w:t>
      </w:r>
      <w:r>
        <w:fldChar w:fldCharType="end"/>
      </w:r>
      <w:r w:rsidR="00E3757F">
        <w:t xml:space="preserve"> </w:t>
      </w:r>
      <w:r w:rsidR="009B4D3D" w:rsidRPr="00D05948">
        <w:t>at para.</w:t>
      </w:r>
      <w:r>
        <w:t xml:space="preserve"> </w:t>
      </w:r>
      <w:r w:rsidRPr="00623D91">
        <w:rPr>
          <w:lang w:val="en-CA"/>
        </w:rPr>
        <w:t>10.</w:t>
      </w:r>
    </w:p>
  </w:footnote>
  <w:footnote w:id="24">
    <w:p w14:paraId="6D1AC30F" w14:textId="4E1AE7BD" w:rsidR="00A75045" w:rsidRPr="009B4D3D" w:rsidRDefault="00A75045" w:rsidP="00A75045">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These are the provisions that make up Title IV </w:t>
      </w:r>
      <w:proofErr w:type="gramStart"/>
      <w:r w:rsidR="009B4D3D" w:rsidRPr="009B4D3D">
        <w:rPr>
          <w:lang w:val="en-CA"/>
        </w:rPr>
        <w:t>(”The</w:t>
      </w:r>
      <w:proofErr w:type="gramEnd"/>
      <w:r w:rsidR="009B4D3D" w:rsidRPr="009B4D3D">
        <w:rPr>
          <w:lang w:val="en-CA"/>
        </w:rPr>
        <w:t xml:space="preserve"> Special Rights of State”) of Book I (”General Framework of Civil Procedure”) of the </w:t>
      </w:r>
      <w:r w:rsidR="009B4D3D" w:rsidRPr="00E3757F">
        <w:rPr>
          <w:i/>
          <w:iCs/>
          <w:lang w:val="en-CA"/>
        </w:rPr>
        <w:t>Code of Civil</w:t>
      </w:r>
      <w:r w:rsidR="009B4D3D" w:rsidRPr="009B4D3D">
        <w:rPr>
          <w:lang w:val="en-CA"/>
        </w:rPr>
        <w:t xml:space="preserve"> </w:t>
      </w:r>
      <w:r w:rsidR="009B4D3D" w:rsidRPr="009B4D3D">
        <w:rPr>
          <w:i/>
          <w:lang w:val="en-CA"/>
        </w:rPr>
        <w:t>Procedure</w:t>
      </w:r>
      <w:r w:rsidR="009B4D3D" w:rsidRPr="009B4D3D">
        <w:rPr>
          <w:lang w:val="en-CA"/>
        </w:rPr>
        <w:t>.</w:t>
      </w:r>
    </w:p>
  </w:footnote>
  <w:footnote w:id="25">
    <w:p w14:paraId="74ACC07A" w14:textId="2135996C" w:rsidR="00DB53B7" w:rsidRPr="009B4D3D" w:rsidRDefault="00DB53B7" w:rsidP="00DB53B7">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2019 QCCA 2174.</w:t>
      </w:r>
    </w:p>
  </w:footnote>
  <w:footnote w:id="26">
    <w:p w14:paraId="4A011DF8" w14:textId="020E5CA1" w:rsidR="00DB53B7" w:rsidRPr="009B4D3D" w:rsidRDefault="00DB53B7" w:rsidP="00DB53B7">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 xml:space="preserve">2019 QCCA </w:t>
      </w:r>
      <w:r w:rsidR="00A21D1D" w:rsidRPr="00D05948">
        <w:rPr>
          <w:lang w:val="en-CA"/>
        </w:rPr>
        <w:t>21</w:t>
      </w:r>
      <w:r w:rsidR="00A21D1D">
        <w:rPr>
          <w:lang w:val="en-CA"/>
        </w:rPr>
        <w:t>87</w:t>
      </w:r>
      <w:r w:rsidR="009B4D3D" w:rsidRPr="00D05948">
        <w:rPr>
          <w:lang w:val="en-CA"/>
        </w:rPr>
        <w:t>.</w:t>
      </w:r>
    </w:p>
  </w:footnote>
  <w:footnote w:id="27">
    <w:p w14:paraId="3753578C" w14:textId="69BCA2BE"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This would also be the case in an application for judicial review governed by </w:t>
      </w:r>
      <w:r w:rsidR="001F1E84">
        <w:rPr>
          <w:lang w:val="en-CA"/>
        </w:rPr>
        <w:t>s.</w:t>
      </w:r>
      <w:r w:rsidRPr="009B4D3D">
        <w:rPr>
          <w:lang w:val="en-CA"/>
        </w:rPr>
        <w:t xml:space="preserve"> </w:t>
      </w:r>
      <w:r w:rsidR="009B4D3D" w:rsidRPr="00D05948">
        <w:rPr>
          <w:lang w:val="en-CA"/>
        </w:rPr>
        <w:t xml:space="preserve">529 </w:t>
      </w:r>
      <w:r w:rsidR="00DE6CEC">
        <w:rPr>
          <w:lang w:val="en-CA"/>
        </w:rPr>
        <w:t>para.</w:t>
      </w:r>
      <w:r w:rsidR="009B4D3D" w:rsidRPr="00D05948">
        <w:rPr>
          <w:lang w:val="en-CA"/>
        </w:rPr>
        <w:t>1(3) (</w:t>
      </w:r>
      <w:r w:rsidR="009B4D3D" w:rsidRPr="00D05948">
        <w:rPr>
          <w:i/>
          <w:lang w:val="en-CA"/>
        </w:rPr>
        <w:t>mandamus</w:t>
      </w:r>
      <w:r w:rsidR="009B4D3D" w:rsidRPr="00D05948">
        <w:rPr>
          <w:lang w:val="en-CA"/>
        </w:rPr>
        <w:t>), although this is not at issue in this case.</w:t>
      </w:r>
    </w:p>
  </w:footnote>
  <w:footnote w:id="28">
    <w:p w14:paraId="6EA7E5D9" w14:textId="356793A3" w:rsidR="00F35761" w:rsidRPr="009B4D3D" w:rsidRDefault="00F35761" w:rsidP="00F35761">
      <w:pPr>
        <w:pStyle w:val="Notedebasdepage"/>
        <w:rPr>
          <w:i/>
          <w:lang w:val="en-CA"/>
        </w:rPr>
      </w:pPr>
      <w:r>
        <w:rPr>
          <w:rStyle w:val="Appelnotedebasdep"/>
        </w:rPr>
        <w:footnoteRef/>
      </w:r>
      <w:r w:rsidRPr="009B4D3D">
        <w:rPr>
          <w:lang w:val="en-CA"/>
        </w:rPr>
        <w:t xml:space="preserve"> </w:t>
      </w:r>
      <w:r w:rsidRPr="009B4D3D">
        <w:rPr>
          <w:lang w:val="en-CA"/>
        </w:rPr>
        <w:tab/>
      </w:r>
      <w:r w:rsidR="009B4D3D" w:rsidRPr="00D05948">
        <w:rPr>
          <w:lang w:val="en-CA"/>
        </w:rPr>
        <w:t xml:space="preserve">See </w:t>
      </w:r>
      <w:r w:rsidR="009B4D3D" w:rsidRPr="005E49CF">
        <w:rPr>
          <w:i/>
          <w:iCs/>
          <w:lang w:val="en-CA"/>
        </w:rPr>
        <w:t>Canada (Canada (Minister of Citizenship and Immigration) v. Vavilov</w:t>
      </w:r>
      <w:r w:rsidR="009B4D3D" w:rsidRPr="00D05948">
        <w:rPr>
          <w:lang w:val="en-CA"/>
        </w:rPr>
        <w:t>, 2019 SCC 65 at para</w:t>
      </w:r>
      <w:r w:rsidR="00E71BAD">
        <w:rPr>
          <w:lang w:val="en-CA"/>
        </w:rPr>
        <w:t>s</w:t>
      </w:r>
      <w:r w:rsidR="009B4D3D" w:rsidRPr="00D05948">
        <w:rPr>
          <w:lang w:val="en-CA"/>
        </w:rPr>
        <w:t>.</w:t>
      </w:r>
      <w:r w:rsidRPr="009B4D3D">
        <w:rPr>
          <w:lang w:val="en-CA"/>
        </w:rPr>
        <w:t xml:space="preserve"> </w:t>
      </w:r>
      <w:r w:rsidR="009B4D3D" w:rsidRPr="00D05948">
        <w:rPr>
          <w:lang w:val="en-CA"/>
        </w:rPr>
        <w:t>17, 53, 55</w:t>
      </w:r>
      <w:r w:rsidR="00E71BAD">
        <w:rPr>
          <w:lang w:val="en-CA"/>
        </w:rPr>
        <w:t>–</w:t>
      </w:r>
      <w:r w:rsidR="009B4D3D" w:rsidRPr="00D05948">
        <w:rPr>
          <w:lang w:val="en-CA"/>
        </w:rPr>
        <w:t>62 (majority reasons).</w:t>
      </w:r>
      <w:r w:rsidRPr="009B4D3D">
        <w:rPr>
          <w:lang w:val="en-CA"/>
        </w:rPr>
        <w:t xml:space="preserve"> </w:t>
      </w:r>
      <w:r w:rsidR="009B4D3D" w:rsidRPr="009B4D3D">
        <w:rPr>
          <w:lang w:val="en-CA"/>
        </w:rPr>
        <w:t xml:space="preserve">Regarding the </w:t>
      </w:r>
      <w:r w:rsidR="009B4D3D" w:rsidRPr="00E71BAD">
        <w:rPr>
          <w:i/>
          <w:iCs/>
          <w:lang w:val="en-CA"/>
        </w:rPr>
        <w:t>Quebec Charter</w:t>
      </w:r>
      <w:r w:rsidR="009B4D3D" w:rsidRPr="009B4D3D">
        <w:rPr>
          <w:lang w:val="en-CA"/>
        </w:rPr>
        <w:t xml:space="preserve"> and what remains </w:t>
      </w:r>
      <w:r w:rsidR="001A05A7">
        <w:rPr>
          <w:lang w:val="en-CA"/>
        </w:rPr>
        <w:t xml:space="preserve">of it </w:t>
      </w:r>
      <w:r w:rsidR="009B4D3D" w:rsidRPr="009B4D3D">
        <w:rPr>
          <w:lang w:val="en-CA"/>
        </w:rPr>
        <w:t xml:space="preserve">after </w:t>
      </w:r>
      <w:r w:rsidR="009B4D3D" w:rsidRPr="00E71BAD">
        <w:rPr>
          <w:i/>
          <w:iCs/>
          <w:lang w:val="en-CA"/>
        </w:rPr>
        <w:t>Vavilov</w:t>
      </w:r>
      <w:r w:rsidR="009B4D3D" w:rsidRPr="009B4D3D">
        <w:rPr>
          <w:lang w:val="en-CA"/>
        </w:rPr>
        <w:t xml:space="preserve">, see also </w:t>
      </w:r>
      <w:proofErr w:type="spellStart"/>
      <w:r w:rsidR="009B4D3D" w:rsidRPr="009B4D3D">
        <w:rPr>
          <w:i/>
          <w:lang w:val="en-CA"/>
        </w:rPr>
        <w:t>Mouvement</w:t>
      </w:r>
      <w:proofErr w:type="spellEnd"/>
      <w:r w:rsidR="009B4D3D" w:rsidRPr="009B4D3D">
        <w:rPr>
          <w:i/>
          <w:lang w:val="en-CA"/>
        </w:rPr>
        <w:t xml:space="preserve"> </w:t>
      </w:r>
      <w:proofErr w:type="spellStart"/>
      <w:r w:rsidR="009B4D3D" w:rsidRPr="009B4D3D">
        <w:rPr>
          <w:i/>
          <w:lang w:val="en-CA"/>
        </w:rPr>
        <w:t>laïque</w:t>
      </w:r>
      <w:proofErr w:type="spellEnd"/>
      <w:r w:rsidR="009B4D3D" w:rsidRPr="009B4D3D">
        <w:rPr>
          <w:i/>
          <w:lang w:val="en-CA"/>
        </w:rPr>
        <w:t xml:space="preserve"> </w:t>
      </w:r>
      <w:proofErr w:type="spellStart"/>
      <w:r w:rsidR="009B4D3D" w:rsidRPr="009B4D3D">
        <w:rPr>
          <w:i/>
          <w:lang w:val="en-CA"/>
        </w:rPr>
        <w:t>québécois</w:t>
      </w:r>
      <w:proofErr w:type="spellEnd"/>
      <w:r w:rsidR="009B4D3D" w:rsidRPr="009B4D3D">
        <w:rPr>
          <w:i/>
          <w:lang w:val="en-CA"/>
        </w:rPr>
        <w:t xml:space="preserve"> c. Saguenay (Ville)</w:t>
      </w:r>
      <w:r w:rsidR="009B4D3D" w:rsidRPr="009B4D3D">
        <w:rPr>
          <w:lang w:val="en-CA"/>
        </w:rPr>
        <w:t xml:space="preserve">, [2015] 2 </w:t>
      </w:r>
      <w:r w:rsidR="00003EA4">
        <w:rPr>
          <w:lang w:val="en-CA"/>
        </w:rPr>
        <w:t>S.C.R.</w:t>
      </w:r>
      <w:r w:rsidRPr="009B4D3D">
        <w:rPr>
          <w:lang w:val="en-CA"/>
        </w:rPr>
        <w:t xml:space="preserve"> </w:t>
      </w:r>
      <w:r w:rsidR="009B4D3D" w:rsidRPr="00D05948">
        <w:rPr>
          <w:lang w:val="en-CA"/>
        </w:rPr>
        <w:t>3 at para.</w:t>
      </w:r>
      <w:r w:rsidRPr="009B4D3D">
        <w:rPr>
          <w:lang w:val="en-CA"/>
        </w:rPr>
        <w:t xml:space="preserve"> </w:t>
      </w:r>
      <w:proofErr w:type="gramStart"/>
      <w:r w:rsidR="009B4D3D" w:rsidRPr="00D05948">
        <w:rPr>
          <w:lang w:val="en-CA"/>
        </w:rPr>
        <w:t>51 in particular</w:t>
      </w:r>
      <w:proofErr w:type="gramEnd"/>
      <w:r w:rsidR="009B4D3D" w:rsidRPr="00D05948">
        <w:rPr>
          <w:lang w:val="en-CA"/>
        </w:rPr>
        <w:t xml:space="preserve"> (majority reasons of Gascon J.).</w:t>
      </w:r>
      <w:r w:rsidRPr="009B4D3D">
        <w:rPr>
          <w:lang w:val="en-CA"/>
        </w:rPr>
        <w:t xml:space="preserve"> </w:t>
      </w:r>
      <w:r w:rsidR="009B4D3D" w:rsidRPr="009B4D3D">
        <w:rPr>
          <w:lang w:val="en-CA"/>
        </w:rPr>
        <w:t xml:space="preserve">On this subject, moreover, the question calls up the same </w:t>
      </w:r>
      <w:r w:rsidR="00E71BAD" w:rsidRPr="009B4D3D">
        <w:rPr>
          <w:lang w:val="en-CA"/>
        </w:rPr>
        <w:t>standard</w:t>
      </w:r>
      <w:r w:rsidR="009B4D3D" w:rsidRPr="009B4D3D">
        <w:rPr>
          <w:lang w:val="en-CA"/>
        </w:rPr>
        <w:t xml:space="preserve"> of review as it would if it were a Human Rights Tribunal</w:t>
      </w:r>
      <w:r w:rsidR="00801CA0" w:rsidRPr="00801CA0">
        <w:rPr>
          <w:lang w:val="en-CA"/>
        </w:rPr>
        <w:t xml:space="preserve"> </w:t>
      </w:r>
      <w:r w:rsidR="00801CA0" w:rsidRPr="009B4D3D">
        <w:rPr>
          <w:lang w:val="en-CA"/>
        </w:rPr>
        <w:t>decision</w:t>
      </w:r>
      <w:r w:rsidR="009B4D3D" w:rsidRPr="009B4D3D">
        <w:rPr>
          <w:lang w:val="en-CA"/>
        </w:rPr>
        <w:t xml:space="preserve">, which can be appealed directly to the Court of Appeal under </w:t>
      </w:r>
      <w:r w:rsidR="001F1E84">
        <w:rPr>
          <w:lang w:val="en-CA"/>
        </w:rPr>
        <w:t>s.</w:t>
      </w:r>
      <w:r w:rsidRPr="009B4D3D">
        <w:rPr>
          <w:lang w:val="en-CA"/>
        </w:rPr>
        <w:t xml:space="preserve"> </w:t>
      </w:r>
      <w:r w:rsidR="009B4D3D" w:rsidRPr="00D05948">
        <w:rPr>
          <w:lang w:val="en-CA"/>
        </w:rPr>
        <w:t xml:space="preserve">132 of the </w:t>
      </w:r>
      <w:r w:rsidR="009B4D3D" w:rsidRPr="00E71BAD">
        <w:rPr>
          <w:i/>
          <w:iCs/>
          <w:lang w:val="en-CA"/>
        </w:rPr>
        <w:t>Quebec Charter</w:t>
      </w:r>
      <w:r w:rsidR="009B4D3D" w:rsidRPr="00D05948">
        <w:rPr>
          <w:lang w:val="en-CA"/>
        </w:rPr>
        <w:t>.</w:t>
      </w:r>
    </w:p>
  </w:footnote>
  <w:footnote w:id="29">
    <w:p w14:paraId="6DD303A2" w14:textId="03C9596E"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However, </w:t>
      </w:r>
      <w:r w:rsidR="0090326E">
        <w:rPr>
          <w:lang w:val="en-CA"/>
        </w:rPr>
        <w:t>there a lot of things to be said about that</w:t>
      </w:r>
      <w:r w:rsidR="009B4D3D" w:rsidRPr="009B4D3D">
        <w:rPr>
          <w:lang w:val="en-CA"/>
        </w:rPr>
        <w:t>, at least in principle.</w:t>
      </w:r>
      <w:r w:rsidRPr="009B4D3D">
        <w:rPr>
          <w:lang w:val="en-CA"/>
        </w:rPr>
        <w:t xml:space="preserve"> </w:t>
      </w:r>
      <w:proofErr w:type="spellStart"/>
      <w:r w:rsidR="009B4D3D" w:rsidRPr="009B4D3D">
        <w:t>See</w:t>
      </w:r>
      <w:proofErr w:type="spellEnd"/>
      <w:r w:rsidR="009B4D3D" w:rsidRPr="009B4D3D">
        <w:t xml:space="preserve"> in </w:t>
      </w:r>
      <w:proofErr w:type="spellStart"/>
      <w:r w:rsidR="009B4D3D" w:rsidRPr="009B4D3D">
        <w:t>this</w:t>
      </w:r>
      <w:proofErr w:type="spellEnd"/>
      <w:r w:rsidR="009B4D3D" w:rsidRPr="009B4D3D">
        <w:t xml:space="preserve"> respect, Daniel Proulx, “Droit à l’égalité” in Stéphane Beaulac &amp; Jean-François Gaudreault-Desbiens (</w:t>
      </w:r>
      <w:proofErr w:type="spellStart"/>
      <w:r w:rsidR="009B4D3D" w:rsidRPr="009B4D3D">
        <w:t>eds</w:t>
      </w:r>
      <w:proofErr w:type="spellEnd"/>
      <w:r w:rsidR="009B4D3D" w:rsidRPr="009B4D3D">
        <w:t xml:space="preserve">.), </w:t>
      </w:r>
      <w:proofErr w:type="spellStart"/>
      <w:r w:rsidR="009B4D3D" w:rsidRPr="009B4D3D">
        <w:rPr>
          <w:i/>
        </w:rPr>
        <w:t>JurisClasseur</w:t>
      </w:r>
      <w:proofErr w:type="spellEnd"/>
      <w:r w:rsidR="009B4D3D" w:rsidRPr="009B4D3D">
        <w:rPr>
          <w:i/>
        </w:rPr>
        <w:t xml:space="preserve"> Québec</w:t>
      </w:r>
      <w:r w:rsidR="009B4D3D" w:rsidRPr="009B4D3D">
        <w:t xml:space="preserve">, </w:t>
      </w:r>
      <w:r w:rsidR="009B4D3D" w:rsidRPr="00D05948">
        <w:t>Droit public” collection, vol.</w:t>
      </w:r>
      <w:r>
        <w:t xml:space="preserve"> </w:t>
      </w:r>
      <w:r w:rsidR="009B4D3D" w:rsidRPr="00D05948">
        <w:rPr>
          <w:lang w:val="en-CA"/>
        </w:rPr>
        <w:t xml:space="preserve">“Droit </w:t>
      </w:r>
      <w:proofErr w:type="spellStart"/>
      <w:r w:rsidR="009B4D3D" w:rsidRPr="00D05948">
        <w:rPr>
          <w:lang w:val="en-CA"/>
        </w:rPr>
        <w:t>constitutionnel</w:t>
      </w:r>
      <w:proofErr w:type="spellEnd"/>
      <w:r w:rsidR="009B4D3D" w:rsidRPr="00D05948">
        <w:rPr>
          <w:lang w:val="en-CA"/>
        </w:rPr>
        <w:t>”, fasc.</w:t>
      </w:r>
      <w:r w:rsidRPr="009B4D3D">
        <w:rPr>
          <w:lang w:val="en-CA"/>
        </w:rPr>
        <w:t xml:space="preserve"> </w:t>
      </w:r>
      <w:r w:rsidR="009B4D3D" w:rsidRPr="00D05948">
        <w:rPr>
          <w:lang w:val="en-CA"/>
        </w:rPr>
        <w:t>9 (Montreal: Lexis Nexis, 2011) (loose-leaf edition, updated 18 November 2020) at para.</w:t>
      </w:r>
      <w:r w:rsidRPr="009B4D3D">
        <w:rPr>
          <w:lang w:val="en-CA"/>
        </w:rPr>
        <w:t xml:space="preserve"> </w:t>
      </w:r>
      <w:r w:rsidR="009B4D3D" w:rsidRPr="00D05948">
        <w:rPr>
          <w:lang w:val="en-CA"/>
        </w:rPr>
        <w:t>113 at 9/67-68.</w:t>
      </w:r>
    </w:p>
  </w:footnote>
  <w:footnote w:id="30">
    <w:p w14:paraId="2A890B26" w14:textId="1BBABD6A" w:rsidR="00F35761" w:rsidRPr="005F4BD2" w:rsidRDefault="00F35761" w:rsidP="00F35761">
      <w:pPr>
        <w:pStyle w:val="Notedebasdepage"/>
      </w:pPr>
      <w:r>
        <w:rPr>
          <w:rStyle w:val="Appelnotedebasdep"/>
        </w:rPr>
        <w:footnoteRef/>
      </w:r>
      <w:r>
        <w:t xml:space="preserve"> </w:t>
      </w:r>
      <w:r>
        <w:tab/>
      </w:r>
      <w:proofErr w:type="spellStart"/>
      <w:r w:rsidR="009B4D3D" w:rsidRPr="00D05948">
        <w:t>See</w:t>
      </w:r>
      <w:proofErr w:type="spellEnd"/>
      <w:r w:rsidR="009B4D3D" w:rsidRPr="00D05948">
        <w:t xml:space="preserve"> </w:t>
      </w:r>
      <w:proofErr w:type="spellStart"/>
      <w:r w:rsidR="009B4D3D" w:rsidRPr="00D05948">
        <w:t>above</w:t>
      </w:r>
      <w:proofErr w:type="spellEnd"/>
      <w:r w:rsidR="009B4D3D" w:rsidRPr="00D05948">
        <w:t xml:space="preserve"> at para.</w:t>
      </w:r>
      <w:r>
        <w:t xml:space="preserve"> </w:t>
      </w:r>
      <w:r>
        <w:fldChar w:fldCharType="begin"/>
      </w:r>
      <w:r>
        <w:instrText xml:space="preserve"> REF _Ref72334936 \r \h </w:instrText>
      </w:r>
      <w:r>
        <w:fldChar w:fldCharType="separate"/>
      </w:r>
      <w:r>
        <w:t>[4]</w:t>
      </w:r>
      <w:r>
        <w:fldChar w:fldCharType="end"/>
      </w:r>
      <w:r>
        <w:t>.</w:t>
      </w:r>
    </w:p>
  </w:footnote>
  <w:footnote w:id="31">
    <w:p w14:paraId="1B4A22B6" w14:textId="2477DB3B" w:rsidR="00F35761" w:rsidRPr="009B4D3D" w:rsidRDefault="00F35761" w:rsidP="00F35761">
      <w:pPr>
        <w:pStyle w:val="Notedebasdepage"/>
        <w:rPr>
          <w:lang w:val="en-CA"/>
        </w:rPr>
      </w:pPr>
      <w:r>
        <w:rPr>
          <w:rStyle w:val="Appelnotedebasdep"/>
        </w:rPr>
        <w:footnoteRef/>
      </w:r>
      <w:r>
        <w:t xml:space="preserve"> </w:t>
      </w:r>
      <w:r>
        <w:tab/>
      </w:r>
      <w:r w:rsidR="009B4D3D" w:rsidRPr="00D05948">
        <w:rPr>
          <w:i/>
        </w:rPr>
        <w:t xml:space="preserve">R.O. c. </w:t>
      </w:r>
      <w:proofErr w:type="gramStart"/>
      <w:r w:rsidR="009B4D3D" w:rsidRPr="00D05948">
        <w:rPr>
          <w:i/>
        </w:rPr>
        <w:t>Ministre de l'Emploi</w:t>
      </w:r>
      <w:proofErr w:type="gramEnd"/>
      <w:r w:rsidR="009B4D3D" w:rsidRPr="00D05948">
        <w:rPr>
          <w:i/>
        </w:rPr>
        <w:t xml:space="preserve"> et de la Solidarité sociale</w:t>
      </w:r>
      <w:r w:rsidR="009B4D3D" w:rsidRPr="00D05948">
        <w:t xml:space="preserve">, </w:t>
      </w:r>
      <w:r w:rsidR="009B4D3D" w:rsidRPr="00E66EFC">
        <w:rPr>
          <w:i/>
          <w:iCs/>
        </w:rPr>
        <w:t xml:space="preserve">supra </w:t>
      </w:r>
      <w:r w:rsidR="009B4D3D" w:rsidRPr="00D05948">
        <w:t>note</w:t>
      </w:r>
      <w:r>
        <w:t xml:space="preserve"> </w:t>
      </w:r>
      <w:r>
        <w:fldChar w:fldCharType="begin"/>
      </w:r>
      <w:r>
        <w:instrText xml:space="preserve"> NOTEREF _Ref71648247 \h </w:instrText>
      </w:r>
      <w:r>
        <w:fldChar w:fldCharType="separate"/>
      </w:r>
      <w:r>
        <w:t>11</w:t>
      </w:r>
      <w:r>
        <w:fldChar w:fldCharType="end"/>
      </w:r>
      <w:r w:rsidR="00E71BAD">
        <w:t xml:space="preserve"> </w:t>
      </w:r>
      <w:r w:rsidR="009B4D3D" w:rsidRPr="00D05948">
        <w:t>at para</w:t>
      </w:r>
      <w:r w:rsidR="00E71BAD">
        <w:t>s</w:t>
      </w:r>
      <w:r w:rsidR="009B4D3D" w:rsidRPr="00D05948">
        <w:t>.</w:t>
      </w:r>
      <w:r>
        <w:t xml:space="preserve"> </w:t>
      </w:r>
      <w:r w:rsidR="009B4D3D" w:rsidRPr="00D05948">
        <w:rPr>
          <w:lang w:val="en-CA"/>
        </w:rPr>
        <w:t>10 to 12.</w:t>
      </w:r>
    </w:p>
  </w:footnote>
  <w:footnote w:id="32">
    <w:p w14:paraId="78E27FE4" w14:textId="3E06E06C" w:rsidR="00196220" w:rsidRPr="009B4D3D" w:rsidRDefault="006979E7" w:rsidP="00640E7F">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These provisions are those of the </w:t>
      </w:r>
      <w:r w:rsidR="009B4D3D" w:rsidRPr="00076CD4">
        <w:rPr>
          <w:i/>
          <w:iCs/>
          <w:lang w:val="en-CA"/>
        </w:rPr>
        <w:t>Act respecting the Qu</w:t>
      </w:r>
      <w:r w:rsidR="00076CD4">
        <w:rPr>
          <w:i/>
          <w:iCs/>
          <w:lang w:val="en-CA"/>
        </w:rPr>
        <w:t>é</w:t>
      </w:r>
      <w:r w:rsidR="009B4D3D" w:rsidRPr="00076CD4">
        <w:rPr>
          <w:i/>
          <w:iCs/>
          <w:lang w:val="en-CA"/>
        </w:rPr>
        <w:t>bec Pension Plan</w:t>
      </w:r>
      <w:r w:rsidR="009B4D3D" w:rsidRPr="009B4D3D">
        <w:rPr>
          <w:lang w:val="en-CA"/>
        </w:rPr>
        <w:t xml:space="preserve"> </w:t>
      </w:r>
      <w:r w:rsidR="00076CD4">
        <w:rPr>
          <w:lang w:val="en-CA"/>
        </w:rPr>
        <w:t>as it is today</w:t>
      </w:r>
      <w:r w:rsidR="009B4D3D" w:rsidRPr="009B4D3D">
        <w:rPr>
          <w:lang w:val="en-CA"/>
        </w:rPr>
        <w:t>, but equivalent or similar provisions have existed</w:t>
      </w:r>
      <w:r w:rsidR="00076CD4">
        <w:rPr>
          <w:lang w:val="en-CA"/>
        </w:rPr>
        <w:t xml:space="preserve"> in the past</w:t>
      </w:r>
      <w:r w:rsidR="009B4D3D" w:rsidRPr="009B4D3D">
        <w:rPr>
          <w:lang w:val="en-CA"/>
        </w:rPr>
        <w:t>.</w:t>
      </w:r>
      <w:r w:rsidR="00076CD4">
        <w:rPr>
          <w:lang w:val="en-CA"/>
        </w:rPr>
        <w:t xml:space="preserve"> T</w:t>
      </w:r>
      <w:r w:rsidR="009B4D3D" w:rsidRPr="009B4D3D">
        <w:rPr>
          <w:lang w:val="en-CA"/>
        </w:rPr>
        <w:t xml:space="preserve">hey even provided </w:t>
      </w:r>
      <w:r w:rsidR="00076CD4">
        <w:rPr>
          <w:lang w:val="en-CA"/>
        </w:rPr>
        <w:t xml:space="preserve">for </w:t>
      </w:r>
      <w:r w:rsidR="009B4D3D" w:rsidRPr="009B4D3D">
        <w:rPr>
          <w:lang w:val="en-CA"/>
        </w:rPr>
        <w:t>the same possibility of obtaining a retirement pension at age 60, in exchange for certain reductions in the contribution amount.</w:t>
      </w:r>
    </w:p>
  </w:footnote>
  <w:footnote w:id="33">
    <w:p w14:paraId="75B35193" w14:textId="1039B4C0" w:rsidR="00F35761" w:rsidRPr="009B4D3D" w:rsidRDefault="00F35761" w:rsidP="00F35761">
      <w:pPr>
        <w:pStyle w:val="Notedebasdepage"/>
        <w:rPr>
          <w:lang w:val="en-CA"/>
        </w:rPr>
      </w:pPr>
      <w:r>
        <w:rPr>
          <w:rStyle w:val="Appelnotedebasdep"/>
        </w:rPr>
        <w:footnoteRef/>
      </w:r>
      <w:r w:rsidRPr="00623D91">
        <w:rPr>
          <w:lang w:val="en-CA"/>
        </w:rPr>
        <w:t xml:space="preserve"> </w:t>
      </w:r>
      <w:r w:rsidRPr="00623D91">
        <w:rPr>
          <w:lang w:val="en-CA"/>
        </w:rPr>
        <w:tab/>
      </w:r>
      <w:r w:rsidR="009B4D3D" w:rsidRPr="00D05948">
        <w:rPr>
          <w:lang w:val="en-CA"/>
        </w:rPr>
        <w:t>See</w:t>
      </w:r>
      <w:r w:rsidR="00133050">
        <w:rPr>
          <w:lang w:val="en-CA"/>
        </w:rPr>
        <w:t xml:space="preserve"> </w:t>
      </w:r>
      <w:r w:rsidR="00133050" w:rsidRPr="00133050">
        <w:rPr>
          <w:i/>
          <w:iCs/>
          <w:lang w:val="en-CA"/>
        </w:rPr>
        <w:t>supra</w:t>
      </w:r>
      <w:r w:rsidR="009B4D3D" w:rsidRPr="00D05948">
        <w:rPr>
          <w:lang w:val="en-CA"/>
        </w:rPr>
        <w:t xml:space="preserve"> </w:t>
      </w:r>
      <w:r w:rsidR="00133050">
        <w:rPr>
          <w:lang w:val="en-CA"/>
        </w:rPr>
        <w:t xml:space="preserve">note </w:t>
      </w:r>
      <w:r>
        <w:fldChar w:fldCharType="begin"/>
      </w:r>
      <w:r w:rsidRPr="00623D91">
        <w:rPr>
          <w:lang w:val="en-CA"/>
        </w:rPr>
        <w:instrText xml:space="preserve"> NOTEREF _Ref72418879 \h </w:instrText>
      </w:r>
      <w:r>
        <w:fldChar w:fldCharType="separate"/>
      </w:r>
      <w:r w:rsidRPr="00623D91">
        <w:rPr>
          <w:lang w:val="en-CA"/>
        </w:rPr>
        <w:t>5</w:t>
      </w:r>
      <w:r>
        <w:fldChar w:fldCharType="end"/>
      </w:r>
      <w:r w:rsidRPr="00623D91">
        <w:rPr>
          <w:lang w:val="en-CA"/>
        </w:rPr>
        <w:t xml:space="preserve">. </w:t>
      </w:r>
      <w:r w:rsidR="009B4D3D" w:rsidRPr="00D05948">
        <w:rPr>
          <w:lang w:val="en-CA"/>
        </w:rPr>
        <w:t>Section</w:t>
      </w:r>
      <w:r w:rsidRPr="009B4D3D">
        <w:rPr>
          <w:lang w:val="en-CA"/>
        </w:rPr>
        <w:t xml:space="preserve"> </w:t>
      </w:r>
      <w:r w:rsidR="009B4D3D" w:rsidRPr="009B4D3D">
        <w:rPr>
          <w:lang w:val="en-CA"/>
        </w:rPr>
        <w:t xml:space="preserve">63 </w:t>
      </w:r>
      <w:r w:rsidR="00DE6CEC">
        <w:rPr>
          <w:lang w:val="en-CA"/>
        </w:rPr>
        <w:t>para.</w:t>
      </w:r>
      <w:r w:rsidR="009B4D3D" w:rsidRPr="009B4D3D">
        <w:rPr>
          <w:lang w:val="en-CA"/>
        </w:rPr>
        <w:t xml:space="preserve">1 </w:t>
      </w:r>
      <w:r w:rsidR="00040F5E" w:rsidRPr="00E66EFC">
        <w:rPr>
          <w:i/>
          <w:iCs/>
          <w:lang w:val="en-CA"/>
        </w:rPr>
        <w:t>I.F.A.A.</w:t>
      </w:r>
      <w:r w:rsidR="009B4D3D" w:rsidRPr="009B4D3D">
        <w:rPr>
          <w:lang w:val="en-CA"/>
        </w:rPr>
        <w:t xml:space="preserve"> also applies to those who benefit from the Aim for Employment program, where the sanction for a breach is provided in </w:t>
      </w:r>
      <w:r w:rsidR="001F1E84">
        <w:rPr>
          <w:lang w:val="en-CA"/>
        </w:rPr>
        <w:t>s.</w:t>
      </w:r>
      <w:r w:rsidRPr="009B4D3D">
        <w:rPr>
          <w:lang w:val="en-CA"/>
        </w:rPr>
        <w:t xml:space="preserve"> </w:t>
      </w:r>
      <w:r w:rsidR="009B4D3D" w:rsidRPr="009B4D3D">
        <w:rPr>
          <w:lang w:val="en-CA"/>
        </w:rPr>
        <w:t xml:space="preserve">83.11 </w:t>
      </w:r>
      <w:r w:rsidR="00040F5E">
        <w:rPr>
          <w:i/>
          <w:lang w:val="en-CA"/>
        </w:rPr>
        <w:t>I.F.A.A.</w:t>
      </w:r>
      <w:r w:rsidRPr="009B4D3D">
        <w:rPr>
          <w:lang w:val="en-CA"/>
        </w:rPr>
        <w:t xml:space="preserve"> </w:t>
      </w:r>
      <w:r w:rsidR="009B4D3D">
        <w:rPr>
          <w:lang w:val="en-CA"/>
        </w:rPr>
        <w:t xml:space="preserve">(the sanction is analogous to that under </w:t>
      </w:r>
      <w:r w:rsidR="001F1E84">
        <w:rPr>
          <w:lang w:val="en-CA"/>
        </w:rPr>
        <w:t>s.</w:t>
      </w:r>
      <w:r w:rsidRPr="009B4D3D">
        <w:rPr>
          <w:lang w:val="en-CA"/>
        </w:rPr>
        <w:t xml:space="preserve"> </w:t>
      </w:r>
      <w:r w:rsidR="009B4D3D">
        <w:rPr>
          <w:lang w:val="en-CA"/>
        </w:rPr>
        <w:t>66).</w:t>
      </w:r>
    </w:p>
  </w:footnote>
  <w:footnote w:id="34">
    <w:p w14:paraId="0B5D1248" w14:textId="2FB31471"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925AE">
        <w:rPr>
          <w:lang w:val="en-CA"/>
        </w:rPr>
        <w:t>As a result</w:t>
      </w:r>
      <w:r w:rsidR="009925AE" w:rsidRPr="00D05948">
        <w:rPr>
          <w:lang w:val="en-CA"/>
        </w:rPr>
        <w:t xml:space="preserve"> </w:t>
      </w:r>
      <w:r w:rsidR="009B4D3D" w:rsidRPr="00D05948">
        <w:rPr>
          <w:lang w:val="en-CA"/>
        </w:rPr>
        <w:t xml:space="preserve">of </w:t>
      </w:r>
      <w:r w:rsidR="001F1E84">
        <w:rPr>
          <w:lang w:val="en-CA"/>
        </w:rPr>
        <w:t>s.</w:t>
      </w:r>
      <w:r w:rsidRPr="009B4D3D">
        <w:rPr>
          <w:lang w:val="en-CA"/>
        </w:rPr>
        <w:t xml:space="preserve"> </w:t>
      </w:r>
      <w:r w:rsidRPr="00D05948">
        <w:rPr>
          <w:lang w:val="en-CA"/>
        </w:rPr>
        <w:t>120.1</w:t>
      </w:r>
      <w:r w:rsidRPr="009B4D3D">
        <w:rPr>
          <w:lang w:val="en-CA"/>
        </w:rPr>
        <w:t xml:space="preserve"> </w:t>
      </w:r>
      <w:r w:rsidR="00DE6CEC">
        <w:rPr>
          <w:lang w:val="en-CA"/>
        </w:rPr>
        <w:t>para.</w:t>
      </w:r>
      <w:r w:rsidR="004468B7">
        <w:rPr>
          <w:lang w:val="en-CA"/>
        </w:rPr>
        <w:t xml:space="preserve"> </w:t>
      </w:r>
      <w:r w:rsidR="009B4D3D" w:rsidRPr="009B4D3D">
        <w:rPr>
          <w:lang w:val="en-CA"/>
        </w:rPr>
        <w:t xml:space="preserve">2 </w:t>
      </w:r>
      <w:r w:rsidR="00040F5E">
        <w:rPr>
          <w:i/>
          <w:iCs/>
          <w:lang w:val="en-CA"/>
        </w:rPr>
        <w:t>A.Q.P.P.</w:t>
      </w:r>
      <w:r w:rsidR="009B4D3D" w:rsidRPr="009B4D3D">
        <w:rPr>
          <w:lang w:val="en-CA"/>
        </w:rPr>
        <w:t xml:space="preserve">, the monthly pension paid to a contributor who requests </w:t>
      </w:r>
      <w:r w:rsidR="0054614B">
        <w:rPr>
          <w:lang w:val="en-CA"/>
        </w:rPr>
        <w:t xml:space="preserve">their </w:t>
      </w:r>
      <w:r w:rsidR="009925AE">
        <w:rPr>
          <w:lang w:val="en-CA"/>
        </w:rPr>
        <w:t xml:space="preserve">retirement </w:t>
      </w:r>
      <w:r w:rsidR="009B4D3D" w:rsidRPr="009B4D3D">
        <w:rPr>
          <w:lang w:val="en-CA"/>
        </w:rPr>
        <w:t>pension only at the age of 70 is higher than that of a contributor who draws the</w:t>
      </w:r>
      <w:r w:rsidR="009925AE">
        <w:rPr>
          <w:lang w:val="en-CA"/>
        </w:rPr>
        <w:t>ir</w:t>
      </w:r>
      <w:r w:rsidR="009B4D3D" w:rsidRPr="009B4D3D">
        <w:rPr>
          <w:lang w:val="en-CA"/>
        </w:rPr>
        <w:t xml:space="preserve"> </w:t>
      </w:r>
      <w:r w:rsidR="009925AE">
        <w:rPr>
          <w:lang w:val="en-CA"/>
        </w:rPr>
        <w:t xml:space="preserve">retirement </w:t>
      </w:r>
      <w:r w:rsidR="009B4D3D" w:rsidRPr="009B4D3D">
        <w:rPr>
          <w:lang w:val="en-CA"/>
        </w:rPr>
        <w:t>pension at the age of 65.</w:t>
      </w:r>
      <w:r w:rsidR="004468B7">
        <w:rPr>
          <w:lang w:val="en-CA"/>
        </w:rPr>
        <w:t xml:space="preserve"> </w:t>
      </w:r>
      <w:r w:rsidR="009B4D3D" w:rsidRPr="00D05948">
        <w:rPr>
          <w:lang w:val="en-CA"/>
        </w:rPr>
        <w:t>Section</w:t>
      </w:r>
      <w:r w:rsidRPr="009B4D3D">
        <w:rPr>
          <w:lang w:val="en-CA"/>
        </w:rPr>
        <w:t> </w:t>
      </w:r>
      <w:r w:rsidR="009B4D3D" w:rsidRPr="009B4D3D">
        <w:rPr>
          <w:lang w:val="en-CA"/>
        </w:rPr>
        <w:t xml:space="preserve">63 </w:t>
      </w:r>
      <w:r w:rsidR="00040F5E">
        <w:rPr>
          <w:i/>
          <w:iCs/>
          <w:lang w:val="en-CA"/>
        </w:rPr>
        <w:t>I.F.A.A.</w:t>
      </w:r>
      <w:r w:rsidR="009B4D3D" w:rsidRPr="009B4D3D">
        <w:rPr>
          <w:lang w:val="en-CA"/>
        </w:rPr>
        <w:t xml:space="preserve"> does not permit contributors who are also last resort financial assistance beneficiaries to delay the request until that age, any</w:t>
      </w:r>
      <w:r w:rsidR="004468B7">
        <w:rPr>
          <w:lang w:val="en-CA"/>
        </w:rPr>
        <w:t xml:space="preserve"> </w:t>
      </w:r>
      <w:r w:rsidR="009B4D3D" w:rsidRPr="009B4D3D">
        <w:rPr>
          <w:lang w:val="en-CA"/>
        </w:rPr>
        <w:t>more than it allows them to wait until they turn 65 before claiming payment.</w:t>
      </w:r>
      <w:r w:rsidRPr="009B4D3D">
        <w:rPr>
          <w:lang w:val="en-CA"/>
        </w:rPr>
        <w:t xml:space="preserve"> </w:t>
      </w:r>
      <w:r w:rsidR="009B4D3D" w:rsidRPr="009B4D3D">
        <w:rPr>
          <w:lang w:val="en-CA"/>
        </w:rPr>
        <w:t>However, the appellant never raised this hypothesis, and I will not</w:t>
      </w:r>
      <w:r w:rsidR="004468B7">
        <w:rPr>
          <w:lang w:val="en-CA"/>
        </w:rPr>
        <w:t xml:space="preserve"> </w:t>
      </w:r>
      <w:r w:rsidR="009925AE">
        <w:rPr>
          <w:lang w:val="en-CA"/>
        </w:rPr>
        <w:t>refer to</w:t>
      </w:r>
      <w:r w:rsidR="004468B7">
        <w:rPr>
          <w:lang w:val="en-CA"/>
        </w:rPr>
        <w:t xml:space="preserve"> </w:t>
      </w:r>
      <w:r w:rsidR="009B4D3D" w:rsidRPr="009B4D3D">
        <w:rPr>
          <w:lang w:val="en-CA"/>
        </w:rPr>
        <w:t>it again.</w:t>
      </w:r>
    </w:p>
  </w:footnote>
  <w:footnote w:id="35">
    <w:p w14:paraId="2A7D8002" w14:textId="423B8554"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2021 SCC 19.</w:t>
      </w:r>
    </w:p>
  </w:footnote>
  <w:footnote w:id="36">
    <w:p w14:paraId="2049F6E6" w14:textId="192C29AE"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i/>
          <w:lang w:val="en-CA"/>
        </w:rPr>
        <w:t xml:space="preserve">Ibid. at para. </w:t>
      </w:r>
      <w:r w:rsidRPr="009B4D3D">
        <w:rPr>
          <w:lang w:val="en-CA"/>
        </w:rPr>
        <w:t xml:space="preserve"> 56.</w:t>
      </w:r>
    </w:p>
  </w:footnote>
  <w:footnote w:id="37">
    <w:p w14:paraId="260E6F0E" w14:textId="6418D1EE"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2020 SCC 38.</w:t>
      </w:r>
    </w:p>
  </w:footnote>
  <w:footnote w:id="38">
    <w:p w14:paraId="69F4D24B" w14:textId="0C55235B" w:rsidR="00196220" w:rsidRPr="009B4D3D" w:rsidRDefault="006979E7" w:rsidP="00640E7F">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2020 SCC 28.</w:t>
      </w:r>
    </w:p>
  </w:footnote>
  <w:footnote w:id="39">
    <w:p w14:paraId="75AA1ADD" w14:textId="5B7145D8" w:rsidR="00F35761" w:rsidRPr="009B4D3D" w:rsidRDefault="00F35761" w:rsidP="00F35761">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i/>
          <w:lang w:val="en-CA"/>
        </w:rPr>
        <w:t>Québec (Attorney General) c. A</w:t>
      </w:r>
      <w:r w:rsidR="009B4D3D" w:rsidRPr="00D05948">
        <w:rPr>
          <w:lang w:val="en-CA"/>
        </w:rPr>
        <w:t xml:space="preserve">, [2013] 1 </w:t>
      </w:r>
      <w:r w:rsidR="00003EA4">
        <w:rPr>
          <w:lang w:val="en-CA"/>
        </w:rPr>
        <w:t>S.C.R.</w:t>
      </w:r>
      <w:r w:rsidRPr="009B4D3D">
        <w:rPr>
          <w:lang w:val="en-CA"/>
        </w:rPr>
        <w:t xml:space="preserve"> </w:t>
      </w:r>
      <w:r w:rsidR="009B4D3D" w:rsidRPr="00D05948">
        <w:rPr>
          <w:lang w:val="en-CA"/>
        </w:rPr>
        <w:t xml:space="preserve">61 at </w:t>
      </w:r>
      <w:r w:rsidR="00DE6CEC">
        <w:rPr>
          <w:lang w:val="en-CA"/>
        </w:rPr>
        <w:t>para.</w:t>
      </w:r>
      <w:r w:rsidR="009B4D3D" w:rsidRPr="00D05948">
        <w:rPr>
          <w:lang w:val="en-CA"/>
        </w:rPr>
        <w:t xml:space="preserve">325 (dissenting reasons of </w:t>
      </w:r>
      <w:proofErr w:type="spellStart"/>
      <w:r w:rsidR="009B4D3D" w:rsidRPr="00D05948">
        <w:rPr>
          <w:lang w:val="en-CA"/>
        </w:rPr>
        <w:t>Abella</w:t>
      </w:r>
      <w:proofErr w:type="spellEnd"/>
      <w:r w:rsidR="009B4D3D" w:rsidRPr="00D05948">
        <w:rPr>
          <w:lang w:val="en-CA"/>
        </w:rPr>
        <w:t xml:space="preserve"> J.).</w:t>
      </w:r>
      <w:r w:rsidRPr="009B4D3D">
        <w:rPr>
          <w:lang w:val="en-CA"/>
        </w:rPr>
        <w:t xml:space="preserve"> </w:t>
      </w:r>
      <w:r w:rsidR="009B4D3D" w:rsidRPr="00D05948">
        <w:rPr>
          <w:lang w:val="en-CA"/>
        </w:rPr>
        <w:t xml:space="preserve">See also </w:t>
      </w:r>
      <w:r w:rsidR="009B4D3D" w:rsidRPr="00D05948">
        <w:rPr>
          <w:i/>
          <w:lang w:val="en-CA"/>
        </w:rPr>
        <w:t>Fraser v. Canada (Attorney General)</w:t>
      </w:r>
      <w:r w:rsidR="009B4D3D" w:rsidRPr="00D05948">
        <w:rPr>
          <w:lang w:val="en-CA"/>
        </w:rPr>
        <w:t xml:space="preserve">, </w:t>
      </w:r>
      <w:r w:rsidR="009B4D3D" w:rsidRPr="00D05948">
        <w:rPr>
          <w:i/>
          <w:lang w:val="en-CA"/>
        </w:rPr>
        <w:t xml:space="preserve">supra </w:t>
      </w:r>
      <w:r w:rsidR="009B4D3D" w:rsidRPr="00D05948">
        <w:rPr>
          <w:lang w:val="en-CA"/>
        </w:rPr>
        <w:t>note</w:t>
      </w:r>
      <w:r w:rsidRPr="009B4D3D">
        <w:rPr>
          <w:lang w:val="en-CA"/>
        </w:rPr>
        <w:t xml:space="preserve"> </w:t>
      </w:r>
      <w:r>
        <w:fldChar w:fldCharType="begin"/>
      </w:r>
      <w:r w:rsidRPr="009B4D3D">
        <w:rPr>
          <w:lang w:val="en-CA"/>
        </w:rPr>
        <w:instrText xml:space="preserve"> NOTEREF _Ref71980709 \h </w:instrText>
      </w:r>
      <w:r>
        <w:fldChar w:fldCharType="separate"/>
      </w:r>
      <w:r w:rsidRPr="009B4D3D">
        <w:rPr>
          <w:lang w:val="en-CA"/>
        </w:rPr>
        <w:t>38</w:t>
      </w:r>
      <w:r>
        <w:fldChar w:fldCharType="end"/>
      </w:r>
      <w:r w:rsidR="0062222C" w:rsidRPr="0062222C">
        <w:rPr>
          <w:lang w:val="en-CA"/>
        </w:rPr>
        <w:t xml:space="preserve"> </w:t>
      </w:r>
      <w:r w:rsidR="009B4D3D" w:rsidRPr="00D05948">
        <w:rPr>
          <w:lang w:val="en-CA"/>
        </w:rPr>
        <w:t>at para.</w:t>
      </w:r>
      <w:r w:rsidRPr="009B4D3D">
        <w:rPr>
          <w:lang w:val="en-CA"/>
        </w:rPr>
        <w:t xml:space="preserve"> </w:t>
      </w:r>
      <w:r w:rsidR="009B4D3D" w:rsidRPr="00D05948">
        <w:rPr>
          <w:lang w:val="en-CA"/>
        </w:rPr>
        <w:t xml:space="preserve">78; </w:t>
      </w:r>
      <w:proofErr w:type="spellStart"/>
      <w:r w:rsidR="009B4D3D" w:rsidRPr="00D05948">
        <w:rPr>
          <w:i/>
          <w:lang w:val="en-CA"/>
        </w:rPr>
        <w:t>Withler</w:t>
      </w:r>
      <w:proofErr w:type="spellEnd"/>
      <w:r w:rsidR="009B4D3D" w:rsidRPr="00D05948">
        <w:rPr>
          <w:i/>
          <w:lang w:val="en-CA"/>
        </w:rPr>
        <w:t xml:space="preserve"> v. Canada (Attorney General)</w:t>
      </w:r>
      <w:r w:rsidR="009B4D3D" w:rsidRPr="00D05948">
        <w:rPr>
          <w:lang w:val="en-CA"/>
        </w:rPr>
        <w:t xml:space="preserve">, [2011] 1 </w:t>
      </w:r>
      <w:r w:rsidR="00003EA4">
        <w:rPr>
          <w:lang w:val="en-CA"/>
        </w:rPr>
        <w:t>S.C.R.</w:t>
      </w:r>
      <w:r w:rsidRPr="009B4D3D">
        <w:rPr>
          <w:lang w:val="en-CA"/>
        </w:rPr>
        <w:t xml:space="preserve"> </w:t>
      </w:r>
      <w:r w:rsidR="009B4D3D" w:rsidRPr="00D05948">
        <w:rPr>
          <w:lang w:val="en-CA"/>
        </w:rPr>
        <w:t xml:space="preserve">396 at </w:t>
      </w:r>
      <w:r w:rsidR="00DE6CEC">
        <w:rPr>
          <w:lang w:val="en-CA"/>
        </w:rPr>
        <w:t>para</w:t>
      </w:r>
      <w:r w:rsidR="0062222C">
        <w:rPr>
          <w:lang w:val="en-CA"/>
        </w:rPr>
        <w:t>s</w:t>
      </w:r>
      <w:r w:rsidR="00DE6CEC">
        <w:rPr>
          <w:lang w:val="en-CA"/>
        </w:rPr>
        <w:t>.</w:t>
      </w:r>
      <w:r w:rsidR="0062222C">
        <w:rPr>
          <w:lang w:val="en-CA"/>
        </w:rPr>
        <w:t xml:space="preserve"> </w:t>
      </w:r>
      <w:r w:rsidR="009B4D3D" w:rsidRPr="009B4D3D">
        <w:rPr>
          <w:lang w:val="en-CA"/>
        </w:rPr>
        <w:t>37</w:t>
      </w:r>
      <w:r w:rsidR="0062222C">
        <w:rPr>
          <w:lang w:val="en-CA"/>
        </w:rPr>
        <w:t>–</w:t>
      </w:r>
      <w:r w:rsidR="009B4D3D" w:rsidRPr="009B4D3D">
        <w:rPr>
          <w:lang w:val="en-CA"/>
        </w:rPr>
        <w:t>38.</w:t>
      </w:r>
    </w:p>
  </w:footnote>
  <w:footnote w:id="40">
    <w:p w14:paraId="3F9E8CBC" w14:textId="1771FD48" w:rsidR="000D3A9B" w:rsidRPr="00B210EA" w:rsidRDefault="000D3A9B" w:rsidP="000D3A9B">
      <w:pPr>
        <w:pStyle w:val="Notedebasdepage"/>
        <w:rPr>
          <w:lang w:val="en-CA"/>
        </w:rPr>
      </w:pPr>
      <w:r>
        <w:rPr>
          <w:rStyle w:val="Appelnotedebasdep"/>
        </w:rPr>
        <w:footnoteRef/>
      </w:r>
      <w:r w:rsidRPr="00B210EA">
        <w:rPr>
          <w:lang w:val="en-CA"/>
        </w:rPr>
        <w:t xml:space="preserve"> </w:t>
      </w:r>
      <w:r w:rsidRPr="00B210EA">
        <w:rPr>
          <w:lang w:val="en-CA"/>
        </w:rPr>
        <w:tab/>
      </w:r>
      <w:r w:rsidR="009B4D3D" w:rsidRPr="00B210EA">
        <w:rPr>
          <w:lang w:val="en-CA"/>
        </w:rPr>
        <w:t xml:space="preserve">[2008] 2 </w:t>
      </w:r>
      <w:r w:rsidR="00003EA4" w:rsidRPr="00B210EA">
        <w:rPr>
          <w:lang w:val="en-CA"/>
        </w:rPr>
        <w:t>S.C.R.</w:t>
      </w:r>
      <w:r w:rsidRPr="00B210EA">
        <w:rPr>
          <w:lang w:val="en-CA"/>
        </w:rPr>
        <w:t xml:space="preserve"> </w:t>
      </w:r>
      <w:r w:rsidR="009B4D3D" w:rsidRPr="00B210EA">
        <w:rPr>
          <w:lang w:val="en-CA"/>
        </w:rPr>
        <w:t xml:space="preserve">483 at </w:t>
      </w:r>
      <w:r w:rsidR="00DE6CEC" w:rsidRPr="00B210EA">
        <w:rPr>
          <w:lang w:val="en-CA"/>
        </w:rPr>
        <w:t>para.</w:t>
      </w:r>
      <w:r w:rsidR="009B4D3D" w:rsidRPr="00B210EA">
        <w:rPr>
          <w:lang w:val="en-CA"/>
        </w:rPr>
        <w:t xml:space="preserve">21 </w:t>
      </w:r>
      <w:r w:rsidR="004B4684" w:rsidRPr="00B210EA">
        <w:rPr>
          <w:i/>
          <w:lang w:val="en-CA"/>
        </w:rPr>
        <w:t>et seq</w:t>
      </w:r>
      <w:r w:rsidR="009B4D3D" w:rsidRPr="00B210EA">
        <w:rPr>
          <w:lang w:val="en-CA"/>
        </w:rPr>
        <w:t>.</w:t>
      </w:r>
    </w:p>
  </w:footnote>
  <w:footnote w:id="41">
    <w:p w14:paraId="3829F52D" w14:textId="5ECB9D4B"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See e.g.,</w:t>
      </w:r>
      <w:r w:rsidRPr="009B4D3D">
        <w:rPr>
          <w:lang w:val="en-CA"/>
        </w:rPr>
        <w:t> </w:t>
      </w:r>
      <w:r w:rsidR="009B4D3D" w:rsidRPr="00D05948">
        <w:rPr>
          <w:i/>
          <w:lang w:val="en-CA"/>
        </w:rPr>
        <w:t>Fraser v. Canada (Attorney General)</w:t>
      </w:r>
      <w:r w:rsidR="009B4D3D" w:rsidRPr="00D05948">
        <w:rPr>
          <w:lang w:val="en-CA"/>
        </w:rPr>
        <w:t xml:space="preserve">, </w:t>
      </w:r>
      <w:r w:rsidR="009B4D3D" w:rsidRPr="0062222C">
        <w:rPr>
          <w:i/>
          <w:iCs/>
          <w:lang w:val="en-CA"/>
        </w:rPr>
        <w:t>supra</w:t>
      </w:r>
      <w:r w:rsidR="009B4D3D" w:rsidRPr="00D05948">
        <w:rPr>
          <w:lang w:val="en-CA"/>
        </w:rPr>
        <w:t xml:space="preserve"> note </w:t>
      </w:r>
      <w:r>
        <w:fldChar w:fldCharType="begin"/>
      </w:r>
      <w:r w:rsidRPr="009B4D3D">
        <w:rPr>
          <w:lang w:val="en-CA"/>
        </w:rPr>
        <w:instrText xml:space="preserve"> NOTEREF _Ref71980709 \h </w:instrText>
      </w:r>
      <w:r>
        <w:fldChar w:fldCharType="separate"/>
      </w:r>
      <w:r w:rsidRPr="009B4D3D">
        <w:rPr>
          <w:lang w:val="en-CA"/>
        </w:rPr>
        <w:t>38</w:t>
      </w:r>
      <w:r>
        <w:fldChar w:fldCharType="end"/>
      </w:r>
      <w:r w:rsidR="0062222C" w:rsidRPr="0062222C">
        <w:rPr>
          <w:lang w:val="en-CA"/>
        </w:rPr>
        <w:t xml:space="preserve"> </w:t>
      </w:r>
      <w:r w:rsidR="009B4D3D" w:rsidRPr="00D05948">
        <w:rPr>
          <w:lang w:val="en-CA"/>
        </w:rPr>
        <w:t>at para.</w:t>
      </w:r>
      <w:r w:rsidRPr="009B4D3D">
        <w:rPr>
          <w:lang w:val="en-CA"/>
        </w:rPr>
        <w:t xml:space="preserve"> </w:t>
      </w:r>
      <w:r w:rsidR="009B4D3D" w:rsidRPr="009B4D3D">
        <w:rPr>
          <w:lang w:val="en-CA"/>
        </w:rPr>
        <w:t xml:space="preserve">79 (majority reasons of </w:t>
      </w:r>
      <w:proofErr w:type="spellStart"/>
      <w:r w:rsidR="009B4D3D" w:rsidRPr="009B4D3D">
        <w:rPr>
          <w:lang w:val="en-CA"/>
        </w:rPr>
        <w:t>Abella</w:t>
      </w:r>
      <w:proofErr w:type="spellEnd"/>
      <w:r w:rsidR="0062222C">
        <w:rPr>
          <w:lang w:val="en-CA"/>
        </w:rPr>
        <w:t> </w:t>
      </w:r>
      <w:r w:rsidR="009B4D3D" w:rsidRPr="009B4D3D">
        <w:rPr>
          <w:lang w:val="en-CA"/>
        </w:rPr>
        <w:t xml:space="preserve">J.); </w:t>
      </w:r>
      <w:r w:rsidR="009B4D3D" w:rsidRPr="009B4D3D">
        <w:rPr>
          <w:i/>
          <w:lang w:val="en-CA"/>
        </w:rPr>
        <w:t xml:space="preserve">Centrale des </w:t>
      </w:r>
      <w:proofErr w:type="spellStart"/>
      <w:r w:rsidR="009B4D3D" w:rsidRPr="009B4D3D">
        <w:rPr>
          <w:i/>
          <w:lang w:val="en-CA"/>
        </w:rPr>
        <w:t>syndicats</w:t>
      </w:r>
      <w:proofErr w:type="spellEnd"/>
      <w:r w:rsidR="009B4D3D" w:rsidRPr="009B4D3D">
        <w:rPr>
          <w:i/>
          <w:lang w:val="en-CA"/>
        </w:rPr>
        <w:t xml:space="preserve"> du Québec v. Québec (Attorney General)</w:t>
      </w:r>
      <w:r w:rsidR="009B4D3D" w:rsidRPr="009B4D3D">
        <w:rPr>
          <w:lang w:val="en-CA"/>
        </w:rPr>
        <w:t xml:space="preserve">, [2018] 1 </w:t>
      </w:r>
      <w:r w:rsidR="00003EA4">
        <w:rPr>
          <w:lang w:val="en-CA"/>
        </w:rPr>
        <w:t>S.C.R.</w:t>
      </w:r>
      <w:r w:rsidRPr="009B4D3D">
        <w:rPr>
          <w:lang w:val="en-CA"/>
        </w:rPr>
        <w:t xml:space="preserve"> </w:t>
      </w:r>
      <w:r w:rsidR="009B4D3D" w:rsidRPr="00D05948">
        <w:rPr>
          <w:lang w:val="en-CA"/>
        </w:rPr>
        <w:t>522 at para.</w:t>
      </w:r>
      <w:r w:rsidRPr="009B4D3D">
        <w:rPr>
          <w:lang w:val="en-CA"/>
        </w:rPr>
        <w:t xml:space="preserve"> </w:t>
      </w:r>
      <w:r w:rsidR="009B4D3D" w:rsidRPr="00D05948">
        <w:rPr>
          <w:lang w:val="en-CA"/>
        </w:rPr>
        <w:t xml:space="preserve">35 (reasons of </w:t>
      </w:r>
      <w:proofErr w:type="spellStart"/>
      <w:r w:rsidR="009B4D3D" w:rsidRPr="00D05948">
        <w:rPr>
          <w:lang w:val="en-CA"/>
        </w:rPr>
        <w:t>Abella</w:t>
      </w:r>
      <w:proofErr w:type="spellEnd"/>
      <w:r w:rsidR="009B4D3D" w:rsidRPr="00D05948">
        <w:rPr>
          <w:lang w:val="en-CA"/>
        </w:rPr>
        <w:t xml:space="preserve"> J.).</w:t>
      </w:r>
    </w:p>
  </w:footnote>
  <w:footnote w:id="42">
    <w:p w14:paraId="02C12BBB" w14:textId="78D0049E"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proofErr w:type="spellStart"/>
      <w:r w:rsidR="009B4D3D" w:rsidRPr="00D05948">
        <w:rPr>
          <w:i/>
          <w:lang w:val="en-CA"/>
        </w:rPr>
        <w:t>Withler</w:t>
      </w:r>
      <w:proofErr w:type="spellEnd"/>
      <w:r w:rsidR="009B4D3D" w:rsidRPr="00D05948">
        <w:rPr>
          <w:i/>
          <w:lang w:val="en-CA"/>
        </w:rPr>
        <w:t xml:space="preserve"> v. Canada (Attorney General)</w:t>
      </w:r>
      <w:r w:rsidR="009B4D3D" w:rsidRPr="00D05948">
        <w:rPr>
          <w:lang w:val="en-CA"/>
        </w:rPr>
        <w:t xml:space="preserve">, </w:t>
      </w:r>
      <w:r w:rsidR="009B4D3D" w:rsidRPr="00D05948">
        <w:rPr>
          <w:i/>
          <w:lang w:val="en-CA"/>
        </w:rPr>
        <w:t xml:space="preserve">supra </w:t>
      </w:r>
      <w:r w:rsidR="009B4D3D" w:rsidRPr="00D05948">
        <w:rPr>
          <w:lang w:val="en-CA"/>
        </w:rPr>
        <w:t>note</w:t>
      </w:r>
      <w:r w:rsidRPr="009B4D3D">
        <w:rPr>
          <w:lang w:val="en-CA"/>
        </w:rPr>
        <w:t xml:space="preserve"> </w:t>
      </w:r>
      <w:r>
        <w:fldChar w:fldCharType="begin"/>
      </w:r>
      <w:r w:rsidRPr="009B4D3D">
        <w:rPr>
          <w:lang w:val="en-CA"/>
        </w:rPr>
        <w:instrText xml:space="preserve"> NOTEREF _Ref72580882 \h </w:instrText>
      </w:r>
      <w:r>
        <w:fldChar w:fldCharType="separate"/>
      </w:r>
      <w:r w:rsidRPr="009B4D3D">
        <w:rPr>
          <w:lang w:val="en-CA"/>
        </w:rPr>
        <w:t>39</w:t>
      </w:r>
      <w:r>
        <w:fldChar w:fldCharType="end"/>
      </w:r>
      <w:r w:rsidRPr="009B4D3D">
        <w:rPr>
          <w:lang w:val="en-CA"/>
        </w:rPr>
        <w:t>.</w:t>
      </w:r>
    </w:p>
  </w:footnote>
  <w:footnote w:id="43">
    <w:p w14:paraId="4DFBEAFA" w14:textId="5F627426" w:rsidR="00196220" w:rsidRPr="0062552E" w:rsidRDefault="006979E7" w:rsidP="00640E7F">
      <w:pPr>
        <w:pStyle w:val="Notedebasdepage"/>
        <w:rPr>
          <w:i/>
        </w:rPr>
      </w:pPr>
      <w:r>
        <w:rPr>
          <w:rStyle w:val="Appelnotedebasdep"/>
        </w:rPr>
        <w:footnoteRef/>
      </w:r>
      <w:r w:rsidRPr="0062552E">
        <w:t xml:space="preserve"> </w:t>
      </w:r>
      <w:r w:rsidRPr="0062552E">
        <w:tab/>
      </w:r>
      <w:proofErr w:type="spellStart"/>
      <w:r w:rsidR="0062552E" w:rsidRPr="0062552E">
        <w:rPr>
          <w:i/>
        </w:rPr>
        <w:t>Quebec</w:t>
      </w:r>
      <w:proofErr w:type="spellEnd"/>
      <w:r w:rsidR="0062552E" w:rsidRPr="0062552E">
        <w:rPr>
          <w:i/>
        </w:rPr>
        <w:t xml:space="preserve"> (Commission des </w:t>
      </w:r>
      <w:r w:rsidR="0062552E">
        <w:rPr>
          <w:i/>
        </w:rPr>
        <w:t xml:space="preserve">droits de la personne et des droits de la jeunesse) c. </w:t>
      </w:r>
      <w:r w:rsidR="009B4D3D" w:rsidRPr="0062552E">
        <w:rPr>
          <w:i/>
        </w:rPr>
        <w:t>Bombardier Aerospace Training Center</w:t>
      </w:r>
      <w:r w:rsidR="0062222C" w:rsidRPr="0062552E">
        <w:rPr>
          <w:iCs/>
        </w:rPr>
        <w:t>,</w:t>
      </w:r>
      <w:r w:rsidR="009B4D3D" w:rsidRPr="0062552E">
        <w:rPr>
          <w:i/>
        </w:rPr>
        <w:t xml:space="preserve"> </w:t>
      </w:r>
      <w:r w:rsidR="009B4D3D" w:rsidRPr="0062552E">
        <w:rPr>
          <w:iCs/>
        </w:rPr>
        <w:t xml:space="preserve">[2015] 2 </w:t>
      </w:r>
      <w:r w:rsidR="00003EA4" w:rsidRPr="0062552E">
        <w:rPr>
          <w:iCs/>
        </w:rPr>
        <w:t>S.C.R.</w:t>
      </w:r>
      <w:r w:rsidRPr="0062552E">
        <w:rPr>
          <w:iCs/>
        </w:rPr>
        <w:t xml:space="preserve"> </w:t>
      </w:r>
      <w:r w:rsidR="009B4D3D" w:rsidRPr="0062552E">
        <w:rPr>
          <w:iCs/>
        </w:rPr>
        <w:t>789.</w:t>
      </w:r>
    </w:p>
  </w:footnote>
  <w:footnote w:id="44">
    <w:p w14:paraId="54724519" w14:textId="0C3A91AC" w:rsidR="00196220" w:rsidRPr="009B4D3D" w:rsidRDefault="006979E7" w:rsidP="00640E7F">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i/>
          <w:lang w:val="en-CA"/>
        </w:rPr>
        <w:t>Bombardier Aerospace Training Center</w:t>
      </w:r>
      <w:r w:rsidR="009B4D3D" w:rsidRPr="009B4D3D">
        <w:rPr>
          <w:lang w:val="en-CA"/>
        </w:rPr>
        <w:t>), supra note</w:t>
      </w:r>
      <w:r w:rsidRPr="009B4D3D">
        <w:rPr>
          <w:lang w:val="en-CA"/>
        </w:rPr>
        <w:t xml:space="preserve"> </w:t>
      </w:r>
      <w:r>
        <w:fldChar w:fldCharType="begin"/>
      </w:r>
      <w:r w:rsidRPr="009B4D3D">
        <w:rPr>
          <w:lang w:val="en-CA"/>
        </w:rPr>
        <w:instrText xml:space="preserve"> NOTEREF _Ref71882321 \h </w:instrText>
      </w:r>
      <w:r>
        <w:fldChar w:fldCharType="separate"/>
      </w:r>
      <w:r w:rsidRPr="009B4D3D">
        <w:rPr>
          <w:lang w:val="en-CA"/>
        </w:rPr>
        <w:t>43</w:t>
      </w:r>
      <w:r>
        <w:fldChar w:fldCharType="end"/>
      </w:r>
      <w:r w:rsidRPr="009B4D3D">
        <w:rPr>
          <w:lang w:val="en-CA"/>
        </w:rPr>
        <w:t>.</w:t>
      </w:r>
    </w:p>
    <w:p w14:paraId="3ED1A67A" w14:textId="1B538BEE" w:rsidR="00196220" w:rsidRPr="00A515E7" w:rsidRDefault="006979E7" w:rsidP="00640E7F">
      <w:pPr>
        <w:pStyle w:val="Notedebasdepage"/>
        <w:rPr>
          <w:lang w:val="en-CA"/>
        </w:rPr>
      </w:pPr>
      <w:r w:rsidRPr="009B4D3D">
        <w:rPr>
          <w:lang w:val="en-CA"/>
        </w:rPr>
        <w:tab/>
      </w:r>
      <w:r w:rsidR="009B4D3D" w:rsidRPr="009B4D3D">
        <w:rPr>
          <w:lang w:val="en-CA"/>
        </w:rPr>
        <w:t xml:space="preserve">More generally, on the burden of proof incumbent on the person alleging </w:t>
      </w:r>
      <w:r w:rsidR="00040F5E" w:rsidRPr="009B4D3D">
        <w:rPr>
          <w:lang w:val="en-CA"/>
        </w:rPr>
        <w:t>di</w:t>
      </w:r>
      <w:r w:rsidR="00040F5E">
        <w:rPr>
          <w:lang w:val="en-CA"/>
        </w:rPr>
        <w:t>scrimi</w:t>
      </w:r>
      <w:r w:rsidR="00040F5E" w:rsidRPr="009B4D3D">
        <w:rPr>
          <w:lang w:val="en-CA"/>
        </w:rPr>
        <w:t>nation</w:t>
      </w:r>
      <w:r w:rsidR="009B4D3D" w:rsidRPr="009B4D3D">
        <w:rPr>
          <w:lang w:val="en-CA"/>
        </w:rPr>
        <w:t xml:space="preserve">, see also </w:t>
      </w:r>
      <w:r w:rsidR="009B4D3D" w:rsidRPr="009B4D3D">
        <w:rPr>
          <w:i/>
          <w:lang w:val="en-CA"/>
        </w:rPr>
        <w:t xml:space="preserve">Droit de la </w:t>
      </w:r>
      <w:proofErr w:type="spellStart"/>
      <w:r w:rsidR="009B4D3D" w:rsidRPr="009B4D3D">
        <w:rPr>
          <w:i/>
          <w:lang w:val="en-CA"/>
        </w:rPr>
        <w:t>famille</w:t>
      </w:r>
      <w:proofErr w:type="spellEnd"/>
      <w:r w:rsidR="009B4D3D" w:rsidRPr="009B4D3D">
        <w:rPr>
          <w:i/>
          <w:lang w:val="en-CA"/>
        </w:rPr>
        <w:t xml:space="preserve"> — 191850</w:t>
      </w:r>
      <w:r w:rsidR="009B4D3D" w:rsidRPr="009B4D3D">
        <w:rPr>
          <w:lang w:val="en-CA"/>
        </w:rPr>
        <w:t xml:space="preserve">, 2019 QCCA 1484 (leave to appeal to SCC </w:t>
      </w:r>
      <w:r w:rsidR="00A515E7">
        <w:rPr>
          <w:lang w:val="en-CA"/>
        </w:rPr>
        <w:t>refused</w:t>
      </w:r>
      <w:r w:rsidR="00E54323">
        <w:rPr>
          <w:lang w:val="en-CA"/>
        </w:rPr>
        <w:t>,</w:t>
      </w:r>
      <w:r w:rsidR="00A515E7">
        <w:rPr>
          <w:lang w:val="en-CA"/>
        </w:rPr>
        <w:t xml:space="preserve"> </w:t>
      </w:r>
      <w:r w:rsidR="00E54323">
        <w:rPr>
          <w:lang w:val="en-CA"/>
        </w:rPr>
        <w:t xml:space="preserve">38912 </w:t>
      </w:r>
      <w:r w:rsidR="009B4D3D" w:rsidRPr="009B4D3D">
        <w:rPr>
          <w:lang w:val="en-CA"/>
        </w:rPr>
        <w:t xml:space="preserve">(30 April 2020) at </w:t>
      </w:r>
      <w:r w:rsidR="00DE6CEC">
        <w:rPr>
          <w:lang w:val="en-CA"/>
        </w:rPr>
        <w:t>para</w:t>
      </w:r>
      <w:r w:rsidR="00A515E7">
        <w:rPr>
          <w:lang w:val="en-CA"/>
        </w:rPr>
        <w:t>s</w:t>
      </w:r>
      <w:r w:rsidR="00DE6CEC">
        <w:rPr>
          <w:lang w:val="en-CA"/>
        </w:rPr>
        <w:t>.</w:t>
      </w:r>
      <w:r w:rsidR="00A515E7">
        <w:rPr>
          <w:lang w:val="en-CA"/>
        </w:rPr>
        <w:t xml:space="preserve"> </w:t>
      </w:r>
      <w:r w:rsidR="009B4D3D" w:rsidRPr="00A515E7">
        <w:t>209</w:t>
      </w:r>
      <w:r w:rsidR="00E54323">
        <w:t>–</w:t>
      </w:r>
      <w:r w:rsidR="009B4D3D" w:rsidRPr="00A515E7">
        <w:t>211;</w:t>
      </w:r>
      <w:r w:rsidR="009B4D3D" w:rsidRPr="00A515E7">
        <w:rPr>
          <w:i/>
        </w:rPr>
        <w:t xml:space="preserve"> Procureure générale du Québec c. Association des juristes de l'État</w:t>
      </w:r>
      <w:r w:rsidR="009B4D3D" w:rsidRPr="00A515E7">
        <w:t>, 2018 QCCA 1763 at para</w:t>
      </w:r>
      <w:r w:rsidR="00E54323">
        <w:t>s</w:t>
      </w:r>
      <w:r w:rsidR="009B4D3D" w:rsidRPr="00A515E7">
        <w:t>.</w:t>
      </w:r>
      <w:r w:rsidRPr="00A515E7">
        <w:t xml:space="preserve"> </w:t>
      </w:r>
      <w:r w:rsidR="009B4D3D" w:rsidRPr="00D05948">
        <w:t>57</w:t>
      </w:r>
      <w:r w:rsidR="00E54323">
        <w:t>–</w:t>
      </w:r>
      <w:r w:rsidR="009B4D3D" w:rsidRPr="00D05948">
        <w:t xml:space="preserve">58; </w:t>
      </w:r>
      <w:r w:rsidR="009B4D3D" w:rsidRPr="00D05948">
        <w:rPr>
          <w:i/>
        </w:rPr>
        <w:t>Procureure générale du Québec c. Association des juristes de l'État</w:t>
      </w:r>
      <w:r w:rsidR="009B4D3D" w:rsidRPr="00D05948">
        <w:t xml:space="preserve">, 2017 QCCA 103 at </w:t>
      </w:r>
      <w:r w:rsidR="00DE6CEC">
        <w:t>para</w:t>
      </w:r>
      <w:r w:rsidR="00040F5E">
        <w:t>s</w:t>
      </w:r>
      <w:r w:rsidR="00DE6CEC">
        <w:t>.</w:t>
      </w:r>
      <w:r w:rsidR="00040F5E">
        <w:t xml:space="preserve"> </w:t>
      </w:r>
      <w:r w:rsidR="009B4D3D" w:rsidRPr="00A515E7">
        <w:rPr>
          <w:lang w:val="en-CA"/>
        </w:rPr>
        <w:t xml:space="preserve">34 </w:t>
      </w:r>
      <w:r w:rsidR="00040F5E" w:rsidRPr="00A515E7">
        <w:rPr>
          <w:lang w:val="en-CA"/>
        </w:rPr>
        <w:t>and</w:t>
      </w:r>
      <w:r w:rsidR="009B4D3D" w:rsidRPr="00A515E7">
        <w:rPr>
          <w:lang w:val="en-CA"/>
        </w:rPr>
        <w:t xml:space="preserve"> 36.</w:t>
      </w:r>
    </w:p>
  </w:footnote>
  <w:footnote w:id="45">
    <w:p w14:paraId="112B0D02" w14:textId="23160E19" w:rsidR="00A420AF" w:rsidRPr="00623D91"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See e.g.,</w:t>
      </w:r>
      <w:r w:rsidRPr="009B4D3D">
        <w:rPr>
          <w:lang w:val="en-CA"/>
        </w:rPr>
        <w:t> </w:t>
      </w:r>
      <w:r w:rsidR="009B4D3D" w:rsidRPr="00D05948">
        <w:rPr>
          <w:i/>
          <w:lang w:val="en-CA"/>
        </w:rPr>
        <w:t xml:space="preserve">Droit de la </w:t>
      </w:r>
      <w:proofErr w:type="spellStart"/>
      <w:r w:rsidR="009B4D3D" w:rsidRPr="00D05948">
        <w:rPr>
          <w:i/>
          <w:lang w:val="en-CA"/>
        </w:rPr>
        <w:t>famille</w:t>
      </w:r>
      <w:proofErr w:type="spellEnd"/>
      <w:r w:rsidR="009B4D3D" w:rsidRPr="00D05948">
        <w:rPr>
          <w:i/>
          <w:lang w:val="en-CA"/>
        </w:rPr>
        <w:t xml:space="preserve"> — 191850</w:t>
      </w:r>
      <w:r w:rsidR="009B4D3D" w:rsidRPr="00D05948">
        <w:rPr>
          <w:lang w:val="en-CA"/>
        </w:rPr>
        <w:t xml:space="preserve">, 2019 QCCA 1484 (leave to appeal to SCC </w:t>
      </w:r>
      <w:r w:rsidR="00A515E7">
        <w:rPr>
          <w:lang w:val="en-CA"/>
        </w:rPr>
        <w:t>refused</w:t>
      </w:r>
      <w:r w:rsidR="00E54323">
        <w:rPr>
          <w:lang w:val="en-CA"/>
        </w:rPr>
        <w:t xml:space="preserve">, </w:t>
      </w:r>
      <w:r w:rsidR="00E54323" w:rsidRPr="00D05948">
        <w:rPr>
          <w:lang w:val="en-CA"/>
        </w:rPr>
        <w:t xml:space="preserve">38912 </w:t>
      </w:r>
      <w:r w:rsidR="009B4D3D" w:rsidRPr="00D05948">
        <w:rPr>
          <w:lang w:val="en-CA"/>
        </w:rPr>
        <w:t>(30 April 2020) at para</w:t>
      </w:r>
      <w:r w:rsidR="0089395E">
        <w:rPr>
          <w:lang w:val="en-CA"/>
        </w:rPr>
        <w:t>s</w:t>
      </w:r>
      <w:r w:rsidR="009B4D3D" w:rsidRPr="00D05948">
        <w:rPr>
          <w:lang w:val="en-CA"/>
        </w:rPr>
        <w:t>.</w:t>
      </w:r>
      <w:r w:rsidRPr="009B4D3D">
        <w:rPr>
          <w:lang w:val="en-CA"/>
        </w:rPr>
        <w:t xml:space="preserve"> </w:t>
      </w:r>
      <w:r w:rsidRPr="00623D91">
        <w:rPr>
          <w:lang w:val="en-CA"/>
        </w:rPr>
        <w:t>223</w:t>
      </w:r>
      <w:r w:rsidR="0089395E">
        <w:rPr>
          <w:lang w:val="en-CA"/>
        </w:rPr>
        <w:t>–</w:t>
      </w:r>
      <w:r w:rsidRPr="00623D91">
        <w:rPr>
          <w:lang w:val="en-CA"/>
        </w:rPr>
        <w:t>224.</w:t>
      </w:r>
    </w:p>
  </w:footnote>
  <w:footnote w:id="46">
    <w:p w14:paraId="790F5FEB" w14:textId="26AE9A20"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And I include in the term “treatment”</w:t>
      </w:r>
      <w:r w:rsidR="00B32E79">
        <w:rPr>
          <w:lang w:val="en-CA"/>
        </w:rPr>
        <w:t xml:space="preserve"> that</w:t>
      </w:r>
      <w:r w:rsidR="009B4D3D" w:rsidRPr="009B4D3D">
        <w:rPr>
          <w:lang w:val="en-CA"/>
        </w:rPr>
        <w:t xml:space="preserve"> which </w:t>
      </w:r>
      <w:r w:rsidR="00B32E79">
        <w:rPr>
          <w:lang w:val="en-CA"/>
        </w:rPr>
        <w:t>emerged</w:t>
      </w:r>
      <w:r w:rsidR="0089395E">
        <w:rPr>
          <w:lang w:val="en-CA"/>
        </w:rPr>
        <w:t xml:space="preserve"> from</w:t>
      </w:r>
      <w:r w:rsidR="009B4D3D" w:rsidRPr="009B4D3D">
        <w:rPr>
          <w:lang w:val="en-CA"/>
        </w:rPr>
        <w:t xml:space="preserve"> the effect of a measure, provision, rule, or act, because of both what it imposes and what it omits (see especially </w:t>
      </w:r>
      <w:r w:rsidR="009B4D3D" w:rsidRPr="009B4D3D">
        <w:rPr>
          <w:i/>
          <w:lang w:val="en-CA"/>
        </w:rPr>
        <w:t>Law. v. Canada (Minister of Employment and Immigration)</w:t>
      </w:r>
      <w:r w:rsidR="009B4D3D" w:rsidRPr="009B4D3D">
        <w:rPr>
          <w:lang w:val="en-CA"/>
        </w:rPr>
        <w:t>, [1999] 1 S.C.R.</w:t>
      </w:r>
      <w:r w:rsidRPr="009B4D3D">
        <w:rPr>
          <w:lang w:val="en-CA"/>
        </w:rPr>
        <w:t xml:space="preserve"> </w:t>
      </w:r>
      <w:r w:rsidR="009B4D3D" w:rsidRPr="00D05948">
        <w:rPr>
          <w:lang w:val="en-CA"/>
        </w:rPr>
        <w:t xml:space="preserve">497 at </w:t>
      </w:r>
      <w:r w:rsidR="00DE6CEC">
        <w:rPr>
          <w:lang w:val="en-CA"/>
        </w:rPr>
        <w:t>para.</w:t>
      </w:r>
      <w:r w:rsidR="004623D0">
        <w:rPr>
          <w:lang w:val="en-CA"/>
        </w:rPr>
        <w:t xml:space="preserve"> </w:t>
      </w:r>
      <w:r w:rsidR="009B4D3D" w:rsidRPr="009B4D3D">
        <w:rPr>
          <w:lang w:val="en-CA"/>
        </w:rPr>
        <w:t>25</w:t>
      </w:r>
      <w:r w:rsidR="004623D0">
        <w:rPr>
          <w:lang w:val="en-CA"/>
        </w:rPr>
        <w:t>,</w:t>
      </w:r>
      <w:r w:rsidR="009B4D3D" w:rsidRPr="009B4D3D">
        <w:rPr>
          <w:lang w:val="en-CA"/>
        </w:rPr>
        <w:t xml:space="preserve"> </w:t>
      </w:r>
      <w:r w:rsidR="009B4D3D" w:rsidRPr="004623D0">
        <w:rPr>
          <w:i/>
          <w:iCs/>
          <w:lang w:val="en-CA"/>
        </w:rPr>
        <w:t>in</w:t>
      </w:r>
      <w:r w:rsidR="009B4D3D" w:rsidRPr="009B4D3D">
        <w:rPr>
          <w:lang w:val="en-CA"/>
        </w:rPr>
        <w:t xml:space="preserve"> </w:t>
      </w:r>
      <w:r w:rsidR="009B4D3D" w:rsidRPr="004623D0">
        <w:rPr>
          <w:i/>
          <w:iCs/>
          <w:lang w:val="en-CA"/>
        </w:rPr>
        <w:t>fine</w:t>
      </w:r>
      <w:r w:rsidR="009B4D3D" w:rsidRPr="009B4D3D">
        <w:rPr>
          <w:lang w:val="en-CA"/>
        </w:rPr>
        <w:t>: “Differential treatment, in a substantive sense, can be brought about either by a formal legislative distinction, or by a failure to take into account the underlying differences between individuals in society.”</w:t>
      </w:r>
    </w:p>
  </w:footnote>
  <w:footnote w:id="47">
    <w:p w14:paraId="54DC57A2" w14:textId="641766ED" w:rsidR="00A420AF" w:rsidRPr="00623D91" w:rsidRDefault="00A420AF" w:rsidP="00A420AF">
      <w:pPr>
        <w:pStyle w:val="Notedebasdepage"/>
        <w:rPr>
          <w:lang w:val="en-CA"/>
        </w:rPr>
      </w:pPr>
      <w:r>
        <w:rPr>
          <w:rStyle w:val="Appelnotedebasdep"/>
        </w:rPr>
        <w:footnoteRef/>
      </w:r>
      <w:r>
        <w:t xml:space="preserve"> </w:t>
      </w:r>
      <w:r>
        <w:tab/>
      </w:r>
      <w:proofErr w:type="spellStart"/>
      <w:r w:rsidR="009B4D3D" w:rsidRPr="00D05948">
        <w:t>See</w:t>
      </w:r>
      <w:proofErr w:type="spellEnd"/>
      <w:r w:rsidR="009B4D3D" w:rsidRPr="00D05948">
        <w:t xml:space="preserve"> e.g., </w:t>
      </w:r>
      <w:r w:rsidR="009B4D3D" w:rsidRPr="00D05948">
        <w:rPr>
          <w:i/>
        </w:rPr>
        <w:t>Procureure générale du Québec c. Association des juristes de l'État</w:t>
      </w:r>
      <w:r w:rsidR="009B4D3D" w:rsidRPr="00D05948">
        <w:t>, 2018 QCCA 1763 at para.</w:t>
      </w:r>
      <w:r>
        <w:t xml:space="preserve"> </w:t>
      </w:r>
      <w:r w:rsidR="009B4D3D" w:rsidRPr="00D05948">
        <w:rPr>
          <w:lang w:val="en-CA"/>
        </w:rPr>
        <w:t xml:space="preserve">58-61 and paras. </w:t>
      </w:r>
      <w:r w:rsidRPr="00623D91">
        <w:rPr>
          <w:lang w:val="en-CA"/>
        </w:rPr>
        <w:t xml:space="preserve"> </w:t>
      </w:r>
      <w:r w:rsidR="009B4D3D" w:rsidRPr="00D05948">
        <w:rPr>
          <w:lang w:val="en-CA"/>
        </w:rPr>
        <w:t xml:space="preserve">58 and </w:t>
      </w:r>
      <w:proofErr w:type="gramStart"/>
      <w:r w:rsidR="009B4D3D" w:rsidRPr="00D05948">
        <w:rPr>
          <w:lang w:val="en-CA"/>
        </w:rPr>
        <w:t>59 in particular</w:t>
      </w:r>
      <w:proofErr w:type="gramEnd"/>
      <w:r w:rsidR="009B4D3D" w:rsidRPr="00D05948">
        <w:rPr>
          <w:lang w:val="en-CA"/>
        </w:rPr>
        <w:t>.</w:t>
      </w:r>
      <w:r w:rsidRPr="009B4D3D">
        <w:rPr>
          <w:lang w:val="en-CA"/>
        </w:rPr>
        <w:t xml:space="preserve"> </w:t>
      </w:r>
      <w:r w:rsidR="009B4D3D" w:rsidRPr="00D05948">
        <w:rPr>
          <w:lang w:val="en-CA"/>
        </w:rPr>
        <w:t xml:space="preserve">See also D. Proulx, supra note </w:t>
      </w:r>
      <w:r w:rsidRPr="009B4D3D">
        <w:rPr>
          <w:lang w:val="en-CA"/>
        </w:rPr>
        <w:t xml:space="preserve"> </w:t>
      </w:r>
      <w:r>
        <w:fldChar w:fldCharType="begin"/>
      </w:r>
      <w:r w:rsidRPr="009B4D3D">
        <w:rPr>
          <w:lang w:val="en-CA"/>
        </w:rPr>
        <w:instrText xml:space="preserve"> NOTEREF _Ref73709704 \h </w:instrText>
      </w:r>
      <w:r>
        <w:fldChar w:fldCharType="separate"/>
      </w:r>
      <w:r w:rsidRPr="009B4D3D">
        <w:rPr>
          <w:lang w:val="en-CA"/>
        </w:rPr>
        <w:t>29</w:t>
      </w:r>
      <w:r>
        <w:fldChar w:fldCharType="end"/>
      </w:r>
      <w:r w:rsidR="009B4D3D" w:rsidRPr="00D05948">
        <w:rPr>
          <w:lang w:val="en-CA"/>
        </w:rPr>
        <w:t>at para.</w:t>
      </w:r>
      <w:r w:rsidRPr="009B4D3D">
        <w:rPr>
          <w:lang w:val="en-CA"/>
        </w:rPr>
        <w:t xml:space="preserve"> </w:t>
      </w:r>
      <w:r w:rsidR="009B4D3D" w:rsidRPr="00D05948">
        <w:rPr>
          <w:lang w:val="en-CA"/>
        </w:rPr>
        <w:t xml:space="preserve">17 </w:t>
      </w:r>
      <w:proofErr w:type="gramStart"/>
      <w:r w:rsidR="009B4D3D" w:rsidRPr="00D05948">
        <w:rPr>
          <w:lang w:val="en-CA"/>
        </w:rPr>
        <w:t>at .</w:t>
      </w:r>
      <w:proofErr w:type="gramEnd"/>
      <w:r w:rsidR="009B4D3D" w:rsidRPr="00D05948">
        <w:rPr>
          <w:lang w:val="en-CA"/>
        </w:rPr>
        <w:t xml:space="preserve"> 9/16 </w:t>
      </w:r>
      <w:proofErr w:type="spellStart"/>
      <w:r w:rsidR="009B4D3D" w:rsidRPr="00D05948">
        <w:rPr>
          <w:i/>
          <w:lang w:val="en-CA"/>
        </w:rPr>
        <w:t>Charte</w:t>
      </w:r>
      <w:proofErr w:type="spellEnd"/>
      <w:r w:rsidR="009B4D3D" w:rsidRPr="00D05948">
        <w:rPr>
          <w:i/>
          <w:lang w:val="en-CA"/>
        </w:rPr>
        <w:t xml:space="preserve"> </w:t>
      </w:r>
      <w:proofErr w:type="spellStart"/>
      <w:r w:rsidR="009B4D3D" w:rsidRPr="00D05948">
        <w:rPr>
          <w:i/>
          <w:lang w:val="en-CA"/>
        </w:rPr>
        <w:t>canadienne</w:t>
      </w:r>
      <w:proofErr w:type="spellEnd"/>
      <w:r w:rsidR="009B4D3D" w:rsidRPr="00D05948">
        <w:rPr>
          <w:lang w:val="en-CA"/>
        </w:rPr>
        <w:t>), and para.</w:t>
      </w:r>
      <w:r w:rsidRPr="00623D91">
        <w:rPr>
          <w:lang w:val="en-CA"/>
        </w:rPr>
        <w:t xml:space="preserve"> </w:t>
      </w:r>
      <w:r w:rsidR="009B4D3D" w:rsidRPr="00D05948">
        <w:rPr>
          <w:lang w:val="en-CA"/>
        </w:rPr>
        <w:t>91 at 9/44 (</w:t>
      </w:r>
      <w:proofErr w:type="spellStart"/>
      <w:r w:rsidR="009B4D3D" w:rsidRPr="00D05948">
        <w:rPr>
          <w:i/>
          <w:lang w:val="en-CA"/>
        </w:rPr>
        <w:t>Charte</w:t>
      </w:r>
      <w:proofErr w:type="spellEnd"/>
      <w:r w:rsidR="009B4D3D" w:rsidRPr="00D05948">
        <w:rPr>
          <w:i/>
          <w:lang w:val="en-CA"/>
        </w:rPr>
        <w:t xml:space="preserve"> québécoise</w:t>
      </w:r>
      <w:r w:rsidR="009B4D3D" w:rsidRPr="00D05948">
        <w:rPr>
          <w:lang w:val="en-CA"/>
        </w:rPr>
        <w:t>).</w:t>
      </w:r>
    </w:p>
  </w:footnote>
  <w:footnote w:id="48">
    <w:p w14:paraId="5646F6F5" w14:textId="7AA72BAE" w:rsidR="004623D0" w:rsidRPr="00E66EFC" w:rsidRDefault="004623D0" w:rsidP="004623D0">
      <w:pPr>
        <w:pStyle w:val="Notedebasdepage"/>
        <w:rPr>
          <w:lang w:val="en-CA"/>
        </w:rPr>
      </w:pPr>
      <w:r>
        <w:rPr>
          <w:rStyle w:val="Appelnotedebasdep"/>
        </w:rPr>
        <w:footnoteRef/>
      </w:r>
      <w:r w:rsidRPr="009B4D3D">
        <w:rPr>
          <w:lang w:val="en-CA"/>
        </w:rPr>
        <w:t xml:space="preserve"> </w:t>
      </w:r>
      <w:r w:rsidRPr="009B4D3D">
        <w:rPr>
          <w:lang w:val="en-CA"/>
        </w:rPr>
        <w:tab/>
      </w:r>
      <w:proofErr w:type="spellStart"/>
      <w:r w:rsidRPr="00D05948">
        <w:rPr>
          <w:i/>
          <w:lang w:val="en-CA"/>
        </w:rPr>
        <w:t>Withler</w:t>
      </w:r>
      <w:proofErr w:type="spellEnd"/>
      <w:r w:rsidRPr="00D05948">
        <w:rPr>
          <w:i/>
          <w:lang w:val="en-CA"/>
        </w:rPr>
        <w:t xml:space="preserve"> v. Canada (Attorney General)</w:t>
      </w:r>
      <w:r w:rsidRPr="00D05948">
        <w:rPr>
          <w:lang w:val="en-CA"/>
        </w:rPr>
        <w:t xml:space="preserve">, </w:t>
      </w:r>
      <w:r w:rsidRPr="00D05948">
        <w:rPr>
          <w:i/>
          <w:lang w:val="en-CA"/>
        </w:rPr>
        <w:t xml:space="preserve">supra </w:t>
      </w:r>
      <w:r w:rsidRPr="00D05948">
        <w:rPr>
          <w:lang w:val="en-CA"/>
        </w:rPr>
        <w:t>note</w:t>
      </w:r>
      <w:r w:rsidRPr="009B4D3D">
        <w:rPr>
          <w:lang w:val="en-CA"/>
        </w:rPr>
        <w:t xml:space="preserve"> </w:t>
      </w:r>
      <w:r>
        <w:fldChar w:fldCharType="begin"/>
      </w:r>
      <w:r w:rsidRPr="009B4D3D">
        <w:rPr>
          <w:lang w:val="en-CA"/>
        </w:rPr>
        <w:instrText xml:space="preserve"> NOTEREF _Ref72580882 \h </w:instrText>
      </w:r>
      <w:r>
        <w:fldChar w:fldCharType="separate"/>
      </w:r>
      <w:r w:rsidRPr="009B4D3D">
        <w:rPr>
          <w:lang w:val="en-CA"/>
        </w:rPr>
        <w:t>39</w:t>
      </w:r>
      <w:r>
        <w:fldChar w:fldCharType="end"/>
      </w:r>
      <w:r w:rsidRPr="009B4D3D">
        <w:rPr>
          <w:lang w:val="en-CA"/>
        </w:rPr>
        <w:t xml:space="preserve">. </w:t>
      </w:r>
      <w:proofErr w:type="spellStart"/>
      <w:r w:rsidRPr="00D05948">
        <w:t>See</w:t>
      </w:r>
      <w:proofErr w:type="spellEnd"/>
      <w:r w:rsidRPr="00D05948">
        <w:t xml:space="preserve"> </w:t>
      </w:r>
      <w:proofErr w:type="spellStart"/>
      <w:r w:rsidRPr="00D05948">
        <w:t>also</w:t>
      </w:r>
      <w:proofErr w:type="spellEnd"/>
      <w:r w:rsidRPr="00D05948">
        <w:t xml:space="preserve"> </w:t>
      </w:r>
      <w:r w:rsidRPr="00D05948">
        <w:rPr>
          <w:i/>
        </w:rPr>
        <w:t>Québec (Attorney General) v. Alliance du personnel professionnel et technique de la santé et des services sociaux</w:t>
      </w:r>
      <w:r w:rsidRPr="00D05948">
        <w:t>, [2018] 1 S.C.R.</w:t>
      </w:r>
      <w:r w:rsidR="000D6E6E">
        <w:t xml:space="preserve"> </w:t>
      </w:r>
      <w:r w:rsidRPr="00D05948">
        <w:t>464</w:t>
      </w:r>
      <w:r>
        <w:t xml:space="preserve"> </w:t>
      </w:r>
      <w:r w:rsidRPr="00D05948">
        <w:t xml:space="preserve">at </w:t>
      </w:r>
      <w:r>
        <w:t>para</w:t>
      </w:r>
      <w:r w:rsidR="000D6E6E">
        <w:t>s</w:t>
      </w:r>
      <w:r>
        <w:t>.</w:t>
      </w:r>
      <w:r w:rsidR="000D6E6E">
        <w:t xml:space="preserve"> </w:t>
      </w:r>
      <w:r w:rsidRPr="00E66EFC">
        <w:rPr>
          <w:lang w:val="en-CA"/>
        </w:rPr>
        <w:t>27</w:t>
      </w:r>
      <w:r w:rsidR="000D6E6E" w:rsidRPr="00E66EFC">
        <w:rPr>
          <w:lang w:val="en-CA"/>
        </w:rPr>
        <w:t>–</w:t>
      </w:r>
      <w:r w:rsidRPr="00E66EFC">
        <w:rPr>
          <w:lang w:val="en-CA"/>
        </w:rPr>
        <w:t xml:space="preserve">28 (majority reasons of </w:t>
      </w:r>
      <w:proofErr w:type="spellStart"/>
      <w:r w:rsidRPr="00E66EFC">
        <w:rPr>
          <w:lang w:val="en-CA"/>
        </w:rPr>
        <w:t>Abella</w:t>
      </w:r>
      <w:proofErr w:type="spellEnd"/>
      <w:r w:rsidRPr="00E66EFC">
        <w:rPr>
          <w:lang w:val="en-CA"/>
        </w:rPr>
        <w:t xml:space="preserve"> J.).</w:t>
      </w:r>
    </w:p>
  </w:footnote>
  <w:footnote w:id="49">
    <w:p w14:paraId="1C246599" w14:textId="198B1B4F"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2018 FCA 181 at para.</w:t>
      </w:r>
      <w:r w:rsidRPr="009B4D3D">
        <w:rPr>
          <w:lang w:val="en-CA"/>
        </w:rPr>
        <w:t xml:space="preserve"> </w:t>
      </w:r>
      <w:r w:rsidR="009B4D3D" w:rsidRPr="00D05948">
        <w:rPr>
          <w:lang w:val="en-CA"/>
        </w:rPr>
        <w:t xml:space="preserve">52 (leave to appeal to </w:t>
      </w:r>
      <w:r w:rsidR="00E54323">
        <w:rPr>
          <w:lang w:val="en-CA"/>
        </w:rPr>
        <w:t xml:space="preserve">SCC refused, </w:t>
      </w:r>
      <w:r w:rsidR="00E54323" w:rsidRPr="00D05948">
        <w:rPr>
          <w:lang w:val="en-CA"/>
        </w:rPr>
        <w:t>38439</w:t>
      </w:r>
      <w:r w:rsidR="009B4D3D" w:rsidRPr="00D05948">
        <w:rPr>
          <w:lang w:val="en-CA"/>
        </w:rPr>
        <w:t xml:space="preserve"> (18 April 2019).</w:t>
      </w:r>
    </w:p>
  </w:footnote>
  <w:footnote w:id="50">
    <w:p w14:paraId="4BBFA2A9" w14:textId="62A4D096"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Similarly, see also </w:t>
      </w:r>
      <w:r w:rsidR="009B4D3D" w:rsidRPr="009B4D3D">
        <w:rPr>
          <w:i/>
          <w:lang w:val="en-CA"/>
        </w:rPr>
        <w:t>Stadler v. Director, St Boniface/St Vital</w:t>
      </w:r>
      <w:r w:rsidR="009B4D3D" w:rsidRPr="009B4D3D">
        <w:rPr>
          <w:lang w:val="en-CA"/>
        </w:rPr>
        <w:t xml:space="preserve">, 2020 MBCA 46 (leave to appeal to SCC </w:t>
      </w:r>
      <w:r w:rsidR="00E54323">
        <w:rPr>
          <w:lang w:val="en-CA"/>
        </w:rPr>
        <w:t xml:space="preserve">refused, </w:t>
      </w:r>
      <w:r w:rsidR="00E54323" w:rsidRPr="009B4D3D">
        <w:rPr>
          <w:lang w:val="en-CA"/>
        </w:rPr>
        <w:t xml:space="preserve">39269 </w:t>
      </w:r>
      <w:r w:rsidR="009B4D3D" w:rsidRPr="009B4D3D">
        <w:rPr>
          <w:lang w:val="en-CA"/>
        </w:rPr>
        <w:t xml:space="preserve">(26 November 2020) at </w:t>
      </w:r>
      <w:r w:rsidR="00DE6CEC">
        <w:rPr>
          <w:lang w:val="en-CA"/>
        </w:rPr>
        <w:t>para</w:t>
      </w:r>
      <w:r w:rsidR="00E54323">
        <w:rPr>
          <w:lang w:val="en-CA"/>
        </w:rPr>
        <w:t>s</w:t>
      </w:r>
      <w:r w:rsidR="00DE6CEC">
        <w:rPr>
          <w:lang w:val="en-CA"/>
        </w:rPr>
        <w:t>.</w:t>
      </w:r>
      <w:r w:rsidR="00E54323">
        <w:rPr>
          <w:lang w:val="en-CA"/>
        </w:rPr>
        <w:t xml:space="preserve"> </w:t>
      </w:r>
      <w:r w:rsidR="009B4D3D" w:rsidRPr="00D05948">
        <w:rPr>
          <w:lang w:val="en-CA"/>
        </w:rPr>
        <w:t>58 and 65.</w:t>
      </w:r>
    </w:p>
  </w:footnote>
  <w:footnote w:id="51">
    <w:p w14:paraId="79C1DF4D" w14:textId="15BCFE14" w:rsidR="00196220" w:rsidRPr="009B4D3D" w:rsidRDefault="006979E7" w:rsidP="00640E7F">
      <w:pPr>
        <w:pStyle w:val="Notedebasdepage"/>
        <w:rPr>
          <w:lang w:val="en-CA"/>
        </w:rPr>
      </w:pPr>
      <w:r>
        <w:rPr>
          <w:rStyle w:val="Appelnotedebasdep"/>
        </w:rPr>
        <w:footnoteRef/>
      </w:r>
      <w:r w:rsidRPr="009B4D3D">
        <w:rPr>
          <w:lang w:val="en-CA"/>
        </w:rPr>
        <w:t xml:space="preserve"> </w:t>
      </w:r>
      <w:r w:rsidRPr="009B4D3D">
        <w:rPr>
          <w:lang w:val="en-CA"/>
        </w:rPr>
        <w:tab/>
      </w:r>
      <w:r w:rsidR="009B4D3D" w:rsidRPr="00D05948">
        <w:rPr>
          <w:lang w:val="en-CA"/>
        </w:rPr>
        <w:t xml:space="preserve">See </w:t>
      </w:r>
      <w:r w:rsidR="00E54323" w:rsidRPr="00E54323">
        <w:rPr>
          <w:i/>
          <w:iCs/>
          <w:lang w:val="en-CA"/>
        </w:rPr>
        <w:t>supra</w:t>
      </w:r>
      <w:r w:rsidR="009B4D3D" w:rsidRPr="00D05948">
        <w:rPr>
          <w:lang w:val="en-CA"/>
        </w:rPr>
        <w:t xml:space="preserve"> at para</w:t>
      </w:r>
      <w:r w:rsidR="00E54323">
        <w:rPr>
          <w:lang w:val="en-CA"/>
        </w:rPr>
        <w:t>s</w:t>
      </w:r>
      <w:r w:rsidR="009B4D3D" w:rsidRPr="00D05948">
        <w:rPr>
          <w:lang w:val="en-CA"/>
        </w:rPr>
        <w:t>.</w:t>
      </w:r>
      <w:r w:rsidRPr="009B4D3D">
        <w:rPr>
          <w:lang w:val="en-CA"/>
        </w:rPr>
        <w:t xml:space="preserve"> </w:t>
      </w:r>
      <w:r w:rsidR="009B4D3D">
        <w:fldChar w:fldCharType="begin"/>
      </w:r>
      <w:r w:rsidR="009B4D3D" w:rsidRPr="009B4D3D">
        <w:rPr>
          <w:lang w:val="en-CA"/>
        </w:rPr>
        <w:instrText xml:space="preserve"> REF _Ref71977500 \r \h </w:instrText>
      </w:r>
      <w:r w:rsidR="009B4D3D">
        <w:fldChar w:fldCharType="separate"/>
      </w:r>
      <w:r w:rsidR="009B4D3D">
        <w:rPr>
          <w:lang w:val="en-CA"/>
        </w:rPr>
        <w:t>[35]</w:t>
      </w:r>
      <w:r w:rsidR="009B4D3D">
        <w:fldChar w:fldCharType="end"/>
      </w:r>
      <w:r w:rsidR="009B4D3D" w:rsidRPr="009B4D3D">
        <w:rPr>
          <w:lang w:val="en-CA"/>
        </w:rPr>
        <w:t xml:space="preserve"> </w:t>
      </w:r>
      <w:r w:rsidR="004F3180">
        <w:rPr>
          <w:lang w:val="en-CA"/>
        </w:rPr>
        <w:t>and</w:t>
      </w:r>
      <w:r w:rsidR="009B4D3D" w:rsidRPr="009B4D3D">
        <w:rPr>
          <w:lang w:val="en-CA"/>
        </w:rPr>
        <w:t xml:space="preserve"> </w:t>
      </w:r>
      <w:r w:rsidR="009B4D3D">
        <w:fldChar w:fldCharType="begin"/>
      </w:r>
      <w:r w:rsidR="009B4D3D" w:rsidRPr="009B4D3D">
        <w:rPr>
          <w:lang w:val="en-CA"/>
        </w:rPr>
        <w:instrText xml:space="preserve"> REF _Ref71977506 \r \h </w:instrText>
      </w:r>
      <w:r w:rsidR="009B4D3D">
        <w:fldChar w:fldCharType="separate"/>
      </w:r>
      <w:r w:rsidR="009B4D3D">
        <w:rPr>
          <w:lang w:val="en-CA"/>
        </w:rPr>
        <w:t>[36]</w:t>
      </w:r>
      <w:r w:rsidR="009B4D3D">
        <w:fldChar w:fldCharType="end"/>
      </w:r>
      <w:r w:rsidR="009B4D3D" w:rsidRPr="009B4D3D">
        <w:rPr>
          <w:lang w:val="en-CA"/>
        </w:rPr>
        <w:t>.</w:t>
      </w:r>
    </w:p>
  </w:footnote>
  <w:footnote w:id="52">
    <w:p w14:paraId="6B4E389D" w14:textId="167588FC" w:rsidR="00A420AF" w:rsidRPr="009B4D3D" w:rsidRDefault="00A420AF" w:rsidP="00A420AF">
      <w:pPr>
        <w:pStyle w:val="Notedebasdepage"/>
        <w:rPr>
          <w:lang w:val="en-CA"/>
        </w:rPr>
      </w:pPr>
      <w:r>
        <w:rPr>
          <w:rStyle w:val="Appelnotedebasdep"/>
        </w:rPr>
        <w:footnoteRef/>
      </w:r>
      <w:r w:rsidRPr="009B4D3D">
        <w:rPr>
          <w:lang w:val="en-CA"/>
        </w:rPr>
        <w:t xml:space="preserve"> </w:t>
      </w:r>
      <w:r w:rsidRPr="009B4D3D">
        <w:rPr>
          <w:lang w:val="en-CA"/>
        </w:rPr>
        <w:tab/>
      </w:r>
      <w:r w:rsidR="009B4D3D" w:rsidRPr="009B4D3D">
        <w:rPr>
          <w:lang w:val="en-CA"/>
        </w:rPr>
        <w:t xml:space="preserve">I must make this </w:t>
      </w:r>
      <w:r w:rsidR="000D6E6E">
        <w:rPr>
          <w:lang w:val="en-CA"/>
        </w:rPr>
        <w:t>qualification</w:t>
      </w:r>
      <w:r w:rsidR="009B4D3D" w:rsidRPr="009B4D3D">
        <w:rPr>
          <w:lang w:val="en-CA"/>
        </w:rPr>
        <w:t xml:space="preserve">, </w:t>
      </w:r>
      <w:r w:rsidR="000D6E6E">
        <w:rPr>
          <w:lang w:val="en-CA"/>
        </w:rPr>
        <w:t xml:space="preserve">since </w:t>
      </w:r>
      <w:r w:rsidR="009B4D3D" w:rsidRPr="009B4D3D">
        <w:rPr>
          <w:lang w:val="en-CA"/>
        </w:rPr>
        <w:t xml:space="preserve">the appeal </w:t>
      </w:r>
      <w:r w:rsidR="000D6E6E">
        <w:rPr>
          <w:lang w:val="en-CA"/>
        </w:rPr>
        <w:t xml:space="preserve">record </w:t>
      </w:r>
      <w:r w:rsidR="009B4D3D" w:rsidRPr="009B4D3D">
        <w:rPr>
          <w:lang w:val="en-CA"/>
        </w:rPr>
        <w:t>does not reveal what happens in the longer term.</w:t>
      </w:r>
      <w:r w:rsidRPr="009B4D3D">
        <w:rPr>
          <w:lang w:val="en-CA"/>
        </w:rPr>
        <w:t xml:space="preserve"> </w:t>
      </w:r>
      <w:r w:rsidR="00BB48FB" w:rsidRPr="009B4D3D">
        <w:rPr>
          <w:lang w:val="en-CA"/>
        </w:rPr>
        <w:t>The</w:t>
      </w:r>
      <w:r w:rsidR="009B4D3D" w:rsidRPr="009B4D3D">
        <w:rPr>
          <w:lang w:val="en-CA"/>
        </w:rPr>
        <w:t xml:space="preserve"> evidence </w:t>
      </w:r>
      <w:r w:rsidR="00BB48FB" w:rsidRPr="009B4D3D">
        <w:rPr>
          <w:lang w:val="en-CA"/>
        </w:rPr>
        <w:t>add</w:t>
      </w:r>
      <w:r w:rsidR="00BB48FB">
        <w:rPr>
          <w:lang w:val="en-CA"/>
        </w:rPr>
        <w:t>u</w:t>
      </w:r>
      <w:r w:rsidR="00BB48FB" w:rsidRPr="009B4D3D">
        <w:rPr>
          <w:lang w:val="en-CA"/>
        </w:rPr>
        <w:t>ced</w:t>
      </w:r>
      <w:r w:rsidR="009B4D3D" w:rsidRPr="009B4D3D">
        <w:rPr>
          <w:lang w:val="en-CA"/>
        </w:rPr>
        <w:t xml:space="preserve"> before the </w:t>
      </w:r>
      <w:r w:rsidR="00DC31C3">
        <w:rPr>
          <w:lang w:val="en-CA"/>
        </w:rPr>
        <w:t>ATQ</w:t>
      </w:r>
      <w:r w:rsidR="009B4D3D" w:rsidRPr="009B4D3D">
        <w:rPr>
          <w:lang w:val="en-CA"/>
        </w:rPr>
        <w:t xml:space="preserve"> perhaps made it clear but </w:t>
      </w:r>
      <w:r w:rsidR="000D6E6E">
        <w:rPr>
          <w:lang w:val="en-CA"/>
        </w:rPr>
        <w:t xml:space="preserve">since </w:t>
      </w:r>
      <w:r w:rsidR="009B4D3D" w:rsidRPr="009B4D3D">
        <w:rPr>
          <w:lang w:val="en-CA"/>
        </w:rPr>
        <w:t xml:space="preserve">this evidence was not reproduced in the appeal record, the </w:t>
      </w:r>
      <w:r w:rsidR="00DC31C3">
        <w:rPr>
          <w:lang w:val="en-CA"/>
        </w:rPr>
        <w:t>ATQ</w:t>
      </w:r>
      <w:r w:rsidR="009B4D3D" w:rsidRPr="009B4D3D">
        <w:rPr>
          <w:lang w:val="en-CA"/>
        </w:rPr>
        <w:t xml:space="preserve"> decision does </w:t>
      </w:r>
      <w:r w:rsidR="00911C6E">
        <w:rPr>
          <w:lang w:val="en-CA"/>
        </w:rPr>
        <w:t>not</w:t>
      </w:r>
      <w:r w:rsidR="009B4D3D" w:rsidRPr="009B4D3D">
        <w:rPr>
          <w:lang w:val="en-CA"/>
        </w:rPr>
        <w:t xml:space="preserve"> refer to it, and the parties do not </w:t>
      </w:r>
      <w:r w:rsidR="001F4339" w:rsidRPr="009B4D3D">
        <w:rPr>
          <w:lang w:val="en-CA"/>
        </w:rPr>
        <w:t>mention</w:t>
      </w:r>
      <w:r w:rsidR="009B4D3D" w:rsidRPr="009B4D3D">
        <w:rPr>
          <w:lang w:val="en-CA"/>
        </w:rPr>
        <w:t xml:space="preserve"> it, we know nothing</w:t>
      </w:r>
      <w:r w:rsidR="00F1650A">
        <w:rPr>
          <w:lang w:val="en-CA"/>
        </w:rPr>
        <w:t xml:space="preserve"> of it</w:t>
      </w:r>
      <w:r w:rsidR="009B4D3D" w:rsidRPr="009B4D3D">
        <w:rPr>
          <w:lang w:val="en-CA"/>
        </w:rPr>
        <w:t>.</w:t>
      </w:r>
    </w:p>
  </w:footnote>
  <w:footnote w:id="53">
    <w:p w14:paraId="3007AF1E" w14:textId="3DD1943A" w:rsidR="00196220" w:rsidRPr="00D33625" w:rsidRDefault="006979E7" w:rsidP="00640E7F">
      <w:pPr>
        <w:pStyle w:val="Notedebasdepage"/>
        <w:rPr>
          <w:lang w:val="en-CA"/>
        </w:rPr>
      </w:pPr>
      <w:r w:rsidRPr="00D33625">
        <w:rPr>
          <w:rStyle w:val="Appelnotedebasdep"/>
          <w:lang w:val="en-CA"/>
        </w:rPr>
        <w:footnoteRef/>
      </w:r>
      <w:r w:rsidRPr="00E66EFC">
        <w:t xml:space="preserve"> </w:t>
      </w:r>
      <w:r w:rsidRPr="00E66EFC">
        <w:tab/>
      </w:r>
      <w:r w:rsidRPr="00E66EFC">
        <w:rPr>
          <w:i/>
        </w:rPr>
        <w:t>Commission des droits de la personne du Québec c. Centre hospitalier St-Vincent-de-Paul de Sherbrooke</w:t>
      </w:r>
      <w:r w:rsidR="005C1992" w:rsidRPr="00E66EFC">
        <w:t xml:space="preserve"> </w:t>
      </w:r>
      <w:r w:rsidRPr="00E66EFC">
        <w:t xml:space="preserve">St-François, 450-05-000856-78, 7 </w:t>
      </w:r>
      <w:proofErr w:type="spellStart"/>
      <w:r w:rsidR="005C1992" w:rsidRPr="00E66EFC">
        <w:t>September</w:t>
      </w:r>
      <w:proofErr w:type="spellEnd"/>
      <w:r w:rsidR="005C1992" w:rsidRPr="00E66EFC">
        <w:t xml:space="preserve"> </w:t>
      </w:r>
      <w:r w:rsidRPr="00E66EFC">
        <w:t xml:space="preserve">1979, </w:t>
      </w:r>
      <w:proofErr w:type="spellStart"/>
      <w:r w:rsidRPr="00E66EFC">
        <w:t>Thôt</w:t>
      </w:r>
      <w:proofErr w:type="spellEnd"/>
      <w:r w:rsidR="005C1992" w:rsidRPr="00E66EFC">
        <w:t xml:space="preserve"> J. (Sup. Ct.) at</w:t>
      </w:r>
      <w:r w:rsidRPr="00E66EFC">
        <w:t xml:space="preserve"> 3. </w:t>
      </w:r>
      <w:r w:rsidR="005C1992" w:rsidRPr="00E66EFC">
        <w:t xml:space="preserve">This </w:t>
      </w:r>
      <w:proofErr w:type="spellStart"/>
      <w:r w:rsidR="005C1992" w:rsidRPr="00E66EFC">
        <w:t>definition</w:t>
      </w:r>
      <w:proofErr w:type="spellEnd"/>
      <w:r w:rsidR="005C1992" w:rsidRPr="00E66EFC">
        <w:t xml:space="preserve"> </w:t>
      </w:r>
      <w:proofErr w:type="spellStart"/>
      <w:r w:rsidR="005C1992" w:rsidRPr="00E66EFC">
        <w:t>was</w:t>
      </w:r>
      <w:proofErr w:type="spellEnd"/>
      <w:r w:rsidR="005C1992" w:rsidRPr="00E66EFC">
        <w:t xml:space="preserve"> </w:t>
      </w:r>
      <w:proofErr w:type="spellStart"/>
      <w:r w:rsidR="005C1992" w:rsidRPr="00E66EFC">
        <w:t>repeated</w:t>
      </w:r>
      <w:proofErr w:type="spellEnd"/>
      <w:r w:rsidR="005C1992" w:rsidRPr="00E66EFC">
        <w:t xml:space="preserve"> in</w:t>
      </w:r>
      <w:r w:rsidRPr="00E66EFC">
        <w:t xml:space="preserve"> </w:t>
      </w:r>
      <w:r w:rsidRPr="00E66EFC">
        <w:rPr>
          <w:i/>
        </w:rPr>
        <w:t>Ordre des comptables généraux licenciés du Québec c. Québec (Procureur général)</w:t>
      </w:r>
      <w:r w:rsidRPr="00E66EFC">
        <w:t>, [2004] R.J.Q. 1164 (C.A.)</w:t>
      </w:r>
      <w:r w:rsidR="005C1992" w:rsidRPr="00E66EFC">
        <w:t xml:space="preserve"> at </w:t>
      </w:r>
      <w:r w:rsidRPr="00E66EFC">
        <w:t xml:space="preserve">para. 69; </w:t>
      </w:r>
      <w:r w:rsidRPr="00E66EFC">
        <w:rPr>
          <w:i/>
        </w:rPr>
        <w:t>Lévesque c. Québec (Procureur général)</w:t>
      </w:r>
      <w:r w:rsidRPr="00E66EFC">
        <w:t>, [1988] R.J.Q. 223 (C.A.)</w:t>
      </w:r>
      <w:r w:rsidR="005C1992" w:rsidRPr="00E66EFC">
        <w:t xml:space="preserve"> at </w:t>
      </w:r>
      <w:r w:rsidRPr="00E66EFC">
        <w:t>229 (</w:t>
      </w:r>
      <w:proofErr w:type="spellStart"/>
      <w:r w:rsidR="005C1992" w:rsidRPr="00E66EFC">
        <w:t>reasons</w:t>
      </w:r>
      <w:proofErr w:type="spellEnd"/>
      <w:r w:rsidR="005C1992" w:rsidRPr="00E66EFC">
        <w:t xml:space="preserve"> of </w:t>
      </w:r>
      <w:r w:rsidRPr="00E66EFC">
        <w:t>Bisson</w:t>
      </w:r>
      <w:r w:rsidR="005C1992" w:rsidRPr="00E66EFC">
        <w:t xml:space="preserve"> J.</w:t>
      </w:r>
      <w:r w:rsidRPr="00E66EFC">
        <w:t xml:space="preserve">, </w:t>
      </w:r>
      <w:proofErr w:type="spellStart"/>
      <w:r w:rsidR="005C1992" w:rsidRPr="00E66EFC">
        <w:t>citing</w:t>
      </w:r>
      <w:proofErr w:type="spellEnd"/>
      <w:r w:rsidR="005C1992" w:rsidRPr="00E66EFC">
        <w:t xml:space="preserve"> the </w:t>
      </w:r>
      <w:proofErr w:type="spellStart"/>
      <w:r w:rsidR="005C1992" w:rsidRPr="00E66EFC">
        <w:t>following</w:t>
      </w:r>
      <w:proofErr w:type="spellEnd"/>
      <w:r w:rsidR="005C1992" w:rsidRPr="00E66EFC">
        <w:t xml:space="preserve"> </w:t>
      </w:r>
      <w:proofErr w:type="spellStart"/>
      <w:r w:rsidR="005C1992" w:rsidRPr="00E66EFC">
        <w:t>judgment</w:t>
      </w:r>
      <w:proofErr w:type="spellEnd"/>
      <w:r w:rsidRPr="00E66EFC">
        <w:t>);</w:t>
      </w:r>
      <w:r w:rsidRPr="00E66EFC">
        <w:rPr>
          <w:i/>
        </w:rPr>
        <w:t xml:space="preserve"> Johnson c. Commission des affaires</w:t>
      </w:r>
      <w:r w:rsidRPr="00E66EFC">
        <w:t xml:space="preserve"> sociales, [1984] C.A. 61</w:t>
      </w:r>
      <w:r w:rsidR="005C1992" w:rsidRPr="00E66EFC">
        <w:t xml:space="preserve"> at </w:t>
      </w:r>
      <w:r w:rsidRPr="00E66EFC">
        <w:t xml:space="preserve">69-70. </w:t>
      </w:r>
      <w:r w:rsidR="005C1992" w:rsidRPr="00D33625">
        <w:rPr>
          <w:lang w:val="en-CA"/>
        </w:rPr>
        <w:t>See also</w:t>
      </w:r>
      <w:r w:rsidR="00DF19AA">
        <w:rPr>
          <w:lang w:val="en-CA"/>
        </w:rPr>
        <w:t xml:space="preserve"> generally</w:t>
      </w:r>
      <w:r w:rsidRPr="00D33625">
        <w:rPr>
          <w:lang w:val="en-CA"/>
        </w:rPr>
        <w:t xml:space="preserve">: </w:t>
      </w:r>
      <w:proofErr w:type="spellStart"/>
      <w:r w:rsidRPr="00D33625">
        <w:rPr>
          <w:i/>
          <w:lang w:val="en-CA"/>
        </w:rPr>
        <w:t>Whittom</w:t>
      </w:r>
      <w:proofErr w:type="spellEnd"/>
      <w:r w:rsidRPr="00D33625">
        <w:rPr>
          <w:i/>
          <w:lang w:val="en-CA"/>
        </w:rPr>
        <w:t xml:space="preserve"> c. Commission des droits de la </w:t>
      </w:r>
      <w:proofErr w:type="spellStart"/>
      <w:r w:rsidRPr="00D33625">
        <w:rPr>
          <w:i/>
          <w:lang w:val="en-CA"/>
        </w:rPr>
        <w:t>personne</w:t>
      </w:r>
      <w:proofErr w:type="spellEnd"/>
      <w:r w:rsidRPr="00D33625">
        <w:rPr>
          <w:lang w:val="en-CA"/>
        </w:rPr>
        <w:t>, [1997] R.J.Q. 1823 (C.A.)</w:t>
      </w:r>
      <w:r w:rsidR="005C1992" w:rsidRPr="00D33625">
        <w:rPr>
          <w:lang w:val="en-CA"/>
        </w:rPr>
        <w:t xml:space="preserve"> at </w:t>
      </w:r>
      <w:r w:rsidRPr="00D33625">
        <w:rPr>
          <w:lang w:val="en-CA"/>
        </w:rPr>
        <w:t>1827 (</w:t>
      </w:r>
      <w:r w:rsidR="005C1992" w:rsidRPr="00D33625">
        <w:rPr>
          <w:lang w:val="en-CA"/>
        </w:rPr>
        <w:t>reasons of</w:t>
      </w:r>
      <w:r w:rsidRPr="00D33625">
        <w:rPr>
          <w:lang w:val="en-CA"/>
        </w:rPr>
        <w:t xml:space="preserve"> Brossard </w:t>
      </w:r>
      <w:r w:rsidR="005C1992" w:rsidRPr="00D33625">
        <w:rPr>
          <w:lang w:val="en-CA"/>
        </w:rPr>
        <w:t xml:space="preserve">J.A. and reasons of </w:t>
      </w:r>
      <w:r w:rsidRPr="00D33625">
        <w:rPr>
          <w:lang w:val="en-CA"/>
        </w:rPr>
        <w:t>Fish</w:t>
      </w:r>
      <w:r w:rsidR="005C1992" w:rsidRPr="00D33625">
        <w:rPr>
          <w:lang w:val="en-CA"/>
        </w:rPr>
        <w:t xml:space="preserve"> J.A.</w:t>
      </w:r>
      <w:r w:rsidRPr="00D33625">
        <w:rPr>
          <w:lang w:val="en-CA"/>
        </w:rPr>
        <w:t>).</w:t>
      </w:r>
    </w:p>
  </w:footnote>
  <w:footnote w:id="54">
    <w:p w14:paraId="31D5E239" w14:textId="31B36442" w:rsidR="00196220" w:rsidRDefault="006979E7" w:rsidP="00640E7F">
      <w:pPr>
        <w:pStyle w:val="Notedebasdepage"/>
      </w:pPr>
      <w:r>
        <w:rPr>
          <w:rStyle w:val="Appelnotedebasdep"/>
        </w:rPr>
        <w:footnoteRef/>
      </w:r>
      <w:r>
        <w:t xml:space="preserve"> </w:t>
      </w:r>
      <w:r>
        <w:tab/>
      </w:r>
      <w:r w:rsidRPr="00D05948">
        <w:t xml:space="preserve">Commission des droits de la personne et des droits de la jeunesse, </w:t>
      </w:r>
      <w:r w:rsidRPr="00D05948">
        <w:rPr>
          <w:i/>
        </w:rPr>
        <w:t>Lignes directrices sur la condition sociale</w:t>
      </w:r>
      <w:r w:rsidR="005C1992" w:rsidRPr="00D05948">
        <w:t xml:space="preserve"> (</w:t>
      </w:r>
      <w:r w:rsidRPr="00D05948">
        <w:t xml:space="preserve">31 </w:t>
      </w:r>
      <w:r w:rsidR="005C1992" w:rsidRPr="00D05948">
        <w:t xml:space="preserve">March </w:t>
      </w:r>
      <w:r w:rsidRPr="00D05948">
        <w:t>1994</w:t>
      </w:r>
      <w:r w:rsidR="005C1992" w:rsidRPr="00D05948">
        <w:t xml:space="preserve">) </w:t>
      </w:r>
      <w:r w:rsidRPr="00D05948">
        <w:t>Cat. 2.120.8.4</w:t>
      </w:r>
      <w:r w:rsidR="005C1992" w:rsidRPr="00D05948">
        <w:t xml:space="preserve"> at</w:t>
      </w:r>
      <w:r w:rsidRPr="00D05948">
        <w:t xml:space="preserve"> 4</w:t>
      </w:r>
      <w:r w:rsidR="00DF19AA">
        <w:t>–</w:t>
      </w:r>
      <w:r w:rsidR="005C1992" w:rsidRPr="00D05948">
        <w:t>5 and</w:t>
      </w:r>
      <w:r w:rsidRPr="00D05948">
        <w:t xml:space="preserve"> 6.</w:t>
      </w:r>
    </w:p>
    <w:p w14:paraId="755473C1" w14:textId="5B69CEA0" w:rsidR="00196220" w:rsidRPr="0096001D" w:rsidRDefault="006979E7" w:rsidP="00640E7F">
      <w:pPr>
        <w:pStyle w:val="Notedebasdepage"/>
        <w:rPr>
          <w:lang w:val="en-CA"/>
        </w:rPr>
      </w:pPr>
      <w:r>
        <w:tab/>
      </w:r>
      <w:r w:rsidR="005C1992" w:rsidRPr="0096001D">
        <w:rPr>
          <w:lang w:val="en-CA"/>
        </w:rPr>
        <w:t xml:space="preserve">It is worth mentioning in passing that, like the </w:t>
      </w:r>
      <w:r w:rsidR="005C1992" w:rsidRPr="00286047">
        <w:rPr>
          <w:i/>
          <w:iCs/>
          <w:lang w:val="en-CA"/>
        </w:rPr>
        <w:t>Quebec</w:t>
      </w:r>
      <w:r w:rsidR="005C1992" w:rsidRPr="0096001D">
        <w:rPr>
          <w:lang w:val="en-CA"/>
        </w:rPr>
        <w:t xml:space="preserve"> </w:t>
      </w:r>
      <w:r w:rsidR="005C1992" w:rsidRPr="00286047">
        <w:rPr>
          <w:i/>
          <w:iCs/>
          <w:lang w:val="en-CA"/>
        </w:rPr>
        <w:t>Charter</w:t>
      </w:r>
      <w:r w:rsidR="005C1992" w:rsidRPr="0096001D">
        <w:rPr>
          <w:lang w:val="en-CA"/>
        </w:rPr>
        <w:t xml:space="preserve">, the </w:t>
      </w:r>
      <w:r w:rsidR="0096001D" w:rsidRPr="0096001D">
        <w:rPr>
          <w:lang w:val="en-CA"/>
        </w:rPr>
        <w:t xml:space="preserve">New Brunswick </w:t>
      </w:r>
      <w:r w:rsidR="0096001D" w:rsidRPr="00286047">
        <w:rPr>
          <w:i/>
          <w:iCs/>
          <w:lang w:val="en-CA"/>
        </w:rPr>
        <w:t>Human Rights Act</w:t>
      </w:r>
      <w:r w:rsidR="00286047">
        <w:rPr>
          <w:lang w:val="en-CA"/>
        </w:rPr>
        <w:t>,</w:t>
      </w:r>
      <w:r w:rsidR="0096001D" w:rsidRPr="0096001D">
        <w:rPr>
          <w:lang w:val="en-CA"/>
        </w:rPr>
        <w:t xml:space="preserve"> RSNB 2011, c 171</w:t>
      </w:r>
      <w:r w:rsidRPr="00D05948">
        <w:rPr>
          <w:lang w:val="en-CA"/>
        </w:rPr>
        <w:t>,</w:t>
      </w:r>
      <w:r w:rsidR="0096001D" w:rsidRPr="00D05948">
        <w:rPr>
          <w:lang w:val="en-CA"/>
        </w:rPr>
        <w:t xml:space="preserve"> s</w:t>
      </w:r>
      <w:r w:rsidRPr="00D05948">
        <w:rPr>
          <w:lang w:val="en-CA"/>
        </w:rPr>
        <w:t>.</w:t>
      </w:r>
      <w:r w:rsidRPr="0096001D">
        <w:rPr>
          <w:lang w:val="en-CA"/>
        </w:rPr>
        <w:t xml:space="preserve"> 2</w:t>
      </w:r>
      <w:r w:rsidR="0096001D" w:rsidRPr="0096001D">
        <w:rPr>
          <w:lang w:val="en-CA"/>
        </w:rPr>
        <w:t>(</w:t>
      </w:r>
      <w:r w:rsidRPr="0096001D">
        <w:rPr>
          <w:lang w:val="en-CA"/>
        </w:rPr>
        <w:t xml:space="preserve">o), </w:t>
      </w:r>
      <w:r w:rsidR="0096001D" w:rsidRPr="0096001D">
        <w:rPr>
          <w:lang w:val="en-CA"/>
        </w:rPr>
        <w:t xml:space="preserve">also refers to </w:t>
      </w:r>
      <w:r w:rsidR="0096001D">
        <w:rPr>
          <w:lang w:val="en-CA"/>
        </w:rPr>
        <w:t>“</w:t>
      </w:r>
      <w:r w:rsidRPr="00D05948">
        <w:rPr>
          <w:iCs/>
          <w:lang w:val="en-CA"/>
        </w:rPr>
        <w:t>social condition</w:t>
      </w:r>
      <w:r w:rsidRPr="0096001D">
        <w:rPr>
          <w:lang w:val="en-CA"/>
        </w:rPr>
        <w:t xml:space="preserve"> / </w:t>
      </w:r>
      <w:r w:rsidRPr="00D05948">
        <w:rPr>
          <w:i/>
          <w:iCs/>
          <w:lang w:val="en-CA"/>
        </w:rPr>
        <w:t xml:space="preserve">condition </w:t>
      </w:r>
      <w:proofErr w:type="spellStart"/>
      <w:r w:rsidRPr="00D05948">
        <w:rPr>
          <w:i/>
          <w:iCs/>
          <w:lang w:val="en-CA"/>
        </w:rPr>
        <w:t>sociale</w:t>
      </w:r>
      <w:proofErr w:type="spellEnd"/>
      <w:r w:rsidR="0096001D">
        <w:rPr>
          <w:lang w:val="en-CA"/>
        </w:rPr>
        <w:t xml:space="preserve">” as a prohibited ground of </w:t>
      </w:r>
      <w:r w:rsidR="00286047">
        <w:rPr>
          <w:lang w:val="en-CA"/>
        </w:rPr>
        <w:t>discrimination</w:t>
      </w:r>
      <w:r w:rsidR="0096001D">
        <w:rPr>
          <w:lang w:val="en-CA"/>
        </w:rPr>
        <w:t xml:space="preserve"> and defines it in </w:t>
      </w:r>
      <w:r w:rsidR="001F1E84">
        <w:rPr>
          <w:lang w:val="en-CA"/>
        </w:rPr>
        <w:t>s.</w:t>
      </w:r>
      <w:r w:rsidR="0096001D">
        <w:rPr>
          <w:lang w:val="en-CA"/>
        </w:rPr>
        <w:t xml:space="preserve"> 1 as follows</w:t>
      </w:r>
      <w:r w:rsidRPr="00D05948">
        <w:rPr>
          <w:lang w:val="en-CA"/>
        </w:rPr>
        <w: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7044F8" w14:paraId="262DB6E1" w14:textId="77777777" w:rsidTr="00DA191C">
        <w:tc>
          <w:tcPr>
            <w:tcW w:w="4176" w:type="dxa"/>
          </w:tcPr>
          <w:p w14:paraId="43E9A527" w14:textId="77777777" w:rsidR="00196220" w:rsidRPr="00D236A8" w:rsidRDefault="006979E7" w:rsidP="00DA191C">
            <w:pPr>
              <w:pStyle w:val="Notedebasdepage"/>
              <w:ind w:left="0" w:firstLine="0"/>
              <w:rPr>
                <w:sz w:val="18"/>
                <w:szCs w:val="18"/>
                <w:lang w:val="en-CA"/>
              </w:rPr>
            </w:pPr>
            <w:r w:rsidRPr="00D236A8">
              <w:rPr>
                <w:b/>
                <w:sz w:val="18"/>
                <w:szCs w:val="18"/>
                <w:lang w:val="en-CA"/>
              </w:rPr>
              <w:t>1.</w:t>
            </w:r>
            <w:r w:rsidRPr="00D236A8">
              <w:rPr>
                <w:sz w:val="18"/>
                <w:szCs w:val="18"/>
                <w:lang w:val="en-CA"/>
              </w:rPr>
              <w:t>   </w:t>
            </w:r>
            <w:r w:rsidRPr="00D05948">
              <w:rPr>
                <w:sz w:val="18"/>
                <w:szCs w:val="18"/>
                <w:lang w:val="en-CA"/>
              </w:rPr>
              <w:t>The following definitions apply in this Act.</w:t>
            </w:r>
            <w:r w:rsidRPr="00D236A8">
              <w:rPr>
                <w:sz w:val="18"/>
                <w:szCs w:val="18"/>
                <w:lang w:val="en-CA"/>
              </w:rPr>
              <w:t> :</w:t>
            </w:r>
          </w:p>
        </w:tc>
        <w:tc>
          <w:tcPr>
            <w:tcW w:w="4176" w:type="dxa"/>
          </w:tcPr>
          <w:p w14:paraId="7571B4B0" w14:textId="77777777" w:rsidR="00196220" w:rsidRPr="00F71323" w:rsidRDefault="006979E7" w:rsidP="00DA191C">
            <w:pPr>
              <w:pStyle w:val="Notedebasdepage"/>
              <w:ind w:left="0" w:firstLine="0"/>
              <w:rPr>
                <w:sz w:val="18"/>
                <w:szCs w:val="18"/>
              </w:rPr>
            </w:pPr>
            <w:r w:rsidRPr="00D236A8">
              <w:rPr>
                <w:b/>
                <w:sz w:val="18"/>
                <w:szCs w:val="18"/>
              </w:rPr>
              <w:t>1.</w:t>
            </w:r>
            <w:r w:rsidRPr="00F71323">
              <w:rPr>
                <w:sz w:val="18"/>
                <w:szCs w:val="18"/>
              </w:rPr>
              <w:t>  </w:t>
            </w:r>
            <w:r w:rsidRPr="00D05948">
              <w:rPr>
                <w:sz w:val="18"/>
                <w:szCs w:val="18"/>
              </w:rPr>
              <w:t>Les définitions qui suivent s’appliquent à la présente loi.</w:t>
            </w:r>
          </w:p>
        </w:tc>
      </w:tr>
      <w:tr w:rsidR="007044F8" w14:paraId="44C39032" w14:textId="77777777" w:rsidTr="00DA191C">
        <w:tc>
          <w:tcPr>
            <w:tcW w:w="4176" w:type="dxa"/>
          </w:tcPr>
          <w:p w14:paraId="42CDA1CA" w14:textId="009A5624" w:rsidR="00196220" w:rsidRPr="00F71323" w:rsidRDefault="006979E7" w:rsidP="00DA191C">
            <w:pPr>
              <w:pStyle w:val="Notedebasdepage"/>
              <w:ind w:left="0" w:firstLine="0"/>
              <w:rPr>
                <w:sz w:val="18"/>
                <w:szCs w:val="18"/>
                <w:lang w:val="en-CA"/>
              </w:rPr>
            </w:pPr>
            <w:r w:rsidRPr="00F71323">
              <w:rPr>
                <w:sz w:val="18"/>
                <w:szCs w:val="18"/>
                <w:lang w:val="en-CA"/>
              </w:rPr>
              <w:t>…</w:t>
            </w:r>
          </w:p>
        </w:tc>
        <w:tc>
          <w:tcPr>
            <w:tcW w:w="4176" w:type="dxa"/>
          </w:tcPr>
          <w:p w14:paraId="65C4AA3B" w14:textId="77777777" w:rsidR="00196220" w:rsidRPr="00F71323" w:rsidRDefault="006979E7" w:rsidP="00DA191C">
            <w:pPr>
              <w:pStyle w:val="Notedebasdepage"/>
              <w:ind w:left="0" w:firstLine="0"/>
              <w:rPr>
                <w:sz w:val="18"/>
                <w:szCs w:val="18"/>
                <w:lang w:val="en-CA"/>
              </w:rPr>
            </w:pPr>
            <w:r>
              <w:rPr>
                <w:sz w:val="18"/>
                <w:szCs w:val="18"/>
                <w:lang w:val="en-CA"/>
              </w:rPr>
              <w:t>[…]</w:t>
            </w:r>
          </w:p>
        </w:tc>
      </w:tr>
      <w:tr w:rsidR="007044F8" w14:paraId="23D01A3D" w14:textId="77777777" w:rsidTr="00DA191C">
        <w:tc>
          <w:tcPr>
            <w:tcW w:w="4176" w:type="dxa"/>
          </w:tcPr>
          <w:p w14:paraId="1D7FA42F" w14:textId="77777777" w:rsidR="00196220" w:rsidRPr="00C366B5" w:rsidRDefault="006979E7" w:rsidP="00DA191C">
            <w:pPr>
              <w:pStyle w:val="Notedebasdepage"/>
              <w:spacing w:after="60"/>
              <w:ind w:left="0" w:firstLine="0"/>
              <w:rPr>
                <w:sz w:val="18"/>
                <w:szCs w:val="18"/>
                <w:lang w:val="en-CA"/>
              </w:rPr>
            </w:pPr>
            <w:r w:rsidRPr="00D05948">
              <w:rPr>
                <w:sz w:val="18"/>
                <w:szCs w:val="18"/>
                <w:lang w:val="en-CA"/>
              </w:rPr>
              <w:t>“</w:t>
            </w:r>
            <w:proofErr w:type="gramStart"/>
            <w:r w:rsidRPr="00D05948">
              <w:rPr>
                <w:sz w:val="18"/>
                <w:szCs w:val="18"/>
                <w:lang w:val="en-CA"/>
              </w:rPr>
              <w:t>social</w:t>
            </w:r>
            <w:proofErr w:type="gramEnd"/>
            <w:r w:rsidRPr="00D05948">
              <w:rPr>
                <w:sz w:val="18"/>
                <w:szCs w:val="18"/>
                <w:lang w:val="en-CA"/>
              </w:rPr>
              <w:t xml:space="preserve"> condition”, in respect of an individual, means the condition of inclusion of the individual in a socially identifiable group that suffers from social or economic disadvantage on the basis of his or her source of income, occupation or level of education.</w:t>
            </w:r>
            <w:r w:rsidRPr="00D236A8">
              <w:rPr>
                <w:sz w:val="18"/>
                <w:szCs w:val="18"/>
                <w:lang w:val="en-CA"/>
              </w:rPr>
              <w:t xml:space="preserve"> </w:t>
            </w:r>
            <w:r w:rsidRPr="00D05948">
              <w:rPr>
                <w:i/>
                <w:sz w:val="18"/>
                <w:szCs w:val="18"/>
                <w:lang w:val="en-CA"/>
              </w:rPr>
              <w:t>(</w:t>
            </w:r>
            <w:proofErr w:type="gramStart"/>
            <w:r w:rsidRPr="00D05948">
              <w:rPr>
                <w:i/>
                <w:sz w:val="18"/>
                <w:szCs w:val="18"/>
                <w:lang w:val="en-CA"/>
              </w:rPr>
              <w:t>condition</w:t>
            </w:r>
            <w:proofErr w:type="gramEnd"/>
            <w:r w:rsidRPr="00D05948">
              <w:rPr>
                <w:i/>
                <w:sz w:val="18"/>
                <w:szCs w:val="18"/>
                <w:lang w:val="en-CA"/>
              </w:rPr>
              <w:t xml:space="preserve"> </w:t>
            </w:r>
            <w:proofErr w:type="spellStart"/>
            <w:r w:rsidRPr="00D05948">
              <w:rPr>
                <w:i/>
                <w:sz w:val="18"/>
                <w:szCs w:val="18"/>
                <w:lang w:val="en-CA"/>
              </w:rPr>
              <w:t>sociale</w:t>
            </w:r>
            <w:proofErr w:type="spellEnd"/>
            <w:r w:rsidRPr="00D05948">
              <w:rPr>
                <w:i/>
                <w:sz w:val="18"/>
                <w:szCs w:val="18"/>
                <w:lang w:val="en-CA"/>
              </w:rPr>
              <w:t>)</w:t>
            </w:r>
          </w:p>
        </w:tc>
        <w:tc>
          <w:tcPr>
            <w:tcW w:w="4176" w:type="dxa"/>
          </w:tcPr>
          <w:p w14:paraId="44CA66A1" w14:textId="77777777" w:rsidR="00196220" w:rsidRPr="00F71323" w:rsidRDefault="006979E7" w:rsidP="00DA191C">
            <w:pPr>
              <w:pStyle w:val="Notedebasdepage"/>
              <w:ind w:left="0" w:firstLine="0"/>
              <w:rPr>
                <w:sz w:val="18"/>
                <w:szCs w:val="18"/>
              </w:rPr>
            </w:pPr>
            <w:r w:rsidRPr="00D05948">
              <w:rPr>
                <w:sz w:val="18"/>
                <w:szCs w:val="18"/>
              </w:rPr>
              <w:t>« </w:t>
            </w:r>
            <w:proofErr w:type="gramStart"/>
            <w:r w:rsidRPr="00D05948">
              <w:rPr>
                <w:sz w:val="18"/>
                <w:szCs w:val="18"/>
              </w:rPr>
              <w:t>condition</w:t>
            </w:r>
            <w:proofErr w:type="gramEnd"/>
            <w:r w:rsidRPr="00D05948">
              <w:rPr>
                <w:sz w:val="18"/>
                <w:szCs w:val="18"/>
              </w:rPr>
              <w:t xml:space="preserve"> sociale » La condition d’un individu résultant de son inclusion au sein d’un groupe social identifiable et socialement ou économiquement défavorisé fondée sur sa source de revenu, sa profession ou son niveau d’instruction.</w:t>
            </w:r>
            <w:r w:rsidRPr="00FF1B10">
              <w:rPr>
                <w:sz w:val="18"/>
                <w:szCs w:val="18"/>
              </w:rPr>
              <w:t xml:space="preserve"> </w:t>
            </w:r>
            <w:r w:rsidRPr="00D05948">
              <w:rPr>
                <w:i/>
                <w:sz w:val="18"/>
                <w:szCs w:val="18"/>
              </w:rPr>
              <w:t>(</w:t>
            </w:r>
            <w:proofErr w:type="gramStart"/>
            <w:r w:rsidRPr="00D05948">
              <w:rPr>
                <w:i/>
                <w:sz w:val="18"/>
                <w:szCs w:val="18"/>
              </w:rPr>
              <w:t>social</w:t>
            </w:r>
            <w:proofErr w:type="gramEnd"/>
            <w:r w:rsidRPr="00D05948">
              <w:rPr>
                <w:i/>
                <w:sz w:val="18"/>
                <w:szCs w:val="18"/>
              </w:rPr>
              <w:t xml:space="preserve"> condition)</w:t>
            </w:r>
          </w:p>
        </w:tc>
      </w:tr>
    </w:tbl>
    <w:p w14:paraId="61F83EA6" w14:textId="17D7B24C" w:rsidR="00A37DE5" w:rsidRPr="00A37DE5" w:rsidRDefault="006979E7" w:rsidP="00640E7F">
      <w:pPr>
        <w:pStyle w:val="Notedebasdepage"/>
        <w:rPr>
          <w:lang w:val="en-CA"/>
        </w:rPr>
      </w:pPr>
      <w:r w:rsidRPr="00B07F5D">
        <w:rPr>
          <w:lang w:val="en-CA"/>
        </w:rPr>
        <w:tab/>
      </w:r>
      <w:r w:rsidR="0096001D" w:rsidRPr="0096001D">
        <w:rPr>
          <w:lang w:val="en-CA"/>
        </w:rPr>
        <w:t xml:space="preserve">As we will see, this definition is conceptually </w:t>
      </w:r>
      <w:proofErr w:type="gramStart"/>
      <w:r w:rsidR="0096001D" w:rsidRPr="0096001D">
        <w:rPr>
          <w:lang w:val="en-CA"/>
        </w:rPr>
        <w:t>similar to</w:t>
      </w:r>
      <w:proofErr w:type="gramEnd"/>
      <w:r w:rsidR="0096001D" w:rsidRPr="0096001D">
        <w:rPr>
          <w:lang w:val="en-CA"/>
        </w:rPr>
        <w:t xml:space="preserve"> the one that has been accepted in Quebec case law and by the </w:t>
      </w:r>
      <w:r w:rsidRPr="00D05948">
        <w:rPr>
          <w:lang w:val="en-CA"/>
        </w:rPr>
        <w:t xml:space="preserve">Commission des droits de la </w:t>
      </w:r>
      <w:proofErr w:type="spellStart"/>
      <w:r w:rsidRPr="00D05948">
        <w:rPr>
          <w:lang w:val="en-CA"/>
        </w:rPr>
        <w:t>personne</w:t>
      </w:r>
      <w:proofErr w:type="spellEnd"/>
      <w:r w:rsidRPr="0096001D">
        <w:rPr>
          <w:lang w:val="en-CA"/>
        </w:rPr>
        <w:t xml:space="preserve"> et des </w:t>
      </w:r>
      <w:r w:rsidRPr="00D05948">
        <w:rPr>
          <w:lang w:val="en-CA"/>
        </w:rPr>
        <w:t>droits de la jeunesse</w:t>
      </w:r>
      <w:r w:rsidRPr="0096001D">
        <w:rPr>
          <w:lang w:val="en-CA"/>
        </w:rPr>
        <w:t xml:space="preserve">. </w:t>
      </w:r>
      <w:r w:rsidR="0096001D" w:rsidRPr="00D05948">
        <w:rPr>
          <w:lang w:val="en-CA"/>
        </w:rPr>
        <w:t xml:space="preserve">We note that </w:t>
      </w:r>
      <w:r w:rsidR="001F1E84">
        <w:rPr>
          <w:lang w:val="en-CA"/>
        </w:rPr>
        <w:t>s.</w:t>
      </w:r>
      <w:r w:rsidR="0096001D" w:rsidRPr="00D05948">
        <w:rPr>
          <w:lang w:val="en-CA"/>
        </w:rPr>
        <w:t xml:space="preserve"> 9 of </w:t>
      </w:r>
      <w:r w:rsidR="00A37DE5" w:rsidRPr="00D05948">
        <w:rPr>
          <w:lang w:val="en-CA"/>
        </w:rPr>
        <w:t>the</w:t>
      </w:r>
      <w:r w:rsidR="0096001D" w:rsidRPr="00D05948">
        <w:rPr>
          <w:lang w:val="en-CA"/>
        </w:rPr>
        <w:t xml:space="preserve"> New Brunswick statute</w:t>
      </w:r>
      <w:r w:rsidR="0096001D" w:rsidRPr="00A37DE5">
        <w:rPr>
          <w:lang w:val="en-CA"/>
        </w:rPr>
        <w:t xml:space="preserve"> provides that </w:t>
      </w:r>
      <w:r w:rsidR="00A37DE5">
        <w:rPr>
          <w:lang w:val="en-CA"/>
        </w:rPr>
        <w:t>“[d]</w:t>
      </w:r>
      <w:proofErr w:type="spellStart"/>
      <w:r w:rsidR="00A37DE5" w:rsidRPr="00A37DE5">
        <w:rPr>
          <w:rFonts w:cs="Arial"/>
          <w:color w:val="000000"/>
          <w:lang w:val="en-CA"/>
        </w:rPr>
        <w:t>espite</w:t>
      </w:r>
      <w:proofErr w:type="spellEnd"/>
      <w:r w:rsidR="00A37DE5" w:rsidRPr="00A37DE5">
        <w:rPr>
          <w:rFonts w:cs="Arial"/>
          <w:color w:val="000000"/>
          <w:lang w:val="en-CA"/>
        </w:rPr>
        <w:t xml:space="preserve"> any provision of this Act, a limitation, specification, exclusion, denial or preference on the basis of social condition shall be permitted if it is required or authorized by an Act of the Legislature</w:t>
      </w:r>
      <w:r w:rsidR="00A37DE5">
        <w:rPr>
          <w:rFonts w:cs="Arial"/>
          <w:color w:val="000000"/>
          <w:lang w:val="en-CA"/>
        </w:rPr>
        <w:t>”.</w:t>
      </w:r>
    </w:p>
    <w:p w14:paraId="018B5148" w14:textId="026C7812" w:rsidR="00196220" w:rsidRPr="004C2894" w:rsidRDefault="004C2894" w:rsidP="00640E7F">
      <w:pPr>
        <w:pStyle w:val="Notedebasdepage"/>
        <w:rPr>
          <w:lang w:val="en-CA"/>
        </w:rPr>
      </w:pPr>
      <w:r w:rsidRPr="00B07F5D">
        <w:rPr>
          <w:lang w:val="en-CA"/>
        </w:rPr>
        <w:tab/>
      </w:r>
      <w:r w:rsidRPr="004C2894">
        <w:rPr>
          <w:lang w:val="en-CA"/>
        </w:rPr>
        <w:t xml:space="preserve">The </w:t>
      </w:r>
      <w:r w:rsidRPr="00286047">
        <w:rPr>
          <w:i/>
          <w:iCs/>
          <w:lang w:val="en-CA"/>
        </w:rPr>
        <w:t>Human Rights Act</w:t>
      </w:r>
      <w:r w:rsidRPr="004C2894">
        <w:rPr>
          <w:lang w:val="en-CA"/>
        </w:rPr>
        <w:t xml:space="preserve"> o</w:t>
      </w:r>
      <w:r>
        <w:rPr>
          <w:lang w:val="en-CA"/>
        </w:rPr>
        <w:t xml:space="preserve">f the Northwest Territories, SNWT 2002, c 18, </w:t>
      </w:r>
      <w:r w:rsidR="001F1E84">
        <w:rPr>
          <w:lang w:val="en-CA"/>
        </w:rPr>
        <w:t>s.</w:t>
      </w:r>
      <w:r>
        <w:rPr>
          <w:lang w:val="en-CA"/>
        </w:rPr>
        <w:t xml:space="preserve"> 5, also refers to “social condition” as a prohibited ground of </w:t>
      </w:r>
      <w:r w:rsidR="00286047">
        <w:rPr>
          <w:lang w:val="en-CA"/>
        </w:rPr>
        <w:t>discrimination</w:t>
      </w:r>
      <w:r>
        <w:rPr>
          <w:lang w:val="en-CA"/>
        </w:rPr>
        <w:t xml:space="preserve"> and offers the following definition which is also quite </w:t>
      </w:r>
      <w:proofErr w:type="gramStart"/>
      <w:r>
        <w:rPr>
          <w:lang w:val="en-CA"/>
        </w:rPr>
        <w:t>similar to</w:t>
      </w:r>
      <w:proofErr w:type="gramEnd"/>
      <w:r>
        <w:rPr>
          <w:lang w:val="en-CA"/>
        </w:rPr>
        <w:t xml:space="preserve"> the one accepted by Quebec courts and tribunals: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7044F8" w14:paraId="61599DB2" w14:textId="77777777" w:rsidTr="00DA191C">
        <w:tc>
          <w:tcPr>
            <w:tcW w:w="4176" w:type="dxa"/>
          </w:tcPr>
          <w:p w14:paraId="7139E5B3" w14:textId="0528C996" w:rsidR="00196220" w:rsidRPr="00D236A8" w:rsidRDefault="006979E7" w:rsidP="00DA191C">
            <w:pPr>
              <w:pStyle w:val="Notedebasdepage"/>
              <w:ind w:left="0" w:firstLine="0"/>
              <w:rPr>
                <w:sz w:val="18"/>
                <w:szCs w:val="18"/>
                <w:lang w:val="en-CA"/>
              </w:rPr>
            </w:pPr>
            <w:r>
              <w:rPr>
                <w:b/>
                <w:sz w:val="18"/>
                <w:szCs w:val="18"/>
                <w:lang w:val="en-CA"/>
              </w:rPr>
              <w:t>1. </w:t>
            </w:r>
            <w:r w:rsidRPr="00D05948">
              <w:rPr>
                <w:sz w:val="18"/>
                <w:szCs w:val="18"/>
                <w:lang w:val="en-CA"/>
              </w:rPr>
              <w:t>(1</w:t>
            </w:r>
            <w:proofErr w:type="gramStart"/>
            <w:r w:rsidRPr="00D05948">
              <w:rPr>
                <w:sz w:val="18"/>
                <w:szCs w:val="18"/>
                <w:lang w:val="en-CA"/>
              </w:rPr>
              <w:t>)  In</w:t>
            </w:r>
            <w:proofErr w:type="gramEnd"/>
            <w:r w:rsidRPr="00D05948">
              <w:rPr>
                <w:sz w:val="18"/>
                <w:szCs w:val="18"/>
                <w:lang w:val="en-CA"/>
              </w:rPr>
              <w:t xml:space="preserve"> this Act.</w:t>
            </w:r>
            <w:r w:rsidRPr="00D236A8">
              <w:rPr>
                <w:sz w:val="18"/>
                <w:szCs w:val="18"/>
                <w:lang w:val="en-CA"/>
              </w:rPr>
              <w:t> :</w:t>
            </w:r>
          </w:p>
        </w:tc>
        <w:tc>
          <w:tcPr>
            <w:tcW w:w="4176" w:type="dxa"/>
          </w:tcPr>
          <w:p w14:paraId="552E03EE" w14:textId="77777777" w:rsidR="00196220" w:rsidRPr="00F71323" w:rsidRDefault="006979E7" w:rsidP="00DA191C">
            <w:pPr>
              <w:pStyle w:val="Notedebasdepage"/>
              <w:ind w:left="0" w:firstLine="0"/>
              <w:rPr>
                <w:sz w:val="18"/>
                <w:szCs w:val="18"/>
              </w:rPr>
            </w:pPr>
            <w:r>
              <w:rPr>
                <w:b/>
                <w:sz w:val="18"/>
                <w:szCs w:val="18"/>
              </w:rPr>
              <w:t>1. </w:t>
            </w:r>
            <w:r w:rsidRPr="00D05948">
              <w:rPr>
                <w:sz w:val="18"/>
                <w:szCs w:val="18"/>
              </w:rPr>
              <w:t>(1</w:t>
            </w:r>
            <w:proofErr w:type="gramStart"/>
            <w:r w:rsidRPr="00D05948">
              <w:rPr>
                <w:sz w:val="18"/>
                <w:szCs w:val="18"/>
              </w:rPr>
              <w:t>)  Les</w:t>
            </w:r>
            <w:proofErr w:type="gramEnd"/>
            <w:r w:rsidRPr="00D05948">
              <w:rPr>
                <w:sz w:val="18"/>
                <w:szCs w:val="18"/>
              </w:rPr>
              <w:t xml:space="preserve"> définitions qui suivent s’appliquent à la présente loi.</w:t>
            </w:r>
          </w:p>
        </w:tc>
      </w:tr>
      <w:tr w:rsidR="007044F8" w14:paraId="44427298" w14:textId="77777777" w:rsidTr="00DA191C">
        <w:tc>
          <w:tcPr>
            <w:tcW w:w="4176" w:type="dxa"/>
          </w:tcPr>
          <w:p w14:paraId="4603A682" w14:textId="34B3F9FA" w:rsidR="00196220" w:rsidRPr="00F71323" w:rsidRDefault="006979E7" w:rsidP="00DA191C">
            <w:pPr>
              <w:pStyle w:val="Notedebasdepage"/>
              <w:ind w:left="0" w:firstLine="0"/>
              <w:rPr>
                <w:sz w:val="18"/>
                <w:szCs w:val="18"/>
                <w:lang w:val="en-CA"/>
              </w:rPr>
            </w:pPr>
            <w:r w:rsidRPr="00F71323">
              <w:rPr>
                <w:sz w:val="18"/>
                <w:szCs w:val="18"/>
                <w:lang w:val="en-CA"/>
              </w:rPr>
              <w:t>…</w:t>
            </w:r>
          </w:p>
        </w:tc>
        <w:tc>
          <w:tcPr>
            <w:tcW w:w="4176" w:type="dxa"/>
          </w:tcPr>
          <w:p w14:paraId="151791D6" w14:textId="77777777" w:rsidR="00196220" w:rsidRPr="00F71323" w:rsidRDefault="006979E7" w:rsidP="00DA191C">
            <w:pPr>
              <w:pStyle w:val="Notedebasdepage"/>
              <w:ind w:left="0" w:firstLine="0"/>
              <w:rPr>
                <w:sz w:val="18"/>
                <w:szCs w:val="18"/>
                <w:lang w:val="en-CA"/>
              </w:rPr>
            </w:pPr>
            <w:r>
              <w:rPr>
                <w:sz w:val="18"/>
                <w:szCs w:val="18"/>
                <w:lang w:val="en-CA"/>
              </w:rPr>
              <w:t>[…]</w:t>
            </w:r>
          </w:p>
        </w:tc>
      </w:tr>
      <w:tr w:rsidR="007044F8" w14:paraId="695AC7B5" w14:textId="77777777" w:rsidTr="00DA191C">
        <w:tc>
          <w:tcPr>
            <w:tcW w:w="4176" w:type="dxa"/>
          </w:tcPr>
          <w:p w14:paraId="4432FF5E" w14:textId="77777777" w:rsidR="00196220" w:rsidRPr="00D05948" w:rsidRDefault="006979E7" w:rsidP="00DA191C">
            <w:pPr>
              <w:pStyle w:val="Notedebasdepage"/>
              <w:ind w:left="0" w:firstLine="0"/>
              <w:rPr>
                <w:sz w:val="18"/>
                <w:szCs w:val="18"/>
                <w:lang w:val="en-CA"/>
              </w:rPr>
            </w:pPr>
            <w:r w:rsidRPr="00D05948">
              <w:rPr>
                <w:sz w:val="18"/>
                <w:szCs w:val="18"/>
                <w:lang w:val="en-CA"/>
              </w:rPr>
              <w:t>"</w:t>
            </w:r>
            <w:proofErr w:type="gramStart"/>
            <w:r w:rsidRPr="00D05948">
              <w:rPr>
                <w:sz w:val="18"/>
                <w:szCs w:val="18"/>
                <w:lang w:val="en-CA"/>
              </w:rPr>
              <w:t>social</w:t>
            </w:r>
            <w:proofErr w:type="gramEnd"/>
            <w:r w:rsidRPr="00D05948">
              <w:rPr>
                <w:sz w:val="18"/>
                <w:szCs w:val="18"/>
                <w:lang w:val="en-CA"/>
              </w:rPr>
              <w:t xml:space="preserve"> condition", in respect of an individual, means the condition of inclusion of the individual, other than on a temporary basis, in a socially identifiable group that suffers from social or economic disadvantage resulting from poverty, source of income, illiteracy, level of education or any other similar circumstance; </w:t>
            </w:r>
            <w:r w:rsidRPr="00D05948">
              <w:rPr>
                <w:i/>
                <w:sz w:val="18"/>
                <w:szCs w:val="18"/>
                <w:lang w:val="en-CA"/>
              </w:rPr>
              <w:t xml:space="preserve">(condition </w:t>
            </w:r>
            <w:proofErr w:type="spellStart"/>
            <w:r w:rsidRPr="00D05948">
              <w:rPr>
                <w:i/>
                <w:sz w:val="18"/>
                <w:szCs w:val="18"/>
                <w:lang w:val="en-CA"/>
              </w:rPr>
              <w:t>sociale</w:t>
            </w:r>
            <w:proofErr w:type="spellEnd"/>
            <w:r w:rsidRPr="00D05948">
              <w:rPr>
                <w:i/>
                <w:sz w:val="18"/>
                <w:szCs w:val="18"/>
                <w:lang w:val="en-CA"/>
              </w:rPr>
              <w:t>)</w:t>
            </w:r>
          </w:p>
        </w:tc>
        <w:tc>
          <w:tcPr>
            <w:tcW w:w="4176" w:type="dxa"/>
          </w:tcPr>
          <w:p w14:paraId="737BA44B" w14:textId="77777777" w:rsidR="00196220" w:rsidRPr="00F71323" w:rsidRDefault="006979E7" w:rsidP="00DA191C">
            <w:pPr>
              <w:pStyle w:val="Notedebasdepage"/>
              <w:ind w:left="0" w:firstLine="0"/>
              <w:rPr>
                <w:sz w:val="18"/>
                <w:szCs w:val="18"/>
              </w:rPr>
            </w:pPr>
            <w:r w:rsidRPr="00D05948">
              <w:rPr>
                <w:sz w:val="18"/>
                <w:szCs w:val="18"/>
              </w:rPr>
              <w:t>« </w:t>
            </w:r>
            <w:proofErr w:type="gramStart"/>
            <w:r w:rsidRPr="00D05948">
              <w:rPr>
                <w:sz w:val="18"/>
                <w:szCs w:val="18"/>
              </w:rPr>
              <w:t>condition</w:t>
            </w:r>
            <w:proofErr w:type="gramEnd"/>
            <w:r w:rsidRPr="00D05948">
              <w:rPr>
                <w:sz w:val="18"/>
                <w:szCs w:val="18"/>
              </w:rPr>
              <w:t xml:space="preserve"> sociale » Condition d’un individu résultant de son inclusion, autrement que de façon temporaire, au sein d’un groupe social identifiable et socialement ou économiquement défavorisé pour des causes liées à la pauvreté, à la source de revenu, à l’analphabétisme, au niveau d’instruction ou à d’autres circonstances similaires.</w:t>
            </w:r>
            <w:r>
              <w:rPr>
                <w:sz w:val="18"/>
                <w:szCs w:val="18"/>
              </w:rPr>
              <w:t xml:space="preserve"> </w:t>
            </w:r>
            <w:r w:rsidRPr="00D05948">
              <w:rPr>
                <w:i/>
                <w:sz w:val="18"/>
                <w:szCs w:val="18"/>
              </w:rPr>
              <w:t>(</w:t>
            </w:r>
            <w:proofErr w:type="gramStart"/>
            <w:r w:rsidRPr="00D05948">
              <w:rPr>
                <w:i/>
                <w:sz w:val="18"/>
                <w:szCs w:val="18"/>
              </w:rPr>
              <w:t>social</w:t>
            </w:r>
            <w:proofErr w:type="gramEnd"/>
            <w:r w:rsidRPr="00D05948">
              <w:rPr>
                <w:i/>
                <w:sz w:val="18"/>
                <w:szCs w:val="18"/>
              </w:rPr>
              <w:t xml:space="preserve"> condition)</w:t>
            </w:r>
          </w:p>
        </w:tc>
      </w:tr>
    </w:tbl>
    <w:p w14:paraId="5AAC4B56" w14:textId="11C1FED8" w:rsidR="00196220" w:rsidRPr="00B07F5D" w:rsidRDefault="006979E7" w:rsidP="00640E7F">
      <w:pPr>
        <w:pStyle w:val="Notedebasdepage"/>
        <w:rPr>
          <w:lang w:val="en-CA"/>
        </w:rPr>
      </w:pPr>
      <w:r w:rsidRPr="004C2894">
        <w:rPr>
          <w:lang w:val="en-CA"/>
        </w:rPr>
        <w:tab/>
      </w:r>
      <w:r w:rsidR="004C2894" w:rsidRPr="004C2894">
        <w:rPr>
          <w:lang w:val="en-CA"/>
        </w:rPr>
        <w:t xml:space="preserve">These statutes do not have the breadth of the </w:t>
      </w:r>
      <w:r w:rsidR="004C2894" w:rsidRPr="00E71BAD">
        <w:rPr>
          <w:i/>
          <w:iCs/>
          <w:lang w:val="en-CA"/>
        </w:rPr>
        <w:t>Quebec Charter</w:t>
      </w:r>
      <w:r w:rsidR="004C2894" w:rsidRPr="004C2894">
        <w:rPr>
          <w:lang w:val="en-CA"/>
        </w:rPr>
        <w:t xml:space="preserve">, but the use they make of the term </w:t>
      </w:r>
      <w:r w:rsidR="00E71BAD">
        <w:rPr>
          <w:lang w:val="en-CA"/>
        </w:rPr>
        <w:t>“</w:t>
      </w:r>
      <w:r w:rsidR="004C2894" w:rsidRPr="004C2894">
        <w:rPr>
          <w:lang w:val="en-CA"/>
        </w:rPr>
        <w:t>social condition</w:t>
      </w:r>
      <w:r w:rsidR="00E71BAD">
        <w:rPr>
          <w:lang w:val="en-CA"/>
        </w:rPr>
        <w:t>”</w:t>
      </w:r>
      <w:r w:rsidR="004C2894" w:rsidRPr="004C2894">
        <w:rPr>
          <w:lang w:val="en-CA"/>
        </w:rPr>
        <w:t xml:space="preserve"> is nonethel</w:t>
      </w:r>
      <w:r w:rsidR="004C2894">
        <w:rPr>
          <w:lang w:val="en-CA"/>
        </w:rPr>
        <w:t xml:space="preserve">ess useful for the purposes of comparison. </w:t>
      </w:r>
    </w:p>
  </w:footnote>
  <w:footnote w:id="55">
    <w:p w14:paraId="16BA097C" w14:textId="28DBA0E1" w:rsidR="00A420AF" w:rsidRPr="00B07F5D" w:rsidRDefault="00A420AF" w:rsidP="00A420AF">
      <w:pPr>
        <w:pStyle w:val="Notedebasdepage"/>
        <w:rPr>
          <w:lang w:val="en-CA"/>
        </w:rPr>
      </w:pPr>
      <w:r>
        <w:rPr>
          <w:rStyle w:val="Appelnotedebasdep"/>
        </w:rPr>
        <w:footnoteRef/>
      </w:r>
      <w:r>
        <w:t xml:space="preserve"> </w:t>
      </w:r>
      <w:r>
        <w:tab/>
      </w:r>
      <w:r w:rsidRPr="00D05948">
        <w:rPr>
          <w:i/>
        </w:rPr>
        <w:t xml:space="preserve">Aluminerie de Bécancour </w:t>
      </w:r>
      <w:proofErr w:type="spellStart"/>
      <w:r w:rsidRPr="00D05948">
        <w:rPr>
          <w:i/>
        </w:rPr>
        <w:t>inc.</w:t>
      </w:r>
      <w:proofErr w:type="spellEnd"/>
      <w:r w:rsidRPr="00D05948">
        <w:rPr>
          <w:i/>
        </w:rPr>
        <w:t xml:space="preserve"> c. Commission des droits de la personne et des droits de la jeunesse (Beaudry et autres)</w:t>
      </w:r>
      <w:r w:rsidRPr="00D05948">
        <w:t>, 2021 QCCA 989</w:t>
      </w:r>
      <w:r w:rsidR="00E71BAD">
        <w:t xml:space="preserve"> at</w:t>
      </w:r>
      <w:r w:rsidRPr="00D05948">
        <w:t xml:space="preserve"> para.</w:t>
      </w:r>
      <w:r>
        <w:t xml:space="preserve"> </w:t>
      </w:r>
      <w:r w:rsidRPr="00E71BAD">
        <w:rPr>
          <w:lang w:val="en-CA"/>
        </w:rPr>
        <w:t xml:space="preserve">50 </w:t>
      </w:r>
      <w:r w:rsidRPr="00E71BAD">
        <w:rPr>
          <w:i/>
          <w:iCs/>
          <w:lang w:val="en-CA"/>
        </w:rPr>
        <w:t>et s</w:t>
      </w:r>
      <w:r w:rsidR="00E71BAD" w:rsidRPr="00E71BAD">
        <w:rPr>
          <w:i/>
          <w:iCs/>
          <w:lang w:val="en-CA"/>
        </w:rPr>
        <w:t>eq</w:t>
      </w:r>
      <w:r w:rsidRPr="00E71BAD">
        <w:rPr>
          <w:lang w:val="en-CA"/>
        </w:rPr>
        <w:t>.</w:t>
      </w:r>
      <w:r w:rsidR="00E71BAD" w:rsidRPr="00E71BAD">
        <w:rPr>
          <w:lang w:val="en-CA"/>
        </w:rPr>
        <w:t xml:space="preserve"> See also</w:t>
      </w:r>
      <w:r w:rsidRPr="00E71BAD">
        <w:rPr>
          <w:lang w:val="en-CA"/>
        </w:rPr>
        <w:t xml:space="preserve"> D. Proulx,</w:t>
      </w:r>
      <w:r w:rsidR="00E71BAD">
        <w:rPr>
          <w:lang w:val="en-CA"/>
        </w:rPr>
        <w:t xml:space="preserve"> supra </w:t>
      </w:r>
      <w:r w:rsidRPr="00E71BAD">
        <w:rPr>
          <w:lang w:val="en-CA"/>
        </w:rPr>
        <w:t xml:space="preserve">note </w:t>
      </w:r>
      <w:r>
        <w:fldChar w:fldCharType="begin"/>
      </w:r>
      <w:r w:rsidRPr="00E71BAD">
        <w:rPr>
          <w:lang w:val="en-CA"/>
        </w:rPr>
        <w:instrText xml:space="preserve"> NOTEREF _Ref73709704 \h </w:instrText>
      </w:r>
      <w:r>
        <w:fldChar w:fldCharType="separate"/>
      </w:r>
      <w:r w:rsidRPr="00E71BAD">
        <w:rPr>
          <w:lang w:val="en-CA"/>
        </w:rPr>
        <w:t>29</w:t>
      </w:r>
      <w:r>
        <w:fldChar w:fldCharType="end"/>
      </w:r>
      <w:r w:rsidR="00E71BAD" w:rsidRPr="00E66EFC">
        <w:rPr>
          <w:lang w:val="en-CA"/>
        </w:rPr>
        <w:t xml:space="preserve"> </w:t>
      </w:r>
      <w:r w:rsidR="009B4D3D" w:rsidRPr="00E71BAD">
        <w:rPr>
          <w:lang w:val="en-CA"/>
        </w:rPr>
        <w:t>at</w:t>
      </w:r>
      <w:r w:rsidRPr="00D05948">
        <w:rPr>
          <w:lang w:val="en-CA"/>
        </w:rPr>
        <w:t xml:space="preserve"> 9/59</w:t>
      </w:r>
      <w:r w:rsidR="00E71BAD">
        <w:rPr>
          <w:lang w:val="en-CA"/>
        </w:rPr>
        <w:t>, para. 109</w:t>
      </w:r>
      <w:r w:rsidRPr="00D05948">
        <w:rPr>
          <w:lang w:val="en-CA"/>
        </w:rPr>
        <w:t>.</w:t>
      </w:r>
    </w:p>
  </w:footnote>
  <w:footnote w:id="56">
    <w:p w14:paraId="12224F91" w14:textId="0B5A1534" w:rsidR="00A420AF" w:rsidRPr="00727E7F" w:rsidRDefault="00A420AF" w:rsidP="00A420AF">
      <w:pPr>
        <w:pStyle w:val="Notedebasdepage"/>
        <w:rPr>
          <w:lang w:val="en-CA"/>
        </w:rPr>
      </w:pPr>
      <w:r>
        <w:rPr>
          <w:rStyle w:val="Appelnotedebasdep"/>
        </w:rPr>
        <w:footnoteRef/>
      </w:r>
      <w:r w:rsidRPr="00727E7F">
        <w:rPr>
          <w:lang w:val="en-CA"/>
        </w:rPr>
        <w:t xml:space="preserve"> </w:t>
      </w:r>
      <w:r w:rsidRPr="00727E7F">
        <w:rPr>
          <w:lang w:val="en-CA"/>
        </w:rPr>
        <w:tab/>
      </w:r>
      <w:r w:rsidRPr="00D05948">
        <w:rPr>
          <w:lang w:val="en-CA"/>
        </w:rPr>
        <w:t>[2002] R.J.Q.</w:t>
      </w:r>
      <w:r w:rsidRPr="00727E7F">
        <w:rPr>
          <w:lang w:val="en-CA"/>
        </w:rPr>
        <w:t xml:space="preserve"> </w:t>
      </w:r>
      <w:r w:rsidRPr="00D05948">
        <w:rPr>
          <w:lang w:val="en-CA"/>
        </w:rPr>
        <w:t xml:space="preserve">599 (C.A.; </w:t>
      </w:r>
      <w:r w:rsidR="00727E7F" w:rsidRPr="00D05948">
        <w:rPr>
          <w:lang w:val="en-CA"/>
        </w:rPr>
        <w:t xml:space="preserve">application for leave to appeal to SCC </w:t>
      </w:r>
      <w:r w:rsidR="00E54323">
        <w:rPr>
          <w:lang w:val="en-CA"/>
        </w:rPr>
        <w:t xml:space="preserve">refused, </w:t>
      </w:r>
      <w:r w:rsidR="00E54323" w:rsidRPr="00D05948">
        <w:rPr>
          <w:lang w:val="en-CA"/>
        </w:rPr>
        <w:t>29227</w:t>
      </w:r>
      <w:r w:rsidR="00727E7F" w:rsidRPr="00D05948">
        <w:rPr>
          <w:lang w:val="en-CA"/>
        </w:rPr>
        <w:t xml:space="preserve"> (17 </w:t>
      </w:r>
      <w:proofErr w:type="gramStart"/>
      <w:r w:rsidR="00727E7F" w:rsidRPr="00D05948">
        <w:rPr>
          <w:lang w:val="en-CA"/>
        </w:rPr>
        <w:t xml:space="preserve">April </w:t>
      </w:r>
      <w:r w:rsidRPr="00D05948">
        <w:rPr>
          <w:lang w:val="en-CA"/>
        </w:rPr>
        <w:t xml:space="preserve"> </w:t>
      </w:r>
      <w:r w:rsidR="00727E7F" w:rsidRPr="00D05948">
        <w:rPr>
          <w:lang w:val="en-CA"/>
        </w:rPr>
        <w:t>2003</w:t>
      </w:r>
      <w:proofErr w:type="gramEnd"/>
      <w:r w:rsidR="00727E7F" w:rsidRPr="00D05948">
        <w:rPr>
          <w:lang w:val="en-CA"/>
        </w:rPr>
        <w:t>)</w:t>
      </w:r>
      <w:r w:rsidRPr="00D05948">
        <w:rPr>
          <w:lang w:val="en-CA"/>
        </w:rPr>
        <w:t>.</w:t>
      </w:r>
    </w:p>
  </w:footnote>
  <w:footnote w:id="57">
    <w:p w14:paraId="1F3B40DE" w14:textId="5EAC9437" w:rsidR="007A56C0" w:rsidRDefault="007A56C0" w:rsidP="007A56C0">
      <w:pPr>
        <w:pStyle w:val="Notedebasdepage"/>
      </w:pPr>
      <w:r>
        <w:rPr>
          <w:rStyle w:val="Appelnotedebasdep"/>
        </w:rPr>
        <w:footnoteRef/>
      </w:r>
      <w:r>
        <w:t xml:space="preserve"> </w:t>
      </w:r>
      <w:r>
        <w:tab/>
      </w:r>
      <w:r w:rsidR="00727E7F" w:rsidRPr="00D05948">
        <w:rPr>
          <w:i/>
          <w:iCs/>
        </w:rPr>
        <w:t>Supra</w:t>
      </w:r>
      <w:r w:rsidR="00727E7F" w:rsidRPr="00D05948">
        <w:t xml:space="preserve"> </w:t>
      </w:r>
      <w:r w:rsidRPr="00D05948">
        <w:t>note</w:t>
      </w:r>
      <w:r>
        <w:t xml:space="preserve"> </w:t>
      </w:r>
      <w:r>
        <w:fldChar w:fldCharType="begin"/>
      </w:r>
      <w:r>
        <w:instrText xml:space="preserve"> NOTEREF _Ref72571155 \h </w:instrText>
      </w:r>
      <w:r>
        <w:fldChar w:fldCharType="separate"/>
      </w:r>
      <w:r>
        <w:t>55</w:t>
      </w:r>
      <w:r>
        <w:fldChar w:fldCharType="end"/>
      </w:r>
      <w:r>
        <w:t>.</w:t>
      </w:r>
    </w:p>
  </w:footnote>
  <w:footnote w:id="58">
    <w:p w14:paraId="08952B27" w14:textId="65C260AD" w:rsidR="007A56C0" w:rsidRPr="00E66EFC" w:rsidRDefault="007A56C0" w:rsidP="007A56C0">
      <w:pPr>
        <w:pStyle w:val="Notedebasdepage"/>
        <w:rPr>
          <w:lang w:val="en-CA"/>
        </w:rPr>
      </w:pPr>
      <w:r>
        <w:rPr>
          <w:rStyle w:val="Appelnotedebasdep"/>
        </w:rPr>
        <w:footnoteRef/>
      </w:r>
      <w:r>
        <w:t xml:space="preserve"> </w:t>
      </w:r>
      <w:r>
        <w:tab/>
      </w:r>
      <w:r w:rsidR="00DA5A32">
        <w:t xml:space="preserve">On the courts’ </w:t>
      </w:r>
      <w:proofErr w:type="spellStart"/>
      <w:r w:rsidR="00DA5A32" w:rsidRPr="00E66EFC">
        <w:t>awareness</w:t>
      </w:r>
      <w:proofErr w:type="spellEnd"/>
      <w:r w:rsidR="00DA5A32" w:rsidRPr="00E66EFC">
        <w:t xml:space="preserve"> of certain </w:t>
      </w:r>
      <w:proofErr w:type="spellStart"/>
      <w:r w:rsidR="00DA5A32" w:rsidRPr="00E66EFC">
        <w:t>stereotypes</w:t>
      </w:r>
      <w:proofErr w:type="spellEnd"/>
      <w:r w:rsidR="00DA5A32" w:rsidRPr="00E66EFC">
        <w:t xml:space="preserve">, </w:t>
      </w:r>
      <w:proofErr w:type="spellStart"/>
      <w:r w:rsidR="00DA5A32" w:rsidRPr="00E66EFC">
        <w:t>see</w:t>
      </w:r>
      <w:proofErr w:type="spellEnd"/>
      <w:r w:rsidR="00DA5A32" w:rsidRPr="00E66EFC">
        <w:t xml:space="preserve"> in </w:t>
      </w:r>
      <w:proofErr w:type="spellStart"/>
      <w:r w:rsidR="00DA5A32" w:rsidRPr="00E66EFC">
        <w:t>particular</w:t>
      </w:r>
      <w:proofErr w:type="spellEnd"/>
      <w:r w:rsidRPr="00D05948">
        <w:t xml:space="preserve"> </w:t>
      </w:r>
      <w:r w:rsidRPr="00D05948">
        <w:rPr>
          <w:i/>
        </w:rPr>
        <w:t xml:space="preserve">Aluminerie de Bécancour </w:t>
      </w:r>
      <w:proofErr w:type="spellStart"/>
      <w:r w:rsidRPr="00D05948">
        <w:rPr>
          <w:i/>
        </w:rPr>
        <w:t>inc.</w:t>
      </w:r>
      <w:proofErr w:type="spellEnd"/>
      <w:r w:rsidRPr="00D05948">
        <w:rPr>
          <w:i/>
        </w:rPr>
        <w:t xml:space="preserve"> c. Commission des droits de la personne et des droits de la jeunesse (Beaudry et autres)</w:t>
      </w:r>
      <w:r w:rsidRPr="00D05948">
        <w:t xml:space="preserve">, </w:t>
      </w:r>
      <w:r w:rsidR="00DA5A32" w:rsidRPr="00E66EFC">
        <w:rPr>
          <w:i/>
          <w:iCs/>
        </w:rPr>
        <w:t xml:space="preserve">supra </w:t>
      </w:r>
      <w:r w:rsidRPr="00D05948">
        <w:t>note</w:t>
      </w:r>
      <w:r>
        <w:t xml:space="preserve"> </w:t>
      </w:r>
      <w:r>
        <w:fldChar w:fldCharType="begin"/>
      </w:r>
      <w:r>
        <w:instrText xml:space="preserve"> NOTEREF _Ref72571155 \h </w:instrText>
      </w:r>
      <w:r>
        <w:fldChar w:fldCharType="separate"/>
      </w:r>
      <w:r>
        <w:t>55</w:t>
      </w:r>
      <w:r>
        <w:fldChar w:fldCharType="end"/>
      </w:r>
      <w:r w:rsidR="00DA5A32">
        <w:t xml:space="preserve"> </w:t>
      </w:r>
      <w:r w:rsidR="009B4D3D" w:rsidRPr="00D05948">
        <w:t>at para.</w:t>
      </w:r>
      <w:r>
        <w:t xml:space="preserve"> </w:t>
      </w:r>
      <w:r w:rsidRPr="00E66EFC">
        <w:rPr>
          <w:lang w:val="en-CA"/>
        </w:rPr>
        <w:t>49.</w:t>
      </w:r>
    </w:p>
  </w:footnote>
  <w:footnote w:id="59">
    <w:p w14:paraId="346D039D" w14:textId="34693B96" w:rsidR="0037683B" w:rsidRDefault="00DA5A32" w:rsidP="00DA5A32">
      <w:pPr>
        <w:pStyle w:val="Notedebasdepage"/>
        <w:rPr>
          <w:lang w:val="en-CA"/>
        </w:rPr>
      </w:pPr>
      <w:r>
        <w:rPr>
          <w:rStyle w:val="Appelnotedebasdep"/>
        </w:rPr>
        <w:footnoteRef/>
      </w:r>
      <w:r w:rsidRPr="00BF0793">
        <w:rPr>
          <w:lang w:val="en-CA"/>
        </w:rPr>
        <w:t xml:space="preserve"> </w:t>
      </w:r>
      <w:r w:rsidRPr="00BF0793">
        <w:rPr>
          <w:lang w:val="en-CA"/>
        </w:rPr>
        <w:tab/>
      </w:r>
      <w:r w:rsidR="0037683B" w:rsidRPr="00E62AE0">
        <w:rPr>
          <w:lang w:val="en-CA"/>
        </w:rPr>
        <w:t xml:space="preserve">Which of course do not have the constitutional weight of </w:t>
      </w:r>
      <w:r w:rsidR="0037683B">
        <w:rPr>
          <w:lang w:val="en-CA"/>
        </w:rPr>
        <w:t>s.</w:t>
      </w:r>
      <w:r w:rsidR="0037683B" w:rsidRPr="00E62AE0">
        <w:rPr>
          <w:lang w:val="en-CA"/>
        </w:rPr>
        <w:t xml:space="preserve"> 15 of the </w:t>
      </w:r>
      <w:r w:rsidR="0037683B" w:rsidRPr="00BF0793">
        <w:rPr>
          <w:i/>
          <w:iCs/>
          <w:lang w:val="en-CA"/>
        </w:rPr>
        <w:t>Canadian Charter</w:t>
      </w:r>
      <w:r w:rsidR="0037683B" w:rsidRPr="00E62AE0">
        <w:rPr>
          <w:lang w:val="en-CA"/>
        </w:rPr>
        <w:t>, but they nevertheless reflect a reality of which various provincial legislatures, like the one in Quebec, have taken</w:t>
      </w:r>
      <w:r w:rsidR="0037683B">
        <w:rPr>
          <w:lang w:val="en-CA"/>
        </w:rPr>
        <w:t xml:space="preserve"> note.</w:t>
      </w:r>
    </w:p>
    <w:p w14:paraId="3F87BD24" w14:textId="77777777" w:rsidR="0037683B" w:rsidRDefault="0037683B" w:rsidP="00DA5A32">
      <w:pPr>
        <w:pStyle w:val="Notedebasdepage"/>
        <w:rPr>
          <w:lang w:val="en-CA"/>
        </w:rPr>
      </w:pPr>
    </w:p>
    <w:p w14:paraId="30CC1D39" w14:textId="77777777" w:rsidR="00DA5A32" w:rsidRPr="00E66EFC" w:rsidRDefault="00DA5A32" w:rsidP="00DA5A32">
      <w:pPr>
        <w:pStyle w:val="Notedebasdepage"/>
        <w:ind w:left="720" w:right="362" w:firstLine="0"/>
        <w:rPr>
          <w:sz w:val="4"/>
          <w:szCs w:val="4"/>
          <w:lang w:val="en-CA"/>
        </w:rPr>
      </w:pPr>
    </w:p>
  </w:footnote>
  <w:footnote w:id="60">
    <w:p w14:paraId="5E5AD10F" w14:textId="09236F5E" w:rsidR="00DA5A32" w:rsidRPr="00E62AE0" w:rsidRDefault="00DA5A32" w:rsidP="00DA5A32">
      <w:pPr>
        <w:pStyle w:val="Notedebasdepage"/>
        <w:rPr>
          <w:lang w:val="en-CA"/>
        </w:rPr>
      </w:pPr>
      <w:r w:rsidRPr="00E97FB6">
        <w:rPr>
          <w:rStyle w:val="Appelnotedebasdep"/>
        </w:rPr>
        <w:footnoteRef/>
      </w:r>
      <w:r w:rsidRPr="00E62AE0">
        <w:rPr>
          <w:lang w:val="en-CA"/>
        </w:rPr>
        <w:t xml:space="preserve"> </w:t>
      </w:r>
      <w:r w:rsidRPr="00E62AE0">
        <w:rPr>
          <w:lang w:val="en-CA"/>
        </w:rPr>
        <w:tab/>
      </w:r>
      <w:r w:rsidR="0037683B" w:rsidRPr="0037683B">
        <w:rPr>
          <w:lang w:val="en-CA"/>
        </w:rPr>
        <w:t>The laws of New Brunswick and the Northwest Territories, which include social condition as a prohibited ground of distinction (</w:t>
      </w:r>
      <w:r w:rsidR="0037683B" w:rsidRPr="0037683B">
        <w:rPr>
          <w:i/>
          <w:iCs/>
          <w:lang w:val="en-CA"/>
        </w:rPr>
        <w:t>supra</w:t>
      </w:r>
      <w:r w:rsidR="0037683B" w:rsidRPr="0037683B">
        <w:rPr>
          <w:lang w:val="en-CA"/>
        </w:rPr>
        <w:t xml:space="preserve"> note 54), propose a definition that certainly includes receiving this type of financial assistance. The Saskatchewan</w:t>
      </w:r>
      <w:r w:rsidR="0037683B" w:rsidRPr="0037683B">
        <w:rPr>
          <w:i/>
          <w:iCs/>
          <w:lang w:val="en-CA"/>
        </w:rPr>
        <w:t xml:space="preserve"> Human Rights Code</w:t>
      </w:r>
      <w:r w:rsidR="0037683B" w:rsidRPr="0037683B">
        <w:rPr>
          <w:lang w:val="en-CA"/>
        </w:rPr>
        <w:t>, 2018 SS 2018, c. S-24.2 s. 2, for its part, explicitly includes “</w:t>
      </w:r>
      <w:r w:rsidR="0037683B" w:rsidRPr="0037683B">
        <w:rPr>
          <w:iCs/>
          <w:lang w:val="en-CA"/>
        </w:rPr>
        <w:t>receipt of public assistance”</w:t>
      </w:r>
      <w:r w:rsidR="0037683B" w:rsidRPr="0037683B">
        <w:rPr>
          <w:lang w:val="en-CA"/>
        </w:rPr>
        <w:t xml:space="preserve"> among the prohibited grounds of discrimination (s. 2(n). This is also the case with the Ontario </w:t>
      </w:r>
      <w:r w:rsidR="0037683B" w:rsidRPr="0037683B">
        <w:rPr>
          <w:i/>
          <w:lang w:val="en-CA"/>
        </w:rPr>
        <w:t>Human Rights Code</w:t>
      </w:r>
      <w:r w:rsidR="0037683B" w:rsidRPr="0037683B">
        <w:rPr>
          <w:iCs/>
          <w:lang w:val="en-CA"/>
        </w:rPr>
        <w:t>, R</w:t>
      </w:r>
      <w:r w:rsidR="0037683B" w:rsidRPr="0037683B">
        <w:rPr>
          <w:lang w:val="en-CA"/>
        </w:rPr>
        <w:t>.S.O. 1990, c. H.19, s. 2, which also expressly states that “</w:t>
      </w:r>
      <w:r w:rsidR="0037683B" w:rsidRPr="0037683B">
        <w:rPr>
          <w:iCs/>
          <w:lang w:val="en-CA"/>
        </w:rPr>
        <w:t>the receipt of public assistance</w:t>
      </w:r>
      <w:r w:rsidR="0037683B" w:rsidRPr="0037683B">
        <w:rPr>
          <w:i/>
          <w:lang w:val="en-CA"/>
        </w:rPr>
        <w:t>”</w:t>
      </w:r>
      <w:r w:rsidR="0037683B" w:rsidRPr="0037683B">
        <w:rPr>
          <w:lang w:val="en-CA"/>
        </w:rPr>
        <w:t xml:space="preserve"> is a prohibited ground of discrimination, but only with respect to occupancy of accommodation.</w:t>
      </w:r>
    </w:p>
  </w:footnote>
  <w:footnote w:id="61">
    <w:p w14:paraId="2000D745" w14:textId="3B5C670D" w:rsidR="00DA5A32" w:rsidRPr="00E6525E" w:rsidRDefault="00DA5A32" w:rsidP="00DA5A32">
      <w:pPr>
        <w:pStyle w:val="Notedebasdepage"/>
        <w:rPr>
          <w:lang w:val="en-CA"/>
        </w:rPr>
      </w:pPr>
      <w:r w:rsidRPr="00E97FB6">
        <w:rPr>
          <w:rStyle w:val="Appelnotedebasdep"/>
        </w:rPr>
        <w:footnoteRef/>
      </w:r>
      <w:r w:rsidRPr="00E62AE0">
        <w:rPr>
          <w:lang w:val="en-CA"/>
        </w:rPr>
        <w:t xml:space="preserve"> </w:t>
      </w:r>
      <w:r w:rsidRPr="00E62AE0">
        <w:rPr>
          <w:lang w:val="en-CA"/>
        </w:rPr>
        <w:tab/>
      </w:r>
      <w:r w:rsidR="0037683B" w:rsidRPr="0037683B">
        <w:rPr>
          <w:lang w:val="en-CA"/>
        </w:rPr>
        <w:t xml:space="preserve">See e.g., Alberta </w:t>
      </w:r>
      <w:r w:rsidR="0037683B" w:rsidRPr="0037683B">
        <w:rPr>
          <w:i/>
          <w:iCs/>
          <w:lang w:val="en-CA"/>
        </w:rPr>
        <w:t>Human</w:t>
      </w:r>
      <w:r w:rsidR="0037683B" w:rsidRPr="0037683B">
        <w:rPr>
          <w:lang w:val="en-CA"/>
        </w:rPr>
        <w:t xml:space="preserve"> </w:t>
      </w:r>
      <w:r w:rsidR="0037683B" w:rsidRPr="0037683B">
        <w:rPr>
          <w:i/>
          <w:iCs/>
          <w:lang w:val="en-CA"/>
        </w:rPr>
        <w:t>Rights Act</w:t>
      </w:r>
      <w:r w:rsidR="0037683B" w:rsidRPr="0037683B">
        <w:rPr>
          <w:lang w:val="en-CA"/>
        </w:rPr>
        <w:t xml:space="preserve">, R.S.A. 2000, c. A-25.5, Preamble and ss. 3(1), 4, 5(1), 7(1), 8(1) and 9 in particular; </w:t>
      </w:r>
      <w:r w:rsidR="0037683B" w:rsidRPr="0037683B">
        <w:rPr>
          <w:i/>
          <w:iCs/>
          <w:lang w:val="en-CA"/>
        </w:rPr>
        <w:t>Human Rights Code</w:t>
      </w:r>
      <w:r w:rsidR="0037683B" w:rsidRPr="0037683B">
        <w:rPr>
          <w:lang w:val="en-CA"/>
        </w:rPr>
        <w:t xml:space="preserve"> (British Columbia), RSBC 1996, c. 210, s, 10 (in accommodation matters only); </w:t>
      </w:r>
      <w:r w:rsidR="0037683B" w:rsidRPr="0037683B">
        <w:rPr>
          <w:i/>
          <w:iCs/>
          <w:lang w:val="en-CA"/>
        </w:rPr>
        <w:t>Human</w:t>
      </w:r>
      <w:r w:rsidR="0037683B" w:rsidRPr="0037683B">
        <w:rPr>
          <w:lang w:val="en-CA"/>
        </w:rPr>
        <w:t xml:space="preserve"> </w:t>
      </w:r>
      <w:r w:rsidR="0037683B" w:rsidRPr="0037683B">
        <w:rPr>
          <w:i/>
          <w:iCs/>
          <w:lang w:val="en-CA"/>
        </w:rPr>
        <w:t xml:space="preserve">Rights Act </w:t>
      </w:r>
      <w:r w:rsidR="0037683B" w:rsidRPr="0037683B">
        <w:rPr>
          <w:lang w:val="en-CA"/>
        </w:rPr>
        <w:t xml:space="preserve">(Nova Scotia), R.S.N.S. 1989, c. 214, s. 5; </w:t>
      </w:r>
      <w:r w:rsidR="0037683B" w:rsidRPr="0037683B">
        <w:rPr>
          <w:i/>
          <w:iCs/>
          <w:lang w:val="en-CA"/>
        </w:rPr>
        <w:t>Human</w:t>
      </w:r>
      <w:r w:rsidR="0037683B" w:rsidRPr="0037683B">
        <w:rPr>
          <w:lang w:val="en-CA"/>
        </w:rPr>
        <w:t xml:space="preserve"> </w:t>
      </w:r>
      <w:r w:rsidR="0037683B" w:rsidRPr="0037683B">
        <w:rPr>
          <w:i/>
          <w:iCs/>
          <w:lang w:val="en-CA"/>
        </w:rPr>
        <w:t>Rights</w:t>
      </w:r>
      <w:r w:rsidR="0037683B" w:rsidRPr="0037683B">
        <w:rPr>
          <w:lang w:val="en-CA"/>
        </w:rPr>
        <w:t xml:space="preserve"> </w:t>
      </w:r>
      <w:r w:rsidR="0037683B" w:rsidRPr="0037683B">
        <w:rPr>
          <w:i/>
          <w:iCs/>
          <w:lang w:val="en-CA"/>
        </w:rPr>
        <w:t>Act</w:t>
      </w:r>
      <w:r w:rsidR="0037683B" w:rsidRPr="0037683B">
        <w:rPr>
          <w:lang w:val="en-CA"/>
        </w:rPr>
        <w:t xml:space="preserve"> (Nunavut), </w:t>
      </w:r>
      <w:proofErr w:type="spellStart"/>
      <w:r w:rsidR="0037683B" w:rsidRPr="0037683B">
        <w:rPr>
          <w:lang w:val="en-CA"/>
        </w:rPr>
        <w:t>CSNu</w:t>
      </w:r>
      <w:proofErr w:type="spellEnd"/>
      <w:r w:rsidR="0037683B" w:rsidRPr="0037683B">
        <w:rPr>
          <w:lang w:val="en-CA"/>
        </w:rPr>
        <w:t xml:space="preserve">. 2003, c. 12, s. 7(1) (which uses the specific expression “lawful source of income / source de revenue </w:t>
      </w:r>
      <w:proofErr w:type="spellStart"/>
      <w:r w:rsidR="0037683B" w:rsidRPr="0037683B">
        <w:rPr>
          <w:lang w:val="en-CA"/>
        </w:rPr>
        <w:t>légitime</w:t>
      </w:r>
      <w:proofErr w:type="spellEnd"/>
      <w:r w:rsidR="0037683B" w:rsidRPr="0037683B">
        <w:rPr>
          <w:lang w:val="en-CA"/>
        </w:rPr>
        <w:t xml:space="preserve">”; Prince Edward Island </w:t>
      </w:r>
      <w:r w:rsidR="0037683B" w:rsidRPr="0037683B">
        <w:rPr>
          <w:i/>
          <w:iCs/>
          <w:lang w:val="en-CA"/>
        </w:rPr>
        <w:t>Human</w:t>
      </w:r>
      <w:r w:rsidR="0037683B" w:rsidRPr="0037683B">
        <w:rPr>
          <w:lang w:val="en-CA"/>
        </w:rPr>
        <w:t xml:space="preserve"> </w:t>
      </w:r>
      <w:r w:rsidR="0037683B" w:rsidRPr="0037683B">
        <w:rPr>
          <w:i/>
          <w:iCs/>
          <w:lang w:val="en-CA"/>
        </w:rPr>
        <w:t>Rights</w:t>
      </w:r>
      <w:r w:rsidR="0037683B" w:rsidRPr="0037683B">
        <w:rPr>
          <w:lang w:val="en-CA"/>
        </w:rPr>
        <w:t xml:space="preserve"> </w:t>
      </w:r>
      <w:r w:rsidR="0037683B" w:rsidRPr="0037683B">
        <w:rPr>
          <w:i/>
          <w:iCs/>
          <w:lang w:val="en-CA"/>
        </w:rPr>
        <w:t>Act</w:t>
      </w:r>
      <w:r w:rsidR="0037683B" w:rsidRPr="0037683B">
        <w:rPr>
          <w:lang w:val="en-CA"/>
        </w:rPr>
        <w:t xml:space="preserve">, R.S.P.E.I. 1988, c. H-12, Preamble and s. 1(1)(d); </w:t>
      </w:r>
      <w:r w:rsidR="0037683B" w:rsidRPr="0037683B">
        <w:rPr>
          <w:i/>
          <w:iCs/>
          <w:lang w:val="en-CA"/>
        </w:rPr>
        <w:t>Human</w:t>
      </w:r>
      <w:r w:rsidR="0037683B" w:rsidRPr="0037683B">
        <w:rPr>
          <w:lang w:val="en-CA"/>
        </w:rPr>
        <w:t xml:space="preserve"> </w:t>
      </w:r>
      <w:r w:rsidR="0037683B" w:rsidRPr="0037683B">
        <w:rPr>
          <w:i/>
          <w:iCs/>
          <w:lang w:val="en-CA"/>
        </w:rPr>
        <w:t>Rights</w:t>
      </w:r>
      <w:r w:rsidR="0037683B" w:rsidRPr="0037683B">
        <w:rPr>
          <w:lang w:val="en-CA"/>
        </w:rPr>
        <w:t xml:space="preserve"> </w:t>
      </w:r>
      <w:r w:rsidR="0037683B" w:rsidRPr="0037683B">
        <w:rPr>
          <w:i/>
          <w:iCs/>
          <w:lang w:val="en-CA"/>
        </w:rPr>
        <w:t>Act</w:t>
      </w:r>
      <w:r w:rsidR="0037683B" w:rsidRPr="0037683B">
        <w:rPr>
          <w:lang w:val="en-CA"/>
        </w:rPr>
        <w:t xml:space="preserve"> (Yukon), RSY 2002, c. 116, s. 7(l). The Newfoundland and Labrador </w:t>
      </w:r>
      <w:r w:rsidR="0037683B" w:rsidRPr="0037683B">
        <w:rPr>
          <w:i/>
          <w:iCs/>
          <w:lang w:val="en-CA"/>
        </w:rPr>
        <w:t>Human</w:t>
      </w:r>
      <w:r w:rsidR="0037683B" w:rsidRPr="0037683B">
        <w:rPr>
          <w:lang w:val="en-CA"/>
        </w:rPr>
        <w:t xml:space="preserve"> </w:t>
      </w:r>
      <w:r w:rsidR="0037683B" w:rsidRPr="0037683B">
        <w:rPr>
          <w:i/>
          <w:iCs/>
          <w:lang w:val="en-CA"/>
        </w:rPr>
        <w:t>Rights</w:t>
      </w:r>
      <w:r w:rsidR="0037683B" w:rsidRPr="0037683B">
        <w:rPr>
          <w:lang w:val="en-CA"/>
        </w:rPr>
        <w:t xml:space="preserve"> </w:t>
      </w:r>
      <w:r w:rsidR="0037683B" w:rsidRPr="0037683B">
        <w:rPr>
          <w:i/>
          <w:iCs/>
          <w:lang w:val="en-CA"/>
        </w:rPr>
        <w:t>Act</w:t>
      </w:r>
      <w:r w:rsidR="0037683B" w:rsidRPr="0037683B">
        <w:rPr>
          <w:lang w:val="en-CA"/>
        </w:rPr>
        <w:t xml:space="preserve">, SNL 2010, c. H-13.1, s. 9(1), adds “social origin” to “source of income” (defined as “the receipt of income or employment support under the </w:t>
      </w:r>
      <w:r w:rsidR="0037683B" w:rsidRPr="0037683B">
        <w:rPr>
          <w:i/>
          <w:iCs/>
          <w:lang w:val="en-CA"/>
        </w:rPr>
        <w:t>Income and Employment</w:t>
      </w:r>
      <w:r w:rsidR="0037683B" w:rsidRPr="0037683B">
        <w:rPr>
          <w:lang w:val="en-CA"/>
        </w:rPr>
        <w:t xml:space="preserve"> </w:t>
      </w:r>
      <w:r w:rsidR="0037683B" w:rsidRPr="0037683B">
        <w:rPr>
          <w:i/>
          <w:iCs/>
          <w:lang w:val="en-CA"/>
        </w:rPr>
        <w:t>Support Act</w:t>
      </w:r>
      <w:r w:rsidR="0037683B" w:rsidRPr="0037683B">
        <w:rPr>
          <w:lang w:val="en-CA"/>
        </w:rPr>
        <w:t>” in s. 2)</w:t>
      </w:r>
    </w:p>
  </w:footnote>
  <w:footnote w:id="62">
    <w:p w14:paraId="057787F8" w14:textId="13D64FBB" w:rsidR="0037683B" w:rsidRPr="00BF0793" w:rsidRDefault="00DA5A32" w:rsidP="0037683B">
      <w:pPr>
        <w:pStyle w:val="Notedebasdepage"/>
        <w:rPr>
          <w:lang w:val="en-CA"/>
        </w:rPr>
      </w:pPr>
      <w:r>
        <w:rPr>
          <w:rStyle w:val="Appelnotedebasdep"/>
        </w:rPr>
        <w:footnoteRef/>
      </w:r>
      <w:r w:rsidRPr="009B4D3D">
        <w:rPr>
          <w:lang w:val="en-CA"/>
        </w:rPr>
        <w:t xml:space="preserve"> </w:t>
      </w:r>
      <w:r w:rsidRPr="009B4D3D">
        <w:rPr>
          <w:lang w:val="en-CA"/>
        </w:rPr>
        <w:tab/>
      </w:r>
      <w:r w:rsidR="0037683B" w:rsidRPr="00BF0793">
        <w:rPr>
          <w:lang w:val="en-CA"/>
        </w:rPr>
        <w:t xml:space="preserve">The Manitoba </w:t>
      </w:r>
      <w:r w:rsidR="0037683B" w:rsidRPr="00BF0793">
        <w:rPr>
          <w:i/>
          <w:iCs/>
          <w:lang w:val="en-CA"/>
        </w:rPr>
        <w:t>Human Rights Code</w:t>
      </w:r>
      <w:r w:rsidR="0037683B" w:rsidRPr="00BF0793">
        <w:rPr>
          <w:lang w:val="en-CA"/>
        </w:rPr>
        <w:t xml:space="preserve"> (Manitoba), C.P.L.M., c. H175, includes </w:t>
      </w:r>
      <w:r w:rsidR="0037683B">
        <w:rPr>
          <w:lang w:val="en-CA"/>
        </w:rPr>
        <w:t>“</w:t>
      </w:r>
      <w:r w:rsidR="0037683B" w:rsidRPr="00BF0793">
        <w:rPr>
          <w:iCs/>
          <w:lang w:val="en-CA"/>
        </w:rPr>
        <w:t>social disadvantage</w:t>
      </w:r>
      <w:r w:rsidR="0037683B" w:rsidRPr="00BF0793">
        <w:rPr>
          <w:lang w:val="en-CA"/>
        </w:rPr>
        <w:t xml:space="preserve"> / </w:t>
      </w:r>
      <w:proofErr w:type="spellStart"/>
      <w:r w:rsidR="0037683B" w:rsidRPr="00BF0793">
        <w:rPr>
          <w:i/>
          <w:iCs/>
          <w:lang w:val="en-CA"/>
        </w:rPr>
        <w:t>désavantage</w:t>
      </w:r>
      <w:proofErr w:type="spellEnd"/>
      <w:r w:rsidR="0037683B" w:rsidRPr="00BF0793">
        <w:rPr>
          <w:i/>
          <w:iCs/>
          <w:lang w:val="en-CA"/>
        </w:rPr>
        <w:t xml:space="preserve"> social</w:t>
      </w:r>
      <w:r w:rsidR="0037683B">
        <w:rPr>
          <w:lang w:val="en-CA"/>
        </w:rPr>
        <w:t xml:space="preserve">” </w:t>
      </w:r>
      <w:r w:rsidR="0037683B" w:rsidRPr="00BF0793">
        <w:rPr>
          <w:lang w:val="en-CA"/>
        </w:rPr>
        <w:t>as a prohibited characteristic for discrimination for some purposes, defining it as follows:</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76"/>
      </w:tblGrid>
      <w:tr w:rsidR="0037683B" w14:paraId="75CE65D3" w14:textId="77777777" w:rsidTr="00EF7873">
        <w:tc>
          <w:tcPr>
            <w:tcW w:w="4176" w:type="dxa"/>
          </w:tcPr>
          <w:p w14:paraId="55A7F60E" w14:textId="77777777" w:rsidR="0037683B" w:rsidRPr="00F71323" w:rsidRDefault="0037683B" w:rsidP="0037683B">
            <w:pPr>
              <w:pStyle w:val="Notedebasdepage"/>
              <w:ind w:left="0" w:firstLine="0"/>
              <w:rPr>
                <w:sz w:val="18"/>
                <w:szCs w:val="18"/>
              </w:rPr>
            </w:pPr>
            <w:r w:rsidRPr="00F71323">
              <w:rPr>
                <w:b/>
                <w:sz w:val="18"/>
                <w:szCs w:val="18"/>
              </w:rPr>
              <w:t>1.</w:t>
            </w:r>
            <w:r w:rsidRPr="00F71323">
              <w:rPr>
                <w:sz w:val="18"/>
                <w:szCs w:val="18"/>
              </w:rPr>
              <w:t>   </w:t>
            </w:r>
            <w:r w:rsidRPr="00D05948">
              <w:rPr>
                <w:sz w:val="18"/>
                <w:szCs w:val="18"/>
              </w:rPr>
              <w:t xml:space="preserve">In </w:t>
            </w:r>
            <w:proofErr w:type="spellStart"/>
            <w:r w:rsidRPr="00D05948">
              <w:rPr>
                <w:sz w:val="18"/>
                <w:szCs w:val="18"/>
              </w:rPr>
              <w:t>this</w:t>
            </w:r>
            <w:proofErr w:type="spellEnd"/>
            <w:r w:rsidRPr="00D05948">
              <w:rPr>
                <w:sz w:val="18"/>
                <w:szCs w:val="18"/>
              </w:rPr>
              <w:t xml:space="preserve"> Code :</w:t>
            </w:r>
          </w:p>
        </w:tc>
        <w:tc>
          <w:tcPr>
            <w:tcW w:w="4176" w:type="dxa"/>
          </w:tcPr>
          <w:p w14:paraId="2797636F" w14:textId="77777777" w:rsidR="0037683B" w:rsidRPr="00F71323" w:rsidRDefault="0037683B" w:rsidP="0037683B">
            <w:pPr>
              <w:pStyle w:val="Notedebasdepage"/>
              <w:ind w:left="0" w:firstLine="0"/>
              <w:rPr>
                <w:sz w:val="18"/>
                <w:szCs w:val="18"/>
              </w:rPr>
            </w:pPr>
            <w:r w:rsidRPr="00DD50D4">
              <w:rPr>
                <w:b/>
                <w:sz w:val="18"/>
                <w:szCs w:val="18"/>
              </w:rPr>
              <w:t>1.</w:t>
            </w:r>
            <w:r w:rsidRPr="00F71323">
              <w:rPr>
                <w:sz w:val="18"/>
                <w:szCs w:val="18"/>
              </w:rPr>
              <w:t>  </w:t>
            </w:r>
            <w:r w:rsidRPr="00D05948">
              <w:rPr>
                <w:sz w:val="18"/>
                <w:szCs w:val="18"/>
              </w:rPr>
              <w:t>Les définitions qui suivent s’appliquent au présent code.</w:t>
            </w:r>
          </w:p>
        </w:tc>
      </w:tr>
      <w:tr w:rsidR="0037683B" w14:paraId="05BC8755" w14:textId="77777777" w:rsidTr="00EF7873">
        <w:tc>
          <w:tcPr>
            <w:tcW w:w="4176" w:type="dxa"/>
          </w:tcPr>
          <w:p w14:paraId="0A253AF4" w14:textId="0114166D" w:rsidR="0037683B" w:rsidRPr="00F71323" w:rsidRDefault="0037683B" w:rsidP="0037683B">
            <w:pPr>
              <w:pStyle w:val="Notedebasdepage"/>
              <w:ind w:left="0" w:firstLine="0"/>
              <w:rPr>
                <w:sz w:val="18"/>
                <w:szCs w:val="18"/>
                <w:lang w:val="en-CA"/>
              </w:rPr>
            </w:pPr>
            <w:r w:rsidRPr="00F71323">
              <w:rPr>
                <w:sz w:val="18"/>
                <w:szCs w:val="18"/>
                <w:lang w:val="en-CA"/>
              </w:rPr>
              <w:t>…</w:t>
            </w:r>
          </w:p>
        </w:tc>
        <w:tc>
          <w:tcPr>
            <w:tcW w:w="4176" w:type="dxa"/>
          </w:tcPr>
          <w:p w14:paraId="51535A50" w14:textId="78D01453" w:rsidR="0037683B" w:rsidRPr="00F71323" w:rsidRDefault="004F3180" w:rsidP="0037683B">
            <w:pPr>
              <w:pStyle w:val="Notedebasdepage"/>
              <w:ind w:left="0" w:firstLine="0"/>
              <w:rPr>
                <w:sz w:val="18"/>
                <w:szCs w:val="18"/>
                <w:lang w:val="en-CA"/>
              </w:rPr>
            </w:pPr>
            <w:r>
              <w:rPr>
                <w:sz w:val="18"/>
                <w:szCs w:val="18"/>
                <w:lang w:val="en-CA"/>
              </w:rPr>
              <w:t>[</w:t>
            </w:r>
            <w:r w:rsidR="0037683B">
              <w:rPr>
                <w:sz w:val="18"/>
                <w:szCs w:val="18"/>
                <w:lang w:val="en-CA"/>
              </w:rPr>
              <w:t>…</w:t>
            </w:r>
            <w:r>
              <w:rPr>
                <w:sz w:val="18"/>
                <w:szCs w:val="18"/>
                <w:lang w:val="en-CA"/>
              </w:rPr>
              <w:t>]</w:t>
            </w:r>
          </w:p>
        </w:tc>
      </w:tr>
      <w:tr w:rsidR="0037683B" w14:paraId="22F2CBDB" w14:textId="77777777" w:rsidTr="00EF7873">
        <w:tc>
          <w:tcPr>
            <w:tcW w:w="4176" w:type="dxa"/>
          </w:tcPr>
          <w:p w14:paraId="2CA07A4F" w14:textId="77777777" w:rsidR="0037683B" w:rsidRPr="00F71323" w:rsidRDefault="0037683B" w:rsidP="0037683B">
            <w:pPr>
              <w:pStyle w:val="Notedebasdepage"/>
              <w:ind w:left="0" w:firstLine="0"/>
              <w:rPr>
                <w:sz w:val="18"/>
                <w:szCs w:val="18"/>
                <w:lang w:val="en-CA"/>
              </w:rPr>
            </w:pPr>
            <w:r w:rsidRPr="00F71323">
              <w:rPr>
                <w:sz w:val="18"/>
                <w:szCs w:val="18"/>
                <w:lang w:val="en-CA"/>
              </w:rPr>
              <w:t>“</w:t>
            </w:r>
            <w:proofErr w:type="gramStart"/>
            <w:r w:rsidRPr="00D05948">
              <w:rPr>
                <w:sz w:val="18"/>
                <w:szCs w:val="18"/>
                <w:lang w:val="en-CA"/>
              </w:rPr>
              <w:t>social</w:t>
            </w:r>
            <w:proofErr w:type="gramEnd"/>
            <w:r w:rsidRPr="00D05948">
              <w:rPr>
                <w:sz w:val="18"/>
                <w:szCs w:val="18"/>
                <w:lang w:val="en-CA"/>
              </w:rPr>
              <w:t xml:space="preserve"> disadvantage</w:t>
            </w:r>
            <w:r w:rsidRPr="00F71323">
              <w:rPr>
                <w:sz w:val="18"/>
                <w:szCs w:val="18"/>
                <w:lang w:val="en-CA"/>
              </w:rPr>
              <w:t>” means diminished social standing or social regard due to</w:t>
            </w:r>
          </w:p>
        </w:tc>
        <w:tc>
          <w:tcPr>
            <w:tcW w:w="4176" w:type="dxa"/>
          </w:tcPr>
          <w:p w14:paraId="2380E58B" w14:textId="77777777" w:rsidR="0037683B" w:rsidRPr="00F71323" w:rsidRDefault="0037683B" w:rsidP="0037683B">
            <w:pPr>
              <w:pStyle w:val="Notedebasdepage"/>
              <w:ind w:left="0" w:firstLine="0"/>
              <w:rPr>
                <w:sz w:val="18"/>
                <w:szCs w:val="18"/>
              </w:rPr>
            </w:pPr>
            <w:r w:rsidRPr="00F71323">
              <w:rPr>
                <w:sz w:val="18"/>
                <w:szCs w:val="18"/>
              </w:rPr>
              <w:t>« </w:t>
            </w:r>
            <w:proofErr w:type="gramStart"/>
            <w:r w:rsidRPr="00D05948">
              <w:rPr>
                <w:sz w:val="18"/>
                <w:szCs w:val="18"/>
              </w:rPr>
              <w:t>désavantage</w:t>
            </w:r>
            <w:proofErr w:type="gramEnd"/>
            <w:r w:rsidRPr="00D05948">
              <w:rPr>
                <w:sz w:val="18"/>
                <w:szCs w:val="18"/>
              </w:rPr>
              <w:t xml:space="preserve"> social</w:t>
            </w:r>
            <w:r w:rsidRPr="00F71323">
              <w:rPr>
                <w:sz w:val="18"/>
                <w:szCs w:val="18"/>
              </w:rPr>
              <w:t xml:space="preserve"> » Situation d'une personne dont la position ou la valeur sociale est amoindrie pour le </w:t>
            </w:r>
            <w:r w:rsidRPr="00D05948">
              <w:rPr>
                <w:sz w:val="18"/>
                <w:szCs w:val="18"/>
              </w:rPr>
              <w:t>motif</w:t>
            </w:r>
            <w:r w:rsidRPr="00F71323">
              <w:rPr>
                <w:sz w:val="18"/>
                <w:szCs w:val="18"/>
              </w:rPr>
              <w:t xml:space="preserve"> :</w:t>
            </w:r>
          </w:p>
        </w:tc>
      </w:tr>
      <w:tr w:rsidR="0037683B" w14:paraId="4ADD81F8" w14:textId="77777777" w:rsidTr="00EF7873">
        <w:tc>
          <w:tcPr>
            <w:tcW w:w="4176" w:type="dxa"/>
          </w:tcPr>
          <w:p w14:paraId="5783598A" w14:textId="77777777" w:rsidR="0037683B" w:rsidRPr="00F71323" w:rsidRDefault="0037683B" w:rsidP="0037683B">
            <w:pPr>
              <w:pStyle w:val="Notedebasdepage"/>
              <w:rPr>
                <w:sz w:val="18"/>
                <w:szCs w:val="18"/>
                <w:lang w:val="en-CA"/>
              </w:rPr>
            </w:pPr>
            <w:r w:rsidRPr="00F71323">
              <w:rPr>
                <w:sz w:val="18"/>
                <w:szCs w:val="18"/>
                <w:lang w:val="en-CA"/>
              </w:rPr>
              <w:t xml:space="preserve">(a)  homelessness or inadequate </w:t>
            </w:r>
            <w:proofErr w:type="gramStart"/>
            <w:r w:rsidRPr="00F71323">
              <w:rPr>
                <w:sz w:val="18"/>
                <w:szCs w:val="18"/>
                <w:lang w:val="en-CA"/>
              </w:rPr>
              <w:t>housing;</w:t>
            </w:r>
            <w:proofErr w:type="gramEnd"/>
          </w:p>
          <w:p w14:paraId="650ED9D3" w14:textId="77777777" w:rsidR="0037683B" w:rsidRPr="00F71323" w:rsidRDefault="0037683B" w:rsidP="0037683B">
            <w:pPr>
              <w:pStyle w:val="Notedebasdepage"/>
              <w:ind w:left="0" w:firstLine="0"/>
              <w:rPr>
                <w:sz w:val="18"/>
                <w:szCs w:val="18"/>
                <w:lang w:val="en-CA"/>
              </w:rPr>
            </w:pPr>
          </w:p>
        </w:tc>
        <w:tc>
          <w:tcPr>
            <w:tcW w:w="4176" w:type="dxa"/>
          </w:tcPr>
          <w:p w14:paraId="05C75390" w14:textId="77777777" w:rsidR="0037683B" w:rsidRPr="00F71323" w:rsidRDefault="0037683B" w:rsidP="0037683B">
            <w:pPr>
              <w:pStyle w:val="Notedebasdepage"/>
              <w:ind w:left="0" w:firstLine="0"/>
              <w:rPr>
                <w:sz w:val="18"/>
                <w:szCs w:val="18"/>
              </w:rPr>
            </w:pPr>
            <w:r w:rsidRPr="00F71323">
              <w:rPr>
                <w:sz w:val="18"/>
                <w:szCs w:val="18"/>
              </w:rPr>
              <w:t>a) qu’elle est sans logement ou habite un logement inadéquat;</w:t>
            </w:r>
          </w:p>
        </w:tc>
      </w:tr>
      <w:tr w:rsidR="0037683B" w14:paraId="5FDC6974" w14:textId="77777777" w:rsidTr="00EF7873">
        <w:tc>
          <w:tcPr>
            <w:tcW w:w="4176" w:type="dxa"/>
          </w:tcPr>
          <w:p w14:paraId="2ECFEBF3" w14:textId="77777777" w:rsidR="0037683B" w:rsidRPr="00F71323" w:rsidRDefault="0037683B" w:rsidP="0037683B">
            <w:pPr>
              <w:pStyle w:val="Notedebasdepage"/>
              <w:rPr>
                <w:sz w:val="18"/>
                <w:szCs w:val="18"/>
                <w:lang w:val="en-CA"/>
              </w:rPr>
            </w:pPr>
            <w:r w:rsidRPr="00F71323">
              <w:rPr>
                <w:sz w:val="18"/>
                <w:szCs w:val="18"/>
                <w:lang w:val="en-CA"/>
              </w:rPr>
              <w:t>(b)  low levels of education;</w:t>
            </w:r>
          </w:p>
        </w:tc>
        <w:tc>
          <w:tcPr>
            <w:tcW w:w="4176" w:type="dxa"/>
          </w:tcPr>
          <w:p w14:paraId="799B8F7B" w14:textId="77777777" w:rsidR="0037683B" w:rsidRPr="00F71323" w:rsidRDefault="0037683B" w:rsidP="0037683B">
            <w:pPr>
              <w:pStyle w:val="Notedebasdepage"/>
              <w:ind w:left="0" w:firstLine="0"/>
              <w:rPr>
                <w:sz w:val="18"/>
                <w:szCs w:val="18"/>
              </w:rPr>
            </w:pPr>
            <w:r>
              <w:rPr>
                <w:sz w:val="18"/>
                <w:szCs w:val="18"/>
              </w:rPr>
              <w:t>b)</w:t>
            </w:r>
            <w:r>
              <w:t> </w:t>
            </w:r>
            <w:r w:rsidRPr="00F71323">
              <w:rPr>
                <w:sz w:val="18"/>
                <w:szCs w:val="18"/>
              </w:rPr>
              <w:t>qu'elle est peu scolarisée;</w:t>
            </w:r>
          </w:p>
        </w:tc>
      </w:tr>
      <w:tr w:rsidR="0037683B" w14:paraId="01292184" w14:textId="77777777" w:rsidTr="00EF7873">
        <w:tc>
          <w:tcPr>
            <w:tcW w:w="4176" w:type="dxa"/>
          </w:tcPr>
          <w:p w14:paraId="25C66614" w14:textId="77777777" w:rsidR="0037683B" w:rsidRPr="00F71323" w:rsidRDefault="0037683B" w:rsidP="0037683B">
            <w:pPr>
              <w:pStyle w:val="Notedebasdepage"/>
              <w:rPr>
                <w:sz w:val="18"/>
                <w:szCs w:val="18"/>
                <w:lang w:val="en-CA"/>
              </w:rPr>
            </w:pPr>
            <w:r w:rsidRPr="00F71323">
              <w:rPr>
                <w:sz w:val="18"/>
                <w:szCs w:val="18"/>
                <w:lang w:val="en-CA"/>
              </w:rPr>
              <w:t>(</w:t>
            </w:r>
            <w:r w:rsidRPr="00D05948">
              <w:rPr>
                <w:sz w:val="18"/>
                <w:szCs w:val="18"/>
                <w:lang w:val="en-CA"/>
              </w:rPr>
              <w:t>c</w:t>
            </w:r>
            <w:r w:rsidRPr="00F71323">
              <w:rPr>
                <w:sz w:val="18"/>
                <w:szCs w:val="18"/>
                <w:lang w:val="en-CA"/>
              </w:rPr>
              <w:t>)  chronic low income; or</w:t>
            </w:r>
          </w:p>
        </w:tc>
        <w:tc>
          <w:tcPr>
            <w:tcW w:w="4176" w:type="dxa"/>
          </w:tcPr>
          <w:p w14:paraId="4746C610" w14:textId="77777777" w:rsidR="0037683B" w:rsidRPr="00D05948" w:rsidRDefault="0037683B" w:rsidP="0037683B">
            <w:pPr>
              <w:pStyle w:val="Notedebasdepage"/>
              <w:ind w:left="0" w:firstLine="0"/>
              <w:rPr>
                <w:sz w:val="18"/>
                <w:szCs w:val="18"/>
              </w:rPr>
            </w:pPr>
            <w:r w:rsidRPr="00D05948">
              <w:rPr>
                <w:sz w:val="18"/>
                <w:szCs w:val="18"/>
              </w:rPr>
              <w:t>c)  que ses revenus sont toujours faibles;</w:t>
            </w:r>
          </w:p>
        </w:tc>
      </w:tr>
      <w:tr w:rsidR="0037683B" w14:paraId="65FFE283" w14:textId="77777777" w:rsidTr="00EF7873">
        <w:tc>
          <w:tcPr>
            <w:tcW w:w="4176" w:type="dxa"/>
          </w:tcPr>
          <w:p w14:paraId="21F7864B" w14:textId="77777777" w:rsidR="0037683B" w:rsidRPr="00F71323" w:rsidRDefault="0037683B" w:rsidP="0037683B">
            <w:pPr>
              <w:pStyle w:val="Notedebasdepage"/>
              <w:rPr>
                <w:sz w:val="18"/>
                <w:szCs w:val="18"/>
              </w:rPr>
            </w:pPr>
            <w:r w:rsidRPr="00F71323">
              <w:rPr>
                <w:sz w:val="18"/>
                <w:szCs w:val="18"/>
                <w:lang w:val="en-CA"/>
              </w:rPr>
              <w:t>(d)  chronic unemployment or underemployment; (« </w:t>
            </w:r>
            <w:proofErr w:type="spellStart"/>
            <w:r w:rsidRPr="00D05948">
              <w:rPr>
                <w:sz w:val="18"/>
                <w:szCs w:val="18"/>
                <w:lang w:val="en-CA"/>
              </w:rPr>
              <w:t>désavantage</w:t>
            </w:r>
            <w:proofErr w:type="spellEnd"/>
            <w:r w:rsidRPr="00D05948">
              <w:rPr>
                <w:sz w:val="18"/>
                <w:szCs w:val="18"/>
                <w:lang w:val="en-CA"/>
              </w:rPr>
              <w:t xml:space="preserve"> social</w:t>
            </w:r>
            <w:r w:rsidRPr="00F71323">
              <w:rPr>
                <w:sz w:val="18"/>
                <w:szCs w:val="18"/>
                <w:lang w:val="en-CA"/>
              </w:rPr>
              <w:t> »)</w:t>
            </w:r>
          </w:p>
        </w:tc>
        <w:tc>
          <w:tcPr>
            <w:tcW w:w="4176" w:type="dxa"/>
          </w:tcPr>
          <w:p w14:paraId="2FE7ADB6" w14:textId="77777777" w:rsidR="0037683B" w:rsidRPr="00F71323" w:rsidRDefault="0037683B" w:rsidP="0037683B">
            <w:pPr>
              <w:pStyle w:val="Notedebasdepage"/>
              <w:ind w:left="0" w:firstLine="0"/>
              <w:rPr>
                <w:sz w:val="18"/>
                <w:szCs w:val="18"/>
              </w:rPr>
            </w:pPr>
            <w:r>
              <w:rPr>
                <w:sz w:val="18"/>
                <w:szCs w:val="18"/>
              </w:rPr>
              <w:t>d)  qu’elle est chroniquement en chômage ou sous-employée. (“</w:t>
            </w:r>
            <w:r w:rsidRPr="00D05948">
              <w:rPr>
                <w:sz w:val="18"/>
                <w:szCs w:val="18"/>
              </w:rPr>
              <w:t xml:space="preserve">social </w:t>
            </w:r>
            <w:proofErr w:type="spellStart"/>
            <w:r w:rsidRPr="00D05948">
              <w:rPr>
                <w:sz w:val="18"/>
                <w:szCs w:val="18"/>
              </w:rPr>
              <w:t>disadvantage</w:t>
            </w:r>
            <w:proofErr w:type="spellEnd"/>
            <w:r>
              <w:rPr>
                <w:sz w:val="18"/>
                <w:szCs w:val="18"/>
              </w:rPr>
              <w:t>”)</w:t>
            </w:r>
          </w:p>
        </w:tc>
      </w:tr>
    </w:tbl>
    <w:p w14:paraId="08834E85" w14:textId="24A1B769" w:rsidR="00DA5A32" w:rsidRPr="0037683B" w:rsidRDefault="00DA5A32" w:rsidP="00DA5A32">
      <w:pPr>
        <w:pStyle w:val="Notedebasdepage"/>
        <w:rPr>
          <w:iCs/>
          <w:lang w:val="en-CA"/>
        </w:rPr>
      </w:pPr>
    </w:p>
  </w:footnote>
  <w:footnote w:id="63">
    <w:p w14:paraId="0115135C" w14:textId="17CAED14" w:rsidR="007A56C0" w:rsidRPr="00C77C54" w:rsidRDefault="007A56C0" w:rsidP="00C77C54">
      <w:pPr>
        <w:pStyle w:val="Notedebasdepage"/>
        <w:rPr>
          <w:lang w:val="en-CA"/>
        </w:rPr>
      </w:pPr>
      <w:r>
        <w:rPr>
          <w:rStyle w:val="Appelnotedebasdep"/>
        </w:rPr>
        <w:footnoteRef/>
      </w:r>
      <w:r w:rsidRPr="00FE21BE">
        <w:rPr>
          <w:lang w:val="en-CA"/>
        </w:rPr>
        <w:t xml:space="preserve"> </w:t>
      </w:r>
      <w:r w:rsidRPr="00FE21BE">
        <w:rPr>
          <w:lang w:val="en-CA"/>
        </w:rPr>
        <w:tab/>
      </w:r>
      <w:r w:rsidRPr="00D05948">
        <w:rPr>
          <w:i/>
          <w:lang w:val="en-CA"/>
        </w:rPr>
        <w:t xml:space="preserve">Gosselin </w:t>
      </w:r>
      <w:r w:rsidR="003D0A88" w:rsidRPr="00D05948">
        <w:rPr>
          <w:i/>
          <w:lang w:val="en-CA"/>
        </w:rPr>
        <w:t>v</w:t>
      </w:r>
      <w:r w:rsidRPr="00D05948">
        <w:rPr>
          <w:i/>
          <w:lang w:val="en-CA"/>
        </w:rPr>
        <w:t>. Québec (</w:t>
      </w:r>
      <w:r w:rsidR="003D0A88" w:rsidRPr="00D05948">
        <w:rPr>
          <w:i/>
          <w:lang w:val="en-CA"/>
        </w:rPr>
        <w:t>Attorney General)</w:t>
      </w:r>
      <w:r w:rsidR="003D0A88" w:rsidRPr="00D05948">
        <w:rPr>
          <w:iCs/>
          <w:lang w:val="en-CA"/>
        </w:rPr>
        <w:t>,</w:t>
      </w:r>
      <w:r w:rsidRPr="00D05948">
        <w:rPr>
          <w:lang w:val="en-CA"/>
        </w:rPr>
        <w:t xml:space="preserve"> [2002] 4 S.</w:t>
      </w:r>
      <w:r w:rsidR="003D0A88" w:rsidRPr="00FE21BE">
        <w:rPr>
          <w:lang w:val="en-CA"/>
        </w:rPr>
        <w:t>C.R.</w:t>
      </w:r>
      <w:r w:rsidRPr="00FE21BE">
        <w:rPr>
          <w:lang w:val="en-CA"/>
        </w:rPr>
        <w:t xml:space="preserve"> 429, </w:t>
      </w:r>
      <w:r w:rsidR="003D0A88" w:rsidRPr="00FE21BE">
        <w:rPr>
          <w:lang w:val="en-CA"/>
        </w:rPr>
        <w:t xml:space="preserve">which dealt with the issue of the validity under </w:t>
      </w:r>
      <w:r w:rsidR="001F1E84">
        <w:rPr>
          <w:lang w:val="en-CA"/>
        </w:rPr>
        <w:t>ss.</w:t>
      </w:r>
      <w:r w:rsidR="003D0A88" w:rsidRPr="00FE21BE">
        <w:rPr>
          <w:lang w:val="en-CA"/>
        </w:rPr>
        <w:t xml:space="preserve"> 7 and 15 of the </w:t>
      </w:r>
      <w:r w:rsidR="003D0A88" w:rsidRPr="00BB491F">
        <w:rPr>
          <w:i/>
          <w:iCs/>
          <w:lang w:val="en-CA"/>
        </w:rPr>
        <w:t>Canadian</w:t>
      </w:r>
      <w:r w:rsidR="003D0A88" w:rsidRPr="00FE21BE">
        <w:rPr>
          <w:lang w:val="en-CA"/>
        </w:rPr>
        <w:t xml:space="preserve"> </w:t>
      </w:r>
      <w:r w:rsidR="003D0A88" w:rsidRPr="00BB491F">
        <w:rPr>
          <w:i/>
          <w:iCs/>
          <w:lang w:val="en-CA"/>
        </w:rPr>
        <w:t>Charte</w:t>
      </w:r>
      <w:r w:rsidR="003D0A88" w:rsidRPr="00FE21BE">
        <w:rPr>
          <w:lang w:val="en-CA"/>
        </w:rPr>
        <w:t xml:space="preserve">r of a regulatory measure enacted </w:t>
      </w:r>
      <w:r w:rsidR="00DA23E0">
        <w:rPr>
          <w:lang w:val="en-CA"/>
        </w:rPr>
        <w:t>what was then the</w:t>
      </w:r>
      <w:r w:rsidR="003D0A88" w:rsidRPr="00FE21BE">
        <w:rPr>
          <w:lang w:val="en-CA"/>
        </w:rPr>
        <w:t xml:space="preserve"> </w:t>
      </w:r>
      <w:r w:rsidR="00FE21BE" w:rsidRPr="00BB491F">
        <w:rPr>
          <w:i/>
          <w:iCs/>
          <w:lang w:val="en-CA"/>
        </w:rPr>
        <w:t>Social Aid Act</w:t>
      </w:r>
      <w:r w:rsidRPr="00FE21BE">
        <w:rPr>
          <w:lang w:val="en-CA"/>
        </w:rPr>
        <w:t xml:space="preserve">, </w:t>
      </w:r>
      <w:r w:rsidR="00FE21BE">
        <w:rPr>
          <w:lang w:val="en-CA"/>
        </w:rPr>
        <w:t xml:space="preserve">does not deal with this subject. </w:t>
      </w:r>
      <w:r w:rsidR="00FE21BE" w:rsidRPr="00FE21BE">
        <w:rPr>
          <w:lang w:val="en-CA"/>
        </w:rPr>
        <w:t xml:space="preserve">The impugned measure distinguished persons under the age of </w:t>
      </w:r>
      <w:r w:rsidR="00FE21BE">
        <w:rPr>
          <w:lang w:val="en-CA"/>
        </w:rPr>
        <w:t>30 and those 30 years old and over.</w:t>
      </w:r>
      <w:r w:rsidRPr="00FE21BE">
        <w:rPr>
          <w:lang w:val="en-CA"/>
        </w:rPr>
        <w:t xml:space="preserve"> </w:t>
      </w:r>
      <w:r w:rsidRPr="00D05948">
        <w:rPr>
          <w:lang w:val="en-CA"/>
        </w:rPr>
        <w:t xml:space="preserve">Regarding </w:t>
      </w:r>
      <w:r w:rsidR="001F1E84">
        <w:rPr>
          <w:lang w:val="en-CA"/>
        </w:rPr>
        <w:t>s.</w:t>
      </w:r>
      <w:r w:rsidRPr="00FE21BE">
        <w:rPr>
          <w:lang w:val="en-CA"/>
        </w:rPr>
        <w:t xml:space="preserve"> 15, </w:t>
      </w:r>
      <w:r w:rsidR="00FE21BE" w:rsidRPr="00FE21BE">
        <w:rPr>
          <w:lang w:val="en-CA"/>
        </w:rPr>
        <w:t xml:space="preserve">the Supreme Court ruled on the matter </w:t>
      </w:r>
      <w:proofErr w:type="gramStart"/>
      <w:r w:rsidR="00FE21BE" w:rsidRPr="00FE21BE">
        <w:rPr>
          <w:lang w:val="en-CA"/>
        </w:rPr>
        <w:t xml:space="preserve">on the </w:t>
      </w:r>
      <w:r w:rsidR="00FE21BE">
        <w:rPr>
          <w:lang w:val="en-CA"/>
        </w:rPr>
        <w:t>basis</w:t>
      </w:r>
      <w:r w:rsidR="00FE21BE" w:rsidRPr="00FE21BE">
        <w:rPr>
          <w:lang w:val="en-CA"/>
        </w:rPr>
        <w:t xml:space="preserve"> of</w:t>
      </w:r>
      <w:proofErr w:type="gramEnd"/>
      <w:r w:rsidR="00FE21BE" w:rsidRPr="00FE21BE">
        <w:rPr>
          <w:lang w:val="en-CA"/>
        </w:rPr>
        <w:t xml:space="preserve"> age </w:t>
      </w:r>
      <w:r w:rsidRPr="00FE21BE">
        <w:rPr>
          <w:lang w:val="en-CA"/>
        </w:rPr>
        <w:t>(</w:t>
      </w:r>
      <w:r w:rsidR="00FE21BE" w:rsidRPr="00FE21BE">
        <w:rPr>
          <w:lang w:val="en-CA"/>
        </w:rPr>
        <w:t>e</w:t>
      </w:r>
      <w:r w:rsidR="00FE21BE">
        <w:rPr>
          <w:lang w:val="en-CA"/>
        </w:rPr>
        <w:t>numerated ground</w:t>
      </w:r>
      <w:r w:rsidRPr="00FE21BE">
        <w:rPr>
          <w:lang w:val="en-CA"/>
        </w:rPr>
        <w:t xml:space="preserve">) </w:t>
      </w:r>
      <w:r w:rsidR="00FE21BE">
        <w:rPr>
          <w:lang w:val="en-CA"/>
        </w:rPr>
        <w:t>and did not rule on social condition or status of social assistance recipient</w:t>
      </w:r>
      <w:r w:rsidRPr="00FE21BE">
        <w:rPr>
          <w:lang w:val="en-CA"/>
        </w:rPr>
        <w:t xml:space="preserve">. </w:t>
      </w:r>
      <w:r w:rsidR="00FE21BE" w:rsidRPr="00C77C54">
        <w:rPr>
          <w:lang w:val="en-CA"/>
        </w:rPr>
        <w:t xml:space="preserve">It also considered the matter from the perspective of </w:t>
      </w:r>
      <w:r w:rsidR="001F1E84">
        <w:rPr>
          <w:lang w:val="en-CA"/>
        </w:rPr>
        <w:t>s.</w:t>
      </w:r>
      <w:r w:rsidR="00FE21BE" w:rsidRPr="00C77C54">
        <w:rPr>
          <w:lang w:val="en-CA"/>
        </w:rPr>
        <w:t xml:space="preserve"> 45 of the </w:t>
      </w:r>
      <w:r w:rsidR="00FE21BE" w:rsidRPr="00BB491F">
        <w:rPr>
          <w:i/>
          <w:iCs/>
          <w:lang w:val="en-CA"/>
        </w:rPr>
        <w:t>Quebec</w:t>
      </w:r>
      <w:r w:rsidR="00FE21BE" w:rsidRPr="00C77C54">
        <w:rPr>
          <w:lang w:val="en-CA"/>
        </w:rPr>
        <w:t xml:space="preserve"> </w:t>
      </w:r>
      <w:r w:rsidR="00FE21BE" w:rsidRPr="00BB491F">
        <w:rPr>
          <w:i/>
          <w:iCs/>
          <w:lang w:val="en-CA"/>
        </w:rPr>
        <w:t>Charter</w:t>
      </w:r>
      <w:r w:rsidR="00FE21BE" w:rsidRPr="00C77C54">
        <w:rPr>
          <w:lang w:val="en-CA"/>
        </w:rPr>
        <w:t>, which </w:t>
      </w:r>
      <w:r w:rsidR="00C77C54">
        <w:rPr>
          <w:lang w:val="en-CA"/>
        </w:rPr>
        <w:t>“r</w:t>
      </w:r>
      <w:r w:rsidR="00C77C54" w:rsidRPr="00C77C54">
        <w:rPr>
          <w:lang w:val="en-CA"/>
        </w:rPr>
        <w:t>equires the government to provide social assistance measures, but it places the adequacy of the particular measures adopted beyond the reach of judicial review</w:t>
      </w:r>
      <w:r w:rsidR="00C77C54">
        <w:rPr>
          <w:lang w:val="en-CA"/>
        </w:rPr>
        <w:t xml:space="preserve">” (para. 88 of the majority reasons of McLachlin CJ; see also paras. </w:t>
      </w:r>
      <w:r w:rsidRPr="00C77C54">
        <w:rPr>
          <w:lang w:val="en-CA"/>
        </w:rPr>
        <w:t>302, 396</w:t>
      </w:r>
      <w:r w:rsidR="00C77C54" w:rsidRPr="00C77C54">
        <w:rPr>
          <w:lang w:val="en-CA"/>
        </w:rPr>
        <w:t xml:space="preserve">, and </w:t>
      </w:r>
      <w:r w:rsidRPr="00C77C54">
        <w:rPr>
          <w:lang w:val="en-CA"/>
        </w:rPr>
        <w:t>415, respectiv</w:t>
      </w:r>
      <w:r w:rsidR="00C77C54" w:rsidRPr="00C77C54">
        <w:rPr>
          <w:lang w:val="en-CA"/>
        </w:rPr>
        <w:t>ely</w:t>
      </w:r>
      <w:r w:rsidRPr="00C77C54">
        <w:rPr>
          <w:lang w:val="en-CA"/>
        </w:rPr>
        <w:t xml:space="preserve">, </w:t>
      </w:r>
      <w:r w:rsidR="00C77C54" w:rsidRPr="00C77C54">
        <w:rPr>
          <w:lang w:val="en-CA"/>
        </w:rPr>
        <w:t xml:space="preserve">of the dissenting reasons of </w:t>
      </w:r>
      <w:r w:rsidRPr="00C77C54">
        <w:rPr>
          <w:lang w:val="en-CA"/>
        </w:rPr>
        <w:t xml:space="preserve">Arbour </w:t>
      </w:r>
      <w:r w:rsidR="00C77C54">
        <w:rPr>
          <w:lang w:val="en-CA"/>
        </w:rPr>
        <w:t>and</w:t>
      </w:r>
      <w:r w:rsidRPr="00C77C54">
        <w:rPr>
          <w:lang w:val="en-CA"/>
        </w:rPr>
        <w:t xml:space="preserve"> </w:t>
      </w:r>
      <w:proofErr w:type="spellStart"/>
      <w:r w:rsidRPr="00C77C54">
        <w:rPr>
          <w:lang w:val="en-CA"/>
        </w:rPr>
        <w:t>LeBel</w:t>
      </w:r>
      <w:proofErr w:type="spellEnd"/>
      <w:r w:rsidR="00C77C54">
        <w:rPr>
          <w:lang w:val="en-CA"/>
        </w:rPr>
        <w:t xml:space="preserve"> J</w:t>
      </w:r>
      <w:r w:rsidR="00DA23E0">
        <w:rPr>
          <w:lang w:val="en-CA"/>
        </w:rPr>
        <w:t>J</w:t>
      </w:r>
      <w:r w:rsidR="00C77C54">
        <w:rPr>
          <w:lang w:val="en-CA"/>
        </w:rPr>
        <w:t>.</w:t>
      </w:r>
      <w:r w:rsidRPr="00C77C54">
        <w:rPr>
          <w:lang w:val="en-CA"/>
        </w:rPr>
        <w:t>).</w:t>
      </w:r>
      <w:r w:rsidR="00C77C54">
        <w:rPr>
          <w:lang w:val="en-CA"/>
        </w:rPr>
        <w:t xml:space="preserve"> </w:t>
      </w:r>
      <w:r w:rsidR="00C77C54" w:rsidRPr="00C77C54">
        <w:rPr>
          <w:lang w:val="en-CA"/>
        </w:rPr>
        <w:t xml:space="preserve">We note, however, that the issue related to </w:t>
      </w:r>
      <w:r w:rsidR="001F1E84">
        <w:rPr>
          <w:lang w:val="en-CA"/>
        </w:rPr>
        <w:t>s.</w:t>
      </w:r>
      <w:r w:rsidR="00C77C54" w:rsidRPr="00C77C54">
        <w:rPr>
          <w:lang w:val="en-CA"/>
        </w:rPr>
        <w:t xml:space="preserve"> 45 of the </w:t>
      </w:r>
      <w:r w:rsidR="00C77C54" w:rsidRPr="00BB491F">
        <w:rPr>
          <w:i/>
          <w:iCs/>
          <w:lang w:val="en-CA"/>
        </w:rPr>
        <w:t>Quebec</w:t>
      </w:r>
      <w:r w:rsidR="00C77C54">
        <w:rPr>
          <w:lang w:val="en-CA"/>
        </w:rPr>
        <w:t xml:space="preserve"> </w:t>
      </w:r>
      <w:r w:rsidR="00C77C54" w:rsidRPr="00BB491F">
        <w:rPr>
          <w:i/>
          <w:iCs/>
          <w:lang w:val="en-CA"/>
        </w:rPr>
        <w:t>Charter</w:t>
      </w:r>
      <w:r w:rsidR="00C77C54">
        <w:rPr>
          <w:lang w:val="en-CA"/>
        </w:rPr>
        <w:t xml:space="preserve"> is discussed without </w:t>
      </w:r>
      <w:r w:rsidR="00DA23E0">
        <w:rPr>
          <w:lang w:val="en-CA"/>
        </w:rPr>
        <w:t>reference to</w:t>
      </w:r>
      <w:r w:rsidR="00C77C54">
        <w:rPr>
          <w:lang w:val="en-CA"/>
        </w:rPr>
        <w:t xml:space="preserve"> </w:t>
      </w:r>
      <w:r w:rsidR="001F1E84">
        <w:rPr>
          <w:lang w:val="en-CA"/>
        </w:rPr>
        <w:t>s.</w:t>
      </w:r>
      <w:r w:rsidR="00C77C54">
        <w:rPr>
          <w:lang w:val="en-CA"/>
        </w:rPr>
        <w:t xml:space="preserve"> 10 of that</w:t>
      </w:r>
      <w:r w:rsidR="00BB491F">
        <w:rPr>
          <w:lang w:val="en-CA"/>
        </w:rPr>
        <w:t xml:space="preserve"> same</w:t>
      </w:r>
      <w:r w:rsidR="00C77C54">
        <w:rPr>
          <w:lang w:val="en-CA"/>
        </w:rPr>
        <w:t xml:space="preserve"> </w:t>
      </w:r>
      <w:r w:rsidR="00C77C54" w:rsidRPr="00BB491F">
        <w:rPr>
          <w:i/>
          <w:iCs/>
          <w:lang w:val="en-CA"/>
        </w:rPr>
        <w:t>Charter</w:t>
      </w:r>
      <w:r w:rsidR="00C77C54">
        <w:rPr>
          <w:lang w:val="en-CA"/>
        </w:rPr>
        <w:t xml:space="preserve">. </w:t>
      </w:r>
      <w:r w:rsidRPr="00C77C54">
        <w:rPr>
          <w:lang w:val="en-CA"/>
        </w:rPr>
        <w:t xml:space="preserve"> </w:t>
      </w:r>
    </w:p>
    <w:p w14:paraId="20946FF7" w14:textId="7A485ED6" w:rsidR="007A56C0" w:rsidRPr="00C77C54" w:rsidRDefault="007A56C0" w:rsidP="007A56C0">
      <w:pPr>
        <w:pStyle w:val="Notedebasdepage"/>
        <w:rPr>
          <w:i/>
          <w:lang w:val="en-CA"/>
        </w:rPr>
      </w:pPr>
      <w:r w:rsidRPr="00C77C54">
        <w:rPr>
          <w:lang w:val="en-CA"/>
        </w:rPr>
        <w:tab/>
      </w:r>
      <w:r w:rsidR="00C77C54" w:rsidRPr="00C77C54">
        <w:rPr>
          <w:lang w:val="en-CA"/>
        </w:rPr>
        <w:t xml:space="preserve">For a recent </w:t>
      </w:r>
      <w:r w:rsidRPr="00C77C54">
        <w:rPr>
          <w:lang w:val="en-CA"/>
        </w:rPr>
        <w:t xml:space="preserve">critique </w:t>
      </w:r>
      <w:r w:rsidR="00C77C54" w:rsidRPr="00C77C54">
        <w:rPr>
          <w:lang w:val="en-CA"/>
        </w:rPr>
        <w:t xml:space="preserve">of </w:t>
      </w:r>
      <w:r w:rsidRPr="00C77C54">
        <w:rPr>
          <w:i/>
          <w:lang w:val="en-CA"/>
        </w:rPr>
        <w:t>Gosselin</w:t>
      </w:r>
      <w:r w:rsidR="00BB491F">
        <w:rPr>
          <w:lang w:val="en-CA"/>
        </w:rPr>
        <w:t xml:space="preserve"> </w:t>
      </w:r>
      <w:r w:rsidR="00C77C54" w:rsidRPr="00C77C54">
        <w:rPr>
          <w:lang w:val="en-CA"/>
        </w:rPr>
        <w:t xml:space="preserve">from the perspective of </w:t>
      </w:r>
      <w:r w:rsidR="001F1E84">
        <w:rPr>
          <w:lang w:val="en-CA"/>
        </w:rPr>
        <w:t>s.</w:t>
      </w:r>
      <w:r w:rsidR="00C77C54" w:rsidRPr="00C77C54">
        <w:rPr>
          <w:lang w:val="en-CA"/>
        </w:rPr>
        <w:t xml:space="preserve"> </w:t>
      </w:r>
      <w:r w:rsidRPr="00C77C54">
        <w:rPr>
          <w:lang w:val="en-CA"/>
        </w:rPr>
        <w:t xml:space="preserve">7 </w:t>
      </w:r>
      <w:r w:rsidR="00C77C54" w:rsidRPr="00C77C54">
        <w:rPr>
          <w:lang w:val="en-CA"/>
        </w:rPr>
        <w:t xml:space="preserve">of the </w:t>
      </w:r>
      <w:r w:rsidR="00C77C54" w:rsidRPr="00BB491F">
        <w:rPr>
          <w:i/>
          <w:iCs/>
          <w:lang w:val="en-CA"/>
        </w:rPr>
        <w:t>Canadian Charter</w:t>
      </w:r>
      <w:r w:rsidR="00C77C54" w:rsidRPr="00C77C54">
        <w:rPr>
          <w:lang w:val="en-CA"/>
        </w:rPr>
        <w:t>, see</w:t>
      </w:r>
      <w:r w:rsidRPr="00C77C54">
        <w:rPr>
          <w:lang w:val="en-CA"/>
        </w:rPr>
        <w:t xml:space="preserve"> Martha Jackman, </w:t>
      </w:r>
      <w:r w:rsidR="00C77C54">
        <w:rPr>
          <w:lang w:val="en-CA"/>
        </w:rPr>
        <w:t>“</w:t>
      </w:r>
      <w:r w:rsidRPr="00C77C54">
        <w:rPr>
          <w:lang w:val="en-CA"/>
        </w:rPr>
        <w:t xml:space="preserve">One Step Forward and two Steps Back: Poverty, the </w:t>
      </w:r>
      <w:r w:rsidRPr="00C77C54">
        <w:rPr>
          <w:i/>
          <w:lang w:val="en-CA"/>
        </w:rPr>
        <w:t>Charter</w:t>
      </w:r>
      <w:r w:rsidRPr="00C77C54">
        <w:rPr>
          <w:lang w:val="en-CA"/>
        </w:rPr>
        <w:t xml:space="preserve"> and the Legacy of </w:t>
      </w:r>
      <w:r w:rsidRPr="00C77C54">
        <w:rPr>
          <w:i/>
          <w:lang w:val="en-CA"/>
        </w:rPr>
        <w:t>Gosselin</w:t>
      </w:r>
      <w:r w:rsidR="00C77C54">
        <w:rPr>
          <w:i/>
          <w:lang w:val="en-CA"/>
        </w:rPr>
        <w:t>”</w:t>
      </w:r>
      <w:r w:rsidRPr="00C77C54">
        <w:rPr>
          <w:lang w:val="en-CA"/>
        </w:rPr>
        <w:t xml:space="preserve"> [2019] 32 N.J.C.L. 85</w:t>
      </w:r>
      <w:r w:rsidR="00C77C54">
        <w:rPr>
          <w:lang w:val="en-CA"/>
        </w:rPr>
        <w:t xml:space="preserve"> and “</w:t>
      </w:r>
      <w:r w:rsidRPr="00C77C54">
        <w:rPr>
          <w:lang w:val="en-CA"/>
        </w:rPr>
        <w:t xml:space="preserve">Un pas </w:t>
      </w:r>
      <w:proofErr w:type="spellStart"/>
      <w:r w:rsidRPr="00C77C54">
        <w:rPr>
          <w:lang w:val="en-CA"/>
        </w:rPr>
        <w:t>en</w:t>
      </w:r>
      <w:proofErr w:type="spellEnd"/>
      <w:r w:rsidRPr="00C77C54">
        <w:rPr>
          <w:lang w:val="en-CA"/>
        </w:rPr>
        <w:t xml:space="preserve"> </w:t>
      </w:r>
      <w:proofErr w:type="spellStart"/>
      <w:r w:rsidRPr="00C77C54">
        <w:rPr>
          <w:lang w:val="en-CA"/>
        </w:rPr>
        <w:t>avant</w:t>
      </w:r>
      <w:proofErr w:type="spellEnd"/>
      <w:r w:rsidRPr="00C77C54">
        <w:rPr>
          <w:lang w:val="en-CA"/>
        </w:rPr>
        <w:t xml:space="preserve">, deux pas </w:t>
      </w:r>
      <w:proofErr w:type="spellStart"/>
      <w:r w:rsidRPr="00C77C54">
        <w:rPr>
          <w:lang w:val="en-CA"/>
        </w:rPr>
        <w:t>en</w:t>
      </w:r>
      <w:proofErr w:type="spellEnd"/>
      <w:r w:rsidRPr="00C77C54">
        <w:rPr>
          <w:lang w:val="en-CA"/>
        </w:rPr>
        <w:t xml:space="preserve"> </w:t>
      </w:r>
      <w:proofErr w:type="spellStart"/>
      <w:r w:rsidRPr="00C77C54">
        <w:rPr>
          <w:lang w:val="en-CA"/>
        </w:rPr>
        <w:t>arrière</w:t>
      </w:r>
      <w:proofErr w:type="spellEnd"/>
      <w:r w:rsidRPr="00C77C54">
        <w:rPr>
          <w:lang w:val="en-CA"/>
        </w:rPr>
        <w:t xml:space="preserve">: la </w:t>
      </w:r>
      <w:proofErr w:type="spellStart"/>
      <w:r w:rsidRPr="00C77C54">
        <w:rPr>
          <w:lang w:val="en-CA"/>
        </w:rPr>
        <w:t>pauvreté</w:t>
      </w:r>
      <w:proofErr w:type="spellEnd"/>
      <w:r w:rsidRPr="00C77C54">
        <w:rPr>
          <w:lang w:val="en-CA"/>
        </w:rPr>
        <w:t xml:space="preserve">, la </w:t>
      </w:r>
      <w:proofErr w:type="spellStart"/>
      <w:r w:rsidRPr="00D05948">
        <w:rPr>
          <w:i/>
          <w:lang w:val="en-CA"/>
        </w:rPr>
        <w:t>Charte</w:t>
      </w:r>
      <w:proofErr w:type="spellEnd"/>
      <w:r w:rsidRPr="00D05948">
        <w:rPr>
          <w:i/>
          <w:lang w:val="en-CA"/>
        </w:rPr>
        <w:t xml:space="preserve"> </w:t>
      </w:r>
      <w:proofErr w:type="spellStart"/>
      <w:r w:rsidRPr="00D05948">
        <w:rPr>
          <w:i/>
          <w:lang w:val="en-CA"/>
        </w:rPr>
        <w:t>canadienne</w:t>
      </w:r>
      <w:proofErr w:type="spellEnd"/>
      <w:r w:rsidRPr="00D05948">
        <w:rPr>
          <w:i/>
          <w:lang w:val="en-CA"/>
        </w:rPr>
        <w:t xml:space="preserve"> des droits et </w:t>
      </w:r>
      <w:proofErr w:type="spellStart"/>
      <w:r w:rsidRPr="00D05948">
        <w:rPr>
          <w:i/>
          <w:lang w:val="en-CA"/>
        </w:rPr>
        <w:t>libertés</w:t>
      </w:r>
      <w:proofErr w:type="spellEnd"/>
      <w:r w:rsidRPr="00C77C54">
        <w:rPr>
          <w:lang w:val="en-CA"/>
        </w:rPr>
        <w:t xml:space="preserve"> et </w:t>
      </w:r>
      <w:proofErr w:type="spellStart"/>
      <w:r w:rsidRPr="00C77C54">
        <w:rPr>
          <w:lang w:val="en-CA"/>
        </w:rPr>
        <w:t>l'héritage</w:t>
      </w:r>
      <w:proofErr w:type="spellEnd"/>
      <w:r w:rsidRPr="00C77C54">
        <w:rPr>
          <w:lang w:val="en-CA"/>
        </w:rPr>
        <w:t xml:space="preserve"> de </w:t>
      </w:r>
      <w:proofErr w:type="spellStart"/>
      <w:r w:rsidRPr="00C77C54">
        <w:rPr>
          <w:lang w:val="en-CA"/>
        </w:rPr>
        <w:t>l'affaire</w:t>
      </w:r>
      <w:proofErr w:type="spellEnd"/>
      <w:r w:rsidRPr="00C77C54">
        <w:rPr>
          <w:lang w:val="en-CA"/>
        </w:rPr>
        <w:t xml:space="preserve"> Gosselin </w:t>
      </w:r>
      <w:r w:rsidRPr="00D05948">
        <w:rPr>
          <w:lang w:val="en-CA"/>
        </w:rPr>
        <w:t>c</w:t>
      </w:r>
      <w:r w:rsidRPr="00C77C54">
        <w:rPr>
          <w:lang w:val="en-CA"/>
        </w:rPr>
        <w:t>. Québec</w:t>
      </w:r>
      <w:r w:rsidR="00C77C54">
        <w:rPr>
          <w:lang w:val="en-CA"/>
        </w:rPr>
        <w:t>”</w:t>
      </w:r>
      <w:r w:rsidRPr="00C77C54">
        <w:rPr>
          <w:lang w:val="en-CA"/>
        </w:rPr>
        <w:t xml:space="preserve"> (2020) 61 </w:t>
      </w:r>
      <w:r w:rsidRPr="00D05948">
        <w:rPr>
          <w:i/>
          <w:lang w:val="en-CA"/>
        </w:rPr>
        <w:t>C</w:t>
      </w:r>
      <w:r w:rsidRPr="00C77C54">
        <w:rPr>
          <w:i/>
          <w:lang w:val="en-CA"/>
        </w:rPr>
        <w:t>. de D.</w:t>
      </w:r>
      <w:r w:rsidRPr="00C77C54">
        <w:rPr>
          <w:lang w:val="en-CA"/>
        </w:rPr>
        <w:t xml:space="preserve"> 427.</w:t>
      </w:r>
    </w:p>
  </w:footnote>
  <w:footnote w:id="64">
    <w:p w14:paraId="2A4F5630" w14:textId="7C23EC77" w:rsidR="007A56C0" w:rsidRPr="00233CDA" w:rsidRDefault="007A56C0" w:rsidP="007A56C0">
      <w:pPr>
        <w:pStyle w:val="Notedebasdepage"/>
      </w:pPr>
      <w:r>
        <w:rPr>
          <w:rStyle w:val="Appelnotedebasdep"/>
        </w:rPr>
        <w:footnoteRef/>
      </w:r>
      <w:r w:rsidRPr="009B4D3D">
        <w:rPr>
          <w:lang w:val="en-CA"/>
        </w:rPr>
        <w:t xml:space="preserve"> </w:t>
      </w:r>
      <w:r w:rsidRPr="009B4D3D">
        <w:rPr>
          <w:lang w:val="en-CA"/>
        </w:rPr>
        <w:tab/>
      </w:r>
      <w:r w:rsidR="009B4D3D" w:rsidRPr="00D05948">
        <w:rPr>
          <w:lang w:val="en-CA"/>
        </w:rPr>
        <w:t>See e.g.,</w:t>
      </w:r>
      <w:r w:rsidR="00C77C54">
        <w:rPr>
          <w:lang w:val="en-CA"/>
        </w:rPr>
        <w:t xml:space="preserve"> </w:t>
      </w:r>
      <w:r w:rsidRPr="00D05948">
        <w:rPr>
          <w:i/>
          <w:lang w:val="en-CA"/>
        </w:rPr>
        <w:t xml:space="preserve">Begum </w:t>
      </w:r>
      <w:r w:rsidR="00BB491F">
        <w:rPr>
          <w:i/>
          <w:lang w:val="en-CA"/>
        </w:rPr>
        <w:t>v</w:t>
      </w:r>
      <w:r w:rsidRPr="00D05948">
        <w:rPr>
          <w:i/>
          <w:lang w:val="en-CA"/>
        </w:rPr>
        <w:t>. Canada</w:t>
      </w:r>
      <w:r w:rsidRPr="00D05948">
        <w:rPr>
          <w:lang w:val="en-CA"/>
        </w:rPr>
        <w:t xml:space="preserve">, </w:t>
      </w:r>
      <w:r w:rsidR="00C77C54" w:rsidRPr="00BB491F">
        <w:rPr>
          <w:i/>
          <w:iCs/>
          <w:lang w:val="en-CA"/>
        </w:rPr>
        <w:t>supra</w:t>
      </w:r>
      <w:r w:rsidR="00C77C54" w:rsidRPr="00D05948">
        <w:rPr>
          <w:lang w:val="en-CA"/>
        </w:rPr>
        <w:t xml:space="preserve"> </w:t>
      </w:r>
      <w:r w:rsidRPr="00D05948">
        <w:rPr>
          <w:lang w:val="en-CA"/>
        </w:rPr>
        <w:t>note</w:t>
      </w:r>
      <w:r w:rsidRPr="009B4D3D">
        <w:rPr>
          <w:lang w:val="en-CA"/>
        </w:rPr>
        <w:t xml:space="preserve"> </w:t>
      </w:r>
      <w:r>
        <w:fldChar w:fldCharType="begin"/>
      </w:r>
      <w:r w:rsidRPr="009B4D3D">
        <w:rPr>
          <w:lang w:val="en-CA"/>
        </w:rPr>
        <w:instrText xml:space="preserve"> NOTEREF _Ref72575583 \h </w:instrText>
      </w:r>
      <w:r>
        <w:fldChar w:fldCharType="separate"/>
      </w:r>
      <w:r w:rsidRPr="009B4D3D">
        <w:rPr>
          <w:lang w:val="en-CA"/>
        </w:rPr>
        <w:t>49</w:t>
      </w:r>
      <w:r>
        <w:fldChar w:fldCharType="end"/>
      </w:r>
      <w:r w:rsidR="00C77C54" w:rsidRPr="00C77C54">
        <w:rPr>
          <w:lang w:val="en-CA"/>
        </w:rPr>
        <w:t xml:space="preserve"> </w:t>
      </w:r>
      <w:r w:rsidR="009B4D3D" w:rsidRPr="00D05948">
        <w:rPr>
          <w:lang w:val="en-CA"/>
        </w:rPr>
        <w:t>at para.</w:t>
      </w:r>
      <w:r w:rsidRPr="009B4D3D">
        <w:rPr>
          <w:lang w:val="en-CA"/>
        </w:rPr>
        <w:t xml:space="preserve"> </w:t>
      </w:r>
      <w:r w:rsidRPr="00D05948">
        <w:rPr>
          <w:lang w:val="en-CA"/>
        </w:rPr>
        <w:t xml:space="preserve">81; </w:t>
      </w:r>
      <w:r w:rsidRPr="00D05948">
        <w:rPr>
          <w:i/>
          <w:lang w:val="en-CA"/>
        </w:rPr>
        <w:t>Boulter v. Nova Scotia Power Inc.</w:t>
      </w:r>
      <w:r w:rsidRPr="00D05948">
        <w:rPr>
          <w:lang w:val="en-CA"/>
        </w:rPr>
        <w:t>, 2009 NSCA 17</w:t>
      </w:r>
      <w:r w:rsidR="000542C7" w:rsidRPr="00D05948">
        <w:rPr>
          <w:lang w:val="en-CA"/>
        </w:rPr>
        <w:t xml:space="preserve">, leave to appeal to SCC </w:t>
      </w:r>
      <w:r w:rsidR="00E54323">
        <w:rPr>
          <w:lang w:val="en-CA"/>
        </w:rPr>
        <w:t xml:space="preserve">refused, 33124 </w:t>
      </w:r>
      <w:r w:rsidR="000542C7" w:rsidRPr="00D05948">
        <w:rPr>
          <w:lang w:val="en-CA"/>
        </w:rPr>
        <w:t>(10 September 2009</w:t>
      </w:r>
      <w:r w:rsidR="00E54323">
        <w:rPr>
          <w:lang w:val="en-CA"/>
        </w:rPr>
        <w:t>)</w:t>
      </w:r>
      <w:r w:rsidR="000542C7" w:rsidRPr="00D05948">
        <w:rPr>
          <w:lang w:val="en-CA"/>
        </w:rPr>
        <w:t xml:space="preserve"> at </w:t>
      </w:r>
      <w:r w:rsidRPr="00D05948">
        <w:rPr>
          <w:lang w:val="en-CA"/>
        </w:rPr>
        <w:t>para.</w:t>
      </w:r>
      <w:r w:rsidRPr="000542C7">
        <w:rPr>
          <w:lang w:val="en-CA"/>
        </w:rPr>
        <w:t xml:space="preserve"> </w:t>
      </w:r>
      <w:r w:rsidRPr="00D05948">
        <w:rPr>
          <w:lang w:val="en-CA"/>
        </w:rPr>
        <w:t xml:space="preserve">33 </w:t>
      </w:r>
      <w:r w:rsidR="004B4684" w:rsidRPr="004B4684">
        <w:rPr>
          <w:i/>
          <w:lang w:val="en-CA"/>
        </w:rPr>
        <w:t>et seq</w:t>
      </w:r>
      <w:r w:rsidRPr="00D05948">
        <w:rPr>
          <w:lang w:val="en-CA"/>
        </w:rPr>
        <w:t xml:space="preserve">.; </w:t>
      </w:r>
      <w:r w:rsidRPr="00D05948">
        <w:rPr>
          <w:i/>
          <w:lang w:val="en-CA"/>
        </w:rPr>
        <w:t xml:space="preserve">Toussaint </w:t>
      </w:r>
      <w:r w:rsidR="000542C7" w:rsidRPr="00D05948">
        <w:rPr>
          <w:i/>
          <w:lang w:val="en-CA"/>
        </w:rPr>
        <w:t>v</w:t>
      </w:r>
      <w:r w:rsidRPr="00D05948">
        <w:rPr>
          <w:i/>
          <w:lang w:val="en-CA"/>
        </w:rPr>
        <w:t>. Canada (Minist</w:t>
      </w:r>
      <w:r w:rsidR="000542C7" w:rsidRPr="00D05948">
        <w:rPr>
          <w:i/>
          <w:lang w:val="en-CA"/>
        </w:rPr>
        <w:t>er of Citizenship and I</w:t>
      </w:r>
      <w:r w:rsidRPr="00D05948">
        <w:rPr>
          <w:i/>
          <w:lang w:val="en-CA"/>
        </w:rPr>
        <w:t>mmigration)</w:t>
      </w:r>
      <w:r w:rsidRPr="00D05948">
        <w:rPr>
          <w:lang w:val="en-CA"/>
        </w:rPr>
        <w:t xml:space="preserve">, 2011 </w:t>
      </w:r>
      <w:r w:rsidR="000542C7" w:rsidRPr="00D05948">
        <w:rPr>
          <w:lang w:val="en-CA"/>
        </w:rPr>
        <w:t>FCA</w:t>
      </w:r>
      <w:r w:rsidRPr="00D05948">
        <w:rPr>
          <w:lang w:val="en-CA"/>
        </w:rPr>
        <w:t xml:space="preserve"> 146 (</w:t>
      </w:r>
      <w:r w:rsidR="000542C7" w:rsidRPr="00D05948">
        <w:rPr>
          <w:lang w:val="en-CA"/>
        </w:rPr>
        <w:t xml:space="preserve">leave to appeal to SCC </w:t>
      </w:r>
      <w:r w:rsidR="00E54323">
        <w:rPr>
          <w:lang w:val="en-CA"/>
        </w:rPr>
        <w:t xml:space="preserve">refused, 34336 </w:t>
      </w:r>
      <w:r w:rsidR="000542C7" w:rsidRPr="00D05948">
        <w:rPr>
          <w:lang w:val="en-CA"/>
        </w:rPr>
        <w:t>(</w:t>
      </w:r>
      <w:r w:rsidRPr="00D05948">
        <w:rPr>
          <w:lang w:val="en-CA"/>
        </w:rPr>
        <w:t xml:space="preserve">3 </w:t>
      </w:r>
      <w:r w:rsidR="000542C7" w:rsidRPr="00D05948">
        <w:rPr>
          <w:lang w:val="en-CA"/>
        </w:rPr>
        <w:t xml:space="preserve">November </w:t>
      </w:r>
      <w:r w:rsidRPr="00D05948">
        <w:rPr>
          <w:lang w:val="en-CA"/>
        </w:rPr>
        <w:t>2011</w:t>
      </w:r>
      <w:r w:rsidR="000542C7" w:rsidRPr="00D05948">
        <w:rPr>
          <w:lang w:val="en-CA"/>
        </w:rPr>
        <w:t>) at para</w:t>
      </w:r>
      <w:r w:rsidR="000542C7" w:rsidRPr="000542C7">
        <w:rPr>
          <w:lang w:val="en-CA"/>
        </w:rPr>
        <w:t>.</w:t>
      </w:r>
      <w:r w:rsidRPr="000542C7">
        <w:rPr>
          <w:lang w:val="en-CA"/>
        </w:rPr>
        <w:t xml:space="preserve"> 59(3) (</w:t>
      </w:r>
      <w:r w:rsidR="00775721">
        <w:rPr>
          <w:lang w:val="en-CA"/>
        </w:rPr>
        <w:t xml:space="preserve">in </w:t>
      </w:r>
      <w:r w:rsidRPr="000542C7">
        <w:rPr>
          <w:i/>
          <w:lang w:val="en-CA"/>
        </w:rPr>
        <w:t>obiter</w:t>
      </w:r>
      <w:r w:rsidRPr="000542C7">
        <w:rPr>
          <w:lang w:val="en-CA"/>
        </w:rPr>
        <w:t xml:space="preserve">); </w:t>
      </w:r>
      <w:r w:rsidRPr="000542C7">
        <w:rPr>
          <w:i/>
          <w:lang w:val="en-CA"/>
        </w:rPr>
        <w:t>Guzman</w:t>
      </w:r>
      <w:r w:rsidR="000542C7" w:rsidRPr="000542C7">
        <w:rPr>
          <w:i/>
          <w:lang w:val="en-CA"/>
        </w:rPr>
        <w:t xml:space="preserve"> v</w:t>
      </w:r>
      <w:r w:rsidRPr="000542C7">
        <w:rPr>
          <w:i/>
          <w:lang w:val="en-CA"/>
        </w:rPr>
        <w:t>. Canada (</w:t>
      </w:r>
      <w:r w:rsidRPr="00D05948">
        <w:rPr>
          <w:i/>
          <w:lang w:val="en-CA"/>
        </w:rPr>
        <w:t>Minist</w:t>
      </w:r>
      <w:r w:rsidR="000542C7" w:rsidRPr="00D05948">
        <w:rPr>
          <w:i/>
          <w:lang w:val="en-CA"/>
        </w:rPr>
        <w:t>er</w:t>
      </w:r>
      <w:r w:rsidRPr="00D05948">
        <w:rPr>
          <w:i/>
          <w:lang w:val="en-CA"/>
        </w:rPr>
        <w:t xml:space="preserve"> </w:t>
      </w:r>
      <w:r w:rsidR="000542C7" w:rsidRPr="00D05948">
        <w:rPr>
          <w:i/>
          <w:lang w:val="en-CA"/>
        </w:rPr>
        <w:t>of Citizenship and Immigration</w:t>
      </w:r>
      <w:r w:rsidRPr="000542C7">
        <w:rPr>
          <w:i/>
          <w:lang w:val="en-CA"/>
        </w:rPr>
        <w:t>)</w:t>
      </w:r>
      <w:r w:rsidRPr="000542C7">
        <w:rPr>
          <w:lang w:val="en-CA"/>
        </w:rPr>
        <w:t xml:space="preserve">, 2006 </w:t>
      </w:r>
      <w:r w:rsidR="000542C7" w:rsidRPr="000542C7">
        <w:rPr>
          <w:lang w:val="en-CA"/>
        </w:rPr>
        <w:t xml:space="preserve">FC </w:t>
      </w:r>
      <w:r w:rsidRPr="000542C7">
        <w:rPr>
          <w:lang w:val="en-CA"/>
        </w:rPr>
        <w:t>1134 (</w:t>
      </w:r>
      <w:r w:rsidRPr="00D05948">
        <w:rPr>
          <w:lang w:val="en-CA"/>
        </w:rPr>
        <w:t>appe</w:t>
      </w:r>
      <w:r w:rsidR="000542C7" w:rsidRPr="00D05948">
        <w:rPr>
          <w:lang w:val="en-CA"/>
        </w:rPr>
        <w:t xml:space="preserve">al dismissed </w:t>
      </w:r>
      <w:r w:rsidR="00E54323">
        <w:rPr>
          <w:lang w:val="en-CA"/>
        </w:rPr>
        <w:t>for</w:t>
      </w:r>
      <w:r w:rsidR="000542C7" w:rsidRPr="00D05948">
        <w:rPr>
          <w:lang w:val="en-CA"/>
        </w:rPr>
        <w:t xml:space="preserve"> moot</w:t>
      </w:r>
      <w:r w:rsidR="00E54323">
        <w:rPr>
          <w:lang w:val="en-CA"/>
        </w:rPr>
        <w:t>ness</w:t>
      </w:r>
      <w:r w:rsidRPr="000542C7">
        <w:rPr>
          <w:lang w:val="en-CA"/>
        </w:rPr>
        <w:t xml:space="preserve">, 2007 </w:t>
      </w:r>
      <w:r w:rsidR="000542C7" w:rsidRPr="000542C7">
        <w:rPr>
          <w:lang w:val="en-CA"/>
        </w:rPr>
        <w:t>F</w:t>
      </w:r>
      <w:r w:rsidR="000542C7">
        <w:rPr>
          <w:lang w:val="en-CA"/>
        </w:rPr>
        <w:t xml:space="preserve">CA </w:t>
      </w:r>
      <w:r w:rsidRPr="000542C7">
        <w:rPr>
          <w:lang w:val="en-CA"/>
        </w:rPr>
        <w:t xml:space="preserve">358, </w:t>
      </w:r>
      <w:r w:rsidR="000542C7">
        <w:rPr>
          <w:lang w:val="en-CA"/>
        </w:rPr>
        <w:t xml:space="preserve">leave to appeal to </w:t>
      </w:r>
      <w:r w:rsidR="00E54323">
        <w:rPr>
          <w:lang w:val="en-CA"/>
        </w:rPr>
        <w:t xml:space="preserve">SCC refused, </w:t>
      </w:r>
      <w:r w:rsidR="00E54323" w:rsidRPr="000542C7">
        <w:rPr>
          <w:lang w:val="en-CA"/>
        </w:rPr>
        <w:t>32409</w:t>
      </w:r>
      <w:r w:rsidR="00E54323">
        <w:rPr>
          <w:lang w:val="en-CA"/>
        </w:rPr>
        <w:t xml:space="preserve"> </w:t>
      </w:r>
      <w:r w:rsidR="000542C7">
        <w:rPr>
          <w:lang w:val="en-CA"/>
        </w:rPr>
        <w:t>(3 July 2008) at paras</w:t>
      </w:r>
      <w:r w:rsidRPr="000542C7">
        <w:rPr>
          <w:lang w:val="en-CA"/>
        </w:rPr>
        <w:t xml:space="preserve">. </w:t>
      </w:r>
      <w:r w:rsidRPr="00E54323">
        <w:rPr>
          <w:lang w:val="en-CA"/>
        </w:rPr>
        <w:t xml:space="preserve">19 </w:t>
      </w:r>
      <w:r w:rsidR="000542C7" w:rsidRPr="00E54323">
        <w:rPr>
          <w:lang w:val="en-CA"/>
        </w:rPr>
        <w:t xml:space="preserve">and </w:t>
      </w:r>
      <w:r w:rsidRPr="00E54323">
        <w:rPr>
          <w:lang w:val="en-CA"/>
        </w:rPr>
        <w:t xml:space="preserve">21; </w:t>
      </w:r>
      <w:r w:rsidRPr="00E54323">
        <w:rPr>
          <w:i/>
          <w:lang w:val="en-CA"/>
        </w:rPr>
        <w:t>MacKay v. Min. of Social Development</w:t>
      </w:r>
      <w:r w:rsidRPr="00E54323">
        <w:rPr>
          <w:lang w:val="en-CA"/>
        </w:rPr>
        <w:t>, 2002 BCSC 338 (</w:t>
      </w:r>
      <w:r w:rsidR="00E54323" w:rsidRPr="00E54323">
        <w:rPr>
          <w:lang w:val="en-CA"/>
        </w:rPr>
        <w:t>leave to</w:t>
      </w:r>
      <w:r w:rsidR="00E54323">
        <w:rPr>
          <w:lang w:val="en-CA"/>
        </w:rPr>
        <w:t xml:space="preserve"> appeal to SCC refused</w:t>
      </w:r>
      <w:r w:rsidRPr="00E54323">
        <w:rPr>
          <w:lang w:val="en-CA"/>
        </w:rPr>
        <w:t xml:space="preserve">, </w:t>
      </w:r>
      <w:r w:rsidR="00E54323" w:rsidRPr="00E54323">
        <w:rPr>
          <w:lang w:val="en-CA"/>
        </w:rPr>
        <w:t>29765 (</w:t>
      </w:r>
      <w:r w:rsidRPr="00E54323">
        <w:rPr>
          <w:lang w:val="en-CA"/>
        </w:rPr>
        <w:t xml:space="preserve">25 </w:t>
      </w:r>
      <w:r w:rsidR="00E54323" w:rsidRPr="00E54323">
        <w:rPr>
          <w:lang w:val="en-CA"/>
        </w:rPr>
        <w:t>September</w:t>
      </w:r>
      <w:r w:rsidRPr="00E54323">
        <w:rPr>
          <w:lang w:val="en-CA"/>
        </w:rPr>
        <w:t xml:space="preserve"> 2003</w:t>
      </w:r>
      <w:r w:rsidR="00E54323" w:rsidRPr="00E54323">
        <w:rPr>
          <w:lang w:val="en-CA"/>
        </w:rPr>
        <w:t>) at</w:t>
      </w:r>
      <w:r w:rsidRPr="00E54323">
        <w:rPr>
          <w:lang w:val="en-CA"/>
        </w:rPr>
        <w:t xml:space="preserve"> para. </w:t>
      </w:r>
      <w:r w:rsidRPr="00157AD4">
        <w:rPr>
          <w:lang w:val="en-CA"/>
        </w:rPr>
        <w:t xml:space="preserve">42; </w:t>
      </w:r>
      <w:r w:rsidRPr="00FB4C62">
        <w:rPr>
          <w:i/>
          <w:lang w:val="en-CA"/>
        </w:rPr>
        <w:t>Masse v. Ontario (Minister of Community and Social Services</w:t>
      </w:r>
      <w:r w:rsidRPr="00FB4C62">
        <w:rPr>
          <w:lang w:val="en-CA"/>
        </w:rPr>
        <w:t xml:space="preserve">), (1996) 134 D.L.R. </w:t>
      </w:r>
      <w:r w:rsidRPr="00D05948">
        <w:rPr>
          <w:lang w:val="en-CA"/>
        </w:rPr>
        <w:t>(4</w:t>
      </w:r>
      <w:r w:rsidRPr="00D05948">
        <w:rPr>
          <w:vertAlign w:val="superscript"/>
          <w:lang w:val="en-CA"/>
        </w:rPr>
        <w:t>th</w:t>
      </w:r>
      <w:r w:rsidRPr="00D05948">
        <w:rPr>
          <w:lang w:val="en-CA"/>
        </w:rPr>
        <w:t>) 20 (Ont.</w:t>
      </w:r>
      <w:r w:rsidRPr="00FB4C62">
        <w:rPr>
          <w:lang w:val="en-CA"/>
        </w:rPr>
        <w:t xml:space="preserve"> </w:t>
      </w:r>
      <w:r w:rsidRPr="00D05948">
        <w:rPr>
          <w:lang w:val="en-CA"/>
        </w:rPr>
        <w:t>Ct.</w:t>
      </w:r>
      <w:r w:rsidRPr="00FB4C62">
        <w:rPr>
          <w:lang w:val="en-CA"/>
        </w:rPr>
        <w:t xml:space="preserve"> </w:t>
      </w:r>
      <w:r w:rsidRPr="00D05948">
        <w:rPr>
          <w:lang w:val="en-CA"/>
        </w:rPr>
        <w:t>(Gen.</w:t>
      </w:r>
      <w:r w:rsidRPr="000542C7">
        <w:rPr>
          <w:lang w:val="en-CA"/>
        </w:rPr>
        <w:t xml:space="preserve"> </w:t>
      </w:r>
      <w:r w:rsidRPr="00D05948">
        <w:rPr>
          <w:lang w:val="en-CA"/>
        </w:rPr>
        <w:t>Div.), Div.</w:t>
      </w:r>
      <w:r w:rsidRPr="000542C7">
        <w:rPr>
          <w:lang w:val="en-CA"/>
        </w:rPr>
        <w:t xml:space="preserve"> </w:t>
      </w:r>
      <w:r w:rsidRPr="00D05948">
        <w:rPr>
          <w:lang w:val="en-CA"/>
        </w:rPr>
        <w:t xml:space="preserve">Ct.; </w:t>
      </w:r>
      <w:r w:rsidR="000542C7" w:rsidRPr="00D05948">
        <w:rPr>
          <w:lang w:val="en-CA"/>
        </w:rPr>
        <w:t xml:space="preserve">leave to appeal to the </w:t>
      </w:r>
      <w:r w:rsidR="00E54323">
        <w:rPr>
          <w:lang w:val="en-CA"/>
        </w:rPr>
        <w:t>Ont</w:t>
      </w:r>
      <w:r w:rsidR="00BB491F">
        <w:rPr>
          <w:lang w:val="en-CA"/>
        </w:rPr>
        <w:t>.</w:t>
      </w:r>
      <w:r w:rsidR="00E54323">
        <w:rPr>
          <w:lang w:val="en-CA"/>
        </w:rPr>
        <w:t xml:space="preserve"> C</w:t>
      </w:r>
      <w:r w:rsidR="00BB491F">
        <w:rPr>
          <w:lang w:val="en-CA"/>
        </w:rPr>
        <w:t>.</w:t>
      </w:r>
      <w:r w:rsidR="00E54323">
        <w:rPr>
          <w:lang w:val="en-CA"/>
        </w:rPr>
        <w:t>A</w:t>
      </w:r>
      <w:r w:rsidR="00BB491F">
        <w:rPr>
          <w:lang w:val="en-CA"/>
        </w:rPr>
        <w:t>.</w:t>
      </w:r>
      <w:r w:rsidR="00E54323">
        <w:rPr>
          <w:lang w:val="en-CA"/>
        </w:rPr>
        <w:t xml:space="preserve"> refused,</w:t>
      </w:r>
      <w:r w:rsidR="000542C7" w:rsidRPr="00D05948">
        <w:rPr>
          <w:lang w:val="en-CA"/>
        </w:rPr>
        <w:t xml:space="preserve"> </w:t>
      </w:r>
      <w:r w:rsidR="00E54323">
        <w:rPr>
          <w:lang w:val="en-CA"/>
        </w:rPr>
        <w:t xml:space="preserve">25462 </w:t>
      </w:r>
      <w:r w:rsidR="000542C7" w:rsidRPr="00D05948">
        <w:rPr>
          <w:lang w:val="en-CA"/>
        </w:rPr>
        <w:t>(</w:t>
      </w:r>
      <w:r w:rsidRPr="00D05948">
        <w:rPr>
          <w:lang w:val="en-CA"/>
        </w:rPr>
        <w:t>5 </w:t>
      </w:r>
      <w:r w:rsidR="000542C7" w:rsidRPr="00D05948">
        <w:rPr>
          <w:lang w:val="en-CA"/>
        </w:rPr>
        <w:t>December</w:t>
      </w:r>
      <w:r w:rsidRPr="00D05948">
        <w:rPr>
          <w:lang w:val="en-CA"/>
        </w:rPr>
        <w:t xml:space="preserve"> 1996</w:t>
      </w:r>
      <w:r w:rsidR="00E54323">
        <w:rPr>
          <w:lang w:val="en-CA"/>
        </w:rPr>
        <w:t xml:space="preserve">) </w:t>
      </w:r>
      <w:r w:rsidR="000542C7" w:rsidRPr="00D05948">
        <w:rPr>
          <w:lang w:val="en-CA"/>
        </w:rPr>
        <w:t xml:space="preserve">at </w:t>
      </w:r>
      <w:r w:rsidRPr="00D05948">
        <w:rPr>
          <w:lang w:val="en-CA"/>
        </w:rPr>
        <w:t>para</w:t>
      </w:r>
      <w:r w:rsidR="000542C7" w:rsidRPr="00D05948">
        <w:rPr>
          <w:lang w:val="en-CA"/>
        </w:rPr>
        <w:t>s</w:t>
      </w:r>
      <w:r w:rsidRPr="00D05948">
        <w:rPr>
          <w:lang w:val="en-CA"/>
        </w:rPr>
        <w:t>.</w:t>
      </w:r>
      <w:r w:rsidRPr="000542C7">
        <w:rPr>
          <w:lang w:val="en-CA"/>
        </w:rPr>
        <w:t xml:space="preserve"> </w:t>
      </w:r>
      <w:r>
        <w:t>81</w:t>
      </w:r>
      <w:r w:rsidR="00775721">
        <w:t>–</w:t>
      </w:r>
      <w:r>
        <w:t xml:space="preserve">83; </w:t>
      </w:r>
      <w:r>
        <w:rPr>
          <w:i/>
        </w:rPr>
        <w:t xml:space="preserve">A.M. </w:t>
      </w:r>
      <w:r w:rsidRPr="00D05948">
        <w:rPr>
          <w:i/>
        </w:rPr>
        <w:t>c</w:t>
      </w:r>
      <w:r>
        <w:rPr>
          <w:i/>
        </w:rPr>
        <w:t xml:space="preserve">. </w:t>
      </w:r>
      <w:r w:rsidRPr="00D05948">
        <w:rPr>
          <w:i/>
        </w:rPr>
        <w:t>Ministre du Travail</w:t>
      </w:r>
      <w:r>
        <w:rPr>
          <w:i/>
        </w:rPr>
        <w:t xml:space="preserve">, de l’Emploi et de la </w:t>
      </w:r>
      <w:r w:rsidRPr="00D05948">
        <w:rPr>
          <w:i/>
        </w:rPr>
        <w:t>Solidarité sociale</w:t>
      </w:r>
      <w:r>
        <w:t>, 2020 QCTAQ 03125 (</w:t>
      </w:r>
      <w:r w:rsidR="00E54323">
        <w:t xml:space="preserve">application for </w:t>
      </w:r>
      <w:proofErr w:type="spellStart"/>
      <w:r w:rsidR="000542C7" w:rsidRPr="00D05948">
        <w:t>judicial</w:t>
      </w:r>
      <w:proofErr w:type="spellEnd"/>
      <w:r w:rsidR="000542C7" w:rsidRPr="00D05948">
        <w:t xml:space="preserve"> </w:t>
      </w:r>
      <w:proofErr w:type="spellStart"/>
      <w:r w:rsidR="000542C7" w:rsidRPr="00D05948">
        <w:t>review</w:t>
      </w:r>
      <w:proofErr w:type="spellEnd"/>
      <w:r w:rsidR="000542C7" w:rsidRPr="00D05948">
        <w:t xml:space="preserve"> </w:t>
      </w:r>
      <w:proofErr w:type="spellStart"/>
      <w:r w:rsidR="000542C7" w:rsidRPr="00D05948">
        <w:t>pending</w:t>
      </w:r>
      <w:proofErr w:type="spellEnd"/>
      <w:r>
        <w:t xml:space="preserve"> </w:t>
      </w:r>
      <w:r w:rsidR="000542C7">
        <w:t>(</w:t>
      </w:r>
      <w:proofErr w:type="spellStart"/>
      <w:r w:rsidR="000542C7">
        <w:t>Montreal</w:t>
      </w:r>
      <w:proofErr w:type="spellEnd"/>
      <w:r w:rsidR="000542C7">
        <w:t xml:space="preserve">) </w:t>
      </w:r>
      <w:r>
        <w:t>500-17-112290-203</w:t>
      </w:r>
      <w:r w:rsidR="000542C7">
        <w:t xml:space="preserve"> (Sup Ct).</w:t>
      </w:r>
    </w:p>
  </w:footnote>
  <w:footnote w:id="65">
    <w:p w14:paraId="6AF297A5" w14:textId="05D9E942" w:rsidR="007A56C0" w:rsidRPr="000542C7" w:rsidRDefault="007A56C0" w:rsidP="007A56C0">
      <w:pPr>
        <w:pStyle w:val="Notedebasdepage"/>
        <w:rPr>
          <w:lang w:val="en-CA"/>
        </w:rPr>
      </w:pPr>
      <w:r>
        <w:rPr>
          <w:rStyle w:val="Appelnotedebasdep"/>
        </w:rPr>
        <w:footnoteRef/>
      </w:r>
      <w:r w:rsidRPr="000542C7">
        <w:rPr>
          <w:lang w:val="en-CA"/>
        </w:rPr>
        <w:t xml:space="preserve"> </w:t>
      </w:r>
      <w:r w:rsidRPr="000542C7">
        <w:rPr>
          <w:lang w:val="en-CA"/>
        </w:rPr>
        <w:tab/>
      </w:r>
      <w:r w:rsidRPr="00D05948">
        <w:rPr>
          <w:lang w:val="en-CA"/>
        </w:rPr>
        <w:t>[1999] 2.S.</w:t>
      </w:r>
      <w:r w:rsidR="000542C7" w:rsidRPr="000542C7">
        <w:rPr>
          <w:lang w:val="en-CA"/>
        </w:rPr>
        <w:t>C</w:t>
      </w:r>
      <w:r w:rsidR="00775721">
        <w:rPr>
          <w:lang w:val="en-CA"/>
        </w:rPr>
        <w:t>.</w:t>
      </w:r>
      <w:r w:rsidR="000542C7" w:rsidRPr="000542C7">
        <w:rPr>
          <w:lang w:val="en-CA"/>
        </w:rPr>
        <w:t>R</w:t>
      </w:r>
      <w:r w:rsidRPr="000542C7">
        <w:rPr>
          <w:lang w:val="en-CA"/>
        </w:rPr>
        <w:t xml:space="preserve"> </w:t>
      </w:r>
      <w:r w:rsidRPr="00D05948">
        <w:rPr>
          <w:lang w:val="en-CA"/>
        </w:rPr>
        <w:t xml:space="preserve">203, </w:t>
      </w:r>
      <w:proofErr w:type="gramStart"/>
      <w:r w:rsidR="000542C7" w:rsidRPr="00D05948">
        <w:rPr>
          <w:lang w:val="en-CA"/>
        </w:rPr>
        <w:t>in particular para</w:t>
      </w:r>
      <w:proofErr w:type="gramEnd"/>
      <w:r w:rsidRPr="00D05948">
        <w:rPr>
          <w:lang w:val="en-CA"/>
        </w:rPr>
        <w:t>.</w:t>
      </w:r>
      <w:r w:rsidRPr="000542C7">
        <w:rPr>
          <w:lang w:val="en-CA"/>
        </w:rPr>
        <w:t xml:space="preserve"> 13 (</w:t>
      </w:r>
      <w:r w:rsidR="000542C7" w:rsidRPr="000542C7">
        <w:rPr>
          <w:lang w:val="en-CA"/>
        </w:rPr>
        <w:t>majority reasons of</w:t>
      </w:r>
      <w:r w:rsidRPr="000542C7">
        <w:rPr>
          <w:lang w:val="en-CA"/>
        </w:rPr>
        <w:t xml:space="preserve"> McLachlin</w:t>
      </w:r>
      <w:r w:rsidR="000542C7" w:rsidRPr="000542C7">
        <w:rPr>
          <w:lang w:val="en-CA"/>
        </w:rPr>
        <w:t xml:space="preserve"> J</w:t>
      </w:r>
      <w:r w:rsidR="00BB491F">
        <w:rPr>
          <w:lang w:val="en-CA"/>
        </w:rPr>
        <w:t>.</w:t>
      </w:r>
      <w:r w:rsidRPr="000542C7">
        <w:rPr>
          <w:lang w:val="en-CA"/>
        </w:rPr>
        <w:t>,</w:t>
      </w:r>
      <w:r w:rsidR="000542C7" w:rsidRPr="000542C7">
        <w:rPr>
          <w:lang w:val="en-CA"/>
        </w:rPr>
        <w:t xml:space="preserve"> as she </w:t>
      </w:r>
      <w:r w:rsidR="000542C7">
        <w:rPr>
          <w:lang w:val="en-CA"/>
        </w:rPr>
        <w:t>then was</w:t>
      </w:r>
      <w:r w:rsidRPr="000542C7">
        <w:rPr>
          <w:lang w:val="en-CA"/>
        </w:rPr>
        <w:t xml:space="preserve">, </w:t>
      </w:r>
      <w:r w:rsidR="000542C7">
        <w:rPr>
          <w:lang w:val="en-CA"/>
        </w:rPr>
        <w:t xml:space="preserve">and </w:t>
      </w:r>
      <w:proofErr w:type="spellStart"/>
      <w:r w:rsidRPr="000542C7">
        <w:rPr>
          <w:lang w:val="en-CA"/>
        </w:rPr>
        <w:t>Bastarache</w:t>
      </w:r>
      <w:proofErr w:type="spellEnd"/>
      <w:r w:rsidR="000542C7">
        <w:rPr>
          <w:lang w:val="en-CA"/>
        </w:rPr>
        <w:t xml:space="preserve"> J</w:t>
      </w:r>
      <w:r w:rsidR="00BB491F">
        <w:rPr>
          <w:lang w:val="en-CA"/>
        </w:rPr>
        <w:t>.</w:t>
      </w:r>
      <w:r w:rsidRPr="000542C7">
        <w:rPr>
          <w:lang w:val="en-CA"/>
        </w:rPr>
        <w:t xml:space="preserve">). </w:t>
      </w:r>
    </w:p>
  </w:footnote>
  <w:footnote w:id="66">
    <w:p w14:paraId="02E6A8A8" w14:textId="2D1CCABB" w:rsidR="007A56C0" w:rsidRPr="000542C7" w:rsidRDefault="007A56C0" w:rsidP="007A56C0">
      <w:pPr>
        <w:pStyle w:val="Notedebasdepage"/>
        <w:rPr>
          <w:i/>
          <w:lang w:val="en-CA"/>
        </w:rPr>
      </w:pPr>
      <w:r>
        <w:rPr>
          <w:rStyle w:val="Appelnotedebasdep"/>
        </w:rPr>
        <w:footnoteRef/>
      </w:r>
      <w:r w:rsidRPr="00B07F5D">
        <w:rPr>
          <w:lang w:val="en-CA"/>
        </w:rPr>
        <w:t xml:space="preserve"> </w:t>
      </w:r>
      <w:r w:rsidRPr="00B07F5D">
        <w:rPr>
          <w:lang w:val="en-CA"/>
        </w:rPr>
        <w:tab/>
      </w:r>
      <w:r w:rsidRPr="00D05948">
        <w:rPr>
          <w:lang w:val="en-CA"/>
        </w:rPr>
        <w:t>[2002] O. J.</w:t>
      </w:r>
      <w:r w:rsidRPr="00B07F5D">
        <w:rPr>
          <w:lang w:val="en-CA"/>
        </w:rPr>
        <w:t xml:space="preserve"> </w:t>
      </w:r>
      <w:r w:rsidRPr="00D05948">
        <w:rPr>
          <w:lang w:val="en-CA"/>
        </w:rPr>
        <w:t>No. 1771 (</w:t>
      </w:r>
      <w:r w:rsidR="000542C7" w:rsidRPr="00D05948">
        <w:rPr>
          <w:lang w:val="en-CA"/>
        </w:rPr>
        <w:t xml:space="preserve">Ont. </w:t>
      </w:r>
      <w:r w:rsidRPr="00D05948">
        <w:rPr>
          <w:lang w:val="en-CA"/>
        </w:rPr>
        <w:t>C.A</w:t>
      </w:r>
      <w:r w:rsidR="000542C7" w:rsidRPr="00D05948">
        <w:rPr>
          <w:lang w:val="en-CA"/>
        </w:rPr>
        <w:t>.</w:t>
      </w:r>
      <w:r w:rsidRPr="00D05948">
        <w:rPr>
          <w:lang w:val="en-CA"/>
        </w:rPr>
        <w:t>)</w:t>
      </w:r>
      <w:r w:rsidR="000542C7" w:rsidRPr="00D05948">
        <w:rPr>
          <w:lang w:val="en-CA"/>
        </w:rPr>
        <w:t xml:space="preserve"> at paras</w:t>
      </w:r>
      <w:r w:rsidR="000542C7" w:rsidRPr="00B07F5D">
        <w:rPr>
          <w:lang w:val="en-CA"/>
        </w:rPr>
        <w:t>.</w:t>
      </w:r>
      <w:r w:rsidRPr="00B07F5D">
        <w:rPr>
          <w:lang w:val="en-CA"/>
        </w:rPr>
        <w:t xml:space="preserve"> </w:t>
      </w:r>
      <w:r w:rsidRPr="000542C7">
        <w:rPr>
          <w:lang w:val="en-CA"/>
        </w:rPr>
        <w:t>84-92 (</w:t>
      </w:r>
      <w:r w:rsidR="000542C7" w:rsidRPr="000542C7">
        <w:rPr>
          <w:lang w:val="en-CA"/>
        </w:rPr>
        <w:t>r</w:t>
      </w:r>
      <w:r w:rsidR="000542C7">
        <w:rPr>
          <w:lang w:val="en-CA"/>
        </w:rPr>
        <w:t>e</w:t>
      </w:r>
      <w:r w:rsidR="000542C7" w:rsidRPr="000542C7">
        <w:rPr>
          <w:lang w:val="en-CA"/>
        </w:rPr>
        <w:t xml:space="preserve">ceiving social assistance is an analogous ground </w:t>
      </w:r>
      <w:r w:rsidR="00775721">
        <w:rPr>
          <w:lang w:val="en-CA"/>
        </w:rPr>
        <w:t xml:space="preserve">of discrimination </w:t>
      </w:r>
      <w:r w:rsidR="000542C7" w:rsidRPr="000542C7">
        <w:rPr>
          <w:lang w:val="en-CA"/>
        </w:rPr>
        <w:t xml:space="preserve">under </w:t>
      </w:r>
      <w:r w:rsidR="001F1E84">
        <w:rPr>
          <w:lang w:val="en-CA"/>
        </w:rPr>
        <w:t>s.</w:t>
      </w:r>
      <w:r w:rsidR="000542C7" w:rsidRPr="000542C7">
        <w:rPr>
          <w:lang w:val="en-CA"/>
        </w:rPr>
        <w:t xml:space="preserve"> 15 of the </w:t>
      </w:r>
      <w:r w:rsidR="000542C7" w:rsidRPr="00BB491F">
        <w:rPr>
          <w:i/>
          <w:iCs/>
          <w:lang w:val="en-CA"/>
        </w:rPr>
        <w:t>Canadian Charter</w:t>
      </w:r>
      <w:r w:rsidRPr="00D05948">
        <w:rPr>
          <w:lang w:val="en-CA"/>
        </w:rPr>
        <w:t>).</w:t>
      </w:r>
    </w:p>
  </w:footnote>
  <w:footnote w:id="67">
    <w:p w14:paraId="74A33401" w14:textId="3D8D064D" w:rsidR="007A56C0" w:rsidRPr="000542C7" w:rsidRDefault="007A56C0" w:rsidP="007A56C0">
      <w:pPr>
        <w:pStyle w:val="Notedebasdepage"/>
        <w:rPr>
          <w:i/>
          <w:lang w:val="en-CA"/>
        </w:rPr>
      </w:pPr>
      <w:r>
        <w:rPr>
          <w:rStyle w:val="Appelnotedebasdep"/>
        </w:rPr>
        <w:footnoteRef/>
      </w:r>
      <w:r w:rsidRPr="000542C7">
        <w:rPr>
          <w:lang w:val="en-CA"/>
        </w:rPr>
        <w:t xml:space="preserve"> </w:t>
      </w:r>
      <w:r w:rsidRPr="000542C7">
        <w:rPr>
          <w:lang w:val="en-CA"/>
        </w:rPr>
        <w:tab/>
      </w:r>
      <w:r w:rsidR="009B4D3D" w:rsidRPr="00D05948">
        <w:rPr>
          <w:lang w:val="en-CA"/>
        </w:rPr>
        <w:t>See e.g.,</w:t>
      </w:r>
      <w:r w:rsidRPr="000542C7">
        <w:rPr>
          <w:lang w:val="en-CA"/>
        </w:rPr>
        <w:t> </w:t>
      </w:r>
      <w:r w:rsidRPr="00D05948">
        <w:rPr>
          <w:i/>
          <w:lang w:val="en-CA"/>
        </w:rPr>
        <w:t xml:space="preserve">Law </w:t>
      </w:r>
      <w:r w:rsidR="000542C7" w:rsidRPr="00D05948">
        <w:rPr>
          <w:i/>
          <w:lang w:val="en-CA"/>
        </w:rPr>
        <w:t>v</w:t>
      </w:r>
      <w:r w:rsidRPr="00D05948">
        <w:rPr>
          <w:i/>
          <w:lang w:val="en-CA"/>
        </w:rPr>
        <w:t>. Canada (Minist</w:t>
      </w:r>
      <w:r w:rsidR="000542C7" w:rsidRPr="00D05948">
        <w:rPr>
          <w:i/>
          <w:lang w:val="en-CA"/>
        </w:rPr>
        <w:t>er of Employment and Immigration</w:t>
      </w:r>
      <w:r w:rsidRPr="00D05948">
        <w:rPr>
          <w:i/>
          <w:lang w:val="en-CA"/>
        </w:rPr>
        <w:t>)</w:t>
      </w:r>
      <w:r w:rsidRPr="00D05948">
        <w:rPr>
          <w:lang w:val="en-CA"/>
        </w:rPr>
        <w:t xml:space="preserve">, </w:t>
      </w:r>
      <w:r w:rsidR="000542C7" w:rsidRPr="00CC4277">
        <w:rPr>
          <w:i/>
          <w:iCs/>
          <w:lang w:val="en-CA"/>
        </w:rPr>
        <w:t>supra</w:t>
      </w:r>
      <w:r w:rsidR="000542C7" w:rsidRPr="00D05948">
        <w:rPr>
          <w:lang w:val="en-CA"/>
        </w:rPr>
        <w:t xml:space="preserve"> note</w:t>
      </w:r>
      <w:r w:rsidRPr="000542C7">
        <w:rPr>
          <w:lang w:val="en-CA"/>
        </w:rPr>
        <w:t xml:space="preserve"> </w:t>
      </w:r>
      <w:r>
        <w:fldChar w:fldCharType="begin"/>
      </w:r>
      <w:r w:rsidRPr="000542C7">
        <w:rPr>
          <w:lang w:val="en-CA"/>
        </w:rPr>
        <w:instrText xml:space="preserve"> NOTEREF _Ref73436925 \h </w:instrText>
      </w:r>
      <w:r>
        <w:fldChar w:fldCharType="separate"/>
      </w:r>
      <w:r w:rsidRPr="000542C7">
        <w:rPr>
          <w:lang w:val="en-CA"/>
        </w:rPr>
        <w:t>46</w:t>
      </w:r>
      <w:r>
        <w:fldChar w:fldCharType="end"/>
      </w:r>
      <w:r w:rsidRPr="00D05948">
        <w:rPr>
          <w:lang w:val="en-CA"/>
        </w:rPr>
        <w:t xml:space="preserve">; </w:t>
      </w:r>
      <w:r w:rsidRPr="00D05948">
        <w:rPr>
          <w:i/>
          <w:lang w:val="en-CA"/>
        </w:rPr>
        <w:t xml:space="preserve">Fraser </w:t>
      </w:r>
      <w:r w:rsidR="00C744CA" w:rsidRPr="00D05948">
        <w:rPr>
          <w:i/>
          <w:lang w:val="en-CA"/>
        </w:rPr>
        <w:t>v</w:t>
      </w:r>
      <w:r w:rsidRPr="00D05948">
        <w:rPr>
          <w:i/>
          <w:lang w:val="en-CA"/>
        </w:rPr>
        <w:t>. Canada (</w:t>
      </w:r>
      <w:r w:rsidR="00C744CA" w:rsidRPr="00D05948">
        <w:rPr>
          <w:i/>
          <w:lang w:val="en-CA"/>
        </w:rPr>
        <w:t>Attorney General</w:t>
      </w:r>
      <w:r w:rsidRPr="00D05948">
        <w:rPr>
          <w:i/>
          <w:lang w:val="en-CA"/>
        </w:rPr>
        <w:t>)</w:t>
      </w:r>
      <w:r w:rsidRPr="00D05948">
        <w:rPr>
          <w:lang w:val="en-CA"/>
        </w:rPr>
        <w:t xml:space="preserve">, </w:t>
      </w:r>
      <w:r w:rsidR="00C744CA" w:rsidRPr="00E54323">
        <w:rPr>
          <w:i/>
          <w:iCs/>
          <w:lang w:val="en-CA"/>
        </w:rPr>
        <w:t>supra</w:t>
      </w:r>
      <w:r w:rsidR="00C744CA" w:rsidRPr="00D05948">
        <w:rPr>
          <w:lang w:val="en-CA"/>
        </w:rPr>
        <w:t xml:space="preserve"> </w:t>
      </w:r>
      <w:r w:rsidRPr="00D05948">
        <w:rPr>
          <w:lang w:val="en-CA"/>
        </w:rPr>
        <w:t>note</w:t>
      </w:r>
      <w:r w:rsidRPr="000542C7">
        <w:rPr>
          <w:lang w:val="en-CA"/>
        </w:rPr>
        <w:t xml:space="preserve"> </w:t>
      </w:r>
      <w:r>
        <w:fldChar w:fldCharType="begin"/>
      </w:r>
      <w:r w:rsidRPr="000542C7">
        <w:rPr>
          <w:lang w:val="en-CA"/>
        </w:rPr>
        <w:instrText xml:space="preserve"> NOTEREF _Ref71980709 \h </w:instrText>
      </w:r>
      <w:r>
        <w:fldChar w:fldCharType="separate"/>
      </w:r>
      <w:r w:rsidRPr="000542C7">
        <w:rPr>
          <w:lang w:val="en-CA"/>
        </w:rPr>
        <w:t>38</w:t>
      </w:r>
      <w:r>
        <w:fldChar w:fldCharType="end"/>
      </w:r>
      <w:r w:rsidRPr="000542C7">
        <w:rPr>
          <w:lang w:val="en-CA"/>
        </w:rPr>
        <w:t>.</w:t>
      </w:r>
    </w:p>
  </w:footnote>
  <w:footnote w:id="68">
    <w:p w14:paraId="7BC72F41" w14:textId="1A5AEBE1" w:rsidR="007A56C0" w:rsidRPr="00F110C6" w:rsidRDefault="007A56C0" w:rsidP="007A56C0">
      <w:pPr>
        <w:pStyle w:val="Notedebasdepage"/>
        <w:rPr>
          <w:lang w:val="en-CA"/>
        </w:rPr>
      </w:pPr>
      <w:r>
        <w:rPr>
          <w:rStyle w:val="Appelnotedebasdep"/>
        </w:rPr>
        <w:footnoteRef/>
      </w:r>
      <w:r w:rsidRPr="00F110C6">
        <w:rPr>
          <w:lang w:val="en-CA"/>
        </w:rPr>
        <w:t xml:space="preserve"> </w:t>
      </w:r>
      <w:r w:rsidRPr="00F110C6">
        <w:rPr>
          <w:lang w:val="en-CA"/>
        </w:rPr>
        <w:tab/>
      </w:r>
      <w:r w:rsidRPr="00D05948">
        <w:rPr>
          <w:i/>
          <w:lang w:val="en-CA"/>
        </w:rPr>
        <w:t xml:space="preserve">Andrews </w:t>
      </w:r>
      <w:r w:rsidR="00CB0246" w:rsidRPr="00D05948">
        <w:rPr>
          <w:i/>
          <w:lang w:val="en-CA"/>
        </w:rPr>
        <w:t>v</w:t>
      </w:r>
      <w:r w:rsidRPr="00D05948">
        <w:rPr>
          <w:i/>
          <w:lang w:val="en-CA"/>
        </w:rPr>
        <w:t>. Law Society of British Columbia</w:t>
      </w:r>
      <w:r w:rsidRPr="00D05948">
        <w:rPr>
          <w:lang w:val="en-CA"/>
        </w:rPr>
        <w:t>, [1989] 1</w:t>
      </w:r>
      <w:r w:rsidR="00CB0246" w:rsidRPr="00D05948">
        <w:rPr>
          <w:lang w:val="en-CA"/>
        </w:rPr>
        <w:t xml:space="preserve"> S.C.R</w:t>
      </w:r>
      <w:r w:rsidRPr="00D05948">
        <w:rPr>
          <w:lang w:val="en-CA"/>
        </w:rPr>
        <w:t>.</w:t>
      </w:r>
      <w:r>
        <w:rPr>
          <w:lang w:val="en-CA"/>
        </w:rPr>
        <w:t xml:space="preserve"> 143.</w:t>
      </w:r>
    </w:p>
  </w:footnote>
  <w:footnote w:id="69">
    <w:p w14:paraId="7F9C58A5" w14:textId="526ABB1B" w:rsidR="007A56C0" w:rsidRPr="00CB0246" w:rsidRDefault="007A56C0" w:rsidP="007A56C0">
      <w:pPr>
        <w:pStyle w:val="Notedebasdepage"/>
        <w:rPr>
          <w:lang w:val="en-CA"/>
        </w:rPr>
      </w:pPr>
      <w:r>
        <w:rPr>
          <w:rStyle w:val="Appelnotedebasdep"/>
        </w:rPr>
        <w:footnoteRef/>
      </w:r>
      <w:r w:rsidRPr="00CB0246">
        <w:rPr>
          <w:lang w:val="en-CA"/>
        </w:rPr>
        <w:t xml:space="preserve"> </w:t>
      </w:r>
      <w:r w:rsidRPr="00CB0246">
        <w:rPr>
          <w:lang w:val="en-CA"/>
        </w:rPr>
        <w:tab/>
      </w:r>
      <w:proofErr w:type="spellStart"/>
      <w:r w:rsidRPr="00D05948">
        <w:rPr>
          <w:i/>
          <w:lang w:val="en-CA"/>
        </w:rPr>
        <w:t>Corbiere</w:t>
      </w:r>
      <w:proofErr w:type="spellEnd"/>
      <w:r w:rsidRPr="00D05948">
        <w:rPr>
          <w:i/>
          <w:lang w:val="en-CA"/>
        </w:rPr>
        <w:t xml:space="preserve"> </w:t>
      </w:r>
      <w:r w:rsidR="00CB0246" w:rsidRPr="00D05948">
        <w:rPr>
          <w:i/>
          <w:lang w:val="en-CA"/>
        </w:rPr>
        <w:t>v</w:t>
      </w:r>
      <w:r w:rsidRPr="00D05948">
        <w:rPr>
          <w:i/>
          <w:lang w:val="en-CA"/>
        </w:rPr>
        <w:t>. Canada (Minist</w:t>
      </w:r>
      <w:r w:rsidR="00CB0246" w:rsidRPr="00D05948">
        <w:rPr>
          <w:i/>
          <w:lang w:val="en-CA"/>
        </w:rPr>
        <w:t>er of Indian and Northern Affairs Canada</w:t>
      </w:r>
      <w:r w:rsidRPr="00D05948">
        <w:rPr>
          <w:i/>
          <w:lang w:val="en-CA"/>
        </w:rPr>
        <w:t>)</w:t>
      </w:r>
      <w:r w:rsidRPr="00D05948">
        <w:rPr>
          <w:lang w:val="en-CA"/>
        </w:rPr>
        <w:t xml:space="preserve">, </w:t>
      </w:r>
      <w:r w:rsidR="00CB0246" w:rsidRPr="00D05948">
        <w:rPr>
          <w:i/>
          <w:iCs/>
          <w:lang w:val="en-CA"/>
        </w:rPr>
        <w:t>supra</w:t>
      </w:r>
      <w:r w:rsidRPr="00D05948">
        <w:rPr>
          <w:lang w:val="en-CA"/>
        </w:rPr>
        <w:t xml:space="preserve"> note</w:t>
      </w:r>
      <w:r w:rsidRPr="00CB0246">
        <w:rPr>
          <w:lang w:val="en-CA"/>
        </w:rPr>
        <w:t xml:space="preserve"> </w:t>
      </w:r>
      <w:r>
        <w:fldChar w:fldCharType="begin"/>
      </w:r>
      <w:r w:rsidRPr="00CB0246">
        <w:rPr>
          <w:lang w:val="en-CA"/>
        </w:rPr>
        <w:instrText xml:space="preserve"> NOTEREF _Ref72582630 \h </w:instrText>
      </w:r>
      <w:r>
        <w:fldChar w:fldCharType="separate"/>
      </w:r>
      <w:r w:rsidRPr="00CB0246">
        <w:rPr>
          <w:lang w:val="en-CA"/>
        </w:rPr>
        <w:t>65</w:t>
      </w:r>
      <w:r>
        <w:fldChar w:fldCharType="end"/>
      </w:r>
      <w:r w:rsidRPr="00CB0246">
        <w:rPr>
          <w:lang w:val="en-CA"/>
        </w:rPr>
        <w:t>.</w:t>
      </w:r>
    </w:p>
  </w:footnote>
  <w:footnote w:id="70">
    <w:p w14:paraId="2BB95317" w14:textId="18CEDBE7" w:rsidR="007A56C0" w:rsidRPr="00CB0246" w:rsidRDefault="007A56C0" w:rsidP="007A56C0">
      <w:pPr>
        <w:pStyle w:val="Notedebasdepage"/>
        <w:rPr>
          <w:lang w:val="en-CA"/>
        </w:rPr>
      </w:pPr>
      <w:r>
        <w:rPr>
          <w:rStyle w:val="Appelnotedebasdep"/>
        </w:rPr>
        <w:footnoteRef/>
      </w:r>
      <w:r w:rsidRPr="00CB0246">
        <w:rPr>
          <w:lang w:val="en-CA"/>
        </w:rPr>
        <w:t xml:space="preserve"> </w:t>
      </w:r>
      <w:r w:rsidRPr="00CB0246">
        <w:rPr>
          <w:lang w:val="en-CA"/>
        </w:rPr>
        <w:tab/>
      </w:r>
      <w:r w:rsidR="00CB0246" w:rsidRPr="00CB0246">
        <w:rPr>
          <w:lang w:val="en-CA"/>
        </w:rPr>
        <w:t xml:space="preserve">See </w:t>
      </w:r>
      <w:proofErr w:type="spellStart"/>
      <w:r w:rsidRPr="00D05948">
        <w:rPr>
          <w:i/>
          <w:lang w:val="en-CA"/>
        </w:rPr>
        <w:t>Vriend</w:t>
      </w:r>
      <w:proofErr w:type="spellEnd"/>
      <w:r w:rsidRPr="00D05948">
        <w:rPr>
          <w:i/>
          <w:lang w:val="en-CA"/>
        </w:rPr>
        <w:t xml:space="preserve"> </w:t>
      </w:r>
      <w:r w:rsidR="00CB0246" w:rsidRPr="00D05948">
        <w:rPr>
          <w:i/>
          <w:lang w:val="en-CA"/>
        </w:rPr>
        <w:t>v</w:t>
      </w:r>
      <w:r w:rsidRPr="00D05948">
        <w:rPr>
          <w:i/>
          <w:lang w:val="en-CA"/>
        </w:rPr>
        <w:t>. Alberta</w:t>
      </w:r>
      <w:r w:rsidRPr="00D05948">
        <w:rPr>
          <w:lang w:val="en-CA"/>
        </w:rPr>
        <w:t xml:space="preserve">, [1998] 1 </w:t>
      </w:r>
      <w:r w:rsidR="00003EA4">
        <w:rPr>
          <w:lang w:val="en-CA"/>
        </w:rPr>
        <w:t>S.C.R.</w:t>
      </w:r>
      <w:r w:rsidRPr="00CB0246">
        <w:rPr>
          <w:lang w:val="en-CA"/>
        </w:rPr>
        <w:t xml:space="preserve"> 493.</w:t>
      </w:r>
    </w:p>
  </w:footnote>
  <w:footnote w:id="71">
    <w:p w14:paraId="7C6CF44E" w14:textId="19A78624" w:rsidR="007A56C0" w:rsidRPr="00CB0246" w:rsidRDefault="007A56C0" w:rsidP="007A56C0">
      <w:pPr>
        <w:pStyle w:val="Notedebasdepage"/>
        <w:rPr>
          <w:lang w:val="en-CA"/>
        </w:rPr>
      </w:pPr>
      <w:r>
        <w:rPr>
          <w:rStyle w:val="Appelnotedebasdep"/>
        </w:rPr>
        <w:footnoteRef/>
      </w:r>
      <w:r w:rsidRPr="00CB0246">
        <w:rPr>
          <w:lang w:val="en-CA"/>
        </w:rPr>
        <w:t xml:space="preserve"> </w:t>
      </w:r>
      <w:r w:rsidRPr="00CB0246">
        <w:rPr>
          <w:lang w:val="en-CA"/>
        </w:rPr>
        <w:tab/>
      </w:r>
      <w:r w:rsidR="00CB0246" w:rsidRPr="00CB0246">
        <w:rPr>
          <w:lang w:val="en-CA"/>
        </w:rPr>
        <w:t xml:space="preserve">See </w:t>
      </w:r>
      <w:r w:rsidRPr="00D05948">
        <w:rPr>
          <w:i/>
          <w:lang w:val="en-CA"/>
        </w:rPr>
        <w:t>Qu</w:t>
      </w:r>
      <w:r w:rsidR="00CB0246" w:rsidRPr="00D05948">
        <w:rPr>
          <w:i/>
          <w:lang w:val="en-CA"/>
        </w:rPr>
        <w:t>e</w:t>
      </w:r>
      <w:r w:rsidRPr="00D05948">
        <w:rPr>
          <w:i/>
          <w:lang w:val="en-CA"/>
        </w:rPr>
        <w:t>bec (</w:t>
      </w:r>
      <w:r w:rsidR="00CB0246" w:rsidRPr="00D05948">
        <w:rPr>
          <w:i/>
          <w:lang w:val="en-CA"/>
        </w:rPr>
        <w:t>Attorney General</w:t>
      </w:r>
      <w:r w:rsidRPr="00D05948">
        <w:rPr>
          <w:i/>
          <w:lang w:val="en-CA"/>
        </w:rPr>
        <w:t xml:space="preserve">) </w:t>
      </w:r>
      <w:r w:rsidR="00CB0246" w:rsidRPr="00D05948">
        <w:rPr>
          <w:i/>
          <w:lang w:val="en-CA"/>
        </w:rPr>
        <w:t>v</w:t>
      </w:r>
      <w:r w:rsidRPr="00D05948">
        <w:rPr>
          <w:i/>
          <w:lang w:val="en-CA"/>
        </w:rPr>
        <w:t>. A</w:t>
      </w:r>
      <w:r w:rsidRPr="00D05948">
        <w:rPr>
          <w:lang w:val="en-CA"/>
        </w:rPr>
        <w:t xml:space="preserve">, </w:t>
      </w:r>
      <w:r w:rsidR="00CB0246" w:rsidRPr="00BB491F">
        <w:rPr>
          <w:i/>
          <w:iCs/>
          <w:lang w:val="en-CA"/>
        </w:rPr>
        <w:t>supra</w:t>
      </w:r>
      <w:r w:rsidR="00CB0246" w:rsidRPr="00D05948">
        <w:rPr>
          <w:lang w:val="en-CA"/>
        </w:rPr>
        <w:t xml:space="preserve"> </w:t>
      </w:r>
      <w:r w:rsidRPr="00D05948">
        <w:rPr>
          <w:lang w:val="en-CA"/>
        </w:rPr>
        <w:t>note</w:t>
      </w:r>
      <w:r w:rsidRPr="00CB0246">
        <w:rPr>
          <w:lang w:val="en-CA"/>
        </w:rPr>
        <w:t xml:space="preserve"> </w:t>
      </w:r>
      <w:r>
        <w:fldChar w:fldCharType="begin"/>
      </w:r>
      <w:r w:rsidRPr="00CB0246">
        <w:rPr>
          <w:lang w:val="en-CA"/>
        </w:rPr>
        <w:instrText xml:space="preserve"> NOTEREF _Ref72580882 \h </w:instrText>
      </w:r>
      <w:r>
        <w:fldChar w:fldCharType="separate"/>
      </w:r>
      <w:r w:rsidRPr="00CB0246">
        <w:rPr>
          <w:lang w:val="en-CA"/>
        </w:rPr>
        <w:t>39</w:t>
      </w:r>
      <w:r>
        <w:fldChar w:fldCharType="end"/>
      </w:r>
      <w:r w:rsidRPr="00D05948">
        <w:rPr>
          <w:lang w:val="en-CA"/>
        </w:rPr>
        <w:t xml:space="preserve">; </w:t>
      </w:r>
      <w:proofErr w:type="spellStart"/>
      <w:r w:rsidRPr="00D05948">
        <w:rPr>
          <w:i/>
          <w:lang w:val="en-CA"/>
        </w:rPr>
        <w:t>Miron</w:t>
      </w:r>
      <w:proofErr w:type="spellEnd"/>
      <w:r w:rsidRPr="00D05948">
        <w:rPr>
          <w:i/>
          <w:lang w:val="en-CA"/>
        </w:rPr>
        <w:t xml:space="preserve"> </w:t>
      </w:r>
      <w:r w:rsidR="00CB0246" w:rsidRPr="00D05948">
        <w:rPr>
          <w:i/>
          <w:lang w:val="en-CA"/>
        </w:rPr>
        <w:t>v</w:t>
      </w:r>
      <w:r w:rsidRPr="00D05948">
        <w:rPr>
          <w:i/>
          <w:lang w:val="en-CA"/>
        </w:rPr>
        <w:t>. Trudel</w:t>
      </w:r>
      <w:r w:rsidRPr="00D05948">
        <w:rPr>
          <w:lang w:val="en-CA"/>
        </w:rPr>
        <w:t>, [1995] 2</w:t>
      </w:r>
      <w:r w:rsidR="00CB0246" w:rsidRPr="00D05948">
        <w:rPr>
          <w:lang w:val="en-CA"/>
        </w:rPr>
        <w:t xml:space="preserve"> </w:t>
      </w:r>
      <w:r w:rsidR="00003EA4">
        <w:rPr>
          <w:lang w:val="en-CA"/>
        </w:rPr>
        <w:t>S.C.R.</w:t>
      </w:r>
      <w:r w:rsidRPr="00CB0246">
        <w:rPr>
          <w:lang w:val="en-CA"/>
        </w:rPr>
        <w:t xml:space="preserve"> 418.</w:t>
      </w:r>
    </w:p>
  </w:footnote>
  <w:footnote w:id="72">
    <w:p w14:paraId="2B9FD7B7" w14:textId="5B988328" w:rsidR="007A56C0" w:rsidRPr="00CB0246" w:rsidRDefault="007A56C0" w:rsidP="007A56C0">
      <w:pPr>
        <w:pStyle w:val="Notedebasdepage"/>
        <w:rPr>
          <w:lang w:val="en-CA"/>
        </w:rPr>
      </w:pPr>
      <w:r>
        <w:rPr>
          <w:rStyle w:val="Appelnotedebasdep"/>
        </w:rPr>
        <w:footnoteRef/>
      </w:r>
      <w:r w:rsidRPr="00CB0246">
        <w:rPr>
          <w:lang w:val="en-CA"/>
        </w:rPr>
        <w:t xml:space="preserve"> </w:t>
      </w:r>
      <w:r w:rsidRPr="00CB0246">
        <w:rPr>
          <w:lang w:val="en-CA"/>
        </w:rPr>
        <w:tab/>
      </w:r>
      <w:r w:rsidR="00B07F5D">
        <w:rPr>
          <w:lang w:val="en-CA"/>
        </w:rPr>
        <w:t>L</w:t>
      </w:r>
      <w:r w:rsidR="00CB0246" w:rsidRPr="00CB0246">
        <w:rPr>
          <w:lang w:val="en-CA"/>
        </w:rPr>
        <w:t>evel of education</w:t>
      </w:r>
      <w:r w:rsidR="00B07F5D">
        <w:rPr>
          <w:lang w:val="en-CA"/>
        </w:rPr>
        <w:t xml:space="preserve"> may also be mentioned</w:t>
      </w:r>
      <w:r w:rsidRPr="00CB0246">
        <w:rPr>
          <w:lang w:val="en-CA"/>
        </w:rPr>
        <w:t xml:space="preserve">. </w:t>
      </w:r>
      <w:r w:rsidR="00CB0246">
        <w:rPr>
          <w:lang w:val="en-CA"/>
        </w:rPr>
        <w:t xml:space="preserve">See </w:t>
      </w:r>
      <w:proofErr w:type="spellStart"/>
      <w:r w:rsidRPr="00D05948">
        <w:rPr>
          <w:i/>
          <w:lang w:val="en-CA"/>
        </w:rPr>
        <w:t>Kahkewistahaw</w:t>
      </w:r>
      <w:proofErr w:type="spellEnd"/>
      <w:r w:rsidR="00BB491F" w:rsidRPr="00BB491F">
        <w:rPr>
          <w:i/>
          <w:iCs/>
          <w:lang w:val="en-CA"/>
        </w:rPr>
        <w:t xml:space="preserve"> First Nation</w:t>
      </w:r>
      <w:r w:rsidRPr="00D05948">
        <w:rPr>
          <w:i/>
          <w:lang w:val="en-CA"/>
        </w:rPr>
        <w:t xml:space="preserve"> </w:t>
      </w:r>
      <w:r w:rsidR="00CB0246" w:rsidRPr="00D05948">
        <w:rPr>
          <w:i/>
          <w:lang w:val="en-CA"/>
        </w:rPr>
        <w:t>v</w:t>
      </w:r>
      <w:r w:rsidRPr="00D05948">
        <w:rPr>
          <w:i/>
          <w:lang w:val="en-CA"/>
        </w:rPr>
        <w:t xml:space="preserve">. </w:t>
      </w:r>
      <w:proofErr w:type="spellStart"/>
      <w:r w:rsidRPr="00D05948">
        <w:rPr>
          <w:i/>
          <w:lang w:val="en-CA"/>
        </w:rPr>
        <w:t>Taypotat</w:t>
      </w:r>
      <w:proofErr w:type="spellEnd"/>
      <w:r w:rsidRPr="00D05948">
        <w:rPr>
          <w:lang w:val="en-CA"/>
        </w:rPr>
        <w:t xml:space="preserve">, [2015] 2 </w:t>
      </w:r>
      <w:r w:rsidR="00003EA4">
        <w:rPr>
          <w:lang w:val="en-CA"/>
        </w:rPr>
        <w:t>S.C.R.</w:t>
      </w:r>
      <w:r w:rsidRPr="00CB0246">
        <w:rPr>
          <w:lang w:val="en-CA"/>
        </w:rPr>
        <w:t xml:space="preserve"> </w:t>
      </w:r>
      <w:r w:rsidRPr="00D05948">
        <w:rPr>
          <w:lang w:val="en-CA"/>
        </w:rPr>
        <w:t xml:space="preserve">548; </w:t>
      </w:r>
      <w:r w:rsidRPr="00D05948">
        <w:rPr>
          <w:i/>
          <w:lang w:val="en-CA"/>
        </w:rPr>
        <w:t xml:space="preserve">Lovelace </w:t>
      </w:r>
      <w:r w:rsidR="00CB0246" w:rsidRPr="00D05948">
        <w:rPr>
          <w:i/>
          <w:lang w:val="en-CA"/>
        </w:rPr>
        <w:t>v</w:t>
      </w:r>
      <w:r w:rsidRPr="00D05948">
        <w:rPr>
          <w:i/>
          <w:lang w:val="en-CA"/>
        </w:rPr>
        <w:t>. Ontario</w:t>
      </w:r>
      <w:r w:rsidRPr="00D05948">
        <w:rPr>
          <w:lang w:val="en-CA"/>
        </w:rPr>
        <w:t>, [2000] 1</w:t>
      </w:r>
      <w:r w:rsidR="00CB0246" w:rsidRPr="00D05948">
        <w:rPr>
          <w:lang w:val="en-CA"/>
        </w:rPr>
        <w:t xml:space="preserve"> </w:t>
      </w:r>
      <w:r w:rsidR="00003EA4">
        <w:rPr>
          <w:lang w:val="en-CA"/>
        </w:rPr>
        <w:t>S.C.R.</w:t>
      </w:r>
      <w:r w:rsidRPr="00CB0246">
        <w:rPr>
          <w:lang w:val="en-CA"/>
        </w:rPr>
        <w:t xml:space="preserve"> 950.</w:t>
      </w:r>
    </w:p>
  </w:footnote>
  <w:footnote w:id="73">
    <w:p w14:paraId="6C23C4DE" w14:textId="29CD6F66" w:rsidR="007A56C0" w:rsidRPr="00267744" w:rsidRDefault="007A56C0" w:rsidP="007A56C0">
      <w:pPr>
        <w:pStyle w:val="Notedebasdepage"/>
        <w:rPr>
          <w:lang w:val="en-CA"/>
        </w:rPr>
      </w:pPr>
      <w:r>
        <w:rPr>
          <w:rStyle w:val="Appelnotedebasdep"/>
        </w:rPr>
        <w:footnoteRef/>
      </w:r>
      <w:r w:rsidRPr="00267744">
        <w:rPr>
          <w:lang w:val="en-CA"/>
        </w:rPr>
        <w:t xml:space="preserve"> </w:t>
      </w:r>
      <w:r w:rsidRPr="00267744">
        <w:rPr>
          <w:lang w:val="en-CA"/>
        </w:rPr>
        <w:tab/>
      </w:r>
      <w:r w:rsidR="00267744" w:rsidRPr="00267744">
        <w:rPr>
          <w:lang w:val="en-CA"/>
        </w:rPr>
        <w:t xml:space="preserve">This stereotype can sometimes be found in the case law, as noted </w:t>
      </w:r>
      <w:r w:rsidR="00267744">
        <w:rPr>
          <w:lang w:val="en-CA"/>
        </w:rPr>
        <w:t>by Professor Jackman in her article cited above:</w:t>
      </w:r>
      <w:r w:rsidRPr="00267744">
        <w:rPr>
          <w:lang w:val="en-CA"/>
        </w:rPr>
        <w:t xml:space="preserve"> M. Jackman,</w:t>
      </w:r>
      <w:r w:rsidR="00267744">
        <w:rPr>
          <w:lang w:val="en-CA"/>
        </w:rPr>
        <w:t xml:space="preserve"> </w:t>
      </w:r>
      <w:r w:rsidR="00267744" w:rsidRPr="00CC4277">
        <w:rPr>
          <w:i/>
          <w:iCs/>
          <w:lang w:val="en-CA"/>
        </w:rPr>
        <w:t>supra</w:t>
      </w:r>
      <w:r w:rsidR="00267744">
        <w:rPr>
          <w:lang w:val="en-CA"/>
        </w:rPr>
        <w:t xml:space="preserve"> </w:t>
      </w:r>
      <w:r w:rsidRPr="00267744">
        <w:rPr>
          <w:lang w:val="en-CA"/>
        </w:rPr>
        <w:t xml:space="preserve">note </w:t>
      </w:r>
      <w:r>
        <w:fldChar w:fldCharType="begin"/>
      </w:r>
      <w:r w:rsidRPr="00267744">
        <w:rPr>
          <w:lang w:val="en-CA"/>
        </w:rPr>
        <w:instrText xml:space="preserve"> NOTEREF _Ref72585773 \h </w:instrText>
      </w:r>
      <w:r>
        <w:fldChar w:fldCharType="separate"/>
      </w:r>
      <w:r w:rsidRPr="00267744">
        <w:rPr>
          <w:lang w:val="en-CA"/>
        </w:rPr>
        <w:t>63</w:t>
      </w:r>
      <w:r>
        <w:fldChar w:fldCharType="end"/>
      </w:r>
      <w:r w:rsidR="00267744" w:rsidRPr="00D05948">
        <w:rPr>
          <w:lang w:val="en-CA"/>
        </w:rPr>
        <w:t xml:space="preserve"> at</w:t>
      </w:r>
      <w:r w:rsidRPr="00D05948">
        <w:rPr>
          <w:lang w:val="en-CA"/>
        </w:rPr>
        <w:t xml:space="preserve"> 103</w:t>
      </w:r>
      <w:r w:rsidR="00CC4277">
        <w:rPr>
          <w:lang w:val="en-CA"/>
        </w:rPr>
        <w:t>–</w:t>
      </w:r>
      <w:r w:rsidRPr="00D05948">
        <w:rPr>
          <w:lang w:val="en-CA"/>
        </w:rPr>
        <w:t>106.</w:t>
      </w:r>
    </w:p>
  </w:footnote>
  <w:footnote w:id="74">
    <w:p w14:paraId="54EDFE58" w14:textId="003806C5" w:rsidR="007A56C0" w:rsidRPr="00267744" w:rsidRDefault="007A56C0" w:rsidP="007A56C0">
      <w:pPr>
        <w:pStyle w:val="Notedebasdepage"/>
        <w:rPr>
          <w:lang w:val="en-CA"/>
        </w:rPr>
      </w:pPr>
      <w:r>
        <w:rPr>
          <w:rStyle w:val="Appelnotedebasdep"/>
        </w:rPr>
        <w:footnoteRef/>
      </w:r>
      <w:r w:rsidRPr="00267744">
        <w:rPr>
          <w:lang w:val="en-CA"/>
        </w:rPr>
        <w:t xml:space="preserve"> </w:t>
      </w:r>
      <w:r w:rsidRPr="00267744">
        <w:rPr>
          <w:lang w:val="en-CA"/>
        </w:rPr>
        <w:tab/>
      </w:r>
      <w:r w:rsidR="00267744" w:rsidRPr="00267744">
        <w:rPr>
          <w:lang w:val="en-CA"/>
        </w:rPr>
        <w:t>This is the e</w:t>
      </w:r>
      <w:r w:rsidRPr="00D05948">
        <w:rPr>
          <w:lang w:val="en-CA"/>
        </w:rPr>
        <w:t xml:space="preserve">xpression </w:t>
      </w:r>
      <w:r w:rsidR="00267744" w:rsidRPr="00D05948">
        <w:rPr>
          <w:lang w:val="en-CA"/>
        </w:rPr>
        <w:t xml:space="preserve">used by </w:t>
      </w:r>
      <w:r w:rsidRPr="00D05948">
        <w:rPr>
          <w:lang w:val="en-CA"/>
        </w:rPr>
        <w:t xml:space="preserve">McIntyre </w:t>
      </w:r>
      <w:r w:rsidR="00267744" w:rsidRPr="00D05948">
        <w:rPr>
          <w:lang w:val="en-CA"/>
        </w:rPr>
        <w:t xml:space="preserve">J. in </w:t>
      </w:r>
      <w:r w:rsidRPr="00D05948">
        <w:rPr>
          <w:i/>
          <w:lang w:val="en-CA"/>
        </w:rPr>
        <w:t xml:space="preserve">Andrews </w:t>
      </w:r>
      <w:r w:rsidR="00267744" w:rsidRPr="00D05948">
        <w:rPr>
          <w:i/>
          <w:lang w:val="en-CA"/>
        </w:rPr>
        <w:t>v</w:t>
      </w:r>
      <w:r w:rsidRPr="00D05948">
        <w:rPr>
          <w:i/>
          <w:lang w:val="en-CA"/>
        </w:rPr>
        <w:t>. Law Society of British Columbia</w:t>
      </w:r>
      <w:r w:rsidRPr="00D05948">
        <w:rPr>
          <w:lang w:val="en-CA"/>
        </w:rPr>
        <w:t xml:space="preserve">, </w:t>
      </w:r>
      <w:r w:rsidR="00267744" w:rsidRPr="00E66EFC">
        <w:rPr>
          <w:i/>
          <w:iCs/>
          <w:lang w:val="en-CA"/>
        </w:rPr>
        <w:t>supra</w:t>
      </w:r>
      <w:r w:rsidRPr="00D05948">
        <w:rPr>
          <w:lang w:val="en-CA"/>
        </w:rPr>
        <w:t xml:space="preserve"> note</w:t>
      </w:r>
      <w:r w:rsidRPr="00267744">
        <w:rPr>
          <w:lang w:val="en-CA"/>
        </w:rPr>
        <w:t> </w:t>
      </w:r>
      <w:r>
        <w:rPr>
          <w:lang w:val="en-CA"/>
        </w:rPr>
        <w:fldChar w:fldCharType="begin"/>
      </w:r>
      <w:r w:rsidRPr="00267744">
        <w:rPr>
          <w:lang w:val="en-CA"/>
        </w:rPr>
        <w:instrText xml:space="preserve"> NOTEREF _Ref73108121 \h </w:instrText>
      </w:r>
      <w:r>
        <w:rPr>
          <w:lang w:val="en-CA"/>
        </w:rPr>
      </w:r>
      <w:r>
        <w:rPr>
          <w:lang w:val="en-CA"/>
        </w:rPr>
        <w:fldChar w:fldCharType="separate"/>
      </w:r>
      <w:r w:rsidRPr="00267744">
        <w:rPr>
          <w:lang w:val="en-CA"/>
        </w:rPr>
        <w:t>68</w:t>
      </w:r>
      <w:r>
        <w:rPr>
          <w:lang w:val="en-CA"/>
        </w:rPr>
        <w:fldChar w:fldCharType="end"/>
      </w:r>
      <w:r w:rsidR="00267744" w:rsidRPr="00D05948">
        <w:rPr>
          <w:lang w:val="en-CA"/>
        </w:rPr>
        <w:t xml:space="preserve"> at</w:t>
      </w:r>
      <w:r w:rsidRPr="00D05948">
        <w:rPr>
          <w:lang w:val="en-CA"/>
        </w:rPr>
        <w:t xml:space="preserve"> 183, </w:t>
      </w:r>
      <w:r w:rsidR="00267744" w:rsidRPr="00D05948">
        <w:rPr>
          <w:lang w:val="en-CA"/>
        </w:rPr>
        <w:t xml:space="preserve">which has been repeated </w:t>
      </w:r>
      <w:r w:rsidR="00CC4277" w:rsidRPr="00D05948">
        <w:rPr>
          <w:lang w:val="en-CA"/>
        </w:rPr>
        <w:t>elsewhere</w:t>
      </w:r>
      <w:r w:rsidR="00267744" w:rsidRPr="00D05948">
        <w:rPr>
          <w:lang w:val="en-CA"/>
        </w:rPr>
        <w:t xml:space="preserve"> in the case law of the Supreme Court</w:t>
      </w:r>
      <w:r w:rsidRPr="00D05948">
        <w:rPr>
          <w:lang w:val="en-CA"/>
        </w:rPr>
        <w:t>.</w:t>
      </w:r>
      <w:r w:rsidRPr="00267744">
        <w:rPr>
          <w:lang w:val="en-CA"/>
        </w:rPr>
        <w:t xml:space="preserve"> </w:t>
      </w:r>
    </w:p>
  </w:footnote>
  <w:footnote w:id="75">
    <w:p w14:paraId="66322C96" w14:textId="0D321952" w:rsidR="007A56C0" w:rsidRPr="00B07F5D" w:rsidRDefault="007A56C0" w:rsidP="007A56C0">
      <w:pPr>
        <w:pStyle w:val="Notedebasdepage"/>
        <w:rPr>
          <w:lang w:val="en-CA"/>
        </w:rPr>
      </w:pPr>
      <w:r>
        <w:rPr>
          <w:rStyle w:val="Appelnotedebasdep"/>
        </w:rPr>
        <w:footnoteRef/>
      </w:r>
      <w:r w:rsidRPr="00B07F5D">
        <w:rPr>
          <w:lang w:val="en-CA"/>
        </w:rPr>
        <w:t xml:space="preserve"> </w:t>
      </w:r>
      <w:r w:rsidRPr="00B07F5D">
        <w:rPr>
          <w:lang w:val="en-CA"/>
        </w:rPr>
        <w:tab/>
      </w:r>
      <w:r w:rsidR="000933E8" w:rsidRPr="00B07F5D">
        <w:rPr>
          <w:lang w:val="en-CA"/>
        </w:rPr>
        <w:t xml:space="preserve">This is a group that overlaps with or superimposes on other vulnerable groups </w:t>
      </w:r>
      <w:r w:rsidR="00B07F5D" w:rsidRPr="00B07F5D">
        <w:rPr>
          <w:lang w:val="en-CA"/>
        </w:rPr>
        <w:t>(women, racialized persons, persons living with a disability, and others),</w:t>
      </w:r>
      <w:r w:rsidR="00B07F5D">
        <w:rPr>
          <w:lang w:val="en-CA"/>
        </w:rPr>
        <w:t xml:space="preserve"> but that nevertheless has its own specificity. </w:t>
      </w:r>
    </w:p>
  </w:footnote>
  <w:footnote w:id="76">
    <w:p w14:paraId="5ED5D1AE" w14:textId="77777777" w:rsidR="00CC4277" w:rsidRDefault="007A56C0" w:rsidP="007A56C0">
      <w:pPr>
        <w:pStyle w:val="Notedebasdepage"/>
        <w:rPr>
          <w:lang w:val="en-CA"/>
        </w:rPr>
      </w:pPr>
      <w:r>
        <w:rPr>
          <w:rStyle w:val="Appelnotedebasdep"/>
        </w:rPr>
        <w:footnoteRef/>
      </w:r>
      <w:r w:rsidRPr="001F1E84">
        <w:rPr>
          <w:lang w:val="en-CA"/>
        </w:rPr>
        <w:t xml:space="preserve"> </w:t>
      </w:r>
      <w:r w:rsidRPr="001F1E84">
        <w:rPr>
          <w:lang w:val="en-CA"/>
        </w:rPr>
        <w:tab/>
      </w:r>
      <w:r w:rsidR="00B07F5D" w:rsidRPr="001F1E84">
        <w:rPr>
          <w:lang w:val="en-CA"/>
        </w:rPr>
        <w:t>It is also consistent with Canada’s international commitments</w:t>
      </w:r>
      <w:r w:rsidRPr="001F1E84">
        <w:rPr>
          <w:lang w:val="en-CA"/>
        </w:rPr>
        <w:t xml:space="preserve">: </w:t>
      </w:r>
      <w:r w:rsidR="00B07F5D" w:rsidRPr="001F1E84">
        <w:rPr>
          <w:lang w:val="en-CA"/>
        </w:rPr>
        <w:t>A</w:t>
      </w:r>
      <w:r w:rsidRPr="001F1E84">
        <w:rPr>
          <w:lang w:val="en-CA"/>
        </w:rPr>
        <w:t>rt</w:t>
      </w:r>
      <w:r w:rsidR="00B07F5D" w:rsidRPr="001F1E84">
        <w:rPr>
          <w:lang w:val="en-CA"/>
        </w:rPr>
        <w:t xml:space="preserve">icle </w:t>
      </w:r>
      <w:r w:rsidRPr="001F1E84">
        <w:rPr>
          <w:lang w:val="en-CA"/>
        </w:rPr>
        <w:t xml:space="preserve">26 </w:t>
      </w:r>
      <w:r w:rsidR="00B07F5D" w:rsidRPr="001F1E84">
        <w:rPr>
          <w:lang w:val="en-CA"/>
        </w:rPr>
        <w:t xml:space="preserve">of the </w:t>
      </w:r>
      <w:r w:rsidR="00B07F5D" w:rsidRPr="00CC4277">
        <w:rPr>
          <w:i/>
          <w:iCs/>
          <w:lang w:val="en-CA"/>
        </w:rPr>
        <w:t>International Covenant on Civil and Political Rights</w:t>
      </w:r>
      <w:r w:rsidR="00B07F5D" w:rsidRPr="001F1E84">
        <w:rPr>
          <w:lang w:val="en-CA"/>
        </w:rPr>
        <w:t xml:space="preserve"> (on which the wording of </w:t>
      </w:r>
      <w:r w:rsidR="001F1E84" w:rsidRPr="001F1E84">
        <w:rPr>
          <w:lang w:val="en-CA"/>
        </w:rPr>
        <w:t>s.</w:t>
      </w:r>
      <w:r w:rsidR="00B07F5D" w:rsidRPr="001F1E84">
        <w:rPr>
          <w:lang w:val="en-CA"/>
        </w:rPr>
        <w:t xml:space="preserve"> 15 of the </w:t>
      </w:r>
      <w:r w:rsidR="00B07F5D" w:rsidRPr="00CC4277">
        <w:rPr>
          <w:i/>
          <w:iCs/>
          <w:lang w:val="en-CA"/>
        </w:rPr>
        <w:t>Canadian Charter</w:t>
      </w:r>
      <w:r w:rsidR="00B07F5D" w:rsidRPr="001F1E84">
        <w:rPr>
          <w:lang w:val="en-CA"/>
        </w:rPr>
        <w:t xml:space="preserve"> is partly based) </w:t>
      </w:r>
      <w:r w:rsidR="00B07F5D" w:rsidRPr="00D05948">
        <w:rPr>
          <w:lang w:val="en-CA"/>
        </w:rPr>
        <w:t xml:space="preserve">guarantees the </w:t>
      </w:r>
      <w:r w:rsidR="00CC4277" w:rsidRPr="00D05948">
        <w:rPr>
          <w:lang w:val="en-CA"/>
        </w:rPr>
        <w:t>equality</w:t>
      </w:r>
      <w:r w:rsidR="00B07F5D" w:rsidRPr="00D05948">
        <w:rPr>
          <w:lang w:val="en-CA"/>
        </w:rPr>
        <w:t xml:space="preserve"> of all persons before the law and equal protection by the law without </w:t>
      </w:r>
      <w:r w:rsidR="00CC4277" w:rsidRPr="00D05948">
        <w:rPr>
          <w:lang w:val="en-CA"/>
        </w:rPr>
        <w:t>di</w:t>
      </w:r>
      <w:r w:rsidR="00CC4277">
        <w:rPr>
          <w:lang w:val="en-CA"/>
        </w:rPr>
        <w:t>scrimi</w:t>
      </w:r>
      <w:r w:rsidR="00CC4277" w:rsidRPr="00D05948">
        <w:rPr>
          <w:lang w:val="en-CA"/>
        </w:rPr>
        <w:t>nation</w:t>
      </w:r>
      <w:r w:rsidR="00B07F5D" w:rsidRPr="00D05948">
        <w:rPr>
          <w:lang w:val="en-CA"/>
        </w:rPr>
        <w:t xml:space="preserve"> based</w:t>
      </w:r>
      <w:r w:rsidR="00CC4277">
        <w:rPr>
          <w:lang w:val="en-CA"/>
        </w:rPr>
        <w:t xml:space="preserve"> on, </w:t>
      </w:r>
      <w:r w:rsidR="00CC4277" w:rsidRPr="00CC4277">
        <w:rPr>
          <w:i/>
          <w:iCs/>
          <w:lang w:val="en-CA"/>
        </w:rPr>
        <w:t>inter</w:t>
      </w:r>
      <w:r w:rsidR="00CC4277">
        <w:rPr>
          <w:lang w:val="en-CA"/>
        </w:rPr>
        <w:t xml:space="preserve"> </w:t>
      </w:r>
      <w:r w:rsidR="00CC4277" w:rsidRPr="00CC4277">
        <w:rPr>
          <w:i/>
          <w:iCs/>
          <w:lang w:val="en-CA"/>
        </w:rPr>
        <w:t>alia</w:t>
      </w:r>
      <w:r w:rsidR="00F26ABA" w:rsidRPr="00D05948">
        <w:rPr>
          <w:lang w:val="en-CA"/>
        </w:rPr>
        <w:t xml:space="preserve">, social origin, property, birth, or other status, all terms that refer to a certain idea of social condition. At the same time, </w:t>
      </w:r>
      <w:r w:rsidR="00F26ABA" w:rsidRPr="00CC4277">
        <w:rPr>
          <w:lang w:val="en-CA"/>
        </w:rPr>
        <w:t>the</w:t>
      </w:r>
      <w:r w:rsidR="00F26ABA" w:rsidRPr="00CC4277">
        <w:rPr>
          <w:i/>
          <w:iCs/>
          <w:lang w:val="en-CA"/>
        </w:rPr>
        <w:t xml:space="preserve"> Universal Declaration of Human</w:t>
      </w:r>
      <w:r w:rsidR="00F26ABA" w:rsidRPr="00D05948">
        <w:rPr>
          <w:lang w:val="en-CA"/>
        </w:rPr>
        <w:t xml:space="preserve"> </w:t>
      </w:r>
      <w:r w:rsidR="00F26ABA" w:rsidRPr="00CC4277">
        <w:rPr>
          <w:i/>
          <w:iCs/>
          <w:lang w:val="en-CA"/>
        </w:rPr>
        <w:t>Rights</w:t>
      </w:r>
      <w:r w:rsidR="00F26ABA" w:rsidRPr="00D05948">
        <w:rPr>
          <w:lang w:val="en-CA"/>
        </w:rPr>
        <w:t xml:space="preserve"> (articles 2, 22, and 25) </w:t>
      </w:r>
      <w:r w:rsidR="0020748B" w:rsidRPr="00D05948">
        <w:rPr>
          <w:lang w:val="en-CA"/>
        </w:rPr>
        <w:t xml:space="preserve">and the </w:t>
      </w:r>
      <w:r w:rsidR="0020748B" w:rsidRPr="00CC4277">
        <w:rPr>
          <w:i/>
          <w:iCs/>
          <w:lang w:val="en-CA"/>
        </w:rPr>
        <w:t>International Covenant on Economic, Social and Cultural Rights</w:t>
      </w:r>
      <w:r w:rsidR="0020748B" w:rsidRPr="00D05948">
        <w:rPr>
          <w:lang w:val="en-CA"/>
        </w:rPr>
        <w:t xml:space="preserve"> (articles 2, 9, and 11) </w:t>
      </w:r>
      <w:r w:rsidR="00F26ABA" w:rsidRPr="00D05948">
        <w:rPr>
          <w:lang w:val="en-CA"/>
        </w:rPr>
        <w:t xml:space="preserve">ensure everyone’s right to social security and an adequate standard of </w:t>
      </w:r>
      <w:r w:rsidR="0020748B" w:rsidRPr="00D05948">
        <w:rPr>
          <w:lang w:val="en-CA"/>
        </w:rPr>
        <w:t xml:space="preserve">living, without </w:t>
      </w:r>
      <w:r w:rsidR="00CC4277" w:rsidRPr="00D05948">
        <w:rPr>
          <w:lang w:val="en-CA"/>
        </w:rPr>
        <w:t>di</w:t>
      </w:r>
      <w:r w:rsidR="00CC4277">
        <w:rPr>
          <w:lang w:val="en-CA"/>
        </w:rPr>
        <w:t>scrimi</w:t>
      </w:r>
      <w:r w:rsidR="00CC4277" w:rsidRPr="00D05948">
        <w:rPr>
          <w:lang w:val="en-CA"/>
        </w:rPr>
        <w:t>nation</w:t>
      </w:r>
      <w:r w:rsidR="0020748B" w:rsidRPr="00D05948">
        <w:rPr>
          <w:lang w:val="en-CA"/>
        </w:rPr>
        <w:t xml:space="preserve"> based on, again, social origin, property, birth, or other status. </w:t>
      </w:r>
    </w:p>
    <w:p w14:paraId="60DC13E6" w14:textId="089192DE" w:rsidR="007A56C0" w:rsidRPr="00E829E6" w:rsidRDefault="0020748B" w:rsidP="00CC4277">
      <w:pPr>
        <w:pStyle w:val="Notedebasdepage"/>
        <w:ind w:firstLine="0"/>
        <w:rPr>
          <w:lang w:val="en-CA"/>
        </w:rPr>
      </w:pPr>
      <w:r w:rsidRPr="00E829E6">
        <w:rPr>
          <w:lang w:val="en-CA"/>
        </w:rPr>
        <w:t xml:space="preserve">More generally, on the question of the nature of the relationship between the </w:t>
      </w:r>
      <w:r w:rsidRPr="00CC4277">
        <w:rPr>
          <w:i/>
          <w:iCs/>
          <w:lang w:val="en-CA"/>
        </w:rPr>
        <w:t>Canadian</w:t>
      </w:r>
      <w:r w:rsidRPr="00E829E6">
        <w:rPr>
          <w:lang w:val="en-CA"/>
        </w:rPr>
        <w:t xml:space="preserve"> </w:t>
      </w:r>
      <w:r w:rsidRPr="00CC4277">
        <w:rPr>
          <w:i/>
          <w:iCs/>
          <w:lang w:val="en-CA"/>
        </w:rPr>
        <w:t>Charter</w:t>
      </w:r>
      <w:r w:rsidRPr="00E829E6">
        <w:rPr>
          <w:lang w:val="en-CA"/>
        </w:rPr>
        <w:t xml:space="preserve"> (and the </w:t>
      </w:r>
      <w:r w:rsidRPr="00CC4277">
        <w:rPr>
          <w:i/>
          <w:iCs/>
          <w:lang w:val="en-CA"/>
        </w:rPr>
        <w:t>Quebec</w:t>
      </w:r>
      <w:r w:rsidRPr="00E829E6">
        <w:rPr>
          <w:lang w:val="en-CA"/>
        </w:rPr>
        <w:t xml:space="preserve"> </w:t>
      </w:r>
      <w:r w:rsidRPr="00CC4277">
        <w:rPr>
          <w:i/>
          <w:iCs/>
          <w:lang w:val="en-CA"/>
        </w:rPr>
        <w:t>Charter</w:t>
      </w:r>
      <w:r w:rsidRPr="00E829E6">
        <w:rPr>
          <w:lang w:val="en-CA"/>
        </w:rPr>
        <w:t xml:space="preserve">) and poverty or the condition of </w:t>
      </w:r>
      <w:r w:rsidR="00E829E6" w:rsidRPr="00E829E6">
        <w:rPr>
          <w:lang w:val="en-CA"/>
        </w:rPr>
        <w:t xml:space="preserve">being a social assistance </w:t>
      </w:r>
      <w:r w:rsidR="00607ABB">
        <w:rPr>
          <w:lang w:val="en-CA"/>
        </w:rPr>
        <w:t>recipient</w:t>
      </w:r>
      <w:r w:rsidR="00E829E6" w:rsidRPr="00E829E6">
        <w:rPr>
          <w:lang w:val="en-CA"/>
        </w:rPr>
        <w:t>, as well as the attitude of the courts in this respect, see</w:t>
      </w:r>
      <w:r w:rsidR="007A56C0" w:rsidRPr="00E829E6">
        <w:rPr>
          <w:lang w:val="en-CA"/>
        </w:rPr>
        <w:t xml:space="preserve">: Hélène Tessier, </w:t>
      </w:r>
      <w:r w:rsidR="00E829E6">
        <w:rPr>
          <w:lang w:val="en-CA"/>
        </w:rPr>
        <w:t>“</w:t>
      </w:r>
      <w:proofErr w:type="spellStart"/>
      <w:r w:rsidR="007A56C0" w:rsidRPr="00E829E6">
        <w:rPr>
          <w:lang w:val="en-CA"/>
        </w:rPr>
        <w:t>Pauvreté</w:t>
      </w:r>
      <w:proofErr w:type="spellEnd"/>
      <w:r w:rsidR="007A56C0" w:rsidRPr="00E829E6">
        <w:rPr>
          <w:lang w:val="en-CA"/>
        </w:rPr>
        <w:t xml:space="preserve"> et </w:t>
      </w:r>
      <w:r w:rsidR="007A56C0" w:rsidRPr="00D05948">
        <w:rPr>
          <w:lang w:val="en-CA"/>
        </w:rPr>
        <w:t xml:space="preserve">droit à </w:t>
      </w:r>
      <w:proofErr w:type="spellStart"/>
      <w:proofErr w:type="gramStart"/>
      <w:r w:rsidR="007A56C0" w:rsidRPr="00D05948">
        <w:rPr>
          <w:lang w:val="en-CA"/>
        </w:rPr>
        <w:t>l’égalité</w:t>
      </w:r>
      <w:proofErr w:type="spellEnd"/>
      <w:r w:rsidR="007A56C0" w:rsidRPr="00E829E6">
        <w:rPr>
          <w:lang w:val="en-CA"/>
        </w:rPr>
        <w:t> :</w:t>
      </w:r>
      <w:proofErr w:type="gramEnd"/>
      <w:r w:rsidR="007A56C0" w:rsidRPr="00E829E6">
        <w:rPr>
          <w:lang w:val="en-CA"/>
        </w:rPr>
        <w:t xml:space="preserve"> </w:t>
      </w:r>
      <w:r w:rsidR="007A56C0" w:rsidRPr="00D05948">
        <w:rPr>
          <w:lang w:val="en-CA"/>
        </w:rPr>
        <w:t>égalité</w:t>
      </w:r>
      <w:r w:rsidR="007A56C0" w:rsidRPr="00E829E6">
        <w:rPr>
          <w:lang w:val="en-CA"/>
        </w:rPr>
        <w:t xml:space="preserve"> de </w:t>
      </w:r>
      <w:proofErr w:type="spellStart"/>
      <w:r w:rsidR="007A56C0" w:rsidRPr="00D05948">
        <w:rPr>
          <w:lang w:val="en-CA"/>
        </w:rPr>
        <w:t>principe</w:t>
      </w:r>
      <w:proofErr w:type="spellEnd"/>
      <w:r w:rsidR="007A56C0" w:rsidRPr="00E829E6">
        <w:rPr>
          <w:lang w:val="en-CA"/>
        </w:rPr>
        <w:t xml:space="preserve"> </w:t>
      </w:r>
      <w:proofErr w:type="spellStart"/>
      <w:r w:rsidR="007A56C0" w:rsidRPr="00E829E6">
        <w:rPr>
          <w:lang w:val="en-CA"/>
        </w:rPr>
        <w:t>ou</w:t>
      </w:r>
      <w:proofErr w:type="spellEnd"/>
      <w:r w:rsidR="007A56C0" w:rsidRPr="00E829E6">
        <w:rPr>
          <w:lang w:val="en-CA"/>
        </w:rPr>
        <w:t xml:space="preserve"> </w:t>
      </w:r>
      <w:r w:rsidR="007A56C0" w:rsidRPr="00D05948">
        <w:rPr>
          <w:lang w:val="en-CA"/>
        </w:rPr>
        <w:t>égalité</w:t>
      </w:r>
      <w:r w:rsidR="007A56C0" w:rsidRPr="00E829E6">
        <w:rPr>
          <w:lang w:val="en-CA"/>
        </w:rPr>
        <w:t xml:space="preserve"> de fait?</w:t>
      </w:r>
      <w:r w:rsidR="00E829E6">
        <w:rPr>
          <w:lang w:val="en-CA"/>
        </w:rPr>
        <w:t>”</w:t>
      </w:r>
      <w:r w:rsidR="007A56C0" w:rsidRPr="00E829E6">
        <w:rPr>
          <w:lang w:val="en-CA"/>
        </w:rPr>
        <w:t xml:space="preserve"> (1998) 98 </w:t>
      </w:r>
      <w:proofErr w:type="spellStart"/>
      <w:r w:rsidR="007A56C0" w:rsidRPr="00E829E6">
        <w:rPr>
          <w:i/>
          <w:iCs/>
          <w:lang w:val="en-CA"/>
        </w:rPr>
        <w:t>Développements</w:t>
      </w:r>
      <w:proofErr w:type="spellEnd"/>
      <w:r w:rsidR="007A56C0" w:rsidRPr="00E829E6">
        <w:rPr>
          <w:i/>
          <w:iCs/>
          <w:lang w:val="en-CA"/>
        </w:rPr>
        <w:t xml:space="preserve"> </w:t>
      </w:r>
      <w:proofErr w:type="spellStart"/>
      <w:r w:rsidR="007A56C0" w:rsidRPr="00E829E6">
        <w:rPr>
          <w:i/>
          <w:iCs/>
          <w:lang w:val="en-CA"/>
        </w:rPr>
        <w:t>récents</w:t>
      </w:r>
      <w:proofErr w:type="spellEnd"/>
      <w:r w:rsidR="007A56C0" w:rsidRPr="00E829E6">
        <w:rPr>
          <w:i/>
          <w:iCs/>
          <w:lang w:val="en-CA"/>
        </w:rPr>
        <w:t xml:space="preserve"> </w:t>
      </w:r>
      <w:proofErr w:type="spellStart"/>
      <w:r w:rsidR="007A56C0" w:rsidRPr="00E829E6">
        <w:rPr>
          <w:i/>
          <w:iCs/>
          <w:lang w:val="en-CA"/>
        </w:rPr>
        <w:t>en</w:t>
      </w:r>
      <w:proofErr w:type="spellEnd"/>
      <w:r w:rsidR="007A56C0" w:rsidRPr="00E829E6">
        <w:rPr>
          <w:i/>
          <w:iCs/>
          <w:lang w:val="en-CA"/>
        </w:rPr>
        <w:t xml:space="preserve"> </w:t>
      </w:r>
      <w:r w:rsidR="007A56C0" w:rsidRPr="00D05948">
        <w:rPr>
          <w:i/>
          <w:iCs/>
          <w:lang w:val="en-CA"/>
        </w:rPr>
        <w:t>droit</w:t>
      </w:r>
      <w:r w:rsidR="007A56C0" w:rsidRPr="00E829E6">
        <w:rPr>
          <w:i/>
          <w:iCs/>
          <w:lang w:val="en-CA"/>
        </w:rPr>
        <w:t xml:space="preserve"> </w:t>
      </w:r>
      <w:proofErr w:type="spellStart"/>
      <w:r w:rsidR="007A56C0" w:rsidRPr="00E829E6">
        <w:rPr>
          <w:i/>
          <w:iCs/>
          <w:lang w:val="en-CA"/>
        </w:rPr>
        <w:t>administratif</w:t>
      </w:r>
      <w:proofErr w:type="spellEnd"/>
      <w:r w:rsidR="007A56C0" w:rsidRPr="00E829E6">
        <w:rPr>
          <w:lang w:val="en-CA"/>
        </w:rPr>
        <w:t xml:space="preserve"> 45, </w:t>
      </w:r>
      <w:r w:rsidR="00E829E6">
        <w:rPr>
          <w:lang w:val="en-CA"/>
        </w:rPr>
        <w:t>especially at</w:t>
      </w:r>
      <w:r w:rsidR="007A56C0" w:rsidRPr="00E829E6">
        <w:rPr>
          <w:lang w:val="en-CA"/>
        </w:rPr>
        <w:t xml:space="preserve"> 59 </w:t>
      </w:r>
      <w:r w:rsidR="004B4684" w:rsidRPr="004B4684">
        <w:rPr>
          <w:i/>
          <w:lang w:val="en-CA"/>
        </w:rPr>
        <w:t>et seq</w:t>
      </w:r>
      <w:r w:rsidR="007A56C0" w:rsidRPr="00E66EFC">
        <w:rPr>
          <w:lang w:val="en-CA"/>
        </w:rPr>
        <w:t>.</w:t>
      </w:r>
    </w:p>
  </w:footnote>
  <w:footnote w:id="77">
    <w:p w14:paraId="080FAAC1" w14:textId="77777777" w:rsidR="008E32DB" w:rsidRPr="00874FC6" w:rsidRDefault="008E32DB" w:rsidP="008E32DB">
      <w:pPr>
        <w:pStyle w:val="Notedebasdepage"/>
        <w:rPr>
          <w:lang w:val="en-CA"/>
        </w:rPr>
      </w:pPr>
      <w:r>
        <w:rPr>
          <w:rStyle w:val="Appelnotedebasdep"/>
        </w:rPr>
        <w:footnoteRef/>
      </w:r>
      <w:r w:rsidRPr="009B4D3D">
        <w:rPr>
          <w:lang w:val="en-CA"/>
        </w:rPr>
        <w:t xml:space="preserve"> </w:t>
      </w:r>
      <w:r w:rsidRPr="009B4D3D">
        <w:rPr>
          <w:lang w:val="en-CA"/>
        </w:rPr>
        <w:tab/>
      </w:r>
      <w:r w:rsidRPr="00D05948">
        <w:rPr>
          <w:lang w:val="en-CA"/>
        </w:rPr>
        <w:t>See e.g.,</w:t>
      </w:r>
      <w:r w:rsidRPr="009B4D3D">
        <w:rPr>
          <w:lang w:val="en-CA"/>
        </w:rPr>
        <w:t> </w:t>
      </w:r>
      <w:r w:rsidRPr="00D05948">
        <w:rPr>
          <w:i/>
          <w:lang w:val="en-CA"/>
        </w:rPr>
        <w:t>Fraser v. Canada (Attorney General)</w:t>
      </w:r>
      <w:r w:rsidRPr="00D05948">
        <w:rPr>
          <w:lang w:val="en-CA"/>
        </w:rPr>
        <w:t xml:space="preserve">, </w:t>
      </w:r>
      <w:r w:rsidRPr="00D05948">
        <w:rPr>
          <w:i/>
          <w:iCs/>
          <w:lang w:val="en-CA"/>
        </w:rPr>
        <w:t>supra</w:t>
      </w:r>
      <w:r w:rsidRPr="00D05948">
        <w:rPr>
          <w:lang w:val="en-CA"/>
        </w:rPr>
        <w:t xml:space="preserve"> note </w:t>
      </w:r>
      <w:r w:rsidRPr="009B4D3D">
        <w:rPr>
          <w:lang w:val="en-CA"/>
        </w:rPr>
        <w:t xml:space="preserve"> </w:t>
      </w:r>
      <w:r>
        <w:fldChar w:fldCharType="begin"/>
      </w:r>
      <w:r w:rsidRPr="009B4D3D">
        <w:rPr>
          <w:lang w:val="en-CA"/>
        </w:rPr>
        <w:instrText xml:space="preserve"> NOTEREF _Ref71980709 \h </w:instrText>
      </w:r>
      <w:r>
        <w:fldChar w:fldCharType="separate"/>
      </w:r>
      <w:r w:rsidRPr="009B4D3D">
        <w:rPr>
          <w:lang w:val="en-CA"/>
        </w:rPr>
        <w:t>38</w:t>
      </w:r>
      <w:r>
        <w:fldChar w:fldCharType="end"/>
      </w:r>
      <w:r w:rsidRPr="00E829E6">
        <w:rPr>
          <w:lang w:val="en-CA"/>
        </w:rPr>
        <w:t xml:space="preserve"> </w:t>
      </w:r>
      <w:r w:rsidRPr="00D05948">
        <w:rPr>
          <w:lang w:val="en-CA"/>
        </w:rPr>
        <w:t>at paras.</w:t>
      </w:r>
      <w:r w:rsidRPr="009B4D3D">
        <w:rPr>
          <w:lang w:val="en-CA"/>
        </w:rPr>
        <w:t xml:space="preserve"> </w:t>
      </w:r>
      <w:r w:rsidRPr="00E829E6">
        <w:rPr>
          <w:lang w:val="en-CA"/>
        </w:rPr>
        <w:t xml:space="preserve">115–117 (majority reasons of </w:t>
      </w:r>
      <w:proofErr w:type="spellStart"/>
      <w:r w:rsidRPr="00E829E6">
        <w:rPr>
          <w:lang w:val="en-CA"/>
        </w:rPr>
        <w:t>Abella</w:t>
      </w:r>
      <w:proofErr w:type="spellEnd"/>
      <w:r w:rsidRPr="00E829E6">
        <w:rPr>
          <w:lang w:val="en-CA"/>
        </w:rPr>
        <w:t xml:space="preserve"> J.); </w:t>
      </w:r>
      <w:proofErr w:type="spellStart"/>
      <w:r w:rsidRPr="00D05948">
        <w:rPr>
          <w:i/>
          <w:lang w:val="en-CA"/>
        </w:rPr>
        <w:t>Kahkewistahaw</w:t>
      </w:r>
      <w:proofErr w:type="spellEnd"/>
      <w:r w:rsidRPr="00E829E6">
        <w:rPr>
          <w:i/>
          <w:lang w:val="en-CA"/>
        </w:rPr>
        <w:t xml:space="preserve"> </w:t>
      </w:r>
      <w:r>
        <w:rPr>
          <w:i/>
          <w:lang w:val="en-CA"/>
        </w:rPr>
        <w:t>First Nation v</w:t>
      </w:r>
      <w:r w:rsidRPr="00E829E6">
        <w:rPr>
          <w:i/>
          <w:lang w:val="en-CA"/>
        </w:rPr>
        <w:t xml:space="preserve">. </w:t>
      </w:r>
      <w:proofErr w:type="spellStart"/>
      <w:r w:rsidRPr="00E829E6">
        <w:rPr>
          <w:i/>
          <w:lang w:val="en-CA"/>
        </w:rPr>
        <w:t>Taypotat</w:t>
      </w:r>
      <w:proofErr w:type="spellEnd"/>
      <w:r w:rsidRPr="00E829E6">
        <w:rPr>
          <w:lang w:val="en-CA"/>
        </w:rPr>
        <w:t>,</w:t>
      </w:r>
      <w:r>
        <w:rPr>
          <w:lang w:val="en-CA"/>
        </w:rPr>
        <w:t xml:space="preserve"> </w:t>
      </w:r>
      <w:r w:rsidRPr="00E829E6">
        <w:rPr>
          <w:i/>
          <w:iCs/>
          <w:lang w:val="en-CA"/>
        </w:rPr>
        <w:t>supra</w:t>
      </w:r>
      <w:r>
        <w:rPr>
          <w:lang w:val="en-CA"/>
        </w:rPr>
        <w:t xml:space="preserve"> </w:t>
      </w:r>
      <w:r w:rsidRPr="00E829E6">
        <w:rPr>
          <w:lang w:val="en-CA"/>
        </w:rPr>
        <w:t xml:space="preserve">note </w:t>
      </w:r>
      <w:r>
        <w:fldChar w:fldCharType="begin"/>
      </w:r>
      <w:r w:rsidRPr="00E829E6">
        <w:rPr>
          <w:lang w:val="en-CA"/>
        </w:rPr>
        <w:instrText xml:space="preserve"> NOTEREF _Ref73114513 \h </w:instrText>
      </w:r>
      <w:r>
        <w:fldChar w:fldCharType="separate"/>
      </w:r>
      <w:r w:rsidRPr="00E829E6">
        <w:rPr>
          <w:lang w:val="en-CA"/>
        </w:rPr>
        <w:t>72</w:t>
      </w:r>
      <w:r>
        <w:fldChar w:fldCharType="end"/>
      </w:r>
      <w:r w:rsidRPr="00D05948">
        <w:rPr>
          <w:lang w:val="en-CA"/>
        </w:rPr>
        <w:t xml:space="preserve">; </w:t>
      </w:r>
      <w:r w:rsidRPr="00D05948">
        <w:rPr>
          <w:i/>
          <w:lang w:val="en-CA"/>
        </w:rPr>
        <w:t>Lovelace v. Ontario</w:t>
      </w:r>
      <w:r w:rsidRPr="00D05948">
        <w:rPr>
          <w:lang w:val="en-CA"/>
        </w:rPr>
        <w:t xml:space="preserve">, [2000] 1 </w:t>
      </w:r>
      <w:r>
        <w:rPr>
          <w:lang w:val="en-CA"/>
        </w:rPr>
        <w:t>S.C.R.</w:t>
      </w:r>
      <w:r w:rsidRPr="00E829E6">
        <w:rPr>
          <w:lang w:val="en-CA"/>
        </w:rPr>
        <w:t xml:space="preserve"> </w:t>
      </w:r>
      <w:r w:rsidRPr="00D05948">
        <w:rPr>
          <w:lang w:val="en-CA"/>
        </w:rPr>
        <w:t>950 at para.</w:t>
      </w:r>
      <w:r w:rsidRPr="00E829E6">
        <w:rPr>
          <w:lang w:val="en-CA"/>
        </w:rPr>
        <w:t xml:space="preserve"> </w:t>
      </w:r>
      <w:r w:rsidRPr="00874FC6">
        <w:rPr>
          <w:lang w:val="en-CA"/>
        </w:rPr>
        <w:t>67.</w:t>
      </w:r>
    </w:p>
  </w:footnote>
  <w:footnote w:id="78">
    <w:p w14:paraId="401ED885" w14:textId="4005D9DD" w:rsidR="00647D41" w:rsidRPr="00874FC6" w:rsidRDefault="00647D41" w:rsidP="00647D41">
      <w:pPr>
        <w:pStyle w:val="Notedebasdepage"/>
        <w:rPr>
          <w:i/>
          <w:lang w:val="en-CA"/>
        </w:rPr>
      </w:pPr>
      <w:r w:rsidRPr="00884B25">
        <w:rPr>
          <w:rStyle w:val="Appelnotedebasdep"/>
        </w:rPr>
        <w:footnoteRef/>
      </w:r>
      <w:r w:rsidRPr="0081222E">
        <w:rPr>
          <w:lang w:val="en-CA"/>
        </w:rPr>
        <w:t xml:space="preserve"> </w:t>
      </w:r>
      <w:r w:rsidRPr="0081222E">
        <w:rPr>
          <w:lang w:val="en-CA"/>
        </w:rPr>
        <w:tab/>
      </w:r>
      <w:r w:rsidR="0081222E" w:rsidRPr="0081222E">
        <w:rPr>
          <w:lang w:val="en-CA"/>
        </w:rPr>
        <w:t>As I stated above (</w:t>
      </w:r>
      <w:r w:rsidRPr="00D05948">
        <w:rPr>
          <w:i/>
          <w:lang w:val="en-CA"/>
        </w:rPr>
        <w:t>supra</w:t>
      </w:r>
      <w:r w:rsidRPr="00D05948">
        <w:rPr>
          <w:lang w:val="en-CA"/>
        </w:rPr>
        <w:t>, para.</w:t>
      </w:r>
      <w:r w:rsidRPr="0081222E">
        <w:rPr>
          <w:lang w:val="en-CA"/>
        </w:rPr>
        <w:t xml:space="preserve"> </w:t>
      </w:r>
      <w:r w:rsidRPr="00884B25">
        <w:fldChar w:fldCharType="begin"/>
      </w:r>
      <w:r w:rsidRPr="0081222E">
        <w:rPr>
          <w:lang w:val="en-CA"/>
        </w:rPr>
        <w:instrText xml:space="preserve"> REF _Ref75192008 \r \h  \* MERGEFORMAT </w:instrText>
      </w:r>
      <w:r w:rsidRPr="00884B25">
        <w:fldChar w:fldCharType="separate"/>
      </w:r>
      <w:r w:rsidRPr="0081222E">
        <w:rPr>
          <w:lang w:val="en-CA"/>
        </w:rPr>
        <w:t>[28]</w:t>
      </w:r>
      <w:r w:rsidRPr="00884B25">
        <w:fldChar w:fldCharType="end"/>
      </w:r>
      <w:r w:rsidRPr="0081222E">
        <w:rPr>
          <w:lang w:val="en-CA"/>
        </w:rPr>
        <w:t xml:space="preserve">), </w:t>
      </w:r>
      <w:r w:rsidR="0081222E" w:rsidRPr="0081222E">
        <w:rPr>
          <w:lang w:val="en-CA"/>
        </w:rPr>
        <w:t xml:space="preserve">in his </w:t>
      </w:r>
      <w:r w:rsidR="00807E9A">
        <w:rPr>
          <w:lang w:val="en-CA"/>
        </w:rPr>
        <w:t xml:space="preserve">memorandum </w:t>
      </w:r>
      <w:r w:rsidR="0081222E" w:rsidRPr="0081222E">
        <w:rPr>
          <w:lang w:val="en-CA"/>
        </w:rPr>
        <w:t xml:space="preserve">and at the appeal hearing, the appellant also raises –without </w:t>
      </w:r>
      <w:r w:rsidR="00BA146D" w:rsidRPr="0081222E">
        <w:rPr>
          <w:lang w:val="en-CA"/>
        </w:rPr>
        <w:t>really</w:t>
      </w:r>
      <w:r w:rsidR="0081222E" w:rsidRPr="0081222E">
        <w:rPr>
          <w:lang w:val="en-CA"/>
        </w:rPr>
        <w:t xml:space="preserve"> supporting his remarks – </w:t>
      </w:r>
      <w:r w:rsidR="001F1E84">
        <w:rPr>
          <w:lang w:val="en-CA"/>
        </w:rPr>
        <w:t>s.</w:t>
      </w:r>
      <w:r w:rsidR="0081222E" w:rsidRPr="0081222E">
        <w:rPr>
          <w:lang w:val="en-CA"/>
        </w:rPr>
        <w:t xml:space="preserve"> 12 of the </w:t>
      </w:r>
      <w:r w:rsidR="0081222E" w:rsidRPr="00621F58">
        <w:rPr>
          <w:i/>
          <w:iCs/>
          <w:lang w:val="en-CA"/>
        </w:rPr>
        <w:t>Quebec Charter</w:t>
      </w:r>
      <w:r w:rsidR="0081222E" w:rsidRPr="0081222E">
        <w:rPr>
          <w:lang w:val="en-CA"/>
        </w:rPr>
        <w:t xml:space="preserve"> which </w:t>
      </w:r>
      <w:r w:rsidR="00621F58">
        <w:rPr>
          <w:lang w:val="en-CA"/>
        </w:rPr>
        <w:t>at first glance</w:t>
      </w:r>
      <w:r w:rsidR="0081222E" w:rsidRPr="0081222E">
        <w:rPr>
          <w:lang w:val="en-CA"/>
        </w:rPr>
        <w:t xml:space="preserve"> hardly appears to apply to the impugned situation in this case. </w:t>
      </w:r>
      <w:r w:rsidR="0081222E" w:rsidRPr="00BA146D">
        <w:rPr>
          <w:lang w:val="en-CA"/>
        </w:rPr>
        <w:t>He also invokes</w:t>
      </w:r>
      <w:r w:rsidR="00621F58">
        <w:rPr>
          <w:lang w:val="en-CA"/>
        </w:rPr>
        <w:t xml:space="preserve"> </w:t>
      </w:r>
      <w:r w:rsidR="0081222E" w:rsidRPr="00BA146D">
        <w:rPr>
          <w:lang w:val="en-CA"/>
        </w:rPr>
        <w:t xml:space="preserve">– again quite </w:t>
      </w:r>
      <w:proofErr w:type="gramStart"/>
      <w:r w:rsidR="0081222E" w:rsidRPr="00BA146D">
        <w:rPr>
          <w:lang w:val="en-CA"/>
        </w:rPr>
        <w:t xml:space="preserve">generically  </w:t>
      </w:r>
      <w:r w:rsidR="00621F58">
        <w:rPr>
          <w:lang w:val="en-CA"/>
        </w:rPr>
        <w:t>–</w:t>
      </w:r>
      <w:proofErr w:type="gramEnd"/>
      <w:r w:rsidR="0081222E" w:rsidRPr="00BA146D">
        <w:rPr>
          <w:lang w:val="en-CA"/>
        </w:rPr>
        <w:t xml:space="preserve"> </w:t>
      </w:r>
      <w:r w:rsidR="001F1E84">
        <w:rPr>
          <w:lang w:val="en-CA"/>
        </w:rPr>
        <w:t>s.</w:t>
      </w:r>
      <w:r w:rsidR="0081222E" w:rsidRPr="00BA146D">
        <w:rPr>
          <w:lang w:val="en-CA"/>
        </w:rPr>
        <w:t xml:space="preserve"> 4 (right to dignity)</w:t>
      </w:r>
      <w:r w:rsidR="00BA146D" w:rsidRPr="00BA146D">
        <w:rPr>
          <w:lang w:val="en-CA"/>
        </w:rPr>
        <w:t xml:space="preserve">, a catch-all </w:t>
      </w:r>
      <w:r w:rsidR="00BA146D">
        <w:rPr>
          <w:lang w:val="en-CA"/>
        </w:rPr>
        <w:t xml:space="preserve">provision that tends to be invoked every time </w:t>
      </w:r>
      <w:r w:rsidR="00621F58">
        <w:rPr>
          <w:lang w:val="en-CA"/>
        </w:rPr>
        <w:t>discrimination</w:t>
      </w:r>
      <w:r w:rsidR="00BA146D">
        <w:rPr>
          <w:lang w:val="en-CA"/>
        </w:rPr>
        <w:t xml:space="preserve"> under the </w:t>
      </w:r>
      <w:r w:rsidR="00BA146D" w:rsidRPr="00621F58">
        <w:rPr>
          <w:i/>
          <w:iCs/>
          <w:lang w:val="en-CA"/>
        </w:rPr>
        <w:t>Quebec</w:t>
      </w:r>
      <w:r w:rsidR="00BA146D">
        <w:rPr>
          <w:lang w:val="en-CA"/>
        </w:rPr>
        <w:t xml:space="preserve"> </w:t>
      </w:r>
      <w:r w:rsidR="00BA146D" w:rsidRPr="00621F58">
        <w:rPr>
          <w:i/>
          <w:iCs/>
          <w:lang w:val="en-CA"/>
        </w:rPr>
        <w:t>Charter</w:t>
      </w:r>
      <w:r w:rsidR="00BA146D">
        <w:rPr>
          <w:lang w:val="en-CA"/>
        </w:rPr>
        <w:t xml:space="preserve"> is alleged. </w:t>
      </w:r>
      <w:r w:rsidR="00BA146D" w:rsidRPr="00874FC6">
        <w:rPr>
          <w:lang w:val="en-CA"/>
        </w:rPr>
        <w:t xml:space="preserve">However, he does not invoke </w:t>
      </w:r>
      <w:r w:rsidR="001F1E84" w:rsidRPr="00874FC6">
        <w:rPr>
          <w:lang w:val="en-CA"/>
        </w:rPr>
        <w:t>s.</w:t>
      </w:r>
      <w:r w:rsidR="00BA146D" w:rsidRPr="00874FC6">
        <w:rPr>
          <w:lang w:val="en-CA"/>
        </w:rPr>
        <w:t xml:space="preserve"> 45.</w:t>
      </w:r>
    </w:p>
  </w:footnote>
  <w:footnote w:id="79">
    <w:p w14:paraId="068A1A53" w14:textId="73B9B5CB" w:rsidR="00196220" w:rsidRPr="00623D91" w:rsidRDefault="006979E7" w:rsidP="00640E7F">
      <w:pPr>
        <w:pStyle w:val="Notedebasdepage"/>
        <w:rPr>
          <w:lang w:val="en-CA"/>
        </w:rPr>
      </w:pPr>
      <w:r>
        <w:rPr>
          <w:rStyle w:val="Appelnotedebasdep"/>
        </w:rPr>
        <w:footnoteRef/>
      </w:r>
      <w:r w:rsidRPr="00874FC6">
        <w:rPr>
          <w:lang w:val="en-CA"/>
        </w:rPr>
        <w:t xml:space="preserve"> </w:t>
      </w:r>
      <w:r w:rsidRPr="00874FC6">
        <w:rPr>
          <w:lang w:val="en-CA"/>
        </w:rPr>
        <w:tab/>
      </w:r>
      <w:r w:rsidR="009B4D3D" w:rsidRPr="00874FC6">
        <w:rPr>
          <w:lang w:val="en-CA"/>
        </w:rPr>
        <w:t>See above at para.</w:t>
      </w:r>
      <w:r w:rsidRPr="00874FC6">
        <w:rPr>
          <w:lang w:val="en-CA"/>
        </w:rPr>
        <w:t xml:space="preserve"> </w:t>
      </w:r>
      <w:r>
        <w:fldChar w:fldCharType="begin"/>
      </w:r>
      <w:r w:rsidRPr="00874FC6">
        <w:rPr>
          <w:lang w:val="en-CA"/>
        </w:rPr>
        <w:instrText xml:space="preserve"> REF _Ref72165566 \r \h </w:instrText>
      </w:r>
      <w:r>
        <w:fldChar w:fldCharType="separate"/>
      </w:r>
      <w:r w:rsidRPr="00623D91">
        <w:rPr>
          <w:lang w:val="en-CA"/>
        </w:rPr>
        <w:t>[55]</w:t>
      </w:r>
      <w:r>
        <w:fldChar w:fldCharType="end"/>
      </w:r>
      <w:r w:rsidRPr="00623D91">
        <w:rPr>
          <w:lang w:val="en-CA"/>
        </w:rPr>
        <w:t>.</w:t>
      </w:r>
    </w:p>
  </w:footnote>
  <w:footnote w:id="80">
    <w:p w14:paraId="75B5F087" w14:textId="0D8E3709" w:rsidR="009A6D0E" w:rsidRPr="00874FC6" w:rsidRDefault="009A6D0E" w:rsidP="009A6D0E">
      <w:pPr>
        <w:pStyle w:val="Notedebasdepage"/>
        <w:rPr>
          <w:lang w:val="en-CA"/>
        </w:rPr>
      </w:pPr>
      <w:r>
        <w:rPr>
          <w:rStyle w:val="Appelnotedebasdep"/>
        </w:rPr>
        <w:footnoteRef/>
      </w:r>
      <w:r w:rsidRPr="00623D91">
        <w:rPr>
          <w:lang w:val="en-CA"/>
        </w:rPr>
        <w:t xml:space="preserve"> </w:t>
      </w:r>
      <w:r w:rsidRPr="00623D91">
        <w:rPr>
          <w:lang w:val="en-CA"/>
        </w:rPr>
        <w:tab/>
      </w:r>
      <w:r w:rsidR="009B4D3D" w:rsidRPr="00D05948">
        <w:rPr>
          <w:lang w:val="en-CA"/>
        </w:rPr>
        <w:t>See above at para.</w:t>
      </w:r>
      <w:r w:rsidRPr="00623D91">
        <w:rPr>
          <w:lang w:val="en-CA"/>
        </w:rPr>
        <w:t xml:space="preserve"> </w:t>
      </w:r>
      <w:r w:rsidRPr="00D05948">
        <w:fldChar w:fldCharType="begin"/>
      </w:r>
      <w:r w:rsidRPr="00D05948">
        <w:rPr>
          <w:lang w:val="en-CA"/>
        </w:rPr>
        <w:instrText xml:space="preserve"> REF _Ref73701873 \r \h </w:instrText>
      </w:r>
      <w:r w:rsidRPr="00D05948">
        <w:fldChar w:fldCharType="separate"/>
      </w:r>
      <w:r w:rsidRPr="00874FC6">
        <w:rPr>
          <w:lang w:val="en-CA"/>
        </w:rPr>
        <w:t>[30]</w:t>
      </w:r>
      <w:r w:rsidRPr="00D05948">
        <w:fldChar w:fldCharType="end"/>
      </w:r>
      <w:r w:rsidRPr="00874FC6">
        <w:rPr>
          <w:lang w:val="en-CA"/>
        </w:rPr>
        <w:t xml:space="preserve"> </w:t>
      </w:r>
      <w:r w:rsidR="004B4684" w:rsidRPr="004B4684">
        <w:rPr>
          <w:i/>
          <w:lang w:val="en-CA"/>
        </w:rPr>
        <w:t>et seq</w:t>
      </w:r>
      <w:r w:rsidRPr="00874FC6">
        <w:rPr>
          <w:lang w:val="en-CA"/>
        </w:rPr>
        <w:t>.</w:t>
      </w:r>
    </w:p>
  </w:footnote>
  <w:footnote w:id="81">
    <w:p w14:paraId="264C9556" w14:textId="1979E205" w:rsidR="009A6D0E" w:rsidRPr="00BA146D" w:rsidRDefault="009A6D0E" w:rsidP="009A6D0E">
      <w:pPr>
        <w:pStyle w:val="Notedebasdepage"/>
        <w:rPr>
          <w:lang w:val="en-CA"/>
        </w:rPr>
      </w:pPr>
      <w:r w:rsidRPr="00BA146D">
        <w:rPr>
          <w:rStyle w:val="Appelnotedebasdep"/>
          <w:lang w:val="en-CA"/>
        </w:rPr>
        <w:footnoteRef/>
      </w:r>
      <w:r w:rsidRPr="00BA146D">
        <w:rPr>
          <w:lang w:val="en-CA"/>
        </w:rPr>
        <w:t xml:space="preserve"> </w:t>
      </w:r>
      <w:r w:rsidRPr="00BA146D">
        <w:rPr>
          <w:lang w:val="en-CA"/>
        </w:rPr>
        <w:tab/>
      </w:r>
      <w:r w:rsidR="00BA146D" w:rsidRPr="00BA146D">
        <w:rPr>
          <w:lang w:val="en-CA"/>
        </w:rPr>
        <w:t xml:space="preserve">And, given the passage of time, </w:t>
      </w:r>
      <w:r w:rsidR="00103E48">
        <w:rPr>
          <w:lang w:val="en-CA"/>
        </w:rPr>
        <w:t>a “</w:t>
      </w:r>
      <w:r w:rsidR="00DE7392">
        <w:rPr>
          <w:lang w:val="en-CA"/>
        </w:rPr>
        <w:t>back calculation</w:t>
      </w:r>
      <w:r w:rsidR="00103E48">
        <w:rPr>
          <w:lang w:val="en-CA"/>
        </w:rPr>
        <w:t xml:space="preserve">” </w:t>
      </w:r>
      <w:r w:rsidR="00BA146D" w:rsidRPr="00BA146D">
        <w:rPr>
          <w:lang w:val="en-CA"/>
        </w:rPr>
        <w:t xml:space="preserve">is not possible </w:t>
      </w:r>
      <w:r w:rsidR="00BA146D">
        <w:rPr>
          <w:lang w:val="en-CA"/>
        </w:rPr>
        <w:t xml:space="preserve">under the parameters of </w:t>
      </w:r>
      <w:r w:rsidR="001F1E84">
        <w:rPr>
          <w:lang w:val="en-CA"/>
        </w:rPr>
        <w:t>s.</w:t>
      </w:r>
      <w:r w:rsidR="00BA146D">
        <w:rPr>
          <w:lang w:val="en-CA"/>
        </w:rPr>
        <w:t xml:space="preserve"> 120.1 </w:t>
      </w:r>
      <w:r w:rsidR="00040F5E" w:rsidRPr="006A57B2">
        <w:rPr>
          <w:i/>
          <w:iCs/>
          <w:lang w:val="en-CA"/>
        </w:rPr>
        <w:t>A.Q.P.P</w:t>
      </w:r>
      <w:r w:rsidR="00040F5E">
        <w:rPr>
          <w:lang w:val="en-CA"/>
        </w:rPr>
        <w:t>.</w:t>
      </w:r>
      <w:r w:rsidR="00103E48">
        <w:rPr>
          <w:lang w:val="en-CA"/>
        </w:rPr>
        <w:t xml:space="preserve">; in any event, it would say nothing about the overall resources to which the appellant may have access. </w:t>
      </w:r>
    </w:p>
  </w:footnote>
  <w:footnote w:id="82">
    <w:p w14:paraId="6A89C39B" w14:textId="6052280E" w:rsidR="009A6D0E" w:rsidRPr="00874FC6" w:rsidRDefault="009A6D0E" w:rsidP="009A6D0E">
      <w:pPr>
        <w:pStyle w:val="Notedebasdepage"/>
        <w:rPr>
          <w:lang w:val="en-CA"/>
        </w:rPr>
      </w:pPr>
      <w:r>
        <w:rPr>
          <w:rStyle w:val="Appelnotedebasdep"/>
        </w:rPr>
        <w:footnoteRef/>
      </w:r>
      <w:r w:rsidRPr="00874FC6">
        <w:rPr>
          <w:lang w:val="en-CA"/>
        </w:rPr>
        <w:t xml:space="preserve"> </w:t>
      </w:r>
      <w:r w:rsidRPr="00874FC6">
        <w:rPr>
          <w:lang w:val="en-CA"/>
        </w:rPr>
        <w:tab/>
      </w:r>
      <w:r w:rsidR="00DC31C3" w:rsidRPr="00874FC6">
        <w:rPr>
          <w:lang w:val="en-CA"/>
        </w:rPr>
        <w:t>ATQ</w:t>
      </w:r>
      <w:r w:rsidR="00103E48" w:rsidRPr="00874FC6">
        <w:rPr>
          <w:lang w:val="en-CA"/>
        </w:rPr>
        <w:t xml:space="preserve"> decision at para.</w:t>
      </w:r>
      <w:r w:rsidRPr="00874FC6">
        <w:rPr>
          <w:lang w:val="en-CA"/>
        </w:rPr>
        <w:t xml:space="preserve"> 60.</w:t>
      </w:r>
    </w:p>
  </w:footnote>
  <w:footnote w:id="83">
    <w:p w14:paraId="60C7E3E9" w14:textId="03E1E59B" w:rsidR="00196220" w:rsidRPr="00103E48" w:rsidRDefault="006979E7" w:rsidP="00640E7F">
      <w:pPr>
        <w:pStyle w:val="Notedebasdepage"/>
        <w:rPr>
          <w:lang w:val="en-CA"/>
        </w:rPr>
      </w:pPr>
      <w:r>
        <w:rPr>
          <w:rStyle w:val="Appelnotedebasdep"/>
        </w:rPr>
        <w:footnoteRef/>
      </w:r>
      <w:r w:rsidRPr="00103E48">
        <w:rPr>
          <w:lang w:val="en-CA"/>
        </w:rPr>
        <w:t xml:space="preserve"> </w:t>
      </w:r>
      <w:r w:rsidRPr="00103E48">
        <w:rPr>
          <w:lang w:val="en-CA"/>
        </w:rPr>
        <w:tab/>
      </w:r>
      <w:r w:rsidRPr="00D05948">
        <w:rPr>
          <w:i/>
          <w:lang w:val="en-CA"/>
        </w:rPr>
        <w:t xml:space="preserve">Fraser </w:t>
      </w:r>
      <w:r w:rsidR="00103E48" w:rsidRPr="00D05948">
        <w:rPr>
          <w:i/>
          <w:lang w:val="en-CA"/>
        </w:rPr>
        <w:t>v</w:t>
      </w:r>
      <w:r w:rsidRPr="00D05948">
        <w:rPr>
          <w:i/>
          <w:lang w:val="en-CA"/>
        </w:rPr>
        <w:t>. Canada (</w:t>
      </w:r>
      <w:r w:rsidR="00103E48" w:rsidRPr="00D05948">
        <w:rPr>
          <w:i/>
          <w:lang w:val="en-CA"/>
        </w:rPr>
        <w:t xml:space="preserve">Attorney </w:t>
      </w:r>
      <w:r w:rsidR="00B146F3" w:rsidRPr="00D05948">
        <w:rPr>
          <w:i/>
          <w:lang w:val="en-CA"/>
        </w:rPr>
        <w:t>General</w:t>
      </w:r>
      <w:r w:rsidRPr="00D05948">
        <w:rPr>
          <w:i/>
          <w:lang w:val="en-CA"/>
        </w:rPr>
        <w:t>)</w:t>
      </w:r>
      <w:r w:rsidRPr="00D05948">
        <w:rPr>
          <w:lang w:val="en-CA"/>
        </w:rPr>
        <w:t>,</w:t>
      </w:r>
      <w:r w:rsidR="00E66EFC">
        <w:rPr>
          <w:lang w:val="en-CA"/>
        </w:rPr>
        <w:t xml:space="preserve"> </w:t>
      </w:r>
      <w:r w:rsidR="00103E48" w:rsidRPr="00E66EFC">
        <w:rPr>
          <w:i/>
          <w:iCs/>
          <w:lang w:val="en-CA"/>
        </w:rPr>
        <w:t>supra</w:t>
      </w:r>
      <w:r w:rsidRPr="00D05948">
        <w:rPr>
          <w:lang w:val="en-CA"/>
        </w:rPr>
        <w:t xml:space="preserve"> note</w:t>
      </w:r>
      <w:r w:rsidRPr="00103E48">
        <w:rPr>
          <w:lang w:val="en-CA"/>
        </w:rPr>
        <w:t xml:space="preserve"> </w:t>
      </w:r>
      <w:r>
        <w:fldChar w:fldCharType="begin"/>
      </w:r>
      <w:r w:rsidRPr="00103E48">
        <w:rPr>
          <w:lang w:val="en-CA"/>
        </w:rPr>
        <w:instrText xml:space="preserve"> NOTEREF _Ref71980709 \h </w:instrText>
      </w:r>
      <w:r>
        <w:fldChar w:fldCharType="separate"/>
      </w:r>
      <w:r w:rsidRPr="00103E48">
        <w:rPr>
          <w:lang w:val="en-CA"/>
        </w:rPr>
        <w:t>38</w:t>
      </w:r>
      <w:r>
        <w:fldChar w:fldCharType="end"/>
      </w:r>
      <w:r w:rsidR="00103E48" w:rsidRPr="00103E48">
        <w:rPr>
          <w:lang w:val="en-CA"/>
        </w:rPr>
        <w:t xml:space="preserve"> </w:t>
      </w:r>
      <w:r w:rsidR="009B4D3D" w:rsidRPr="00D05948">
        <w:rPr>
          <w:lang w:val="en-CA"/>
        </w:rPr>
        <w:t>at para</w:t>
      </w:r>
      <w:r w:rsidR="00103E48" w:rsidRPr="00D05948">
        <w:rPr>
          <w:lang w:val="en-CA"/>
        </w:rPr>
        <w:t>s</w:t>
      </w:r>
      <w:r w:rsidR="009B4D3D" w:rsidRPr="00D05948">
        <w:rPr>
          <w:lang w:val="en-CA"/>
        </w:rPr>
        <w:t>.</w:t>
      </w:r>
      <w:r w:rsidRPr="00103E48">
        <w:rPr>
          <w:lang w:val="en-CA"/>
        </w:rPr>
        <w:t xml:space="preserve"> </w:t>
      </w:r>
      <w:r w:rsidRPr="00D05948">
        <w:rPr>
          <w:lang w:val="en-CA"/>
        </w:rPr>
        <w:t xml:space="preserve">72 </w:t>
      </w:r>
      <w:r w:rsidR="00103E48" w:rsidRPr="00D05948">
        <w:rPr>
          <w:lang w:val="en-CA"/>
        </w:rPr>
        <w:t xml:space="preserve">and </w:t>
      </w:r>
      <w:r w:rsidRPr="00D05948">
        <w:rPr>
          <w:lang w:val="en-CA"/>
        </w:rPr>
        <w:t>75 (</w:t>
      </w:r>
      <w:r w:rsidR="00103E48" w:rsidRPr="00D05948">
        <w:rPr>
          <w:lang w:val="en-CA"/>
        </w:rPr>
        <w:t>majority reasons of</w:t>
      </w:r>
      <w:r w:rsidRPr="00D05948">
        <w:rPr>
          <w:lang w:val="en-CA"/>
        </w:rPr>
        <w:t> </w:t>
      </w:r>
      <w:proofErr w:type="spellStart"/>
      <w:r w:rsidRPr="00D05948">
        <w:rPr>
          <w:lang w:val="en-CA"/>
        </w:rPr>
        <w:t>Abella</w:t>
      </w:r>
      <w:proofErr w:type="spellEnd"/>
      <w:r w:rsidR="00103E48" w:rsidRPr="00D05948">
        <w:rPr>
          <w:lang w:val="en-CA"/>
        </w:rPr>
        <w:t xml:space="preserve"> J.</w:t>
      </w:r>
      <w:r w:rsidRPr="00D05948">
        <w:rPr>
          <w:lang w:val="en-CA"/>
        </w:rPr>
        <w:t>).</w:t>
      </w:r>
    </w:p>
  </w:footnote>
  <w:footnote w:id="84">
    <w:p w14:paraId="669468E1" w14:textId="1B7B3375" w:rsidR="00565E8F" w:rsidRPr="00E66EFC" w:rsidRDefault="00565E8F" w:rsidP="00565E8F">
      <w:pPr>
        <w:pStyle w:val="Notedebasdepage"/>
      </w:pPr>
      <w:r>
        <w:rPr>
          <w:rStyle w:val="Appelnotedebasdep"/>
        </w:rPr>
        <w:footnoteRef/>
      </w:r>
      <w:r w:rsidRPr="00103E48">
        <w:rPr>
          <w:lang w:val="en-CA"/>
        </w:rPr>
        <w:t xml:space="preserve"> </w:t>
      </w:r>
      <w:r w:rsidRPr="00103E48">
        <w:rPr>
          <w:lang w:val="en-CA"/>
        </w:rPr>
        <w:tab/>
      </w:r>
      <w:r w:rsidR="00103E48" w:rsidRPr="00103E48">
        <w:rPr>
          <w:lang w:val="en-CA"/>
        </w:rPr>
        <w:t>On this second point, see in pa</w:t>
      </w:r>
      <w:r w:rsidR="00103E48">
        <w:rPr>
          <w:lang w:val="en-CA"/>
        </w:rPr>
        <w:t>rticular</w:t>
      </w:r>
      <w:r w:rsidRPr="00103E48">
        <w:rPr>
          <w:lang w:val="en-CA"/>
        </w:rPr>
        <w:t xml:space="preserve">: </w:t>
      </w:r>
      <w:proofErr w:type="spellStart"/>
      <w:r w:rsidRPr="00D05948">
        <w:rPr>
          <w:i/>
          <w:lang w:val="en-CA"/>
        </w:rPr>
        <w:t>Kahkewistahaw</w:t>
      </w:r>
      <w:proofErr w:type="spellEnd"/>
      <w:r w:rsidRPr="00103E48">
        <w:rPr>
          <w:i/>
          <w:lang w:val="en-CA"/>
        </w:rPr>
        <w:t xml:space="preserve"> </w:t>
      </w:r>
      <w:r w:rsidR="00BB491F">
        <w:rPr>
          <w:i/>
          <w:lang w:val="en-CA"/>
        </w:rPr>
        <w:t xml:space="preserve">First Nation </w:t>
      </w:r>
      <w:r w:rsidR="00103E48">
        <w:rPr>
          <w:i/>
          <w:lang w:val="en-CA"/>
        </w:rPr>
        <w:t xml:space="preserve">v. </w:t>
      </w:r>
      <w:proofErr w:type="spellStart"/>
      <w:r w:rsidRPr="00103E48">
        <w:rPr>
          <w:i/>
          <w:lang w:val="en-CA"/>
        </w:rPr>
        <w:t>Taypotat</w:t>
      </w:r>
      <w:proofErr w:type="spellEnd"/>
      <w:r w:rsidRPr="00103E48">
        <w:rPr>
          <w:lang w:val="en-CA"/>
        </w:rPr>
        <w:t>,</w:t>
      </w:r>
      <w:r w:rsidR="00103E48">
        <w:rPr>
          <w:lang w:val="en-CA"/>
        </w:rPr>
        <w:t xml:space="preserve"> </w:t>
      </w:r>
      <w:r w:rsidR="00103E48" w:rsidRPr="00E66EFC">
        <w:rPr>
          <w:i/>
          <w:iCs/>
          <w:lang w:val="en-CA"/>
        </w:rPr>
        <w:t>supra</w:t>
      </w:r>
      <w:r w:rsidRPr="00103E48">
        <w:rPr>
          <w:lang w:val="en-CA"/>
        </w:rPr>
        <w:t xml:space="preserve"> note </w:t>
      </w:r>
      <w:r>
        <w:fldChar w:fldCharType="begin"/>
      </w:r>
      <w:r w:rsidRPr="00103E48">
        <w:rPr>
          <w:lang w:val="en-CA"/>
        </w:rPr>
        <w:instrText xml:space="preserve"> NOTEREF _Ref73114513 \h </w:instrText>
      </w:r>
      <w:r>
        <w:fldChar w:fldCharType="separate"/>
      </w:r>
      <w:r w:rsidRPr="00103E48">
        <w:rPr>
          <w:lang w:val="en-CA"/>
        </w:rPr>
        <w:t>72</w:t>
      </w:r>
      <w:r>
        <w:fldChar w:fldCharType="end"/>
      </w:r>
      <w:r w:rsidR="00103E48" w:rsidRPr="00103E48">
        <w:rPr>
          <w:lang w:val="en-CA"/>
        </w:rPr>
        <w:t xml:space="preserve"> </w:t>
      </w:r>
      <w:r w:rsidR="009B4D3D" w:rsidRPr="00D05948">
        <w:rPr>
          <w:lang w:val="en-CA"/>
        </w:rPr>
        <w:t>at para</w:t>
      </w:r>
      <w:r w:rsidR="00103E48" w:rsidRPr="00D05948">
        <w:rPr>
          <w:lang w:val="en-CA"/>
        </w:rPr>
        <w:t>s</w:t>
      </w:r>
      <w:r w:rsidR="009B4D3D" w:rsidRPr="00D05948">
        <w:rPr>
          <w:lang w:val="en-CA"/>
        </w:rPr>
        <w:t>.</w:t>
      </w:r>
      <w:r w:rsidRPr="00103E48">
        <w:rPr>
          <w:lang w:val="en-CA"/>
        </w:rPr>
        <w:t xml:space="preserve"> 24, 27, 33</w:t>
      </w:r>
      <w:r w:rsidR="00103E48" w:rsidRPr="00103E48">
        <w:rPr>
          <w:lang w:val="en-CA"/>
        </w:rPr>
        <w:t>–</w:t>
      </w:r>
      <w:r w:rsidRPr="00103E48">
        <w:rPr>
          <w:lang w:val="en-CA"/>
        </w:rPr>
        <w:t xml:space="preserve">34. </w:t>
      </w:r>
      <w:r w:rsidR="00103E48" w:rsidRPr="00103E48">
        <w:rPr>
          <w:lang w:val="en-CA"/>
        </w:rPr>
        <w:t>See also</w:t>
      </w:r>
      <w:r w:rsidRPr="00D05948">
        <w:rPr>
          <w:lang w:val="en-CA"/>
        </w:rPr>
        <w:t xml:space="preserve"> </w:t>
      </w:r>
      <w:r w:rsidRPr="00D05948">
        <w:rPr>
          <w:i/>
          <w:lang w:val="en-CA"/>
        </w:rPr>
        <w:t xml:space="preserve">Fraser </w:t>
      </w:r>
      <w:r w:rsidR="00103E48" w:rsidRPr="00D05948">
        <w:rPr>
          <w:i/>
          <w:lang w:val="en-CA"/>
        </w:rPr>
        <w:t>v</w:t>
      </w:r>
      <w:r w:rsidRPr="00D05948">
        <w:rPr>
          <w:i/>
          <w:lang w:val="en-CA"/>
        </w:rPr>
        <w:t>. Canada (</w:t>
      </w:r>
      <w:r w:rsidR="00103E48" w:rsidRPr="00D05948">
        <w:rPr>
          <w:i/>
          <w:lang w:val="en-CA"/>
        </w:rPr>
        <w:t>Attorney General</w:t>
      </w:r>
      <w:r w:rsidRPr="00D05948">
        <w:rPr>
          <w:i/>
          <w:lang w:val="en-CA"/>
        </w:rPr>
        <w:t>)</w:t>
      </w:r>
      <w:r w:rsidRPr="00D05948">
        <w:rPr>
          <w:lang w:val="en-CA"/>
        </w:rPr>
        <w:t>,</w:t>
      </w:r>
      <w:r w:rsidR="00103E48" w:rsidRPr="00D05948">
        <w:rPr>
          <w:lang w:val="en-CA"/>
        </w:rPr>
        <w:t xml:space="preserve"> </w:t>
      </w:r>
      <w:r w:rsidR="00103E48" w:rsidRPr="00D05948">
        <w:rPr>
          <w:i/>
          <w:iCs/>
          <w:lang w:val="en-CA"/>
        </w:rPr>
        <w:t>supra</w:t>
      </w:r>
      <w:r w:rsidR="00103E48" w:rsidRPr="00D05948">
        <w:rPr>
          <w:lang w:val="en-CA"/>
        </w:rPr>
        <w:t xml:space="preserve"> note </w:t>
      </w:r>
      <w:r>
        <w:fldChar w:fldCharType="begin"/>
      </w:r>
      <w:r w:rsidRPr="00103E48">
        <w:rPr>
          <w:lang w:val="en-CA"/>
        </w:rPr>
        <w:instrText xml:space="preserve"> NOTEREF _Ref71980709 \h </w:instrText>
      </w:r>
      <w:r>
        <w:fldChar w:fldCharType="separate"/>
      </w:r>
      <w:r w:rsidRPr="00103E48">
        <w:rPr>
          <w:lang w:val="en-CA"/>
        </w:rPr>
        <w:t>38</w:t>
      </w:r>
      <w:r>
        <w:fldChar w:fldCharType="end"/>
      </w:r>
      <w:r w:rsidR="00103E48" w:rsidRPr="00103E48">
        <w:rPr>
          <w:lang w:val="en-CA"/>
        </w:rPr>
        <w:t xml:space="preserve"> </w:t>
      </w:r>
      <w:r w:rsidR="009B4D3D" w:rsidRPr="00D05948">
        <w:rPr>
          <w:lang w:val="en-CA"/>
        </w:rPr>
        <w:t>at para.</w:t>
      </w:r>
      <w:r w:rsidRPr="00103E48">
        <w:rPr>
          <w:lang w:val="en-CA"/>
        </w:rPr>
        <w:t xml:space="preserve"> </w:t>
      </w:r>
      <w:r w:rsidRPr="00E66EFC">
        <w:t xml:space="preserve">60. </w:t>
      </w:r>
    </w:p>
  </w:footnote>
  <w:footnote w:id="85">
    <w:p w14:paraId="658E535F" w14:textId="5EEE3AA5" w:rsidR="00565E8F" w:rsidRPr="00103E48" w:rsidRDefault="00565E8F" w:rsidP="00565E8F">
      <w:pPr>
        <w:pStyle w:val="Notedebasdepage"/>
        <w:rPr>
          <w:lang w:val="en-CA"/>
        </w:rPr>
      </w:pPr>
      <w:r>
        <w:rPr>
          <w:rStyle w:val="Appelnotedebasdep"/>
        </w:rPr>
        <w:footnoteRef/>
      </w:r>
      <w:r w:rsidRPr="00B210EA">
        <w:t xml:space="preserve"> </w:t>
      </w:r>
      <w:r w:rsidRPr="00B210EA">
        <w:tab/>
      </w:r>
      <w:proofErr w:type="spellStart"/>
      <w:r w:rsidRPr="00B210EA">
        <w:rPr>
          <w:i/>
        </w:rPr>
        <w:t>Kahkewistahaw</w:t>
      </w:r>
      <w:proofErr w:type="spellEnd"/>
      <w:r w:rsidRPr="00B210EA">
        <w:rPr>
          <w:i/>
        </w:rPr>
        <w:t xml:space="preserve"> </w:t>
      </w:r>
      <w:r w:rsidR="00BB491F" w:rsidRPr="00B210EA">
        <w:rPr>
          <w:i/>
        </w:rPr>
        <w:t xml:space="preserve">First Nation </w:t>
      </w:r>
      <w:r w:rsidR="00103E48" w:rsidRPr="00B210EA">
        <w:rPr>
          <w:i/>
        </w:rPr>
        <w:t>v</w:t>
      </w:r>
      <w:r w:rsidRPr="00B210EA">
        <w:rPr>
          <w:i/>
        </w:rPr>
        <w:t xml:space="preserve">. </w:t>
      </w:r>
      <w:proofErr w:type="spellStart"/>
      <w:r w:rsidRPr="00B210EA">
        <w:rPr>
          <w:i/>
        </w:rPr>
        <w:t>Taypotat</w:t>
      </w:r>
      <w:proofErr w:type="spellEnd"/>
      <w:r w:rsidRPr="00B210EA">
        <w:t xml:space="preserve">, </w:t>
      </w:r>
      <w:r w:rsidR="00103E48" w:rsidRPr="00B210EA">
        <w:rPr>
          <w:i/>
          <w:iCs/>
        </w:rPr>
        <w:t>supra</w:t>
      </w:r>
      <w:r w:rsidRPr="00B210EA">
        <w:t xml:space="preserve"> note </w:t>
      </w:r>
      <w:r>
        <w:fldChar w:fldCharType="begin"/>
      </w:r>
      <w:r w:rsidRPr="00B210EA">
        <w:instrText xml:space="preserve"> NOTEREF _Ref73114513 \h </w:instrText>
      </w:r>
      <w:r>
        <w:fldChar w:fldCharType="separate"/>
      </w:r>
      <w:r w:rsidRPr="00B210EA">
        <w:t>72</w:t>
      </w:r>
      <w:r>
        <w:fldChar w:fldCharType="end"/>
      </w:r>
      <w:r w:rsidR="00103E48" w:rsidRPr="00B210EA">
        <w:t xml:space="preserve"> </w:t>
      </w:r>
      <w:r w:rsidR="009B4D3D" w:rsidRPr="00B210EA">
        <w:t>at para</w:t>
      </w:r>
      <w:r w:rsidR="00103E48" w:rsidRPr="00B210EA">
        <w:t>s</w:t>
      </w:r>
      <w:r w:rsidR="009B4D3D" w:rsidRPr="00B210EA">
        <w:t>.</w:t>
      </w:r>
      <w:r w:rsidRPr="00B210EA">
        <w:t xml:space="preserve"> </w:t>
      </w:r>
      <w:r w:rsidRPr="00D05948">
        <w:t>24, 27, 33</w:t>
      </w:r>
      <w:r w:rsidR="00103E48" w:rsidRPr="00D05948">
        <w:t>–</w:t>
      </w:r>
      <w:r w:rsidRPr="00D05948">
        <w:t xml:space="preserve">34; </w:t>
      </w:r>
      <w:r w:rsidRPr="00D05948">
        <w:rPr>
          <w:i/>
        </w:rPr>
        <w:t xml:space="preserve">Québec (Commission des droits de la personne et des droits de la jeunesse) </w:t>
      </w:r>
      <w:r w:rsidR="00103E48" w:rsidRPr="00D05948">
        <w:rPr>
          <w:i/>
        </w:rPr>
        <w:t>v</w:t>
      </w:r>
      <w:r w:rsidRPr="00D05948">
        <w:rPr>
          <w:i/>
        </w:rPr>
        <w:t>. Bombardier Inc.</w:t>
      </w:r>
      <w:r w:rsidRPr="00392C22">
        <w:rPr>
          <w:i/>
        </w:rPr>
        <w:t xml:space="preserve"> </w:t>
      </w:r>
      <w:r w:rsidR="009B4D3D" w:rsidRPr="00D05948">
        <w:rPr>
          <w:i/>
          <w:lang w:val="en-CA"/>
        </w:rPr>
        <w:t>Bombardier Aerospace Training Center</w:t>
      </w:r>
      <w:r w:rsidR="009B4D3D" w:rsidRPr="00D05948">
        <w:rPr>
          <w:lang w:val="en-CA"/>
        </w:rPr>
        <w:t xml:space="preserve">), </w:t>
      </w:r>
      <w:r w:rsidR="009B4D3D" w:rsidRPr="00D05948">
        <w:rPr>
          <w:i/>
          <w:iCs/>
          <w:lang w:val="en-CA"/>
        </w:rPr>
        <w:t>supra</w:t>
      </w:r>
      <w:r w:rsidR="009B4D3D" w:rsidRPr="00D05948">
        <w:rPr>
          <w:lang w:val="en-CA"/>
        </w:rPr>
        <w:t xml:space="preserve"> note </w:t>
      </w:r>
      <w:r w:rsidRPr="00103E48">
        <w:rPr>
          <w:lang w:val="en-CA"/>
        </w:rPr>
        <w:t xml:space="preserve"> </w:t>
      </w:r>
      <w:r>
        <w:fldChar w:fldCharType="begin"/>
      </w:r>
      <w:r w:rsidRPr="00103E48">
        <w:rPr>
          <w:lang w:val="en-CA"/>
        </w:rPr>
        <w:instrText xml:space="preserve"> NOTEREF _Ref71882321 \h </w:instrText>
      </w:r>
      <w:r>
        <w:fldChar w:fldCharType="separate"/>
      </w:r>
      <w:r w:rsidRPr="00103E48">
        <w:rPr>
          <w:lang w:val="en-CA"/>
        </w:rPr>
        <w:t>43</w:t>
      </w:r>
      <w:r>
        <w:fldChar w:fldCharType="end"/>
      </w:r>
      <w:r w:rsidR="00103E48" w:rsidRPr="00103E48">
        <w:rPr>
          <w:lang w:val="en-CA"/>
        </w:rPr>
        <w:t xml:space="preserve"> </w:t>
      </w:r>
      <w:r w:rsidR="009B4D3D" w:rsidRPr="00D05948">
        <w:rPr>
          <w:lang w:val="en-CA"/>
        </w:rPr>
        <w:t>at para</w:t>
      </w:r>
      <w:r w:rsidR="00103E48" w:rsidRPr="00D05948">
        <w:rPr>
          <w:lang w:val="en-CA"/>
        </w:rPr>
        <w:t>s</w:t>
      </w:r>
      <w:r w:rsidR="009B4D3D" w:rsidRPr="00D05948">
        <w:rPr>
          <w:lang w:val="en-CA"/>
        </w:rPr>
        <w:t>.</w:t>
      </w:r>
      <w:r w:rsidRPr="00103E48">
        <w:rPr>
          <w:lang w:val="en-CA"/>
        </w:rPr>
        <w:t xml:space="preserve"> 3 </w:t>
      </w:r>
      <w:r w:rsidR="00103E48" w:rsidRPr="00103E48">
        <w:rPr>
          <w:lang w:val="en-CA"/>
        </w:rPr>
        <w:t xml:space="preserve">and </w:t>
      </w:r>
      <w:r w:rsidRPr="00103E48">
        <w:rPr>
          <w:lang w:val="en-CA"/>
        </w:rPr>
        <w:t xml:space="preserve">55 </w:t>
      </w:r>
      <w:r w:rsidR="004B4684" w:rsidRPr="004B4684">
        <w:rPr>
          <w:i/>
          <w:lang w:val="en-CA"/>
        </w:rPr>
        <w:t>et seq</w:t>
      </w:r>
      <w:r w:rsidRPr="00103E48">
        <w:rPr>
          <w:lang w:val="en-CA"/>
        </w:rPr>
        <w:t>.</w:t>
      </w:r>
    </w:p>
  </w:footnote>
  <w:footnote w:id="86">
    <w:p w14:paraId="22AF012A" w14:textId="7870526D" w:rsidR="00565E8F" w:rsidRPr="00874FC6" w:rsidRDefault="00565E8F" w:rsidP="00565E8F">
      <w:pPr>
        <w:pStyle w:val="Notedebasdepage"/>
        <w:rPr>
          <w:lang w:val="en-CA"/>
        </w:rPr>
      </w:pPr>
      <w:r>
        <w:rPr>
          <w:rStyle w:val="Appelnotedebasdep"/>
        </w:rPr>
        <w:footnoteRef/>
      </w:r>
      <w:r w:rsidRPr="00103E48">
        <w:rPr>
          <w:lang w:val="en-CA"/>
        </w:rPr>
        <w:t xml:space="preserve"> </w:t>
      </w:r>
      <w:r w:rsidRPr="00103E48">
        <w:rPr>
          <w:lang w:val="en-CA"/>
        </w:rPr>
        <w:tab/>
      </w:r>
      <w:r w:rsidR="009B4D3D" w:rsidRPr="00D05948">
        <w:rPr>
          <w:lang w:val="en-CA"/>
        </w:rPr>
        <w:t>See e.g.,</w:t>
      </w:r>
      <w:r w:rsidR="00103E48" w:rsidRPr="00D05948">
        <w:rPr>
          <w:i/>
          <w:lang w:val="en-CA"/>
        </w:rPr>
        <w:t xml:space="preserve"> </w:t>
      </w:r>
      <w:proofErr w:type="spellStart"/>
      <w:r w:rsidRPr="00D05948">
        <w:rPr>
          <w:i/>
          <w:lang w:val="en-CA"/>
        </w:rPr>
        <w:t>Kahkewistahaw</w:t>
      </w:r>
      <w:proofErr w:type="spellEnd"/>
      <w:r w:rsidRPr="00D05948">
        <w:rPr>
          <w:i/>
          <w:lang w:val="en-CA"/>
        </w:rPr>
        <w:t xml:space="preserve"> </w:t>
      </w:r>
      <w:r w:rsidR="00BB491F">
        <w:rPr>
          <w:i/>
          <w:lang w:val="en-CA"/>
        </w:rPr>
        <w:t xml:space="preserve">First Nation </w:t>
      </w:r>
      <w:r w:rsidR="00103E48" w:rsidRPr="00D05948">
        <w:rPr>
          <w:i/>
          <w:lang w:val="en-CA"/>
        </w:rPr>
        <w:t>v</w:t>
      </w:r>
      <w:r w:rsidRPr="00D05948">
        <w:rPr>
          <w:i/>
          <w:lang w:val="en-CA"/>
        </w:rPr>
        <w:t xml:space="preserve">. </w:t>
      </w:r>
      <w:proofErr w:type="spellStart"/>
      <w:r w:rsidRPr="00D05948">
        <w:rPr>
          <w:i/>
          <w:lang w:val="en-CA"/>
        </w:rPr>
        <w:t>Taypotat</w:t>
      </w:r>
      <w:proofErr w:type="spellEnd"/>
      <w:r w:rsidRPr="00D05948">
        <w:rPr>
          <w:lang w:val="en-CA"/>
        </w:rPr>
        <w:t>,</w:t>
      </w:r>
      <w:r w:rsidR="00103E48" w:rsidRPr="00D05948">
        <w:rPr>
          <w:lang w:val="en-CA"/>
        </w:rPr>
        <w:t xml:space="preserve"> </w:t>
      </w:r>
      <w:r w:rsidR="00103E48" w:rsidRPr="00E66EFC">
        <w:rPr>
          <w:i/>
          <w:iCs/>
          <w:lang w:val="en-CA"/>
        </w:rPr>
        <w:t>supra</w:t>
      </w:r>
      <w:r w:rsidRPr="00D05948">
        <w:rPr>
          <w:lang w:val="en-CA"/>
        </w:rPr>
        <w:t xml:space="preserve"> note</w:t>
      </w:r>
      <w:r w:rsidRPr="00103E48">
        <w:rPr>
          <w:lang w:val="en-CA"/>
        </w:rPr>
        <w:t xml:space="preserve"> </w:t>
      </w:r>
      <w:r>
        <w:fldChar w:fldCharType="begin"/>
      </w:r>
      <w:r w:rsidRPr="00103E48">
        <w:rPr>
          <w:lang w:val="en-CA"/>
        </w:rPr>
        <w:instrText xml:space="preserve"> NOTEREF _Ref73114513 \h </w:instrText>
      </w:r>
      <w:r>
        <w:fldChar w:fldCharType="separate"/>
      </w:r>
      <w:r w:rsidRPr="00103E48">
        <w:rPr>
          <w:lang w:val="en-CA"/>
        </w:rPr>
        <w:t>72</w:t>
      </w:r>
      <w:r>
        <w:fldChar w:fldCharType="end"/>
      </w:r>
      <w:r w:rsidR="00103E48" w:rsidRPr="00103E48">
        <w:rPr>
          <w:lang w:val="en-CA"/>
        </w:rPr>
        <w:t xml:space="preserve"> </w:t>
      </w:r>
      <w:r w:rsidR="009B4D3D" w:rsidRPr="00D05948">
        <w:rPr>
          <w:lang w:val="en-CA"/>
        </w:rPr>
        <w:t>at para.</w:t>
      </w:r>
      <w:r w:rsidRPr="00103E48">
        <w:rPr>
          <w:lang w:val="en-CA"/>
        </w:rPr>
        <w:t xml:space="preserve"> </w:t>
      </w:r>
      <w:r w:rsidRPr="00D05948">
        <w:rPr>
          <w:lang w:val="en-CA"/>
        </w:rPr>
        <w:t xml:space="preserve">31; </w:t>
      </w:r>
      <w:r w:rsidRPr="00D05948">
        <w:rPr>
          <w:i/>
          <w:lang w:val="en-CA"/>
        </w:rPr>
        <w:t xml:space="preserve">Law </w:t>
      </w:r>
      <w:r w:rsidR="00103E48" w:rsidRPr="00D05948">
        <w:rPr>
          <w:i/>
          <w:lang w:val="en-CA"/>
        </w:rPr>
        <w:t>v</w:t>
      </w:r>
      <w:r w:rsidRPr="00D05948">
        <w:rPr>
          <w:i/>
          <w:lang w:val="en-CA"/>
        </w:rPr>
        <w:t>. Canada (Minist</w:t>
      </w:r>
      <w:r w:rsidR="00103E48" w:rsidRPr="00D05948">
        <w:rPr>
          <w:i/>
          <w:lang w:val="en-CA"/>
        </w:rPr>
        <w:t xml:space="preserve">er of Employment and </w:t>
      </w:r>
      <w:r w:rsidRPr="00D05948">
        <w:rPr>
          <w:i/>
          <w:lang w:val="en-CA"/>
        </w:rPr>
        <w:t>’Immigration)</w:t>
      </w:r>
      <w:r w:rsidRPr="00D05948">
        <w:rPr>
          <w:lang w:val="en-CA"/>
        </w:rPr>
        <w:t>,</w:t>
      </w:r>
      <w:r w:rsidR="00103E48" w:rsidRPr="00D05948">
        <w:rPr>
          <w:lang w:val="en-CA"/>
        </w:rPr>
        <w:t xml:space="preserve"> </w:t>
      </w:r>
      <w:r w:rsidR="00103E48" w:rsidRPr="00E66EFC">
        <w:rPr>
          <w:i/>
          <w:iCs/>
          <w:lang w:val="en-CA"/>
        </w:rPr>
        <w:t>supra</w:t>
      </w:r>
      <w:r w:rsidRPr="00D05948">
        <w:rPr>
          <w:lang w:val="en-CA"/>
        </w:rPr>
        <w:t xml:space="preserve"> note</w:t>
      </w:r>
      <w:r w:rsidRPr="00103E48">
        <w:rPr>
          <w:lang w:val="en-CA"/>
        </w:rPr>
        <w:t xml:space="preserve"> </w:t>
      </w:r>
      <w:r>
        <w:fldChar w:fldCharType="begin"/>
      </w:r>
      <w:r w:rsidRPr="00103E48">
        <w:rPr>
          <w:lang w:val="en-CA"/>
        </w:rPr>
        <w:instrText xml:space="preserve"> NOTEREF _Ref73436925 \h </w:instrText>
      </w:r>
      <w:r>
        <w:fldChar w:fldCharType="separate"/>
      </w:r>
      <w:r w:rsidRPr="00103E48">
        <w:rPr>
          <w:lang w:val="en-CA"/>
        </w:rPr>
        <w:t>46</w:t>
      </w:r>
      <w:r>
        <w:fldChar w:fldCharType="end"/>
      </w:r>
      <w:r w:rsidR="00103E48" w:rsidRPr="00103E48">
        <w:rPr>
          <w:lang w:val="en-CA"/>
        </w:rPr>
        <w:t xml:space="preserve"> </w:t>
      </w:r>
      <w:r w:rsidR="009B4D3D" w:rsidRPr="00D05948">
        <w:rPr>
          <w:lang w:val="en-CA"/>
        </w:rPr>
        <w:t>at para</w:t>
      </w:r>
      <w:r w:rsidR="00103E48" w:rsidRPr="00D05948">
        <w:rPr>
          <w:lang w:val="en-CA"/>
        </w:rPr>
        <w:t>s</w:t>
      </w:r>
      <w:r w:rsidR="009B4D3D" w:rsidRPr="00D05948">
        <w:rPr>
          <w:lang w:val="en-CA"/>
        </w:rPr>
        <w:t>.</w:t>
      </w:r>
      <w:r w:rsidRPr="00103E48">
        <w:rPr>
          <w:lang w:val="en-CA"/>
        </w:rPr>
        <w:t xml:space="preserve"> </w:t>
      </w:r>
      <w:r w:rsidRPr="00874FC6">
        <w:rPr>
          <w:lang w:val="en-CA"/>
        </w:rPr>
        <w:t>77</w:t>
      </w:r>
      <w:r w:rsidR="00103E48" w:rsidRPr="00874FC6">
        <w:rPr>
          <w:lang w:val="en-CA"/>
        </w:rPr>
        <w:t>–</w:t>
      </w:r>
      <w:r w:rsidRPr="00874FC6">
        <w:rPr>
          <w:lang w:val="en-CA"/>
        </w:rPr>
        <w:t xml:space="preserve">79, 83 </w:t>
      </w:r>
      <w:r w:rsidR="00103E48" w:rsidRPr="00874FC6">
        <w:rPr>
          <w:lang w:val="en-CA"/>
        </w:rPr>
        <w:t>and</w:t>
      </w:r>
      <w:r w:rsidRPr="00874FC6">
        <w:rPr>
          <w:lang w:val="en-CA"/>
        </w:rPr>
        <w:t xml:space="preserve"> 95. </w:t>
      </w:r>
      <w:r w:rsidR="00103E48" w:rsidRPr="00103E48">
        <w:rPr>
          <w:lang w:val="en-CA"/>
        </w:rPr>
        <w:t>Generally, see</w:t>
      </w:r>
      <w:r w:rsidRPr="00D05948">
        <w:rPr>
          <w:lang w:val="en-CA"/>
        </w:rPr>
        <w:t xml:space="preserve"> </w:t>
      </w:r>
      <w:r w:rsidR="00103E48" w:rsidRPr="00103E48">
        <w:rPr>
          <w:i/>
          <w:lang w:val="en-CA"/>
        </w:rPr>
        <w:t>Newfoundland (Treasury Board) v. N.A.P.E</w:t>
      </w:r>
      <w:r w:rsidRPr="00D05948">
        <w:rPr>
          <w:lang w:val="en-CA"/>
        </w:rPr>
        <w:t>, [2004] 3</w:t>
      </w:r>
      <w:r w:rsidR="00103E48">
        <w:rPr>
          <w:lang w:val="en-CA"/>
        </w:rPr>
        <w:t xml:space="preserve"> </w:t>
      </w:r>
      <w:r w:rsidR="00003EA4">
        <w:rPr>
          <w:lang w:val="en-CA"/>
        </w:rPr>
        <w:t>S.C.R.</w:t>
      </w:r>
      <w:r w:rsidRPr="00103E48">
        <w:rPr>
          <w:lang w:val="en-CA"/>
        </w:rPr>
        <w:t xml:space="preserve"> </w:t>
      </w:r>
      <w:r w:rsidRPr="00D05948">
        <w:rPr>
          <w:lang w:val="en-CA"/>
        </w:rPr>
        <w:t>381</w:t>
      </w:r>
      <w:r w:rsidR="00103E48" w:rsidRPr="00D05948">
        <w:rPr>
          <w:lang w:val="en-CA"/>
        </w:rPr>
        <w:t xml:space="preserve"> at</w:t>
      </w:r>
      <w:r w:rsidRPr="00D05948">
        <w:rPr>
          <w:lang w:val="en-CA"/>
        </w:rPr>
        <w:t xml:space="preserve"> para</w:t>
      </w:r>
      <w:r w:rsidR="00103E48" w:rsidRPr="00D05948">
        <w:rPr>
          <w:lang w:val="en-CA"/>
        </w:rPr>
        <w:t>s</w:t>
      </w:r>
      <w:r w:rsidRPr="00D05948">
        <w:rPr>
          <w:lang w:val="en-CA"/>
        </w:rPr>
        <w:t>.</w:t>
      </w:r>
      <w:r w:rsidRPr="00103E48">
        <w:rPr>
          <w:lang w:val="en-CA"/>
        </w:rPr>
        <w:t xml:space="preserve"> </w:t>
      </w:r>
      <w:r w:rsidRPr="00874FC6">
        <w:rPr>
          <w:lang w:val="en-CA"/>
        </w:rPr>
        <w:t xml:space="preserve">56 </w:t>
      </w:r>
      <w:r w:rsidR="004B4684" w:rsidRPr="004B4684">
        <w:rPr>
          <w:i/>
          <w:lang w:val="en-CA"/>
        </w:rPr>
        <w:t>et seq</w:t>
      </w:r>
      <w:r w:rsidRPr="00874FC6">
        <w:rPr>
          <w:lang w:val="en-CA"/>
        </w:rPr>
        <w:t xml:space="preserve">. </w:t>
      </w:r>
    </w:p>
  </w:footnote>
  <w:footnote w:id="87">
    <w:p w14:paraId="358F475A" w14:textId="77777777" w:rsidR="00693BDC" w:rsidRPr="00FD696D" w:rsidRDefault="00693BDC" w:rsidP="00693BDC">
      <w:pPr>
        <w:pStyle w:val="Notedebasdepage"/>
        <w:rPr>
          <w:lang w:val="en-CA"/>
        </w:rPr>
      </w:pPr>
      <w:r>
        <w:rPr>
          <w:rStyle w:val="Appelnotedebasdep"/>
        </w:rPr>
        <w:footnoteRef/>
      </w:r>
      <w:r w:rsidRPr="00FD696D">
        <w:rPr>
          <w:lang w:val="en-CA"/>
        </w:rPr>
        <w:t xml:space="preserve"> </w:t>
      </w:r>
      <w:r w:rsidRPr="00FD696D">
        <w:rPr>
          <w:lang w:val="en-CA"/>
        </w:rPr>
        <w:tab/>
      </w:r>
      <w:r w:rsidRPr="00D05948">
        <w:rPr>
          <w:lang w:val="en-CA"/>
        </w:rPr>
        <w:t>See e.g.,</w:t>
      </w:r>
      <w:r w:rsidRPr="00FD696D">
        <w:rPr>
          <w:lang w:val="en-CA"/>
        </w:rPr>
        <w:t> </w:t>
      </w:r>
      <w:proofErr w:type="spellStart"/>
      <w:r w:rsidRPr="00FD696D">
        <w:rPr>
          <w:i/>
          <w:lang w:val="en-CA"/>
        </w:rPr>
        <w:t>Auton</w:t>
      </w:r>
      <w:proofErr w:type="spellEnd"/>
      <w:r w:rsidRPr="00FD696D">
        <w:rPr>
          <w:i/>
          <w:lang w:val="en-CA"/>
        </w:rPr>
        <w:t xml:space="preserve"> (Guardian ad litem of) v. British Columbia (Attorney General)</w:t>
      </w:r>
      <w:r w:rsidRPr="00D05948">
        <w:rPr>
          <w:lang w:val="en-CA"/>
        </w:rPr>
        <w:t>, [2004] 3 </w:t>
      </w:r>
      <w:r>
        <w:rPr>
          <w:lang w:val="en-CA"/>
        </w:rPr>
        <w:t>S.C.R.</w:t>
      </w:r>
      <w:r w:rsidRPr="00FD696D">
        <w:rPr>
          <w:lang w:val="en-CA"/>
        </w:rPr>
        <w:t xml:space="preserve"> </w:t>
      </w:r>
      <w:r w:rsidRPr="00D05948">
        <w:rPr>
          <w:lang w:val="en-CA"/>
        </w:rPr>
        <w:t>657 at paras.</w:t>
      </w:r>
      <w:r w:rsidRPr="00FD696D">
        <w:rPr>
          <w:lang w:val="en-CA"/>
        </w:rPr>
        <w:t xml:space="preserve"> </w:t>
      </w:r>
      <w:r w:rsidRPr="00D05948">
        <w:rPr>
          <w:lang w:val="en-CA"/>
        </w:rPr>
        <w:t>28 and 41.</w:t>
      </w:r>
    </w:p>
  </w:footnote>
  <w:footnote w:id="88">
    <w:p w14:paraId="701AF002" w14:textId="30E275F8" w:rsidR="009B4D3D" w:rsidRPr="00003EA4" w:rsidRDefault="009B4D3D" w:rsidP="009B4D3D">
      <w:pPr>
        <w:pStyle w:val="Notedebasdepage"/>
        <w:rPr>
          <w:iCs/>
          <w:lang w:val="en-CA"/>
        </w:rPr>
      </w:pPr>
      <w:r>
        <w:rPr>
          <w:rStyle w:val="Appelnotedebasdep"/>
        </w:rPr>
        <w:footnoteRef/>
      </w:r>
      <w:r w:rsidRPr="00003EA4">
        <w:rPr>
          <w:lang w:val="en-CA"/>
        </w:rPr>
        <w:t xml:space="preserve"> </w:t>
      </w:r>
      <w:r w:rsidRPr="00003EA4">
        <w:rPr>
          <w:lang w:val="en-CA"/>
        </w:rPr>
        <w:tab/>
      </w:r>
      <w:r w:rsidRPr="00003EA4">
        <w:rPr>
          <w:i/>
          <w:lang w:val="en-CA"/>
        </w:rPr>
        <w:t xml:space="preserve">Ibid. </w:t>
      </w:r>
      <w:r w:rsidRPr="00003EA4">
        <w:rPr>
          <w:iCs/>
          <w:lang w:val="en-CA"/>
        </w:rPr>
        <w:t>at para.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7C7E" w14:textId="77777777" w:rsidR="004C6D2E" w:rsidRDefault="004C6D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CCCF" w14:textId="2B611C9D" w:rsidR="00196220" w:rsidRDefault="00362E91" w:rsidP="00DA191C">
    <w:pPr>
      <w:tabs>
        <w:tab w:val="center" w:pos="4709"/>
        <w:tab w:val="right" w:pos="9360"/>
      </w:tabs>
      <w:spacing w:line="360" w:lineRule="auto"/>
      <w:ind w:right="524"/>
    </w:pPr>
    <w:r>
      <w:t>500-09-029206-208</w:t>
    </w:r>
    <w:r w:rsidR="006979E7">
      <w:t xml:space="preserve"> </w:t>
    </w:r>
    <w:r w:rsidR="006979E7">
      <w:tab/>
    </w:r>
    <w:r w:rsidR="006979E7">
      <w:tab/>
    </w:r>
    <w:r w:rsidRPr="00D05948">
      <w:t>PAGE:</w:t>
    </w:r>
    <w:r w:rsidR="006979E7">
      <w:t xml:space="preserve"> </w:t>
    </w:r>
    <w:r w:rsidR="0090219A">
      <w:rPr>
        <w:noProof/>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08A" w14:textId="77777777" w:rsidR="004C6D2E" w:rsidRDefault="004C6D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0D78" w14:textId="402A90F4" w:rsidR="00196220" w:rsidRDefault="00362E91" w:rsidP="00DB2119">
    <w:pPr>
      <w:tabs>
        <w:tab w:val="center" w:pos="4709"/>
        <w:tab w:val="right" w:pos="9360"/>
      </w:tabs>
      <w:spacing w:line="360" w:lineRule="auto"/>
      <w:ind w:right="524"/>
    </w:pPr>
    <w:r>
      <w:t>500-09-029206-208</w:t>
    </w:r>
    <w:r w:rsidR="006979E7">
      <w:t xml:space="preserve"> </w:t>
    </w:r>
    <w:r w:rsidR="006979E7">
      <w:tab/>
    </w:r>
    <w:r w:rsidR="006979E7">
      <w:tab/>
    </w:r>
    <w:r w:rsidRPr="00D05948">
      <w:t>PAGE:</w:t>
    </w:r>
    <w:r w:rsidR="006979E7">
      <w:t xml:space="preserve"> </w:t>
    </w:r>
    <w:r w:rsidR="004C6D2E">
      <w:fldChar w:fldCharType="begin"/>
    </w:r>
    <w:r w:rsidR="004C6D2E">
      <w:instrText xml:space="preserve"> PAGE  </w:instrText>
    </w:r>
    <w:r w:rsidR="004C6D2E">
      <w:fldChar w:fldCharType="separate"/>
    </w:r>
    <w:r w:rsidR="004C6D2E">
      <w:rPr>
        <w:noProof/>
      </w:rPr>
      <w:t>3</w:t>
    </w:r>
    <w:r w:rsidR="004C6D2E">
      <w:fldChar w:fldCharType="end"/>
    </w:r>
  </w:p>
  <w:p w14:paraId="2E8292EE" w14:textId="77777777" w:rsidR="00196220" w:rsidRDefault="00196220"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A611D37"/>
    <w:multiLevelType w:val="hybridMultilevel"/>
    <w:tmpl w:val="EB8A8EAA"/>
    <w:lvl w:ilvl="0" w:tplc="F6F48802">
      <w:start w:val="1"/>
      <w:numFmt w:val="bullet"/>
      <w:lvlText w:val=""/>
      <w:lvlJc w:val="left"/>
      <w:pPr>
        <w:ind w:left="1440" w:hanging="360"/>
      </w:pPr>
      <w:rPr>
        <w:rFonts w:ascii="Symbol" w:hAnsi="Symbol" w:hint="default"/>
      </w:rPr>
    </w:lvl>
    <w:lvl w:ilvl="1" w:tplc="3FFE7250" w:tentative="1">
      <w:start w:val="1"/>
      <w:numFmt w:val="bullet"/>
      <w:lvlText w:val="o"/>
      <w:lvlJc w:val="left"/>
      <w:pPr>
        <w:ind w:left="2160" w:hanging="360"/>
      </w:pPr>
      <w:rPr>
        <w:rFonts w:ascii="Courier New" w:hAnsi="Courier New" w:cs="Courier New" w:hint="default"/>
      </w:rPr>
    </w:lvl>
    <w:lvl w:ilvl="2" w:tplc="F528B19C" w:tentative="1">
      <w:start w:val="1"/>
      <w:numFmt w:val="bullet"/>
      <w:lvlText w:val=""/>
      <w:lvlJc w:val="left"/>
      <w:pPr>
        <w:ind w:left="2880" w:hanging="360"/>
      </w:pPr>
      <w:rPr>
        <w:rFonts w:ascii="Wingdings" w:hAnsi="Wingdings" w:hint="default"/>
      </w:rPr>
    </w:lvl>
    <w:lvl w:ilvl="3" w:tplc="2BC80B0C" w:tentative="1">
      <w:start w:val="1"/>
      <w:numFmt w:val="bullet"/>
      <w:lvlText w:val=""/>
      <w:lvlJc w:val="left"/>
      <w:pPr>
        <w:ind w:left="3600" w:hanging="360"/>
      </w:pPr>
      <w:rPr>
        <w:rFonts w:ascii="Symbol" w:hAnsi="Symbol" w:hint="default"/>
      </w:rPr>
    </w:lvl>
    <w:lvl w:ilvl="4" w:tplc="1382DD42" w:tentative="1">
      <w:start w:val="1"/>
      <w:numFmt w:val="bullet"/>
      <w:lvlText w:val="o"/>
      <w:lvlJc w:val="left"/>
      <w:pPr>
        <w:ind w:left="4320" w:hanging="360"/>
      </w:pPr>
      <w:rPr>
        <w:rFonts w:ascii="Courier New" w:hAnsi="Courier New" w:cs="Courier New" w:hint="default"/>
      </w:rPr>
    </w:lvl>
    <w:lvl w:ilvl="5" w:tplc="C3F87884" w:tentative="1">
      <w:start w:val="1"/>
      <w:numFmt w:val="bullet"/>
      <w:lvlText w:val=""/>
      <w:lvlJc w:val="left"/>
      <w:pPr>
        <w:ind w:left="5040" w:hanging="360"/>
      </w:pPr>
      <w:rPr>
        <w:rFonts w:ascii="Wingdings" w:hAnsi="Wingdings" w:hint="default"/>
      </w:rPr>
    </w:lvl>
    <w:lvl w:ilvl="6" w:tplc="FD986B8E" w:tentative="1">
      <w:start w:val="1"/>
      <w:numFmt w:val="bullet"/>
      <w:lvlText w:val=""/>
      <w:lvlJc w:val="left"/>
      <w:pPr>
        <w:ind w:left="5760" w:hanging="360"/>
      </w:pPr>
      <w:rPr>
        <w:rFonts w:ascii="Symbol" w:hAnsi="Symbol" w:hint="default"/>
      </w:rPr>
    </w:lvl>
    <w:lvl w:ilvl="7" w:tplc="B2F8476A" w:tentative="1">
      <w:start w:val="1"/>
      <w:numFmt w:val="bullet"/>
      <w:lvlText w:val="o"/>
      <w:lvlJc w:val="left"/>
      <w:pPr>
        <w:ind w:left="6480" w:hanging="360"/>
      </w:pPr>
      <w:rPr>
        <w:rFonts w:ascii="Courier New" w:hAnsi="Courier New" w:cs="Courier New" w:hint="default"/>
      </w:rPr>
    </w:lvl>
    <w:lvl w:ilvl="8" w:tplc="377C2256" w:tentative="1">
      <w:start w:val="1"/>
      <w:numFmt w:val="bullet"/>
      <w:lvlText w:val=""/>
      <w:lvlJc w:val="left"/>
      <w:pPr>
        <w:ind w:left="7200" w:hanging="360"/>
      </w:pPr>
      <w:rPr>
        <w:rFonts w:ascii="Wingdings" w:hAnsi="Wingdings" w:hint="default"/>
      </w:r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B0800AB"/>
    <w:multiLevelType w:val="hybridMultilevel"/>
    <w:tmpl w:val="8BD6FCEE"/>
    <w:lvl w:ilvl="0" w:tplc="CD14110A">
      <w:start w:val="1"/>
      <w:numFmt w:val="bullet"/>
      <w:lvlText w:val=""/>
      <w:lvlJc w:val="left"/>
      <w:pPr>
        <w:ind w:left="1440" w:hanging="360"/>
      </w:pPr>
      <w:rPr>
        <w:rFonts w:ascii="Wingdings" w:hAnsi="Wingdings" w:hint="default"/>
      </w:rPr>
    </w:lvl>
    <w:lvl w:ilvl="1" w:tplc="F95E23AA" w:tentative="1">
      <w:start w:val="1"/>
      <w:numFmt w:val="bullet"/>
      <w:lvlText w:val="o"/>
      <w:lvlJc w:val="left"/>
      <w:pPr>
        <w:ind w:left="2160" w:hanging="360"/>
      </w:pPr>
      <w:rPr>
        <w:rFonts w:ascii="Courier New" w:hAnsi="Courier New" w:cs="Courier New" w:hint="default"/>
      </w:rPr>
    </w:lvl>
    <w:lvl w:ilvl="2" w:tplc="7F10083A" w:tentative="1">
      <w:start w:val="1"/>
      <w:numFmt w:val="bullet"/>
      <w:lvlText w:val=""/>
      <w:lvlJc w:val="left"/>
      <w:pPr>
        <w:ind w:left="2880" w:hanging="360"/>
      </w:pPr>
      <w:rPr>
        <w:rFonts w:ascii="Wingdings" w:hAnsi="Wingdings" w:hint="default"/>
      </w:rPr>
    </w:lvl>
    <w:lvl w:ilvl="3" w:tplc="FBAC8B3A" w:tentative="1">
      <w:start w:val="1"/>
      <w:numFmt w:val="bullet"/>
      <w:lvlText w:val=""/>
      <w:lvlJc w:val="left"/>
      <w:pPr>
        <w:ind w:left="3600" w:hanging="360"/>
      </w:pPr>
      <w:rPr>
        <w:rFonts w:ascii="Symbol" w:hAnsi="Symbol" w:hint="default"/>
      </w:rPr>
    </w:lvl>
    <w:lvl w:ilvl="4" w:tplc="9B42AEDA" w:tentative="1">
      <w:start w:val="1"/>
      <w:numFmt w:val="bullet"/>
      <w:lvlText w:val="o"/>
      <w:lvlJc w:val="left"/>
      <w:pPr>
        <w:ind w:left="4320" w:hanging="360"/>
      </w:pPr>
      <w:rPr>
        <w:rFonts w:ascii="Courier New" w:hAnsi="Courier New" w:cs="Courier New" w:hint="default"/>
      </w:rPr>
    </w:lvl>
    <w:lvl w:ilvl="5" w:tplc="5CBABFF2" w:tentative="1">
      <w:start w:val="1"/>
      <w:numFmt w:val="bullet"/>
      <w:lvlText w:val=""/>
      <w:lvlJc w:val="left"/>
      <w:pPr>
        <w:ind w:left="5040" w:hanging="360"/>
      </w:pPr>
      <w:rPr>
        <w:rFonts w:ascii="Wingdings" w:hAnsi="Wingdings" w:hint="default"/>
      </w:rPr>
    </w:lvl>
    <w:lvl w:ilvl="6" w:tplc="2CECA570" w:tentative="1">
      <w:start w:val="1"/>
      <w:numFmt w:val="bullet"/>
      <w:lvlText w:val=""/>
      <w:lvlJc w:val="left"/>
      <w:pPr>
        <w:ind w:left="5760" w:hanging="360"/>
      </w:pPr>
      <w:rPr>
        <w:rFonts w:ascii="Symbol" w:hAnsi="Symbol" w:hint="default"/>
      </w:rPr>
    </w:lvl>
    <w:lvl w:ilvl="7" w:tplc="47C47D96" w:tentative="1">
      <w:start w:val="1"/>
      <w:numFmt w:val="bullet"/>
      <w:lvlText w:val="o"/>
      <w:lvlJc w:val="left"/>
      <w:pPr>
        <w:ind w:left="6480" w:hanging="360"/>
      </w:pPr>
      <w:rPr>
        <w:rFonts w:ascii="Courier New" w:hAnsi="Courier New" w:cs="Courier New" w:hint="default"/>
      </w:rPr>
    </w:lvl>
    <w:lvl w:ilvl="8" w:tplc="54BAF022" w:tentative="1">
      <w:start w:val="1"/>
      <w:numFmt w:val="bullet"/>
      <w:lvlText w:val=""/>
      <w:lvlJc w:val="left"/>
      <w:pPr>
        <w:ind w:left="7200" w:hanging="360"/>
      </w:pPr>
      <w:rPr>
        <w:rFonts w:ascii="Wingdings" w:hAnsi="Wingdings" w:hint="default"/>
      </w:rPr>
    </w:lvl>
  </w:abstractNum>
  <w:abstractNum w:abstractNumId="14"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846626307">
    <w:abstractNumId w:val="14"/>
  </w:num>
  <w:num w:numId="2" w16cid:durableId="1708096404">
    <w:abstractNumId w:val="14"/>
  </w:num>
  <w:num w:numId="3" w16cid:durableId="1526362185">
    <w:abstractNumId w:val="14"/>
  </w:num>
  <w:num w:numId="4" w16cid:durableId="1810321014">
    <w:abstractNumId w:val="8"/>
  </w:num>
  <w:num w:numId="5" w16cid:durableId="1601450245">
    <w:abstractNumId w:val="3"/>
  </w:num>
  <w:num w:numId="6" w16cid:durableId="472452161">
    <w:abstractNumId w:val="2"/>
  </w:num>
  <w:num w:numId="7" w16cid:durableId="350764732">
    <w:abstractNumId w:val="1"/>
  </w:num>
  <w:num w:numId="8" w16cid:durableId="940140279">
    <w:abstractNumId w:val="0"/>
  </w:num>
  <w:num w:numId="9" w16cid:durableId="1784957386">
    <w:abstractNumId w:val="9"/>
  </w:num>
  <w:num w:numId="10" w16cid:durableId="2035569847">
    <w:abstractNumId w:val="7"/>
  </w:num>
  <w:num w:numId="11" w16cid:durableId="481115837">
    <w:abstractNumId w:val="6"/>
  </w:num>
  <w:num w:numId="12" w16cid:durableId="1523665422">
    <w:abstractNumId w:val="5"/>
  </w:num>
  <w:num w:numId="13" w16cid:durableId="245501194">
    <w:abstractNumId w:val="4"/>
  </w:num>
  <w:num w:numId="14" w16cid:durableId="372655523">
    <w:abstractNumId w:val="14"/>
  </w:num>
  <w:num w:numId="15" w16cid:durableId="1491478124">
    <w:abstractNumId w:val="14"/>
  </w:num>
  <w:num w:numId="16" w16cid:durableId="1866871430">
    <w:abstractNumId w:val="14"/>
  </w:num>
  <w:num w:numId="17" w16cid:durableId="1506432853">
    <w:abstractNumId w:val="12"/>
  </w:num>
  <w:num w:numId="18" w16cid:durableId="1024791787">
    <w:abstractNumId w:val="10"/>
  </w:num>
  <w:num w:numId="19" w16cid:durableId="133372745">
    <w:abstractNumId w:val="11"/>
  </w:num>
  <w:num w:numId="20" w16cid:durableId="1985545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U JUGE"/>
    <w:docVar w:name="MotifJuge3" w:val="MOTIFS DU JUGE"/>
    <w:docVar w:name="NomFamJuge1" w:val="BICH"/>
    <w:docVar w:name="NomFamJuge2" w:val="HEALY"/>
    <w:docVar w:name="NomFamJuge3" w:val="SANSFAÇON"/>
    <w:docVar w:name="NomFamJuge4" w:val="MAILHOT"/>
    <w:docVar w:name="NomFamJuge5" w:val="BAUDOUIN"/>
    <w:docVar w:name="QteJuge1" w:val=", J.C.A."/>
    <w:docVar w:name="QteJuge2" w:val=", J.C.A."/>
    <w:docVar w:name="QteJuge3" w:val=", J.C.A."/>
    <w:docVar w:name="stPremiereFois" w:val="Non"/>
  </w:docVars>
  <w:rsids>
    <w:rsidRoot w:val="00F43D2A"/>
    <w:rsid w:val="00003EA4"/>
    <w:rsid w:val="000048CF"/>
    <w:rsid w:val="0000528B"/>
    <w:rsid w:val="000131E1"/>
    <w:rsid w:val="00026094"/>
    <w:rsid w:val="00040F5E"/>
    <w:rsid w:val="0004394C"/>
    <w:rsid w:val="00044483"/>
    <w:rsid w:val="00053691"/>
    <w:rsid w:val="000542C7"/>
    <w:rsid w:val="00057B01"/>
    <w:rsid w:val="00061ED4"/>
    <w:rsid w:val="00075958"/>
    <w:rsid w:val="00076CD4"/>
    <w:rsid w:val="00083FF9"/>
    <w:rsid w:val="000933E8"/>
    <w:rsid w:val="000968A5"/>
    <w:rsid w:val="000974AE"/>
    <w:rsid w:val="000A339C"/>
    <w:rsid w:val="000A7516"/>
    <w:rsid w:val="000B2C44"/>
    <w:rsid w:val="000B42AF"/>
    <w:rsid w:val="000B710E"/>
    <w:rsid w:val="000C5393"/>
    <w:rsid w:val="000D3A9B"/>
    <w:rsid w:val="000D6E6E"/>
    <w:rsid w:val="000E011B"/>
    <w:rsid w:val="000E4EE1"/>
    <w:rsid w:val="000F48D4"/>
    <w:rsid w:val="00103E48"/>
    <w:rsid w:val="00104AB9"/>
    <w:rsid w:val="00105EAF"/>
    <w:rsid w:val="00110B53"/>
    <w:rsid w:val="00111754"/>
    <w:rsid w:val="00112321"/>
    <w:rsid w:val="001133EE"/>
    <w:rsid w:val="00117914"/>
    <w:rsid w:val="00123EFD"/>
    <w:rsid w:val="001246C1"/>
    <w:rsid w:val="0013028C"/>
    <w:rsid w:val="00133050"/>
    <w:rsid w:val="001414AE"/>
    <w:rsid w:val="00150D26"/>
    <w:rsid w:val="0015610F"/>
    <w:rsid w:val="00157AD4"/>
    <w:rsid w:val="00160B31"/>
    <w:rsid w:val="00163B6A"/>
    <w:rsid w:val="001723E3"/>
    <w:rsid w:val="00176ED9"/>
    <w:rsid w:val="00181F56"/>
    <w:rsid w:val="00182BB2"/>
    <w:rsid w:val="00182FD8"/>
    <w:rsid w:val="001836FC"/>
    <w:rsid w:val="00190FA7"/>
    <w:rsid w:val="00195583"/>
    <w:rsid w:val="00196220"/>
    <w:rsid w:val="00196968"/>
    <w:rsid w:val="001972F2"/>
    <w:rsid w:val="001A05A7"/>
    <w:rsid w:val="001A7D31"/>
    <w:rsid w:val="001B77B8"/>
    <w:rsid w:val="001C4E02"/>
    <w:rsid w:val="001D07F6"/>
    <w:rsid w:val="001D4AF0"/>
    <w:rsid w:val="001D58F2"/>
    <w:rsid w:val="001D5D33"/>
    <w:rsid w:val="001D717F"/>
    <w:rsid w:val="001E1C2C"/>
    <w:rsid w:val="001E4C6D"/>
    <w:rsid w:val="001E5CD0"/>
    <w:rsid w:val="001E661E"/>
    <w:rsid w:val="001F1E84"/>
    <w:rsid w:val="001F4339"/>
    <w:rsid w:val="00205DC4"/>
    <w:rsid w:val="0020748B"/>
    <w:rsid w:val="002117F1"/>
    <w:rsid w:val="0021548E"/>
    <w:rsid w:val="00217007"/>
    <w:rsid w:val="00223806"/>
    <w:rsid w:val="002273F5"/>
    <w:rsid w:val="00233CDA"/>
    <w:rsid w:val="00241E44"/>
    <w:rsid w:val="002439E1"/>
    <w:rsid w:val="0024648D"/>
    <w:rsid w:val="00246A50"/>
    <w:rsid w:val="00247BE6"/>
    <w:rsid w:val="00252B7A"/>
    <w:rsid w:val="00261ADC"/>
    <w:rsid w:val="00265A04"/>
    <w:rsid w:val="00267744"/>
    <w:rsid w:val="002707F2"/>
    <w:rsid w:val="00286047"/>
    <w:rsid w:val="00296606"/>
    <w:rsid w:val="002A164A"/>
    <w:rsid w:val="002B2821"/>
    <w:rsid w:val="002B4A07"/>
    <w:rsid w:val="002B6300"/>
    <w:rsid w:val="002C28C1"/>
    <w:rsid w:val="002C4107"/>
    <w:rsid w:val="002D1451"/>
    <w:rsid w:val="002D182B"/>
    <w:rsid w:val="002E229C"/>
    <w:rsid w:val="002E51F1"/>
    <w:rsid w:val="002F063A"/>
    <w:rsid w:val="002F1350"/>
    <w:rsid w:val="002F13F3"/>
    <w:rsid w:val="002F440B"/>
    <w:rsid w:val="002F6136"/>
    <w:rsid w:val="00322DE0"/>
    <w:rsid w:val="0032363D"/>
    <w:rsid w:val="0033190E"/>
    <w:rsid w:val="003353F0"/>
    <w:rsid w:val="0033680F"/>
    <w:rsid w:val="00340842"/>
    <w:rsid w:val="00346C7C"/>
    <w:rsid w:val="00356A04"/>
    <w:rsid w:val="00361325"/>
    <w:rsid w:val="00362E91"/>
    <w:rsid w:val="00372062"/>
    <w:rsid w:val="00374888"/>
    <w:rsid w:val="00374E40"/>
    <w:rsid w:val="0037683B"/>
    <w:rsid w:val="0038402B"/>
    <w:rsid w:val="00392C22"/>
    <w:rsid w:val="003A0A13"/>
    <w:rsid w:val="003A0D42"/>
    <w:rsid w:val="003D0A88"/>
    <w:rsid w:val="003D487D"/>
    <w:rsid w:val="003D7C0E"/>
    <w:rsid w:val="003E3239"/>
    <w:rsid w:val="003E3382"/>
    <w:rsid w:val="003E3D94"/>
    <w:rsid w:val="003E3E3C"/>
    <w:rsid w:val="003E4C31"/>
    <w:rsid w:val="003F1184"/>
    <w:rsid w:val="003F61BE"/>
    <w:rsid w:val="00411AB3"/>
    <w:rsid w:val="00415200"/>
    <w:rsid w:val="00420EF9"/>
    <w:rsid w:val="0042133A"/>
    <w:rsid w:val="004231D0"/>
    <w:rsid w:val="00423DF1"/>
    <w:rsid w:val="00430C58"/>
    <w:rsid w:val="00431BE0"/>
    <w:rsid w:val="004331AA"/>
    <w:rsid w:val="004331C4"/>
    <w:rsid w:val="00434402"/>
    <w:rsid w:val="0043564D"/>
    <w:rsid w:val="00437D38"/>
    <w:rsid w:val="00441C25"/>
    <w:rsid w:val="00442EA2"/>
    <w:rsid w:val="00446452"/>
    <w:rsid w:val="004468B7"/>
    <w:rsid w:val="004623D0"/>
    <w:rsid w:val="004655F2"/>
    <w:rsid w:val="0046576D"/>
    <w:rsid w:val="00465E85"/>
    <w:rsid w:val="00466D20"/>
    <w:rsid w:val="00472DC8"/>
    <w:rsid w:val="00472DFC"/>
    <w:rsid w:val="004742C0"/>
    <w:rsid w:val="004750CC"/>
    <w:rsid w:val="0047554F"/>
    <w:rsid w:val="004802EC"/>
    <w:rsid w:val="004861A0"/>
    <w:rsid w:val="004868FA"/>
    <w:rsid w:val="00491578"/>
    <w:rsid w:val="00493893"/>
    <w:rsid w:val="004A0311"/>
    <w:rsid w:val="004A29F1"/>
    <w:rsid w:val="004A62EF"/>
    <w:rsid w:val="004A6641"/>
    <w:rsid w:val="004B1B4E"/>
    <w:rsid w:val="004B1E94"/>
    <w:rsid w:val="004B33FF"/>
    <w:rsid w:val="004B3BF7"/>
    <w:rsid w:val="004B4684"/>
    <w:rsid w:val="004C2894"/>
    <w:rsid w:val="004C6D2E"/>
    <w:rsid w:val="004D2F69"/>
    <w:rsid w:val="004D33FC"/>
    <w:rsid w:val="004D4FF9"/>
    <w:rsid w:val="004D5ED6"/>
    <w:rsid w:val="004E0DEE"/>
    <w:rsid w:val="004E4874"/>
    <w:rsid w:val="004E4FBA"/>
    <w:rsid w:val="004F2260"/>
    <w:rsid w:val="004F3180"/>
    <w:rsid w:val="004F3AB2"/>
    <w:rsid w:val="004F6DCC"/>
    <w:rsid w:val="004F7F58"/>
    <w:rsid w:val="005131F1"/>
    <w:rsid w:val="0051484F"/>
    <w:rsid w:val="00516B3E"/>
    <w:rsid w:val="005262C9"/>
    <w:rsid w:val="00531D70"/>
    <w:rsid w:val="00533E46"/>
    <w:rsid w:val="00537978"/>
    <w:rsid w:val="00543F50"/>
    <w:rsid w:val="0054614B"/>
    <w:rsid w:val="00547DC6"/>
    <w:rsid w:val="0056420A"/>
    <w:rsid w:val="00565649"/>
    <w:rsid w:val="00565E8F"/>
    <w:rsid w:val="00566BF6"/>
    <w:rsid w:val="005675E5"/>
    <w:rsid w:val="005760C8"/>
    <w:rsid w:val="00583434"/>
    <w:rsid w:val="0058349F"/>
    <w:rsid w:val="00591464"/>
    <w:rsid w:val="005A0744"/>
    <w:rsid w:val="005A1545"/>
    <w:rsid w:val="005A1CC2"/>
    <w:rsid w:val="005A37CA"/>
    <w:rsid w:val="005A69CC"/>
    <w:rsid w:val="005A78BF"/>
    <w:rsid w:val="005B072F"/>
    <w:rsid w:val="005B3CC9"/>
    <w:rsid w:val="005B4495"/>
    <w:rsid w:val="005B6B4C"/>
    <w:rsid w:val="005B7390"/>
    <w:rsid w:val="005C1992"/>
    <w:rsid w:val="005C5B6A"/>
    <w:rsid w:val="005C7516"/>
    <w:rsid w:val="005D0FBE"/>
    <w:rsid w:val="005D1522"/>
    <w:rsid w:val="005E49CF"/>
    <w:rsid w:val="005E7128"/>
    <w:rsid w:val="005F4046"/>
    <w:rsid w:val="005F4BD2"/>
    <w:rsid w:val="005F4CD8"/>
    <w:rsid w:val="005F5F5F"/>
    <w:rsid w:val="00607ABB"/>
    <w:rsid w:val="006114B1"/>
    <w:rsid w:val="006212A2"/>
    <w:rsid w:val="00621F58"/>
    <w:rsid w:val="0062222C"/>
    <w:rsid w:val="00623D91"/>
    <w:rsid w:val="00624770"/>
    <w:rsid w:val="0062552E"/>
    <w:rsid w:val="006278DD"/>
    <w:rsid w:val="00640E7F"/>
    <w:rsid w:val="0064194E"/>
    <w:rsid w:val="0064250B"/>
    <w:rsid w:val="00643FBE"/>
    <w:rsid w:val="00645363"/>
    <w:rsid w:val="00646BB8"/>
    <w:rsid w:val="00646F5F"/>
    <w:rsid w:val="00647D41"/>
    <w:rsid w:val="00657811"/>
    <w:rsid w:val="006826AA"/>
    <w:rsid w:val="0068356A"/>
    <w:rsid w:val="00693BDC"/>
    <w:rsid w:val="00695D25"/>
    <w:rsid w:val="006979E7"/>
    <w:rsid w:val="006A0DB0"/>
    <w:rsid w:val="006A57B2"/>
    <w:rsid w:val="006A5F0B"/>
    <w:rsid w:val="006A6629"/>
    <w:rsid w:val="006B7BD9"/>
    <w:rsid w:val="006C5BE4"/>
    <w:rsid w:val="006D2B02"/>
    <w:rsid w:val="006F14CC"/>
    <w:rsid w:val="006F4A1D"/>
    <w:rsid w:val="007044F8"/>
    <w:rsid w:val="00706B8B"/>
    <w:rsid w:val="007125C3"/>
    <w:rsid w:val="007143D9"/>
    <w:rsid w:val="007150AC"/>
    <w:rsid w:val="007210C4"/>
    <w:rsid w:val="0072201E"/>
    <w:rsid w:val="00727E7F"/>
    <w:rsid w:val="00733EC3"/>
    <w:rsid w:val="00740A17"/>
    <w:rsid w:val="007462D6"/>
    <w:rsid w:val="0074738B"/>
    <w:rsid w:val="0076062E"/>
    <w:rsid w:val="00767F85"/>
    <w:rsid w:val="00770AF9"/>
    <w:rsid w:val="00773C90"/>
    <w:rsid w:val="00775721"/>
    <w:rsid w:val="007953F3"/>
    <w:rsid w:val="0079751C"/>
    <w:rsid w:val="007A21FD"/>
    <w:rsid w:val="007A56C0"/>
    <w:rsid w:val="007A6812"/>
    <w:rsid w:val="007A7803"/>
    <w:rsid w:val="007B48D5"/>
    <w:rsid w:val="007B74D8"/>
    <w:rsid w:val="007C27A3"/>
    <w:rsid w:val="007C718E"/>
    <w:rsid w:val="007D087C"/>
    <w:rsid w:val="007D4F10"/>
    <w:rsid w:val="007D7668"/>
    <w:rsid w:val="007E33E4"/>
    <w:rsid w:val="007E4CC9"/>
    <w:rsid w:val="007F67E3"/>
    <w:rsid w:val="00800D23"/>
    <w:rsid w:val="00801CA0"/>
    <w:rsid w:val="0080518B"/>
    <w:rsid w:val="00805D58"/>
    <w:rsid w:val="00807065"/>
    <w:rsid w:val="00807A44"/>
    <w:rsid w:val="00807D3F"/>
    <w:rsid w:val="00807E9A"/>
    <w:rsid w:val="0081071D"/>
    <w:rsid w:val="008116B2"/>
    <w:rsid w:val="00811C02"/>
    <w:rsid w:val="0081222E"/>
    <w:rsid w:val="00816273"/>
    <w:rsid w:val="0081742E"/>
    <w:rsid w:val="0082043B"/>
    <w:rsid w:val="008249BD"/>
    <w:rsid w:val="008257B7"/>
    <w:rsid w:val="00825DF4"/>
    <w:rsid w:val="0082717B"/>
    <w:rsid w:val="00827B04"/>
    <w:rsid w:val="0083032E"/>
    <w:rsid w:val="0083228C"/>
    <w:rsid w:val="00841907"/>
    <w:rsid w:val="0086036A"/>
    <w:rsid w:val="008620BF"/>
    <w:rsid w:val="008653A3"/>
    <w:rsid w:val="008657A2"/>
    <w:rsid w:val="00866645"/>
    <w:rsid w:val="00866EC4"/>
    <w:rsid w:val="0087063E"/>
    <w:rsid w:val="00870B9E"/>
    <w:rsid w:val="00874FC6"/>
    <w:rsid w:val="008770F4"/>
    <w:rsid w:val="008821B0"/>
    <w:rsid w:val="00882210"/>
    <w:rsid w:val="00884B25"/>
    <w:rsid w:val="008872C8"/>
    <w:rsid w:val="0089159D"/>
    <w:rsid w:val="00892047"/>
    <w:rsid w:val="0089395E"/>
    <w:rsid w:val="00894F53"/>
    <w:rsid w:val="008A0AF7"/>
    <w:rsid w:val="008A0D46"/>
    <w:rsid w:val="008A1A73"/>
    <w:rsid w:val="008A51D0"/>
    <w:rsid w:val="008A6185"/>
    <w:rsid w:val="008C1FE9"/>
    <w:rsid w:val="008C5262"/>
    <w:rsid w:val="008C7DCE"/>
    <w:rsid w:val="008D088E"/>
    <w:rsid w:val="008D18FC"/>
    <w:rsid w:val="008D398B"/>
    <w:rsid w:val="008D5031"/>
    <w:rsid w:val="008D7E49"/>
    <w:rsid w:val="008E32DB"/>
    <w:rsid w:val="008E4270"/>
    <w:rsid w:val="008F3364"/>
    <w:rsid w:val="008F364A"/>
    <w:rsid w:val="008F3F53"/>
    <w:rsid w:val="008F754C"/>
    <w:rsid w:val="0090219A"/>
    <w:rsid w:val="0090326E"/>
    <w:rsid w:val="00911C6E"/>
    <w:rsid w:val="00912A52"/>
    <w:rsid w:val="00913E03"/>
    <w:rsid w:val="009178F3"/>
    <w:rsid w:val="009216B9"/>
    <w:rsid w:val="009229E9"/>
    <w:rsid w:val="00926953"/>
    <w:rsid w:val="00926B91"/>
    <w:rsid w:val="00936469"/>
    <w:rsid w:val="009379DF"/>
    <w:rsid w:val="009400B7"/>
    <w:rsid w:val="00944E4D"/>
    <w:rsid w:val="00954DC2"/>
    <w:rsid w:val="00957B92"/>
    <w:rsid w:val="0096001D"/>
    <w:rsid w:val="009610B5"/>
    <w:rsid w:val="0096430C"/>
    <w:rsid w:val="009678F8"/>
    <w:rsid w:val="00967C97"/>
    <w:rsid w:val="00970966"/>
    <w:rsid w:val="00971719"/>
    <w:rsid w:val="00974442"/>
    <w:rsid w:val="00976506"/>
    <w:rsid w:val="00977951"/>
    <w:rsid w:val="00980C90"/>
    <w:rsid w:val="00987CC3"/>
    <w:rsid w:val="009925AE"/>
    <w:rsid w:val="009956D4"/>
    <w:rsid w:val="009958F3"/>
    <w:rsid w:val="009A18C0"/>
    <w:rsid w:val="009A6D0E"/>
    <w:rsid w:val="009B4D3D"/>
    <w:rsid w:val="009C2E36"/>
    <w:rsid w:val="009C4B73"/>
    <w:rsid w:val="009D3FCE"/>
    <w:rsid w:val="009E1C7C"/>
    <w:rsid w:val="009F134C"/>
    <w:rsid w:val="009F1F69"/>
    <w:rsid w:val="009F79C8"/>
    <w:rsid w:val="00A02EA0"/>
    <w:rsid w:val="00A055F7"/>
    <w:rsid w:val="00A10A13"/>
    <w:rsid w:val="00A21D1D"/>
    <w:rsid w:val="00A2250D"/>
    <w:rsid w:val="00A23BF4"/>
    <w:rsid w:val="00A2593B"/>
    <w:rsid w:val="00A34E05"/>
    <w:rsid w:val="00A351D4"/>
    <w:rsid w:val="00A37DE5"/>
    <w:rsid w:val="00A420AF"/>
    <w:rsid w:val="00A43D8B"/>
    <w:rsid w:val="00A454F1"/>
    <w:rsid w:val="00A4765A"/>
    <w:rsid w:val="00A515E7"/>
    <w:rsid w:val="00A528C8"/>
    <w:rsid w:val="00A543CC"/>
    <w:rsid w:val="00A54818"/>
    <w:rsid w:val="00A557C5"/>
    <w:rsid w:val="00A60154"/>
    <w:rsid w:val="00A676D6"/>
    <w:rsid w:val="00A75045"/>
    <w:rsid w:val="00A7519F"/>
    <w:rsid w:val="00A84500"/>
    <w:rsid w:val="00A869AF"/>
    <w:rsid w:val="00A86DE6"/>
    <w:rsid w:val="00A87BB7"/>
    <w:rsid w:val="00A9357D"/>
    <w:rsid w:val="00A93CFF"/>
    <w:rsid w:val="00A96AE1"/>
    <w:rsid w:val="00AB3D10"/>
    <w:rsid w:val="00AB7DD2"/>
    <w:rsid w:val="00AC47D0"/>
    <w:rsid w:val="00AC56D6"/>
    <w:rsid w:val="00AC5C07"/>
    <w:rsid w:val="00AD503B"/>
    <w:rsid w:val="00AD6A6C"/>
    <w:rsid w:val="00AE7492"/>
    <w:rsid w:val="00AF0C7C"/>
    <w:rsid w:val="00AF54F8"/>
    <w:rsid w:val="00AF776F"/>
    <w:rsid w:val="00B01D86"/>
    <w:rsid w:val="00B07E4E"/>
    <w:rsid w:val="00B07F5D"/>
    <w:rsid w:val="00B11FD1"/>
    <w:rsid w:val="00B13678"/>
    <w:rsid w:val="00B137E9"/>
    <w:rsid w:val="00B146F3"/>
    <w:rsid w:val="00B210EA"/>
    <w:rsid w:val="00B22150"/>
    <w:rsid w:val="00B230A6"/>
    <w:rsid w:val="00B2560E"/>
    <w:rsid w:val="00B30EA2"/>
    <w:rsid w:val="00B32E79"/>
    <w:rsid w:val="00B34B31"/>
    <w:rsid w:val="00B36542"/>
    <w:rsid w:val="00B36ED3"/>
    <w:rsid w:val="00B416AC"/>
    <w:rsid w:val="00B43E13"/>
    <w:rsid w:val="00B4463F"/>
    <w:rsid w:val="00B449E6"/>
    <w:rsid w:val="00B47C0E"/>
    <w:rsid w:val="00B513C9"/>
    <w:rsid w:val="00B56EF4"/>
    <w:rsid w:val="00B577EE"/>
    <w:rsid w:val="00B61ECC"/>
    <w:rsid w:val="00B70485"/>
    <w:rsid w:val="00B75CFF"/>
    <w:rsid w:val="00B768C4"/>
    <w:rsid w:val="00B77973"/>
    <w:rsid w:val="00B82A13"/>
    <w:rsid w:val="00B83F44"/>
    <w:rsid w:val="00B86466"/>
    <w:rsid w:val="00B86EF0"/>
    <w:rsid w:val="00B95B40"/>
    <w:rsid w:val="00B96F19"/>
    <w:rsid w:val="00BA146D"/>
    <w:rsid w:val="00BA3A95"/>
    <w:rsid w:val="00BA74E1"/>
    <w:rsid w:val="00BB0652"/>
    <w:rsid w:val="00BB48FB"/>
    <w:rsid w:val="00BB491F"/>
    <w:rsid w:val="00BB609D"/>
    <w:rsid w:val="00BC33C5"/>
    <w:rsid w:val="00BD413B"/>
    <w:rsid w:val="00BD43E2"/>
    <w:rsid w:val="00BD43F7"/>
    <w:rsid w:val="00BE31C4"/>
    <w:rsid w:val="00BF0793"/>
    <w:rsid w:val="00BF341D"/>
    <w:rsid w:val="00C02AF8"/>
    <w:rsid w:val="00C05960"/>
    <w:rsid w:val="00C069AC"/>
    <w:rsid w:val="00C11188"/>
    <w:rsid w:val="00C16E06"/>
    <w:rsid w:val="00C17E01"/>
    <w:rsid w:val="00C2264A"/>
    <w:rsid w:val="00C31AC4"/>
    <w:rsid w:val="00C34A46"/>
    <w:rsid w:val="00C366B5"/>
    <w:rsid w:val="00C40823"/>
    <w:rsid w:val="00C409BE"/>
    <w:rsid w:val="00C423CA"/>
    <w:rsid w:val="00C44111"/>
    <w:rsid w:val="00C5247F"/>
    <w:rsid w:val="00C60E22"/>
    <w:rsid w:val="00C62066"/>
    <w:rsid w:val="00C652ED"/>
    <w:rsid w:val="00C7073B"/>
    <w:rsid w:val="00C744CA"/>
    <w:rsid w:val="00C777C2"/>
    <w:rsid w:val="00C7793C"/>
    <w:rsid w:val="00C77C54"/>
    <w:rsid w:val="00C81064"/>
    <w:rsid w:val="00C8126E"/>
    <w:rsid w:val="00C860BD"/>
    <w:rsid w:val="00C86B9E"/>
    <w:rsid w:val="00C939A8"/>
    <w:rsid w:val="00C95992"/>
    <w:rsid w:val="00C97145"/>
    <w:rsid w:val="00CB0246"/>
    <w:rsid w:val="00CC4277"/>
    <w:rsid w:val="00CE670F"/>
    <w:rsid w:val="00CF041A"/>
    <w:rsid w:val="00CF4843"/>
    <w:rsid w:val="00D010FD"/>
    <w:rsid w:val="00D02812"/>
    <w:rsid w:val="00D05948"/>
    <w:rsid w:val="00D1634D"/>
    <w:rsid w:val="00D20056"/>
    <w:rsid w:val="00D236A8"/>
    <w:rsid w:val="00D251CA"/>
    <w:rsid w:val="00D33625"/>
    <w:rsid w:val="00D337D2"/>
    <w:rsid w:val="00D37E80"/>
    <w:rsid w:val="00D46904"/>
    <w:rsid w:val="00D526A1"/>
    <w:rsid w:val="00D565D3"/>
    <w:rsid w:val="00D9679D"/>
    <w:rsid w:val="00DA191C"/>
    <w:rsid w:val="00DA23E0"/>
    <w:rsid w:val="00DA2751"/>
    <w:rsid w:val="00DA4F4B"/>
    <w:rsid w:val="00DA549A"/>
    <w:rsid w:val="00DA5A32"/>
    <w:rsid w:val="00DA633D"/>
    <w:rsid w:val="00DB2119"/>
    <w:rsid w:val="00DB53B7"/>
    <w:rsid w:val="00DB5767"/>
    <w:rsid w:val="00DB5E2D"/>
    <w:rsid w:val="00DC05BC"/>
    <w:rsid w:val="00DC06D6"/>
    <w:rsid w:val="00DC31C3"/>
    <w:rsid w:val="00DD12E3"/>
    <w:rsid w:val="00DD3A24"/>
    <w:rsid w:val="00DD50D4"/>
    <w:rsid w:val="00DD6288"/>
    <w:rsid w:val="00DD6F48"/>
    <w:rsid w:val="00DD7BDE"/>
    <w:rsid w:val="00DE5B38"/>
    <w:rsid w:val="00DE6CEC"/>
    <w:rsid w:val="00DE7392"/>
    <w:rsid w:val="00DF19AA"/>
    <w:rsid w:val="00DF3516"/>
    <w:rsid w:val="00DF6DB0"/>
    <w:rsid w:val="00E02528"/>
    <w:rsid w:val="00E03C07"/>
    <w:rsid w:val="00E13CAD"/>
    <w:rsid w:val="00E13CFD"/>
    <w:rsid w:val="00E20A08"/>
    <w:rsid w:val="00E20E3C"/>
    <w:rsid w:val="00E36290"/>
    <w:rsid w:val="00E3757F"/>
    <w:rsid w:val="00E44FD0"/>
    <w:rsid w:val="00E511F7"/>
    <w:rsid w:val="00E5222C"/>
    <w:rsid w:val="00E54323"/>
    <w:rsid w:val="00E551BE"/>
    <w:rsid w:val="00E554FE"/>
    <w:rsid w:val="00E62AE0"/>
    <w:rsid w:val="00E6525E"/>
    <w:rsid w:val="00E664D0"/>
    <w:rsid w:val="00E66EFC"/>
    <w:rsid w:val="00E70940"/>
    <w:rsid w:val="00E71BAD"/>
    <w:rsid w:val="00E72B6A"/>
    <w:rsid w:val="00E73ECF"/>
    <w:rsid w:val="00E74D9F"/>
    <w:rsid w:val="00E81E61"/>
    <w:rsid w:val="00E829E6"/>
    <w:rsid w:val="00E83917"/>
    <w:rsid w:val="00E848B4"/>
    <w:rsid w:val="00E84CB0"/>
    <w:rsid w:val="00E874CD"/>
    <w:rsid w:val="00E91417"/>
    <w:rsid w:val="00E92184"/>
    <w:rsid w:val="00E94329"/>
    <w:rsid w:val="00E96DC8"/>
    <w:rsid w:val="00E97B2B"/>
    <w:rsid w:val="00E97FB6"/>
    <w:rsid w:val="00EB1377"/>
    <w:rsid w:val="00EC1E33"/>
    <w:rsid w:val="00ED2690"/>
    <w:rsid w:val="00EE02C2"/>
    <w:rsid w:val="00EE306F"/>
    <w:rsid w:val="00F006A1"/>
    <w:rsid w:val="00F07022"/>
    <w:rsid w:val="00F0780A"/>
    <w:rsid w:val="00F110C6"/>
    <w:rsid w:val="00F1119E"/>
    <w:rsid w:val="00F1650A"/>
    <w:rsid w:val="00F207E1"/>
    <w:rsid w:val="00F2265A"/>
    <w:rsid w:val="00F26ABA"/>
    <w:rsid w:val="00F33E30"/>
    <w:rsid w:val="00F35761"/>
    <w:rsid w:val="00F35A34"/>
    <w:rsid w:val="00F40882"/>
    <w:rsid w:val="00F422EB"/>
    <w:rsid w:val="00F423B2"/>
    <w:rsid w:val="00F43559"/>
    <w:rsid w:val="00F43D2A"/>
    <w:rsid w:val="00F504AD"/>
    <w:rsid w:val="00F5789B"/>
    <w:rsid w:val="00F71323"/>
    <w:rsid w:val="00F75AAB"/>
    <w:rsid w:val="00F75C76"/>
    <w:rsid w:val="00F7659E"/>
    <w:rsid w:val="00F803BB"/>
    <w:rsid w:val="00F845CE"/>
    <w:rsid w:val="00F866F9"/>
    <w:rsid w:val="00F967A0"/>
    <w:rsid w:val="00FA42FD"/>
    <w:rsid w:val="00FB46A9"/>
    <w:rsid w:val="00FB4C62"/>
    <w:rsid w:val="00FB6DD5"/>
    <w:rsid w:val="00FC21F1"/>
    <w:rsid w:val="00FC36BC"/>
    <w:rsid w:val="00FC720B"/>
    <w:rsid w:val="00FD35F8"/>
    <w:rsid w:val="00FD696D"/>
    <w:rsid w:val="00FE133C"/>
    <w:rsid w:val="00FE1C55"/>
    <w:rsid w:val="00FE21BE"/>
    <w:rsid w:val="00FE3FE9"/>
    <w:rsid w:val="00FE6A10"/>
    <w:rsid w:val="00FF1B10"/>
    <w:rsid w:val="00FF20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9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A557C5"/>
    <w:pPr>
      <w:numPr>
        <w:numId w:val="18"/>
      </w:numPr>
      <w:spacing w:before="120" w:after="120" w:line="240" w:lineRule="auto"/>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rsid w:val="00640E7F"/>
    <w:rPr>
      <w:rFonts w:ascii="Arial" w:hAnsi="Arial"/>
      <w:lang w:eastAsia="fr-FR"/>
    </w:rPr>
  </w:style>
  <w:style w:type="character" w:styleId="Marquedecommentaire">
    <w:name w:val="annotation reference"/>
    <w:basedOn w:val="Policepardfaut"/>
    <w:uiPriority w:val="99"/>
    <w:semiHidden/>
    <w:unhideWhenUsed/>
    <w:rsid w:val="00640E7F"/>
    <w:rPr>
      <w:sz w:val="16"/>
      <w:szCs w:val="16"/>
    </w:rPr>
  </w:style>
  <w:style w:type="paragraph" w:styleId="Commentaire">
    <w:name w:val="annotation text"/>
    <w:basedOn w:val="Normal"/>
    <w:link w:val="CommentaireCar"/>
    <w:uiPriority w:val="99"/>
    <w:unhideWhenUsed/>
    <w:rsid w:val="00640E7F"/>
    <w:pPr>
      <w:spacing w:line="240" w:lineRule="auto"/>
    </w:pPr>
    <w:rPr>
      <w:sz w:val="20"/>
    </w:rPr>
  </w:style>
  <w:style w:type="character" w:customStyle="1" w:styleId="CommentaireCar">
    <w:name w:val="Commentaire Car"/>
    <w:basedOn w:val="Policepardfaut"/>
    <w:link w:val="Commentaire"/>
    <w:uiPriority w:val="99"/>
    <w:rsid w:val="00640E7F"/>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640E7F"/>
    <w:rPr>
      <w:b/>
      <w:bCs/>
    </w:rPr>
  </w:style>
  <w:style w:type="character" w:customStyle="1" w:styleId="ObjetducommentaireCar">
    <w:name w:val="Objet du commentaire Car"/>
    <w:basedOn w:val="CommentaireCar"/>
    <w:link w:val="Objetducommentaire"/>
    <w:uiPriority w:val="99"/>
    <w:semiHidden/>
    <w:rsid w:val="00640E7F"/>
    <w:rPr>
      <w:rFonts w:ascii="Arial" w:hAnsi="Arial"/>
      <w:b/>
      <w:bCs/>
      <w:lang w:eastAsia="fr-FR"/>
    </w:rPr>
  </w:style>
  <w:style w:type="paragraph" w:customStyle="1" w:styleId="paragraphe0">
    <w:name w:val="paragraphe"/>
    <w:basedOn w:val="Normal"/>
    <w:rsid w:val="00640E7F"/>
    <w:pPr>
      <w:spacing w:before="100" w:beforeAutospacing="1" w:after="100" w:afterAutospacing="1" w:line="240" w:lineRule="auto"/>
    </w:pPr>
    <w:rPr>
      <w:rFonts w:ascii="Times New Roman" w:hAnsi="Times New Roman"/>
      <w:szCs w:val="24"/>
      <w:lang w:eastAsia="fr-CA"/>
    </w:rPr>
  </w:style>
  <w:style w:type="paragraph" w:customStyle="1" w:styleId="sous-paragraphe0">
    <w:name w:val="sous-paragraphe"/>
    <w:basedOn w:val="Normal"/>
    <w:rsid w:val="00640E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right="720"/>
      <w:jc w:val="both"/>
    </w:pPr>
    <w:rPr>
      <w:szCs w:val="24"/>
    </w:rPr>
  </w:style>
  <w:style w:type="character" w:styleId="Lienhypertexte">
    <w:name w:val="Hyperlink"/>
    <w:basedOn w:val="Policepardfaut"/>
    <w:uiPriority w:val="99"/>
    <w:unhideWhenUsed/>
    <w:rsid w:val="00A75045"/>
    <w:rPr>
      <w:color w:val="0563C1" w:themeColor="hyperlink"/>
      <w:u w:val="single"/>
    </w:rPr>
  </w:style>
  <w:style w:type="character" w:styleId="Mentionnonrsolue">
    <w:name w:val="Unresolved Mention"/>
    <w:basedOn w:val="Policepardfaut"/>
    <w:uiPriority w:val="99"/>
    <w:semiHidden/>
    <w:unhideWhenUsed/>
    <w:rsid w:val="00A75045"/>
    <w:rPr>
      <w:color w:val="605E5C"/>
      <w:shd w:val="clear" w:color="auto" w:fill="E1DFDD"/>
    </w:rPr>
  </w:style>
  <w:style w:type="paragraph" w:styleId="Rvision">
    <w:name w:val="Revision"/>
    <w:hidden/>
    <w:uiPriority w:val="99"/>
    <w:semiHidden/>
    <w:rsid w:val="00B449E6"/>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730A-1F60-4B61-9059-17D3D2B5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11170</Words>
  <Characters>56191</Characters>
  <Application>Microsoft Office Word</Application>
  <DocSecurity>0</DocSecurity>
  <Lines>468</Lines>
  <Paragraphs>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2023-09-21T13:36:00Z</dcterms:created>
  <dcterms:modified xsi:type="dcterms:W3CDTF">2023-09-21T13:36:00Z</dcterms:modified>
</cp:coreProperties>
</file>