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2DA7" w14:textId="77777777" w:rsidR="00497BF4" w:rsidRPr="00AC22B1" w:rsidRDefault="00497BF4">
      <w:pPr>
        <w:rPr>
          <w:lang w:val="en-CA"/>
        </w:rPr>
      </w:pPr>
      <w:r w:rsidRPr="00AC22B1">
        <w:rPr>
          <w:lang w:val="en-CA"/>
        </w:rPr>
        <w:t xml:space="preserve">Unofficial Translation of the </w:t>
      </w:r>
      <w:r>
        <w:rPr>
          <w:lang w:val="en-CA"/>
        </w:rPr>
        <w:t>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3F1630" w:rsidRPr="00926147" w14:paraId="7B0C8FD3" w14:textId="77777777" w:rsidTr="007C11EE">
        <w:trPr>
          <w:trHeight w:val="248"/>
        </w:trPr>
        <w:tc>
          <w:tcPr>
            <w:tcW w:w="7372" w:type="dxa"/>
            <w:gridSpan w:val="5"/>
            <w:shd w:val="clear" w:color="auto" w:fill="auto"/>
          </w:tcPr>
          <w:p w14:paraId="41160F19" w14:textId="77777777" w:rsidR="000A0D07" w:rsidRPr="007C11EE" w:rsidRDefault="00E01746" w:rsidP="00E01746">
            <w:pPr>
              <w:pStyle w:val="zSoquijdatRepertorie"/>
              <w:rPr>
                <w:lang w:val="en-CA"/>
              </w:rPr>
            </w:pPr>
            <w:r w:rsidRPr="007C11EE">
              <w:rPr>
                <w:lang w:val="en-CA"/>
              </w:rPr>
              <w:t>A.B. c. Robillard</w:t>
            </w:r>
            <w:r w:rsidRPr="007C11EE">
              <w:rPr>
                <w:lang w:val="en-CA"/>
              </w:rPr>
              <w:tab/>
            </w:r>
          </w:p>
        </w:tc>
        <w:tc>
          <w:tcPr>
            <w:tcW w:w="1988" w:type="dxa"/>
            <w:shd w:val="clear" w:color="auto" w:fill="auto"/>
          </w:tcPr>
          <w:p w14:paraId="064E0B1A" w14:textId="77777777" w:rsidR="000A0D07" w:rsidRPr="007C11EE" w:rsidRDefault="00E01746" w:rsidP="00E01746">
            <w:pPr>
              <w:pStyle w:val="zSoquijdatRefNeutre"/>
              <w:jc w:val="right"/>
              <w:rPr>
                <w:lang w:val="en-CA"/>
              </w:rPr>
            </w:pPr>
            <w:r w:rsidRPr="007C11EE">
              <w:rPr>
                <w:lang w:val="en-CA"/>
              </w:rPr>
              <w:t>2022 QCCA 959</w:t>
            </w:r>
          </w:p>
        </w:tc>
      </w:tr>
      <w:tr w:rsidR="003F1630" w:rsidRPr="00926147" w14:paraId="2E406521" w14:textId="77777777" w:rsidTr="007C11EE">
        <w:trPr>
          <w:trHeight w:val="247"/>
        </w:trPr>
        <w:tc>
          <w:tcPr>
            <w:tcW w:w="9360" w:type="dxa"/>
            <w:gridSpan w:val="6"/>
          </w:tcPr>
          <w:p w14:paraId="2BF69860" w14:textId="77777777" w:rsidR="000A0D07" w:rsidRPr="00926147" w:rsidRDefault="00C4409A" w:rsidP="00AF28AE">
            <w:pPr>
              <w:pStyle w:val="zSoquijlblCour"/>
              <w:rPr>
                <w:lang w:val="en-CA"/>
              </w:rPr>
            </w:pPr>
            <w:r w:rsidRPr="00926147">
              <w:rPr>
                <w:lang w:val="en-CA"/>
              </w:rPr>
              <w:t>COURT OF APPEAL</w:t>
            </w:r>
          </w:p>
        </w:tc>
      </w:tr>
      <w:tr w:rsidR="003F1630" w:rsidRPr="00926147" w14:paraId="4AEE424D" w14:textId="77777777" w:rsidTr="007C11EE">
        <w:trPr>
          <w:trHeight w:val="540"/>
        </w:trPr>
        <w:tc>
          <w:tcPr>
            <w:tcW w:w="9360" w:type="dxa"/>
            <w:gridSpan w:val="6"/>
          </w:tcPr>
          <w:p w14:paraId="77747D0D" w14:textId="77777777" w:rsidR="000A0D07" w:rsidRPr="00926147" w:rsidRDefault="000A0D07" w:rsidP="00AF28AE">
            <w:pPr>
              <w:pStyle w:val="zSoquijdatDivision"/>
              <w:rPr>
                <w:lang w:val="en-CA"/>
              </w:rPr>
            </w:pPr>
          </w:p>
        </w:tc>
      </w:tr>
      <w:tr w:rsidR="003F1630" w:rsidRPr="00926147" w14:paraId="099D1C39" w14:textId="77777777" w:rsidTr="007C11EE">
        <w:tc>
          <w:tcPr>
            <w:tcW w:w="9360" w:type="dxa"/>
            <w:gridSpan w:val="6"/>
          </w:tcPr>
          <w:p w14:paraId="31725113" w14:textId="77777777" w:rsidR="000A0D07" w:rsidRPr="00926147" w:rsidRDefault="00E01746" w:rsidP="00AF28AE">
            <w:pPr>
              <w:pStyle w:val="zSoquijlblPays"/>
              <w:rPr>
                <w:lang w:val="en-CA"/>
              </w:rPr>
            </w:pPr>
            <w:r w:rsidRPr="00926147">
              <w:rPr>
                <w:lang w:val="en-CA"/>
              </w:rPr>
              <w:t>CANADA</w:t>
            </w:r>
          </w:p>
        </w:tc>
      </w:tr>
      <w:tr w:rsidR="003F1630" w:rsidRPr="00926147" w14:paraId="08764E32" w14:textId="77777777" w:rsidTr="007C11EE">
        <w:tc>
          <w:tcPr>
            <w:tcW w:w="9360" w:type="dxa"/>
            <w:gridSpan w:val="6"/>
          </w:tcPr>
          <w:p w14:paraId="6B5073C5" w14:textId="77777777" w:rsidR="000A0D07" w:rsidRPr="00926147" w:rsidRDefault="00E01746" w:rsidP="00AF28AE">
            <w:pPr>
              <w:pStyle w:val="zSoquijlblProvince"/>
              <w:rPr>
                <w:lang w:val="en-CA"/>
              </w:rPr>
            </w:pPr>
            <w:r w:rsidRPr="00926147">
              <w:rPr>
                <w:lang w:val="en-CA"/>
              </w:rPr>
              <w:t xml:space="preserve">PROVINCE </w:t>
            </w:r>
            <w:r w:rsidR="00C4409A" w:rsidRPr="00926147">
              <w:rPr>
                <w:lang w:val="en-CA"/>
              </w:rPr>
              <w:t>OF</w:t>
            </w:r>
            <w:r w:rsidRPr="00926147">
              <w:rPr>
                <w:lang w:val="en-CA"/>
              </w:rPr>
              <w:t xml:space="preserve"> QU</w:t>
            </w:r>
            <w:r w:rsidR="00C4409A" w:rsidRPr="00926147">
              <w:rPr>
                <w:lang w:val="en-CA"/>
              </w:rPr>
              <w:t>E</w:t>
            </w:r>
            <w:r w:rsidRPr="00926147">
              <w:rPr>
                <w:lang w:val="en-CA"/>
              </w:rPr>
              <w:t>BEC</w:t>
            </w:r>
          </w:p>
        </w:tc>
      </w:tr>
      <w:tr w:rsidR="003F1630" w:rsidRPr="00926147" w14:paraId="1974DAF3" w14:textId="77777777" w:rsidTr="00AC22B1">
        <w:tc>
          <w:tcPr>
            <w:tcW w:w="1701" w:type="dxa"/>
            <w:gridSpan w:val="3"/>
          </w:tcPr>
          <w:p w14:paraId="3DA290EE" w14:textId="77777777" w:rsidR="000A0D07" w:rsidRPr="00926147" w:rsidRDefault="00C4409A" w:rsidP="00C4409A">
            <w:pPr>
              <w:pStyle w:val="zSoquijlblGreffe"/>
              <w:ind w:right="-423"/>
              <w:rPr>
                <w:lang w:val="en-CA"/>
              </w:rPr>
            </w:pPr>
            <w:r w:rsidRPr="00926147">
              <w:rPr>
                <w:lang w:val="en-CA"/>
              </w:rPr>
              <w:t>REGISTRY OF</w:t>
            </w:r>
          </w:p>
          <w:p w14:paraId="209EE037" w14:textId="77777777" w:rsidR="000A0D07" w:rsidRPr="00926147" w:rsidRDefault="000A0D07" w:rsidP="00C4409A">
            <w:pPr>
              <w:pStyle w:val="zSoquijlblGreffe"/>
              <w:ind w:right="-423"/>
              <w:rPr>
                <w:lang w:val="en-CA"/>
              </w:rPr>
            </w:pPr>
          </w:p>
        </w:tc>
        <w:tc>
          <w:tcPr>
            <w:tcW w:w="7659" w:type="dxa"/>
            <w:gridSpan w:val="3"/>
          </w:tcPr>
          <w:p w14:paraId="0A0C6B16" w14:textId="77777777" w:rsidR="000A0D07" w:rsidRPr="00926147" w:rsidRDefault="00E01746" w:rsidP="00C4409A">
            <w:pPr>
              <w:pStyle w:val="zSoquijdatGreffe"/>
              <w:ind w:left="-164" w:right="-423" w:firstLine="164"/>
              <w:rPr>
                <w:lang w:val="en-CA"/>
              </w:rPr>
            </w:pPr>
            <w:r w:rsidRPr="00926147">
              <w:rPr>
                <w:lang w:val="en-CA"/>
              </w:rPr>
              <w:t>MONTR</w:t>
            </w:r>
            <w:r w:rsidR="00C4409A" w:rsidRPr="00926147">
              <w:rPr>
                <w:lang w:val="en-CA"/>
              </w:rPr>
              <w:t>E</w:t>
            </w:r>
            <w:r w:rsidRPr="00926147">
              <w:rPr>
                <w:lang w:val="en-CA"/>
              </w:rPr>
              <w:t>AL</w:t>
            </w:r>
          </w:p>
        </w:tc>
      </w:tr>
      <w:tr w:rsidR="003F1630" w:rsidRPr="00926147" w14:paraId="05289A6B" w14:textId="77777777" w:rsidTr="007C11EE">
        <w:tc>
          <w:tcPr>
            <w:tcW w:w="1030" w:type="dxa"/>
          </w:tcPr>
          <w:p w14:paraId="33005958" w14:textId="77777777" w:rsidR="000A0D07" w:rsidRPr="00926147" w:rsidRDefault="00E01746" w:rsidP="00AF28AE">
            <w:pPr>
              <w:pStyle w:val="zSoquijlblNoDossier"/>
              <w:rPr>
                <w:lang w:val="en-CA"/>
              </w:rPr>
            </w:pPr>
            <w:r w:rsidRPr="00926147">
              <w:rPr>
                <w:lang w:val="en-CA"/>
              </w:rPr>
              <w:t>N</w:t>
            </w:r>
            <w:r w:rsidR="00C4409A" w:rsidRPr="00926147">
              <w:rPr>
                <w:lang w:val="en-CA"/>
              </w:rPr>
              <w:t>o.</w:t>
            </w:r>
            <w:r w:rsidRPr="00926147">
              <w:rPr>
                <w:lang w:val="en-CA"/>
              </w:rPr>
              <w:t>:</w:t>
            </w:r>
          </w:p>
        </w:tc>
        <w:tc>
          <w:tcPr>
            <w:tcW w:w="8330" w:type="dxa"/>
            <w:gridSpan w:val="5"/>
          </w:tcPr>
          <w:p w14:paraId="2F70603C" w14:textId="77777777" w:rsidR="000A0D07" w:rsidRPr="00926147" w:rsidRDefault="00E01746" w:rsidP="00AF28AE">
            <w:pPr>
              <w:pStyle w:val="zSoquijdatNoDossier"/>
              <w:rPr>
                <w:lang w:val="en-CA"/>
              </w:rPr>
            </w:pPr>
            <w:r w:rsidRPr="00926147">
              <w:rPr>
                <w:lang w:val="en-CA"/>
              </w:rPr>
              <w:t>500-09-700042-211</w:t>
            </w:r>
          </w:p>
        </w:tc>
      </w:tr>
      <w:tr w:rsidR="003F1630" w:rsidRPr="00926147" w14:paraId="24B7C17F" w14:textId="77777777" w:rsidTr="007C11EE">
        <w:tc>
          <w:tcPr>
            <w:tcW w:w="9360" w:type="dxa"/>
            <w:gridSpan w:val="6"/>
          </w:tcPr>
          <w:p w14:paraId="01B8AC54" w14:textId="77777777" w:rsidR="000A0D07" w:rsidRPr="00926147" w:rsidRDefault="00E01746" w:rsidP="00AF28AE">
            <w:pPr>
              <w:pStyle w:val="zSoquijdatNoDossierAnt"/>
              <w:rPr>
                <w:lang w:val="en-CA"/>
              </w:rPr>
            </w:pPr>
            <w:r w:rsidRPr="00926147">
              <w:rPr>
                <w:lang w:val="en-CA"/>
              </w:rPr>
              <w:t>(500-17-117012-214)</w:t>
            </w:r>
          </w:p>
        </w:tc>
      </w:tr>
      <w:tr w:rsidR="003F1630" w:rsidRPr="00926147" w14:paraId="2D4CCCDE" w14:textId="77777777" w:rsidTr="007C11EE">
        <w:tc>
          <w:tcPr>
            <w:tcW w:w="9360" w:type="dxa"/>
            <w:gridSpan w:val="6"/>
            <w:shd w:val="clear" w:color="auto" w:fill="auto"/>
          </w:tcPr>
          <w:p w14:paraId="3886FAB5" w14:textId="77777777" w:rsidR="000A0D07" w:rsidRPr="00926147" w:rsidRDefault="000A0D07" w:rsidP="00AF28AE">
            <w:pPr>
              <w:rPr>
                <w:lang w:val="en-CA"/>
              </w:rPr>
            </w:pPr>
          </w:p>
        </w:tc>
      </w:tr>
      <w:tr w:rsidR="003F1630" w:rsidRPr="00926147" w14:paraId="5E15492A" w14:textId="77777777" w:rsidTr="007C11EE">
        <w:tc>
          <w:tcPr>
            <w:tcW w:w="1030" w:type="dxa"/>
            <w:shd w:val="clear" w:color="auto" w:fill="auto"/>
          </w:tcPr>
          <w:p w14:paraId="765C35B0" w14:textId="77777777" w:rsidR="000A0D07" w:rsidRPr="00926147" w:rsidRDefault="00E01746" w:rsidP="00AF28AE">
            <w:pPr>
              <w:pStyle w:val="zSoquijlblDateJugement"/>
              <w:rPr>
                <w:lang w:val="en-CA"/>
              </w:rPr>
            </w:pPr>
            <w:r w:rsidRPr="00926147">
              <w:rPr>
                <w:lang w:val="en-CA"/>
              </w:rPr>
              <w:t>DATE:</w:t>
            </w:r>
          </w:p>
        </w:tc>
        <w:tc>
          <w:tcPr>
            <w:tcW w:w="8330" w:type="dxa"/>
            <w:gridSpan w:val="5"/>
            <w:shd w:val="clear" w:color="auto" w:fill="auto"/>
          </w:tcPr>
          <w:p w14:paraId="4A84A75C" w14:textId="77777777" w:rsidR="000A0D07" w:rsidRPr="00926147" w:rsidRDefault="00C4409A" w:rsidP="000A0D07">
            <w:pPr>
              <w:pStyle w:val="zSoquijdatDateJugement"/>
              <w:rPr>
                <w:lang w:val="en-CA"/>
              </w:rPr>
            </w:pPr>
            <w:r w:rsidRPr="00926147">
              <w:rPr>
                <w:lang w:val="en-CA"/>
              </w:rPr>
              <w:t>September 1,</w:t>
            </w:r>
            <w:r w:rsidR="00E01746" w:rsidRPr="00926147">
              <w:rPr>
                <w:lang w:val="en-CA"/>
              </w:rPr>
              <w:t xml:space="preserve"> 2022</w:t>
            </w:r>
          </w:p>
        </w:tc>
      </w:tr>
      <w:tr w:rsidR="003F1630" w:rsidRPr="00926147" w14:paraId="579F55EA" w14:textId="77777777" w:rsidTr="007C11EE">
        <w:tc>
          <w:tcPr>
            <w:tcW w:w="9360" w:type="dxa"/>
            <w:gridSpan w:val="6"/>
            <w:tcBorders>
              <w:bottom w:val="single" w:sz="8" w:space="0" w:color="auto"/>
            </w:tcBorders>
          </w:tcPr>
          <w:p w14:paraId="71A4BACE" w14:textId="77777777" w:rsidR="000A0D07" w:rsidRPr="00926147" w:rsidRDefault="000A0D07" w:rsidP="00AF28AE">
            <w:pPr>
              <w:rPr>
                <w:lang w:val="en-CA"/>
              </w:rPr>
            </w:pPr>
          </w:p>
        </w:tc>
      </w:tr>
      <w:tr w:rsidR="003F1630" w:rsidRPr="00926147" w14:paraId="715FD32C" w14:textId="77777777" w:rsidTr="007C11EE">
        <w:tc>
          <w:tcPr>
            <w:tcW w:w="9360" w:type="dxa"/>
            <w:gridSpan w:val="6"/>
            <w:tcBorders>
              <w:top w:val="single" w:sz="8" w:space="0" w:color="auto"/>
            </w:tcBorders>
          </w:tcPr>
          <w:p w14:paraId="16AFCD33" w14:textId="77777777" w:rsidR="000A0D07" w:rsidRPr="00926147" w:rsidRDefault="000A0D07" w:rsidP="00AF28AE">
            <w:pPr>
              <w:rPr>
                <w:lang w:val="en-CA"/>
              </w:rPr>
            </w:pPr>
          </w:p>
        </w:tc>
      </w:tr>
      <w:tr w:rsidR="003F1630" w:rsidRPr="00926147" w14:paraId="717EDD30" w14:textId="77777777" w:rsidTr="007C11EE">
        <w:tc>
          <w:tcPr>
            <w:tcW w:w="1620" w:type="dxa"/>
            <w:gridSpan w:val="2"/>
          </w:tcPr>
          <w:p w14:paraId="0435414A" w14:textId="77777777" w:rsidR="000A0D07" w:rsidRPr="00926147" w:rsidRDefault="00C4409A" w:rsidP="00AF28AE">
            <w:pPr>
              <w:pStyle w:val="zSoquijlblJuge"/>
              <w:ind w:right="-142"/>
              <w:rPr>
                <w:lang w:val="en-CA"/>
              </w:rPr>
            </w:pPr>
            <w:r w:rsidRPr="00926147">
              <w:rPr>
                <w:lang w:val="en-CA"/>
              </w:rPr>
              <w:t>CORAM</w:t>
            </w:r>
            <w:r w:rsidR="00E01746" w:rsidRPr="00926147">
              <w:rPr>
                <w:lang w:val="en-CA"/>
              </w:rPr>
              <w:t>:</w:t>
            </w:r>
          </w:p>
        </w:tc>
        <w:tc>
          <w:tcPr>
            <w:tcW w:w="2350" w:type="dxa"/>
            <w:gridSpan w:val="2"/>
          </w:tcPr>
          <w:p w14:paraId="0A166291" w14:textId="77777777" w:rsidR="000A0D07" w:rsidRPr="00926147" w:rsidRDefault="00C4409A" w:rsidP="00AF28AE">
            <w:pPr>
              <w:pStyle w:val="zSoquijdatQteJuge"/>
              <w:rPr>
                <w:lang w:val="en-CA"/>
              </w:rPr>
            </w:pPr>
            <w:r w:rsidRPr="00926147">
              <w:rPr>
                <w:lang w:val="en-CA"/>
              </w:rPr>
              <w:t>THE</w:t>
            </w:r>
            <w:r w:rsidR="00E01746" w:rsidRPr="00926147">
              <w:rPr>
                <w:lang w:val="en-CA"/>
              </w:rPr>
              <w:t xml:space="preserve"> HONO</w:t>
            </w:r>
            <w:r w:rsidRPr="00926147">
              <w:rPr>
                <w:lang w:val="en-CA"/>
              </w:rPr>
              <w:t>U</w:t>
            </w:r>
            <w:r w:rsidR="00E01746" w:rsidRPr="00926147">
              <w:rPr>
                <w:lang w:val="en-CA"/>
              </w:rPr>
              <w:t>RABLE</w:t>
            </w:r>
          </w:p>
        </w:tc>
        <w:tc>
          <w:tcPr>
            <w:tcW w:w="5390" w:type="dxa"/>
            <w:gridSpan w:val="2"/>
          </w:tcPr>
          <w:p w14:paraId="17D00E60" w14:textId="77777777" w:rsidR="000A0D07" w:rsidRPr="007C11EE" w:rsidRDefault="00E01746" w:rsidP="00AF28AE">
            <w:pPr>
              <w:pStyle w:val="zSoquijdatJuge"/>
            </w:pPr>
            <w:r w:rsidRPr="007C11EE">
              <w:t>FRANÇOIS PELLETIER, J.A.</w:t>
            </w:r>
          </w:p>
          <w:p w14:paraId="23C4271C" w14:textId="77777777" w:rsidR="000A0D07" w:rsidRPr="007C11EE" w:rsidRDefault="00E01746" w:rsidP="00AF28AE">
            <w:pPr>
              <w:pStyle w:val="zSoquijdatJuge"/>
            </w:pPr>
            <w:r w:rsidRPr="007C11EE">
              <w:t>MARTIN VAUCLAIR, J.A.</w:t>
            </w:r>
          </w:p>
          <w:p w14:paraId="371D136C" w14:textId="77777777" w:rsidR="000A0D07" w:rsidRPr="00926147" w:rsidRDefault="00E01746" w:rsidP="00AF28AE">
            <w:pPr>
              <w:pStyle w:val="zSoquijdatJuge"/>
              <w:rPr>
                <w:lang w:val="en-CA"/>
              </w:rPr>
            </w:pPr>
            <w:r w:rsidRPr="00926147">
              <w:rPr>
                <w:lang w:val="en-CA"/>
              </w:rPr>
              <w:t>SOPHIE LAVALLÉE, J.A.</w:t>
            </w:r>
          </w:p>
        </w:tc>
      </w:tr>
      <w:tr w:rsidR="003F1630" w:rsidRPr="00926147" w14:paraId="1999D67F" w14:textId="77777777" w:rsidTr="007C11EE">
        <w:tc>
          <w:tcPr>
            <w:tcW w:w="9360" w:type="dxa"/>
            <w:gridSpan w:val="6"/>
            <w:tcBorders>
              <w:bottom w:val="single" w:sz="8" w:space="0" w:color="auto"/>
            </w:tcBorders>
          </w:tcPr>
          <w:p w14:paraId="2AF87B2A" w14:textId="77777777" w:rsidR="000A0D07" w:rsidRPr="00926147" w:rsidRDefault="000A0D07" w:rsidP="00AF28AE">
            <w:pPr>
              <w:rPr>
                <w:lang w:val="en-CA"/>
              </w:rPr>
            </w:pPr>
          </w:p>
        </w:tc>
      </w:tr>
      <w:tr w:rsidR="003F1630" w:rsidRPr="00926147" w14:paraId="05A6C602" w14:textId="77777777" w:rsidTr="007C11EE">
        <w:tc>
          <w:tcPr>
            <w:tcW w:w="9360" w:type="dxa"/>
            <w:gridSpan w:val="6"/>
          </w:tcPr>
          <w:p w14:paraId="3DC6909E" w14:textId="77777777" w:rsidR="000A0D07" w:rsidRPr="00926147" w:rsidRDefault="000A0D07" w:rsidP="00AF28AE">
            <w:pPr>
              <w:pStyle w:val="zSoquijlblTitrePartie"/>
              <w:rPr>
                <w:lang w:val="en-CA"/>
              </w:rPr>
            </w:pPr>
          </w:p>
        </w:tc>
      </w:tr>
      <w:tr w:rsidR="003F1630" w:rsidRPr="00926147" w14:paraId="174E0928" w14:textId="77777777" w:rsidTr="007C11EE">
        <w:tc>
          <w:tcPr>
            <w:tcW w:w="9360" w:type="dxa"/>
            <w:gridSpan w:val="6"/>
          </w:tcPr>
          <w:p w14:paraId="6A06EE93" w14:textId="77777777" w:rsidR="000A0D07" w:rsidRPr="007C11EE" w:rsidRDefault="00E01746" w:rsidP="00AF28AE">
            <w:pPr>
              <w:pStyle w:val="zSoquijdatNomPartieDem"/>
            </w:pPr>
            <w:r w:rsidRPr="007C11EE">
              <w:t>A.B.</w:t>
            </w:r>
          </w:p>
          <w:p w14:paraId="26FB71EB" w14:textId="77777777" w:rsidR="000A0D07" w:rsidRPr="007C11EE" w:rsidRDefault="00E01746" w:rsidP="00AF28AE">
            <w:pPr>
              <w:pStyle w:val="zSoquijdatNomPartieDem"/>
            </w:pPr>
            <w:r w:rsidRPr="007C11EE">
              <w:t>FONDATION A.B.</w:t>
            </w:r>
          </w:p>
        </w:tc>
      </w:tr>
      <w:tr w:rsidR="003F1630" w:rsidRPr="00926147" w14:paraId="5B77E7FF" w14:textId="77777777" w:rsidTr="007C11EE">
        <w:tc>
          <w:tcPr>
            <w:tcW w:w="9360" w:type="dxa"/>
            <w:gridSpan w:val="6"/>
          </w:tcPr>
          <w:p w14:paraId="27C213A2" w14:textId="77777777" w:rsidR="000A0D07" w:rsidRPr="00926147" w:rsidRDefault="00E01746" w:rsidP="00AF28AE">
            <w:pPr>
              <w:pStyle w:val="zSoquijdatQtePartieDem"/>
              <w:rPr>
                <w:lang w:val="en-CA"/>
              </w:rPr>
            </w:pPr>
            <w:r w:rsidRPr="00926147">
              <w:rPr>
                <w:lang w:val="en-CA"/>
              </w:rPr>
              <w:t>APPEL</w:t>
            </w:r>
            <w:r w:rsidR="00915D93" w:rsidRPr="00926147">
              <w:rPr>
                <w:lang w:val="en-CA"/>
              </w:rPr>
              <w:t>L</w:t>
            </w:r>
            <w:r w:rsidRPr="00926147">
              <w:rPr>
                <w:lang w:val="en-CA"/>
              </w:rPr>
              <w:t xml:space="preserve">ANTS – </w:t>
            </w:r>
            <w:r w:rsidR="00927103" w:rsidRPr="00926147">
              <w:rPr>
                <w:lang w:val="en-CA"/>
              </w:rPr>
              <w:t>plaintiffs</w:t>
            </w:r>
          </w:p>
        </w:tc>
      </w:tr>
      <w:tr w:rsidR="003F1630" w:rsidRPr="00926147" w14:paraId="40764C19" w14:textId="77777777" w:rsidTr="007C11EE">
        <w:tc>
          <w:tcPr>
            <w:tcW w:w="9360" w:type="dxa"/>
            <w:gridSpan w:val="6"/>
          </w:tcPr>
          <w:p w14:paraId="220BF9AE" w14:textId="77777777" w:rsidR="000A0D07" w:rsidRPr="00926147" w:rsidRDefault="007C11EE" w:rsidP="00AF28AE">
            <w:pPr>
              <w:pStyle w:val="zSoquijlblLienParties"/>
              <w:rPr>
                <w:lang w:val="en-CA"/>
              </w:rPr>
            </w:pPr>
            <w:r>
              <w:rPr>
                <w:lang w:val="en-CA"/>
              </w:rPr>
              <w:t>v</w:t>
            </w:r>
            <w:r w:rsidR="00E01746" w:rsidRPr="00926147">
              <w:rPr>
                <w:lang w:val="en-CA"/>
              </w:rPr>
              <w:t>.</w:t>
            </w:r>
          </w:p>
        </w:tc>
      </w:tr>
      <w:tr w:rsidR="003F1630" w:rsidRPr="00926147" w14:paraId="0B46F01F" w14:textId="77777777" w:rsidTr="007C11EE">
        <w:tc>
          <w:tcPr>
            <w:tcW w:w="9360" w:type="dxa"/>
            <w:gridSpan w:val="6"/>
          </w:tcPr>
          <w:p w14:paraId="1552244A" w14:textId="77777777" w:rsidR="000A0D07" w:rsidRPr="00926147" w:rsidRDefault="000A0D07" w:rsidP="00AF28AE">
            <w:pPr>
              <w:rPr>
                <w:lang w:val="en-CA"/>
              </w:rPr>
            </w:pPr>
          </w:p>
        </w:tc>
      </w:tr>
      <w:tr w:rsidR="003F1630" w:rsidRPr="00926147" w14:paraId="5E775100" w14:textId="77777777" w:rsidTr="007C11EE">
        <w:tc>
          <w:tcPr>
            <w:tcW w:w="9360" w:type="dxa"/>
            <w:gridSpan w:val="6"/>
          </w:tcPr>
          <w:p w14:paraId="3B768272" w14:textId="77777777" w:rsidR="000A0D07" w:rsidRPr="007C11EE" w:rsidRDefault="00E01746" w:rsidP="00AF28AE">
            <w:pPr>
              <w:pStyle w:val="zSoquijdatNomPartieDef"/>
            </w:pPr>
            <w:r w:rsidRPr="007C11EE">
              <w:t>JEAN-FRANÇOIS ROBILLARD</w:t>
            </w:r>
          </w:p>
          <w:p w14:paraId="4C771732" w14:textId="77777777" w:rsidR="000A0D07" w:rsidRPr="007C11EE" w:rsidRDefault="00E01746" w:rsidP="00AF28AE">
            <w:pPr>
              <w:pStyle w:val="zSoquijdatNomPartieDef"/>
            </w:pPr>
            <w:r w:rsidRPr="007C11EE">
              <w:t>DIS SON NOM</w:t>
            </w:r>
          </w:p>
          <w:p w14:paraId="0FC1B375" w14:textId="77777777" w:rsidR="000A0D07" w:rsidRPr="00926147" w:rsidRDefault="00E01746" w:rsidP="00AF28AE">
            <w:pPr>
              <w:pStyle w:val="zSoquijdatNomPartieDef"/>
              <w:rPr>
                <w:lang w:val="en-CA"/>
              </w:rPr>
            </w:pPr>
            <w:r w:rsidRPr="00926147">
              <w:rPr>
                <w:lang w:val="en-CA"/>
              </w:rPr>
              <w:t>DELPHINE BERGERON</w:t>
            </w:r>
          </w:p>
          <w:p w14:paraId="150E3E43" w14:textId="77777777" w:rsidR="000A0D07" w:rsidRPr="00926147" w:rsidRDefault="00E01746" w:rsidP="00AF28AE">
            <w:pPr>
              <w:pStyle w:val="zSoquijdatNomPartieDef"/>
              <w:rPr>
                <w:lang w:val="en-CA"/>
              </w:rPr>
            </w:pPr>
            <w:r w:rsidRPr="00926147">
              <w:rPr>
                <w:lang w:val="en-CA"/>
              </w:rPr>
              <w:t>A.A.</w:t>
            </w:r>
          </w:p>
        </w:tc>
      </w:tr>
      <w:tr w:rsidR="003F1630" w:rsidRPr="00926147" w14:paraId="0CE1E5BB" w14:textId="77777777" w:rsidTr="007C11EE">
        <w:tc>
          <w:tcPr>
            <w:tcW w:w="9360" w:type="dxa"/>
            <w:gridSpan w:val="6"/>
          </w:tcPr>
          <w:p w14:paraId="226B63D7" w14:textId="77777777" w:rsidR="000A0D07" w:rsidRPr="00926147" w:rsidRDefault="00915D93" w:rsidP="00AF28AE">
            <w:pPr>
              <w:pStyle w:val="zSoquijdatQtePartieDef"/>
              <w:rPr>
                <w:lang w:val="en-CA"/>
              </w:rPr>
            </w:pPr>
            <w:r w:rsidRPr="00926147">
              <w:rPr>
                <w:lang w:val="en-CA"/>
              </w:rPr>
              <w:t>RESPONDENTS</w:t>
            </w:r>
            <w:r w:rsidR="00E01746" w:rsidRPr="00926147">
              <w:rPr>
                <w:lang w:val="en-CA"/>
              </w:rPr>
              <w:t xml:space="preserve"> – </w:t>
            </w:r>
            <w:r w:rsidR="00EB7EA5" w:rsidRPr="00926147">
              <w:rPr>
                <w:lang w:val="en-CA"/>
              </w:rPr>
              <w:t>defendants</w:t>
            </w:r>
            <w:r w:rsidR="00E01746" w:rsidRPr="00926147">
              <w:rPr>
                <w:lang w:val="en-CA"/>
              </w:rPr>
              <w:t xml:space="preserve"> </w:t>
            </w:r>
          </w:p>
        </w:tc>
      </w:tr>
      <w:tr w:rsidR="003F1630" w:rsidRPr="00926147" w14:paraId="452FD445" w14:textId="77777777" w:rsidTr="007C11EE">
        <w:tc>
          <w:tcPr>
            <w:tcW w:w="9360" w:type="dxa"/>
            <w:gridSpan w:val="6"/>
          </w:tcPr>
          <w:p w14:paraId="5136FA5E" w14:textId="77777777" w:rsidR="000A0D07" w:rsidRPr="00926147" w:rsidRDefault="00915D93" w:rsidP="00AF28AE">
            <w:pPr>
              <w:rPr>
                <w:lang w:val="en-CA"/>
              </w:rPr>
            </w:pPr>
            <w:r w:rsidRPr="00926147">
              <w:rPr>
                <w:lang w:val="en-CA"/>
              </w:rPr>
              <w:t>and</w:t>
            </w:r>
          </w:p>
        </w:tc>
      </w:tr>
      <w:tr w:rsidR="003F1630" w:rsidRPr="00926147" w14:paraId="63ED1F04" w14:textId="77777777" w:rsidTr="007C11EE">
        <w:tc>
          <w:tcPr>
            <w:tcW w:w="9360" w:type="dxa"/>
            <w:gridSpan w:val="6"/>
          </w:tcPr>
          <w:p w14:paraId="56EF3907" w14:textId="77777777" w:rsidR="000A0D07" w:rsidRPr="007C11EE" w:rsidRDefault="00E01746" w:rsidP="00AF28AE">
            <w:pPr>
              <w:pStyle w:val="zSoquijdatNomPartieDef"/>
            </w:pPr>
            <w:r w:rsidRPr="007C11EE">
              <w:t>SOCIÉTÉ RADIO-CANADA</w:t>
            </w:r>
          </w:p>
          <w:p w14:paraId="326B92D7" w14:textId="77777777" w:rsidR="000A0D07" w:rsidRPr="007C11EE" w:rsidRDefault="00E01746" w:rsidP="00AF28AE">
            <w:pPr>
              <w:pStyle w:val="zSoquijdatNomPartieDef"/>
            </w:pPr>
            <w:r w:rsidRPr="007C11EE">
              <w:t>LE DEVOIR</w:t>
            </w:r>
          </w:p>
        </w:tc>
      </w:tr>
      <w:tr w:rsidR="003F1630" w:rsidRPr="00926147" w14:paraId="15761D67" w14:textId="77777777" w:rsidTr="007C11EE">
        <w:tc>
          <w:tcPr>
            <w:tcW w:w="9360" w:type="dxa"/>
            <w:gridSpan w:val="6"/>
          </w:tcPr>
          <w:p w14:paraId="1ACBBF49" w14:textId="77777777" w:rsidR="000A0D07" w:rsidRPr="00926147" w:rsidRDefault="00915D93" w:rsidP="00AF28AE">
            <w:pPr>
              <w:pStyle w:val="zSoquijdatQtePartieDef"/>
              <w:rPr>
                <w:lang w:val="en-CA"/>
              </w:rPr>
            </w:pPr>
            <w:r w:rsidRPr="00926147">
              <w:rPr>
                <w:lang w:val="en-CA"/>
              </w:rPr>
              <w:t>RESPONDENTS</w:t>
            </w:r>
            <w:r w:rsidR="00E01746" w:rsidRPr="00926147">
              <w:rPr>
                <w:lang w:val="en-CA"/>
              </w:rPr>
              <w:t xml:space="preserve"> – interven</w:t>
            </w:r>
            <w:r w:rsidRPr="00926147">
              <w:rPr>
                <w:lang w:val="en-CA"/>
              </w:rPr>
              <w:t>ers</w:t>
            </w:r>
            <w:r w:rsidR="00E01746" w:rsidRPr="00926147">
              <w:rPr>
                <w:lang w:val="en-CA"/>
              </w:rPr>
              <w:t xml:space="preserve"> </w:t>
            </w:r>
          </w:p>
        </w:tc>
      </w:tr>
      <w:tr w:rsidR="003F1630" w:rsidRPr="00926147" w14:paraId="5228FB65" w14:textId="77777777" w:rsidTr="007C11EE">
        <w:tc>
          <w:tcPr>
            <w:tcW w:w="9360" w:type="dxa"/>
            <w:gridSpan w:val="6"/>
          </w:tcPr>
          <w:p w14:paraId="6F52AFA3" w14:textId="77777777" w:rsidR="000A0D07" w:rsidRPr="00926147" w:rsidRDefault="000A0D07" w:rsidP="00AF28AE">
            <w:pPr>
              <w:rPr>
                <w:lang w:val="en-CA"/>
              </w:rPr>
            </w:pPr>
          </w:p>
        </w:tc>
      </w:tr>
      <w:tr w:rsidR="003F1630" w:rsidRPr="00926147" w14:paraId="27BC2937" w14:textId="77777777" w:rsidTr="007C11EE">
        <w:tc>
          <w:tcPr>
            <w:tcW w:w="9360" w:type="dxa"/>
            <w:gridSpan w:val="6"/>
            <w:tcBorders>
              <w:top w:val="single" w:sz="8" w:space="0" w:color="auto"/>
            </w:tcBorders>
          </w:tcPr>
          <w:p w14:paraId="09414336" w14:textId="77777777" w:rsidR="000A0D07" w:rsidRPr="00926147" w:rsidRDefault="000A0D07" w:rsidP="00AF28AE">
            <w:pPr>
              <w:rPr>
                <w:lang w:val="en-CA"/>
              </w:rPr>
            </w:pPr>
          </w:p>
        </w:tc>
      </w:tr>
      <w:tr w:rsidR="003F1630" w:rsidRPr="00BA03A6" w14:paraId="0A966956" w14:textId="77777777" w:rsidTr="007C11EE">
        <w:tc>
          <w:tcPr>
            <w:tcW w:w="9360" w:type="dxa"/>
            <w:gridSpan w:val="6"/>
          </w:tcPr>
          <w:p w14:paraId="7885D81A" w14:textId="77777777" w:rsidR="000A0D07" w:rsidRPr="00926147" w:rsidRDefault="00915D93" w:rsidP="00AF28AE">
            <w:pPr>
              <w:pStyle w:val="zSoquijlblTypeDocument"/>
              <w:rPr>
                <w:lang w:val="en-CA"/>
              </w:rPr>
            </w:pPr>
            <w:r w:rsidRPr="00926147">
              <w:rPr>
                <w:lang w:val="en-CA"/>
              </w:rPr>
              <w:t>CORRECTION</w:t>
            </w:r>
          </w:p>
          <w:p w14:paraId="41C05555" w14:textId="77777777" w:rsidR="00857062" w:rsidRPr="00926147" w:rsidRDefault="00E01746" w:rsidP="00AF28AE">
            <w:pPr>
              <w:pStyle w:val="zSoquijlblTypeDocument"/>
              <w:rPr>
                <w:lang w:val="en-CA"/>
              </w:rPr>
            </w:pPr>
            <w:r w:rsidRPr="00926147">
              <w:rPr>
                <w:lang w:val="en-CA"/>
              </w:rPr>
              <w:t>(</w:t>
            </w:r>
            <w:proofErr w:type="gramStart"/>
            <w:r w:rsidR="00915D93" w:rsidRPr="00926147">
              <w:rPr>
                <w:lang w:val="en-CA"/>
              </w:rPr>
              <w:t>of</w:t>
            </w:r>
            <w:proofErr w:type="gramEnd"/>
            <w:r w:rsidR="00915D93" w:rsidRPr="00926147">
              <w:rPr>
                <w:lang w:val="en-CA"/>
              </w:rPr>
              <w:t xml:space="preserve"> the judgment </w:t>
            </w:r>
            <w:r w:rsidR="00B4590E" w:rsidRPr="00926147">
              <w:rPr>
                <w:lang w:val="en-CA"/>
              </w:rPr>
              <w:t xml:space="preserve">rendered </w:t>
            </w:r>
            <w:r w:rsidR="00915D93" w:rsidRPr="00926147">
              <w:rPr>
                <w:lang w:val="en-CA"/>
              </w:rPr>
              <w:t>August 31, 2022</w:t>
            </w:r>
            <w:r w:rsidRPr="00926147">
              <w:rPr>
                <w:lang w:val="en-CA"/>
              </w:rPr>
              <w:t>)</w:t>
            </w:r>
          </w:p>
        </w:tc>
      </w:tr>
      <w:tr w:rsidR="003F1630" w:rsidRPr="00BA03A6" w14:paraId="71D3F955" w14:textId="77777777" w:rsidTr="007C11EE">
        <w:tc>
          <w:tcPr>
            <w:tcW w:w="9360" w:type="dxa"/>
            <w:gridSpan w:val="6"/>
            <w:tcBorders>
              <w:bottom w:val="single" w:sz="8" w:space="0" w:color="auto"/>
            </w:tcBorders>
          </w:tcPr>
          <w:p w14:paraId="4753B859" w14:textId="77777777" w:rsidR="000A0D07" w:rsidRPr="00926147" w:rsidRDefault="000A0D07" w:rsidP="00AF28AE">
            <w:pPr>
              <w:rPr>
                <w:lang w:val="en-CA"/>
              </w:rPr>
            </w:pPr>
          </w:p>
        </w:tc>
      </w:tr>
      <w:tr w:rsidR="003F1630" w:rsidRPr="00BA03A6" w14:paraId="69B58D11" w14:textId="77777777" w:rsidTr="007C11EE">
        <w:tc>
          <w:tcPr>
            <w:tcW w:w="9360" w:type="dxa"/>
            <w:gridSpan w:val="6"/>
            <w:tcBorders>
              <w:top w:val="single" w:sz="8" w:space="0" w:color="auto"/>
            </w:tcBorders>
          </w:tcPr>
          <w:p w14:paraId="6C112B43" w14:textId="77777777" w:rsidR="000A0D07" w:rsidRPr="00926147" w:rsidRDefault="000A0D07" w:rsidP="00AF28AE">
            <w:pPr>
              <w:rPr>
                <w:lang w:val="en-CA"/>
              </w:rPr>
            </w:pPr>
          </w:p>
        </w:tc>
      </w:tr>
    </w:tbl>
    <w:p w14:paraId="74F1BC62" w14:textId="77777777" w:rsidR="000A0D07" w:rsidRPr="00926147" w:rsidRDefault="0011003E" w:rsidP="002A1E2E">
      <w:pPr>
        <w:pStyle w:val="Paragraphe"/>
        <w:numPr>
          <w:ilvl w:val="0"/>
          <w:numId w:val="20"/>
        </w:numPr>
        <w:spacing w:line="240" w:lineRule="auto"/>
        <w:rPr>
          <w:lang w:val="en-CA"/>
        </w:rPr>
      </w:pPr>
      <w:r w:rsidRPr="00926147">
        <w:rPr>
          <w:lang w:val="en-CA"/>
        </w:rPr>
        <w:t xml:space="preserve">A clerical error was </w:t>
      </w:r>
      <w:r w:rsidR="00FC34D5">
        <w:rPr>
          <w:lang w:val="en-CA"/>
        </w:rPr>
        <w:t xml:space="preserve">unfortunately </w:t>
      </w:r>
      <w:r w:rsidRPr="00926147">
        <w:rPr>
          <w:lang w:val="en-CA"/>
        </w:rPr>
        <w:t xml:space="preserve">made in the judgment rendered </w:t>
      </w:r>
      <w:r w:rsidR="007C11EE">
        <w:rPr>
          <w:lang w:val="en-CA"/>
        </w:rPr>
        <w:t xml:space="preserve">on </w:t>
      </w:r>
      <w:r w:rsidRPr="00926147">
        <w:rPr>
          <w:lang w:val="en-CA"/>
        </w:rPr>
        <w:t xml:space="preserve">August 31, 2022. Specifically, the </w:t>
      </w:r>
      <w:r w:rsidR="005432DE" w:rsidRPr="00926147">
        <w:rPr>
          <w:lang w:val="en-CA"/>
        </w:rPr>
        <w:t xml:space="preserve">publication and </w:t>
      </w:r>
      <w:r w:rsidR="00732387">
        <w:rPr>
          <w:lang w:val="en-CA"/>
        </w:rPr>
        <w:t>dissemination</w:t>
      </w:r>
      <w:r w:rsidR="005432DE" w:rsidRPr="00926147">
        <w:rPr>
          <w:lang w:val="en-CA"/>
        </w:rPr>
        <w:t xml:space="preserve"> ban issued on October 1, 2021</w:t>
      </w:r>
      <w:r w:rsidR="007C11EE">
        <w:rPr>
          <w:lang w:val="en-CA"/>
        </w:rPr>
        <w:t>,</w:t>
      </w:r>
      <w:r w:rsidR="005432DE" w:rsidRPr="00926147">
        <w:rPr>
          <w:lang w:val="en-CA"/>
        </w:rPr>
        <w:t xml:space="preserve"> by the Honourable Justice </w:t>
      </w:r>
      <w:r w:rsidR="00E01746" w:rsidRPr="00926147">
        <w:rPr>
          <w:lang w:val="en-CA"/>
        </w:rPr>
        <w:t xml:space="preserve">Stéphane </w:t>
      </w:r>
      <w:r w:rsidR="00B4590E" w:rsidRPr="007C11EE">
        <w:rPr>
          <w:lang w:val="en-CA"/>
        </w:rPr>
        <w:t>San</w:t>
      </w:r>
      <w:r w:rsidR="00C7571F" w:rsidRPr="00AC22B1">
        <w:rPr>
          <w:lang w:val="en-CA"/>
        </w:rPr>
        <w:t>s</w:t>
      </w:r>
      <w:r w:rsidR="00B4590E" w:rsidRPr="007C11EE">
        <w:rPr>
          <w:lang w:val="en-CA"/>
        </w:rPr>
        <w:t>façon</w:t>
      </w:r>
      <w:r w:rsidR="00E01746" w:rsidRPr="00926147">
        <w:rPr>
          <w:lang w:val="en-CA"/>
        </w:rPr>
        <w:t xml:space="preserve"> </w:t>
      </w:r>
      <w:r w:rsidR="005432DE" w:rsidRPr="00926147">
        <w:rPr>
          <w:lang w:val="en-CA"/>
        </w:rPr>
        <w:t xml:space="preserve">was reproduced </w:t>
      </w:r>
      <w:r w:rsidR="00F55A27">
        <w:rPr>
          <w:lang w:val="en-CA"/>
        </w:rPr>
        <w:t>in the judgment</w:t>
      </w:r>
      <w:r w:rsidR="00E01746" w:rsidRPr="00926147">
        <w:rPr>
          <w:lang w:val="en-CA"/>
        </w:rPr>
        <w:t>.</w:t>
      </w:r>
    </w:p>
    <w:p w14:paraId="78D4FB6D" w14:textId="77777777" w:rsidR="002A1E2E" w:rsidRPr="00926147" w:rsidRDefault="00F814B8" w:rsidP="002A1E2E">
      <w:pPr>
        <w:pStyle w:val="Paragraphe"/>
        <w:pageBreakBefore/>
        <w:numPr>
          <w:ilvl w:val="0"/>
          <w:numId w:val="0"/>
        </w:numPr>
        <w:spacing w:line="240" w:lineRule="auto"/>
        <w:rPr>
          <w:b/>
          <w:lang w:val="en-CA"/>
        </w:rPr>
      </w:pPr>
      <w:r w:rsidRPr="00926147">
        <w:rPr>
          <w:b/>
          <w:lang w:val="en-CA"/>
        </w:rPr>
        <w:lastRenderedPageBreak/>
        <w:t>FOR THESE REASONS</w:t>
      </w:r>
      <w:r w:rsidR="00E01746" w:rsidRPr="00926147">
        <w:rPr>
          <w:b/>
          <w:lang w:val="en-CA"/>
        </w:rPr>
        <w:t xml:space="preserve">, </w:t>
      </w:r>
      <w:r w:rsidRPr="00926147">
        <w:rPr>
          <w:b/>
          <w:lang w:val="en-CA"/>
        </w:rPr>
        <w:t>THE COURT</w:t>
      </w:r>
      <w:r w:rsidR="00E01746" w:rsidRPr="00926147">
        <w:rPr>
          <w:b/>
          <w:lang w:val="en-CA"/>
        </w:rPr>
        <w:t>:</w:t>
      </w:r>
    </w:p>
    <w:p w14:paraId="1DBE804F" w14:textId="77777777" w:rsidR="002A1E2E" w:rsidRPr="00926147" w:rsidRDefault="008209E6" w:rsidP="002A1E2E">
      <w:pPr>
        <w:pStyle w:val="Paragraphe"/>
        <w:numPr>
          <w:ilvl w:val="0"/>
          <w:numId w:val="20"/>
        </w:numPr>
        <w:spacing w:line="240" w:lineRule="auto"/>
        <w:rPr>
          <w:lang w:val="en-CA"/>
        </w:rPr>
      </w:pPr>
      <w:r>
        <w:rPr>
          <w:b/>
          <w:lang w:val="en-CA"/>
        </w:rPr>
        <w:t>CORRECTS</w:t>
      </w:r>
      <w:r w:rsidR="00E01746" w:rsidRPr="00926147">
        <w:rPr>
          <w:lang w:val="en-CA"/>
        </w:rPr>
        <w:t xml:space="preserve"> </w:t>
      </w:r>
      <w:r w:rsidR="00F814B8" w:rsidRPr="00926147">
        <w:rPr>
          <w:lang w:val="en-CA"/>
        </w:rPr>
        <w:t xml:space="preserve">the judgment rendered on August 31, 2022, by deleting the </w:t>
      </w:r>
      <w:r w:rsidR="00B4590E" w:rsidRPr="00926147">
        <w:rPr>
          <w:lang w:val="en-CA"/>
        </w:rPr>
        <w:t>warning contained therein.</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3F1630" w:rsidRPr="00BA03A6" w14:paraId="15EB3944" w14:textId="77777777" w:rsidTr="00AF28AE">
        <w:trPr>
          <w:trHeight w:val="576"/>
        </w:trPr>
        <w:tc>
          <w:tcPr>
            <w:tcW w:w="9362" w:type="dxa"/>
            <w:gridSpan w:val="3"/>
            <w:tcBorders>
              <w:top w:val="nil"/>
              <w:bottom w:val="nil"/>
            </w:tcBorders>
          </w:tcPr>
          <w:p w14:paraId="304D05FB" w14:textId="77777777" w:rsidR="002A1E2E" w:rsidRPr="00926147" w:rsidRDefault="002A1E2E" w:rsidP="00AF28AE">
            <w:pPr>
              <w:keepNext/>
              <w:rPr>
                <w:lang w:val="en-CA"/>
              </w:rPr>
            </w:pPr>
          </w:p>
        </w:tc>
      </w:tr>
      <w:tr w:rsidR="003F1630" w:rsidRPr="00BA03A6" w14:paraId="2F429BC6" w14:textId="77777777" w:rsidTr="00AF28AE">
        <w:trPr>
          <w:trHeight w:val="283"/>
        </w:trPr>
        <w:tc>
          <w:tcPr>
            <w:tcW w:w="4682" w:type="dxa"/>
            <w:gridSpan w:val="2"/>
            <w:tcBorders>
              <w:top w:val="nil"/>
              <w:bottom w:val="nil"/>
            </w:tcBorders>
          </w:tcPr>
          <w:p w14:paraId="7C009953" w14:textId="77777777" w:rsidR="002A1E2E" w:rsidRPr="00926147" w:rsidRDefault="002A1E2E" w:rsidP="00AF28AE">
            <w:pPr>
              <w:keepNext/>
              <w:rPr>
                <w:lang w:val="en-CA"/>
              </w:rPr>
            </w:pPr>
          </w:p>
        </w:tc>
        <w:tc>
          <w:tcPr>
            <w:tcW w:w="4680" w:type="dxa"/>
            <w:tcBorders>
              <w:top w:val="nil"/>
              <w:bottom w:val="single" w:sz="8" w:space="0" w:color="auto"/>
            </w:tcBorders>
          </w:tcPr>
          <w:p w14:paraId="3E070B20" w14:textId="77777777" w:rsidR="002A1E2E" w:rsidRPr="00926147" w:rsidRDefault="002A1E2E" w:rsidP="00AF28AE">
            <w:pPr>
              <w:keepNext/>
              <w:rPr>
                <w:lang w:val="en-CA"/>
              </w:rPr>
            </w:pPr>
          </w:p>
        </w:tc>
      </w:tr>
      <w:tr w:rsidR="003F1630" w:rsidRPr="00926147" w14:paraId="76781267" w14:textId="77777777" w:rsidTr="00AF28AE">
        <w:trPr>
          <w:trHeight w:val="283"/>
        </w:trPr>
        <w:tc>
          <w:tcPr>
            <w:tcW w:w="4682" w:type="dxa"/>
            <w:gridSpan w:val="2"/>
            <w:tcBorders>
              <w:top w:val="nil"/>
            </w:tcBorders>
          </w:tcPr>
          <w:p w14:paraId="295EC9E8" w14:textId="77777777" w:rsidR="002A1E2E" w:rsidRPr="00926147" w:rsidRDefault="002A1E2E" w:rsidP="00AF28AE">
            <w:pPr>
              <w:keepNext/>
              <w:rPr>
                <w:lang w:val="en-CA"/>
              </w:rPr>
            </w:pPr>
          </w:p>
        </w:tc>
        <w:tc>
          <w:tcPr>
            <w:tcW w:w="4680" w:type="dxa"/>
            <w:tcBorders>
              <w:top w:val="single" w:sz="8" w:space="0" w:color="auto"/>
            </w:tcBorders>
          </w:tcPr>
          <w:p w14:paraId="34748DFE" w14:textId="77777777" w:rsidR="002A1E2E" w:rsidRPr="00926147" w:rsidRDefault="00E01746" w:rsidP="00AF28AE">
            <w:pPr>
              <w:rPr>
                <w:lang w:val="en-CA"/>
              </w:rPr>
            </w:pPr>
            <w:r w:rsidRPr="00926147">
              <w:rPr>
                <w:lang w:val="en-CA"/>
              </w:rPr>
              <w:t>FRANÇOIS PELLETIER, J.A.</w:t>
            </w:r>
          </w:p>
        </w:tc>
      </w:tr>
      <w:tr w:rsidR="003F1630" w:rsidRPr="00926147" w14:paraId="6F6495E5" w14:textId="77777777" w:rsidTr="00AF28AE">
        <w:trPr>
          <w:trHeight w:val="283"/>
        </w:trPr>
        <w:tc>
          <w:tcPr>
            <w:tcW w:w="4682" w:type="dxa"/>
            <w:gridSpan w:val="2"/>
            <w:tcBorders>
              <w:top w:val="nil"/>
            </w:tcBorders>
          </w:tcPr>
          <w:p w14:paraId="7766DE0B" w14:textId="77777777" w:rsidR="002A1E2E" w:rsidRPr="00926147" w:rsidRDefault="002A1E2E" w:rsidP="00AF28AE">
            <w:pPr>
              <w:keepNext/>
              <w:rPr>
                <w:lang w:val="en-CA"/>
              </w:rPr>
            </w:pPr>
          </w:p>
        </w:tc>
        <w:tc>
          <w:tcPr>
            <w:tcW w:w="4680" w:type="dxa"/>
            <w:tcBorders>
              <w:top w:val="nil"/>
            </w:tcBorders>
          </w:tcPr>
          <w:p w14:paraId="40614A1A" w14:textId="77777777" w:rsidR="002A1E2E" w:rsidRPr="00926147" w:rsidRDefault="002A1E2E" w:rsidP="00AF28AE">
            <w:pPr>
              <w:keepNext/>
              <w:rPr>
                <w:lang w:val="en-CA"/>
              </w:rPr>
            </w:pPr>
          </w:p>
        </w:tc>
      </w:tr>
      <w:tr w:rsidR="003F1630" w:rsidRPr="00926147" w14:paraId="07068AF4" w14:textId="77777777" w:rsidTr="00AF28AE">
        <w:trPr>
          <w:trHeight w:val="283"/>
        </w:trPr>
        <w:tc>
          <w:tcPr>
            <w:tcW w:w="4682" w:type="dxa"/>
            <w:gridSpan w:val="2"/>
            <w:tcBorders>
              <w:top w:val="nil"/>
              <w:bottom w:val="nil"/>
            </w:tcBorders>
          </w:tcPr>
          <w:p w14:paraId="00D752DA" w14:textId="77777777" w:rsidR="002A1E2E" w:rsidRPr="00926147" w:rsidRDefault="002A1E2E" w:rsidP="00AF28AE">
            <w:pPr>
              <w:keepNext/>
              <w:rPr>
                <w:lang w:val="en-CA"/>
              </w:rPr>
            </w:pPr>
          </w:p>
        </w:tc>
        <w:tc>
          <w:tcPr>
            <w:tcW w:w="4680" w:type="dxa"/>
            <w:tcBorders>
              <w:top w:val="nil"/>
              <w:bottom w:val="single" w:sz="8" w:space="0" w:color="auto"/>
            </w:tcBorders>
          </w:tcPr>
          <w:p w14:paraId="5F9234F5" w14:textId="77777777" w:rsidR="002A1E2E" w:rsidRPr="00926147" w:rsidRDefault="002A1E2E" w:rsidP="00AF28AE">
            <w:pPr>
              <w:keepNext/>
              <w:rPr>
                <w:lang w:val="en-CA"/>
              </w:rPr>
            </w:pPr>
          </w:p>
        </w:tc>
      </w:tr>
      <w:tr w:rsidR="003F1630" w:rsidRPr="00926147" w14:paraId="27A3F8E9" w14:textId="77777777" w:rsidTr="00AF28AE">
        <w:trPr>
          <w:trHeight w:val="283"/>
        </w:trPr>
        <w:tc>
          <w:tcPr>
            <w:tcW w:w="4682" w:type="dxa"/>
            <w:gridSpan w:val="2"/>
            <w:tcBorders>
              <w:top w:val="nil"/>
            </w:tcBorders>
          </w:tcPr>
          <w:p w14:paraId="210D5975" w14:textId="77777777" w:rsidR="002A1E2E" w:rsidRPr="00926147" w:rsidRDefault="002A1E2E" w:rsidP="00AF28AE">
            <w:pPr>
              <w:keepNext/>
              <w:rPr>
                <w:lang w:val="en-CA"/>
              </w:rPr>
            </w:pPr>
          </w:p>
        </w:tc>
        <w:tc>
          <w:tcPr>
            <w:tcW w:w="4680" w:type="dxa"/>
            <w:tcBorders>
              <w:top w:val="single" w:sz="8" w:space="0" w:color="auto"/>
            </w:tcBorders>
          </w:tcPr>
          <w:p w14:paraId="182D946E" w14:textId="77777777" w:rsidR="002A1E2E" w:rsidRPr="00926147" w:rsidRDefault="00E01746" w:rsidP="00AF28AE">
            <w:pPr>
              <w:keepNext/>
              <w:rPr>
                <w:lang w:val="en-CA"/>
              </w:rPr>
            </w:pPr>
            <w:r w:rsidRPr="00926147">
              <w:rPr>
                <w:lang w:val="en-CA"/>
              </w:rPr>
              <w:t>MARTIN VAUCLAIR, J.A.</w:t>
            </w:r>
          </w:p>
        </w:tc>
      </w:tr>
      <w:tr w:rsidR="003F1630" w:rsidRPr="00926147" w14:paraId="08A35B98" w14:textId="77777777" w:rsidTr="00AF28AE">
        <w:trPr>
          <w:trHeight w:val="283"/>
        </w:trPr>
        <w:tc>
          <w:tcPr>
            <w:tcW w:w="4682" w:type="dxa"/>
            <w:gridSpan w:val="2"/>
            <w:tcBorders>
              <w:top w:val="nil"/>
            </w:tcBorders>
          </w:tcPr>
          <w:p w14:paraId="5890B7EB" w14:textId="77777777" w:rsidR="002A1E2E" w:rsidRPr="00926147" w:rsidRDefault="002A1E2E" w:rsidP="00AF28AE">
            <w:pPr>
              <w:keepNext/>
              <w:rPr>
                <w:lang w:val="en-CA"/>
              </w:rPr>
            </w:pPr>
          </w:p>
        </w:tc>
        <w:tc>
          <w:tcPr>
            <w:tcW w:w="4680" w:type="dxa"/>
            <w:tcBorders>
              <w:top w:val="nil"/>
            </w:tcBorders>
          </w:tcPr>
          <w:p w14:paraId="42EC91D4" w14:textId="77777777" w:rsidR="002A1E2E" w:rsidRPr="00926147" w:rsidRDefault="002A1E2E" w:rsidP="00AF28AE">
            <w:pPr>
              <w:keepNext/>
              <w:rPr>
                <w:lang w:val="en-CA"/>
              </w:rPr>
            </w:pPr>
          </w:p>
        </w:tc>
      </w:tr>
      <w:tr w:rsidR="003F1630" w:rsidRPr="00926147" w14:paraId="12BB9989" w14:textId="77777777" w:rsidTr="00AF28AE">
        <w:trPr>
          <w:trHeight w:val="283"/>
        </w:trPr>
        <w:tc>
          <w:tcPr>
            <w:tcW w:w="4682" w:type="dxa"/>
            <w:gridSpan w:val="2"/>
            <w:tcBorders>
              <w:top w:val="nil"/>
              <w:bottom w:val="nil"/>
            </w:tcBorders>
          </w:tcPr>
          <w:p w14:paraId="7DFD8712" w14:textId="77777777" w:rsidR="002A1E2E" w:rsidRPr="00926147" w:rsidRDefault="002A1E2E" w:rsidP="00AF28AE">
            <w:pPr>
              <w:keepNext/>
              <w:rPr>
                <w:lang w:val="en-CA"/>
              </w:rPr>
            </w:pPr>
          </w:p>
        </w:tc>
        <w:tc>
          <w:tcPr>
            <w:tcW w:w="4680" w:type="dxa"/>
            <w:tcBorders>
              <w:top w:val="nil"/>
              <w:bottom w:val="single" w:sz="8" w:space="0" w:color="auto"/>
            </w:tcBorders>
          </w:tcPr>
          <w:p w14:paraId="0233A7DE" w14:textId="77777777" w:rsidR="002A1E2E" w:rsidRPr="00926147" w:rsidRDefault="002A1E2E" w:rsidP="00AF28AE">
            <w:pPr>
              <w:keepNext/>
              <w:rPr>
                <w:lang w:val="en-CA"/>
              </w:rPr>
            </w:pPr>
          </w:p>
        </w:tc>
      </w:tr>
      <w:tr w:rsidR="003F1630" w:rsidRPr="00926147" w14:paraId="1BF2C992" w14:textId="77777777" w:rsidTr="00AF28AE">
        <w:trPr>
          <w:trHeight w:val="283"/>
        </w:trPr>
        <w:tc>
          <w:tcPr>
            <w:tcW w:w="4682" w:type="dxa"/>
            <w:gridSpan w:val="2"/>
            <w:tcBorders>
              <w:top w:val="nil"/>
            </w:tcBorders>
          </w:tcPr>
          <w:p w14:paraId="41FDE4DA" w14:textId="77777777" w:rsidR="002A1E2E" w:rsidRPr="00926147" w:rsidRDefault="002A1E2E" w:rsidP="00AF28AE">
            <w:pPr>
              <w:keepNext/>
              <w:rPr>
                <w:lang w:val="en-CA"/>
              </w:rPr>
            </w:pPr>
          </w:p>
        </w:tc>
        <w:tc>
          <w:tcPr>
            <w:tcW w:w="4680" w:type="dxa"/>
            <w:tcBorders>
              <w:top w:val="single" w:sz="8" w:space="0" w:color="auto"/>
            </w:tcBorders>
          </w:tcPr>
          <w:p w14:paraId="444165FF" w14:textId="77777777" w:rsidR="002A1E2E" w:rsidRPr="00926147" w:rsidRDefault="00E01746" w:rsidP="00AF28AE">
            <w:pPr>
              <w:keepNext/>
              <w:rPr>
                <w:lang w:val="en-CA"/>
              </w:rPr>
            </w:pPr>
            <w:r w:rsidRPr="00926147">
              <w:rPr>
                <w:lang w:val="en-CA"/>
              </w:rPr>
              <w:t>SOPHIE LAVALLÉE, J.A.</w:t>
            </w:r>
          </w:p>
        </w:tc>
      </w:tr>
      <w:tr w:rsidR="003F1630" w:rsidRPr="00926147" w14:paraId="420033DB" w14:textId="77777777" w:rsidTr="00AF28AE">
        <w:tc>
          <w:tcPr>
            <w:tcW w:w="9362" w:type="dxa"/>
            <w:gridSpan w:val="3"/>
          </w:tcPr>
          <w:p w14:paraId="4C2BA906" w14:textId="77777777" w:rsidR="002A1E2E" w:rsidRPr="00926147" w:rsidRDefault="002A1E2E" w:rsidP="00AF28AE">
            <w:pPr>
              <w:rPr>
                <w:lang w:val="en-CA"/>
              </w:rPr>
            </w:pPr>
          </w:p>
        </w:tc>
      </w:tr>
      <w:tr w:rsidR="003F1630" w:rsidRPr="00926147" w14:paraId="45773527" w14:textId="77777777" w:rsidTr="00AF28AE">
        <w:tc>
          <w:tcPr>
            <w:tcW w:w="9362" w:type="dxa"/>
            <w:gridSpan w:val="3"/>
          </w:tcPr>
          <w:p w14:paraId="1CD228E2" w14:textId="77777777" w:rsidR="002A1E2E" w:rsidRPr="00926147" w:rsidRDefault="00E01746" w:rsidP="00AF28AE">
            <w:pPr>
              <w:pStyle w:val="zSoquijdatNomProcureurDem"/>
              <w:rPr>
                <w:lang w:val="en-CA"/>
              </w:rPr>
            </w:pPr>
            <w:r w:rsidRPr="00926147">
              <w:rPr>
                <w:lang w:val="en-CA"/>
              </w:rPr>
              <w:t>M</w:t>
            </w:r>
            <w:r w:rsidR="00915D93" w:rsidRPr="00926147">
              <w:rPr>
                <w:lang w:val="en-CA"/>
              </w:rPr>
              <w:t>tre</w:t>
            </w:r>
            <w:r w:rsidRPr="00926147">
              <w:rPr>
                <w:lang w:val="en-CA"/>
              </w:rPr>
              <w:t xml:space="preserve"> Josée Therrien</w:t>
            </w:r>
          </w:p>
        </w:tc>
      </w:tr>
      <w:tr w:rsidR="003F1630" w:rsidRPr="00926147" w14:paraId="4CDE1DD7" w14:textId="77777777" w:rsidTr="00AF28AE">
        <w:tc>
          <w:tcPr>
            <w:tcW w:w="9362" w:type="dxa"/>
            <w:gridSpan w:val="3"/>
          </w:tcPr>
          <w:p w14:paraId="093EE4D9" w14:textId="77777777" w:rsidR="002A1E2E" w:rsidRPr="00926147" w:rsidRDefault="00E01746" w:rsidP="00AF28AE">
            <w:pPr>
              <w:pStyle w:val="zSoquijdatCabinetProcureurDem"/>
              <w:rPr>
                <w:lang w:val="en-CA"/>
              </w:rPr>
            </w:pPr>
            <w:r w:rsidRPr="00926147">
              <w:rPr>
                <w:lang w:val="en-CA"/>
              </w:rPr>
              <w:t>VERREAU DUFRESNE AVOCATS</w:t>
            </w:r>
          </w:p>
        </w:tc>
      </w:tr>
      <w:tr w:rsidR="003F1630" w:rsidRPr="00926147" w14:paraId="25905451" w14:textId="77777777" w:rsidTr="00AF28AE">
        <w:tc>
          <w:tcPr>
            <w:tcW w:w="9362" w:type="dxa"/>
            <w:gridSpan w:val="3"/>
          </w:tcPr>
          <w:p w14:paraId="002BA61D" w14:textId="77777777" w:rsidR="002A1E2E" w:rsidRPr="00926147" w:rsidRDefault="00F814B8" w:rsidP="00AF28AE">
            <w:pPr>
              <w:pStyle w:val="zSoquijlblProcureurDem"/>
              <w:rPr>
                <w:lang w:val="en-CA"/>
              </w:rPr>
            </w:pPr>
            <w:r w:rsidRPr="00926147">
              <w:rPr>
                <w:lang w:val="en-CA"/>
              </w:rPr>
              <w:t>For the appellants</w:t>
            </w:r>
          </w:p>
        </w:tc>
      </w:tr>
      <w:tr w:rsidR="003F1630" w:rsidRPr="00926147" w14:paraId="60F50EEC" w14:textId="77777777" w:rsidTr="00AF28AE">
        <w:tc>
          <w:tcPr>
            <w:tcW w:w="9362" w:type="dxa"/>
            <w:gridSpan w:val="3"/>
          </w:tcPr>
          <w:p w14:paraId="2CFF8098" w14:textId="77777777" w:rsidR="002A1E2E" w:rsidRPr="00926147" w:rsidRDefault="002A1E2E" w:rsidP="00AF28AE">
            <w:pPr>
              <w:rPr>
                <w:lang w:val="en-CA"/>
              </w:rPr>
            </w:pPr>
          </w:p>
        </w:tc>
      </w:tr>
      <w:tr w:rsidR="003F1630" w:rsidRPr="00BA03A6" w14:paraId="1203C7D4" w14:textId="77777777" w:rsidTr="00AF28AE">
        <w:tc>
          <w:tcPr>
            <w:tcW w:w="9362" w:type="dxa"/>
            <w:gridSpan w:val="3"/>
          </w:tcPr>
          <w:p w14:paraId="344A6D6B" w14:textId="77777777" w:rsidR="002A1E2E" w:rsidRPr="00926147" w:rsidRDefault="00E01746" w:rsidP="00AF28AE">
            <w:pPr>
              <w:pStyle w:val="zSoquijdatNomProcureurDef"/>
              <w:rPr>
                <w:lang w:val="en-CA"/>
              </w:rPr>
            </w:pPr>
            <w:r w:rsidRPr="00926147">
              <w:rPr>
                <w:lang w:val="en-CA"/>
              </w:rPr>
              <w:t>M</w:t>
            </w:r>
            <w:r w:rsidR="00915D93" w:rsidRPr="00926147">
              <w:rPr>
                <w:lang w:val="en-CA"/>
              </w:rPr>
              <w:t>tre</w:t>
            </w:r>
            <w:r w:rsidRPr="00926147">
              <w:rPr>
                <w:lang w:val="en-CA"/>
              </w:rPr>
              <w:t xml:space="preserve"> Justin Wee</w:t>
            </w:r>
          </w:p>
          <w:p w14:paraId="26547B1D" w14:textId="77777777" w:rsidR="002A1E2E" w:rsidRPr="00926147" w:rsidRDefault="00E01746" w:rsidP="00AF28AE">
            <w:pPr>
              <w:pStyle w:val="zSoquijdatNomProcureurDef"/>
              <w:rPr>
                <w:lang w:val="en-CA"/>
              </w:rPr>
            </w:pPr>
            <w:r w:rsidRPr="00926147">
              <w:rPr>
                <w:lang w:val="en-CA"/>
              </w:rPr>
              <w:t>M</w:t>
            </w:r>
            <w:r w:rsidR="00915D93" w:rsidRPr="00926147">
              <w:rPr>
                <w:lang w:val="en-CA"/>
              </w:rPr>
              <w:t>tre</w:t>
            </w:r>
            <w:r w:rsidRPr="00926147">
              <w:rPr>
                <w:lang w:val="en-CA"/>
              </w:rPr>
              <w:t xml:space="preserve"> </w:t>
            </w:r>
            <w:proofErr w:type="spellStart"/>
            <w:r w:rsidRPr="00926147">
              <w:rPr>
                <w:lang w:val="en-CA"/>
              </w:rPr>
              <w:t>Imane</w:t>
            </w:r>
            <w:proofErr w:type="spellEnd"/>
            <w:r w:rsidRPr="00926147">
              <w:rPr>
                <w:lang w:val="en-CA"/>
              </w:rPr>
              <w:t xml:space="preserve"> </w:t>
            </w:r>
            <w:proofErr w:type="spellStart"/>
            <w:r w:rsidRPr="00926147">
              <w:rPr>
                <w:lang w:val="en-CA"/>
              </w:rPr>
              <w:t>Melab</w:t>
            </w:r>
            <w:proofErr w:type="spellEnd"/>
          </w:p>
        </w:tc>
      </w:tr>
      <w:tr w:rsidR="003F1630" w:rsidRPr="00926147" w14:paraId="7B195488" w14:textId="77777777" w:rsidTr="00AF28AE">
        <w:tc>
          <w:tcPr>
            <w:tcW w:w="9362" w:type="dxa"/>
            <w:gridSpan w:val="3"/>
          </w:tcPr>
          <w:p w14:paraId="3615BDA6" w14:textId="77777777" w:rsidR="002A1E2E" w:rsidRPr="00926147" w:rsidRDefault="00E01746" w:rsidP="00AF28AE">
            <w:pPr>
              <w:pStyle w:val="zSoquijdatCabinetProcureurDef"/>
              <w:rPr>
                <w:lang w:val="en-CA"/>
              </w:rPr>
            </w:pPr>
            <w:r w:rsidRPr="00926147">
              <w:rPr>
                <w:lang w:val="en-CA"/>
              </w:rPr>
              <w:t>ARSENAULT DUFRESNE WEE AVOCATS</w:t>
            </w:r>
          </w:p>
        </w:tc>
      </w:tr>
      <w:tr w:rsidR="003F1630" w:rsidRPr="00926147" w14:paraId="6CEE0D51" w14:textId="77777777" w:rsidTr="00AF28AE">
        <w:tc>
          <w:tcPr>
            <w:tcW w:w="9362" w:type="dxa"/>
            <w:gridSpan w:val="3"/>
          </w:tcPr>
          <w:p w14:paraId="15CCCD56" w14:textId="77777777" w:rsidR="002A1E2E" w:rsidRPr="007C11EE" w:rsidRDefault="00915D93" w:rsidP="00AF28AE">
            <w:pPr>
              <w:pStyle w:val="zSoquijlblProcureurDef"/>
            </w:pPr>
            <w:r w:rsidRPr="007C11EE">
              <w:t>For</w:t>
            </w:r>
            <w:r w:rsidR="00E01746" w:rsidRPr="007C11EE">
              <w:t xml:space="preserve"> Jean-François Robillard, Dis son nom, Delphine Bergeron</w:t>
            </w:r>
            <w:r w:rsidR="007C11EE">
              <w:t>,</w:t>
            </w:r>
            <w:r w:rsidR="00E01746" w:rsidRPr="007C11EE">
              <w:t xml:space="preserve"> </w:t>
            </w:r>
            <w:r w:rsidRPr="007C11EE">
              <w:t>and</w:t>
            </w:r>
            <w:r w:rsidR="00E01746" w:rsidRPr="007C11EE">
              <w:t xml:space="preserve"> A.A.</w:t>
            </w:r>
          </w:p>
        </w:tc>
      </w:tr>
      <w:tr w:rsidR="003F1630" w:rsidRPr="00926147" w14:paraId="27D47FFE" w14:textId="77777777" w:rsidTr="00AF28AE">
        <w:tc>
          <w:tcPr>
            <w:tcW w:w="9362" w:type="dxa"/>
            <w:gridSpan w:val="3"/>
          </w:tcPr>
          <w:p w14:paraId="0381DBA8" w14:textId="77777777" w:rsidR="002A1E2E" w:rsidRPr="007C11EE" w:rsidRDefault="002A1E2E" w:rsidP="00AF28AE"/>
        </w:tc>
      </w:tr>
      <w:tr w:rsidR="003F1630" w:rsidRPr="00926147" w14:paraId="6A2BE5BF" w14:textId="77777777" w:rsidTr="00AF28AE">
        <w:tc>
          <w:tcPr>
            <w:tcW w:w="9362" w:type="dxa"/>
            <w:gridSpan w:val="3"/>
          </w:tcPr>
          <w:p w14:paraId="1E3F0373" w14:textId="77777777" w:rsidR="002A1E2E" w:rsidRPr="007C11EE" w:rsidRDefault="00E01746" w:rsidP="00AF28AE">
            <w:pPr>
              <w:pStyle w:val="zSoquijdatNomProcureurDef"/>
            </w:pPr>
            <w:r w:rsidRPr="007C11EE">
              <w:t>M</w:t>
            </w:r>
            <w:r w:rsidR="00F814B8" w:rsidRPr="007C11EE">
              <w:t xml:space="preserve">tre </w:t>
            </w:r>
            <w:r w:rsidRPr="007C11EE">
              <w:t>Christian Leblanc</w:t>
            </w:r>
          </w:p>
          <w:p w14:paraId="727413E3" w14:textId="77777777" w:rsidR="002A1E2E" w:rsidRPr="007C11EE" w:rsidRDefault="00E01746" w:rsidP="00AF28AE">
            <w:pPr>
              <w:pStyle w:val="zSoquijdatNomProcureurDef"/>
            </w:pPr>
            <w:r w:rsidRPr="007C11EE">
              <w:t>M</w:t>
            </w:r>
            <w:r w:rsidR="00F814B8" w:rsidRPr="007C11EE">
              <w:t>tre</w:t>
            </w:r>
            <w:r w:rsidRPr="007C11EE">
              <w:t xml:space="preserve"> Patricia Hénault</w:t>
            </w:r>
          </w:p>
        </w:tc>
      </w:tr>
      <w:tr w:rsidR="003F1630" w:rsidRPr="00926147" w14:paraId="432827C6" w14:textId="77777777" w:rsidTr="00AF28AE">
        <w:tc>
          <w:tcPr>
            <w:tcW w:w="9362" w:type="dxa"/>
            <w:gridSpan w:val="3"/>
          </w:tcPr>
          <w:p w14:paraId="3119BB03" w14:textId="77777777" w:rsidR="002A1E2E" w:rsidRPr="00926147" w:rsidRDefault="00E01746" w:rsidP="00AF28AE">
            <w:pPr>
              <w:pStyle w:val="zSoquijdatCabinetProcureurDef"/>
              <w:rPr>
                <w:lang w:val="en-CA"/>
              </w:rPr>
            </w:pPr>
            <w:r w:rsidRPr="00926147">
              <w:rPr>
                <w:lang w:val="en-CA"/>
              </w:rPr>
              <w:t>FASKEN MARTINEAU DUMOULIN</w:t>
            </w:r>
          </w:p>
        </w:tc>
      </w:tr>
      <w:tr w:rsidR="003F1630" w:rsidRPr="00926147" w14:paraId="413F0C27" w14:textId="77777777" w:rsidTr="00AF28AE">
        <w:tc>
          <w:tcPr>
            <w:tcW w:w="9362" w:type="dxa"/>
            <w:gridSpan w:val="3"/>
          </w:tcPr>
          <w:p w14:paraId="768AADEB" w14:textId="77777777" w:rsidR="002A1E2E" w:rsidRPr="007C11EE" w:rsidRDefault="00915D93" w:rsidP="00AF28AE">
            <w:pPr>
              <w:pStyle w:val="zSoquijlblProcureurDef"/>
            </w:pPr>
            <w:r w:rsidRPr="007C11EE">
              <w:t>For</w:t>
            </w:r>
            <w:r w:rsidR="00E01746" w:rsidRPr="007C11EE">
              <w:t xml:space="preserve"> Société Radio-Canada </w:t>
            </w:r>
            <w:r w:rsidRPr="007C11EE">
              <w:t>and</w:t>
            </w:r>
            <w:r w:rsidR="00E01746" w:rsidRPr="007C11EE">
              <w:t xml:space="preserve"> Le Devoir</w:t>
            </w:r>
          </w:p>
        </w:tc>
      </w:tr>
      <w:tr w:rsidR="003F1630" w:rsidRPr="00926147" w14:paraId="7207AFBD" w14:textId="77777777" w:rsidTr="00AF28AE">
        <w:tc>
          <w:tcPr>
            <w:tcW w:w="9362" w:type="dxa"/>
            <w:gridSpan w:val="3"/>
          </w:tcPr>
          <w:p w14:paraId="2AC210B5" w14:textId="77777777" w:rsidR="002A1E2E" w:rsidRPr="007C11EE" w:rsidRDefault="002A1E2E" w:rsidP="00AF28AE"/>
        </w:tc>
      </w:tr>
      <w:tr w:rsidR="003F1630" w:rsidRPr="00926147" w14:paraId="7C45B57B" w14:textId="77777777" w:rsidTr="00AF28AE">
        <w:tc>
          <w:tcPr>
            <w:tcW w:w="1997" w:type="dxa"/>
          </w:tcPr>
          <w:p w14:paraId="2BEDEA82" w14:textId="77777777" w:rsidR="002A1E2E" w:rsidRPr="00926147" w:rsidRDefault="00E01746" w:rsidP="00AF28AE">
            <w:pPr>
              <w:pStyle w:val="zSoquijlblDateAudience"/>
              <w:rPr>
                <w:lang w:val="en-CA"/>
              </w:rPr>
            </w:pPr>
            <w:r w:rsidRPr="00926147">
              <w:rPr>
                <w:lang w:val="en-CA"/>
              </w:rPr>
              <w:t xml:space="preserve">Date </w:t>
            </w:r>
            <w:r w:rsidR="00F814B8" w:rsidRPr="00926147">
              <w:rPr>
                <w:lang w:val="en-CA"/>
              </w:rPr>
              <w:t>of hearing</w:t>
            </w:r>
            <w:r w:rsidRPr="00926147">
              <w:rPr>
                <w:lang w:val="en-CA"/>
              </w:rPr>
              <w:t>:</w:t>
            </w:r>
          </w:p>
        </w:tc>
        <w:tc>
          <w:tcPr>
            <w:tcW w:w="7365" w:type="dxa"/>
            <w:gridSpan w:val="2"/>
          </w:tcPr>
          <w:p w14:paraId="614A5903" w14:textId="77777777" w:rsidR="002A1E2E" w:rsidRPr="00926147" w:rsidRDefault="00F814B8" w:rsidP="00AF28AE">
            <w:pPr>
              <w:pStyle w:val="zSoquijdatDateAudience"/>
              <w:rPr>
                <w:lang w:val="en-CA"/>
              </w:rPr>
            </w:pPr>
            <w:r w:rsidRPr="00926147">
              <w:rPr>
                <w:lang w:val="en-CA"/>
              </w:rPr>
              <w:t>April 1,</w:t>
            </w:r>
            <w:r w:rsidR="00E01746" w:rsidRPr="00926147">
              <w:rPr>
                <w:lang w:val="en-CA"/>
              </w:rPr>
              <w:t xml:space="preserve"> 2022</w:t>
            </w:r>
          </w:p>
        </w:tc>
      </w:tr>
    </w:tbl>
    <w:p w14:paraId="19503762" w14:textId="77777777" w:rsidR="002A1E2E" w:rsidRPr="00926147" w:rsidRDefault="002A1E2E" w:rsidP="000A0D07">
      <w:pPr>
        <w:pStyle w:val="Paragraphe"/>
        <w:rPr>
          <w:lang w:val="en-CA"/>
        </w:rPr>
        <w:sectPr w:rsidR="002A1E2E" w:rsidRPr="00926147" w:rsidSect="002A1E2E">
          <w:headerReference w:type="default" r:id="rId8"/>
          <w:footnotePr>
            <w:numRestart w:val="eachSect"/>
          </w:footnotePr>
          <w:pgSz w:w="12242" w:h="15842" w:code="1"/>
          <w:pgMar w:top="1440" w:right="1008" w:bottom="1440" w:left="1872" w:header="1440" w:footer="792" w:gutter="0"/>
          <w:cols w:space="720"/>
          <w:formProt w:val="0"/>
          <w:titlePg/>
          <w:docGrid w:linePitch="326"/>
        </w:sectPr>
      </w:pPr>
    </w:p>
    <w:tbl>
      <w:tblPr>
        <w:tblW w:w="9621" w:type="dxa"/>
        <w:tblLayout w:type="fixed"/>
        <w:tblCellMar>
          <w:left w:w="0" w:type="dxa"/>
          <w:right w:w="0" w:type="dxa"/>
        </w:tblCellMar>
        <w:tblLook w:val="0000" w:firstRow="0" w:lastRow="0" w:firstColumn="0" w:lastColumn="0" w:noHBand="0" w:noVBand="0"/>
      </w:tblPr>
      <w:tblGrid>
        <w:gridCol w:w="1030"/>
        <w:gridCol w:w="671"/>
        <w:gridCol w:w="180"/>
        <w:gridCol w:w="2350"/>
        <w:gridCol w:w="3402"/>
        <w:gridCol w:w="1988"/>
      </w:tblGrid>
      <w:tr w:rsidR="00B721D1" w:rsidRPr="00926147" w14:paraId="4E564133" w14:textId="77777777" w:rsidTr="0031299C">
        <w:trPr>
          <w:trHeight w:val="248"/>
        </w:trPr>
        <w:tc>
          <w:tcPr>
            <w:tcW w:w="7633" w:type="dxa"/>
            <w:gridSpan w:val="5"/>
          </w:tcPr>
          <w:p w14:paraId="35695C48" w14:textId="77777777" w:rsidR="00B721D1" w:rsidRPr="00AC22B1" w:rsidRDefault="00B721D1" w:rsidP="00B721D1">
            <w:pPr>
              <w:pStyle w:val="zSoquijdatRepertorie"/>
              <w:rPr>
                <w:lang w:val="en-CA"/>
              </w:rPr>
            </w:pPr>
            <w:r w:rsidRPr="00AC22B1">
              <w:rPr>
                <w:lang w:val="en-CA"/>
              </w:rPr>
              <w:lastRenderedPageBreak/>
              <w:t>A.B. c. Robillard</w:t>
            </w:r>
            <w:r w:rsidRPr="00AC22B1">
              <w:rPr>
                <w:lang w:val="en-CA"/>
              </w:rPr>
              <w:tab/>
            </w:r>
          </w:p>
        </w:tc>
        <w:tc>
          <w:tcPr>
            <w:tcW w:w="1988" w:type="dxa"/>
          </w:tcPr>
          <w:p w14:paraId="2605FA0B" w14:textId="77777777" w:rsidR="00B721D1" w:rsidRPr="007C11EE" w:rsidRDefault="00B721D1" w:rsidP="00B721D1">
            <w:pPr>
              <w:pStyle w:val="zSoquijdatRefNeutre"/>
              <w:rPr>
                <w:lang w:val="en-CA"/>
              </w:rPr>
            </w:pPr>
            <w:r w:rsidRPr="00AC22B1">
              <w:rPr>
                <w:lang w:val="en-CA"/>
              </w:rPr>
              <w:t>2022 QCCA 959</w:t>
            </w:r>
          </w:p>
        </w:tc>
      </w:tr>
      <w:tr w:rsidR="00B721D1" w:rsidRPr="00926147" w14:paraId="2D9FF82C" w14:textId="77777777" w:rsidTr="0031299C">
        <w:trPr>
          <w:trHeight w:val="247"/>
        </w:trPr>
        <w:tc>
          <w:tcPr>
            <w:tcW w:w="9621" w:type="dxa"/>
            <w:gridSpan w:val="6"/>
          </w:tcPr>
          <w:p w14:paraId="5E102D1F" w14:textId="77777777" w:rsidR="00B721D1" w:rsidRPr="00926147" w:rsidRDefault="0031299C" w:rsidP="00B721D1">
            <w:pPr>
              <w:pStyle w:val="zSoquijlblCour"/>
              <w:rPr>
                <w:lang w:val="en-CA"/>
              </w:rPr>
            </w:pPr>
            <w:r w:rsidRPr="00926147">
              <w:rPr>
                <w:lang w:val="en-CA"/>
              </w:rPr>
              <w:t>COURT OF APPEAL</w:t>
            </w:r>
          </w:p>
        </w:tc>
      </w:tr>
      <w:tr w:rsidR="00B721D1" w:rsidRPr="00926147" w14:paraId="45FF747E" w14:textId="77777777" w:rsidTr="0031299C">
        <w:trPr>
          <w:trHeight w:val="540"/>
        </w:trPr>
        <w:tc>
          <w:tcPr>
            <w:tcW w:w="9621" w:type="dxa"/>
            <w:gridSpan w:val="6"/>
          </w:tcPr>
          <w:p w14:paraId="6D0077C3" w14:textId="77777777" w:rsidR="00B721D1" w:rsidRPr="00926147" w:rsidRDefault="00B721D1" w:rsidP="00B721D1">
            <w:pPr>
              <w:pStyle w:val="zSoquijdatDivision"/>
              <w:rPr>
                <w:lang w:val="en-CA"/>
              </w:rPr>
            </w:pPr>
          </w:p>
        </w:tc>
      </w:tr>
      <w:tr w:rsidR="00B721D1" w:rsidRPr="00926147" w14:paraId="44F123BA" w14:textId="77777777" w:rsidTr="0031299C">
        <w:tc>
          <w:tcPr>
            <w:tcW w:w="9621" w:type="dxa"/>
            <w:gridSpan w:val="6"/>
          </w:tcPr>
          <w:p w14:paraId="7424DAF7" w14:textId="77777777" w:rsidR="00B721D1" w:rsidRPr="00926147" w:rsidRDefault="00B721D1" w:rsidP="00B721D1">
            <w:pPr>
              <w:pStyle w:val="zSoquijlblPays"/>
              <w:rPr>
                <w:lang w:val="en-CA"/>
              </w:rPr>
            </w:pPr>
            <w:r w:rsidRPr="00926147">
              <w:rPr>
                <w:lang w:val="en-CA"/>
              </w:rPr>
              <w:t>CANADA</w:t>
            </w:r>
          </w:p>
        </w:tc>
      </w:tr>
      <w:tr w:rsidR="00B721D1" w:rsidRPr="00926147" w14:paraId="4783D518" w14:textId="77777777" w:rsidTr="0031299C">
        <w:tc>
          <w:tcPr>
            <w:tcW w:w="9621" w:type="dxa"/>
            <w:gridSpan w:val="6"/>
          </w:tcPr>
          <w:p w14:paraId="71F462EB" w14:textId="77777777" w:rsidR="00B721D1" w:rsidRPr="00926147" w:rsidRDefault="00B721D1" w:rsidP="00B721D1">
            <w:pPr>
              <w:pStyle w:val="zSoquijlblProvince"/>
              <w:rPr>
                <w:lang w:val="en-CA"/>
              </w:rPr>
            </w:pPr>
            <w:r w:rsidRPr="00926147">
              <w:rPr>
                <w:lang w:val="en-CA"/>
              </w:rPr>
              <w:t xml:space="preserve">PROVINCE </w:t>
            </w:r>
            <w:r w:rsidR="0031299C" w:rsidRPr="00926147">
              <w:rPr>
                <w:lang w:val="en-CA"/>
              </w:rPr>
              <w:t>OF</w:t>
            </w:r>
            <w:r w:rsidRPr="00926147">
              <w:rPr>
                <w:lang w:val="en-CA"/>
              </w:rPr>
              <w:t xml:space="preserve"> QU</w:t>
            </w:r>
            <w:r w:rsidR="0031299C" w:rsidRPr="00926147">
              <w:rPr>
                <w:lang w:val="en-CA"/>
              </w:rPr>
              <w:t>E</w:t>
            </w:r>
            <w:r w:rsidRPr="00926147">
              <w:rPr>
                <w:lang w:val="en-CA"/>
              </w:rPr>
              <w:t>BEC</w:t>
            </w:r>
          </w:p>
        </w:tc>
      </w:tr>
      <w:tr w:rsidR="00B721D1" w:rsidRPr="00926147" w14:paraId="0E44B776" w14:textId="77777777" w:rsidTr="0031299C">
        <w:tc>
          <w:tcPr>
            <w:tcW w:w="1701" w:type="dxa"/>
            <w:gridSpan w:val="2"/>
          </w:tcPr>
          <w:p w14:paraId="2792E026" w14:textId="77777777" w:rsidR="00B721D1" w:rsidRPr="00926147" w:rsidRDefault="0031299C" w:rsidP="0031299C">
            <w:pPr>
              <w:pStyle w:val="zSoquijlblGreffe"/>
              <w:ind w:right="-403"/>
              <w:rPr>
                <w:lang w:val="en-CA"/>
              </w:rPr>
            </w:pPr>
            <w:r w:rsidRPr="00926147">
              <w:rPr>
                <w:lang w:val="en-CA"/>
              </w:rPr>
              <w:t>REGISTRY OF</w:t>
            </w:r>
          </w:p>
          <w:p w14:paraId="48ADD0E5" w14:textId="77777777" w:rsidR="00B721D1" w:rsidRPr="00926147" w:rsidRDefault="00B721D1" w:rsidP="0031299C">
            <w:pPr>
              <w:pStyle w:val="zSoquijlblGreffe"/>
              <w:ind w:right="-403"/>
              <w:rPr>
                <w:lang w:val="en-CA"/>
              </w:rPr>
            </w:pPr>
          </w:p>
        </w:tc>
        <w:tc>
          <w:tcPr>
            <w:tcW w:w="7920" w:type="dxa"/>
            <w:gridSpan w:val="4"/>
          </w:tcPr>
          <w:p w14:paraId="4F33B8C8" w14:textId="77777777" w:rsidR="00B721D1" w:rsidRPr="00926147" w:rsidRDefault="00B721D1" w:rsidP="0031299C">
            <w:pPr>
              <w:pStyle w:val="zSoquijdatGreffe"/>
              <w:ind w:right="-403"/>
              <w:rPr>
                <w:lang w:val="en-CA"/>
              </w:rPr>
            </w:pPr>
            <w:bookmarkStart w:id="0" w:name="NomGreffe"/>
            <w:r w:rsidRPr="00926147">
              <w:rPr>
                <w:lang w:val="en-CA"/>
              </w:rPr>
              <w:t>MONTR</w:t>
            </w:r>
            <w:r w:rsidR="00661766" w:rsidRPr="00926147">
              <w:rPr>
                <w:lang w:val="en-CA"/>
              </w:rPr>
              <w:t>E</w:t>
            </w:r>
            <w:r w:rsidRPr="00926147">
              <w:rPr>
                <w:lang w:val="en-CA"/>
              </w:rPr>
              <w:t>AL</w:t>
            </w:r>
            <w:bookmarkEnd w:id="0"/>
          </w:p>
        </w:tc>
      </w:tr>
      <w:tr w:rsidR="00B721D1" w:rsidRPr="00926147" w14:paraId="77F6FB4E" w14:textId="77777777" w:rsidTr="0031299C">
        <w:tc>
          <w:tcPr>
            <w:tcW w:w="1030" w:type="dxa"/>
          </w:tcPr>
          <w:p w14:paraId="7D3EE56F" w14:textId="77777777" w:rsidR="00B721D1" w:rsidRPr="00926147" w:rsidRDefault="00B721D1" w:rsidP="00B721D1">
            <w:pPr>
              <w:pStyle w:val="zSoquijlblNoDossier"/>
              <w:rPr>
                <w:lang w:val="en-CA"/>
              </w:rPr>
            </w:pPr>
            <w:r w:rsidRPr="00926147">
              <w:rPr>
                <w:lang w:val="en-CA"/>
              </w:rPr>
              <w:t>N</w:t>
            </w:r>
            <w:r w:rsidR="0031299C" w:rsidRPr="00926147">
              <w:rPr>
                <w:lang w:val="en-CA"/>
              </w:rPr>
              <w:t>o.</w:t>
            </w:r>
            <w:r w:rsidRPr="00926147">
              <w:rPr>
                <w:lang w:val="en-CA"/>
              </w:rPr>
              <w:t>:</w:t>
            </w:r>
          </w:p>
        </w:tc>
        <w:tc>
          <w:tcPr>
            <w:tcW w:w="8591" w:type="dxa"/>
            <w:gridSpan w:val="5"/>
          </w:tcPr>
          <w:p w14:paraId="70F4BCAC" w14:textId="77777777" w:rsidR="00B721D1" w:rsidRPr="00926147" w:rsidRDefault="00B721D1" w:rsidP="00B721D1">
            <w:pPr>
              <w:pStyle w:val="zSoquijdatNoDossier"/>
              <w:rPr>
                <w:lang w:val="en-CA"/>
              </w:rPr>
            </w:pPr>
            <w:bookmarkStart w:id="1" w:name="NoDossier"/>
            <w:r w:rsidRPr="00926147">
              <w:rPr>
                <w:lang w:val="en-CA"/>
              </w:rPr>
              <w:t>500-09-700042-211</w:t>
            </w:r>
            <w:bookmarkEnd w:id="1"/>
          </w:p>
        </w:tc>
      </w:tr>
      <w:tr w:rsidR="00B721D1" w:rsidRPr="00926147" w14:paraId="6B1FFB1E" w14:textId="77777777" w:rsidTr="0031299C">
        <w:tc>
          <w:tcPr>
            <w:tcW w:w="9621" w:type="dxa"/>
            <w:gridSpan w:val="6"/>
          </w:tcPr>
          <w:p w14:paraId="5913E408" w14:textId="77777777" w:rsidR="00B721D1" w:rsidRPr="00926147" w:rsidRDefault="00B721D1" w:rsidP="00B721D1">
            <w:pPr>
              <w:pStyle w:val="zSoquijdatNoDossierAnt"/>
              <w:rPr>
                <w:lang w:val="en-CA"/>
              </w:rPr>
            </w:pPr>
            <w:r w:rsidRPr="00926147">
              <w:rPr>
                <w:lang w:val="en-CA"/>
              </w:rPr>
              <w:t>(500-17-117012-214)</w:t>
            </w:r>
          </w:p>
        </w:tc>
      </w:tr>
      <w:tr w:rsidR="00B721D1" w:rsidRPr="00926147" w14:paraId="051B9F82" w14:textId="77777777" w:rsidTr="0031299C">
        <w:tc>
          <w:tcPr>
            <w:tcW w:w="9621" w:type="dxa"/>
            <w:gridSpan w:val="6"/>
            <w:shd w:val="clear" w:color="auto" w:fill="auto"/>
          </w:tcPr>
          <w:p w14:paraId="44F1A389" w14:textId="77777777" w:rsidR="00B721D1" w:rsidRPr="00926147" w:rsidRDefault="00B721D1" w:rsidP="00B721D1">
            <w:pPr>
              <w:rPr>
                <w:lang w:val="en-CA"/>
              </w:rPr>
            </w:pPr>
          </w:p>
        </w:tc>
      </w:tr>
      <w:tr w:rsidR="00B721D1" w:rsidRPr="00926147" w14:paraId="46F1E94D" w14:textId="77777777" w:rsidTr="0031299C">
        <w:tc>
          <w:tcPr>
            <w:tcW w:w="1030" w:type="dxa"/>
            <w:shd w:val="clear" w:color="auto" w:fill="auto"/>
          </w:tcPr>
          <w:p w14:paraId="0FC2DE73" w14:textId="77777777" w:rsidR="00B721D1" w:rsidRPr="00926147" w:rsidRDefault="00B721D1" w:rsidP="00B721D1">
            <w:pPr>
              <w:pStyle w:val="zSoquijlblDateJugement"/>
              <w:rPr>
                <w:lang w:val="en-CA"/>
              </w:rPr>
            </w:pPr>
            <w:r w:rsidRPr="00926147">
              <w:rPr>
                <w:lang w:val="en-CA"/>
              </w:rPr>
              <w:t>DATE:</w:t>
            </w:r>
          </w:p>
        </w:tc>
        <w:tc>
          <w:tcPr>
            <w:tcW w:w="8591" w:type="dxa"/>
            <w:gridSpan w:val="5"/>
            <w:shd w:val="clear" w:color="auto" w:fill="auto"/>
          </w:tcPr>
          <w:p w14:paraId="41DC994D" w14:textId="77777777" w:rsidR="00B721D1" w:rsidRPr="00926147" w:rsidRDefault="00B721D1" w:rsidP="00B721D1">
            <w:pPr>
              <w:pStyle w:val="zSoquijdatDateJugement"/>
              <w:rPr>
                <w:lang w:val="en-CA"/>
              </w:rPr>
            </w:pPr>
            <w:r w:rsidRPr="00926147">
              <w:rPr>
                <w:lang w:val="en-CA"/>
              </w:rPr>
              <w:t xml:space="preserve"> </w:t>
            </w:r>
            <w:r w:rsidR="0031299C" w:rsidRPr="00926147">
              <w:rPr>
                <w:lang w:val="en-CA"/>
              </w:rPr>
              <w:t>August 31,</w:t>
            </w:r>
            <w:r w:rsidRPr="00926147">
              <w:rPr>
                <w:lang w:val="en-CA"/>
              </w:rPr>
              <w:t xml:space="preserve"> 2022</w:t>
            </w:r>
          </w:p>
        </w:tc>
      </w:tr>
      <w:tr w:rsidR="00B721D1" w:rsidRPr="00926147" w14:paraId="36C2D8D2" w14:textId="77777777" w:rsidTr="0031299C">
        <w:tc>
          <w:tcPr>
            <w:tcW w:w="9621" w:type="dxa"/>
            <w:gridSpan w:val="6"/>
            <w:tcBorders>
              <w:bottom w:val="single" w:sz="8" w:space="0" w:color="auto"/>
            </w:tcBorders>
          </w:tcPr>
          <w:p w14:paraId="49901001" w14:textId="77777777" w:rsidR="00B721D1" w:rsidRPr="00926147" w:rsidRDefault="00B721D1" w:rsidP="00B721D1">
            <w:pPr>
              <w:rPr>
                <w:lang w:val="en-CA"/>
              </w:rPr>
            </w:pPr>
          </w:p>
        </w:tc>
      </w:tr>
      <w:tr w:rsidR="00B721D1" w:rsidRPr="00926147" w14:paraId="0CEDFB22" w14:textId="77777777" w:rsidTr="0031299C">
        <w:tc>
          <w:tcPr>
            <w:tcW w:w="9621" w:type="dxa"/>
            <w:gridSpan w:val="6"/>
            <w:tcBorders>
              <w:top w:val="single" w:sz="8" w:space="0" w:color="auto"/>
            </w:tcBorders>
          </w:tcPr>
          <w:p w14:paraId="6C04BDB0" w14:textId="77777777" w:rsidR="00B721D1" w:rsidRPr="00926147" w:rsidRDefault="00B721D1" w:rsidP="00B721D1">
            <w:pPr>
              <w:rPr>
                <w:lang w:val="en-CA"/>
              </w:rPr>
            </w:pPr>
          </w:p>
        </w:tc>
      </w:tr>
      <w:tr w:rsidR="00B721D1" w:rsidRPr="00926147" w14:paraId="5E0ACFE0" w14:textId="77777777" w:rsidTr="0031299C">
        <w:tc>
          <w:tcPr>
            <w:tcW w:w="1881" w:type="dxa"/>
            <w:gridSpan w:val="3"/>
          </w:tcPr>
          <w:p w14:paraId="20C7F3F0" w14:textId="77777777" w:rsidR="00B721D1" w:rsidRPr="00926147" w:rsidRDefault="0031299C" w:rsidP="00B721D1">
            <w:pPr>
              <w:pStyle w:val="zSoquijlblJuge"/>
              <w:ind w:right="-142"/>
              <w:rPr>
                <w:lang w:val="en-CA"/>
              </w:rPr>
            </w:pPr>
            <w:bookmarkStart w:id="2" w:name="FORMATION"/>
            <w:r w:rsidRPr="00926147">
              <w:rPr>
                <w:lang w:val="en-CA"/>
              </w:rPr>
              <w:t>CORAM</w:t>
            </w:r>
            <w:r w:rsidR="00B721D1" w:rsidRPr="00926147">
              <w:rPr>
                <w:lang w:val="en-CA"/>
              </w:rPr>
              <w:t>:</w:t>
            </w:r>
            <w:bookmarkEnd w:id="2"/>
          </w:p>
        </w:tc>
        <w:tc>
          <w:tcPr>
            <w:tcW w:w="2350" w:type="dxa"/>
          </w:tcPr>
          <w:p w14:paraId="31E5F496" w14:textId="77777777" w:rsidR="00B721D1" w:rsidRPr="00926147" w:rsidRDefault="0031299C" w:rsidP="00B721D1">
            <w:pPr>
              <w:pStyle w:val="zSoquijdatQteJuge"/>
              <w:rPr>
                <w:lang w:val="en-CA"/>
              </w:rPr>
            </w:pPr>
            <w:bookmarkStart w:id="3" w:name="Honorables"/>
            <w:r w:rsidRPr="00926147">
              <w:rPr>
                <w:lang w:val="en-CA"/>
              </w:rPr>
              <w:t>THE</w:t>
            </w:r>
            <w:r w:rsidR="00B721D1" w:rsidRPr="00926147">
              <w:rPr>
                <w:lang w:val="en-CA"/>
              </w:rPr>
              <w:t xml:space="preserve"> HONO</w:t>
            </w:r>
            <w:r w:rsidRPr="00926147">
              <w:rPr>
                <w:lang w:val="en-CA"/>
              </w:rPr>
              <w:t>U</w:t>
            </w:r>
            <w:r w:rsidR="00B721D1" w:rsidRPr="00926147">
              <w:rPr>
                <w:lang w:val="en-CA"/>
              </w:rPr>
              <w:t>RABLE</w:t>
            </w:r>
            <w:bookmarkEnd w:id="3"/>
          </w:p>
        </w:tc>
        <w:tc>
          <w:tcPr>
            <w:tcW w:w="5390" w:type="dxa"/>
            <w:gridSpan w:val="2"/>
          </w:tcPr>
          <w:p w14:paraId="5DE4F362" w14:textId="77777777" w:rsidR="00B721D1" w:rsidRPr="00926147" w:rsidRDefault="00B721D1" w:rsidP="00B721D1">
            <w:pPr>
              <w:pStyle w:val="zSoquijdatJuge"/>
              <w:rPr>
                <w:lang w:val="en-CA"/>
              </w:rPr>
            </w:pPr>
            <w:bookmarkStart w:id="4" w:name="NomJuge1"/>
            <w:r w:rsidRPr="00926147">
              <w:rPr>
                <w:lang w:val="en-CA"/>
              </w:rPr>
              <w:t>FRANÇOIS PELLETIER, J.A.</w:t>
            </w:r>
            <w:bookmarkEnd w:id="4"/>
          </w:p>
          <w:p w14:paraId="3359EF16" w14:textId="77777777" w:rsidR="00B721D1" w:rsidRPr="00926147" w:rsidRDefault="00B721D1" w:rsidP="00B721D1">
            <w:pPr>
              <w:pStyle w:val="zSoquijdatJuge"/>
              <w:rPr>
                <w:lang w:val="en-CA"/>
              </w:rPr>
            </w:pPr>
            <w:bookmarkStart w:id="5" w:name="NomJuge2"/>
            <w:r w:rsidRPr="00926147">
              <w:rPr>
                <w:lang w:val="en-CA"/>
              </w:rPr>
              <w:t>MARTIN VAUCLAIR, J.A.</w:t>
            </w:r>
            <w:bookmarkEnd w:id="5"/>
          </w:p>
          <w:p w14:paraId="1C35FBD5" w14:textId="77777777" w:rsidR="00B721D1" w:rsidRPr="00926147" w:rsidRDefault="00B721D1" w:rsidP="00B721D1">
            <w:pPr>
              <w:pStyle w:val="zSoquijdatJuge"/>
              <w:rPr>
                <w:lang w:val="en-CA"/>
              </w:rPr>
            </w:pPr>
            <w:bookmarkStart w:id="6" w:name="_Hlt520513784"/>
            <w:bookmarkStart w:id="7" w:name="NomJuge3"/>
            <w:bookmarkEnd w:id="6"/>
            <w:r w:rsidRPr="00926147">
              <w:rPr>
                <w:lang w:val="en-CA"/>
              </w:rPr>
              <w:t>SOPHIE LAVALLÉE, J.A.</w:t>
            </w:r>
            <w:bookmarkEnd w:id="7"/>
          </w:p>
        </w:tc>
      </w:tr>
      <w:tr w:rsidR="00B721D1" w:rsidRPr="00926147" w14:paraId="251D07DF" w14:textId="77777777" w:rsidTr="0031299C">
        <w:tc>
          <w:tcPr>
            <w:tcW w:w="9621" w:type="dxa"/>
            <w:gridSpan w:val="6"/>
            <w:tcBorders>
              <w:bottom w:val="single" w:sz="8" w:space="0" w:color="auto"/>
            </w:tcBorders>
          </w:tcPr>
          <w:p w14:paraId="5FD5B8BD" w14:textId="77777777" w:rsidR="00B721D1" w:rsidRPr="00926147" w:rsidRDefault="00B721D1" w:rsidP="00B721D1">
            <w:pPr>
              <w:rPr>
                <w:lang w:val="en-CA"/>
              </w:rPr>
            </w:pPr>
          </w:p>
        </w:tc>
      </w:tr>
      <w:tr w:rsidR="00B721D1" w:rsidRPr="00926147" w14:paraId="23D03275" w14:textId="77777777" w:rsidTr="0031299C">
        <w:tc>
          <w:tcPr>
            <w:tcW w:w="9621" w:type="dxa"/>
            <w:gridSpan w:val="6"/>
          </w:tcPr>
          <w:p w14:paraId="65C3CE5A" w14:textId="77777777" w:rsidR="00B721D1" w:rsidRPr="00926147" w:rsidRDefault="00B721D1" w:rsidP="00B721D1">
            <w:pPr>
              <w:pStyle w:val="zSoquijlblTitrePartie"/>
              <w:rPr>
                <w:lang w:val="en-CA"/>
              </w:rPr>
            </w:pPr>
          </w:p>
        </w:tc>
      </w:tr>
      <w:tr w:rsidR="00B721D1" w:rsidRPr="00926147" w14:paraId="58763FB2" w14:textId="77777777" w:rsidTr="0031299C">
        <w:tc>
          <w:tcPr>
            <w:tcW w:w="9621" w:type="dxa"/>
            <w:gridSpan w:val="6"/>
          </w:tcPr>
          <w:p w14:paraId="052C6B3B" w14:textId="77777777" w:rsidR="00B721D1" w:rsidRPr="00926147" w:rsidRDefault="00B721D1" w:rsidP="00B721D1">
            <w:pPr>
              <w:tabs>
                <w:tab w:val="left" w:pos="630"/>
              </w:tabs>
              <w:spacing w:after="240" w:line="240" w:lineRule="auto"/>
              <w:jc w:val="both"/>
              <w:rPr>
                <w:rFonts w:cs="Arial"/>
                <w:szCs w:val="24"/>
                <w:lang w:val="en-CA"/>
              </w:rPr>
            </w:pPr>
            <w:r w:rsidRPr="00926147">
              <w:rPr>
                <w:rFonts w:cs="Arial"/>
                <w:szCs w:val="24"/>
                <w:lang w:val="en-CA"/>
              </w:rPr>
              <w:t>[…]</w:t>
            </w:r>
          </w:p>
          <w:p w14:paraId="141A56CE" w14:textId="77777777" w:rsidR="00B721D1" w:rsidRPr="00926147" w:rsidRDefault="00B721D1" w:rsidP="00B721D1">
            <w:pPr>
              <w:pStyle w:val="zSoquijdatNomPartieDem"/>
              <w:rPr>
                <w:lang w:val="en-CA"/>
              </w:rPr>
            </w:pPr>
            <w:r w:rsidRPr="00926147">
              <w:rPr>
                <w:lang w:val="en-CA"/>
              </w:rPr>
              <w:t>A.B.</w:t>
            </w:r>
          </w:p>
          <w:p w14:paraId="5180E24B" w14:textId="77777777" w:rsidR="00B721D1" w:rsidRPr="00926147" w:rsidRDefault="00B721D1" w:rsidP="00B721D1">
            <w:pPr>
              <w:pStyle w:val="zSoquijdatNomPartieDem"/>
              <w:rPr>
                <w:lang w:val="en-CA"/>
              </w:rPr>
            </w:pPr>
            <w:r w:rsidRPr="00926147">
              <w:rPr>
                <w:lang w:val="en-CA"/>
              </w:rPr>
              <w:t>FONDATION A.B.</w:t>
            </w:r>
          </w:p>
        </w:tc>
      </w:tr>
      <w:tr w:rsidR="00B721D1" w:rsidRPr="00926147" w14:paraId="19EAFDD4" w14:textId="77777777" w:rsidTr="0031299C">
        <w:tc>
          <w:tcPr>
            <w:tcW w:w="9621" w:type="dxa"/>
            <w:gridSpan w:val="6"/>
          </w:tcPr>
          <w:p w14:paraId="4B767172" w14:textId="77777777" w:rsidR="00B721D1" w:rsidRPr="00926147" w:rsidRDefault="00B721D1" w:rsidP="00B721D1">
            <w:pPr>
              <w:pStyle w:val="zSoquijdatQtePartieDem"/>
              <w:rPr>
                <w:lang w:val="en-CA"/>
              </w:rPr>
            </w:pPr>
            <w:r w:rsidRPr="00926147">
              <w:rPr>
                <w:lang w:val="en-CA"/>
              </w:rPr>
              <w:t>APPEL</w:t>
            </w:r>
            <w:r w:rsidR="0031299C" w:rsidRPr="00926147">
              <w:rPr>
                <w:lang w:val="en-CA"/>
              </w:rPr>
              <w:t>L</w:t>
            </w:r>
            <w:r w:rsidRPr="00926147">
              <w:rPr>
                <w:lang w:val="en-CA"/>
              </w:rPr>
              <w:t xml:space="preserve">ANTS – </w:t>
            </w:r>
            <w:r w:rsidR="00661766" w:rsidRPr="00926147">
              <w:rPr>
                <w:lang w:val="en-CA"/>
              </w:rPr>
              <w:t>plaintiffs</w:t>
            </w:r>
          </w:p>
        </w:tc>
      </w:tr>
      <w:tr w:rsidR="00B721D1" w:rsidRPr="00926147" w14:paraId="30D6489D" w14:textId="77777777" w:rsidTr="0031299C">
        <w:tc>
          <w:tcPr>
            <w:tcW w:w="9621" w:type="dxa"/>
            <w:gridSpan w:val="6"/>
          </w:tcPr>
          <w:p w14:paraId="67187891" w14:textId="77777777" w:rsidR="00B721D1" w:rsidRPr="00926147" w:rsidRDefault="00583EDC" w:rsidP="00B721D1">
            <w:pPr>
              <w:pStyle w:val="zSoquijlblLienParties"/>
              <w:rPr>
                <w:lang w:val="en-CA"/>
              </w:rPr>
            </w:pPr>
            <w:r>
              <w:rPr>
                <w:lang w:val="en-CA"/>
              </w:rPr>
              <w:t>v</w:t>
            </w:r>
            <w:r w:rsidR="00B721D1" w:rsidRPr="00926147">
              <w:rPr>
                <w:lang w:val="en-CA"/>
              </w:rPr>
              <w:t>.</w:t>
            </w:r>
          </w:p>
        </w:tc>
      </w:tr>
      <w:tr w:rsidR="00B721D1" w:rsidRPr="00926147" w14:paraId="207C1184" w14:textId="77777777" w:rsidTr="0031299C">
        <w:tc>
          <w:tcPr>
            <w:tcW w:w="9621" w:type="dxa"/>
            <w:gridSpan w:val="6"/>
          </w:tcPr>
          <w:p w14:paraId="27AC8521" w14:textId="77777777" w:rsidR="00B721D1" w:rsidRPr="00926147" w:rsidRDefault="00B721D1" w:rsidP="00B721D1">
            <w:pPr>
              <w:rPr>
                <w:lang w:val="en-CA"/>
              </w:rPr>
            </w:pPr>
          </w:p>
        </w:tc>
      </w:tr>
      <w:tr w:rsidR="00B721D1" w:rsidRPr="00926147" w14:paraId="4D34DE66" w14:textId="77777777" w:rsidTr="0031299C">
        <w:tc>
          <w:tcPr>
            <w:tcW w:w="9621" w:type="dxa"/>
            <w:gridSpan w:val="6"/>
          </w:tcPr>
          <w:p w14:paraId="52B8B637" w14:textId="77777777" w:rsidR="00B721D1" w:rsidRPr="00926147" w:rsidRDefault="00B721D1" w:rsidP="00B721D1">
            <w:pPr>
              <w:pStyle w:val="zSoquijdatNomPartieDef"/>
              <w:rPr>
                <w:lang w:val="en-CA"/>
              </w:rPr>
            </w:pPr>
            <w:r w:rsidRPr="00926147">
              <w:rPr>
                <w:lang w:val="en-CA"/>
              </w:rPr>
              <w:t>JEAN-FRANÇOIS ROBILLARD</w:t>
            </w:r>
          </w:p>
          <w:p w14:paraId="13333DD7" w14:textId="77777777" w:rsidR="00B721D1" w:rsidRPr="00926147" w:rsidRDefault="00B721D1" w:rsidP="00B721D1">
            <w:pPr>
              <w:pStyle w:val="zSoquijdatNomPartieDef"/>
              <w:rPr>
                <w:lang w:val="en-CA"/>
              </w:rPr>
            </w:pPr>
            <w:r w:rsidRPr="00926147">
              <w:rPr>
                <w:lang w:val="en-CA"/>
              </w:rPr>
              <w:t>DIS SON NOM</w:t>
            </w:r>
          </w:p>
          <w:p w14:paraId="2FD81D20" w14:textId="77777777" w:rsidR="00B721D1" w:rsidRPr="00926147" w:rsidRDefault="00B721D1" w:rsidP="00B721D1">
            <w:pPr>
              <w:pStyle w:val="zSoquijdatNomPartieDef"/>
              <w:rPr>
                <w:lang w:val="en-CA"/>
              </w:rPr>
            </w:pPr>
            <w:r w:rsidRPr="00926147">
              <w:rPr>
                <w:lang w:val="en-CA"/>
              </w:rPr>
              <w:t>DELPHINE BERGERON</w:t>
            </w:r>
          </w:p>
          <w:p w14:paraId="10E21B10" w14:textId="77777777" w:rsidR="00B721D1" w:rsidRPr="00926147" w:rsidRDefault="00B721D1" w:rsidP="00B721D1">
            <w:pPr>
              <w:pStyle w:val="zSoquijdatNomPartieDef"/>
              <w:rPr>
                <w:lang w:val="en-CA"/>
              </w:rPr>
            </w:pPr>
            <w:r w:rsidRPr="00926147">
              <w:rPr>
                <w:lang w:val="en-CA"/>
              </w:rPr>
              <w:t>A.A.</w:t>
            </w:r>
          </w:p>
        </w:tc>
      </w:tr>
      <w:tr w:rsidR="00B721D1" w:rsidRPr="00926147" w14:paraId="68C4F768" w14:textId="77777777" w:rsidTr="0031299C">
        <w:tc>
          <w:tcPr>
            <w:tcW w:w="9621" w:type="dxa"/>
            <w:gridSpan w:val="6"/>
          </w:tcPr>
          <w:p w14:paraId="0044C1A1" w14:textId="77777777" w:rsidR="00B721D1" w:rsidRPr="00926147" w:rsidRDefault="0031299C" w:rsidP="00B721D1">
            <w:pPr>
              <w:pStyle w:val="zSoquijdatQtePartieDef"/>
              <w:rPr>
                <w:lang w:val="en-CA"/>
              </w:rPr>
            </w:pPr>
            <w:r w:rsidRPr="00926147">
              <w:rPr>
                <w:lang w:val="en-CA"/>
              </w:rPr>
              <w:t>RESPONDENTS</w:t>
            </w:r>
            <w:r w:rsidR="00B721D1" w:rsidRPr="00926147">
              <w:rPr>
                <w:lang w:val="en-CA"/>
              </w:rPr>
              <w:t xml:space="preserve"> – </w:t>
            </w:r>
            <w:r w:rsidR="00661766" w:rsidRPr="00926147">
              <w:rPr>
                <w:lang w:val="en-CA"/>
              </w:rPr>
              <w:t>defendants</w:t>
            </w:r>
            <w:r w:rsidR="00B721D1" w:rsidRPr="00926147">
              <w:rPr>
                <w:lang w:val="en-CA"/>
              </w:rPr>
              <w:t xml:space="preserve"> </w:t>
            </w:r>
          </w:p>
        </w:tc>
      </w:tr>
      <w:tr w:rsidR="00B721D1" w:rsidRPr="00926147" w14:paraId="254CBACB" w14:textId="77777777" w:rsidTr="0031299C">
        <w:tc>
          <w:tcPr>
            <w:tcW w:w="9621" w:type="dxa"/>
            <w:gridSpan w:val="6"/>
          </w:tcPr>
          <w:p w14:paraId="67543A48" w14:textId="77777777" w:rsidR="00B721D1" w:rsidRPr="00926147" w:rsidRDefault="00583EDC" w:rsidP="00B721D1">
            <w:pPr>
              <w:rPr>
                <w:lang w:val="en-CA"/>
              </w:rPr>
            </w:pPr>
            <w:r>
              <w:rPr>
                <w:lang w:val="en-CA"/>
              </w:rPr>
              <w:t>and</w:t>
            </w:r>
          </w:p>
        </w:tc>
      </w:tr>
      <w:tr w:rsidR="00B721D1" w:rsidRPr="00926147" w14:paraId="471D0E8F" w14:textId="77777777" w:rsidTr="0031299C">
        <w:tc>
          <w:tcPr>
            <w:tcW w:w="9621" w:type="dxa"/>
            <w:gridSpan w:val="6"/>
          </w:tcPr>
          <w:p w14:paraId="0BA6C109" w14:textId="77777777" w:rsidR="00B721D1" w:rsidRPr="00926147" w:rsidRDefault="00B721D1" w:rsidP="00B721D1">
            <w:pPr>
              <w:pStyle w:val="zSoquijdatNomPartieDef"/>
              <w:rPr>
                <w:lang w:val="en-CA"/>
              </w:rPr>
            </w:pPr>
            <w:r w:rsidRPr="00926147">
              <w:rPr>
                <w:lang w:val="en-CA"/>
              </w:rPr>
              <w:t>SOCIÉTÉ RADIO-CANADA</w:t>
            </w:r>
          </w:p>
          <w:p w14:paraId="17482E18" w14:textId="77777777" w:rsidR="00B721D1" w:rsidRPr="00926147" w:rsidRDefault="00B721D1" w:rsidP="00B721D1">
            <w:pPr>
              <w:pStyle w:val="zSoquijdatNomPartieDef"/>
              <w:rPr>
                <w:lang w:val="en-CA"/>
              </w:rPr>
            </w:pPr>
            <w:r w:rsidRPr="00926147">
              <w:rPr>
                <w:lang w:val="en-CA"/>
              </w:rPr>
              <w:t>LE DEVOIR</w:t>
            </w:r>
          </w:p>
        </w:tc>
      </w:tr>
      <w:tr w:rsidR="00B721D1" w:rsidRPr="00926147" w14:paraId="46EA7017" w14:textId="77777777" w:rsidTr="0031299C">
        <w:tc>
          <w:tcPr>
            <w:tcW w:w="9621" w:type="dxa"/>
            <w:gridSpan w:val="6"/>
          </w:tcPr>
          <w:p w14:paraId="40C4547F" w14:textId="77777777" w:rsidR="00B721D1" w:rsidRPr="00926147" w:rsidRDefault="0031299C" w:rsidP="00B721D1">
            <w:pPr>
              <w:pStyle w:val="zSoquijdatQtePartieDef"/>
              <w:rPr>
                <w:lang w:val="en-CA"/>
              </w:rPr>
            </w:pPr>
            <w:r w:rsidRPr="00926147">
              <w:rPr>
                <w:lang w:val="en-CA"/>
              </w:rPr>
              <w:t>RESPONDENTS</w:t>
            </w:r>
            <w:r w:rsidR="00B721D1" w:rsidRPr="00926147">
              <w:rPr>
                <w:lang w:val="en-CA"/>
              </w:rPr>
              <w:t xml:space="preserve"> – </w:t>
            </w:r>
            <w:r w:rsidR="00661766" w:rsidRPr="00926147">
              <w:rPr>
                <w:lang w:val="en-CA"/>
              </w:rPr>
              <w:t>interveners</w:t>
            </w:r>
            <w:r w:rsidR="00B721D1" w:rsidRPr="00926147">
              <w:rPr>
                <w:lang w:val="en-CA"/>
              </w:rPr>
              <w:t xml:space="preserve"> </w:t>
            </w:r>
          </w:p>
        </w:tc>
      </w:tr>
      <w:tr w:rsidR="00B721D1" w:rsidRPr="00926147" w14:paraId="2FD00767" w14:textId="77777777" w:rsidTr="0031299C">
        <w:tc>
          <w:tcPr>
            <w:tcW w:w="9621" w:type="dxa"/>
            <w:gridSpan w:val="6"/>
          </w:tcPr>
          <w:p w14:paraId="2ADB0809" w14:textId="77777777" w:rsidR="00B721D1" w:rsidRPr="00926147" w:rsidRDefault="00B721D1" w:rsidP="00B721D1">
            <w:pPr>
              <w:rPr>
                <w:lang w:val="en-CA"/>
              </w:rPr>
            </w:pPr>
          </w:p>
        </w:tc>
      </w:tr>
      <w:tr w:rsidR="00B721D1" w:rsidRPr="00926147" w14:paraId="7FCAB89C" w14:textId="77777777" w:rsidTr="0031299C">
        <w:tc>
          <w:tcPr>
            <w:tcW w:w="9621" w:type="dxa"/>
            <w:gridSpan w:val="6"/>
            <w:tcBorders>
              <w:top w:val="single" w:sz="8" w:space="0" w:color="auto"/>
            </w:tcBorders>
          </w:tcPr>
          <w:p w14:paraId="5AB8D4DB" w14:textId="77777777" w:rsidR="00B721D1" w:rsidRPr="00926147" w:rsidRDefault="00B721D1" w:rsidP="00B721D1">
            <w:pPr>
              <w:rPr>
                <w:lang w:val="en-CA"/>
              </w:rPr>
            </w:pPr>
          </w:p>
        </w:tc>
      </w:tr>
      <w:tr w:rsidR="00B721D1" w:rsidRPr="00926147" w14:paraId="1CE9C168" w14:textId="77777777" w:rsidTr="0031299C">
        <w:tc>
          <w:tcPr>
            <w:tcW w:w="9621" w:type="dxa"/>
            <w:gridSpan w:val="6"/>
          </w:tcPr>
          <w:p w14:paraId="1F193DD2" w14:textId="77777777" w:rsidR="00B721D1" w:rsidRPr="00926147" w:rsidRDefault="00880A74" w:rsidP="00B721D1">
            <w:pPr>
              <w:pStyle w:val="zSoquijlblTypeDocument"/>
              <w:rPr>
                <w:lang w:val="en-CA"/>
              </w:rPr>
            </w:pPr>
            <w:r w:rsidRPr="00926147">
              <w:rPr>
                <w:lang w:val="en-CA"/>
              </w:rPr>
              <w:t>RE</w:t>
            </w:r>
            <w:r w:rsidR="008209E6">
              <w:rPr>
                <w:lang w:val="en-CA"/>
              </w:rPr>
              <w:t>CTIFIED</w:t>
            </w:r>
            <w:r w:rsidR="00B4590E" w:rsidRPr="00926147">
              <w:rPr>
                <w:lang w:val="en-CA"/>
              </w:rPr>
              <w:t xml:space="preserve"> JUDGMENT</w:t>
            </w:r>
          </w:p>
          <w:p w14:paraId="26657297" w14:textId="77777777" w:rsidR="00B721D1" w:rsidRPr="00926147" w:rsidRDefault="00B721D1" w:rsidP="00B721D1">
            <w:pPr>
              <w:pStyle w:val="zSoquijlblTypeDocument"/>
              <w:rPr>
                <w:lang w:val="en-CA"/>
              </w:rPr>
            </w:pPr>
            <w:r w:rsidRPr="00926147">
              <w:rPr>
                <w:lang w:val="en-CA"/>
              </w:rPr>
              <w:t>(</w:t>
            </w:r>
            <w:r w:rsidR="00B4590E" w:rsidRPr="00926147">
              <w:rPr>
                <w:lang w:val="en-CA"/>
              </w:rPr>
              <w:t>S</w:t>
            </w:r>
            <w:r w:rsidRPr="00926147">
              <w:rPr>
                <w:lang w:val="en-CA"/>
              </w:rPr>
              <w:t>eptemb</w:t>
            </w:r>
            <w:r w:rsidR="00B4590E" w:rsidRPr="00926147">
              <w:rPr>
                <w:lang w:val="en-CA"/>
              </w:rPr>
              <w:t>er</w:t>
            </w:r>
            <w:r w:rsidRPr="00926147">
              <w:rPr>
                <w:lang w:val="en-CA"/>
              </w:rPr>
              <w:t xml:space="preserve"> </w:t>
            </w:r>
            <w:r w:rsidR="00B4590E" w:rsidRPr="00926147">
              <w:rPr>
                <w:lang w:val="en-CA"/>
              </w:rPr>
              <w:t xml:space="preserve">1, </w:t>
            </w:r>
            <w:r w:rsidRPr="00926147">
              <w:rPr>
                <w:lang w:val="en-CA"/>
              </w:rPr>
              <w:t>2022)</w:t>
            </w:r>
          </w:p>
        </w:tc>
      </w:tr>
      <w:tr w:rsidR="00B721D1" w:rsidRPr="00926147" w14:paraId="6E91B420" w14:textId="77777777" w:rsidTr="0031299C">
        <w:tc>
          <w:tcPr>
            <w:tcW w:w="9621" w:type="dxa"/>
            <w:gridSpan w:val="6"/>
            <w:tcBorders>
              <w:bottom w:val="single" w:sz="8" w:space="0" w:color="auto"/>
            </w:tcBorders>
          </w:tcPr>
          <w:p w14:paraId="4EAD6F3F" w14:textId="77777777" w:rsidR="00B721D1" w:rsidRPr="00926147" w:rsidRDefault="00B721D1" w:rsidP="00B721D1">
            <w:pPr>
              <w:rPr>
                <w:lang w:val="en-CA"/>
              </w:rPr>
            </w:pPr>
          </w:p>
        </w:tc>
      </w:tr>
      <w:tr w:rsidR="00B721D1" w:rsidRPr="00926147" w14:paraId="439F634C" w14:textId="77777777" w:rsidTr="0031299C">
        <w:tc>
          <w:tcPr>
            <w:tcW w:w="9621" w:type="dxa"/>
            <w:gridSpan w:val="6"/>
            <w:tcBorders>
              <w:top w:val="single" w:sz="8" w:space="0" w:color="auto"/>
            </w:tcBorders>
          </w:tcPr>
          <w:p w14:paraId="66B83392" w14:textId="77777777" w:rsidR="00B721D1" w:rsidRPr="00926147" w:rsidRDefault="00B721D1" w:rsidP="00B721D1">
            <w:pPr>
              <w:rPr>
                <w:lang w:val="en-CA"/>
              </w:rPr>
            </w:pPr>
          </w:p>
        </w:tc>
      </w:tr>
    </w:tbl>
    <w:p w14:paraId="54B12CBB" w14:textId="77777777" w:rsidR="003A59AD" w:rsidRPr="00926147" w:rsidRDefault="003A59AD" w:rsidP="003A59AD">
      <w:pPr>
        <w:pStyle w:val="Paragraphe"/>
        <w:numPr>
          <w:ilvl w:val="0"/>
          <w:numId w:val="0"/>
        </w:numPr>
        <w:spacing w:line="240" w:lineRule="auto"/>
        <w:rPr>
          <w:lang w:val="en-CA"/>
        </w:rPr>
        <w:sectPr w:rsidR="003A59AD" w:rsidRPr="00926147" w:rsidSect="00597786">
          <w:headerReference w:type="default" r:id="rId9"/>
          <w:headerReference w:type="first" r:id="rId10"/>
          <w:footnotePr>
            <w:numRestart w:val="eachSect"/>
          </w:footnotePr>
          <w:pgSz w:w="12242" w:h="15842" w:code="1"/>
          <w:pgMar w:top="1440" w:right="1009" w:bottom="1440" w:left="1871" w:header="1440" w:footer="794" w:gutter="0"/>
          <w:pgNumType w:start="2"/>
          <w:cols w:space="720"/>
          <w:formProt w:val="0"/>
          <w:docGrid w:linePitch="326"/>
        </w:sectPr>
      </w:pPr>
      <w:bookmarkStart w:id="8" w:name="Arret"/>
    </w:p>
    <w:p w14:paraId="2C0DDEC5" w14:textId="77777777" w:rsidR="002A1E2E" w:rsidRPr="00926147" w:rsidRDefault="00E0676B" w:rsidP="002A1E2E">
      <w:pPr>
        <w:pStyle w:val="Paragraphe"/>
        <w:numPr>
          <w:ilvl w:val="0"/>
          <w:numId w:val="23"/>
        </w:numPr>
        <w:spacing w:line="240" w:lineRule="auto"/>
        <w:rPr>
          <w:lang w:val="en-CA"/>
        </w:rPr>
      </w:pPr>
      <w:r w:rsidRPr="00926147">
        <w:rPr>
          <w:lang w:val="en-CA"/>
        </w:rPr>
        <w:lastRenderedPageBreak/>
        <w:t xml:space="preserve">The appellant </w:t>
      </w:r>
      <w:r w:rsidR="00E01746" w:rsidRPr="00926147">
        <w:rPr>
          <w:lang w:val="en-CA"/>
        </w:rPr>
        <w:t xml:space="preserve">A.B. </w:t>
      </w:r>
      <w:r w:rsidRPr="00926147">
        <w:rPr>
          <w:lang w:val="en-CA"/>
        </w:rPr>
        <w:t xml:space="preserve">appeals from a judgment rendered </w:t>
      </w:r>
      <w:proofErr w:type="gramStart"/>
      <w:r w:rsidRPr="00926147">
        <w:rPr>
          <w:lang w:val="en-CA"/>
        </w:rPr>
        <w:t>in the course of</w:t>
      </w:r>
      <w:proofErr w:type="gramEnd"/>
      <w:r w:rsidRPr="00926147">
        <w:rPr>
          <w:lang w:val="en-CA"/>
        </w:rPr>
        <w:t xml:space="preserve"> proceedings by the Honourable Justice Sylvain Lussier of the Superior Court, </w:t>
      </w:r>
      <w:r w:rsidR="00D42E6D" w:rsidRPr="00926147">
        <w:rPr>
          <w:lang w:val="en-CA"/>
        </w:rPr>
        <w:t>D</w:t>
      </w:r>
      <w:r w:rsidRPr="00926147">
        <w:rPr>
          <w:lang w:val="en-CA"/>
        </w:rPr>
        <w:t>istrict of Montreal, on June 16, 2021</w:t>
      </w:r>
      <w:r w:rsidR="00D42E6D" w:rsidRPr="00926147">
        <w:rPr>
          <w:lang w:val="en-CA"/>
        </w:rPr>
        <w:t xml:space="preserve">, denying </w:t>
      </w:r>
      <w:r w:rsidRPr="00926147">
        <w:rPr>
          <w:lang w:val="en-CA"/>
        </w:rPr>
        <w:t>his</w:t>
      </w:r>
      <w:r w:rsidR="00E01746" w:rsidRPr="00926147">
        <w:rPr>
          <w:lang w:val="en-CA"/>
        </w:rPr>
        <w:t xml:space="preserve"> </w:t>
      </w:r>
      <w:r w:rsidR="00B55599" w:rsidRPr="00926147">
        <w:rPr>
          <w:lang w:val="en-CA"/>
        </w:rPr>
        <w:t xml:space="preserve">application </w:t>
      </w:r>
      <w:r w:rsidR="00FC0879">
        <w:rPr>
          <w:lang w:val="en-CA"/>
        </w:rPr>
        <w:t xml:space="preserve">to depersonalize </w:t>
      </w:r>
      <w:r w:rsidR="007318B5">
        <w:rPr>
          <w:lang w:val="en-CA"/>
        </w:rPr>
        <w:t>the proceedings and his application for a</w:t>
      </w:r>
      <w:r w:rsidR="00FC0879">
        <w:rPr>
          <w:lang w:val="en-CA"/>
        </w:rPr>
        <w:t xml:space="preserve"> publication and</w:t>
      </w:r>
      <w:r w:rsidR="004E4DCB">
        <w:rPr>
          <w:lang w:val="en-CA"/>
        </w:rPr>
        <w:t xml:space="preserve"> </w:t>
      </w:r>
      <w:r w:rsidR="00416529">
        <w:rPr>
          <w:lang w:val="en-CA"/>
        </w:rPr>
        <w:t>dissemination</w:t>
      </w:r>
      <w:r w:rsidR="007318B5">
        <w:rPr>
          <w:lang w:val="en-CA"/>
        </w:rPr>
        <w:t xml:space="preserve"> ban</w:t>
      </w:r>
      <w:r w:rsidR="00B55599" w:rsidRPr="00926147">
        <w:rPr>
          <w:lang w:val="en-CA"/>
        </w:rPr>
        <w:t>.</w:t>
      </w:r>
    </w:p>
    <w:p w14:paraId="2B28076E" w14:textId="77777777" w:rsidR="00730FB0" w:rsidRPr="00926147" w:rsidRDefault="00E0676B" w:rsidP="00EC7DB4">
      <w:pPr>
        <w:pStyle w:val="Paragraphe"/>
        <w:keepNext/>
        <w:keepLines/>
        <w:numPr>
          <w:ilvl w:val="0"/>
          <w:numId w:val="0"/>
        </w:numPr>
        <w:spacing w:line="280" w:lineRule="exact"/>
        <w:rPr>
          <w:lang w:val="en-CA"/>
        </w:rPr>
      </w:pPr>
      <w:r w:rsidRPr="00926147">
        <w:rPr>
          <w:lang w:val="en-CA"/>
        </w:rPr>
        <w:t xml:space="preserve">For the reasons of </w:t>
      </w:r>
      <w:r w:rsidR="00E01746" w:rsidRPr="00926147">
        <w:rPr>
          <w:lang w:val="en-CA"/>
        </w:rPr>
        <w:t xml:space="preserve">Lavallée, </w:t>
      </w:r>
      <w:r w:rsidRPr="00926147">
        <w:rPr>
          <w:lang w:val="en-CA"/>
        </w:rPr>
        <w:t>J.A., with which</w:t>
      </w:r>
      <w:r w:rsidR="00E01746" w:rsidRPr="00926147">
        <w:rPr>
          <w:lang w:val="en-CA"/>
        </w:rPr>
        <w:t xml:space="preserve"> Pelletier </w:t>
      </w:r>
      <w:r w:rsidRPr="00926147">
        <w:rPr>
          <w:lang w:val="en-CA"/>
        </w:rPr>
        <w:t xml:space="preserve">and </w:t>
      </w:r>
      <w:proofErr w:type="spellStart"/>
      <w:r w:rsidR="00E01746" w:rsidRPr="00926147">
        <w:rPr>
          <w:lang w:val="en-CA"/>
        </w:rPr>
        <w:t>Vauclair</w:t>
      </w:r>
      <w:proofErr w:type="spellEnd"/>
      <w:r w:rsidRPr="00926147">
        <w:rPr>
          <w:lang w:val="en-CA"/>
        </w:rPr>
        <w:t xml:space="preserve"> JJ.A. agree</w:t>
      </w:r>
      <w:r w:rsidR="00E01746" w:rsidRPr="00926147">
        <w:rPr>
          <w:lang w:val="en-CA"/>
        </w:rPr>
        <w:t xml:space="preserve">, </w:t>
      </w:r>
      <w:r w:rsidRPr="00926147">
        <w:rPr>
          <w:b/>
          <w:bCs/>
          <w:lang w:val="en-CA"/>
        </w:rPr>
        <w:t>THE COURT</w:t>
      </w:r>
      <w:r w:rsidR="00E01746" w:rsidRPr="00926147">
        <w:rPr>
          <w:b/>
          <w:bCs/>
          <w:lang w:val="en-CA"/>
        </w:rPr>
        <w:t>:</w:t>
      </w:r>
    </w:p>
    <w:p w14:paraId="39B1D4F6" w14:textId="77777777" w:rsidR="00730FB0" w:rsidRPr="00926147" w:rsidRDefault="00C03209" w:rsidP="00EC7DB4">
      <w:pPr>
        <w:pStyle w:val="Paragraphe"/>
        <w:spacing w:line="280" w:lineRule="exact"/>
        <w:rPr>
          <w:lang w:val="en-CA"/>
        </w:rPr>
      </w:pPr>
      <w:r w:rsidRPr="00926147">
        <w:rPr>
          <w:b/>
          <w:lang w:val="en-CA"/>
        </w:rPr>
        <w:t>DISMISSES</w:t>
      </w:r>
      <w:r w:rsidR="00E01746" w:rsidRPr="00926147">
        <w:rPr>
          <w:lang w:val="en-CA"/>
        </w:rPr>
        <w:t xml:space="preserve"> </w:t>
      </w:r>
      <w:r w:rsidRPr="00926147">
        <w:rPr>
          <w:lang w:val="en-CA"/>
        </w:rPr>
        <w:t>the appeal</w:t>
      </w:r>
      <w:r w:rsidR="00E01746" w:rsidRPr="00926147">
        <w:rPr>
          <w:lang w:val="en-CA"/>
        </w:rPr>
        <w:t xml:space="preserve">, </w:t>
      </w:r>
      <w:r w:rsidRPr="00926147">
        <w:rPr>
          <w:lang w:val="en-CA"/>
        </w:rPr>
        <w:t>with legal costs</w:t>
      </w:r>
      <w:r w:rsidR="00E01746" w:rsidRPr="00926147">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3F1630" w:rsidRPr="00BA03A6" w14:paraId="1FF30C1C" w14:textId="77777777" w:rsidTr="003E3239">
        <w:trPr>
          <w:trHeight w:val="576"/>
        </w:trPr>
        <w:tc>
          <w:tcPr>
            <w:tcW w:w="9362" w:type="dxa"/>
            <w:gridSpan w:val="3"/>
            <w:tcBorders>
              <w:top w:val="nil"/>
              <w:bottom w:val="nil"/>
            </w:tcBorders>
          </w:tcPr>
          <w:p w14:paraId="7643BE93" w14:textId="77777777" w:rsidR="008F364A" w:rsidRPr="00926147" w:rsidRDefault="008F364A">
            <w:pPr>
              <w:keepNext/>
              <w:rPr>
                <w:lang w:val="en-CA"/>
              </w:rPr>
            </w:pPr>
          </w:p>
        </w:tc>
      </w:tr>
      <w:tr w:rsidR="003F1630" w:rsidRPr="00BA03A6" w14:paraId="7F9EBD76" w14:textId="77777777" w:rsidTr="00117914">
        <w:trPr>
          <w:trHeight w:val="283"/>
        </w:trPr>
        <w:tc>
          <w:tcPr>
            <w:tcW w:w="4682" w:type="dxa"/>
            <w:gridSpan w:val="2"/>
            <w:tcBorders>
              <w:top w:val="nil"/>
              <w:bottom w:val="nil"/>
            </w:tcBorders>
          </w:tcPr>
          <w:p w14:paraId="4A2447A4" w14:textId="77777777" w:rsidR="008F364A" w:rsidRPr="00926147" w:rsidRDefault="008F364A">
            <w:pPr>
              <w:keepNext/>
              <w:rPr>
                <w:lang w:val="en-CA"/>
              </w:rPr>
            </w:pPr>
          </w:p>
        </w:tc>
        <w:tc>
          <w:tcPr>
            <w:tcW w:w="4680" w:type="dxa"/>
            <w:tcBorders>
              <w:top w:val="nil"/>
              <w:bottom w:val="single" w:sz="8" w:space="0" w:color="auto"/>
            </w:tcBorders>
          </w:tcPr>
          <w:p w14:paraId="6CDD44A1" w14:textId="77777777" w:rsidR="008F364A" w:rsidRPr="00926147" w:rsidRDefault="008F364A">
            <w:pPr>
              <w:keepNext/>
              <w:rPr>
                <w:lang w:val="en-CA"/>
              </w:rPr>
            </w:pPr>
          </w:p>
        </w:tc>
      </w:tr>
      <w:tr w:rsidR="003F1630" w:rsidRPr="00926147" w14:paraId="7434D5F5" w14:textId="77777777" w:rsidTr="00117914">
        <w:trPr>
          <w:trHeight w:val="283"/>
        </w:trPr>
        <w:tc>
          <w:tcPr>
            <w:tcW w:w="4682" w:type="dxa"/>
            <w:gridSpan w:val="2"/>
            <w:tcBorders>
              <w:top w:val="nil"/>
            </w:tcBorders>
          </w:tcPr>
          <w:p w14:paraId="07D74424" w14:textId="77777777" w:rsidR="008F364A" w:rsidRPr="00926147" w:rsidRDefault="008F364A">
            <w:pPr>
              <w:keepNext/>
              <w:rPr>
                <w:lang w:val="en-CA"/>
              </w:rPr>
            </w:pPr>
          </w:p>
        </w:tc>
        <w:tc>
          <w:tcPr>
            <w:tcW w:w="4680" w:type="dxa"/>
            <w:tcBorders>
              <w:top w:val="single" w:sz="8" w:space="0" w:color="auto"/>
            </w:tcBorders>
          </w:tcPr>
          <w:p w14:paraId="685DDEAF" w14:textId="77777777" w:rsidR="008F364A" w:rsidRPr="00926147" w:rsidRDefault="00E01746">
            <w:pPr>
              <w:rPr>
                <w:lang w:val="en-CA"/>
              </w:rPr>
            </w:pPr>
            <w:r w:rsidRPr="00926147">
              <w:rPr>
                <w:lang w:val="en-CA"/>
              </w:rPr>
              <w:t>FRANÇOIS PELLETIER, J.A.</w:t>
            </w:r>
          </w:p>
        </w:tc>
      </w:tr>
      <w:tr w:rsidR="003F1630" w:rsidRPr="00926147" w14:paraId="7F03E7CB" w14:textId="77777777" w:rsidTr="00117914">
        <w:trPr>
          <w:trHeight w:val="283"/>
        </w:trPr>
        <w:tc>
          <w:tcPr>
            <w:tcW w:w="4682" w:type="dxa"/>
            <w:gridSpan w:val="2"/>
            <w:tcBorders>
              <w:top w:val="nil"/>
            </w:tcBorders>
          </w:tcPr>
          <w:p w14:paraId="2A0117E8" w14:textId="77777777" w:rsidR="008F364A" w:rsidRPr="00926147" w:rsidRDefault="008F364A">
            <w:pPr>
              <w:keepNext/>
              <w:rPr>
                <w:lang w:val="en-CA"/>
              </w:rPr>
            </w:pPr>
            <w:bookmarkStart w:id="9" w:name="Signature2"/>
          </w:p>
        </w:tc>
        <w:tc>
          <w:tcPr>
            <w:tcW w:w="4680" w:type="dxa"/>
            <w:tcBorders>
              <w:top w:val="nil"/>
            </w:tcBorders>
          </w:tcPr>
          <w:p w14:paraId="06FEFB86" w14:textId="77777777" w:rsidR="008F364A" w:rsidRPr="00926147" w:rsidRDefault="008F364A">
            <w:pPr>
              <w:keepNext/>
              <w:rPr>
                <w:lang w:val="en-CA"/>
              </w:rPr>
            </w:pPr>
          </w:p>
        </w:tc>
      </w:tr>
      <w:tr w:rsidR="003F1630" w:rsidRPr="00926147" w14:paraId="5C36F5AF" w14:textId="77777777" w:rsidTr="00117914">
        <w:trPr>
          <w:trHeight w:val="283"/>
        </w:trPr>
        <w:tc>
          <w:tcPr>
            <w:tcW w:w="4682" w:type="dxa"/>
            <w:gridSpan w:val="2"/>
            <w:tcBorders>
              <w:top w:val="nil"/>
              <w:bottom w:val="nil"/>
            </w:tcBorders>
          </w:tcPr>
          <w:p w14:paraId="53E045B7" w14:textId="77777777" w:rsidR="008F364A" w:rsidRPr="00926147" w:rsidRDefault="008F364A">
            <w:pPr>
              <w:keepNext/>
              <w:rPr>
                <w:lang w:val="en-CA"/>
              </w:rPr>
            </w:pPr>
          </w:p>
        </w:tc>
        <w:tc>
          <w:tcPr>
            <w:tcW w:w="4680" w:type="dxa"/>
            <w:tcBorders>
              <w:top w:val="nil"/>
              <w:bottom w:val="single" w:sz="8" w:space="0" w:color="auto"/>
            </w:tcBorders>
          </w:tcPr>
          <w:p w14:paraId="5DDF57C4" w14:textId="77777777" w:rsidR="008F364A" w:rsidRPr="00926147" w:rsidRDefault="008F364A">
            <w:pPr>
              <w:keepNext/>
              <w:rPr>
                <w:lang w:val="en-CA"/>
              </w:rPr>
            </w:pPr>
          </w:p>
        </w:tc>
      </w:tr>
      <w:tr w:rsidR="003F1630" w:rsidRPr="00926147" w14:paraId="0AD1A2DC" w14:textId="77777777" w:rsidTr="00117914">
        <w:trPr>
          <w:trHeight w:val="283"/>
        </w:trPr>
        <w:tc>
          <w:tcPr>
            <w:tcW w:w="4682" w:type="dxa"/>
            <w:gridSpan w:val="2"/>
            <w:tcBorders>
              <w:top w:val="nil"/>
            </w:tcBorders>
          </w:tcPr>
          <w:p w14:paraId="437C219A" w14:textId="77777777" w:rsidR="008F364A" w:rsidRPr="00926147" w:rsidRDefault="008F364A">
            <w:pPr>
              <w:keepNext/>
              <w:rPr>
                <w:lang w:val="en-CA"/>
              </w:rPr>
            </w:pPr>
          </w:p>
        </w:tc>
        <w:tc>
          <w:tcPr>
            <w:tcW w:w="4680" w:type="dxa"/>
            <w:tcBorders>
              <w:top w:val="single" w:sz="8" w:space="0" w:color="auto"/>
            </w:tcBorders>
          </w:tcPr>
          <w:p w14:paraId="0C21E16C" w14:textId="77777777" w:rsidR="008F364A" w:rsidRPr="00926147" w:rsidRDefault="00E01746">
            <w:pPr>
              <w:keepNext/>
              <w:rPr>
                <w:lang w:val="en-CA"/>
              </w:rPr>
            </w:pPr>
            <w:r w:rsidRPr="00926147">
              <w:rPr>
                <w:lang w:val="en-CA"/>
              </w:rPr>
              <w:t>MARTIN VAUCLAIR, J.A.</w:t>
            </w:r>
          </w:p>
        </w:tc>
      </w:tr>
      <w:tr w:rsidR="003F1630" w:rsidRPr="00926147" w14:paraId="0692B2AD" w14:textId="77777777" w:rsidTr="00117914">
        <w:trPr>
          <w:trHeight w:val="283"/>
        </w:trPr>
        <w:tc>
          <w:tcPr>
            <w:tcW w:w="4682" w:type="dxa"/>
            <w:gridSpan w:val="2"/>
            <w:tcBorders>
              <w:top w:val="nil"/>
            </w:tcBorders>
          </w:tcPr>
          <w:p w14:paraId="2761955C" w14:textId="77777777" w:rsidR="008F364A" w:rsidRPr="00926147" w:rsidRDefault="008F364A">
            <w:pPr>
              <w:keepNext/>
              <w:rPr>
                <w:lang w:val="en-CA"/>
              </w:rPr>
            </w:pPr>
            <w:bookmarkStart w:id="10" w:name="Signature3"/>
            <w:bookmarkEnd w:id="9"/>
          </w:p>
        </w:tc>
        <w:tc>
          <w:tcPr>
            <w:tcW w:w="4680" w:type="dxa"/>
            <w:tcBorders>
              <w:top w:val="nil"/>
            </w:tcBorders>
          </w:tcPr>
          <w:p w14:paraId="65ABB02E" w14:textId="77777777" w:rsidR="008F364A" w:rsidRPr="00926147" w:rsidRDefault="008F364A">
            <w:pPr>
              <w:keepNext/>
              <w:rPr>
                <w:lang w:val="en-CA"/>
              </w:rPr>
            </w:pPr>
          </w:p>
        </w:tc>
      </w:tr>
      <w:tr w:rsidR="003F1630" w:rsidRPr="00926147" w14:paraId="3F050782" w14:textId="77777777" w:rsidTr="00117914">
        <w:trPr>
          <w:trHeight w:val="283"/>
        </w:trPr>
        <w:tc>
          <w:tcPr>
            <w:tcW w:w="4682" w:type="dxa"/>
            <w:gridSpan w:val="2"/>
            <w:tcBorders>
              <w:top w:val="nil"/>
              <w:bottom w:val="nil"/>
            </w:tcBorders>
          </w:tcPr>
          <w:p w14:paraId="44DD41C8" w14:textId="77777777" w:rsidR="008F364A" w:rsidRPr="00926147" w:rsidRDefault="008F364A">
            <w:pPr>
              <w:keepNext/>
              <w:rPr>
                <w:lang w:val="en-CA"/>
              </w:rPr>
            </w:pPr>
          </w:p>
        </w:tc>
        <w:tc>
          <w:tcPr>
            <w:tcW w:w="4680" w:type="dxa"/>
            <w:tcBorders>
              <w:top w:val="nil"/>
              <w:bottom w:val="single" w:sz="8" w:space="0" w:color="auto"/>
            </w:tcBorders>
          </w:tcPr>
          <w:p w14:paraId="77317290" w14:textId="77777777" w:rsidR="008F364A" w:rsidRPr="00926147" w:rsidRDefault="008F364A">
            <w:pPr>
              <w:keepNext/>
              <w:rPr>
                <w:lang w:val="en-CA"/>
              </w:rPr>
            </w:pPr>
          </w:p>
        </w:tc>
      </w:tr>
      <w:tr w:rsidR="003F1630" w:rsidRPr="00926147" w14:paraId="68F55666" w14:textId="77777777" w:rsidTr="00117914">
        <w:trPr>
          <w:trHeight w:val="283"/>
        </w:trPr>
        <w:tc>
          <w:tcPr>
            <w:tcW w:w="4682" w:type="dxa"/>
            <w:gridSpan w:val="2"/>
            <w:tcBorders>
              <w:top w:val="nil"/>
            </w:tcBorders>
          </w:tcPr>
          <w:p w14:paraId="3EFDD02E" w14:textId="77777777" w:rsidR="008F364A" w:rsidRPr="00926147" w:rsidRDefault="008F364A">
            <w:pPr>
              <w:keepNext/>
              <w:rPr>
                <w:lang w:val="en-CA"/>
              </w:rPr>
            </w:pPr>
          </w:p>
        </w:tc>
        <w:tc>
          <w:tcPr>
            <w:tcW w:w="4680" w:type="dxa"/>
            <w:tcBorders>
              <w:top w:val="single" w:sz="8" w:space="0" w:color="auto"/>
            </w:tcBorders>
          </w:tcPr>
          <w:p w14:paraId="2A285944" w14:textId="77777777" w:rsidR="008F364A" w:rsidRPr="00926147" w:rsidRDefault="00E01746">
            <w:pPr>
              <w:keepNext/>
              <w:rPr>
                <w:lang w:val="en-CA"/>
              </w:rPr>
            </w:pPr>
            <w:r w:rsidRPr="00926147">
              <w:rPr>
                <w:lang w:val="en-CA"/>
              </w:rPr>
              <w:t>SOPHIE LAVALLÉE, J.A.</w:t>
            </w:r>
          </w:p>
        </w:tc>
      </w:tr>
      <w:bookmarkEnd w:id="10"/>
      <w:tr w:rsidR="003F1630" w:rsidRPr="00926147" w14:paraId="582CB959" w14:textId="77777777" w:rsidTr="00423DF1">
        <w:tc>
          <w:tcPr>
            <w:tcW w:w="9362" w:type="dxa"/>
            <w:gridSpan w:val="3"/>
          </w:tcPr>
          <w:p w14:paraId="270078F3" w14:textId="77777777" w:rsidR="005A78BF" w:rsidRPr="00926147" w:rsidRDefault="005A78BF" w:rsidP="005A78BF">
            <w:pPr>
              <w:rPr>
                <w:lang w:val="en-CA"/>
              </w:rPr>
            </w:pPr>
          </w:p>
        </w:tc>
      </w:tr>
      <w:tr w:rsidR="003F1630" w:rsidRPr="00926147" w14:paraId="2051992A" w14:textId="77777777" w:rsidTr="00423DF1">
        <w:tc>
          <w:tcPr>
            <w:tcW w:w="9362" w:type="dxa"/>
            <w:gridSpan w:val="3"/>
          </w:tcPr>
          <w:p w14:paraId="46CF7894" w14:textId="77777777" w:rsidR="005A78BF" w:rsidRPr="00926147" w:rsidRDefault="00E01746" w:rsidP="005A78BF">
            <w:pPr>
              <w:pStyle w:val="zSoquijdatNomProcureurDem"/>
              <w:rPr>
                <w:lang w:val="en-CA"/>
              </w:rPr>
            </w:pPr>
            <w:r w:rsidRPr="00926147">
              <w:rPr>
                <w:lang w:val="en-CA"/>
              </w:rPr>
              <w:t>M</w:t>
            </w:r>
            <w:r w:rsidR="00C03209" w:rsidRPr="00926147">
              <w:rPr>
                <w:lang w:val="en-CA"/>
              </w:rPr>
              <w:t>tre</w:t>
            </w:r>
            <w:r w:rsidRPr="00926147">
              <w:rPr>
                <w:lang w:val="en-CA"/>
              </w:rPr>
              <w:t xml:space="preserve"> Josée Therrien</w:t>
            </w:r>
          </w:p>
        </w:tc>
      </w:tr>
      <w:tr w:rsidR="003F1630" w:rsidRPr="00926147" w14:paraId="08BDB9FB" w14:textId="77777777" w:rsidTr="00423DF1">
        <w:tc>
          <w:tcPr>
            <w:tcW w:w="9362" w:type="dxa"/>
            <w:gridSpan w:val="3"/>
          </w:tcPr>
          <w:p w14:paraId="756D9A19" w14:textId="77777777" w:rsidR="005A78BF" w:rsidRPr="00926147" w:rsidRDefault="00E01746" w:rsidP="005A78BF">
            <w:pPr>
              <w:pStyle w:val="zSoquijdatCabinetProcureurDem"/>
              <w:rPr>
                <w:lang w:val="en-CA"/>
              </w:rPr>
            </w:pPr>
            <w:r w:rsidRPr="00926147">
              <w:rPr>
                <w:lang w:val="en-CA"/>
              </w:rPr>
              <w:t>VERREAU DUFRESNE AVOCATS</w:t>
            </w:r>
          </w:p>
        </w:tc>
      </w:tr>
      <w:tr w:rsidR="003F1630" w:rsidRPr="00926147" w14:paraId="69097F60" w14:textId="77777777" w:rsidTr="00423DF1">
        <w:tc>
          <w:tcPr>
            <w:tcW w:w="9362" w:type="dxa"/>
            <w:gridSpan w:val="3"/>
          </w:tcPr>
          <w:p w14:paraId="71948043" w14:textId="77777777" w:rsidR="005A78BF" w:rsidRPr="00926147" w:rsidRDefault="00C03209" w:rsidP="005A78BF">
            <w:pPr>
              <w:pStyle w:val="zSoquijlblProcureurDem"/>
              <w:rPr>
                <w:lang w:val="en-CA"/>
              </w:rPr>
            </w:pPr>
            <w:r w:rsidRPr="00926147">
              <w:rPr>
                <w:lang w:val="en-CA"/>
              </w:rPr>
              <w:t>For the appellants</w:t>
            </w:r>
          </w:p>
        </w:tc>
      </w:tr>
      <w:tr w:rsidR="003F1630" w:rsidRPr="00926147" w14:paraId="3F5A110B" w14:textId="77777777" w:rsidTr="00423DF1">
        <w:tc>
          <w:tcPr>
            <w:tcW w:w="9362" w:type="dxa"/>
            <w:gridSpan w:val="3"/>
          </w:tcPr>
          <w:p w14:paraId="2C687B97" w14:textId="77777777" w:rsidR="005A78BF" w:rsidRPr="00926147" w:rsidRDefault="005A78BF" w:rsidP="005A78BF">
            <w:pPr>
              <w:rPr>
                <w:lang w:val="en-CA"/>
              </w:rPr>
            </w:pPr>
          </w:p>
        </w:tc>
      </w:tr>
      <w:tr w:rsidR="003F1630" w:rsidRPr="00BA03A6" w14:paraId="7C26095D" w14:textId="77777777" w:rsidTr="00423DF1">
        <w:tc>
          <w:tcPr>
            <w:tcW w:w="9362" w:type="dxa"/>
            <w:gridSpan w:val="3"/>
          </w:tcPr>
          <w:p w14:paraId="7D4CADE1" w14:textId="77777777" w:rsidR="00E65A68" w:rsidRPr="00926147" w:rsidRDefault="00E01746" w:rsidP="005A78BF">
            <w:pPr>
              <w:pStyle w:val="zSoquijdatNomProcureurDef"/>
              <w:rPr>
                <w:lang w:val="en-CA"/>
              </w:rPr>
            </w:pPr>
            <w:r w:rsidRPr="00926147">
              <w:rPr>
                <w:lang w:val="en-CA"/>
              </w:rPr>
              <w:t>M</w:t>
            </w:r>
            <w:r w:rsidR="00C03209" w:rsidRPr="00926147">
              <w:rPr>
                <w:lang w:val="en-CA"/>
              </w:rPr>
              <w:t>tre</w:t>
            </w:r>
            <w:r w:rsidRPr="00926147">
              <w:rPr>
                <w:lang w:val="en-CA"/>
              </w:rPr>
              <w:t xml:space="preserve"> Justin Wee</w:t>
            </w:r>
          </w:p>
          <w:p w14:paraId="01B79D9C" w14:textId="77777777" w:rsidR="001F3EC3" w:rsidRPr="00926147" w:rsidRDefault="00E01746" w:rsidP="005A78BF">
            <w:pPr>
              <w:pStyle w:val="zSoquijdatNomProcureurDef"/>
              <w:rPr>
                <w:lang w:val="en-CA"/>
              </w:rPr>
            </w:pPr>
            <w:r w:rsidRPr="00926147">
              <w:rPr>
                <w:lang w:val="en-CA"/>
              </w:rPr>
              <w:t>M</w:t>
            </w:r>
            <w:r w:rsidR="00C03209" w:rsidRPr="00926147">
              <w:rPr>
                <w:lang w:val="en-CA"/>
              </w:rPr>
              <w:t>tre</w:t>
            </w:r>
            <w:r w:rsidRPr="00926147">
              <w:rPr>
                <w:lang w:val="en-CA"/>
              </w:rPr>
              <w:t xml:space="preserve"> </w:t>
            </w:r>
            <w:proofErr w:type="spellStart"/>
            <w:r w:rsidRPr="00926147">
              <w:rPr>
                <w:lang w:val="en-CA"/>
              </w:rPr>
              <w:t>Imane</w:t>
            </w:r>
            <w:proofErr w:type="spellEnd"/>
            <w:r w:rsidRPr="00926147">
              <w:rPr>
                <w:lang w:val="en-CA"/>
              </w:rPr>
              <w:t xml:space="preserve"> </w:t>
            </w:r>
            <w:proofErr w:type="spellStart"/>
            <w:r w:rsidRPr="00926147">
              <w:rPr>
                <w:lang w:val="en-CA"/>
              </w:rPr>
              <w:t>Melab</w:t>
            </w:r>
            <w:proofErr w:type="spellEnd"/>
          </w:p>
        </w:tc>
      </w:tr>
      <w:tr w:rsidR="003F1630" w:rsidRPr="00926147" w14:paraId="380361A7" w14:textId="77777777" w:rsidTr="00423DF1">
        <w:tc>
          <w:tcPr>
            <w:tcW w:w="9362" w:type="dxa"/>
            <w:gridSpan w:val="3"/>
          </w:tcPr>
          <w:p w14:paraId="5A422E9F" w14:textId="77777777" w:rsidR="005A78BF" w:rsidRPr="00926147" w:rsidRDefault="00E01746" w:rsidP="005A78BF">
            <w:pPr>
              <w:pStyle w:val="zSoquijdatCabinetProcureurDef"/>
              <w:rPr>
                <w:lang w:val="en-CA"/>
              </w:rPr>
            </w:pPr>
            <w:r w:rsidRPr="00926147">
              <w:rPr>
                <w:lang w:val="en-CA"/>
              </w:rPr>
              <w:t>ARSENAULT DUFRESNE WEE AVOCATS</w:t>
            </w:r>
          </w:p>
        </w:tc>
      </w:tr>
      <w:tr w:rsidR="003F1630" w:rsidRPr="00926147" w14:paraId="6FC5B1A1" w14:textId="77777777" w:rsidTr="00423DF1">
        <w:tc>
          <w:tcPr>
            <w:tcW w:w="9362" w:type="dxa"/>
            <w:gridSpan w:val="3"/>
          </w:tcPr>
          <w:p w14:paraId="74C61FFA" w14:textId="77777777" w:rsidR="005A78BF" w:rsidRPr="007C11EE" w:rsidRDefault="00C03209" w:rsidP="002E77E4">
            <w:pPr>
              <w:pStyle w:val="zSoquijlblProcureurDef"/>
            </w:pPr>
            <w:r w:rsidRPr="007C11EE">
              <w:t>For</w:t>
            </w:r>
            <w:r w:rsidR="00E01746" w:rsidRPr="007C11EE">
              <w:t xml:space="preserve"> </w:t>
            </w:r>
            <w:r w:rsidR="009D2928" w:rsidRPr="007C11EE">
              <w:t>Jean-François Robillard, Dis son nom</w:t>
            </w:r>
            <w:r w:rsidR="002E77E4" w:rsidRPr="007C11EE">
              <w:t xml:space="preserve">, </w:t>
            </w:r>
            <w:r w:rsidR="009D2928" w:rsidRPr="007C11EE">
              <w:t>Delphine Bergeron</w:t>
            </w:r>
            <w:r w:rsidR="00B65BC8">
              <w:t>,</w:t>
            </w:r>
            <w:r w:rsidR="002E77E4" w:rsidRPr="007C11EE">
              <w:t xml:space="preserve"> </w:t>
            </w:r>
            <w:r w:rsidRPr="007C11EE">
              <w:t>and</w:t>
            </w:r>
            <w:r w:rsidR="002E77E4" w:rsidRPr="007C11EE">
              <w:t xml:space="preserve"> A.A.</w:t>
            </w:r>
          </w:p>
        </w:tc>
      </w:tr>
      <w:tr w:rsidR="003F1630" w:rsidRPr="00926147" w14:paraId="3C1895C7" w14:textId="77777777" w:rsidTr="00423DF1">
        <w:tc>
          <w:tcPr>
            <w:tcW w:w="9362" w:type="dxa"/>
            <w:gridSpan w:val="3"/>
          </w:tcPr>
          <w:p w14:paraId="0E3C586A" w14:textId="77777777" w:rsidR="00E65A68" w:rsidRPr="007C11EE" w:rsidRDefault="00E65A68" w:rsidP="005A78BF"/>
        </w:tc>
      </w:tr>
      <w:tr w:rsidR="003F1630" w:rsidRPr="00926147" w14:paraId="5F49769C" w14:textId="77777777" w:rsidTr="00423DF1">
        <w:tc>
          <w:tcPr>
            <w:tcW w:w="9362" w:type="dxa"/>
            <w:gridSpan w:val="3"/>
          </w:tcPr>
          <w:p w14:paraId="1636C0C6" w14:textId="77777777" w:rsidR="00E65A68" w:rsidRPr="007C11EE" w:rsidRDefault="00E01746" w:rsidP="00E65A68">
            <w:pPr>
              <w:pStyle w:val="zSoquijdatNomProcureurDef"/>
            </w:pPr>
            <w:r w:rsidRPr="007C11EE">
              <w:t>M</w:t>
            </w:r>
            <w:r w:rsidR="00C03209" w:rsidRPr="007C11EE">
              <w:t>tre</w:t>
            </w:r>
            <w:r w:rsidRPr="007C11EE">
              <w:t xml:space="preserve"> Christian Leblanc</w:t>
            </w:r>
          </w:p>
          <w:p w14:paraId="4D8E185D" w14:textId="77777777" w:rsidR="00E65A68" w:rsidRPr="007C11EE" w:rsidRDefault="00E01746" w:rsidP="00E65A68">
            <w:pPr>
              <w:pStyle w:val="zSoquijdatNomProcureurDef"/>
            </w:pPr>
            <w:r w:rsidRPr="007C11EE">
              <w:t>M</w:t>
            </w:r>
            <w:r w:rsidR="00C03209" w:rsidRPr="007C11EE">
              <w:t>tre</w:t>
            </w:r>
            <w:r w:rsidRPr="007C11EE">
              <w:t xml:space="preserve"> Patricia Hénault</w:t>
            </w:r>
          </w:p>
        </w:tc>
      </w:tr>
      <w:tr w:rsidR="003F1630" w:rsidRPr="00926147" w14:paraId="6F2FA592" w14:textId="77777777" w:rsidTr="00423DF1">
        <w:tc>
          <w:tcPr>
            <w:tcW w:w="9362" w:type="dxa"/>
            <w:gridSpan w:val="3"/>
          </w:tcPr>
          <w:p w14:paraId="20581BCF" w14:textId="77777777" w:rsidR="00E65A68" w:rsidRPr="00926147" w:rsidRDefault="00E01746" w:rsidP="00E65A68">
            <w:pPr>
              <w:pStyle w:val="zSoquijdatCabinetProcureurDef"/>
              <w:rPr>
                <w:lang w:val="en-CA"/>
              </w:rPr>
            </w:pPr>
            <w:r w:rsidRPr="00926147">
              <w:rPr>
                <w:lang w:val="en-CA"/>
              </w:rPr>
              <w:t>FASKEN MARTINEAU DUMOULIN</w:t>
            </w:r>
          </w:p>
        </w:tc>
      </w:tr>
      <w:tr w:rsidR="003F1630" w:rsidRPr="00926147" w14:paraId="3422D728" w14:textId="77777777" w:rsidTr="00423DF1">
        <w:tc>
          <w:tcPr>
            <w:tcW w:w="9362" w:type="dxa"/>
            <w:gridSpan w:val="3"/>
          </w:tcPr>
          <w:p w14:paraId="11EFB5EC" w14:textId="77777777" w:rsidR="00E65A68" w:rsidRPr="007C11EE" w:rsidRDefault="00C03209" w:rsidP="009D2928">
            <w:pPr>
              <w:pStyle w:val="zSoquijlblProcureurDef"/>
            </w:pPr>
            <w:r w:rsidRPr="007C11EE">
              <w:t>For</w:t>
            </w:r>
            <w:r w:rsidR="00E01746" w:rsidRPr="007C11EE">
              <w:t xml:space="preserve"> </w:t>
            </w:r>
            <w:r w:rsidR="009D2928" w:rsidRPr="007C11EE">
              <w:t xml:space="preserve">Société Radio-Canada </w:t>
            </w:r>
            <w:r w:rsidRPr="007C11EE">
              <w:t>and</w:t>
            </w:r>
            <w:r w:rsidR="009D2928" w:rsidRPr="007C11EE">
              <w:t xml:space="preserve"> Le Devoir</w:t>
            </w:r>
          </w:p>
        </w:tc>
      </w:tr>
      <w:tr w:rsidR="003F1630" w:rsidRPr="00926147" w14:paraId="4CCEC40E" w14:textId="77777777" w:rsidTr="00423DF1">
        <w:tc>
          <w:tcPr>
            <w:tcW w:w="9362" w:type="dxa"/>
            <w:gridSpan w:val="3"/>
          </w:tcPr>
          <w:p w14:paraId="37A4EAC1" w14:textId="77777777" w:rsidR="005A78BF" w:rsidRPr="007C11EE" w:rsidRDefault="005A78BF" w:rsidP="005A78BF"/>
        </w:tc>
      </w:tr>
      <w:tr w:rsidR="003F1630" w:rsidRPr="00926147" w14:paraId="750978D2" w14:textId="77777777" w:rsidTr="00423DF1">
        <w:tc>
          <w:tcPr>
            <w:tcW w:w="1997" w:type="dxa"/>
          </w:tcPr>
          <w:p w14:paraId="3344340A" w14:textId="77777777" w:rsidR="005A78BF" w:rsidRPr="00926147" w:rsidRDefault="00E01746" w:rsidP="005A78BF">
            <w:pPr>
              <w:pStyle w:val="zSoquijlblDateAudience"/>
              <w:rPr>
                <w:lang w:val="en-CA"/>
              </w:rPr>
            </w:pPr>
            <w:r w:rsidRPr="00926147">
              <w:rPr>
                <w:lang w:val="en-CA"/>
              </w:rPr>
              <w:t xml:space="preserve">Date </w:t>
            </w:r>
            <w:r w:rsidR="00661766" w:rsidRPr="00926147">
              <w:rPr>
                <w:lang w:val="en-CA"/>
              </w:rPr>
              <w:t>of hearing:</w:t>
            </w:r>
          </w:p>
        </w:tc>
        <w:tc>
          <w:tcPr>
            <w:tcW w:w="7365" w:type="dxa"/>
            <w:gridSpan w:val="2"/>
          </w:tcPr>
          <w:p w14:paraId="5A8D2D23" w14:textId="77777777" w:rsidR="005A78BF" w:rsidRPr="00926147" w:rsidRDefault="00661766" w:rsidP="005A78BF">
            <w:pPr>
              <w:pStyle w:val="zSoquijdatDateAudience"/>
              <w:rPr>
                <w:lang w:val="en-CA"/>
              </w:rPr>
            </w:pPr>
            <w:r w:rsidRPr="00926147">
              <w:rPr>
                <w:lang w:val="en-CA"/>
              </w:rPr>
              <w:t xml:space="preserve">April 1, </w:t>
            </w:r>
            <w:r w:rsidR="00E01746" w:rsidRPr="00926147">
              <w:rPr>
                <w:lang w:val="en-CA"/>
              </w:rPr>
              <w:t>2022</w:t>
            </w:r>
          </w:p>
        </w:tc>
      </w:tr>
    </w:tbl>
    <w:p w14:paraId="076CF9B8" w14:textId="77777777" w:rsidR="009F612A" w:rsidRPr="00926147" w:rsidRDefault="009F612A" w:rsidP="009F612A">
      <w:pPr>
        <w:rPr>
          <w:lang w:val="en-CA"/>
        </w:rPr>
        <w:sectPr w:rsidR="009F612A" w:rsidRPr="00926147" w:rsidSect="003A59AD">
          <w:footnotePr>
            <w:numRestart w:val="eachSect"/>
          </w:footnotePr>
          <w:pgSz w:w="12242" w:h="15842" w:code="1"/>
          <w:pgMar w:top="1440" w:right="1009" w:bottom="1440" w:left="1871" w:header="1440" w:footer="794" w:gutter="0"/>
          <w:pgNumType w:start="2"/>
          <w:cols w:space="720"/>
          <w:formProt w:val="0"/>
          <w:titlePg/>
          <w:docGrid w:linePitch="326"/>
        </w:sectPr>
      </w:pPr>
      <w:bookmarkStart w:id="11" w:name="Opinion"/>
      <w:bookmarkEnd w:id="8"/>
    </w:p>
    <w:tbl>
      <w:tblPr>
        <w:tblW w:w="0" w:type="auto"/>
        <w:tblLayout w:type="fixed"/>
        <w:tblCellMar>
          <w:left w:w="0" w:type="dxa"/>
          <w:right w:w="0" w:type="dxa"/>
        </w:tblCellMar>
        <w:tblLook w:val="0000" w:firstRow="0" w:lastRow="0" w:firstColumn="0" w:lastColumn="0" w:noHBand="0" w:noVBand="0"/>
      </w:tblPr>
      <w:tblGrid>
        <w:gridCol w:w="9360"/>
      </w:tblGrid>
      <w:tr w:rsidR="003F1630" w:rsidRPr="00926147" w14:paraId="000AA6EB" w14:textId="77777777" w:rsidTr="00CA6189">
        <w:tc>
          <w:tcPr>
            <w:tcW w:w="9360" w:type="dxa"/>
            <w:tcBorders>
              <w:bottom w:val="single" w:sz="8" w:space="0" w:color="auto"/>
            </w:tcBorders>
          </w:tcPr>
          <w:p w14:paraId="7AB4AAD5" w14:textId="77777777" w:rsidR="009F612A" w:rsidRPr="00926147" w:rsidRDefault="009F612A" w:rsidP="00CA6189">
            <w:pPr>
              <w:rPr>
                <w:lang w:val="en-CA"/>
              </w:rPr>
            </w:pPr>
          </w:p>
        </w:tc>
      </w:tr>
      <w:tr w:rsidR="003F1630" w:rsidRPr="00926147" w14:paraId="5513C756" w14:textId="77777777" w:rsidTr="00CA6189">
        <w:tc>
          <w:tcPr>
            <w:tcW w:w="9360" w:type="dxa"/>
            <w:tcBorders>
              <w:top w:val="single" w:sz="8" w:space="0" w:color="auto"/>
            </w:tcBorders>
          </w:tcPr>
          <w:p w14:paraId="33B22A76" w14:textId="77777777" w:rsidR="009F612A" w:rsidRPr="00926147" w:rsidRDefault="009F612A" w:rsidP="00CA6189">
            <w:pPr>
              <w:rPr>
                <w:lang w:val="en-CA"/>
              </w:rPr>
            </w:pPr>
          </w:p>
        </w:tc>
      </w:tr>
      <w:tr w:rsidR="003F1630" w:rsidRPr="00BA03A6" w14:paraId="24BBE15F" w14:textId="77777777" w:rsidTr="00CA6189">
        <w:tc>
          <w:tcPr>
            <w:tcW w:w="9360" w:type="dxa"/>
          </w:tcPr>
          <w:p w14:paraId="72D306E1" w14:textId="77777777" w:rsidR="009F612A" w:rsidRPr="00926147" w:rsidRDefault="00785099" w:rsidP="00CA6189">
            <w:pPr>
              <w:pStyle w:val="zSoquijlblOpinionJuge"/>
              <w:rPr>
                <w:lang w:val="en-CA"/>
              </w:rPr>
            </w:pPr>
            <w:r w:rsidRPr="00926147">
              <w:rPr>
                <w:lang w:val="en-CA"/>
              </w:rPr>
              <w:t>REASONS OF HOGUE, J.A.</w:t>
            </w:r>
          </w:p>
        </w:tc>
      </w:tr>
      <w:tr w:rsidR="003F1630" w:rsidRPr="00BA03A6" w14:paraId="632C8881" w14:textId="77777777" w:rsidTr="00CA6189">
        <w:tc>
          <w:tcPr>
            <w:tcW w:w="9360" w:type="dxa"/>
            <w:tcBorders>
              <w:bottom w:val="single" w:sz="8" w:space="0" w:color="auto"/>
            </w:tcBorders>
          </w:tcPr>
          <w:p w14:paraId="56C1C843" w14:textId="77777777" w:rsidR="009F612A" w:rsidRPr="00926147" w:rsidRDefault="009F612A" w:rsidP="00CA6189">
            <w:pPr>
              <w:rPr>
                <w:lang w:val="en-CA"/>
              </w:rPr>
            </w:pPr>
          </w:p>
        </w:tc>
      </w:tr>
      <w:tr w:rsidR="003F1630" w:rsidRPr="00BA03A6" w14:paraId="78244E58" w14:textId="77777777" w:rsidTr="00CA6189">
        <w:tc>
          <w:tcPr>
            <w:tcW w:w="9360" w:type="dxa"/>
            <w:tcBorders>
              <w:top w:val="single" w:sz="8" w:space="0" w:color="auto"/>
            </w:tcBorders>
          </w:tcPr>
          <w:p w14:paraId="3E7DB8B8" w14:textId="77777777" w:rsidR="009F612A" w:rsidRPr="00926147" w:rsidRDefault="009F612A" w:rsidP="00CA6189">
            <w:pPr>
              <w:rPr>
                <w:lang w:val="en-CA"/>
              </w:rPr>
            </w:pPr>
          </w:p>
        </w:tc>
      </w:tr>
    </w:tbl>
    <w:p w14:paraId="23DE8E91" w14:textId="77777777" w:rsidR="009F612A" w:rsidRPr="00926147" w:rsidRDefault="00F01B96" w:rsidP="007D4E0C">
      <w:pPr>
        <w:pStyle w:val="Paragraphe"/>
        <w:spacing w:line="240" w:lineRule="auto"/>
        <w:rPr>
          <w:lang w:val="en-CA"/>
        </w:rPr>
      </w:pPr>
      <w:r w:rsidRPr="00926147">
        <w:rPr>
          <w:lang w:val="en-CA"/>
        </w:rPr>
        <w:t>Having discovered that his name was on a list published on Facebook by “Di</w:t>
      </w:r>
      <w:r w:rsidR="00E01746" w:rsidRPr="00926147">
        <w:rPr>
          <w:lang w:val="en-CA"/>
        </w:rPr>
        <w:t>s son nom</w:t>
      </w:r>
      <w:r w:rsidRPr="00926147">
        <w:rPr>
          <w:lang w:val="en-CA"/>
        </w:rPr>
        <w:t xml:space="preserve">” and on </w:t>
      </w:r>
      <w:r w:rsidR="00A86888">
        <w:rPr>
          <w:lang w:val="en-CA"/>
        </w:rPr>
        <w:t>the</w:t>
      </w:r>
      <w:r w:rsidRPr="00926147">
        <w:rPr>
          <w:lang w:val="en-CA"/>
        </w:rPr>
        <w:t xml:space="preserve"> personal </w:t>
      </w:r>
      <w:r w:rsidR="002A6B58" w:rsidRPr="00926147">
        <w:rPr>
          <w:lang w:val="en-CA"/>
        </w:rPr>
        <w:t>w</w:t>
      </w:r>
      <w:r w:rsidRPr="00926147">
        <w:rPr>
          <w:lang w:val="en-CA"/>
        </w:rPr>
        <w:t xml:space="preserve">eb page of </w:t>
      </w:r>
      <w:r w:rsidR="00E01746" w:rsidRPr="00926147">
        <w:rPr>
          <w:lang w:val="en-CA"/>
        </w:rPr>
        <w:t>Jean-François Robillard (</w:t>
      </w:r>
      <w:r w:rsidRPr="00926147">
        <w:rPr>
          <w:lang w:val="en-CA"/>
        </w:rPr>
        <w:t>“</w:t>
      </w:r>
      <w:r w:rsidR="00E01746" w:rsidRPr="00926147">
        <w:rPr>
          <w:lang w:val="en-CA"/>
        </w:rPr>
        <w:t>Robillard</w:t>
      </w:r>
      <w:r w:rsidRPr="00926147">
        <w:rPr>
          <w:lang w:val="en-CA"/>
        </w:rPr>
        <w:t>”</w:t>
      </w:r>
      <w:r w:rsidR="00E01746" w:rsidRPr="00926147">
        <w:rPr>
          <w:lang w:val="en-CA"/>
        </w:rPr>
        <w:t xml:space="preserve">) </w:t>
      </w:r>
      <w:r w:rsidR="00D37BF6">
        <w:rPr>
          <w:lang w:val="en-CA"/>
        </w:rPr>
        <w:t>tying</w:t>
      </w:r>
      <w:r w:rsidR="00EF164B">
        <w:rPr>
          <w:lang w:val="en-CA"/>
        </w:rPr>
        <w:t xml:space="preserve"> him to a</w:t>
      </w:r>
      <w:r w:rsidRPr="00926147">
        <w:rPr>
          <w:lang w:val="en-CA"/>
        </w:rPr>
        <w:t xml:space="preserve"> sexual assault, </w:t>
      </w:r>
      <w:r w:rsidR="00E01746" w:rsidRPr="00926147">
        <w:rPr>
          <w:lang w:val="en-CA"/>
        </w:rPr>
        <w:t xml:space="preserve">A.B. </w:t>
      </w:r>
      <w:r w:rsidR="00C00C9C">
        <w:rPr>
          <w:lang w:val="en-CA"/>
        </w:rPr>
        <w:t>commenced</w:t>
      </w:r>
      <w:r w:rsidR="00EF164B">
        <w:rPr>
          <w:lang w:val="en-CA"/>
        </w:rPr>
        <w:t xml:space="preserve"> </w:t>
      </w:r>
      <w:r w:rsidR="00A53EFB">
        <w:rPr>
          <w:lang w:val="en-CA"/>
        </w:rPr>
        <w:t xml:space="preserve">defamation </w:t>
      </w:r>
      <w:r w:rsidRPr="00926147">
        <w:rPr>
          <w:lang w:val="en-CA"/>
        </w:rPr>
        <w:t>proceedings against “Dis</w:t>
      </w:r>
      <w:r w:rsidR="007D4E0C" w:rsidRPr="00926147">
        <w:rPr>
          <w:lang w:val="en-CA"/>
        </w:rPr>
        <w:t> </w:t>
      </w:r>
      <w:r w:rsidRPr="00926147">
        <w:rPr>
          <w:lang w:val="en-CA"/>
        </w:rPr>
        <w:t>son nom” and Robillard</w:t>
      </w:r>
      <w:r w:rsidR="00E01746" w:rsidRPr="00926147">
        <w:rPr>
          <w:lang w:val="en-CA"/>
        </w:rPr>
        <w:t xml:space="preserve"> </w:t>
      </w:r>
      <w:r w:rsidRPr="00926147">
        <w:rPr>
          <w:lang w:val="en-CA"/>
        </w:rPr>
        <w:t xml:space="preserve">in conjunction with </w:t>
      </w:r>
      <w:proofErr w:type="spellStart"/>
      <w:r w:rsidR="00E01746" w:rsidRPr="00926147">
        <w:rPr>
          <w:lang w:val="en-CA"/>
        </w:rPr>
        <w:t>Fondation</w:t>
      </w:r>
      <w:proofErr w:type="spellEnd"/>
      <w:r w:rsidR="00E01746" w:rsidRPr="00926147">
        <w:rPr>
          <w:lang w:val="en-CA"/>
        </w:rPr>
        <w:t xml:space="preserve"> A.B.</w:t>
      </w:r>
      <w:r w:rsidR="0099338E">
        <w:rPr>
          <w:lang w:val="en-CA"/>
        </w:rPr>
        <w:t>,</w:t>
      </w:r>
      <w:r w:rsidRPr="00926147">
        <w:rPr>
          <w:lang w:val="en-CA"/>
        </w:rPr>
        <w:t xml:space="preserve"> </w:t>
      </w:r>
      <w:r w:rsidR="0099338E">
        <w:rPr>
          <w:lang w:val="en-CA"/>
        </w:rPr>
        <w:t xml:space="preserve">of which he is president and </w:t>
      </w:r>
      <w:r w:rsidR="00867658">
        <w:rPr>
          <w:lang w:val="en-CA"/>
        </w:rPr>
        <w:t>director</w:t>
      </w:r>
      <w:r w:rsidRPr="00926147">
        <w:rPr>
          <w:lang w:val="en-CA"/>
        </w:rPr>
        <w:t>.</w:t>
      </w:r>
    </w:p>
    <w:p w14:paraId="2C100940" w14:textId="77777777" w:rsidR="009F612A" w:rsidRPr="00926147" w:rsidRDefault="009F688B" w:rsidP="009F612A">
      <w:pPr>
        <w:pStyle w:val="Paragraphe"/>
        <w:spacing w:line="240" w:lineRule="auto"/>
        <w:rPr>
          <w:lang w:val="en-CA"/>
        </w:rPr>
      </w:pPr>
      <w:r>
        <w:rPr>
          <w:lang w:val="en-CA"/>
        </w:rPr>
        <w:t>The</w:t>
      </w:r>
      <w:r w:rsidR="00F01B96" w:rsidRPr="00926147">
        <w:rPr>
          <w:lang w:val="en-CA"/>
        </w:rPr>
        <w:t xml:space="preserve"> Honourable Justice</w:t>
      </w:r>
      <w:r w:rsidR="00E01746" w:rsidRPr="00926147">
        <w:rPr>
          <w:lang w:val="en-CA"/>
        </w:rPr>
        <w:t xml:space="preserve"> Sylvain</w:t>
      </w:r>
      <w:r w:rsidR="00DB0BC4" w:rsidRPr="00926147">
        <w:rPr>
          <w:lang w:val="en-CA"/>
        </w:rPr>
        <w:t xml:space="preserve"> Lussier </w:t>
      </w:r>
      <w:r w:rsidR="00F01B96" w:rsidRPr="00926147">
        <w:rPr>
          <w:lang w:val="en-CA"/>
        </w:rPr>
        <w:t xml:space="preserve">of the Superior Court </w:t>
      </w:r>
      <w:r>
        <w:rPr>
          <w:lang w:val="en-CA"/>
        </w:rPr>
        <w:t xml:space="preserve">rendered a judgment </w:t>
      </w:r>
      <w:proofErr w:type="gramStart"/>
      <w:r>
        <w:rPr>
          <w:lang w:val="en-CA"/>
        </w:rPr>
        <w:t>in the course of</w:t>
      </w:r>
      <w:proofErr w:type="gramEnd"/>
      <w:r>
        <w:rPr>
          <w:lang w:val="en-CA"/>
        </w:rPr>
        <w:t xml:space="preserve"> the proceedings</w:t>
      </w:r>
      <w:r w:rsidR="00AF6431">
        <w:rPr>
          <w:lang w:val="en-CA"/>
        </w:rPr>
        <w:t xml:space="preserve">, </w:t>
      </w:r>
      <w:r w:rsidR="00770AB8">
        <w:rPr>
          <w:lang w:val="en-CA"/>
        </w:rPr>
        <w:t>denying</w:t>
      </w:r>
      <w:r w:rsidR="00F01B96" w:rsidRPr="00926147">
        <w:rPr>
          <w:lang w:val="en-CA"/>
        </w:rPr>
        <w:t xml:space="preserve"> </w:t>
      </w:r>
      <w:r w:rsidR="00A86888">
        <w:rPr>
          <w:lang w:val="en-CA"/>
        </w:rPr>
        <w:t>their</w:t>
      </w:r>
      <w:r w:rsidR="00F01B96" w:rsidRPr="00926147">
        <w:rPr>
          <w:lang w:val="en-CA"/>
        </w:rPr>
        <w:t xml:space="preserve"> application </w:t>
      </w:r>
      <w:r w:rsidR="00001619">
        <w:rPr>
          <w:lang w:val="en-CA"/>
        </w:rPr>
        <w:t>for</w:t>
      </w:r>
      <w:r w:rsidR="002A6B58" w:rsidRPr="00926147">
        <w:rPr>
          <w:lang w:val="en-CA"/>
        </w:rPr>
        <w:t xml:space="preserve"> </w:t>
      </w:r>
      <w:r w:rsidR="00F97CC2">
        <w:rPr>
          <w:lang w:val="en-CA"/>
        </w:rPr>
        <w:t xml:space="preserve">the </w:t>
      </w:r>
      <w:r w:rsidR="00E41D11">
        <w:rPr>
          <w:lang w:val="en-CA"/>
        </w:rPr>
        <w:t>depersonaliz</w:t>
      </w:r>
      <w:r w:rsidR="00F97CC2">
        <w:rPr>
          <w:lang w:val="en-CA"/>
        </w:rPr>
        <w:t xml:space="preserve">ation of </w:t>
      </w:r>
      <w:r w:rsidR="002A6B58" w:rsidRPr="00926147">
        <w:rPr>
          <w:lang w:val="en-CA"/>
        </w:rPr>
        <w:t xml:space="preserve">the </w:t>
      </w:r>
      <w:r w:rsidR="00E41D11">
        <w:rPr>
          <w:lang w:val="en-CA"/>
        </w:rPr>
        <w:t>proceedings</w:t>
      </w:r>
      <w:r w:rsidR="002A6B58" w:rsidRPr="00926147">
        <w:rPr>
          <w:lang w:val="en-CA"/>
        </w:rPr>
        <w:t xml:space="preserve"> (including all exhibits and </w:t>
      </w:r>
      <w:r w:rsidR="002A6B58" w:rsidRPr="00E41D11">
        <w:rPr>
          <w:lang w:val="en-CA"/>
        </w:rPr>
        <w:t>testimony</w:t>
      </w:r>
      <w:r w:rsidR="002A6B58" w:rsidRPr="00926147">
        <w:rPr>
          <w:lang w:val="en-CA"/>
        </w:rPr>
        <w:t xml:space="preserve">) and </w:t>
      </w:r>
      <w:r w:rsidR="00001619">
        <w:rPr>
          <w:lang w:val="en-CA"/>
        </w:rPr>
        <w:t xml:space="preserve">their application </w:t>
      </w:r>
      <w:r w:rsidR="00594217">
        <w:rPr>
          <w:lang w:val="en-CA"/>
        </w:rPr>
        <w:t>to prohibit</w:t>
      </w:r>
      <w:r w:rsidR="00F97CC2">
        <w:rPr>
          <w:lang w:val="en-CA"/>
        </w:rPr>
        <w:t xml:space="preserve"> </w:t>
      </w:r>
      <w:r w:rsidR="00F20C3E">
        <w:rPr>
          <w:lang w:val="en-CA"/>
        </w:rPr>
        <w:t xml:space="preserve">their disclosure and </w:t>
      </w:r>
      <w:r w:rsidR="00A941DD">
        <w:rPr>
          <w:lang w:val="en-CA"/>
        </w:rPr>
        <w:t>dissemination</w:t>
      </w:r>
      <w:r w:rsidR="00AF6431">
        <w:rPr>
          <w:lang w:val="en-CA"/>
        </w:rPr>
        <w:t>,</w:t>
      </w:r>
      <w:r w:rsidR="00100828">
        <w:rPr>
          <w:lang w:val="en-CA"/>
        </w:rPr>
        <w:t xml:space="preserve"> but </w:t>
      </w:r>
      <w:r w:rsidR="00770AB8">
        <w:rPr>
          <w:lang w:val="en-CA"/>
        </w:rPr>
        <w:t>allowing</w:t>
      </w:r>
      <w:r w:rsidR="00F97CC2">
        <w:rPr>
          <w:lang w:val="en-CA"/>
        </w:rPr>
        <w:t xml:space="preserve"> </w:t>
      </w:r>
      <w:r w:rsidR="00A86888">
        <w:rPr>
          <w:lang w:val="en-CA"/>
        </w:rPr>
        <w:t>them</w:t>
      </w:r>
      <w:r w:rsidR="00F97CC2">
        <w:rPr>
          <w:lang w:val="en-CA"/>
        </w:rPr>
        <w:t xml:space="preserve"> to elect </w:t>
      </w:r>
      <w:r w:rsidR="002A6B58" w:rsidRPr="00926147">
        <w:rPr>
          <w:lang w:val="en-CA"/>
        </w:rPr>
        <w:t xml:space="preserve">domicile at </w:t>
      </w:r>
      <w:r w:rsidR="00E41D11">
        <w:rPr>
          <w:lang w:val="en-CA"/>
        </w:rPr>
        <w:t>their</w:t>
      </w:r>
      <w:r w:rsidR="002A6B58" w:rsidRPr="00926147">
        <w:rPr>
          <w:lang w:val="en-CA"/>
        </w:rPr>
        <w:t xml:space="preserve"> lawyers’ </w:t>
      </w:r>
      <w:r w:rsidR="00E41D11">
        <w:rPr>
          <w:lang w:val="en-CA"/>
        </w:rPr>
        <w:t>office</w:t>
      </w:r>
      <w:r w:rsidR="002A6B58" w:rsidRPr="00926147">
        <w:rPr>
          <w:lang w:val="en-CA"/>
        </w:rPr>
        <w:t>.</w:t>
      </w:r>
      <w:r w:rsidR="00E01746" w:rsidRPr="00926147">
        <w:rPr>
          <w:rStyle w:val="Appelnotedebasdep"/>
          <w:lang w:val="en-CA"/>
        </w:rPr>
        <w:footnoteReference w:id="1"/>
      </w:r>
    </w:p>
    <w:p w14:paraId="7E3F950B" w14:textId="77777777" w:rsidR="009F612A" w:rsidRPr="00926147" w:rsidRDefault="0049455B" w:rsidP="009F612A">
      <w:pPr>
        <w:pStyle w:val="Paragraphe"/>
        <w:spacing w:line="240" w:lineRule="auto"/>
        <w:rPr>
          <w:lang w:val="en-CA"/>
        </w:rPr>
      </w:pPr>
      <w:r w:rsidRPr="00926147">
        <w:rPr>
          <w:lang w:val="en-CA"/>
        </w:rPr>
        <w:t xml:space="preserve">The appellants </w:t>
      </w:r>
      <w:r w:rsidR="00AC7812" w:rsidRPr="00926147">
        <w:rPr>
          <w:lang w:val="en-CA"/>
        </w:rPr>
        <w:t>appeal from t</w:t>
      </w:r>
      <w:r w:rsidR="00EF4639">
        <w:rPr>
          <w:lang w:val="en-CA"/>
        </w:rPr>
        <w:t>hat</w:t>
      </w:r>
      <w:r w:rsidR="00AC7812" w:rsidRPr="00926147">
        <w:rPr>
          <w:lang w:val="en-CA"/>
        </w:rPr>
        <w:t xml:space="preserve"> </w:t>
      </w:r>
      <w:r w:rsidR="00001619">
        <w:rPr>
          <w:lang w:val="en-CA"/>
        </w:rPr>
        <w:t>decision</w:t>
      </w:r>
      <w:r w:rsidR="00AC7812" w:rsidRPr="00926147">
        <w:rPr>
          <w:lang w:val="en-CA"/>
        </w:rPr>
        <w:t xml:space="preserve">, </w:t>
      </w:r>
      <w:r w:rsidR="00E00A7D">
        <w:rPr>
          <w:lang w:val="en-CA"/>
        </w:rPr>
        <w:t xml:space="preserve">in </w:t>
      </w:r>
      <w:r w:rsidR="00AC7812" w:rsidRPr="00926147">
        <w:rPr>
          <w:lang w:val="en-CA"/>
        </w:rPr>
        <w:t xml:space="preserve">which </w:t>
      </w:r>
      <w:r w:rsidR="00E00A7D">
        <w:rPr>
          <w:lang w:val="en-CA"/>
        </w:rPr>
        <w:t xml:space="preserve">Lussier, J. </w:t>
      </w:r>
      <w:r w:rsidR="00AC7812" w:rsidRPr="00926147">
        <w:rPr>
          <w:lang w:val="en-CA"/>
        </w:rPr>
        <w:t xml:space="preserve">found that </w:t>
      </w:r>
      <w:r w:rsidR="00B578BE">
        <w:rPr>
          <w:lang w:val="en-CA"/>
        </w:rPr>
        <w:t>there was no need to depart</w:t>
      </w:r>
      <w:r w:rsidR="00486216">
        <w:rPr>
          <w:lang w:val="en-CA"/>
        </w:rPr>
        <w:t xml:space="preserve"> </w:t>
      </w:r>
      <w:r w:rsidR="001678B6">
        <w:rPr>
          <w:lang w:val="en-CA"/>
        </w:rPr>
        <w:t>from</w:t>
      </w:r>
      <w:r w:rsidR="00486216">
        <w:rPr>
          <w:lang w:val="en-CA"/>
        </w:rPr>
        <w:t xml:space="preserve"> </w:t>
      </w:r>
      <w:r w:rsidR="00AC7812" w:rsidRPr="00926147">
        <w:rPr>
          <w:lang w:val="en-CA"/>
        </w:rPr>
        <w:t xml:space="preserve">the presumption </w:t>
      </w:r>
      <w:r w:rsidR="00B578BE">
        <w:rPr>
          <w:lang w:val="en-CA"/>
        </w:rPr>
        <w:t xml:space="preserve">in favour of open court proceedings </w:t>
      </w:r>
      <w:r w:rsidR="00AC7812" w:rsidRPr="00926147">
        <w:rPr>
          <w:lang w:val="en-CA"/>
        </w:rPr>
        <w:t xml:space="preserve">to </w:t>
      </w:r>
      <w:r w:rsidR="00B578BE">
        <w:rPr>
          <w:lang w:val="en-CA"/>
        </w:rPr>
        <w:t>allow</w:t>
      </w:r>
      <w:r w:rsidR="00AC7812" w:rsidRPr="00926147">
        <w:rPr>
          <w:lang w:val="en-CA"/>
        </w:rPr>
        <w:t xml:space="preserve"> </w:t>
      </w:r>
      <w:r w:rsidR="000B385F">
        <w:rPr>
          <w:lang w:val="en-CA"/>
        </w:rPr>
        <w:t>the plaintiffs</w:t>
      </w:r>
      <w:r w:rsidR="00AC7812" w:rsidRPr="00926147">
        <w:rPr>
          <w:lang w:val="en-CA"/>
        </w:rPr>
        <w:t xml:space="preserve"> to </w:t>
      </w:r>
      <w:r w:rsidR="00B578BE">
        <w:rPr>
          <w:lang w:val="en-CA"/>
        </w:rPr>
        <w:t>sue</w:t>
      </w:r>
      <w:r w:rsidR="00352800">
        <w:rPr>
          <w:lang w:val="en-CA"/>
        </w:rPr>
        <w:t xml:space="preserve"> the</w:t>
      </w:r>
      <w:r w:rsidR="00AC7812" w:rsidRPr="00926147">
        <w:rPr>
          <w:lang w:val="en-CA"/>
        </w:rPr>
        <w:t xml:space="preserve"> respondents anonymously</w:t>
      </w:r>
      <w:r w:rsidR="00E01746" w:rsidRPr="00926147">
        <w:rPr>
          <w:lang w:val="en-CA"/>
        </w:rPr>
        <w:t>.</w:t>
      </w:r>
    </w:p>
    <w:p w14:paraId="6845BB0F" w14:textId="77777777" w:rsidR="009F612A" w:rsidRPr="00926147" w:rsidRDefault="00794985" w:rsidP="009F612A">
      <w:pPr>
        <w:pStyle w:val="Paragraphe"/>
        <w:spacing w:line="240" w:lineRule="auto"/>
        <w:rPr>
          <w:lang w:val="en-CA"/>
        </w:rPr>
      </w:pPr>
      <w:r w:rsidRPr="00926147">
        <w:rPr>
          <w:lang w:val="en-CA"/>
        </w:rPr>
        <w:t xml:space="preserve">The relatively straightforward facts </w:t>
      </w:r>
      <w:r w:rsidR="0065344C">
        <w:rPr>
          <w:lang w:val="en-CA"/>
        </w:rPr>
        <w:t xml:space="preserve">of this case </w:t>
      </w:r>
      <w:r w:rsidRPr="00926147">
        <w:rPr>
          <w:lang w:val="en-CA"/>
        </w:rPr>
        <w:t xml:space="preserve">are </w:t>
      </w:r>
      <w:r w:rsidR="00B578BE">
        <w:rPr>
          <w:lang w:val="en-CA"/>
        </w:rPr>
        <w:t>un</w:t>
      </w:r>
      <w:r w:rsidRPr="00926147">
        <w:rPr>
          <w:lang w:val="en-CA"/>
        </w:rPr>
        <w:t xml:space="preserve">contested. The dispute is about how </w:t>
      </w:r>
      <w:r w:rsidR="00A00F41">
        <w:rPr>
          <w:lang w:val="en-CA"/>
        </w:rPr>
        <w:t>a</w:t>
      </w:r>
      <w:r w:rsidRPr="00926147">
        <w:rPr>
          <w:lang w:val="en-CA"/>
        </w:rPr>
        <w:t xml:space="preserve"> three-</w:t>
      </w:r>
      <w:r w:rsidR="00A00F41">
        <w:rPr>
          <w:lang w:val="en-CA"/>
        </w:rPr>
        <w:t>step</w:t>
      </w:r>
      <w:r w:rsidRPr="00926147">
        <w:rPr>
          <w:lang w:val="en-CA"/>
        </w:rPr>
        <w:t xml:space="preserve"> test</w:t>
      </w:r>
      <w:r w:rsidR="00A00F41">
        <w:rPr>
          <w:lang w:val="en-CA"/>
        </w:rPr>
        <w:t>,</w:t>
      </w:r>
      <w:r w:rsidRPr="00926147">
        <w:rPr>
          <w:lang w:val="en-CA"/>
        </w:rPr>
        <w:t xml:space="preserve"> laid down by new case law and discussed </w:t>
      </w:r>
      <w:r w:rsidR="00B578BE">
        <w:rPr>
          <w:lang w:val="en-CA"/>
        </w:rPr>
        <w:t xml:space="preserve">further </w:t>
      </w:r>
      <w:r w:rsidRPr="00926147">
        <w:rPr>
          <w:lang w:val="en-CA"/>
        </w:rPr>
        <w:t>below</w:t>
      </w:r>
      <w:r w:rsidR="00A00F41">
        <w:rPr>
          <w:lang w:val="en-CA"/>
        </w:rPr>
        <w:t>,</w:t>
      </w:r>
      <w:r w:rsidRPr="00926147">
        <w:rPr>
          <w:lang w:val="en-CA"/>
        </w:rPr>
        <w:t xml:space="preserve"> is to be applied.</w:t>
      </w:r>
      <w:r w:rsidR="00E01746" w:rsidRPr="00926147">
        <w:rPr>
          <w:lang w:val="en-CA"/>
        </w:rPr>
        <w:t xml:space="preserve"> </w:t>
      </w:r>
    </w:p>
    <w:p w14:paraId="56261639" w14:textId="77777777" w:rsidR="009F612A" w:rsidRPr="00926147" w:rsidRDefault="00E01746" w:rsidP="009F612A">
      <w:pPr>
        <w:pStyle w:val="Paragraphe"/>
        <w:keepNext/>
        <w:keepLines/>
        <w:numPr>
          <w:ilvl w:val="0"/>
          <w:numId w:val="0"/>
        </w:numPr>
        <w:spacing w:line="240" w:lineRule="auto"/>
        <w:rPr>
          <w:b/>
          <w:lang w:val="en-CA"/>
        </w:rPr>
      </w:pPr>
      <w:r w:rsidRPr="00926147">
        <w:rPr>
          <w:b/>
          <w:lang w:val="en-CA"/>
        </w:rPr>
        <w:t xml:space="preserve">I. </w:t>
      </w:r>
      <w:r w:rsidR="00794985" w:rsidRPr="00926147">
        <w:rPr>
          <w:b/>
          <w:lang w:val="en-CA"/>
        </w:rPr>
        <w:t>Background</w:t>
      </w:r>
    </w:p>
    <w:p w14:paraId="0E2F7881" w14:textId="77777777" w:rsidR="009F612A" w:rsidRPr="00926147" w:rsidRDefault="00E01746" w:rsidP="009F612A">
      <w:pPr>
        <w:pStyle w:val="Paragraphe"/>
        <w:spacing w:line="240" w:lineRule="auto"/>
        <w:rPr>
          <w:lang w:val="en-CA"/>
        </w:rPr>
      </w:pPr>
      <w:r w:rsidRPr="00926147">
        <w:rPr>
          <w:lang w:val="en-CA"/>
        </w:rPr>
        <w:t xml:space="preserve">A.B. </w:t>
      </w:r>
      <w:r w:rsidR="00F65981">
        <w:rPr>
          <w:lang w:val="en-CA"/>
        </w:rPr>
        <w:t>purports to be a</w:t>
      </w:r>
      <w:r w:rsidR="0099338E">
        <w:rPr>
          <w:lang w:val="en-CA"/>
        </w:rPr>
        <w:t xml:space="preserve"> </w:t>
      </w:r>
      <w:r w:rsidR="00794985" w:rsidRPr="00926147">
        <w:rPr>
          <w:lang w:val="en-CA"/>
        </w:rPr>
        <w:t xml:space="preserve">well-known </w:t>
      </w:r>
      <w:r w:rsidR="0099338E">
        <w:rPr>
          <w:lang w:val="en-CA"/>
        </w:rPr>
        <w:t>cultural</w:t>
      </w:r>
      <w:r w:rsidR="00794985" w:rsidRPr="00926147">
        <w:rPr>
          <w:lang w:val="en-CA"/>
        </w:rPr>
        <w:t xml:space="preserve"> figure </w:t>
      </w:r>
      <w:r w:rsidR="0099338E">
        <w:rPr>
          <w:lang w:val="en-CA"/>
        </w:rPr>
        <w:t>in</w:t>
      </w:r>
      <w:r w:rsidR="00794985" w:rsidRPr="00926147">
        <w:rPr>
          <w:lang w:val="en-CA"/>
        </w:rPr>
        <w:t xml:space="preserve"> Quebec</w:t>
      </w:r>
      <w:r w:rsidR="00F65981">
        <w:rPr>
          <w:lang w:val="en-CA"/>
        </w:rPr>
        <w:t xml:space="preserve">; </w:t>
      </w:r>
      <w:r w:rsidR="00A17E71" w:rsidRPr="00926147">
        <w:rPr>
          <w:lang w:val="en-CA"/>
        </w:rPr>
        <w:t xml:space="preserve">he is </w:t>
      </w:r>
      <w:r w:rsidR="00992298" w:rsidRPr="00926147">
        <w:rPr>
          <w:lang w:val="en-CA"/>
        </w:rPr>
        <w:t>an actor, public speaker, commentator, writer</w:t>
      </w:r>
      <w:r w:rsidR="00D067EB">
        <w:rPr>
          <w:lang w:val="en-CA"/>
        </w:rPr>
        <w:t>,</w:t>
      </w:r>
      <w:r w:rsidR="00992298" w:rsidRPr="00926147">
        <w:rPr>
          <w:lang w:val="en-CA"/>
        </w:rPr>
        <w:t xml:space="preserve"> and director</w:t>
      </w:r>
      <w:r w:rsidR="00A6433E">
        <w:rPr>
          <w:lang w:val="en-CA"/>
        </w:rPr>
        <w:t>, and</w:t>
      </w:r>
      <w:r w:rsidR="00992298" w:rsidRPr="00926147">
        <w:rPr>
          <w:lang w:val="en-CA"/>
        </w:rPr>
        <w:t xml:space="preserve"> </w:t>
      </w:r>
      <w:r w:rsidR="00F65981">
        <w:rPr>
          <w:lang w:val="en-CA"/>
        </w:rPr>
        <w:t xml:space="preserve">is </w:t>
      </w:r>
      <w:r w:rsidR="00992298" w:rsidRPr="00926147">
        <w:rPr>
          <w:lang w:val="en-CA"/>
        </w:rPr>
        <w:t xml:space="preserve">president and </w:t>
      </w:r>
      <w:r w:rsidR="00D067EB">
        <w:rPr>
          <w:lang w:val="en-CA"/>
        </w:rPr>
        <w:t>director</w:t>
      </w:r>
      <w:r w:rsidR="00D067EB" w:rsidRPr="00926147">
        <w:rPr>
          <w:lang w:val="en-CA"/>
        </w:rPr>
        <w:t xml:space="preserve"> </w:t>
      </w:r>
      <w:r w:rsidR="00A6433E">
        <w:rPr>
          <w:lang w:val="en-CA"/>
        </w:rPr>
        <w:t>of</w:t>
      </w:r>
      <w:r w:rsidR="00A17E71" w:rsidRPr="00926147">
        <w:rPr>
          <w:lang w:val="en-CA"/>
        </w:rPr>
        <w:t xml:space="preserve"> </w:t>
      </w:r>
      <w:proofErr w:type="spellStart"/>
      <w:r w:rsidRPr="00926147">
        <w:rPr>
          <w:lang w:val="en-CA"/>
        </w:rPr>
        <w:t>Fondation</w:t>
      </w:r>
      <w:proofErr w:type="spellEnd"/>
      <w:r w:rsidRPr="00926147">
        <w:rPr>
          <w:lang w:val="en-CA"/>
        </w:rPr>
        <w:t xml:space="preserve"> A.B.</w:t>
      </w:r>
      <w:r w:rsidR="00A6433E">
        <w:rPr>
          <w:lang w:val="en-CA"/>
        </w:rPr>
        <w:t>,</w:t>
      </w:r>
      <w:r w:rsidRPr="00926147">
        <w:rPr>
          <w:rStyle w:val="Appelnotedebasdep"/>
          <w:lang w:val="en-CA"/>
        </w:rPr>
        <w:footnoteReference w:id="2"/>
      </w:r>
      <w:r w:rsidR="00DB0BC4" w:rsidRPr="00926147">
        <w:rPr>
          <w:lang w:val="en-CA"/>
        </w:rPr>
        <w:t xml:space="preserve"> </w:t>
      </w:r>
      <w:r w:rsidR="00A6433E">
        <w:rPr>
          <w:lang w:val="en-CA"/>
        </w:rPr>
        <w:t>a foundation that</w:t>
      </w:r>
      <w:r w:rsidR="00992298" w:rsidRPr="00926147">
        <w:rPr>
          <w:lang w:val="en-CA"/>
        </w:rPr>
        <w:t xml:space="preserve"> </w:t>
      </w:r>
      <w:r w:rsidR="00A17E71" w:rsidRPr="00926147">
        <w:rPr>
          <w:lang w:val="en-CA"/>
        </w:rPr>
        <w:t>bears his name</w:t>
      </w:r>
      <w:r w:rsidRPr="00926147">
        <w:rPr>
          <w:lang w:val="en-CA"/>
        </w:rPr>
        <w:t>.</w:t>
      </w:r>
    </w:p>
    <w:p w14:paraId="4E2EA0A3" w14:textId="77777777" w:rsidR="009F612A" w:rsidRPr="00926147" w:rsidRDefault="00831465" w:rsidP="009F612A">
      <w:pPr>
        <w:pStyle w:val="Paragraphe"/>
        <w:spacing w:line="240" w:lineRule="auto"/>
        <w:rPr>
          <w:lang w:val="en-CA"/>
        </w:rPr>
      </w:pPr>
      <w:r w:rsidRPr="00926147">
        <w:rPr>
          <w:lang w:val="en-CA"/>
        </w:rPr>
        <w:t>In the summer of</w:t>
      </w:r>
      <w:r w:rsidR="00E01746" w:rsidRPr="00926147">
        <w:rPr>
          <w:lang w:val="en-CA"/>
        </w:rPr>
        <w:t xml:space="preserve"> 2020, A.B. </w:t>
      </w:r>
      <w:r w:rsidRPr="00926147">
        <w:rPr>
          <w:lang w:val="en-CA"/>
        </w:rPr>
        <w:t xml:space="preserve">learned that his name </w:t>
      </w:r>
      <w:r w:rsidR="00A17E71" w:rsidRPr="00926147">
        <w:rPr>
          <w:lang w:val="en-CA"/>
        </w:rPr>
        <w:t>was</w:t>
      </w:r>
      <w:r w:rsidRPr="00926147">
        <w:rPr>
          <w:lang w:val="en-CA"/>
        </w:rPr>
        <w:t xml:space="preserve"> on a list of alleged </w:t>
      </w:r>
      <w:r w:rsidR="00360F81">
        <w:rPr>
          <w:lang w:val="en-CA"/>
        </w:rPr>
        <w:t>assailants</w:t>
      </w:r>
      <w:r w:rsidR="00251996" w:rsidRPr="00926147">
        <w:rPr>
          <w:lang w:val="en-CA"/>
        </w:rPr>
        <w:t xml:space="preserve"> published on the “</w:t>
      </w:r>
      <w:r w:rsidR="00E01746" w:rsidRPr="00926147">
        <w:rPr>
          <w:lang w:val="en-CA"/>
        </w:rPr>
        <w:t>Dis son nom</w:t>
      </w:r>
      <w:r w:rsidR="00251996" w:rsidRPr="00926147">
        <w:rPr>
          <w:lang w:val="en-CA"/>
        </w:rPr>
        <w:t>” Facebook page.</w:t>
      </w:r>
      <w:r w:rsidR="00E01746" w:rsidRPr="00926147">
        <w:rPr>
          <w:rStyle w:val="Appelnotedebasdep"/>
          <w:lang w:val="en-CA"/>
        </w:rPr>
        <w:footnoteReference w:id="3"/>
      </w:r>
    </w:p>
    <w:p w14:paraId="6DD57AC2" w14:textId="77777777" w:rsidR="009F612A" w:rsidRPr="00926147" w:rsidRDefault="00251996" w:rsidP="009F612A">
      <w:pPr>
        <w:pStyle w:val="Paragraphe"/>
        <w:spacing w:line="240" w:lineRule="auto"/>
        <w:rPr>
          <w:lang w:val="en-CA"/>
        </w:rPr>
      </w:pPr>
      <w:r w:rsidRPr="00926147">
        <w:rPr>
          <w:lang w:val="en-CA"/>
        </w:rPr>
        <w:t>In response to a first</w:t>
      </w:r>
      <w:r w:rsidR="00401F05">
        <w:rPr>
          <w:lang w:val="en-CA"/>
        </w:rPr>
        <w:t xml:space="preserve"> formal n</w:t>
      </w:r>
      <w:r w:rsidR="00853224">
        <w:rPr>
          <w:lang w:val="en-CA"/>
        </w:rPr>
        <w:t>otice to</w:t>
      </w:r>
      <w:r w:rsidRPr="00926147">
        <w:rPr>
          <w:lang w:val="en-CA"/>
        </w:rPr>
        <w:t xml:space="preserve"> cease</w:t>
      </w:r>
      <w:r w:rsidR="00B36C7B">
        <w:rPr>
          <w:lang w:val="en-CA"/>
        </w:rPr>
        <w:t xml:space="preserve"> </w:t>
      </w:r>
      <w:r w:rsidRPr="00926147">
        <w:rPr>
          <w:lang w:val="en-CA"/>
        </w:rPr>
        <w:t>and</w:t>
      </w:r>
      <w:r w:rsidR="00B36C7B">
        <w:rPr>
          <w:lang w:val="en-CA"/>
        </w:rPr>
        <w:t xml:space="preserve"> </w:t>
      </w:r>
      <w:r w:rsidRPr="00926147">
        <w:rPr>
          <w:lang w:val="en-CA"/>
        </w:rPr>
        <w:t>desist</w:t>
      </w:r>
      <w:r w:rsidR="00E01746" w:rsidRPr="00926147">
        <w:rPr>
          <w:lang w:val="en-CA"/>
        </w:rPr>
        <w:t xml:space="preserve">, </w:t>
      </w:r>
      <w:bookmarkStart w:id="12" w:name="_Hlk106798006"/>
      <w:r w:rsidRPr="00926147">
        <w:rPr>
          <w:lang w:val="en-CA"/>
        </w:rPr>
        <w:t>“</w:t>
      </w:r>
      <w:r w:rsidR="00E01746" w:rsidRPr="00926147">
        <w:rPr>
          <w:lang w:val="en-CA"/>
        </w:rPr>
        <w:t>Dis son nom</w:t>
      </w:r>
      <w:r w:rsidRPr="00926147">
        <w:rPr>
          <w:lang w:val="en-CA"/>
        </w:rPr>
        <w:t>”</w:t>
      </w:r>
      <w:r w:rsidR="00E01746" w:rsidRPr="00926147">
        <w:rPr>
          <w:lang w:val="en-CA"/>
        </w:rPr>
        <w:t xml:space="preserve"> </w:t>
      </w:r>
      <w:bookmarkEnd w:id="12"/>
      <w:r w:rsidRPr="00926147">
        <w:rPr>
          <w:lang w:val="en-CA"/>
        </w:rPr>
        <w:t xml:space="preserve">deleted the listing concerning </w:t>
      </w:r>
      <w:r w:rsidR="00507C4C">
        <w:rPr>
          <w:lang w:val="en-CA"/>
        </w:rPr>
        <w:t>A.B</w:t>
      </w:r>
      <w:r w:rsidRPr="00926147">
        <w:rPr>
          <w:lang w:val="en-CA"/>
        </w:rPr>
        <w:t>.</w:t>
      </w:r>
    </w:p>
    <w:p w14:paraId="31D353BF" w14:textId="77777777" w:rsidR="009F612A" w:rsidRPr="00926147" w:rsidRDefault="00826C2C" w:rsidP="009D2928">
      <w:pPr>
        <w:pStyle w:val="Paragraphe"/>
        <w:keepNext/>
        <w:spacing w:line="240" w:lineRule="auto"/>
        <w:rPr>
          <w:lang w:val="en-CA"/>
        </w:rPr>
      </w:pPr>
      <w:r w:rsidRPr="00926147">
        <w:rPr>
          <w:lang w:val="en-CA"/>
        </w:rPr>
        <w:lastRenderedPageBreak/>
        <w:t>On May 7,</w:t>
      </w:r>
      <w:r w:rsidR="00E01746" w:rsidRPr="00926147">
        <w:rPr>
          <w:lang w:val="en-CA"/>
        </w:rPr>
        <w:t xml:space="preserve"> 2021, </w:t>
      </w:r>
      <w:r w:rsidRPr="00926147">
        <w:rPr>
          <w:lang w:val="en-CA"/>
        </w:rPr>
        <w:t>the respondent</w:t>
      </w:r>
      <w:r w:rsidR="00B75B73">
        <w:rPr>
          <w:lang w:val="en-CA"/>
        </w:rPr>
        <w:t xml:space="preserve"> </w:t>
      </w:r>
      <w:r w:rsidR="00F739BA">
        <w:rPr>
          <w:lang w:val="en-CA"/>
        </w:rPr>
        <w:t>R</w:t>
      </w:r>
      <w:r w:rsidR="00E01746" w:rsidRPr="00926147">
        <w:rPr>
          <w:lang w:val="en-CA"/>
        </w:rPr>
        <w:t xml:space="preserve">obillard </w:t>
      </w:r>
      <w:r w:rsidRPr="00926147">
        <w:rPr>
          <w:lang w:val="en-CA"/>
        </w:rPr>
        <w:t>published a message about</w:t>
      </w:r>
      <w:r w:rsidR="00E01746" w:rsidRPr="00926147">
        <w:rPr>
          <w:lang w:val="en-CA"/>
        </w:rPr>
        <w:t xml:space="preserve"> A.B. </w:t>
      </w:r>
      <w:r w:rsidRPr="00926147">
        <w:rPr>
          <w:lang w:val="en-CA"/>
        </w:rPr>
        <w:t>on his personal web page</w:t>
      </w:r>
      <w:r w:rsidR="000C182E" w:rsidRPr="00926147">
        <w:rPr>
          <w:lang w:val="en-CA"/>
        </w:rPr>
        <w:t>,</w:t>
      </w:r>
      <w:r w:rsidRPr="00926147">
        <w:rPr>
          <w:lang w:val="en-CA"/>
        </w:rPr>
        <w:t xml:space="preserve"> complaining</w:t>
      </w:r>
      <w:r w:rsidR="00AA59C1">
        <w:rPr>
          <w:lang w:val="en-CA"/>
        </w:rPr>
        <w:t xml:space="preserve"> about the</w:t>
      </w:r>
      <w:r w:rsidRPr="00926147">
        <w:rPr>
          <w:lang w:val="en-CA"/>
        </w:rPr>
        <w:t xml:space="preserve"> legal proceedings he had commenced</w:t>
      </w:r>
      <w:r w:rsidR="00F739BA">
        <w:rPr>
          <w:lang w:val="en-CA"/>
        </w:rPr>
        <w:t>,</w:t>
      </w:r>
      <w:r w:rsidRPr="00926147">
        <w:rPr>
          <w:lang w:val="en-CA"/>
        </w:rPr>
        <w:t xml:space="preserve"> and claiming</w:t>
      </w:r>
      <w:r w:rsidR="00F739BA">
        <w:rPr>
          <w:lang w:val="en-CA"/>
        </w:rPr>
        <w:t xml:space="preserve"> </w:t>
      </w:r>
      <w:r w:rsidRPr="00926147">
        <w:rPr>
          <w:lang w:val="en-CA"/>
        </w:rPr>
        <w:t xml:space="preserve">their purpose was to </w:t>
      </w:r>
      <w:r w:rsidR="00E178CB">
        <w:rPr>
          <w:lang w:val="en-CA"/>
        </w:rPr>
        <w:t>silence</w:t>
      </w:r>
      <w:r w:rsidRPr="00926147">
        <w:rPr>
          <w:lang w:val="en-CA"/>
        </w:rPr>
        <w:t xml:space="preserve"> and intimidate him. </w:t>
      </w:r>
      <w:r w:rsidR="003170B5">
        <w:rPr>
          <w:lang w:val="en-CA"/>
        </w:rPr>
        <w:t>Robillard</w:t>
      </w:r>
      <w:r w:rsidRPr="00926147">
        <w:rPr>
          <w:lang w:val="en-CA"/>
        </w:rPr>
        <w:t xml:space="preserve"> added:</w:t>
      </w:r>
    </w:p>
    <w:p w14:paraId="13409630" w14:textId="77777777" w:rsidR="00826C2C" w:rsidRPr="00926147" w:rsidRDefault="00826C2C" w:rsidP="00AC22B1">
      <w:pPr>
        <w:pStyle w:val="Citationenretrait"/>
        <w:keepNext/>
        <w:spacing w:line="240" w:lineRule="auto"/>
        <w:rPr>
          <w:lang w:val="en-CA"/>
        </w:rPr>
      </w:pPr>
      <w:r w:rsidRPr="00926147">
        <w:rPr>
          <w:lang w:val="en-CA"/>
        </w:rPr>
        <w:t>[</w:t>
      </w:r>
      <w:r w:rsidRPr="006C06C1">
        <w:rPr>
          <w:sz w:val="18"/>
          <w:szCs w:val="18"/>
          <w:lang w:val="en-CA"/>
        </w:rPr>
        <w:t>TRANSLATION</w:t>
      </w:r>
      <w:r w:rsidRPr="00926147">
        <w:rPr>
          <w:lang w:val="en-CA"/>
        </w:rPr>
        <w:t>]</w:t>
      </w:r>
    </w:p>
    <w:p w14:paraId="2FCE7413" w14:textId="77777777" w:rsidR="009F612A" w:rsidRPr="00926147" w:rsidRDefault="00826C2C" w:rsidP="00AC22B1">
      <w:pPr>
        <w:pStyle w:val="Citationenretrait"/>
        <w:keepNext/>
        <w:spacing w:line="240" w:lineRule="auto"/>
        <w:rPr>
          <w:lang w:val="en-CA"/>
        </w:rPr>
      </w:pPr>
      <w:r w:rsidRPr="00926147">
        <w:rPr>
          <w:lang w:val="en-CA"/>
        </w:rPr>
        <w:t>In closing</w:t>
      </w:r>
      <w:r w:rsidR="00E01746" w:rsidRPr="00926147">
        <w:rPr>
          <w:lang w:val="en-CA"/>
        </w:rPr>
        <w:t xml:space="preserve"> </w:t>
      </w:r>
      <w:r w:rsidR="001D2C59">
        <w:rPr>
          <w:lang w:val="en-CA"/>
        </w:rPr>
        <w:t>…</w:t>
      </w:r>
      <w:r w:rsidR="00824AA1">
        <w:rPr>
          <w:lang w:val="en-CA"/>
        </w:rPr>
        <w:t>,</w:t>
      </w:r>
      <w:r w:rsidR="005F001B">
        <w:rPr>
          <w:lang w:val="en-CA"/>
        </w:rPr>
        <w:t xml:space="preserve"> </w:t>
      </w:r>
      <w:r w:rsidRPr="00926147">
        <w:rPr>
          <w:lang w:val="en-CA"/>
        </w:rPr>
        <w:t>know that if you sue me, your case becomes public</w:t>
      </w:r>
      <w:r w:rsidR="00824AA1">
        <w:rPr>
          <w:lang w:val="en-CA"/>
        </w:rPr>
        <w:t>, s</w:t>
      </w:r>
      <w:r w:rsidR="00DE13BA">
        <w:rPr>
          <w:lang w:val="en-CA"/>
        </w:rPr>
        <w:t>o </w:t>
      </w:r>
      <w:r w:rsidRPr="00926147">
        <w:rPr>
          <w:lang w:val="en-CA"/>
        </w:rPr>
        <w:t>I</w:t>
      </w:r>
      <w:r w:rsidR="00C66510">
        <w:rPr>
          <w:lang w:val="en-CA"/>
        </w:rPr>
        <w:t> </w:t>
      </w:r>
      <w:r w:rsidR="00851636">
        <w:rPr>
          <w:lang w:val="en-CA"/>
        </w:rPr>
        <w:t>wouldn’t</w:t>
      </w:r>
      <w:r w:rsidRPr="00926147">
        <w:rPr>
          <w:lang w:val="en-CA"/>
        </w:rPr>
        <w:t xml:space="preserve"> be the one damaging your reputation.</w:t>
      </w:r>
      <w:r w:rsidR="00E01746" w:rsidRPr="00926147">
        <w:rPr>
          <w:lang w:val="en-CA"/>
        </w:rPr>
        <w:t xml:space="preserve"> </w:t>
      </w:r>
      <w:r w:rsidRPr="00926147">
        <w:rPr>
          <w:lang w:val="en-CA"/>
        </w:rPr>
        <w:t xml:space="preserve">In seeking to defend </w:t>
      </w:r>
      <w:r w:rsidR="00824AA1">
        <w:rPr>
          <w:lang w:val="en-CA"/>
        </w:rPr>
        <w:t>your reputation</w:t>
      </w:r>
      <w:r w:rsidRPr="00926147">
        <w:rPr>
          <w:lang w:val="en-CA"/>
        </w:rPr>
        <w:t xml:space="preserve">, you run </w:t>
      </w:r>
      <w:r w:rsidR="00824AA1">
        <w:rPr>
          <w:lang w:val="en-CA"/>
        </w:rPr>
        <w:t>the</w:t>
      </w:r>
      <w:r w:rsidRPr="00926147">
        <w:rPr>
          <w:lang w:val="en-CA"/>
        </w:rPr>
        <w:t xml:space="preserve"> major risk of </w:t>
      </w:r>
      <w:r w:rsidR="00C66510">
        <w:rPr>
          <w:lang w:val="en-CA"/>
        </w:rPr>
        <w:t>bringing to light</w:t>
      </w:r>
      <w:r w:rsidRPr="00926147">
        <w:rPr>
          <w:lang w:val="en-CA"/>
        </w:rPr>
        <w:t xml:space="preserve"> what you were </w:t>
      </w:r>
      <w:r w:rsidR="00CC2A2A" w:rsidRPr="00926147">
        <w:rPr>
          <w:lang w:val="en-CA"/>
        </w:rPr>
        <w:t>trying</w:t>
      </w:r>
      <w:r w:rsidRPr="00926147">
        <w:rPr>
          <w:lang w:val="en-CA"/>
        </w:rPr>
        <w:t xml:space="preserve"> </w:t>
      </w:r>
      <w:r w:rsidR="00CC2A2A" w:rsidRPr="00926147">
        <w:rPr>
          <w:lang w:val="en-CA"/>
        </w:rPr>
        <w:t xml:space="preserve">so hard </w:t>
      </w:r>
      <w:r w:rsidRPr="00926147">
        <w:rPr>
          <w:lang w:val="en-CA"/>
        </w:rPr>
        <w:t xml:space="preserve">to hide </w:t>
      </w:r>
      <w:r w:rsidR="00212CD5" w:rsidRPr="00926147">
        <w:rPr>
          <w:lang w:val="en-CA"/>
        </w:rPr>
        <w:t xml:space="preserve">with </w:t>
      </w:r>
      <w:r w:rsidRPr="00926147">
        <w:rPr>
          <w:lang w:val="en-CA"/>
        </w:rPr>
        <w:t xml:space="preserve">your </w:t>
      </w:r>
      <w:r w:rsidR="00212CD5" w:rsidRPr="00926147">
        <w:rPr>
          <w:lang w:val="en-CA"/>
        </w:rPr>
        <w:t>cease</w:t>
      </w:r>
      <w:r w:rsidR="00CC2A2A" w:rsidRPr="00926147">
        <w:rPr>
          <w:lang w:val="en-CA"/>
        </w:rPr>
        <w:noBreakHyphen/>
      </w:r>
      <w:r w:rsidR="00212CD5" w:rsidRPr="00926147">
        <w:rPr>
          <w:lang w:val="en-CA"/>
        </w:rPr>
        <w:t>and-desist</w:t>
      </w:r>
      <w:r w:rsidRPr="00926147">
        <w:rPr>
          <w:lang w:val="en-CA"/>
        </w:rPr>
        <w:t xml:space="preserve"> letter. Silence is no longer an option!</w:t>
      </w:r>
    </w:p>
    <w:p w14:paraId="1E47BF11" w14:textId="77777777" w:rsidR="009F612A" w:rsidRPr="00926147" w:rsidRDefault="00E01746" w:rsidP="009F612A">
      <w:pPr>
        <w:pStyle w:val="Paragraphe"/>
        <w:spacing w:line="240" w:lineRule="auto"/>
        <w:rPr>
          <w:lang w:val="en-CA"/>
        </w:rPr>
      </w:pPr>
      <w:r w:rsidRPr="00926147">
        <w:rPr>
          <w:lang w:val="en-CA"/>
        </w:rPr>
        <w:t xml:space="preserve">A.B. </w:t>
      </w:r>
      <w:r w:rsidR="00212CD5" w:rsidRPr="00926147">
        <w:rPr>
          <w:lang w:val="en-CA"/>
        </w:rPr>
        <w:t xml:space="preserve">says that when he </w:t>
      </w:r>
      <w:r w:rsidR="00537ED0">
        <w:rPr>
          <w:lang w:val="en-CA"/>
        </w:rPr>
        <w:t>saw</w:t>
      </w:r>
      <w:r w:rsidR="00537ED0" w:rsidRPr="00CB7512">
        <w:rPr>
          <w:lang w:val="en-CA"/>
        </w:rPr>
        <w:t xml:space="preserve"> </w:t>
      </w:r>
      <w:r w:rsidR="00212CD5" w:rsidRPr="00CB7512">
        <w:rPr>
          <w:lang w:val="en-CA"/>
        </w:rPr>
        <w:t xml:space="preserve">this message, he </w:t>
      </w:r>
      <w:r w:rsidR="00537ED0">
        <w:rPr>
          <w:lang w:val="en-CA"/>
        </w:rPr>
        <w:t>felt</w:t>
      </w:r>
      <w:r w:rsidR="00537ED0" w:rsidRPr="00CB7512">
        <w:rPr>
          <w:lang w:val="en-CA"/>
        </w:rPr>
        <w:t xml:space="preserve"> </w:t>
      </w:r>
      <w:r w:rsidR="00804E52">
        <w:rPr>
          <w:lang w:val="en-CA"/>
        </w:rPr>
        <w:t>cornered</w:t>
      </w:r>
      <w:r w:rsidR="00212CD5" w:rsidRPr="00CB7512">
        <w:rPr>
          <w:lang w:val="en-CA"/>
        </w:rPr>
        <w:t>.</w:t>
      </w:r>
      <w:r w:rsidRPr="00CB7512">
        <w:rPr>
          <w:rStyle w:val="Appelnotedebasdep"/>
          <w:lang w:val="en-CA"/>
        </w:rPr>
        <w:footnoteReference w:id="4"/>
      </w:r>
      <w:r w:rsidRPr="00926147">
        <w:rPr>
          <w:lang w:val="en-CA"/>
        </w:rPr>
        <w:t xml:space="preserve"> </w:t>
      </w:r>
    </w:p>
    <w:p w14:paraId="4179B190" w14:textId="77777777" w:rsidR="009F612A" w:rsidRPr="00926147" w:rsidRDefault="00212CD5" w:rsidP="009F612A">
      <w:pPr>
        <w:pStyle w:val="Paragraphe"/>
        <w:spacing w:line="240" w:lineRule="auto"/>
        <w:rPr>
          <w:lang w:val="en-CA"/>
        </w:rPr>
      </w:pPr>
      <w:r w:rsidRPr="00926147">
        <w:rPr>
          <w:lang w:val="en-CA"/>
        </w:rPr>
        <w:t>On May 20,</w:t>
      </w:r>
      <w:r w:rsidR="00E01746" w:rsidRPr="00926147">
        <w:rPr>
          <w:lang w:val="en-CA"/>
        </w:rPr>
        <w:t> 2021, A.B.</w:t>
      </w:r>
      <w:r w:rsidRPr="00926147">
        <w:rPr>
          <w:lang w:val="en-CA"/>
        </w:rPr>
        <w:t>’s name reappeared on the</w:t>
      </w:r>
      <w:r w:rsidR="00E01746" w:rsidRPr="00926147">
        <w:rPr>
          <w:lang w:val="en-CA"/>
        </w:rPr>
        <w:t xml:space="preserve"> </w:t>
      </w:r>
      <w:r w:rsidRPr="00926147">
        <w:rPr>
          <w:lang w:val="en-CA"/>
        </w:rPr>
        <w:t>list published on Facebook by</w:t>
      </w:r>
      <w:r w:rsidR="00E01746" w:rsidRPr="00926147">
        <w:rPr>
          <w:lang w:val="en-CA"/>
        </w:rPr>
        <w:t xml:space="preserve"> </w:t>
      </w:r>
      <w:r w:rsidRPr="00926147">
        <w:rPr>
          <w:lang w:val="en-CA"/>
        </w:rPr>
        <w:t>“</w:t>
      </w:r>
      <w:r w:rsidR="00E01746" w:rsidRPr="00926147">
        <w:rPr>
          <w:lang w:val="en-CA"/>
        </w:rPr>
        <w:t>Dis son nom</w:t>
      </w:r>
      <w:r w:rsidRPr="00926147">
        <w:rPr>
          <w:lang w:val="en-CA"/>
        </w:rPr>
        <w:t>.”</w:t>
      </w:r>
      <w:r w:rsidR="00E01746" w:rsidRPr="00926147">
        <w:rPr>
          <w:rStyle w:val="Appelnotedebasdep"/>
          <w:lang w:val="en-CA"/>
        </w:rPr>
        <w:footnoteReference w:id="5"/>
      </w:r>
    </w:p>
    <w:p w14:paraId="749DB89A" w14:textId="77777777" w:rsidR="009F612A" w:rsidRPr="00926147" w:rsidRDefault="00212CD5" w:rsidP="009F612A">
      <w:pPr>
        <w:pStyle w:val="Paragraphe"/>
        <w:spacing w:line="240" w:lineRule="auto"/>
        <w:rPr>
          <w:lang w:val="en-CA"/>
        </w:rPr>
      </w:pPr>
      <w:r w:rsidRPr="00926147">
        <w:rPr>
          <w:lang w:val="en-CA"/>
        </w:rPr>
        <w:t>On May 2</w:t>
      </w:r>
      <w:r w:rsidR="00E01746" w:rsidRPr="00926147">
        <w:rPr>
          <w:lang w:val="en-CA"/>
        </w:rPr>
        <w:t>8</w:t>
      </w:r>
      <w:r w:rsidRPr="00926147">
        <w:rPr>
          <w:lang w:val="en-CA"/>
        </w:rPr>
        <w:t>,</w:t>
      </w:r>
      <w:r w:rsidR="00E01746" w:rsidRPr="00926147">
        <w:rPr>
          <w:lang w:val="en-CA"/>
        </w:rPr>
        <w:t xml:space="preserve"> 2021, A.B. </w:t>
      </w:r>
      <w:r w:rsidRPr="00926147">
        <w:rPr>
          <w:lang w:val="en-CA"/>
        </w:rPr>
        <w:t xml:space="preserve">sent the respondents a new cease-and-desist </w:t>
      </w:r>
      <w:r w:rsidR="008D3521">
        <w:rPr>
          <w:lang w:val="en-CA"/>
        </w:rPr>
        <w:t>notice</w:t>
      </w:r>
      <w:r w:rsidRPr="00926147">
        <w:rPr>
          <w:lang w:val="en-CA"/>
        </w:rPr>
        <w:t>.</w:t>
      </w:r>
      <w:r w:rsidR="00E01746" w:rsidRPr="00926147">
        <w:rPr>
          <w:rStyle w:val="Appelnotedebasdep"/>
          <w:lang w:val="en-CA"/>
        </w:rPr>
        <w:footnoteReference w:id="6"/>
      </w:r>
    </w:p>
    <w:p w14:paraId="61BFDD3C" w14:textId="77777777" w:rsidR="009F612A" w:rsidRPr="00926147" w:rsidRDefault="00212CD5" w:rsidP="009F612A">
      <w:pPr>
        <w:pStyle w:val="Paragraphe"/>
        <w:spacing w:line="240" w:lineRule="auto"/>
        <w:rPr>
          <w:lang w:val="en-CA"/>
        </w:rPr>
      </w:pPr>
      <w:r w:rsidRPr="00926147">
        <w:rPr>
          <w:lang w:val="en-CA"/>
        </w:rPr>
        <w:t>On June 2 and June 3,</w:t>
      </w:r>
      <w:r w:rsidR="00E01746" w:rsidRPr="00926147">
        <w:rPr>
          <w:lang w:val="en-CA"/>
        </w:rPr>
        <w:t xml:space="preserve"> 2021, A.B. </w:t>
      </w:r>
      <w:r w:rsidRPr="00926147">
        <w:rPr>
          <w:lang w:val="en-CA"/>
        </w:rPr>
        <w:t>and</w:t>
      </w:r>
      <w:r w:rsidR="00E01746" w:rsidRPr="00926147">
        <w:rPr>
          <w:lang w:val="en-CA"/>
        </w:rPr>
        <w:t xml:space="preserve"> </w:t>
      </w:r>
      <w:proofErr w:type="spellStart"/>
      <w:r w:rsidR="00E01746" w:rsidRPr="00926147">
        <w:rPr>
          <w:lang w:val="en-CA"/>
        </w:rPr>
        <w:t>Fondation</w:t>
      </w:r>
      <w:proofErr w:type="spellEnd"/>
      <w:r w:rsidR="00E01746" w:rsidRPr="00926147">
        <w:rPr>
          <w:lang w:val="en-CA"/>
        </w:rPr>
        <w:t xml:space="preserve"> </w:t>
      </w:r>
      <w:r w:rsidRPr="00926147">
        <w:rPr>
          <w:lang w:val="en-CA"/>
        </w:rPr>
        <w:t xml:space="preserve">A.B. </w:t>
      </w:r>
      <w:r w:rsidR="002733A8" w:rsidRPr="00926147">
        <w:rPr>
          <w:lang w:val="en-CA"/>
        </w:rPr>
        <w:t xml:space="preserve">filed an application to </w:t>
      </w:r>
      <w:r w:rsidR="00B300F3">
        <w:rPr>
          <w:lang w:val="en-CA"/>
        </w:rPr>
        <w:t>institute</w:t>
      </w:r>
      <w:r w:rsidR="002733A8" w:rsidRPr="00926147">
        <w:rPr>
          <w:lang w:val="en-CA"/>
        </w:rPr>
        <w:t xml:space="preserve"> defamation proceedings against the respondent</w:t>
      </w:r>
      <w:r w:rsidR="000C0B7D" w:rsidRPr="00926147">
        <w:rPr>
          <w:lang w:val="en-CA"/>
        </w:rPr>
        <w:t>s,</w:t>
      </w:r>
      <w:r w:rsidR="002733A8" w:rsidRPr="00926147">
        <w:rPr>
          <w:lang w:val="en-CA"/>
        </w:rPr>
        <w:t xml:space="preserve"> </w:t>
      </w:r>
      <w:r w:rsidR="00B27213">
        <w:rPr>
          <w:lang w:val="en-CA"/>
        </w:rPr>
        <w:t>and</w:t>
      </w:r>
      <w:r w:rsidR="000C0B7D" w:rsidRPr="00926147">
        <w:rPr>
          <w:lang w:val="en-CA"/>
        </w:rPr>
        <w:t xml:space="preserve"> </w:t>
      </w:r>
      <w:r w:rsidR="002733A8" w:rsidRPr="00926147">
        <w:rPr>
          <w:lang w:val="en-CA"/>
        </w:rPr>
        <w:t>applications to preserve their anonymity.</w:t>
      </w:r>
      <w:r w:rsidR="00E01746" w:rsidRPr="00926147">
        <w:rPr>
          <w:lang w:val="en-CA"/>
        </w:rPr>
        <w:t xml:space="preserve"> </w:t>
      </w:r>
      <w:r w:rsidR="002733A8" w:rsidRPr="00926147">
        <w:rPr>
          <w:lang w:val="en-CA"/>
        </w:rPr>
        <w:t xml:space="preserve">Specifically, they </w:t>
      </w:r>
      <w:r w:rsidR="000C0B7D" w:rsidRPr="00926147">
        <w:rPr>
          <w:lang w:val="en-CA"/>
        </w:rPr>
        <w:t>sought</w:t>
      </w:r>
      <w:r w:rsidR="002733A8" w:rsidRPr="00926147">
        <w:rPr>
          <w:lang w:val="en-CA"/>
        </w:rPr>
        <w:t xml:space="preserve"> to elect domicile at their lawyer’s office, to have the </w:t>
      </w:r>
      <w:r w:rsidR="002C52F3">
        <w:rPr>
          <w:lang w:val="en-CA"/>
        </w:rPr>
        <w:t>pleadings</w:t>
      </w:r>
      <w:r w:rsidR="00D41B8D">
        <w:rPr>
          <w:lang w:val="en-CA"/>
        </w:rPr>
        <w:t xml:space="preserve"> depersonalized</w:t>
      </w:r>
      <w:r w:rsidR="002733A8" w:rsidRPr="00926147">
        <w:rPr>
          <w:lang w:val="en-CA"/>
        </w:rPr>
        <w:t xml:space="preserve">, and </w:t>
      </w:r>
      <w:r w:rsidR="000C0B7D" w:rsidRPr="00926147">
        <w:rPr>
          <w:lang w:val="en-CA"/>
        </w:rPr>
        <w:t>to have the</w:t>
      </w:r>
      <w:r w:rsidR="002733A8" w:rsidRPr="00926147">
        <w:rPr>
          <w:lang w:val="en-CA"/>
        </w:rPr>
        <w:t xml:space="preserve"> </w:t>
      </w:r>
      <w:r w:rsidR="0085509D">
        <w:rPr>
          <w:lang w:val="en-CA"/>
        </w:rPr>
        <w:t xml:space="preserve">disclosure and </w:t>
      </w:r>
      <w:r w:rsidR="00D84588">
        <w:rPr>
          <w:lang w:val="en-CA"/>
        </w:rPr>
        <w:t>dissemination</w:t>
      </w:r>
      <w:r w:rsidR="002733A8" w:rsidRPr="00926147">
        <w:rPr>
          <w:lang w:val="en-CA"/>
        </w:rPr>
        <w:t xml:space="preserve"> of the pleadings, exhibits</w:t>
      </w:r>
      <w:r w:rsidR="00537ED0">
        <w:rPr>
          <w:lang w:val="en-CA"/>
        </w:rPr>
        <w:t>,</w:t>
      </w:r>
      <w:r w:rsidR="002733A8" w:rsidRPr="00926147">
        <w:rPr>
          <w:lang w:val="en-CA"/>
        </w:rPr>
        <w:t xml:space="preserve"> and testimony</w:t>
      </w:r>
      <w:r w:rsidR="000C0B7D" w:rsidRPr="00926147">
        <w:rPr>
          <w:lang w:val="en-CA"/>
        </w:rPr>
        <w:t xml:space="preserve"> </w:t>
      </w:r>
      <w:r w:rsidR="0085509D">
        <w:rPr>
          <w:lang w:val="en-CA"/>
        </w:rPr>
        <w:t>prohibited</w:t>
      </w:r>
      <w:r w:rsidR="002733A8" w:rsidRPr="00926147">
        <w:rPr>
          <w:lang w:val="en-CA"/>
        </w:rPr>
        <w:t>.</w:t>
      </w:r>
    </w:p>
    <w:p w14:paraId="18973937" w14:textId="77777777" w:rsidR="009F612A" w:rsidRPr="00926147" w:rsidRDefault="00792CD6" w:rsidP="007E7D4E">
      <w:pPr>
        <w:pStyle w:val="Paragraphe"/>
        <w:spacing w:line="240" w:lineRule="auto"/>
        <w:rPr>
          <w:lang w:val="en-CA"/>
        </w:rPr>
      </w:pPr>
      <w:r w:rsidRPr="00926147">
        <w:rPr>
          <w:lang w:val="en-CA"/>
        </w:rPr>
        <w:t>On June 16,</w:t>
      </w:r>
      <w:r w:rsidR="00E01746" w:rsidRPr="00926147">
        <w:rPr>
          <w:lang w:val="en-CA"/>
        </w:rPr>
        <w:t> 2021, Lussier</w:t>
      </w:r>
      <w:r w:rsidRPr="00926147">
        <w:rPr>
          <w:lang w:val="en-CA"/>
        </w:rPr>
        <w:t>, J.</w:t>
      </w:r>
      <w:r w:rsidR="001B19A4">
        <w:rPr>
          <w:lang w:val="en-CA"/>
        </w:rPr>
        <w:t>,</w:t>
      </w:r>
      <w:r w:rsidR="008A3FD1">
        <w:rPr>
          <w:lang w:val="en-CA"/>
        </w:rPr>
        <w:t xml:space="preserve"> </w:t>
      </w:r>
      <w:r w:rsidR="007D33E7">
        <w:rPr>
          <w:lang w:val="en-CA"/>
        </w:rPr>
        <w:t>rendered</w:t>
      </w:r>
      <w:r w:rsidRPr="00926147">
        <w:rPr>
          <w:lang w:val="en-CA"/>
        </w:rPr>
        <w:t xml:space="preserve"> the judgment under appeal</w:t>
      </w:r>
      <w:r w:rsidR="002B330E">
        <w:rPr>
          <w:lang w:val="en-CA"/>
        </w:rPr>
        <w:t xml:space="preserve">, </w:t>
      </w:r>
      <w:r w:rsidR="00E4234F">
        <w:rPr>
          <w:lang w:val="en-CA"/>
        </w:rPr>
        <w:t>denying</w:t>
      </w:r>
      <w:r w:rsidR="008D3521">
        <w:rPr>
          <w:lang w:val="en-CA"/>
        </w:rPr>
        <w:t xml:space="preserve"> </w:t>
      </w:r>
      <w:r w:rsidR="002B330E">
        <w:rPr>
          <w:lang w:val="en-CA"/>
        </w:rPr>
        <w:t>all the applications</w:t>
      </w:r>
      <w:r w:rsidR="00195D80">
        <w:rPr>
          <w:lang w:val="en-CA"/>
        </w:rPr>
        <w:t xml:space="preserve"> </w:t>
      </w:r>
      <w:r w:rsidRPr="00926147">
        <w:rPr>
          <w:lang w:val="en-CA"/>
        </w:rPr>
        <w:t xml:space="preserve">except </w:t>
      </w:r>
      <w:r w:rsidR="00F157C3">
        <w:rPr>
          <w:lang w:val="en-CA"/>
        </w:rPr>
        <w:t xml:space="preserve">the </w:t>
      </w:r>
      <w:r w:rsidR="00195D80">
        <w:rPr>
          <w:lang w:val="en-CA"/>
        </w:rPr>
        <w:t xml:space="preserve">one respecting </w:t>
      </w:r>
      <w:r w:rsidR="00F157C3">
        <w:rPr>
          <w:lang w:val="en-CA"/>
        </w:rPr>
        <w:t xml:space="preserve">election of </w:t>
      </w:r>
      <w:r w:rsidRPr="00926147">
        <w:rPr>
          <w:lang w:val="en-CA"/>
        </w:rPr>
        <w:t>domicile</w:t>
      </w:r>
      <w:r w:rsidR="00BE2BE6">
        <w:rPr>
          <w:lang w:val="en-CA"/>
        </w:rPr>
        <w:t>.</w:t>
      </w:r>
    </w:p>
    <w:p w14:paraId="7C7AB477" w14:textId="77777777" w:rsidR="009F612A" w:rsidRPr="00E07824" w:rsidRDefault="00620A58" w:rsidP="009F612A">
      <w:pPr>
        <w:pStyle w:val="Paragraphe"/>
        <w:spacing w:line="240" w:lineRule="auto"/>
        <w:rPr>
          <w:lang w:val="en-CA"/>
        </w:rPr>
      </w:pPr>
      <w:r w:rsidRPr="00E07824">
        <w:rPr>
          <w:lang w:val="en-CA"/>
        </w:rPr>
        <w:t xml:space="preserve">After analyzing the </w:t>
      </w:r>
      <w:r w:rsidR="005368B7" w:rsidRPr="00E07824">
        <w:rPr>
          <w:lang w:val="en-CA"/>
        </w:rPr>
        <w:t>steps</w:t>
      </w:r>
      <w:r w:rsidR="00EE1FF5" w:rsidRPr="00E07824">
        <w:rPr>
          <w:lang w:val="en-CA"/>
        </w:rPr>
        <w:t xml:space="preserve"> of</w:t>
      </w:r>
      <w:r w:rsidRPr="00E07824">
        <w:rPr>
          <w:lang w:val="en-CA"/>
        </w:rPr>
        <w:t xml:space="preserve"> the test </w:t>
      </w:r>
      <w:r w:rsidR="00456278" w:rsidRPr="00E07824">
        <w:rPr>
          <w:lang w:val="en-CA"/>
        </w:rPr>
        <w:t>articulated</w:t>
      </w:r>
      <w:r w:rsidR="00EE1FF5" w:rsidRPr="00E07824">
        <w:rPr>
          <w:lang w:val="en-CA"/>
        </w:rPr>
        <w:t xml:space="preserve"> </w:t>
      </w:r>
      <w:r w:rsidRPr="00E07824">
        <w:rPr>
          <w:lang w:val="en-CA"/>
        </w:rPr>
        <w:t>in</w:t>
      </w:r>
      <w:r w:rsidR="00CE0575" w:rsidRPr="00E07824">
        <w:rPr>
          <w:lang w:val="en-CA"/>
        </w:rPr>
        <w:t xml:space="preserve"> </w:t>
      </w:r>
      <w:r w:rsidR="00E01746" w:rsidRPr="00E07824">
        <w:rPr>
          <w:i/>
          <w:lang w:val="en-CA"/>
        </w:rPr>
        <w:t>Sherman</w:t>
      </w:r>
      <w:r w:rsidRPr="00E07824">
        <w:rPr>
          <w:iCs/>
          <w:lang w:val="en-CA"/>
        </w:rPr>
        <w:t>,</w:t>
      </w:r>
      <w:r w:rsidR="00E01746" w:rsidRPr="00E07824">
        <w:rPr>
          <w:rStyle w:val="Appelnotedebasdep"/>
          <w:lang w:val="en-CA"/>
        </w:rPr>
        <w:footnoteReference w:id="7"/>
      </w:r>
      <w:r w:rsidR="00E01746" w:rsidRPr="00E07824">
        <w:rPr>
          <w:lang w:val="en-CA"/>
        </w:rPr>
        <w:t xml:space="preserve"> </w:t>
      </w:r>
      <w:r w:rsidRPr="00E07824">
        <w:rPr>
          <w:lang w:val="en-CA"/>
        </w:rPr>
        <w:t xml:space="preserve">he </w:t>
      </w:r>
      <w:r w:rsidR="00EE1FF5" w:rsidRPr="00E07824">
        <w:rPr>
          <w:lang w:val="en-CA"/>
        </w:rPr>
        <w:t xml:space="preserve">found </w:t>
      </w:r>
      <w:r w:rsidR="00A82447">
        <w:rPr>
          <w:lang w:val="en-CA"/>
        </w:rPr>
        <w:t xml:space="preserve">the following concerning </w:t>
      </w:r>
      <w:r w:rsidR="00456278" w:rsidRPr="00E07824">
        <w:rPr>
          <w:lang w:val="en-CA"/>
        </w:rPr>
        <w:t xml:space="preserve">the </w:t>
      </w:r>
      <w:r w:rsidR="008D3521">
        <w:rPr>
          <w:lang w:val="en-CA"/>
        </w:rPr>
        <w:t xml:space="preserve">other </w:t>
      </w:r>
      <w:r w:rsidR="00195D80">
        <w:rPr>
          <w:lang w:val="en-CA"/>
        </w:rPr>
        <w:t>orders sought</w:t>
      </w:r>
      <w:r w:rsidR="005368B7" w:rsidRPr="00E07824">
        <w:rPr>
          <w:lang w:val="en-CA"/>
        </w:rPr>
        <w:t>:</w:t>
      </w:r>
    </w:p>
    <w:p w14:paraId="0A6A2FFF" w14:textId="77777777" w:rsidR="00620A58" w:rsidRPr="00E07824" w:rsidRDefault="00620A58" w:rsidP="009F612A">
      <w:pPr>
        <w:pStyle w:val="Citationenretrait"/>
        <w:spacing w:line="240" w:lineRule="auto"/>
        <w:rPr>
          <w:lang w:val="en-CA"/>
        </w:rPr>
      </w:pPr>
      <w:r w:rsidRPr="00E07824">
        <w:rPr>
          <w:lang w:val="en-CA"/>
        </w:rPr>
        <w:t>[</w:t>
      </w:r>
      <w:r w:rsidRPr="00E07824">
        <w:rPr>
          <w:sz w:val="18"/>
          <w:szCs w:val="18"/>
          <w:lang w:val="en-CA"/>
        </w:rPr>
        <w:t>TRANSLATION</w:t>
      </w:r>
      <w:r w:rsidRPr="00E07824">
        <w:rPr>
          <w:lang w:val="en-CA"/>
        </w:rPr>
        <w:t>]</w:t>
      </w:r>
    </w:p>
    <w:p w14:paraId="26BFF95E" w14:textId="77777777" w:rsidR="009F612A" w:rsidRPr="00E07824" w:rsidRDefault="00A77BED" w:rsidP="009F612A">
      <w:pPr>
        <w:pStyle w:val="Citationenretrait"/>
        <w:spacing w:line="240" w:lineRule="auto"/>
        <w:rPr>
          <w:lang w:val="en-CA" w:eastAsia="fr-CA"/>
        </w:rPr>
      </w:pPr>
      <w:r w:rsidRPr="00E07824">
        <w:rPr>
          <w:lang w:val="en-CA"/>
        </w:rPr>
        <w:t>(</w:t>
      </w:r>
      <w:r w:rsidR="00E01746" w:rsidRPr="00E07824">
        <w:rPr>
          <w:lang w:val="en-CA"/>
        </w:rPr>
        <w:t>a)</w:t>
      </w:r>
      <w:r w:rsidR="00E01746" w:rsidRPr="00E07824">
        <w:rPr>
          <w:lang w:val="en-CA"/>
        </w:rPr>
        <w:tab/>
      </w:r>
      <w:r w:rsidR="00A82447">
        <w:rPr>
          <w:lang w:val="en-CA"/>
        </w:rPr>
        <w:t>It i</w:t>
      </w:r>
      <w:r w:rsidR="005368B7" w:rsidRPr="00E07824">
        <w:rPr>
          <w:lang w:val="en-CA"/>
        </w:rPr>
        <w:t xml:space="preserve">s not needed to prevent a serious risk to the </w:t>
      </w:r>
      <w:r w:rsidR="00E07824">
        <w:rPr>
          <w:lang w:val="en-CA"/>
        </w:rPr>
        <w:t>proper</w:t>
      </w:r>
      <w:r w:rsidR="00E07824" w:rsidRPr="00E07824">
        <w:rPr>
          <w:lang w:val="en-CA"/>
        </w:rPr>
        <w:t xml:space="preserve"> </w:t>
      </w:r>
      <w:r w:rsidR="005368B7" w:rsidRPr="00E07824">
        <w:rPr>
          <w:lang w:val="en-CA"/>
        </w:rPr>
        <w:t>administration of justice. In the present case, there is no serious risk to the administration of justice.</w:t>
      </w:r>
    </w:p>
    <w:p w14:paraId="2DCE59AD" w14:textId="77777777" w:rsidR="009F612A" w:rsidRPr="00E07824" w:rsidRDefault="00A77BED" w:rsidP="009F612A">
      <w:pPr>
        <w:pStyle w:val="Citationenretrait"/>
        <w:spacing w:line="240" w:lineRule="auto"/>
        <w:rPr>
          <w:lang w:val="en-CA"/>
        </w:rPr>
      </w:pPr>
      <w:r w:rsidRPr="00E07824">
        <w:rPr>
          <w:lang w:val="en-CA"/>
        </w:rPr>
        <w:t>(</w:t>
      </w:r>
      <w:r w:rsidR="00E01746" w:rsidRPr="00E07824">
        <w:rPr>
          <w:lang w:val="en-CA"/>
        </w:rPr>
        <w:t>b)</w:t>
      </w:r>
      <w:r w:rsidR="00E01746" w:rsidRPr="00E07824">
        <w:rPr>
          <w:lang w:val="en-CA"/>
        </w:rPr>
        <w:tab/>
      </w:r>
      <w:r w:rsidR="005368B7" w:rsidRPr="00E07824">
        <w:rPr>
          <w:lang w:val="en-CA"/>
        </w:rPr>
        <w:t>There are more narrowly</w:t>
      </w:r>
      <w:r w:rsidR="00EE2A46" w:rsidRPr="00E07824">
        <w:rPr>
          <w:lang w:val="en-CA"/>
        </w:rPr>
        <w:t xml:space="preserve"> </w:t>
      </w:r>
      <w:r w:rsidR="001028CC" w:rsidRPr="00E07824">
        <w:rPr>
          <w:lang w:val="en-CA"/>
        </w:rPr>
        <w:t xml:space="preserve">tailored </w:t>
      </w:r>
      <w:r w:rsidR="00901BCB" w:rsidRPr="00E07824">
        <w:rPr>
          <w:lang w:val="en-CA"/>
        </w:rPr>
        <w:t>reasonabl</w:t>
      </w:r>
      <w:r w:rsidR="00EA66F9" w:rsidRPr="00E07824">
        <w:rPr>
          <w:lang w:val="en-CA"/>
        </w:rPr>
        <w:t>e</w:t>
      </w:r>
      <w:r w:rsidR="00901BCB" w:rsidRPr="00E07824">
        <w:rPr>
          <w:lang w:val="en-CA"/>
        </w:rPr>
        <w:t xml:space="preserve"> alternative</w:t>
      </w:r>
      <w:r w:rsidR="00EA66F9" w:rsidRPr="00E07824">
        <w:rPr>
          <w:lang w:val="en-CA"/>
        </w:rPr>
        <w:t>s</w:t>
      </w:r>
      <w:r w:rsidR="00901BCB" w:rsidRPr="00E07824">
        <w:rPr>
          <w:lang w:val="en-CA"/>
        </w:rPr>
        <w:t xml:space="preserve"> </w:t>
      </w:r>
      <w:r w:rsidR="005368B7" w:rsidRPr="00E07824">
        <w:rPr>
          <w:lang w:val="en-CA"/>
        </w:rPr>
        <w:t>to obviate the risks the plaintiff fears</w:t>
      </w:r>
      <w:r w:rsidR="00E01746" w:rsidRPr="00E07824">
        <w:rPr>
          <w:lang w:val="en-CA"/>
        </w:rPr>
        <w:t xml:space="preserve">. </w:t>
      </w:r>
      <w:r w:rsidR="005368B7" w:rsidRPr="00E07824">
        <w:rPr>
          <w:lang w:val="en-CA"/>
        </w:rPr>
        <w:t xml:space="preserve">The </w:t>
      </w:r>
      <w:r w:rsidR="00D17A77">
        <w:rPr>
          <w:lang w:val="en-CA"/>
        </w:rPr>
        <w:t>order</w:t>
      </w:r>
      <w:r w:rsidR="00D17A77" w:rsidRPr="00E07824">
        <w:rPr>
          <w:lang w:val="en-CA"/>
        </w:rPr>
        <w:t xml:space="preserve"> </w:t>
      </w:r>
      <w:r w:rsidR="005368B7" w:rsidRPr="00E07824">
        <w:rPr>
          <w:lang w:val="en-CA"/>
        </w:rPr>
        <w:t xml:space="preserve">sought </w:t>
      </w:r>
      <w:r w:rsidR="00AF03A5" w:rsidRPr="00E07824">
        <w:rPr>
          <w:lang w:val="en-CA"/>
        </w:rPr>
        <w:t>is not</w:t>
      </w:r>
      <w:r w:rsidR="005368B7" w:rsidRPr="00E07824">
        <w:rPr>
          <w:lang w:val="en-CA"/>
        </w:rPr>
        <w:t xml:space="preserve"> a minimal impairment of the open court principle.</w:t>
      </w:r>
    </w:p>
    <w:p w14:paraId="6053031C" w14:textId="77777777" w:rsidR="009F612A" w:rsidRPr="00926147" w:rsidRDefault="00A77BED" w:rsidP="009F612A">
      <w:pPr>
        <w:pStyle w:val="Citationenretrait"/>
        <w:spacing w:line="240" w:lineRule="auto"/>
        <w:rPr>
          <w:lang w:val="en-CA"/>
        </w:rPr>
      </w:pPr>
      <w:r w:rsidRPr="00E07824">
        <w:rPr>
          <w:lang w:val="en-CA"/>
        </w:rPr>
        <w:t>(</w:t>
      </w:r>
      <w:r w:rsidR="00E01746" w:rsidRPr="00E07824">
        <w:rPr>
          <w:lang w:val="en-CA"/>
        </w:rPr>
        <w:t>c)</w:t>
      </w:r>
      <w:r w:rsidR="00E01746" w:rsidRPr="00E07824">
        <w:rPr>
          <w:lang w:val="en-CA"/>
        </w:rPr>
        <w:tab/>
      </w:r>
      <w:r w:rsidR="0065296D" w:rsidRPr="00E07824">
        <w:rPr>
          <w:lang w:val="en-CA"/>
        </w:rPr>
        <w:t xml:space="preserve">The benefits to the plaintiff do not outweigh the prejudicial effects on the rights and interests of the parties and the public, </w:t>
      </w:r>
      <w:r w:rsidR="000313C5" w:rsidRPr="00E07824">
        <w:rPr>
          <w:lang w:val="en-CA"/>
        </w:rPr>
        <w:t>including</w:t>
      </w:r>
      <w:r w:rsidR="0065296D" w:rsidRPr="00E07824">
        <w:rPr>
          <w:lang w:val="en-CA"/>
        </w:rPr>
        <w:t xml:space="preserve"> the effects on freedom</w:t>
      </w:r>
      <w:r w:rsidR="0065296D">
        <w:rPr>
          <w:lang w:val="en-CA"/>
        </w:rPr>
        <w:t xml:space="preserve"> </w:t>
      </w:r>
      <w:r w:rsidR="0065296D">
        <w:rPr>
          <w:lang w:val="en-CA"/>
        </w:rPr>
        <w:lastRenderedPageBreak/>
        <w:t>of expression, the right to a fair and impartial trial</w:t>
      </w:r>
      <w:r w:rsidR="00D17A77">
        <w:rPr>
          <w:lang w:val="en-CA"/>
        </w:rPr>
        <w:t>,</w:t>
      </w:r>
      <w:r w:rsidR="0065296D">
        <w:rPr>
          <w:lang w:val="en-CA"/>
        </w:rPr>
        <w:t xml:space="preserve"> and the effective administration of justice.</w:t>
      </w:r>
      <w:r w:rsidR="00E01746" w:rsidRPr="00926147">
        <w:rPr>
          <w:rStyle w:val="Appelnotedebasdep"/>
          <w:lang w:val="en-CA"/>
        </w:rPr>
        <w:footnoteReference w:id="8"/>
      </w:r>
    </w:p>
    <w:p w14:paraId="6BAB2B07" w14:textId="77777777" w:rsidR="009F612A" w:rsidRPr="00926147" w:rsidRDefault="00F50E45" w:rsidP="00456F97">
      <w:pPr>
        <w:pStyle w:val="Paragraphe"/>
        <w:keepNext/>
        <w:keepLines/>
        <w:tabs>
          <w:tab w:val="left" w:pos="4998"/>
        </w:tabs>
        <w:spacing w:line="240" w:lineRule="auto"/>
        <w:rPr>
          <w:rFonts w:cs="Arial"/>
          <w:lang w:val="en-CA"/>
        </w:rPr>
      </w:pPr>
      <w:r w:rsidRPr="00926147">
        <w:rPr>
          <w:rFonts w:cs="Arial"/>
          <w:lang w:val="en-CA"/>
        </w:rPr>
        <w:t xml:space="preserve">The appellants </w:t>
      </w:r>
      <w:r w:rsidR="00060850">
        <w:rPr>
          <w:rFonts w:cs="Arial"/>
          <w:lang w:val="en-CA"/>
        </w:rPr>
        <w:t>argue</w:t>
      </w:r>
      <w:r w:rsidRPr="00926147">
        <w:rPr>
          <w:rFonts w:cs="Arial"/>
          <w:lang w:val="en-CA"/>
        </w:rPr>
        <w:t xml:space="preserve"> that the judge at first instance erred in denying </w:t>
      </w:r>
      <w:r w:rsidR="0059138B">
        <w:rPr>
          <w:rFonts w:cs="Arial"/>
          <w:lang w:val="en-CA"/>
        </w:rPr>
        <w:t>th</w:t>
      </w:r>
      <w:r w:rsidR="000C4B1C">
        <w:rPr>
          <w:rFonts w:cs="Arial"/>
          <w:lang w:val="en-CA"/>
        </w:rPr>
        <w:t>e</w:t>
      </w:r>
      <w:r w:rsidR="0059138B">
        <w:rPr>
          <w:rFonts w:cs="Arial"/>
          <w:lang w:val="en-CA"/>
        </w:rPr>
        <w:t xml:space="preserve"> </w:t>
      </w:r>
      <w:r w:rsidR="00D17A77">
        <w:rPr>
          <w:rFonts w:cs="Arial"/>
          <w:lang w:val="en-CA"/>
        </w:rPr>
        <w:t>applications</w:t>
      </w:r>
      <w:r w:rsidRPr="00926147">
        <w:rPr>
          <w:rFonts w:cs="Arial"/>
          <w:lang w:val="en-CA"/>
        </w:rPr>
        <w:t xml:space="preserve">. </w:t>
      </w:r>
      <w:r w:rsidR="00D17A77">
        <w:rPr>
          <w:rFonts w:cs="Arial"/>
          <w:lang w:val="en-CA"/>
        </w:rPr>
        <w:t xml:space="preserve">The </w:t>
      </w:r>
      <w:r w:rsidRPr="00926147">
        <w:rPr>
          <w:rFonts w:cs="Arial"/>
          <w:lang w:val="en-CA"/>
        </w:rPr>
        <w:t xml:space="preserve">four questions </w:t>
      </w:r>
      <w:r w:rsidR="00D17A77">
        <w:rPr>
          <w:rFonts w:cs="Arial"/>
          <w:lang w:val="en-CA"/>
        </w:rPr>
        <w:t xml:space="preserve">they state </w:t>
      </w:r>
      <w:r w:rsidRPr="00926147">
        <w:rPr>
          <w:rFonts w:cs="Arial"/>
          <w:lang w:val="en-CA"/>
        </w:rPr>
        <w:t>in support of their position</w:t>
      </w:r>
      <w:r w:rsidR="00D17A77">
        <w:rPr>
          <w:rFonts w:cs="Arial"/>
          <w:lang w:val="en-CA"/>
        </w:rPr>
        <w:t xml:space="preserve"> </w:t>
      </w:r>
      <w:r w:rsidRPr="00926147">
        <w:rPr>
          <w:rFonts w:cs="Arial"/>
          <w:lang w:val="en-CA"/>
        </w:rPr>
        <w:t xml:space="preserve">raise </w:t>
      </w:r>
      <w:r w:rsidR="00D17A77">
        <w:rPr>
          <w:rFonts w:cs="Arial"/>
          <w:lang w:val="en-CA"/>
        </w:rPr>
        <w:t xml:space="preserve">essentially </w:t>
      </w:r>
      <w:r w:rsidRPr="00926147">
        <w:rPr>
          <w:rFonts w:cs="Arial"/>
          <w:lang w:val="en-CA"/>
        </w:rPr>
        <w:t xml:space="preserve">a single issue: </w:t>
      </w:r>
      <w:r w:rsidR="00C614F3">
        <w:rPr>
          <w:rFonts w:cs="Arial"/>
          <w:lang w:val="en-CA"/>
        </w:rPr>
        <w:t>D</w:t>
      </w:r>
      <w:r w:rsidRPr="00926147">
        <w:rPr>
          <w:rFonts w:cs="Arial"/>
          <w:lang w:val="en-CA"/>
        </w:rPr>
        <w:t xml:space="preserve">id the judge at first instance err in his application of the </w:t>
      </w:r>
      <w:r w:rsidR="009D59B1" w:rsidRPr="009D59B1">
        <w:rPr>
          <w:rFonts w:cs="Arial"/>
          <w:i/>
          <w:iCs/>
          <w:lang w:val="en-CA"/>
        </w:rPr>
        <w:t>Sherman</w:t>
      </w:r>
      <w:r w:rsidR="009D59B1">
        <w:rPr>
          <w:rFonts w:cs="Arial"/>
          <w:lang w:val="en-CA"/>
        </w:rPr>
        <w:t xml:space="preserve"> </w:t>
      </w:r>
      <w:r w:rsidRPr="00926147">
        <w:rPr>
          <w:rFonts w:cs="Arial"/>
          <w:lang w:val="en-CA"/>
        </w:rPr>
        <w:t>test</w:t>
      </w:r>
      <w:r w:rsidR="00704311">
        <w:rPr>
          <w:rFonts w:cs="Arial"/>
          <w:lang w:val="en-CA"/>
        </w:rPr>
        <w:t>?</w:t>
      </w:r>
      <w:r w:rsidR="00E01746" w:rsidRPr="00926147">
        <w:rPr>
          <w:rStyle w:val="Appelnotedebasdep"/>
          <w:lang w:val="en-CA"/>
        </w:rPr>
        <w:footnoteReference w:id="9"/>
      </w:r>
    </w:p>
    <w:p w14:paraId="209E8DED" w14:textId="77777777" w:rsidR="009F612A" w:rsidRPr="00926147" w:rsidRDefault="00E01746" w:rsidP="009F612A">
      <w:pPr>
        <w:pStyle w:val="Paragraphe"/>
        <w:numPr>
          <w:ilvl w:val="0"/>
          <w:numId w:val="0"/>
        </w:numPr>
        <w:spacing w:line="240" w:lineRule="auto"/>
        <w:rPr>
          <w:b/>
          <w:lang w:val="en-CA"/>
        </w:rPr>
      </w:pPr>
      <w:r w:rsidRPr="00926147">
        <w:rPr>
          <w:b/>
          <w:lang w:val="en-CA"/>
        </w:rPr>
        <w:t>II. Analys</w:t>
      </w:r>
      <w:r w:rsidR="00235476" w:rsidRPr="00926147">
        <w:rPr>
          <w:b/>
          <w:lang w:val="en-CA"/>
        </w:rPr>
        <w:t>is</w:t>
      </w:r>
    </w:p>
    <w:p w14:paraId="7DB7839A" w14:textId="77777777" w:rsidR="009F612A" w:rsidRPr="00926147" w:rsidRDefault="00235476" w:rsidP="009F612A">
      <w:pPr>
        <w:pStyle w:val="Paragraphe"/>
        <w:spacing w:line="240" w:lineRule="auto"/>
        <w:rPr>
          <w:lang w:val="en-CA"/>
        </w:rPr>
      </w:pPr>
      <w:r w:rsidRPr="00926147">
        <w:rPr>
          <w:lang w:val="en-CA"/>
        </w:rPr>
        <w:t xml:space="preserve">After </w:t>
      </w:r>
      <w:r w:rsidR="009F75C9">
        <w:rPr>
          <w:lang w:val="en-CA"/>
        </w:rPr>
        <w:t>reviewing</w:t>
      </w:r>
      <w:r w:rsidRPr="00926147">
        <w:rPr>
          <w:lang w:val="en-CA"/>
        </w:rPr>
        <w:t xml:space="preserve"> the applicable principles, I will consider the merits of the appeal.</w:t>
      </w:r>
    </w:p>
    <w:p w14:paraId="0440A83B" w14:textId="77777777" w:rsidR="009F612A" w:rsidRPr="00926147" w:rsidRDefault="00235476" w:rsidP="009F612A">
      <w:pPr>
        <w:pStyle w:val="Paragraphe"/>
        <w:numPr>
          <w:ilvl w:val="0"/>
          <w:numId w:val="19"/>
        </w:numPr>
        <w:spacing w:line="240" w:lineRule="auto"/>
        <w:rPr>
          <w:b/>
          <w:lang w:val="en-CA"/>
        </w:rPr>
      </w:pPr>
      <w:r w:rsidRPr="00926147">
        <w:rPr>
          <w:b/>
          <w:lang w:val="en-CA"/>
        </w:rPr>
        <w:t>The applicable principles</w:t>
      </w:r>
    </w:p>
    <w:p w14:paraId="3F828785" w14:textId="77777777" w:rsidR="009F612A" w:rsidRPr="00926147" w:rsidRDefault="00235476" w:rsidP="009F612A">
      <w:pPr>
        <w:pStyle w:val="Paragraphe"/>
        <w:spacing w:line="240" w:lineRule="auto"/>
        <w:rPr>
          <w:lang w:val="en-CA"/>
        </w:rPr>
      </w:pPr>
      <w:r w:rsidRPr="00926147">
        <w:rPr>
          <w:lang w:val="en-CA"/>
        </w:rPr>
        <w:t xml:space="preserve">The principle that </w:t>
      </w:r>
      <w:r w:rsidR="00395994">
        <w:rPr>
          <w:lang w:val="en-CA"/>
        </w:rPr>
        <w:t>the workings of the courts should</w:t>
      </w:r>
      <w:r w:rsidR="00FF5F05" w:rsidRPr="00926147">
        <w:rPr>
          <w:lang w:val="en-CA"/>
        </w:rPr>
        <w:t xml:space="preserve"> </w:t>
      </w:r>
      <w:r w:rsidR="00395994">
        <w:rPr>
          <w:lang w:val="en-CA"/>
        </w:rPr>
        <w:t>be</w:t>
      </w:r>
      <w:r w:rsidR="00FF5F05" w:rsidRPr="00926147">
        <w:rPr>
          <w:lang w:val="en-CA"/>
        </w:rPr>
        <w:t xml:space="preserve"> public is fundamental to our justice system</w:t>
      </w:r>
      <w:r w:rsidR="00E01746" w:rsidRPr="00926147">
        <w:rPr>
          <w:lang w:val="en-CA"/>
        </w:rPr>
        <w:t xml:space="preserve">. </w:t>
      </w:r>
      <w:proofErr w:type="spellStart"/>
      <w:r w:rsidR="00FF5F05" w:rsidRPr="00926147">
        <w:rPr>
          <w:lang w:val="en-CA"/>
        </w:rPr>
        <w:t>Kasirer</w:t>
      </w:r>
      <w:proofErr w:type="spellEnd"/>
      <w:r w:rsidR="00EC5F7A">
        <w:rPr>
          <w:lang w:val="en-CA"/>
        </w:rPr>
        <w:t>, J.</w:t>
      </w:r>
      <w:r w:rsidR="00E01746" w:rsidRPr="00926147">
        <w:rPr>
          <w:lang w:val="en-CA"/>
        </w:rPr>
        <w:t xml:space="preserve"> </w:t>
      </w:r>
      <w:r w:rsidR="00FF5F05" w:rsidRPr="00926147">
        <w:rPr>
          <w:lang w:val="en-CA"/>
        </w:rPr>
        <w:t xml:space="preserve">notes this in </w:t>
      </w:r>
      <w:r w:rsidR="00E01746" w:rsidRPr="00926147">
        <w:rPr>
          <w:i/>
          <w:lang w:val="en-CA"/>
        </w:rPr>
        <w:t>Sherman</w:t>
      </w:r>
      <w:r w:rsidR="00E01746" w:rsidRPr="00926147">
        <w:rPr>
          <w:lang w:val="en-CA"/>
        </w:rPr>
        <w:t xml:space="preserve">, </w:t>
      </w:r>
      <w:r w:rsidR="00FF5F05" w:rsidRPr="00926147">
        <w:rPr>
          <w:lang w:val="en-CA"/>
        </w:rPr>
        <w:t xml:space="preserve">stating that </w:t>
      </w:r>
      <w:r w:rsidR="00FF5F05" w:rsidRPr="00D17A77">
        <w:rPr>
          <w:lang w:val="en-CA"/>
        </w:rPr>
        <w:t>“the open court principle is protected by the constitutionally</w:t>
      </w:r>
      <w:r w:rsidR="00FF5F05" w:rsidRPr="00D17A77">
        <w:rPr>
          <w:lang w:val="en-CA"/>
        </w:rPr>
        <w:noBreakHyphen/>
        <w:t>entrenched right of freedom of expression and, as such, it represents a central feature of a liberal democracy</w:t>
      </w:r>
      <w:r w:rsidR="00665293">
        <w:rPr>
          <w:lang w:val="en-CA"/>
        </w:rPr>
        <w:t>”</w:t>
      </w:r>
      <w:r w:rsidR="00FF5F05" w:rsidRPr="008D2FB9">
        <w:rPr>
          <w:lang w:val="en-CA"/>
        </w:rPr>
        <w:t>.</w:t>
      </w:r>
      <w:r w:rsidR="00E01746" w:rsidRPr="008D2FB9">
        <w:rPr>
          <w:rStyle w:val="Appelnotedebasdep"/>
          <w:sz w:val="23"/>
          <w:szCs w:val="23"/>
          <w:lang w:val="en-CA"/>
        </w:rPr>
        <w:footnoteReference w:id="10"/>
      </w:r>
      <w:r w:rsidR="00E01746" w:rsidRPr="008D2FB9">
        <w:rPr>
          <w:lang w:val="en-CA"/>
        </w:rPr>
        <w:t xml:space="preserve"> </w:t>
      </w:r>
      <w:r w:rsidR="00FF5F05" w:rsidRPr="008D2FB9">
        <w:rPr>
          <w:lang w:val="en-CA"/>
        </w:rPr>
        <w:t>He adds that there is a strong presumption in favour of open courts</w:t>
      </w:r>
      <w:r w:rsidR="002C1E3B" w:rsidRPr="008D2FB9">
        <w:rPr>
          <w:lang w:val="en-CA"/>
        </w:rPr>
        <w:t xml:space="preserve"> and that, </w:t>
      </w:r>
      <w:r w:rsidR="00FF5F05" w:rsidRPr="008D2FB9">
        <w:rPr>
          <w:lang w:val="en-CA"/>
        </w:rPr>
        <w:t>while that presumption</w:t>
      </w:r>
      <w:r w:rsidR="00FF5F05" w:rsidRPr="00926147">
        <w:rPr>
          <w:lang w:val="en-CA"/>
        </w:rPr>
        <w:t xml:space="preserve"> is not absolute, it can be </w:t>
      </w:r>
      <w:r w:rsidR="0052636A">
        <w:rPr>
          <w:lang w:val="en-CA"/>
        </w:rPr>
        <w:t xml:space="preserve">overcome </w:t>
      </w:r>
      <w:r w:rsidR="00FF5F05" w:rsidRPr="00926147">
        <w:rPr>
          <w:lang w:val="en-CA"/>
        </w:rPr>
        <w:t>only if it conflicts with an equally important public interest such as the need to protect a person’s dignity.</w:t>
      </w:r>
    </w:p>
    <w:p w14:paraId="0D95D9FA" w14:textId="77777777" w:rsidR="009F612A" w:rsidRPr="00D17A77" w:rsidRDefault="00FF5F05" w:rsidP="009F612A">
      <w:pPr>
        <w:pStyle w:val="Paragraphe"/>
        <w:spacing w:line="240" w:lineRule="auto"/>
        <w:rPr>
          <w:lang w:val="en-CA"/>
        </w:rPr>
      </w:pPr>
      <w:r w:rsidRPr="00926147">
        <w:rPr>
          <w:lang w:val="en-CA"/>
        </w:rPr>
        <w:t>Also in</w:t>
      </w:r>
      <w:r w:rsidR="00E01746" w:rsidRPr="00926147">
        <w:rPr>
          <w:lang w:val="en-CA"/>
        </w:rPr>
        <w:t xml:space="preserve"> </w:t>
      </w:r>
      <w:r w:rsidR="00E01746" w:rsidRPr="00926147">
        <w:rPr>
          <w:i/>
          <w:lang w:val="en-CA"/>
        </w:rPr>
        <w:t>Sherman</w:t>
      </w:r>
      <w:r w:rsidR="00E01746" w:rsidRPr="00926147">
        <w:rPr>
          <w:lang w:val="en-CA"/>
        </w:rPr>
        <w:t xml:space="preserve">, </w:t>
      </w:r>
      <w:proofErr w:type="spellStart"/>
      <w:r w:rsidRPr="00926147">
        <w:rPr>
          <w:lang w:val="en-CA"/>
        </w:rPr>
        <w:t>Kasirer</w:t>
      </w:r>
      <w:proofErr w:type="spellEnd"/>
      <w:r w:rsidR="00F64992">
        <w:rPr>
          <w:lang w:val="en-CA"/>
        </w:rPr>
        <w:t>, J.</w:t>
      </w:r>
      <w:r w:rsidRPr="00926147">
        <w:rPr>
          <w:lang w:val="en-CA"/>
        </w:rPr>
        <w:t xml:space="preserve"> notes that di</w:t>
      </w:r>
      <w:r w:rsidRPr="008A4C72">
        <w:rPr>
          <w:lang w:val="en-CA"/>
        </w:rPr>
        <w:t xml:space="preserve">gnity </w:t>
      </w:r>
      <w:r w:rsidR="00926147" w:rsidRPr="008A4C72">
        <w:rPr>
          <w:lang w:val="en-CA"/>
        </w:rPr>
        <w:t xml:space="preserve">is </w:t>
      </w:r>
      <w:r w:rsidR="00926147" w:rsidRPr="00AC22B1">
        <w:rPr>
          <w:lang w:val="en-CA"/>
        </w:rPr>
        <w:t>“</w:t>
      </w:r>
      <w:r w:rsidR="00926147" w:rsidRPr="008A4C72">
        <w:rPr>
          <w:lang w:val="en-CA"/>
        </w:rPr>
        <w:t>a narrower</w:t>
      </w:r>
      <w:r w:rsidR="00926147" w:rsidRPr="00D17A77">
        <w:rPr>
          <w:lang w:val="en-CA"/>
        </w:rPr>
        <w:t xml:space="preserve"> concern than privacy generally; it transcends the interests of the individual and, like other important public interests, is a matter that concerns the society at large</w:t>
      </w:r>
      <w:r w:rsidR="00665293">
        <w:rPr>
          <w:lang w:val="en-CA"/>
        </w:rPr>
        <w:t>”</w:t>
      </w:r>
      <w:r w:rsidR="00926147" w:rsidRPr="00D17A77">
        <w:rPr>
          <w:lang w:val="en-CA"/>
        </w:rPr>
        <w:t>.</w:t>
      </w:r>
      <w:r w:rsidR="00E01746" w:rsidRPr="00D17A77">
        <w:rPr>
          <w:rStyle w:val="Appelnotedebasdep"/>
          <w:lang w:val="en-CA"/>
        </w:rPr>
        <w:footnoteReference w:id="11"/>
      </w:r>
      <w:r w:rsidR="00E01746" w:rsidRPr="00D17A77">
        <w:rPr>
          <w:lang w:val="en-CA"/>
        </w:rPr>
        <w:t xml:space="preserve"> </w:t>
      </w:r>
      <w:r w:rsidR="00926147" w:rsidRPr="00D17A77">
        <w:rPr>
          <w:lang w:val="en-CA"/>
        </w:rPr>
        <w:t>Therefore, to be protected,</w:t>
      </w:r>
      <w:r w:rsidR="00EC5F7A" w:rsidRPr="00D17A77">
        <w:rPr>
          <w:lang w:val="en-CA"/>
        </w:rPr>
        <w:t xml:space="preserve"> </w:t>
      </w:r>
      <w:r w:rsidR="00F64992" w:rsidRPr="00D17A77">
        <w:rPr>
          <w:lang w:val="en-CA"/>
        </w:rPr>
        <w:t>“t</w:t>
      </w:r>
      <w:r w:rsidR="00926147" w:rsidRPr="00D17A77">
        <w:rPr>
          <w:lang w:val="en-CA"/>
        </w:rPr>
        <w:t>he</w:t>
      </w:r>
      <w:r w:rsidR="005B455B" w:rsidRPr="00D17A77">
        <w:rPr>
          <w:lang w:val="en-CA"/>
        </w:rPr>
        <w:t> </w:t>
      </w:r>
      <w:r w:rsidR="00926147" w:rsidRPr="00D17A77">
        <w:rPr>
          <w:lang w:val="en-CA"/>
        </w:rPr>
        <w:t>information that will be revealed by court openness must consist of intimate or personal details about an individual”</w:t>
      </w:r>
      <w:r w:rsidR="00E01746" w:rsidRPr="00D17A77">
        <w:rPr>
          <w:lang w:val="en-CA"/>
        </w:rPr>
        <w:t xml:space="preserve"> </w:t>
      </w:r>
      <w:r w:rsidR="00F64992" w:rsidRPr="00D17A77">
        <w:rPr>
          <w:lang w:val="en-CA"/>
        </w:rPr>
        <w:t>that constitute the “biographical core</w:t>
      </w:r>
      <w:r w:rsidR="00665293">
        <w:rPr>
          <w:lang w:val="en-CA"/>
        </w:rPr>
        <w:t>”</w:t>
      </w:r>
      <w:r w:rsidR="00F64992" w:rsidRPr="00D17A77">
        <w:rPr>
          <w:lang w:val="en-CA"/>
        </w:rPr>
        <w:t>.</w:t>
      </w:r>
      <w:r w:rsidR="00E01746" w:rsidRPr="00D17A77">
        <w:rPr>
          <w:rStyle w:val="Appelnotedebasdep"/>
          <w:lang w:val="en-CA"/>
        </w:rPr>
        <w:footnoteReference w:id="12"/>
      </w:r>
      <w:r w:rsidR="00E01746" w:rsidRPr="00D17A77">
        <w:rPr>
          <w:lang w:val="en-CA"/>
        </w:rPr>
        <w:t xml:space="preserve"> </w:t>
      </w:r>
      <w:r w:rsidR="00F64992" w:rsidRPr="00D17A77">
        <w:rPr>
          <w:lang w:val="en-CA"/>
        </w:rPr>
        <w:t xml:space="preserve">In this regard, </w:t>
      </w:r>
      <w:proofErr w:type="spellStart"/>
      <w:r w:rsidR="00F64992" w:rsidRPr="00D17A77">
        <w:rPr>
          <w:lang w:val="en-CA"/>
        </w:rPr>
        <w:t>Kasirer</w:t>
      </w:r>
      <w:proofErr w:type="spellEnd"/>
      <w:r w:rsidR="00F64992" w:rsidRPr="00D17A77">
        <w:rPr>
          <w:lang w:val="en-CA"/>
        </w:rPr>
        <w:t>, J. adds:</w:t>
      </w:r>
    </w:p>
    <w:p w14:paraId="48D80B6F" w14:textId="77777777" w:rsidR="009F612A" w:rsidRPr="00926147" w:rsidRDefault="00E01746" w:rsidP="009F612A">
      <w:pPr>
        <w:pStyle w:val="Citationenretrait"/>
        <w:spacing w:line="240" w:lineRule="auto"/>
        <w:rPr>
          <w:lang w:val="en-CA"/>
        </w:rPr>
      </w:pPr>
      <w:r w:rsidRPr="00976AE7">
        <w:rPr>
          <w:lang w:val="en-CA"/>
        </w:rPr>
        <w:t xml:space="preserve">[71] </w:t>
      </w:r>
      <w:r w:rsidRPr="00976AE7">
        <w:rPr>
          <w:lang w:val="en-CA"/>
        </w:rPr>
        <w:tab/>
      </w:r>
      <w:r w:rsidR="00F878D0" w:rsidRPr="00976AE7">
        <w:rPr>
          <w:lang w:val="en-CA"/>
        </w:rPr>
        <w:t>Violations of privacy that cause a loss of control over fundamental personal information about oneself are damaging to dignity because they erode one’s ability to present aspects of oneself to others in a selective manner (D. Matheson, “Dignity and Selective Self-Presentation”, in I. Kerr, V. Steeves and C. </w:t>
      </w:r>
      <w:proofErr w:type="spellStart"/>
      <w:r w:rsidR="00F878D0" w:rsidRPr="00976AE7">
        <w:rPr>
          <w:lang w:val="en-CA"/>
        </w:rPr>
        <w:t>Lucock</w:t>
      </w:r>
      <w:proofErr w:type="spellEnd"/>
      <w:r w:rsidR="00F878D0" w:rsidRPr="00976AE7">
        <w:rPr>
          <w:lang w:val="en-CA"/>
        </w:rPr>
        <w:t>, eds., </w:t>
      </w:r>
      <w:r w:rsidR="00F878D0" w:rsidRPr="00976AE7">
        <w:rPr>
          <w:i/>
          <w:iCs/>
          <w:lang w:val="en-CA"/>
        </w:rPr>
        <w:t>Lessons from the Identity Trail: Anonymity, Privacy and Identity in a Networked Society</w:t>
      </w:r>
      <w:r w:rsidR="00F878D0" w:rsidRPr="00976AE7">
        <w:rPr>
          <w:lang w:val="en-CA"/>
        </w:rPr>
        <w:t> (2009), 319, at pp. 327</w:t>
      </w:r>
      <w:r w:rsidR="00F878D0" w:rsidRPr="00976AE7">
        <w:rPr>
          <w:lang w:val="en-CA"/>
        </w:rPr>
        <w:noBreakHyphen/>
        <w:t>28; L. M. Austin, “Re-reading Westin” (2019), 20 </w:t>
      </w:r>
      <w:proofErr w:type="spellStart"/>
      <w:r w:rsidR="00F878D0" w:rsidRPr="00976AE7">
        <w:rPr>
          <w:i/>
          <w:iCs/>
          <w:lang w:val="en-CA"/>
        </w:rPr>
        <w:t>Theor</w:t>
      </w:r>
      <w:proofErr w:type="spellEnd"/>
      <w:r w:rsidR="00F878D0" w:rsidRPr="00976AE7">
        <w:rPr>
          <w:i/>
          <w:iCs/>
          <w:lang w:val="en-CA"/>
        </w:rPr>
        <w:t>. Inq. L. </w:t>
      </w:r>
      <w:r w:rsidR="00F878D0" w:rsidRPr="00976AE7">
        <w:rPr>
          <w:lang w:val="en-CA"/>
        </w:rPr>
        <w:t>53, at pp. 66</w:t>
      </w:r>
      <w:r w:rsidR="00F878D0" w:rsidRPr="00976AE7">
        <w:rPr>
          <w:lang w:val="en-CA"/>
        </w:rPr>
        <w:noBreakHyphen/>
        <w:t xml:space="preserve">68; </w:t>
      </w:r>
      <w:proofErr w:type="spellStart"/>
      <w:r w:rsidR="00F878D0" w:rsidRPr="00976AE7">
        <w:rPr>
          <w:lang w:val="en-CA"/>
        </w:rPr>
        <w:t>Eltis</w:t>
      </w:r>
      <w:proofErr w:type="spellEnd"/>
      <w:r w:rsidR="00F878D0" w:rsidRPr="00976AE7">
        <w:rPr>
          <w:lang w:val="en-CA"/>
        </w:rPr>
        <w:t xml:space="preserve"> (2016), at p. 13). Dignity, used in this context, is a social concept that involves presenting core aspects of oneself to others in a considered and controlled manner (see generally Matheson, at pp. 327</w:t>
      </w:r>
      <w:r w:rsidR="00F878D0" w:rsidRPr="00976AE7">
        <w:rPr>
          <w:lang w:val="en-CA"/>
        </w:rPr>
        <w:noBreakHyphen/>
        <w:t>28; Austin, at pp. 66</w:t>
      </w:r>
      <w:r w:rsidR="00F878D0" w:rsidRPr="00976AE7">
        <w:rPr>
          <w:lang w:val="en-CA"/>
        </w:rPr>
        <w:noBreakHyphen/>
        <w:t xml:space="preserve">68). </w:t>
      </w:r>
      <w:r w:rsidR="00F878D0" w:rsidRPr="00976AE7">
        <w:rPr>
          <w:u w:val="single"/>
          <w:lang w:val="en-CA"/>
        </w:rPr>
        <w:t>Dignity is eroded where individuals lose control over this core identity</w:t>
      </w:r>
      <w:r w:rsidR="00F878D0" w:rsidRPr="00976AE7">
        <w:rPr>
          <w:u w:val="single"/>
          <w:lang w:val="en-CA"/>
        </w:rPr>
        <w:noBreakHyphen/>
        <w:t>giving information about themselves, because a highly sensitive aspect of who they are that they did not consciously decide to share is now available to others and may shape how they are seen in public</w:t>
      </w:r>
      <w:r w:rsidR="00F878D0" w:rsidRPr="00976AE7">
        <w:rPr>
          <w:lang w:val="en-CA"/>
        </w:rPr>
        <w:t xml:space="preserve">. This was even alluded to by La Forest J., dissenting but not </w:t>
      </w:r>
      <w:r w:rsidR="00F878D0" w:rsidRPr="00976AE7">
        <w:rPr>
          <w:lang w:val="en-CA"/>
        </w:rPr>
        <w:lastRenderedPageBreak/>
        <w:t>on this point, in </w:t>
      </w:r>
      <w:proofErr w:type="spellStart"/>
      <w:r w:rsidR="00F878D0" w:rsidRPr="00976AE7">
        <w:rPr>
          <w:i/>
          <w:iCs/>
          <w:lang w:val="en-CA"/>
        </w:rPr>
        <w:t>Dagg</w:t>
      </w:r>
      <w:proofErr w:type="spellEnd"/>
      <w:r w:rsidR="00F878D0" w:rsidRPr="00976AE7">
        <w:rPr>
          <w:lang w:val="en-CA"/>
        </w:rPr>
        <w:t>, where he referred to privacy as “[a]n expression of an individual’s unique personality or personhood” (para. 65).</w:t>
      </w:r>
    </w:p>
    <w:p w14:paraId="233B8355" w14:textId="77777777" w:rsidR="009F612A" w:rsidRPr="00926147" w:rsidRDefault="00E01746" w:rsidP="009F612A">
      <w:pPr>
        <w:pStyle w:val="Citationenretrait"/>
        <w:spacing w:line="240" w:lineRule="auto"/>
        <w:jc w:val="right"/>
        <w:rPr>
          <w:szCs w:val="22"/>
          <w:lang w:val="en-CA"/>
        </w:rPr>
      </w:pPr>
      <w:r w:rsidRPr="00926147">
        <w:rPr>
          <w:rFonts w:cs="Arial"/>
          <w:lang w:val="en-CA"/>
        </w:rPr>
        <w:t>[</w:t>
      </w:r>
      <w:r w:rsidR="00636D30" w:rsidRPr="00926147">
        <w:rPr>
          <w:lang w:val="en-CA"/>
        </w:rPr>
        <w:t>Emphasis added and citations omitted</w:t>
      </w:r>
      <w:r w:rsidRPr="00926147">
        <w:rPr>
          <w:rFonts w:cs="Arial"/>
          <w:lang w:val="en-CA"/>
        </w:rPr>
        <w:t>]</w:t>
      </w:r>
    </w:p>
    <w:p w14:paraId="3D2A1DD5" w14:textId="77777777" w:rsidR="009F612A" w:rsidRPr="00A66358" w:rsidRDefault="000A5BD7" w:rsidP="009F612A">
      <w:pPr>
        <w:pStyle w:val="Paragraphe"/>
        <w:spacing w:line="240" w:lineRule="auto"/>
        <w:rPr>
          <w:lang w:val="en-CA"/>
        </w:rPr>
      </w:pPr>
      <w:r w:rsidRPr="000A5BD7">
        <w:rPr>
          <w:lang w:val="en-CA"/>
        </w:rPr>
        <w:t xml:space="preserve">In </w:t>
      </w:r>
      <w:r w:rsidR="00E01746" w:rsidRPr="000A5BD7">
        <w:rPr>
          <w:lang w:val="en-CA"/>
        </w:rPr>
        <w:t>Qu</w:t>
      </w:r>
      <w:r w:rsidRPr="000A5BD7">
        <w:rPr>
          <w:lang w:val="en-CA"/>
        </w:rPr>
        <w:t>e</w:t>
      </w:r>
      <w:r w:rsidR="00E01746" w:rsidRPr="000A5BD7">
        <w:rPr>
          <w:lang w:val="en-CA"/>
        </w:rPr>
        <w:t xml:space="preserve">bec, </w:t>
      </w:r>
      <w:r w:rsidRPr="000A5BD7">
        <w:rPr>
          <w:lang w:val="en-CA"/>
        </w:rPr>
        <w:t xml:space="preserve">these principles are consistent with </w:t>
      </w:r>
      <w:r w:rsidR="0068505D">
        <w:rPr>
          <w:lang w:val="en-CA"/>
        </w:rPr>
        <w:t>those</w:t>
      </w:r>
      <w:r w:rsidRPr="000A5BD7">
        <w:rPr>
          <w:lang w:val="en-CA"/>
        </w:rPr>
        <w:t xml:space="preserve"> co</w:t>
      </w:r>
      <w:r>
        <w:rPr>
          <w:lang w:val="en-CA"/>
        </w:rPr>
        <w:t>dified in the</w:t>
      </w:r>
      <w:r w:rsidR="00E01746" w:rsidRPr="000A5BD7">
        <w:rPr>
          <w:lang w:val="en-CA"/>
        </w:rPr>
        <w:t xml:space="preserve"> </w:t>
      </w:r>
      <w:r w:rsidR="00E01746" w:rsidRPr="000A5BD7">
        <w:rPr>
          <w:i/>
          <w:lang w:val="en-CA"/>
        </w:rPr>
        <w:t xml:space="preserve">Code </w:t>
      </w:r>
      <w:r>
        <w:rPr>
          <w:i/>
          <w:lang w:val="en-CA"/>
        </w:rPr>
        <w:t>of Civil Procedure</w:t>
      </w:r>
      <w:r w:rsidR="00E01746" w:rsidRPr="000A5BD7">
        <w:rPr>
          <w:i/>
          <w:lang w:val="en-CA"/>
        </w:rPr>
        <w:t xml:space="preserve"> </w:t>
      </w:r>
      <w:r w:rsidR="00E01746" w:rsidRPr="000A5BD7">
        <w:rPr>
          <w:lang w:val="en-CA"/>
        </w:rPr>
        <w:t>(</w:t>
      </w:r>
      <w:r w:rsidR="00E01746" w:rsidRPr="000A5BD7">
        <w:rPr>
          <w:i/>
          <w:lang w:val="en-CA"/>
        </w:rPr>
        <w:t>C.</w:t>
      </w:r>
      <w:r>
        <w:rPr>
          <w:i/>
          <w:lang w:val="en-CA"/>
        </w:rPr>
        <w:t>P.C</w:t>
      </w:r>
      <w:r w:rsidR="00E01746" w:rsidRPr="000A5BD7">
        <w:rPr>
          <w:i/>
          <w:lang w:val="en-CA"/>
        </w:rPr>
        <w:t>.</w:t>
      </w:r>
      <w:r w:rsidR="00E01746" w:rsidRPr="000A5BD7">
        <w:rPr>
          <w:lang w:val="en-CA"/>
        </w:rPr>
        <w:t xml:space="preserve">). </w:t>
      </w:r>
      <w:r w:rsidRPr="00021375">
        <w:rPr>
          <w:lang w:val="en-CA"/>
        </w:rPr>
        <w:t xml:space="preserve">The </w:t>
      </w:r>
      <w:r w:rsidR="00A66358">
        <w:rPr>
          <w:lang w:val="en-CA"/>
        </w:rPr>
        <w:t>principle of open proceedings</w:t>
      </w:r>
      <w:r w:rsidRPr="00021375">
        <w:rPr>
          <w:lang w:val="en-CA"/>
        </w:rPr>
        <w:t xml:space="preserve"> is codified in art.</w:t>
      </w:r>
      <w:r w:rsidR="00E01746" w:rsidRPr="00021375">
        <w:rPr>
          <w:lang w:val="en-CA"/>
        </w:rPr>
        <w:t xml:space="preserve"> 11 </w:t>
      </w:r>
      <w:r w:rsidR="00E01746" w:rsidRPr="00021375">
        <w:rPr>
          <w:i/>
          <w:lang w:val="en-CA"/>
        </w:rPr>
        <w:t>C.</w:t>
      </w:r>
      <w:r w:rsidRPr="00021375">
        <w:rPr>
          <w:i/>
          <w:lang w:val="en-CA"/>
        </w:rPr>
        <w:t>C.P</w:t>
      </w:r>
      <w:r w:rsidR="00A66358">
        <w:rPr>
          <w:i/>
          <w:lang w:val="en-CA"/>
        </w:rPr>
        <w:t>.</w:t>
      </w:r>
      <w:r w:rsidR="00E01746" w:rsidRPr="00021375">
        <w:rPr>
          <w:lang w:val="en-CA"/>
        </w:rPr>
        <w:t xml:space="preserve"> </w:t>
      </w:r>
      <w:r w:rsidR="00021375">
        <w:rPr>
          <w:lang w:val="en-CA"/>
        </w:rPr>
        <w:t>and constitutes</w:t>
      </w:r>
      <w:r w:rsidRPr="00021375">
        <w:rPr>
          <w:lang w:val="en-CA"/>
        </w:rPr>
        <w:t xml:space="preserve"> </w:t>
      </w:r>
      <w:r w:rsidR="00021375" w:rsidRPr="00021375">
        <w:rPr>
          <w:lang w:val="en-CA"/>
        </w:rPr>
        <w:t>a</w:t>
      </w:r>
      <w:r w:rsidRPr="00021375">
        <w:rPr>
          <w:lang w:val="en-CA"/>
        </w:rPr>
        <w:t xml:space="preserve"> </w:t>
      </w:r>
      <w:r w:rsidR="000F2F48">
        <w:rPr>
          <w:lang w:val="en-CA"/>
        </w:rPr>
        <w:t>“[</w:t>
      </w:r>
      <w:r w:rsidRPr="00021375">
        <w:rPr>
          <w:lang w:val="en-CA"/>
        </w:rPr>
        <w:t>guard</w:t>
      </w:r>
      <w:r w:rsidR="000F2F48">
        <w:rPr>
          <w:lang w:val="en-CA"/>
        </w:rPr>
        <w:t>]</w:t>
      </w:r>
      <w:r w:rsidRPr="00021375">
        <w:rPr>
          <w:lang w:val="en-CA"/>
        </w:rPr>
        <w:t xml:space="preserve"> </w:t>
      </w:r>
      <w:r w:rsidR="00021375" w:rsidRPr="00021375">
        <w:rPr>
          <w:lang w:val="en-CA"/>
        </w:rPr>
        <w:t>against improbity</w:t>
      </w:r>
      <w:r w:rsidR="000F2F48">
        <w:rPr>
          <w:lang w:val="en-CA"/>
        </w:rPr>
        <w:t>”</w:t>
      </w:r>
      <w:r w:rsidR="00E01746" w:rsidRPr="00926147">
        <w:rPr>
          <w:vertAlign w:val="superscript"/>
          <w:lang w:val="en-CA"/>
        </w:rPr>
        <w:footnoteReference w:id="13"/>
      </w:r>
      <w:r w:rsidR="00E01746" w:rsidRPr="00021375">
        <w:rPr>
          <w:lang w:val="en-CA"/>
        </w:rPr>
        <w:t xml:space="preserve"> </w:t>
      </w:r>
      <w:r w:rsidR="00021375" w:rsidRPr="00021375">
        <w:rPr>
          <w:lang w:val="en-CA"/>
        </w:rPr>
        <w:t>by ensuring “that justice is administered in a non-arbitrary manner, according to the rule of law</w:t>
      </w:r>
      <w:r w:rsidR="00021375">
        <w:rPr>
          <w:lang w:val="en-CA"/>
        </w:rPr>
        <w:t>.”</w:t>
      </w:r>
      <w:r w:rsidR="00E01746" w:rsidRPr="00926147">
        <w:rPr>
          <w:vertAlign w:val="superscript"/>
          <w:lang w:val="en-CA"/>
        </w:rPr>
        <w:footnoteReference w:id="14"/>
      </w:r>
      <w:r w:rsidR="00E01746" w:rsidRPr="00021375">
        <w:rPr>
          <w:lang w:val="en-CA"/>
        </w:rPr>
        <w:t xml:space="preserve"> </w:t>
      </w:r>
      <w:r w:rsidR="000F2F48" w:rsidRPr="000F2F48">
        <w:rPr>
          <w:lang w:val="en-CA"/>
        </w:rPr>
        <w:t xml:space="preserve">In essence, </w:t>
      </w:r>
      <w:r w:rsidR="00882B51">
        <w:rPr>
          <w:lang w:val="en-CA"/>
        </w:rPr>
        <w:t>it</w:t>
      </w:r>
      <w:r w:rsidR="000F2F48" w:rsidRPr="000F2F48">
        <w:rPr>
          <w:lang w:val="en-CA"/>
        </w:rPr>
        <w:t xml:space="preserve"> </w:t>
      </w:r>
      <w:r w:rsidR="000F2F48">
        <w:rPr>
          <w:lang w:val="en-CA"/>
        </w:rPr>
        <w:t>is “</w:t>
      </w:r>
      <w:r w:rsidR="000F2F48" w:rsidRPr="000F2F48">
        <w:rPr>
          <w:lang w:val="en-CA"/>
        </w:rPr>
        <w:t>a means of guaranteeing the fair and transparent administration of justice</w:t>
      </w:r>
      <w:r w:rsidR="000F2F48">
        <w:rPr>
          <w:lang w:val="en-CA"/>
        </w:rPr>
        <w:t>.”</w:t>
      </w:r>
      <w:r w:rsidR="00E01746" w:rsidRPr="00926147">
        <w:rPr>
          <w:vertAlign w:val="superscript"/>
          <w:lang w:val="en-CA"/>
        </w:rPr>
        <w:footnoteReference w:id="15"/>
      </w:r>
      <w:r w:rsidR="00E01746" w:rsidRPr="000F2F48">
        <w:rPr>
          <w:lang w:val="en-CA"/>
        </w:rPr>
        <w:t xml:space="preserve"> </w:t>
      </w:r>
      <w:r w:rsidR="000F2F48" w:rsidRPr="008E26E9">
        <w:rPr>
          <w:lang w:val="en-CA"/>
        </w:rPr>
        <w:t xml:space="preserve">Since the advent of the </w:t>
      </w:r>
      <w:r w:rsidR="00E01746" w:rsidRPr="008E26E9">
        <w:rPr>
          <w:i/>
          <w:lang w:val="en-CA"/>
        </w:rPr>
        <w:t>C</w:t>
      </w:r>
      <w:r w:rsidR="000F2F48" w:rsidRPr="008E26E9">
        <w:rPr>
          <w:i/>
          <w:lang w:val="en-CA"/>
        </w:rPr>
        <w:t>anadian Charter of</w:t>
      </w:r>
      <w:r w:rsidR="00E01746" w:rsidRPr="008E26E9">
        <w:rPr>
          <w:i/>
          <w:lang w:val="en-CA"/>
        </w:rPr>
        <w:t xml:space="preserve"> </w:t>
      </w:r>
      <w:r w:rsidR="000F2F48" w:rsidRPr="008E26E9">
        <w:rPr>
          <w:i/>
          <w:lang w:val="en-CA"/>
        </w:rPr>
        <w:t>Rights and Freedoms</w:t>
      </w:r>
      <w:r w:rsidR="00E01746" w:rsidRPr="00926147">
        <w:rPr>
          <w:rStyle w:val="Appelnotedebasdep"/>
          <w:lang w:val="en-CA"/>
        </w:rPr>
        <w:footnoteReference w:id="16"/>
      </w:r>
      <w:r w:rsidR="00E01746" w:rsidRPr="008E26E9">
        <w:rPr>
          <w:lang w:val="en-CA"/>
        </w:rPr>
        <w:t xml:space="preserve"> </w:t>
      </w:r>
      <w:r w:rsidR="000F2F48" w:rsidRPr="008E26E9">
        <w:rPr>
          <w:lang w:val="en-CA"/>
        </w:rPr>
        <w:t xml:space="preserve">(the </w:t>
      </w:r>
      <w:r w:rsidR="000F2F48" w:rsidRPr="008E26E9">
        <w:rPr>
          <w:i/>
          <w:iCs/>
          <w:lang w:val="en-CA"/>
        </w:rPr>
        <w:t>Charter</w:t>
      </w:r>
      <w:r w:rsidR="000F2F48" w:rsidRPr="008E26E9">
        <w:rPr>
          <w:lang w:val="en-CA"/>
        </w:rPr>
        <w:t>)</w:t>
      </w:r>
      <w:r w:rsidR="008E26E9" w:rsidRPr="008E26E9">
        <w:rPr>
          <w:lang w:val="en-CA"/>
        </w:rPr>
        <w:t xml:space="preserve">, it has been an integral part of the protection </w:t>
      </w:r>
      <w:r w:rsidR="0068505D">
        <w:rPr>
          <w:lang w:val="en-CA"/>
        </w:rPr>
        <w:t>provided</w:t>
      </w:r>
      <w:r w:rsidR="008E26E9">
        <w:rPr>
          <w:lang w:val="en-CA"/>
        </w:rPr>
        <w:t xml:space="preserve"> </w:t>
      </w:r>
      <w:r w:rsidR="00DB3FD7">
        <w:rPr>
          <w:lang w:val="en-CA"/>
        </w:rPr>
        <w:t>by</w:t>
      </w:r>
      <w:r w:rsidR="008E26E9" w:rsidRPr="008E26E9">
        <w:rPr>
          <w:lang w:val="en-CA"/>
        </w:rPr>
        <w:t xml:space="preserve"> </w:t>
      </w:r>
      <w:r w:rsidR="002E6E04">
        <w:rPr>
          <w:lang w:val="en-CA"/>
        </w:rPr>
        <w:t xml:space="preserve">s. </w:t>
      </w:r>
      <w:r w:rsidR="00E01746" w:rsidRPr="008E26E9">
        <w:rPr>
          <w:lang w:val="en-CA"/>
        </w:rPr>
        <w:t>2</w:t>
      </w:r>
      <w:r w:rsidR="008E26E9">
        <w:rPr>
          <w:lang w:val="en-CA"/>
        </w:rPr>
        <w:t>(</w:t>
      </w:r>
      <w:r w:rsidR="00E01746" w:rsidRPr="008E26E9">
        <w:rPr>
          <w:i/>
          <w:lang w:val="en-CA"/>
        </w:rPr>
        <w:t>b</w:t>
      </w:r>
      <w:r w:rsidR="00E01746" w:rsidRPr="008E26E9">
        <w:rPr>
          <w:lang w:val="en-CA"/>
        </w:rPr>
        <w:t>)</w:t>
      </w:r>
      <w:r w:rsidR="00DB3FD7">
        <w:rPr>
          <w:lang w:val="en-CA"/>
        </w:rPr>
        <w:t>,</w:t>
      </w:r>
      <w:r w:rsidR="008E26E9">
        <w:rPr>
          <w:lang w:val="en-CA"/>
        </w:rPr>
        <w:t xml:space="preserve"> which guarantees freedom of expression</w:t>
      </w:r>
      <w:r w:rsidR="00A66358">
        <w:rPr>
          <w:lang w:val="en-CA"/>
        </w:rPr>
        <w:t>,</w:t>
      </w:r>
      <w:r w:rsidR="00E01746" w:rsidRPr="00926147">
        <w:rPr>
          <w:rStyle w:val="Appelnotedebasdep"/>
          <w:lang w:val="en-CA"/>
        </w:rPr>
        <w:footnoteReference w:id="17"/>
      </w:r>
      <w:r w:rsidR="00E01746" w:rsidRPr="008E26E9">
        <w:rPr>
          <w:lang w:val="en-CA"/>
        </w:rPr>
        <w:t xml:space="preserve"> </w:t>
      </w:r>
      <w:r w:rsidR="00905987">
        <w:rPr>
          <w:lang w:val="en-CA"/>
        </w:rPr>
        <w:t>a freedom</w:t>
      </w:r>
      <w:r w:rsidR="00A66358">
        <w:rPr>
          <w:lang w:val="en-CA"/>
        </w:rPr>
        <w:t xml:space="preserve"> that </w:t>
      </w:r>
      <w:r w:rsidR="0068505D">
        <w:rPr>
          <w:lang w:val="en-CA"/>
        </w:rPr>
        <w:t>includes</w:t>
      </w:r>
      <w:r w:rsidR="00A66358">
        <w:rPr>
          <w:lang w:val="en-CA"/>
        </w:rPr>
        <w:t xml:space="preserve"> freedom of the press and the </w:t>
      </w:r>
      <w:r w:rsidR="0068505D">
        <w:rPr>
          <w:lang w:val="en-CA"/>
        </w:rPr>
        <w:t>corollary</w:t>
      </w:r>
      <w:r w:rsidR="00A66358">
        <w:rPr>
          <w:lang w:val="en-CA"/>
        </w:rPr>
        <w:t xml:space="preserve"> right </w:t>
      </w:r>
      <w:r w:rsidR="0068505D">
        <w:rPr>
          <w:lang w:val="en-CA"/>
        </w:rPr>
        <w:t>of the public to</w:t>
      </w:r>
      <w:r w:rsidR="00A66358">
        <w:rPr>
          <w:lang w:val="en-CA"/>
        </w:rPr>
        <w:t xml:space="preserve"> </w:t>
      </w:r>
      <w:r w:rsidR="00D2583B">
        <w:rPr>
          <w:lang w:val="en-CA"/>
        </w:rPr>
        <w:t>be informed</w:t>
      </w:r>
      <w:r w:rsidR="00A66358">
        <w:rPr>
          <w:lang w:val="en-CA"/>
        </w:rPr>
        <w:t>.</w:t>
      </w:r>
      <w:r w:rsidR="00E01746" w:rsidRPr="00926147">
        <w:rPr>
          <w:rStyle w:val="Appelnotedebasdep"/>
          <w:lang w:val="en-CA"/>
        </w:rPr>
        <w:footnoteReference w:id="18"/>
      </w:r>
      <w:r w:rsidR="00E01746" w:rsidRPr="008E26E9">
        <w:rPr>
          <w:lang w:val="en-CA"/>
        </w:rPr>
        <w:t xml:space="preserve"> </w:t>
      </w:r>
      <w:r w:rsidR="00A66358" w:rsidRPr="00A66358">
        <w:rPr>
          <w:lang w:val="en-CA"/>
        </w:rPr>
        <w:t>However, art.</w:t>
      </w:r>
      <w:r w:rsidR="00E01746" w:rsidRPr="00A66358">
        <w:rPr>
          <w:lang w:val="en-CA"/>
        </w:rPr>
        <w:t xml:space="preserve"> 12 </w:t>
      </w:r>
      <w:r w:rsidR="00E01746" w:rsidRPr="00A66358">
        <w:rPr>
          <w:i/>
          <w:lang w:val="en-CA"/>
        </w:rPr>
        <w:t>C.</w:t>
      </w:r>
      <w:r w:rsidR="00A66358" w:rsidRPr="00A66358">
        <w:rPr>
          <w:i/>
          <w:lang w:val="en-CA"/>
        </w:rPr>
        <w:t>C.P.</w:t>
      </w:r>
      <w:r w:rsidR="00E01746" w:rsidRPr="00A66358">
        <w:rPr>
          <w:lang w:val="en-CA"/>
        </w:rPr>
        <w:t xml:space="preserve"> </w:t>
      </w:r>
      <w:r w:rsidR="00E658D9">
        <w:rPr>
          <w:lang w:val="en-CA"/>
        </w:rPr>
        <w:t>states</w:t>
      </w:r>
      <w:r w:rsidR="00A66358" w:rsidRPr="00A66358">
        <w:rPr>
          <w:lang w:val="en-CA"/>
        </w:rPr>
        <w:t xml:space="preserve"> that the court may make an exception to the principle of </w:t>
      </w:r>
      <w:r w:rsidR="00A66358">
        <w:rPr>
          <w:lang w:val="en-CA"/>
        </w:rPr>
        <w:t xml:space="preserve">open proceedings, </w:t>
      </w:r>
      <w:r w:rsidR="0068505D">
        <w:rPr>
          <w:lang w:val="en-CA"/>
        </w:rPr>
        <w:t>in particular</w:t>
      </w:r>
      <w:r w:rsidR="00A66358">
        <w:rPr>
          <w:lang w:val="en-CA"/>
        </w:rPr>
        <w:t xml:space="preserve"> whe</w:t>
      </w:r>
      <w:r w:rsidR="0068505D">
        <w:rPr>
          <w:lang w:val="en-CA"/>
        </w:rPr>
        <w:t>n</w:t>
      </w:r>
      <w:r w:rsidR="00A66358">
        <w:rPr>
          <w:lang w:val="en-CA"/>
        </w:rPr>
        <w:t xml:space="preserve"> </w:t>
      </w:r>
      <w:r w:rsidR="00F20C3E">
        <w:rPr>
          <w:lang w:val="en-CA"/>
        </w:rPr>
        <w:t xml:space="preserve">the preservation of the dignity of the persons concerned </w:t>
      </w:r>
      <w:r w:rsidR="00E712A4">
        <w:rPr>
          <w:lang w:val="en-CA"/>
        </w:rPr>
        <w:t xml:space="preserve">by </w:t>
      </w:r>
      <w:r w:rsidR="0068505D">
        <w:rPr>
          <w:lang w:val="en-CA"/>
        </w:rPr>
        <w:t>the</w:t>
      </w:r>
      <w:r w:rsidR="00D15539">
        <w:rPr>
          <w:lang w:val="en-CA"/>
        </w:rPr>
        <w:t xml:space="preserve"> </w:t>
      </w:r>
      <w:r w:rsidR="00E712A4">
        <w:rPr>
          <w:lang w:val="en-CA"/>
        </w:rPr>
        <w:t>proceedings require</w:t>
      </w:r>
      <w:r w:rsidR="00D15539">
        <w:rPr>
          <w:lang w:val="en-CA"/>
        </w:rPr>
        <w:t>s</w:t>
      </w:r>
      <w:r w:rsidR="00E712A4">
        <w:rPr>
          <w:lang w:val="en-CA"/>
        </w:rPr>
        <w:t xml:space="preserve"> it</w:t>
      </w:r>
      <w:r w:rsidR="00E01746" w:rsidRPr="00A66358">
        <w:rPr>
          <w:lang w:val="en-CA"/>
        </w:rPr>
        <w:t xml:space="preserve">. </w:t>
      </w:r>
    </w:p>
    <w:p w14:paraId="13C758F0" w14:textId="77777777" w:rsidR="009F612A" w:rsidRPr="000F2F48" w:rsidRDefault="00137F28" w:rsidP="009F612A">
      <w:pPr>
        <w:pStyle w:val="Paragraphe"/>
        <w:spacing w:line="240" w:lineRule="auto"/>
        <w:rPr>
          <w:lang w:val="en-CA"/>
        </w:rPr>
      </w:pPr>
      <w:r w:rsidRPr="000F2F48">
        <w:rPr>
          <w:lang w:val="en-CA"/>
        </w:rPr>
        <w:t xml:space="preserve">The courts must be particularly </w:t>
      </w:r>
      <w:r w:rsidR="00331B62">
        <w:rPr>
          <w:lang w:val="en-CA"/>
        </w:rPr>
        <w:t>cautious</w:t>
      </w:r>
      <w:r w:rsidR="00421DBD">
        <w:rPr>
          <w:lang w:val="en-CA"/>
        </w:rPr>
        <w:t xml:space="preserve"> </w:t>
      </w:r>
      <w:r w:rsidR="001D386F">
        <w:rPr>
          <w:lang w:val="en-CA"/>
        </w:rPr>
        <w:t>about</w:t>
      </w:r>
      <w:r w:rsidR="000F2F48" w:rsidRPr="000F2F48">
        <w:rPr>
          <w:lang w:val="en-CA"/>
        </w:rPr>
        <w:t xml:space="preserve"> granting an</w:t>
      </w:r>
      <w:r w:rsidR="00E01746" w:rsidRPr="000F2F48">
        <w:rPr>
          <w:lang w:val="en-CA"/>
        </w:rPr>
        <w:t xml:space="preserve"> exception </w:t>
      </w:r>
      <w:r w:rsidR="000F2F48" w:rsidRPr="000F2F48">
        <w:rPr>
          <w:lang w:val="en-CA"/>
        </w:rPr>
        <w:t>to the open c</w:t>
      </w:r>
      <w:r w:rsidR="000F2F48">
        <w:rPr>
          <w:lang w:val="en-CA"/>
        </w:rPr>
        <w:t>ourt principle.</w:t>
      </w:r>
      <w:r w:rsidR="00E01746" w:rsidRPr="00926147">
        <w:rPr>
          <w:rStyle w:val="Appelnotedebasdep"/>
          <w:szCs w:val="24"/>
          <w:lang w:val="en-CA"/>
        </w:rPr>
        <w:footnoteReference w:id="19"/>
      </w:r>
      <w:r w:rsidR="00E01746" w:rsidRPr="000F2F48">
        <w:rPr>
          <w:szCs w:val="24"/>
          <w:lang w:val="en-CA"/>
        </w:rPr>
        <w:t xml:space="preserve"> </w:t>
      </w:r>
      <w:r w:rsidR="000F2F48" w:rsidRPr="000F2F48">
        <w:rPr>
          <w:szCs w:val="24"/>
          <w:lang w:val="en-CA"/>
        </w:rPr>
        <w:t xml:space="preserve">The person seeking </w:t>
      </w:r>
      <w:r w:rsidR="00342235">
        <w:rPr>
          <w:szCs w:val="24"/>
          <w:lang w:val="en-CA"/>
        </w:rPr>
        <w:t>to overcome the presumption</w:t>
      </w:r>
      <w:r w:rsidR="000F2F48" w:rsidRPr="000F2F48">
        <w:rPr>
          <w:szCs w:val="24"/>
          <w:lang w:val="en-CA"/>
        </w:rPr>
        <w:t xml:space="preserve"> must demonstrate a serious </w:t>
      </w:r>
      <w:r w:rsidR="000F2F48" w:rsidRPr="000F2F48">
        <w:rPr>
          <w:rFonts w:eastAsia="Arial" w:cs="Arial"/>
          <w:color w:val="1D1D1D"/>
          <w:w w:val="105"/>
          <w:kern w:val="0"/>
          <w:szCs w:val="24"/>
          <w:lang w:val="en-CA" w:eastAsia="en-US"/>
        </w:rPr>
        <w:t xml:space="preserve">risk </w:t>
      </w:r>
      <w:r w:rsidR="000F2F48">
        <w:rPr>
          <w:rFonts w:eastAsia="Arial" w:cs="Arial"/>
          <w:color w:val="1D1D1D"/>
          <w:w w:val="105"/>
          <w:kern w:val="0"/>
          <w:szCs w:val="24"/>
          <w:lang w:val="en-CA" w:eastAsia="en-US"/>
        </w:rPr>
        <w:t>to</w:t>
      </w:r>
      <w:r w:rsidR="000F2F48" w:rsidRPr="000F2F48">
        <w:rPr>
          <w:rFonts w:eastAsia="Arial" w:cs="Arial"/>
          <w:color w:val="1D1D1D"/>
          <w:w w:val="105"/>
          <w:kern w:val="0"/>
          <w:szCs w:val="24"/>
          <w:lang w:val="en-CA" w:eastAsia="en-US"/>
        </w:rPr>
        <w:t xml:space="preserve"> </w:t>
      </w:r>
      <w:r w:rsidR="00C45E7D">
        <w:rPr>
          <w:rFonts w:eastAsia="Arial" w:cs="Arial"/>
          <w:color w:val="1D1D1D"/>
          <w:w w:val="105"/>
          <w:kern w:val="0"/>
          <w:szCs w:val="24"/>
          <w:lang w:val="en-CA" w:eastAsia="en-US"/>
        </w:rPr>
        <w:t>their</w:t>
      </w:r>
      <w:r w:rsidR="000F2F48">
        <w:rPr>
          <w:rFonts w:eastAsia="Arial" w:cs="Arial"/>
          <w:color w:val="1D1D1D"/>
          <w:w w:val="105"/>
          <w:kern w:val="0"/>
          <w:szCs w:val="24"/>
          <w:lang w:val="en-CA" w:eastAsia="en-US"/>
        </w:rPr>
        <w:t xml:space="preserve"> dignity, </w:t>
      </w:r>
      <w:r w:rsidR="00342235">
        <w:rPr>
          <w:rFonts w:eastAsia="Arial" w:cs="Arial"/>
          <w:color w:val="1D1D1D"/>
          <w:w w:val="105"/>
          <w:kern w:val="0"/>
          <w:szCs w:val="24"/>
          <w:lang w:val="en-CA" w:eastAsia="en-US"/>
        </w:rPr>
        <w:t>as</w:t>
      </w:r>
      <w:r w:rsidR="000F2F48">
        <w:rPr>
          <w:rFonts w:eastAsia="Arial" w:cs="Arial"/>
          <w:color w:val="1D1D1D"/>
          <w:w w:val="105"/>
          <w:kern w:val="0"/>
          <w:szCs w:val="24"/>
          <w:lang w:val="en-CA" w:eastAsia="en-US"/>
        </w:rPr>
        <w:t xml:space="preserve"> defined in terms of public interest</w:t>
      </w:r>
      <w:r w:rsidR="00342235">
        <w:rPr>
          <w:rFonts w:eastAsia="Arial" w:cs="Arial"/>
          <w:color w:val="1D1D1D"/>
          <w:w w:val="105"/>
          <w:kern w:val="0"/>
          <w:szCs w:val="24"/>
          <w:lang w:val="en-CA" w:eastAsia="en-US"/>
        </w:rPr>
        <w:t>.</w:t>
      </w:r>
      <w:r w:rsidR="000F2F48">
        <w:rPr>
          <w:rFonts w:eastAsia="Arial" w:cs="Arial"/>
          <w:color w:val="1D1D1D"/>
          <w:w w:val="105"/>
          <w:kern w:val="0"/>
          <w:szCs w:val="24"/>
          <w:lang w:val="en-CA" w:eastAsia="en-US"/>
        </w:rPr>
        <w:t xml:space="preserve"> </w:t>
      </w:r>
      <w:proofErr w:type="spellStart"/>
      <w:r w:rsidR="000F2F48">
        <w:rPr>
          <w:rFonts w:eastAsia="Arial" w:cs="Arial"/>
          <w:color w:val="1D1D1D"/>
          <w:w w:val="105"/>
          <w:kern w:val="0"/>
          <w:szCs w:val="24"/>
          <w:lang w:val="en-CA" w:eastAsia="en-US"/>
        </w:rPr>
        <w:t>Kasirer</w:t>
      </w:r>
      <w:proofErr w:type="spellEnd"/>
      <w:r w:rsidR="000F2F48">
        <w:rPr>
          <w:rFonts w:eastAsia="Arial" w:cs="Arial"/>
          <w:color w:val="1D1D1D"/>
          <w:w w:val="105"/>
          <w:kern w:val="0"/>
          <w:szCs w:val="24"/>
          <w:lang w:val="en-CA" w:eastAsia="en-US"/>
        </w:rPr>
        <w:t>,</w:t>
      </w:r>
      <w:r w:rsidR="009A0060">
        <w:rPr>
          <w:rFonts w:eastAsia="Arial" w:cs="Arial"/>
          <w:color w:val="1D1D1D"/>
          <w:w w:val="105"/>
          <w:kern w:val="0"/>
          <w:szCs w:val="24"/>
          <w:lang w:val="en-CA" w:eastAsia="en-US"/>
        </w:rPr>
        <w:t> </w:t>
      </w:r>
      <w:r w:rsidR="000F2F48">
        <w:rPr>
          <w:rFonts w:eastAsia="Arial" w:cs="Arial"/>
          <w:color w:val="1D1D1D"/>
          <w:w w:val="105"/>
          <w:kern w:val="0"/>
          <w:szCs w:val="24"/>
          <w:lang w:val="en-CA" w:eastAsia="en-US"/>
        </w:rPr>
        <w:t xml:space="preserve">J. explains </w:t>
      </w:r>
      <w:r w:rsidR="00342235">
        <w:rPr>
          <w:rFonts w:eastAsia="Arial" w:cs="Arial"/>
          <w:color w:val="1D1D1D"/>
          <w:w w:val="105"/>
          <w:kern w:val="0"/>
          <w:szCs w:val="24"/>
          <w:lang w:val="en-CA" w:eastAsia="en-US"/>
        </w:rPr>
        <w:t xml:space="preserve">this </w:t>
      </w:r>
      <w:r w:rsidR="009A684D">
        <w:rPr>
          <w:rFonts w:eastAsia="Arial" w:cs="Arial"/>
          <w:color w:val="1D1D1D"/>
          <w:w w:val="105"/>
          <w:kern w:val="0"/>
          <w:szCs w:val="24"/>
          <w:lang w:val="en-CA" w:eastAsia="en-US"/>
        </w:rPr>
        <w:t xml:space="preserve">aspect </w:t>
      </w:r>
      <w:r w:rsidR="000F2F48">
        <w:rPr>
          <w:rFonts w:eastAsia="Arial" w:cs="Arial"/>
          <w:color w:val="1D1D1D"/>
          <w:w w:val="105"/>
          <w:kern w:val="0"/>
          <w:szCs w:val="24"/>
          <w:lang w:val="en-CA" w:eastAsia="en-US"/>
        </w:rPr>
        <w:t>in</w:t>
      </w:r>
      <w:r w:rsidR="00E01746" w:rsidRPr="000F2F48">
        <w:rPr>
          <w:rFonts w:eastAsia="Arial" w:cs="Arial"/>
          <w:color w:val="1D1D1D"/>
          <w:w w:val="105"/>
          <w:kern w:val="0"/>
          <w:szCs w:val="24"/>
          <w:lang w:val="en-CA" w:eastAsia="en-US"/>
        </w:rPr>
        <w:t xml:space="preserve"> </w:t>
      </w:r>
      <w:r w:rsidR="00E01746" w:rsidRPr="000F2F48">
        <w:rPr>
          <w:rFonts w:eastAsia="Arial" w:cs="Arial"/>
          <w:i/>
          <w:color w:val="1D1D1D"/>
          <w:w w:val="105"/>
          <w:kern w:val="0"/>
          <w:szCs w:val="24"/>
          <w:lang w:val="en-CA" w:eastAsia="en-US"/>
        </w:rPr>
        <w:t>Sherman</w:t>
      </w:r>
      <w:r w:rsidR="00E01746" w:rsidRPr="000F2F48">
        <w:rPr>
          <w:rFonts w:eastAsia="Arial" w:cs="Arial"/>
          <w:color w:val="1D1D1D"/>
          <w:w w:val="105"/>
          <w:kern w:val="0"/>
          <w:szCs w:val="24"/>
          <w:lang w:val="en-CA" w:eastAsia="en-US"/>
        </w:rPr>
        <w:t>:</w:t>
      </w:r>
    </w:p>
    <w:p w14:paraId="61AB9985" w14:textId="77777777" w:rsidR="009F612A" w:rsidRPr="00926147" w:rsidRDefault="00E01746" w:rsidP="00FB5BF9">
      <w:pPr>
        <w:pStyle w:val="Citationenretrait"/>
        <w:rPr>
          <w:lang w:val="en-CA"/>
        </w:rPr>
      </w:pPr>
      <w:r w:rsidRPr="00976AE7">
        <w:rPr>
          <w:lang w:val="en-CA"/>
        </w:rPr>
        <w:t>[</w:t>
      </w:r>
      <w:bookmarkStart w:id="14" w:name="par62"/>
      <w:r w:rsidRPr="00976AE7">
        <w:rPr>
          <w:lang w:val="en-CA"/>
        </w:rPr>
        <w:t>62</w:t>
      </w:r>
      <w:bookmarkEnd w:id="14"/>
      <w:r w:rsidRPr="00976AE7">
        <w:rPr>
          <w:lang w:val="en-CA"/>
        </w:rPr>
        <w:t xml:space="preserve">] </w:t>
      </w:r>
      <w:r w:rsidR="00487087" w:rsidRPr="00976AE7">
        <w:rPr>
          <w:lang w:val="en-CA"/>
        </w:rPr>
        <w:tab/>
      </w:r>
      <w:r w:rsidR="0062262C" w:rsidRPr="00976AE7">
        <w:rPr>
          <w:lang w:val="en-CA"/>
        </w:rPr>
        <w:t xml:space="preserve">Second, I recall that in order to pass the first stage of the analysis one must not simply invoke an important </w:t>
      </w:r>
      <w:proofErr w:type="gramStart"/>
      <w:r w:rsidR="0062262C" w:rsidRPr="00976AE7">
        <w:rPr>
          <w:lang w:val="en-CA"/>
        </w:rPr>
        <w:t>interest, but</w:t>
      </w:r>
      <w:proofErr w:type="gramEnd"/>
      <w:r w:rsidR="0062262C" w:rsidRPr="00976AE7">
        <w:rPr>
          <w:lang w:val="en-CA"/>
        </w:rPr>
        <w:t xml:space="preserve"> must also overcome the presumption of openness by showing a serious risk to this interest. The burden of showing a risk to such an interest on the facts of a given case constitutes the true initial threshold on the person seeking to restrict openness. It is never sufficient to plead a recognized important public interest on its own. The demonstration of a serious risk to this interest is still required. What is important is that the interest be accurately defined to capture only those aspects of privacy that engage legitimate public objectives such that showing a serious risk to that interest </w:t>
      </w:r>
      <w:r w:rsidR="0062262C" w:rsidRPr="00976AE7">
        <w:rPr>
          <w:lang w:val="en-CA"/>
        </w:rPr>
        <w:lastRenderedPageBreak/>
        <w:t>remains a high bar. In this way, courts can effectively maintain the guarantee of presumptive openness.</w:t>
      </w:r>
      <w:r w:rsidRPr="00926446">
        <w:rPr>
          <w:rStyle w:val="Appelnotedebasdep"/>
          <w:szCs w:val="22"/>
          <w:lang w:val="en-CA"/>
        </w:rPr>
        <w:footnoteReference w:id="20"/>
      </w:r>
    </w:p>
    <w:p w14:paraId="0F2D7536" w14:textId="77777777" w:rsidR="009F612A" w:rsidRPr="00331B62" w:rsidRDefault="00A636BB" w:rsidP="009F612A">
      <w:pPr>
        <w:pStyle w:val="Paragraphe"/>
        <w:spacing w:line="240" w:lineRule="auto"/>
        <w:rPr>
          <w:lang w:val="en-CA"/>
        </w:rPr>
      </w:pPr>
      <w:r w:rsidRPr="00331B62">
        <w:rPr>
          <w:lang w:val="en-CA"/>
        </w:rPr>
        <w:t xml:space="preserve">Lastly, it is important to avoid </w:t>
      </w:r>
      <w:r w:rsidR="00331B62" w:rsidRPr="00331B62">
        <w:rPr>
          <w:lang w:val="en-CA"/>
        </w:rPr>
        <w:t xml:space="preserve">applying the principle or its exceptions </w:t>
      </w:r>
      <w:r w:rsidR="0025590E">
        <w:rPr>
          <w:lang w:val="en-CA"/>
        </w:rPr>
        <w:t>systematically and inflexibly</w:t>
      </w:r>
      <w:r w:rsidR="00331B62">
        <w:rPr>
          <w:lang w:val="en-CA"/>
        </w:rPr>
        <w:t>.</w:t>
      </w:r>
      <w:r w:rsidR="00E01746" w:rsidRPr="00331B62">
        <w:rPr>
          <w:lang w:val="en-CA"/>
        </w:rPr>
        <w:t xml:space="preserve"> </w:t>
      </w:r>
      <w:r w:rsidR="00331B62" w:rsidRPr="00331B62">
        <w:rPr>
          <w:lang w:val="en-CA"/>
        </w:rPr>
        <w:t xml:space="preserve">The court must </w:t>
      </w:r>
      <w:r w:rsidR="0025590E">
        <w:rPr>
          <w:lang w:val="en-CA"/>
        </w:rPr>
        <w:t>perform</w:t>
      </w:r>
      <w:r w:rsidR="00331B62" w:rsidRPr="00331B62">
        <w:rPr>
          <w:lang w:val="en-CA"/>
        </w:rPr>
        <w:t xml:space="preserve"> a factual and contextual analysis</w:t>
      </w:r>
      <w:r w:rsidR="00E01746" w:rsidRPr="00926147">
        <w:rPr>
          <w:vertAlign w:val="superscript"/>
          <w:lang w:val="en-CA"/>
        </w:rPr>
        <w:footnoteReference w:id="21"/>
      </w:r>
      <w:r w:rsidR="00E01746" w:rsidRPr="00331B62">
        <w:rPr>
          <w:lang w:val="en-CA"/>
        </w:rPr>
        <w:t xml:space="preserve"> </w:t>
      </w:r>
      <w:r w:rsidR="001312BC">
        <w:rPr>
          <w:lang w:val="en-CA"/>
        </w:rPr>
        <w:t>based on the</w:t>
      </w:r>
      <w:r w:rsidR="00331B62">
        <w:rPr>
          <w:lang w:val="en-CA"/>
        </w:rPr>
        <w:t xml:space="preserve"> </w:t>
      </w:r>
      <w:r w:rsidR="001312BC">
        <w:rPr>
          <w:lang w:val="en-CA"/>
        </w:rPr>
        <w:t xml:space="preserve">specific </w:t>
      </w:r>
      <w:r w:rsidR="00331B62">
        <w:rPr>
          <w:lang w:val="en-CA"/>
        </w:rPr>
        <w:t>facts of the case.</w:t>
      </w:r>
      <w:r w:rsidR="00E01746" w:rsidRPr="00926147">
        <w:rPr>
          <w:rStyle w:val="Appelnotedebasdep"/>
          <w:lang w:val="en-CA"/>
        </w:rPr>
        <w:footnoteReference w:id="22"/>
      </w:r>
    </w:p>
    <w:p w14:paraId="5DF64FB0" w14:textId="77777777" w:rsidR="009F612A" w:rsidRPr="004717BC" w:rsidRDefault="004717BC" w:rsidP="009F612A">
      <w:pPr>
        <w:pStyle w:val="Paragraphe"/>
        <w:spacing w:line="240" w:lineRule="auto"/>
        <w:rPr>
          <w:lang w:val="en-CA"/>
        </w:rPr>
      </w:pPr>
      <w:r w:rsidRPr="004717BC">
        <w:rPr>
          <w:lang w:val="en-CA"/>
        </w:rPr>
        <w:t xml:space="preserve">It would </w:t>
      </w:r>
      <w:r>
        <w:rPr>
          <w:lang w:val="en-CA"/>
        </w:rPr>
        <w:t>in fact</w:t>
      </w:r>
      <w:r w:rsidRPr="004717BC">
        <w:rPr>
          <w:lang w:val="en-CA"/>
        </w:rPr>
        <w:t xml:space="preserve"> be imprudent to lay down generalities and attempt to categorize legal proceedings in advance by asserting that in some of them, the openness principle can be overcome and that in others, it cannot. The </w:t>
      </w:r>
      <w:r>
        <w:rPr>
          <w:lang w:val="en-CA"/>
        </w:rPr>
        <w:t>“</w:t>
      </w:r>
      <w:r w:rsidRPr="004717BC">
        <w:rPr>
          <w:lang w:val="en-CA"/>
        </w:rPr>
        <w:t>status</w:t>
      </w:r>
      <w:r>
        <w:rPr>
          <w:lang w:val="en-CA"/>
        </w:rPr>
        <w:t>”</w:t>
      </w:r>
      <w:r w:rsidRPr="004717BC">
        <w:rPr>
          <w:lang w:val="en-CA"/>
        </w:rPr>
        <w:t xml:space="preserve"> of a party or the stance the party takes in the proceedings do</w:t>
      </w:r>
      <w:r>
        <w:rPr>
          <w:lang w:val="en-CA"/>
        </w:rPr>
        <w:t>es</w:t>
      </w:r>
      <w:r w:rsidRPr="004717BC">
        <w:rPr>
          <w:lang w:val="en-CA"/>
        </w:rPr>
        <w:t xml:space="preserve"> not in </w:t>
      </w:r>
      <w:r>
        <w:rPr>
          <w:lang w:val="en-CA"/>
        </w:rPr>
        <w:t>itself</w:t>
      </w:r>
      <w:r w:rsidRPr="004717BC">
        <w:rPr>
          <w:lang w:val="en-CA"/>
        </w:rPr>
        <w:t xml:space="preserve"> decide whether the burden </w:t>
      </w:r>
      <w:r w:rsidR="0072230B">
        <w:rPr>
          <w:lang w:val="en-CA"/>
        </w:rPr>
        <w:t>for</w:t>
      </w:r>
      <w:r w:rsidRPr="004717BC">
        <w:rPr>
          <w:lang w:val="en-CA"/>
        </w:rPr>
        <w:t xml:space="preserve"> overcom</w:t>
      </w:r>
      <w:r w:rsidR="0072230B">
        <w:rPr>
          <w:lang w:val="en-CA"/>
        </w:rPr>
        <w:t>ing</w:t>
      </w:r>
      <w:r w:rsidRPr="004717BC">
        <w:rPr>
          <w:lang w:val="en-CA"/>
        </w:rPr>
        <w:t xml:space="preserve"> the open court presumption has been met. The inanity of such </w:t>
      </w:r>
      <w:r w:rsidR="00045DEA">
        <w:rPr>
          <w:lang w:val="en-CA"/>
        </w:rPr>
        <w:t>categorizations</w:t>
      </w:r>
      <w:r w:rsidRPr="004717BC">
        <w:rPr>
          <w:lang w:val="en-CA"/>
        </w:rPr>
        <w:t xml:space="preserve"> becomes clear when one imagines the</w:t>
      </w:r>
      <w:r w:rsidR="00E01746" w:rsidRPr="004717BC">
        <w:rPr>
          <w:lang w:val="en-CA"/>
        </w:rPr>
        <w:t xml:space="preserve"> </w:t>
      </w:r>
      <w:r w:rsidR="00045DEA">
        <w:rPr>
          <w:lang w:val="en-CA"/>
        </w:rPr>
        <w:t>multitude of</w:t>
      </w:r>
      <w:r w:rsidR="00E01746" w:rsidRPr="004717BC">
        <w:rPr>
          <w:lang w:val="en-CA"/>
        </w:rPr>
        <w:t xml:space="preserve"> contexts </w:t>
      </w:r>
      <w:r w:rsidR="00FE4F76">
        <w:rPr>
          <w:lang w:val="en-CA"/>
        </w:rPr>
        <w:t>where</w:t>
      </w:r>
      <w:r>
        <w:rPr>
          <w:lang w:val="en-CA"/>
        </w:rPr>
        <w:t xml:space="preserve"> applications for depersonalization and for publication and </w:t>
      </w:r>
      <w:r w:rsidR="00AB7CC4">
        <w:rPr>
          <w:lang w:val="en-CA"/>
        </w:rPr>
        <w:t>dissemination</w:t>
      </w:r>
      <w:r>
        <w:rPr>
          <w:lang w:val="en-CA"/>
        </w:rPr>
        <w:t xml:space="preserve"> bans might be sought</w:t>
      </w:r>
      <w:r w:rsidR="00E01746" w:rsidRPr="004717BC">
        <w:rPr>
          <w:lang w:val="en-CA"/>
        </w:rPr>
        <w:t xml:space="preserve">. </w:t>
      </w:r>
      <w:r w:rsidRPr="004717BC">
        <w:rPr>
          <w:lang w:val="en-CA"/>
        </w:rPr>
        <w:t>Caution</w:t>
      </w:r>
      <w:r w:rsidR="00FE4F76">
        <w:rPr>
          <w:lang w:val="en-CA"/>
        </w:rPr>
        <w:t> </w:t>
      </w:r>
      <w:r w:rsidRPr="004717BC">
        <w:rPr>
          <w:lang w:val="en-CA"/>
        </w:rPr>
        <w:t xml:space="preserve">must be </w:t>
      </w:r>
      <w:r w:rsidR="00942D93" w:rsidRPr="004717BC">
        <w:rPr>
          <w:lang w:val="en-CA"/>
        </w:rPr>
        <w:t>exercised,</w:t>
      </w:r>
      <w:r w:rsidRPr="004717BC">
        <w:rPr>
          <w:lang w:val="en-CA"/>
        </w:rPr>
        <w:t xml:space="preserve"> and each case is different, as</w:t>
      </w:r>
      <w:r w:rsidR="00E01746" w:rsidRPr="004717BC">
        <w:rPr>
          <w:lang w:val="en-CA"/>
        </w:rPr>
        <w:t xml:space="preserve"> </w:t>
      </w:r>
      <w:proofErr w:type="spellStart"/>
      <w:r w:rsidR="00E01746" w:rsidRPr="004717BC">
        <w:rPr>
          <w:lang w:val="en-CA"/>
        </w:rPr>
        <w:t>Kasirer</w:t>
      </w:r>
      <w:proofErr w:type="spellEnd"/>
      <w:r w:rsidRPr="004717BC">
        <w:rPr>
          <w:lang w:val="en-CA"/>
        </w:rPr>
        <w:t xml:space="preserve">, </w:t>
      </w:r>
      <w:r>
        <w:rPr>
          <w:lang w:val="en-CA"/>
        </w:rPr>
        <w:t xml:space="preserve">J. notes in </w:t>
      </w:r>
      <w:r w:rsidR="00E01746" w:rsidRPr="004717BC">
        <w:rPr>
          <w:i/>
          <w:iCs/>
          <w:lang w:val="en-CA"/>
        </w:rPr>
        <w:t>Sherman</w:t>
      </w:r>
      <w:r w:rsidR="00E01746" w:rsidRPr="004717BC">
        <w:rPr>
          <w:lang w:val="en-CA"/>
        </w:rPr>
        <w:t xml:space="preserve">: </w:t>
      </w:r>
    </w:p>
    <w:p w14:paraId="4D5C002F" w14:textId="77777777" w:rsidR="009F612A" w:rsidRPr="00926147" w:rsidRDefault="00E01746" w:rsidP="009F612A">
      <w:pPr>
        <w:pStyle w:val="Citationenretrait"/>
        <w:spacing w:line="240" w:lineRule="auto"/>
        <w:rPr>
          <w:lang w:val="en-CA"/>
        </w:rPr>
      </w:pPr>
      <w:r w:rsidRPr="00E86E8A">
        <w:rPr>
          <w:lang w:val="en-CA"/>
        </w:rPr>
        <w:t>[42]</w:t>
      </w:r>
      <w:r w:rsidRPr="00E86E8A">
        <w:rPr>
          <w:lang w:val="en-CA"/>
        </w:rPr>
        <w:tab/>
      </w:r>
      <w:r w:rsidR="00207D86" w:rsidRPr="00E86E8A">
        <w:rPr>
          <w:lang w:val="en-CA"/>
        </w:rPr>
        <w:t> While there is no closed list of important public interests for the purposes of this test, I share Iacobucci J.’s sense, explained in </w:t>
      </w:r>
      <w:r w:rsidR="00207D86" w:rsidRPr="00E86E8A">
        <w:rPr>
          <w:i/>
          <w:iCs/>
          <w:lang w:val="en-CA"/>
        </w:rPr>
        <w:t>Sierra Club</w:t>
      </w:r>
      <w:r w:rsidR="00207D86" w:rsidRPr="00E86E8A">
        <w:rPr>
          <w:lang w:val="en-CA"/>
        </w:rPr>
        <w:t xml:space="preserve">, that courts must be “cautious” and “alive to the fundamental importance of the open court rule” even at the earliest stage when they are identifying important public interests (para. 56). Determining what is an important public interest can be done in the abstract at the level of general principles that extend beyond the parties to the </w:t>
      </w:r>
      <w:proofErr w:type="gramStart"/>
      <w:r w:rsidR="00207D86" w:rsidRPr="00E86E8A">
        <w:rPr>
          <w:lang w:val="en-CA"/>
        </w:rPr>
        <w:t>particular dispute</w:t>
      </w:r>
      <w:proofErr w:type="gramEnd"/>
      <w:r w:rsidR="00207D86" w:rsidRPr="00E86E8A">
        <w:rPr>
          <w:lang w:val="en-CA"/>
        </w:rPr>
        <w:t xml:space="preserve"> (para. 55). By contrast, whether that interest is at “serious risk” is a fact</w:t>
      </w:r>
      <w:r w:rsidR="00207D86" w:rsidRPr="00E86E8A">
        <w:rPr>
          <w:lang w:val="en-CA"/>
        </w:rPr>
        <w:noBreakHyphen/>
        <w:t>based finding that, for the judge considering the appropriateness of an order, is necessarily made in context. In this sense, the identification of, on the one hand, an important interest and, on the other, the seriousness of the risk to that interest are, theoretically at least, separate and qualitatively distinct operations. An order may therefore be refused simply because a valid important public interest is not at serious risk on the facts of a given case or, conversely, that the identified interests, regardless of whether they are at serious risk, do not have the requisite important public character as a matter of general principle.</w:t>
      </w:r>
      <w:r w:rsidRPr="00926446">
        <w:rPr>
          <w:rStyle w:val="Appelnotedebasdep"/>
          <w:lang w:val="en-CA"/>
        </w:rPr>
        <w:footnoteReference w:id="23"/>
      </w:r>
    </w:p>
    <w:p w14:paraId="5D7FDE78" w14:textId="77777777" w:rsidR="009F612A" w:rsidRPr="008E6A8B" w:rsidRDefault="008E6A8B" w:rsidP="009F612A">
      <w:pPr>
        <w:pStyle w:val="Paragraphe"/>
        <w:spacing w:line="240" w:lineRule="auto"/>
        <w:rPr>
          <w:lang w:val="en-CA"/>
        </w:rPr>
      </w:pPr>
      <w:r w:rsidRPr="008E6A8B">
        <w:rPr>
          <w:rFonts w:cs="Arial"/>
          <w:lang w:val="en-CA"/>
        </w:rPr>
        <w:t>I</w:t>
      </w:r>
      <w:r>
        <w:rPr>
          <w:rFonts w:cs="Arial"/>
          <w:lang w:val="en-CA"/>
        </w:rPr>
        <w:t>nitially, t</w:t>
      </w:r>
      <w:r w:rsidRPr="008E6A8B">
        <w:rPr>
          <w:rFonts w:cs="Arial"/>
          <w:lang w:val="en-CA"/>
        </w:rPr>
        <w:t xml:space="preserve">he test for balancing the rights and freedoms of one party against the fundamental principle of open proceedings </w:t>
      </w:r>
      <w:r>
        <w:rPr>
          <w:rFonts w:cs="Arial"/>
          <w:lang w:val="en-CA"/>
        </w:rPr>
        <w:t>had two steps</w:t>
      </w:r>
      <w:r w:rsidR="00E01746" w:rsidRPr="008E6A8B">
        <w:rPr>
          <w:lang w:val="en-CA"/>
        </w:rPr>
        <w:t xml:space="preserve"> </w:t>
      </w:r>
      <w:r>
        <w:rPr>
          <w:lang w:val="en-CA"/>
        </w:rPr>
        <w:t>(</w:t>
      </w:r>
      <w:r w:rsidR="00E01746" w:rsidRPr="008E6A8B">
        <w:rPr>
          <w:i/>
          <w:lang w:val="en-CA"/>
        </w:rPr>
        <w:t>Dagenais</w:t>
      </w:r>
      <w:r>
        <w:rPr>
          <w:iCs/>
          <w:lang w:val="en-CA"/>
        </w:rPr>
        <w:t>)</w:t>
      </w:r>
      <w:r w:rsidR="00926446">
        <w:rPr>
          <w:iCs/>
          <w:lang w:val="en-CA"/>
        </w:rPr>
        <w:t>,</w:t>
      </w:r>
      <w:r w:rsidR="00E01746" w:rsidRPr="00926147">
        <w:rPr>
          <w:rStyle w:val="Appelnotedebasdep"/>
          <w:lang w:val="en-CA"/>
        </w:rPr>
        <w:footnoteReference w:id="24"/>
      </w:r>
      <w:r w:rsidR="00E01746" w:rsidRPr="008E6A8B">
        <w:rPr>
          <w:lang w:val="en-CA"/>
        </w:rPr>
        <w:t xml:space="preserve"> </w:t>
      </w:r>
      <w:r>
        <w:rPr>
          <w:lang w:val="en-CA"/>
        </w:rPr>
        <w:t>but th</w:t>
      </w:r>
      <w:r w:rsidR="00744F6C">
        <w:rPr>
          <w:lang w:val="en-CA"/>
        </w:rPr>
        <w:t>e</w:t>
      </w:r>
      <w:r>
        <w:rPr>
          <w:lang w:val="en-CA"/>
        </w:rPr>
        <w:t xml:space="preserve"> first step of that test was later bifurcated in </w:t>
      </w:r>
      <w:r w:rsidR="00E01746" w:rsidRPr="008E6A8B">
        <w:rPr>
          <w:i/>
          <w:lang w:val="en-CA"/>
        </w:rPr>
        <w:t>Sherman</w:t>
      </w:r>
      <w:r>
        <w:rPr>
          <w:i/>
          <w:lang w:val="en-CA"/>
        </w:rPr>
        <w:t>.</w:t>
      </w:r>
      <w:r w:rsidR="00E01746" w:rsidRPr="00926147">
        <w:rPr>
          <w:rStyle w:val="Appelnotedebasdep"/>
          <w:lang w:val="en-CA"/>
        </w:rPr>
        <w:footnoteReference w:id="25"/>
      </w:r>
      <w:r w:rsidR="00E01746" w:rsidRPr="008E6A8B">
        <w:rPr>
          <w:lang w:val="en-CA"/>
        </w:rPr>
        <w:t xml:space="preserve"> </w:t>
      </w:r>
      <w:r w:rsidRPr="008E6A8B">
        <w:rPr>
          <w:lang w:val="en-CA"/>
        </w:rPr>
        <w:t xml:space="preserve">Under the new three-step </w:t>
      </w:r>
      <w:r w:rsidRPr="008E6A8B">
        <w:rPr>
          <w:i/>
          <w:iCs/>
          <w:lang w:val="en-CA"/>
        </w:rPr>
        <w:t>Sherman</w:t>
      </w:r>
      <w:r w:rsidRPr="008E6A8B">
        <w:rPr>
          <w:lang w:val="en-CA"/>
        </w:rPr>
        <w:t xml:space="preserve"> test, the person asking the cour</w:t>
      </w:r>
      <w:r>
        <w:rPr>
          <w:lang w:val="en-CA"/>
        </w:rPr>
        <w:t xml:space="preserve">t to </w:t>
      </w:r>
      <w:r w:rsidR="0032132C">
        <w:rPr>
          <w:lang w:val="en-CA"/>
        </w:rPr>
        <w:t>limit the open court presumption</w:t>
      </w:r>
      <w:r>
        <w:rPr>
          <w:lang w:val="en-CA"/>
        </w:rPr>
        <w:t xml:space="preserve"> must </w:t>
      </w:r>
      <w:r w:rsidR="0032132C">
        <w:rPr>
          <w:lang w:val="en-CA"/>
        </w:rPr>
        <w:t>show</w:t>
      </w:r>
      <w:r>
        <w:rPr>
          <w:lang w:val="en-CA"/>
        </w:rPr>
        <w:t xml:space="preserve"> that</w:t>
      </w:r>
      <w:r w:rsidR="00F41DBD">
        <w:rPr>
          <w:lang w:val="en-CA"/>
        </w:rPr>
        <w:t>:</w:t>
      </w:r>
    </w:p>
    <w:p w14:paraId="0D8681CE" w14:textId="77777777" w:rsidR="009F612A" w:rsidRPr="00CA39E0" w:rsidRDefault="0032132C" w:rsidP="00A251FF">
      <w:pPr>
        <w:pStyle w:val="Citationenretrait"/>
        <w:rPr>
          <w:lang w:val="en-CA"/>
        </w:rPr>
      </w:pPr>
      <w:r w:rsidRPr="00CA39E0">
        <w:rPr>
          <w:lang w:val="en-CA"/>
        </w:rPr>
        <w:lastRenderedPageBreak/>
        <w:t>(</w:t>
      </w:r>
      <w:r w:rsidR="00E01746" w:rsidRPr="00CA39E0">
        <w:rPr>
          <w:lang w:val="en-CA"/>
        </w:rPr>
        <w:t>1)</w:t>
      </w:r>
      <w:r w:rsidR="00CA39E0" w:rsidRPr="00CA39E0">
        <w:rPr>
          <w:lang w:val="en-CA"/>
        </w:rPr>
        <w:t xml:space="preserve">  court openness poses a serious risk to an important public </w:t>
      </w:r>
      <w:proofErr w:type="gramStart"/>
      <w:r w:rsidR="00CA39E0" w:rsidRPr="00CA39E0">
        <w:rPr>
          <w:lang w:val="en-CA"/>
        </w:rPr>
        <w:t>interest;</w:t>
      </w:r>
      <w:proofErr w:type="gramEnd"/>
    </w:p>
    <w:p w14:paraId="7C2E7800" w14:textId="77777777" w:rsidR="009F612A" w:rsidRPr="00CA39E0" w:rsidRDefault="0032132C" w:rsidP="00A251FF">
      <w:pPr>
        <w:pStyle w:val="Citationenretrait"/>
        <w:rPr>
          <w:lang w:val="en-CA"/>
        </w:rPr>
      </w:pPr>
      <w:r w:rsidRPr="00CA39E0">
        <w:rPr>
          <w:lang w:val="en-CA"/>
        </w:rPr>
        <w:t>(</w:t>
      </w:r>
      <w:r w:rsidR="00E01746" w:rsidRPr="00CA39E0">
        <w:rPr>
          <w:lang w:val="en-CA"/>
        </w:rPr>
        <w:t xml:space="preserve">2) </w:t>
      </w:r>
      <w:r w:rsidR="00CA39E0" w:rsidRPr="00CA39E0">
        <w:rPr>
          <w:lang w:val="en-CA"/>
        </w:rPr>
        <w:t>the order sought is necessary to prevent this serious risk to the identified interest because reasonably alternative measures will not prevent this risk; and</w:t>
      </w:r>
    </w:p>
    <w:p w14:paraId="1DBE92BC" w14:textId="77777777" w:rsidR="009F612A" w:rsidRPr="00CA39E0" w:rsidRDefault="0032132C" w:rsidP="00A251FF">
      <w:pPr>
        <w:pStyle w:val="Citationenretrait"/>
        <w:rPr>
          <w:lang w:val="en-CA"/>
        </w:rPr>
      </w:pPr>
      <w:r w:rsidRPr="00CA39E0">
        <w:rPr>
          <w:lang w:val="en-CA"/>
        </w:rPr>
        <w:t>(</w:t>
      </w:r>
      <w:r w:rsidR="00E01746" w:rsidRPr="00CA39E0">
        <w:rPr>
          <w:lang w:val="en-CA"/>
        </w:rPr>
        <w:t xml:space="preserve">3) </w:t>
      </w:r>
      <w:r w:rsidRPr="00CA39E0">
        <w:rPr>
          <w:lang w:val="en-CA"/>
        </w:rPr>
        <w:t>as a matter of proportionality, the benefits of the order outweigh its negative effects</w:t>
      </w:r>
      <w:r w:rsidR="00E01746" w:rsidRPr="00CA39E0">
        <w:rPr>
          <w:lang w:val="en-CA"/>
        </w:rPr>
        <w:t>.</w:t>
      </w:r>
      <w:r w:rsidR="00E01746" w:rsidRPr="00CA39E0">
        <w:rPr>
          <w:rStyle w:val="Appelnotedebasdep"/>
          <w:lang w:val="en-CA"/>
        </w:rPr>
        <w:footnoteReference w:id="26"/>
      </w:r>
    </w:p>
    <w:p w14:paraId="330FFE27" w14:textId="77777777" w:rsidR="009F612A" w:rsidRPr="00926147" w:rsidRDefault="00E01746" w:rsidP="009F612A">
      <w:pPr>
        <w:pStyle w:val="Paragraphe"/>
        <w:keepNext/>
        <w:keepLines/>
        <w:numPr>
          <w:ilvl w:val="0"/>
          <w:numId w:val="0"/>
        </w:numPr>
        <w:spacing w:line="240" w:lineRule="auto"/>
        <w:rPr>
          <w:b/>
          <w:lang w:val="en-CA"/>
        </w:rPr>
      </w:pPr>
      <w:r w:rsidRPr="00926147">
        <w:rPr>
          <w:b/>
          <w:lang w:val="en-CA"/>
        </w:rPr>
        <w:t xml:space="preserve">B. Application </w:t>
      </w:r>
      <w:r w:rsidR="00E06704">
        <w:rPr>
          <w:b/>
          <w:lang w:val="en-CA"/>
        </w:rPr>
        <w:t>to the facts of this case</w:t>
      </w:r>
    </w:p>
    <w:p w14:paraId="0795FF6E" w14:textId="77777777" w:rsidR="009F612A" w:rsidRPr="009C466A" w:rsidRDefault="009C466A" w:rsidP="009F612A">
      <w:pPr>
        <w:pStyle w:val="Paragraphe"/>
        <w:spacing w:line="240" w:lineRule="auto"/>
        <w:rPr>
          <w:lang w:val="en-CA"/>
        </w:rPr>
      </w:pPr>
      <w:r w:rsidRPr="009C466A">
        <w:rPr>
          <w:lang w:val="en-CA"/>
        </w:rPr>
        <w:t xml:space="preserve">The analysis of </w:t>
      </w:r>
      <w:r w:rsidR="00E01746" w:rsidRPr="009C466A">
        <w:rPr>
          <w:lang w:val="en-CA"/>
        </w:rPr>
        <w:t>A.B.</w:t>
      </w:r>
      <w:r w:rsidRPr="009C466A">
        <w:rPr>
          <w:lang w:val="en-CA"/>
        </w:rPr>
        <w:t xml:space="preserve">’s allegations must be limited to the first </w:t>
      </w:r>
      <w:r w:rsidR="00FB10AC">
        <w:rPr>
          <w:lang w:val="en-CA"/>
        </w:rPr>
        <w:t>step</w:t>
      </w:r>
      <w:r w:rsidRPr="009C466A">
        <w:rPr>
          <w:lang w:val="en-CA"/>
        </w:rPr>
        <w:t xml:space="preserve"> of the</w:t>
      </w:r>
      <w:r w:rsidR="00E01746" w:rsidRPr="009C466A">
        <w:rPr>
          <w:lang w:val="en-CA"/>
        </w:rPr>
        <w:t xml:space="preserve"> </w:t>
      </w:r>
      <w:r w:rsidR="00E01746" w:rsidRPr="009C466A">
        <w:rPr>
          <w:i/>
          <w:lang w:val="en-CA"/>
        </w:rPr>
        <w:t>Sherman</w:t>
      </w:r>
      <w:r w:rsidR="00E01746" w:rsidRPr="009C466A">
        <w:rPr>
          <w:lang w:val="en-CA"/>
        </w:rPr>
        <w:t xml:space="preserve"> </w:t>
      </w:r>
      <w:r w:rsidR="009D4C0A">
        <w:rPr>
          <w:lang w:val="en-CA"/>
        </w:rPr>
        <w:t>inquiry</w:t>
      </w:r>
      <w:r w:rsidRPr="009C466A">
        <w:rPr>
          <w:lang w:val="en-CA"/>
        </w:rPr>
        <w:t xml:space="preserve">, namely </w:t>
      </w:r>
      <w:r w:rsidR="009D4C0A">
        <w:rPr>
          <w:lang w:val="en-CA"/>
        </w:rPr>
        <w:t xml:space="preserve">whether there is a </w:t>
      </w:r>
      <w:r w:rsidRPr="009C466A">
        <w:rPr>
          <w:lang w:val="en-CA"/>
        </w:rPr>
        <w:t>need to restrict the openness of court proceedings</w:t>
      </w:r>
      <w:r w:rsidR="00E01746" w:rsidRPr="009C466A">
        <w:rPr>
          <w:lang w:val="en-CA"/>
        </w:rPr>
        <w:t xml:space="preserve">, </w:t>
      </w:r>
      <w:r w:rsidRPr="009C466A">
        <w:rPr>
          <w:lang w:val="en-CA"/>
        </w:rPr>
        <w:t>s</w:t>
      </w:r>
      <w:r>
        <w:rPr>
          <w:lang w:val="en-CA"/>
        </w:rPr>
        <w:t xml:space="preserve">ince, as </w:t>
      </w:r>
      <w:r w:rsidR="00672B67">
        <w:rPr>
          <w:lang w:val="en-CA"/>
        </w:rPr>
        <w:t>Lussier, J. properly</w:t>
      </w:r>
      <w:r>
        <w:rPr>
          <w:lang w:val="en-CA"/>
        </w:rPr>
        <w:t xml:space="preserve"> concluded, </w:t>
      </w:r>
      <w:r w:rsidR="00105DF4">
        <w:rPr>
          <w:lang w:val="en-CA"/>
        </w:rPr>
        <w:t xml:space="preserve">such </w:t>
      </w:r>
      <w:r>
        <w:rPr>
          <w:lang w:val="en-CA"/>
        </w:rPr>
        <w:t>openness does not pose a serious risk to an important public interest</w:t>
      </w:r>
      <w:r w:rsidR="009D4C0A">
        <w:rPr>
          <w:lang w:val="en-CA"/>
        </w:rPr>
        <w:t xml:space="preserve"> in this case</w:t>
      </w:r>
      <w:r>
        <w:rPr>
          <w:lang w:val="en-CA"/>
        </w:rPr>
        <w:t>.</w:t>
      </w:r>
    </w:p>
    <w:p w14:paraId="2074C999" w14:textId="77777777" w:rsidR="009F612A" w:rsidRPr="009C466A" w:rsidRDefault="009C466A" w:rsidP="009F612A">
      <w:pPr>
        <w:pStyle w:val="Paragraphe"/>
        <w:spacing w:line="240" w:lineRule="auto"/>
        <w:rPr>
          <w:lang w:val="en-CA"/>
        </w:rPr>
      </w:pPr>
      <w:r w:rsidRPr="009C466A">
        <w:rPr>
          <w:lang w:val="en-CA"/>
        </w:rPr>
        <w:t>The relevant allegations of the application for confidentiality are sufficient to de</w:t>
      </w:r>
      <w:r>
        <w:rPr>
          <w:lang w:val="en-CA"/>
        </w:rPr>
        <w:t>monstrate this. They are worded as follows</w:t>
      </w:r>
      <w:r w:rsidR="00E01746" w:rsidRPr="009C466A">
        <w:rPr>
          <w:rFonts w:cs="Arial"/>
          <w:lang w:val="en-CA"/>
        </w:rPr>
        <w:t xml:space="preserve">: </w:t>
      </w:r>
    </w:p>
    <w:p w14:paraId="3B66B39F" w14:textId="77777777" w:rsidR="009C466A" w:rsidRDefault="009C466A" w:rsidP="00FB5BF9">
      <w:pPr>
        <w:pStyle w:val="Citationenretrait"/>
        <w:rPr>
          <w:lang w:val="en-CA"/>
        </w:rPr>
      </w:pPr>
      <w:r>
        <w:rPr>
          <w:lang w:val="en-CA"/>
        </w:rPr>
        <w:t>[</w:t>
      </w:r>
      <w:r w:rsidRPr="00D92ABB">
        <w:rPr>
          <w:sz w:val="20"/>
          <w:lang w:val="en-CA"/>
        </w:rPr>
        <w:t>TRANSLATION</w:t>
      </w:r>
      <w:r>
        <w:rPr>
          <w:lang w:val="en-CA"/>
        </w:rPr>
        <w:t>]</w:t>
      </w:r>
    </w:p>
    <w:p w14:paraId="6E05A7B6" w14:textId="77777777" w:rsidR="009F612A" w:rsidRPr="00926147" w:rsidRDefault="00E01746" w:rsidP="00FB5BF9">
      <w:pPr>
        <w:pStyle w:val="Citationenretrait"/>
        <w:rPr>
          <w:lang w:val="en-CA"/>
        </w:rPr>
      </w:pPr>
      <w:r w:rsidRPr="00926147">
        <w:rPr>
          <w:lang w:val="en-CA"/>
        </w:rPr>
        <w:t xml:space="preserve">17. </w:t>
      </w:r>
      <w:r w:rsidR="009C466A">
        <w:rPr>
          <w:lang w:val="en-CA"/>
        </w:rPr>
        <w:t xml:space="preserve">The plaintiff </w:t>
      </w:r>
      <w:r w:rsidR="00476FDF">
        <w:rPr>
          <w:lang w:val="en-CA"/>
        </w:rPr>
        <w:t xml:space="preserve">A.B. </w:t>
      </w:r>
      <w:r w:rsidR="009C466A">
        <w:rPr>
          <w:lang w:val="en-CA"/>
        </w:rPr>
        <w:t>is a public figure in Quebec.</w:t>
      </w:r>
    </w:p>
    <w:p w14:paraId="69FFDFDC" w14:textId="77777777" w:rsidR="009F612A" w:rsidRPr="007C11EE" w:rsidRDefault="00E01746" w:rsidP="00FB5BF9">
      <w:pPr>
        <w:pStyle w:val="Citationenretrait"/>
        <w:rPr>
          <w:lang w:val="en-CA"/>
        </w:rPr>
      </w:pPr>
      <w:r w:rsidRPr="00926147">
        <w:rPr>
          <w:lang w:val="en-CA"/>
        </w:rPr>
        <w:t xml:space="preserve">18. </w:t>
      </w:r>
      <w:r w:rsidR="009C466A">
        <w:rPr>
          <w:lang w:val="en-CA"/>
        </w:rPr>
        <w:t xml:space="preserve">His fame and good reputation </w:t>
      </w:r>
      <w:r w:rsidR="00C95E4A">
        <w:rPr>
          <w:lang w:val="en-CA"/>
        </w:rPr>
        <w:t>allow</w:t>
      </w:r>
      <w:r w:rsidR="009C466A">
        <w:rPr>
          <w:lang w:val="en-CA"/>
        </w:rPr>
        <w:t xml:space="preserve"> him to earn his living in the public eye.</w:t>
      </w:r>
    </w:p>
    <w:p w14:paraId="183BE6BF" w14:textId="77777777" w:rsidR="009F612A" w:rsidRPr="00926147" w:rsidRDefault="00E01746" w:rsidP="00FB5BF9">
      <w:pPr>
        <w:pStyle w:val="Citationenretrait"/>
        <w:rPr>
          <w:lang w:val="en-CA"/>
        </w:rPr>
      </w:pPr>
      <w:r w:rsidRPr="00926147">
        <w:rPr>
          <w:lang w:val="en-CA"/>
        </w:rPr>
        <w:t xml:space="preserve">19. </w:t>
      </w:r>
      <w:r w:rsidR="009C466A">
        <w:rPr>
          <w:lang w:val="en-CA"/>
        </w:rPr>
        <w:t xml:space="preserve">The information </w:t>
      </w:r>
      <w:r w:rsidR="00B02EC5">
        <w:rPr>
          <w:lang w:val="en-CA"/>
        </w:rPr>
        <w:t xml:space="preserve">that </w:t>
      </w:r>
      <w:r w:rsidR="00476FDF">
        <w:rPr>
          <w:lang w:val="en-CA"/>
        </w:rPr>
        <w:t>A.B.</w:t>
      </w:r>
      <w:r w:rsidR="009C466A">
        <w:rPr>
          <w:lang w:val="en-CA"/>
        </w:rPr>
        <w:t xml:space="preserve"> wishes to keep confidential </w:t>
      </w:r>
      <w:r w:rsidR="00F43C81">
        <w:rPr>
          <w:lang w:val="en-CA"/>
        </w:rPr>
        <w:t>has already been publicized</w:t>
      </w:r>
      <w:r w:rsidR="0042670F">
        <w:rPr>
          <w:lang w:val="en-CA"/>
        </w:rPr>
        <w:t xml:space="preserve"> </w:t>
      </w:r>
      <w:proofErr w:type="gramStart"/>
      <w:r w:rsidR="00F43C81">
        <w:rPr>
          <w:lang w:val="en-CA"/>
        </w:rPr>
        <w:t>as a result of</w:t>
      </w:r>
      <w:proofErr w:type="gramEnd"/>
      <w:r w:rsidR="00F43C81">
        <w:rPr>
          <w:lang w:val="en-CA"/>
        </w:rPr>
        <w:t xml:space="preserve"> the </w:t>
      </w:r>
      <w:r w:rsidR="009C466A">
        <w:rPr>
          <w:lang w:val="en-CA"/>
        </w:rPr>
        <w:t>defendants hav</w:t>
      </w:r>
      <w:r w:rsidR="00F43C81">
        <w:rPr>
          <w:lang w:val="en-CA"/>
        </w:rPr>
        <w:t>ing</w:t>
      </w:r>
      <w:r w:rsidR="009C466A">
        <w:rPr>
          <w:lang w:val="en-CA"/>
        </w:rPr>
        <w:t xml:space="preserve"> published it on social networks.</w:t>
      </w:r>
    </w:p>
    <w:p w14:paraId="4D0FEF79" w14:textId="77777777" w:rsidR="009F612A" w:rsidRPr="00926147" w:rsidRDefault="00E01746" w:rsidP="009D2928">
      <w:pPr>
        <w:pStyle w:val="Citationenretrait"/>
        <w:keepNext/>
        <w:keepLines/>
        <w:rPr>
          <w:lang w:val="en-CA"/>
        </w:rPr>
      </w:pPr>
      <w:r w:rsidRPr="00596AE5">
        <w:rPr>
          <w:lang w:val="en-CA"/>
        </w:rPr>
        <w:t xml:space="preserve">20. </w:t>
      </w:r>
      <w:r w:rsidR="009C466A" w:rsidRPr="00596AE5">
        <w:rPr>
          <w:lang w:val="en-CA"/>
        </w:rPr>
        <w:t xml:space="preserve">This application for </w:t>
      </w:r>
      <w:r w:rsidR="00950A6E" w:rsidRPr="00596AE5">
        <w:rPr>
          <w:lang w:val="en-CA"/>
        </w:rPr>
        <w:t>depersonalization</w:t>
      </w:r>
      <w:r w:rsidR="009C466A" w:rsidRPr="00596AE5">
        <w:rPr>
          <w:lang w:val="en-CA"/>
        </w:rPr>
        <w:t xml:space="preserve"> and for a publication and </w:t>
      </w:r>
      <w:r w:rsidR="00F43C81" w:rsidRPr="00596AE5">
        <w:rPr>
          <w:lang w:val="en-CA"/>
        </w:rPr>
        <w:t>dissemination</w:t>
      </w:r>
      <w:r w:rsidR="009C466A" w:rsidRPr="00596AE5">
        <w:rPr>
          <w:lang w:val="en-CA"/>
        </w:rPr>
        <w:t xml:space="preserve"> ban therefore seeks to mitigate the injury </w:t>
      </w:r>
      <w:r w:rsidR="00476FDF" w:rsidRPr="00596AE5">
        <w:rPr>
          <w:lang w:val="en-CA"/>
        </w:rPr>
        <w:t>that A.B. would suffer</w:t>
      </w:r>
      <w:r w:rsidR="009C466A" w:rsidRPr="00596AE5">
        <w:rPr>
          <w:lang w:val="en-CA"/>
        </w:rPr>
        <w:t xml:space="preserve"> a</w:t>
      </w:r>
      <w:r w:rsidR="00476FDF" w:rsidRPr="00596AE5">
        <w:rPr>
          <w:lang w:val="en-CA"/>
        </w:rPr>
        <w:t>s</w:t>
      </w:r>
      <w:r w:rsidR="009C466A" w:rsidRPr="00596AE5">
        <w:rPr>
          <w:lang w:val="en-CA"/>
        </w:rPr>
        <w:t xml:space="preserve"> result </w:t>
      </w:r>
      <w:r w:rsidR="00476FDF" w:rsidRPr="00596AE5">
        <w:rPr>
          <w:lang w:val="en-CA"/>
        </w:rPr>
        <w:t xml:space="preserve">of the casting of a “spotlight” </w:t>
      </w:r>
      <w:r w:rsidR="000A10D3" w:rsidRPr="00596AE5">
        <w:rPr>
          <w:lang w:val="en-CA"/>
        </w:rPr>
        <w:t xml:space="preserve">that </w:t>
      </w:r>
      <w:r w:rsidR="004777F7" w:rsidRPr="00596AE5">
        <w:rPr>
          <w:lang w:val="en-CA"/>
        </w:rPr>
        <w:t>would attract</w:t>
      </w:r>
      <w:r w:rsidR="00121B9A" w:rsidRPr="00596AE5">
        <w:rPr>
          <w:lang w:val="en-CA"/>
        </w:rPr>
        <w:t xml:space="preserve"> media and public </w:t>
      </w:r>
      <w:r w:rsidR="004777F7" w:rsidRPr="00596AE5">
        <w:rPr>
          <w:lang w:val="en-CA"/>
        </w:rPr>
        <w:t>interest</w:t>
      </w:r>
      <w:r w:rsidR="00121B9A" w:rsidRPr="00596AE5">
        <w:rPr>
          <w:lang w:val="en-CA"/>
        </w:rPr>
        <w:t xml:space="preserve"> </w:t>
      </w:r>
      <w:r w:rsidR="000C100B" w:rsidRPr="00596AE5">
        <w:rPr>
          <w:lang w:val="en-CA"/>
        </w:rPr>
        <w:t xml:space="preserve">in the defamatory </w:t>
      </w:r>
      <w:r w:rsidR="002B31D0" w:rsidRPr="00596AE5">
        <w:rPr>
          <w:lang w:val="en-CA"/>
        </w:rPr>
        <w:t>information the</w:t>
      </w:r>
      <w:r w:rsidR="000C100B" w:rsidRPr="00596AE5">
        <w:rPr>
          <w:lang w:val="en-CA"/>
        </w:rPr>
        <w:t xml:space="preserve"> defendants</w:t>
      </w:r>
      <w:r w:rsidR="00960621" w:rsidRPr="00596AE5">
        <w:rPr>
          <w:lang w:val="en-CA"/>
        </w:rPr>
        <w:t xml:space="preserve"> are publicizing</w:t>
      </w:r>
      <w:r w:rsidR="000C100B" w:rsidRPr="00596AE5">
        <w:rPr>
          <w:lang w:val="en-CA"/>
        </w:rPr>
        <w:t>.</w:t>
      </w:r>
    </w:p>
    <w:p w14:paraId="7762D6BC" w14:textId="77777777" w:rsidR="009F612A" w:rsidRPr="007C11EE" w:rsidRDefault="00E01746" w:rsidP="00FB5BF9">
      <w:pPr>
        <w:pStyle w:val="Citationenretrait"/>
        <w:rPr>
          <w:lang w:val="en-CA"/>
        </w:rPr>
      </w:pPr>
      <w:r w:rsidRPr="00FA7F44">
        <w:rPr>
          <w:lang w:val="en-CA"/>
        </w:rPr>
        <w:t xml:space="preserve">21. </w:t>
      </w:r>
      <w:r w:rsidR="0021431A" w:rsidRPr="00FA7F44">
        <w:rPr>
          <w:lang w:val="en-CA"/>
        </w:rPr>
        <w:t xml:space="preserve">The defamatory remarks in question are not only contrary to the values the plaintiff </w:t>
      </w:r>
      <w:r w:rsidR="00DE39DF" w:rsidRPr="00FA7F44">
        <w:rPr>
          <w:lang w:val="en-CA"/>
        </w:rPr>
        <w:t xml:space="preserve">A.B. </w:t>
      </w:r>
      <w:r w:rsidR="0021431A" w:rsidRPr="00FA7F44">
        <w:rPr>
          <w:lang w:val="en-CA"/>
        </w:rPr>
        <w:t xml:space="preserve">expresses to the </w:t>
      </w:r>
      <w:proofErr w:type="gramStart"/>
      <w:r w:rsidR="0021431A" w:rsidRPr="00FA7F44">
        <w:rPr>
          <w:lang w:val="en-CA"/>
        </w:rPr>
        <w:t>general public</w:t>
      </w:r>
      <w:proofErr w:type="gramEnd"/>
      <w:r w:rsidR="002D419E" w:rsidRPr="00FA7F44">
        <w:rPr>
          <w:lang w:val="en-CA"/>
        </w:rPr>
        <w:t>;</w:t>
      </w:r>
      <w:r w:rsidR="0021431A" w:rsidRPr="00FA7F44">
        <w:rPr>
          <w:lang w:val="en-CA"/>
        </w:rPr>
        <w:t xml:space="preserve"> they also bring dishonour upon him by subjecting him to hatred and contempt in the eyes of the public.</w:t>
      </w:r>
    </w:p>
    <w:p w14:paraId="25D4EC13" w14:textId="77777777" w:rsidR="009F612A" w:rsidRPr="00926147" w:rsidRDefault="00E01746" w:rsidP="00FB5BF9">
      <w:pPr>
        <w:pStyle w:val="Citationenretrait"/>
        <w:rPr>
          <w:lang w:val="en-CA"/>
        </w:rPr>
      </w:pPr>
      <w:r w:rsidRPr="00926147">
        <w:rPr>
          <w:lang w:val="en-CA"/>
        </w:rPr>
        <w:t xml:space="preserve">22. </w:t>
      </w:r>
      <w:r w:rsidR="0021431A">
        <w:rPr>
          <w:lang w:val="en-CA"/>
        </w:rPr>
        <w:t xml:space="preserve">The defendant Robillard, with the complicity of </w:t>
      </w:r>
      <w:r w:rsidR="0021431A" w:rsidRPr="00FA7F44">
        <w:rPr>
          <w:lang w:val="en-CA"/>
        </w:rPr>
        <w:t>Ms. Bergeron and the defendant organizations,</w:t>
      </w:r>
      <w:r w:rsidR="0021431A">
        <w:rPr>
          <w:lang w:val="en-CA"/>
        </w:rPr>
        <w:t xml:space="preserve"> </w:t>
      </w:r>
      <w:r w:rsidR="00F6292E">
        <w:rPr>
          <w:lang w:val="en-CA"/>
        </w:rPr>
        <w:t>set up a contrivance</w:t>
      </w:r>
      <w:r w:rsidR="0021431A">
        <w:rPr>
          <w:lang w:val="en-CA"/>
        </w:rPr>
        <w:t xml:space="preserve"> that forces the plaintiff </w:t>
      </w:r>
      <w:r w:rsidR="00637612">
        <w:rPr>
          <w:lang w:val="en-CA"/>
        </w:rPr>
        <w:t>into instituting court proceedings</w:t>
      </w:r>
      <w:r w:rsidR="00F6292E">
        <w:rPr>
          <w:lang w:val="en-CA"/>
        </w:rPr>
        <w:t xml:space="preserve"> that could</w:t>
      </w:r>
      <w:r w:rsidR="0021431A">
        <w:rPr>
          <w:lang w:val="en-CA"/>
        </w:rPr>
        <w:t xml:space="preserve"> aggravat</w:t>
      </w:r>
      <w:r w:rsidR="00F6292E">
        <w:rPr>
          <w:lang w:val="en-CA"/>
        </w:rPr>
        <w:t>e</w:t>
      </w:r>
      <w:r w:rsidR="0021431A">
        <w:rPr>
          <w:lang w:val="en-CA"/>
        </w:rPr>
        <w:t xml:space="preserve"> the injury caused by </w:t>
      </w:r>
      <w:r w:rsidR="008B50CE">
        <w:rPr>
          <w:lang w:val="en-CA"/>
        </w:rPr>
        <w:t>Robillard’s</w:t>
      </w:r>
      <w:r w:rsidR="0021431A">
        <w:rPr>
          <w:lang w:val="en-CA"/>
        </w:rPr>
        <w:t xml:space="preserve"> defamatory allegations.</w:t>
      </w:r>
    </w:p>
    <w:p w14:paraId="74715F74" w14:textId="77777777" w:rsidR="009F612A" w:rsidRPr="00926147" w:rsidRDefault="00E01746" w:rsidP="00FB5BF9">
      <w:pPr>
        <w:pStyle w:val="Citationenretrait"/>
        <w:rPr>
          <w:lang w:val="en-CA"/>
        </w:rPr>
      </w:pPr>
      <w:r w:rsidRPr="00926147">
        <w:rPr>
          <w:lang w:val="en-CA"/>
        </w:rPr>
        <w:t xml:space="preserve">23. </w:t>
      </w:r>
      <w:r w:rsidR="00F6292E">
        <w:rPr>
          <w:lang w:val="en-CA"/>
        </w:rPr>
        <w:t xml:space="preserve">This contrivance is a well-planned trap that has cornered </w:t>
      </w:r>
      <w:r w:rsidR="00D6142C">
        <w:rPr>
          <w:lang w:val="en-CA"/>
        </w:rPr>
        <w:t xml:space="preserve">plaintiff </w:t>
      </w:r>
      <w:r w:rsidR="006C1823">
        <w:rPr>
          <w:lang w:val="en-CA"/>
        </w:rPr>
        <w:t>A.B.</w:t>
      </w:r>
    </w:p>
    <w:p w14:paraId="3C67DB14" w14:textId="77777777" w:rsidR="009F612A" w:rsidRPr="00926147" w:rsidRDefault="00E01746" w:rsidP="00FB5BF9">
      <w:pPr>
        <w:pStyle w:val="Citationenretrait"/>
        <w:rPr>
          <w:lang w:val="en-CA"/>
        </w:rPr>
      </w:pPr>
      <w:r w:rsidRPr="00926147">
        <w:rPr>
          <w:lang w:val="en-CA"/>
        </w:rPr>
        <w:lastRenderedPageBreak/>
        <w:t>24.</w:t>
      </w:r>
      <w:r w:rsidR="00492B4B">
        <w:rPr>
          <w:lang w:val="en-CA"/>
        </w:rPr>
        <w:t xml:space="preserve"> </w:t>
      </w:r>
      <w:r w:rsidR="00C83A29">
        <w:rPr>
          <w:lang w:val="en-CA"/>
        </w:rPr>
        <w:t>Specifically, i</w:t>
      </w:r>
      <w:r w:rsidR="00F6292E">
        <w:rPr>
          <w:lang w:val="en-CA"/>
        </w:rPr>
        <w:t xml:space="preserve">f </w:t>
      </w:r>
      <w:r w:rsidR="006C1823">
        <w:rPr>
          <w:lang w:val="en-CA"/>
        </w:rPr>
        <w:t>A.B.</w:t>
      </w:r>
      <w:r w:rsidR="00F6292E">
        <w:rPr>
          <w:lang w:val="en-CA"/>
        </w:rPr>
        <w:t xml:space="preserve"> does not sue, he runs the risk </w:t>
      </w:r>
      <w:r w:rsidR="00492B4B">
        <w:rPr>
          <w:lang w:val="en-CA"/>
        </w:rPr>
        <w:t>that t</w:t>
      </w:r>
      <w:r w:rsidR="00F6292E">
        <w:rPr>
          <w:lang w:val="en-CA"/>
        </w:rPr>
        <w:t>he defamatory remarks will multiply, with devastating consequences for him.</w:t>
      </w:r>
    </w:p>
    <w:p w14:paraId="774C6481" w14:textId="77777777" w:rsidR="009F612A" w:rsidRPr="00926147" w:rsidRDefault="00E01746" w:rsidP="00FB5BF9">
      <w:pPr>
        <w:pStyle w:val="Citationenretrait"/>
        <w:rPr>
          <w:lang w:val="en-CA"/>
        </w:rPr>
      </w:pPr>
      <w:r w:rsidRPr="00926147">
        <w:rPr>
          <w:lang w:val="en-CA"/>
        </w:rPr>
        <w:t xml:space="preserve">25. </w:t>
      </w:r>
      <w:r w:rsidR="00FA7F44">
        <w:rPr>
          <w:lang w:val="en-CA"/>
        </w:rPr>
        <w:t>On the other hand, i</w:t>
      </w:r>
      <w:r w:rsidR="00F6292E">
        <w:rPr>
          <w:lang w:val="en-CA"/>
        </w:rPr>
        <w:t xml:space="preserve">f </w:t>
      </w:r>
      <w:r w:rsidR="006C1823">
        <w:rPr>
          <w:lang w:val="en-CA"/>
        </w:rPr>
        <w:t>A.B.</w:t>
      </w:r>
      <w:r w:rsidR="00F6292E">
        <w:rPr>
          <w:lang w:val="en-CA"/>
        </w:rPr>
        <w:t xml:space="preserve"> does sue, h</w:t>
      </w:r>
      <w:r w:rsidR="00BA03A6">
        <w:rPr>
          <w:lang w:val="en-CA"/>
        </w:rPr>
        <w:t>is own action could aggravate</w:t>
      </w:r>
      <w:r w:rsidR="00F6292E">
        <w:rPr>
          <w:lang w:val="en-CA"/>
        </w:rPr>
        <w:t xml:space="preserve"> the consequences </w:t>
      </w:r>
      <w:r w:rsidR="00492B4B">
        <w:rPr>
          <w:lang w:val="en-CA"/>
        </w:rPr>
        <w:t>of</w:t>
      </w:r>
      <w:r w:rsidR="00F6292E">
        <w:rPr>
          <w:lang w:val="en-CA"/>
        </w:rPr>
        <w:t xml:space="preserve"> Robillard’s defamatory remarks.</w:t>
      </w:r>
    </w:p>
    <w:p w14:paraId="48B8ABB0" w14:textId="77777777" w:rsidR="009F612A" w:rsidRPr="007C11EE" w:rsidRDefault="00E01746" w:rsidP="00FB5BF9">
      <w:pPr>
        <w:pStyle w:val="Citationenretrait"/>
        <w:rPr>
          <w:lang w:val="en-CA"/>
        </w:rPr>
      </w:pPr>
      <w:r w:rsidRPr="00926147">
        <w:rPr>
          <w:lang w:val="en-CA"/>
        </w:rPr>
        <w:t xml:space="preserve">26. </w:t>
      </w:r>
      <w:r w:rsidR="006C1823">
        <w:rPr>
          <w:lang w:val="en-CA"/>
        </w:rPr>
        <w:t>A.B.</w:t>
      </w:r>
      <w:r w:rsidR="00F400E6">
        <w:rPr>
          <w:lang w:val="en-CA"/>
        </w:rPr>
        <w:t xml:space="preserve"> </w:t>
      </w:r>
      <w:r w:rsidR="006F5002">
        <w:rPr>
          <w:lang w:val="en-CA"/>
        </w:rPr>
        <w:t>seeks a path out of this</w:t>
      </w:r>
      <w:r w:rsidR="00F400E6">
        <w:rPr>
          <w:lang w:val="en-CA"/>
        </w:rPr>
        <w:t xml:space="preserve"> </w:t>
      </w:r>
      <w:r w:rsidR="005815F9">
        <w:rPr>
          <w:lang w:val="en-CA"/>
        </w:rPr>
        <w:t>quandary</w:t>
      </w:r>
      <w:r w:rsidR="006F5002">
        <w:rPr>
          <w:lang w:val="en-CA"/>
        </w:rPr>
        <w:t>,</w:t>
      </w:r>
      <w:r w:rsidR="00F400E6">
        <w:rPr>
          <w:lang w:val="en-CA"/>
        </w:rPr>
        <w:t xml:space="preserve"> which is why he </w:t>
      </w:r>
      <w:r w:rsidR="00534165">
        <w:rPr>
          <w:lang w:val="en-CA"/>
        </w:rPr>
        <w:t xml:space="preserve">is applying for an order preserving his anonymity. </w:t>
      </w:r>
      <w:r w:rsidR="00F400E6">
        <w:rPr>
          <w:lang w:val="en-CA"/>
        </w:rPr>
        <w:t xml:space="preserve"> </w:t>
      </w:r>
    </w:p>
    <w:p w14:paraId="6F9F5E78" w14:textId="77777777" w:rsidR="009F612A" w:rsidRPr="00926147" w:rsidRDefault="006F6B9A" w:rsidP="00FB5BF9">
      <w:pPr>
        <w:pStyle w:val="Citationenretrait"/>
        <w:rPr>
          <w:lang w:val="en-CA"/>
        </w:rPr>
      </w:pPr>
      <w:r>
        <w:rPr>
          <w:lang w:val="en-CA"/>
        </w:rPr>
        <w:t>. . .</w:t>
      </w:r>
    </w:p>
    <w:p w14:paraId="4FF81223" w14:textId="77777777" w:rsidR="009F612A" w:rsidRPr="00926147" w:rsidRDefault="00E01746" w:rsidP="00FB5BF9">
      <w:pPr>
        <w:pStyle w:val="Citationenretrait"/>
        <w:rPr>
          <w:lang w:val="en-CA"/>
        </w:rPr>
      </w:pPr>
      <w:r w:rsidRPr="00926147">
        <w:rPr>
          <w:lang w:val="en-CA"/>
        </w:rPr>
        <w:t xml:space="preserve">34. </w:t>
      </w:r>
      <w:r w:rsidR="0042670F">
        <w:rPr>
          <w:lang w:val="en-CA"/>
        </w:rPr>
        <w:t xml:space="preserve">The </w:t>
      </w:r>
      <w:r w:rsidR="00E43CC2">
        <w:rPr>
          <w:lang w:val="en-CA"/>
        </w:rPr>
        <w:t xml:space="preserve">publication </w:t>
      </w:r>
      <w:r w:rsidR="0042670F">
        <w:rPr>
          <w:lang w:val="en-CA"/>
        </w:rPr>
        <w:t xml:space="preserve">and </w:t>
      </w:r>
      <w:r w:rsidR="00CE6C29">
        <w:rPr>
          <w:lang w:val="en-CA"/>
        </w:rPr>
        <w:t>dissemination</w:t>
      </w:r>
      <w:r w:rsidR="0042670F">
        <w:rPr>
          <w:lang w:val="en-CA"/>
        </w:rPr>
        <w:t xml:space="preserve"> of the </w:t>
      </w:r>
      <w:r w:rsidR="00CE6C29">
        <w:rPr>
          <w:lang w:val="en-CA"/>
        </w:rPr>
        <w:t>proceedings</w:t>
      </w:r>
      <w:r w:rsidR="0042670F">
        <w:rPr>
          <w:lang w:val="en-CA"/>
        </w:rPr>
        <w:t xml:space="preserve"> would </w:t>
      </w:r>
      <w:proofErr w:type="gramStart"/>
      <w:r w:rsidR="0042670F">
        <w:rPr>
          <w:lang w:val="en-CA"/>
        </w:rPr>
        <w:t>definitely have</w:t>
      </w:r>
      <w:proofErr w:type="gramEnd"/>
      <w:r w:rsidR="0042670F">
        <w:rPr>
          <w:lang w:val="en-CA"/>
        </w:rPr>
        <w:t xml:space="preserve"> an adverse effect on the plaintiff</w:t>
      </w:r>
      <w:r w:rsidR="00492941">
        <w:rPr>
          <w:lang w:val="en-CA"/>
        </w:rPr>
        <w:t xml:space="preserve"> A.B.</w:t>
      </w:r>
      <w:r w:rsidR="0042670F">
        <w:rPr>
          <w:lang w:val="en-CA"/>
        </w:rPr>
        <w:t>’s psychological integrity and right to privacy.</w:t>
      </w:r>
    </w:p>
    <w:p w14:paraId="7ADC9BF5" w14:textId="77777777" w:rsidR="009F612A" w:rsidRPr="007C11EE" w:rsidRDefault="00E01746" w:rsidP="00FB5BF9">
      <w:pPr>
        <w:pStyle w:val="Citationenretrait"/>
        <w:rPr>
          <w:lang w:val="en-CA"/>
        </w:rPr>
      </w:pPr>
      <w:r w:rsidRPr="00926147">
        <w:rPr>
          <w:lang w:val="en-CA"/>
        </w:rPr>
        <w:t xml:space="preserve">35. </w:t>
      </w:r>
      <w:r w:rsidR="0042670F">
        <w:rPr>
          <w:lang w:val="en-CA"/>
        </w:rPr>
        <w:t xml:space="preserve">As noted above, holding these proceedings in public would cast a </w:t>
      </w:r>
      <w:r w:rsidR="008A255D">
        <w:rPr>
          <w:lang w:val="en-CA"/>
        </w:rPr>
        <w:t>“</w:t>
      </w:r>
      <w:r w:rsidR="0042670F">
        <w:rPr>
          <w:lang w:val="en-CA"/>
        </w:rPr>
        <w:t>spotlight</w:t>
      </w:r>
      <w:r w:rsidR="008A255D">
        <w:rPr>
          <w:lang w:val="en-CA"/>
        </w:rPr>
        <w:t>”</w:t>
      </w:r>
      <w:r w:rsidR="0042670F">
        <w:rPr>
          <w:lang w:val="en-CA"/>
        </w:rPr>
        <w:t xml:space="preserve"> on the defendants’ defamatory remarks.</w:t>
      </w:r>
    </w:p>
    <w:p w14:paraId="7C57FEA3" w14:textId="77777777" w:rsidR="009F612A" w:rsidRPr="00926147" w:rsidRDefault="00E01746" w:rsidP="00FB5BF9">
      <w:pPr>
        <w:pStyle w:val="Citationenretrait"/>
        <w:rPr>
          <w:lang w:val="en-CA"/>
        </w:rPr>
      </w:pPr>
      <w:r w:rsidRPr="00926147">
        <w:rPr>
          <w:lang w:val="en-CA"/>
        </w:rPr>
        <w:t xml:space="preserve">36. </w:t>
      </w:r>
      <w:r w:rsidR="005E002D">
        <w:rPr>
          <w:lang w:val="en-CA"/>
        </w:rPr>
        <w:t xml:space="preserve">The defendants and in particular </w:t>
      </w:r>
      <w:r w:rsidRPr="00926147">
        <w:rPr>
          <w:lang w:val="en-CA"/>
        </w:rPr>
        <w:t>Jean-François Robillard</w:t>
      </w:r>
      <w:r w:rsidR="005E002D">
        <w:rPr>
          <w:lang w:val="en-CA"/>
        </w:rPr>
        <w:t xml:space="preserve">, who are seeking to publicize these remarks, would get the benefit of a public gallery </w:t>
      </w:r>
      <w:r w:rsidR="00801AAF">
        <w:rPr>
          <w:lang w:val="en-CA"/>
        </w:rPr>
        <w:t>violative of</w:t>
      </w:r>
      <w:r w:rsidR="005E002D">
        <w:rPr>
          <w:lang w:val="en-CA"/>
        </w:rPr>
        <w:t xml:space="preserve"> the plaintiff’s fundamental rights.</w:t>
      </w:r>
      <w:r w:rsidRPr="00926147">
        <w:rPr>
          <w:lang w:val="en-CA"/>
        </w:rPr>
        <w:t xml:space="preserve"> </w:t>
      </w:r>
    </w:p>
    <w:p w14:paraId="56D09E23" w14:textId="77777777" w:rsidR="009F612A" w:rsidRPr="00926147" w:rsidRDefault="00E01746" w:rsidP="00FB5BF9">
      <w:pPr>
        <w:pStyle w:val="Citationenretrait"/>
        <w:rPr>
          <w:lang w:val="en-CA"/>
        </w:rPr>
      </w:pPr>
      <w:r w:rsidRPr="00926147">
        <w:rPr>
          <w:lang w:val="en-CA"/>
        </w:rPr>
        <w:t xml:space="preserve">37. </w:t>
      </w:r>
      <w:r w:rsidR="005E002D">
        <w:rPr>
          <w:lang w:val="en-CA"/>
        </w:rPr>
        <w:t xml:space="preserve">The information contained in the </w:t>
      </w:r>
      <w:r w:rsidR="00A20AE3" w:rsidRPr="00857484">
        <w:rPr>
          <w:lang w:val="en-CA"/>
        </w:rPr>
        <w:t xml:space="preserve">court </w:t>
      </w:r>
      <w:r w:rsidR="005E002D" w:rsidRPr="00AC22B1">
        <w:rPr>
          <w:lang w:val="en-CA"/>
        </w:rPr>
        <w:t>pleadings and exhibits</w:t>
      </w:r>
      <w:r w:rsidR="005E002D">
        <w:rPr>
          <w:lang w:val="en-CA"/>
        </w:rPr>
        <w:t xml:space="preserve"> would undoubtedly attract not only curiosity</w:t>
      </w:r>
      <w:r w:rsidR="00B77FD9">
        <w:rPr>
          <w:lang w:val="en-CA"/>
        </w:rPr>
        <w:t>,</w:t>
      </w:r>
      <w:r w:rsidR="005E002D">
        <w:rPr>
          <w:lang w:val="en-CA"/>
        </w:rPr>
        <w:t xml:space="preserve"> but </w:t>
      </w:r>
      <w:r w:rsidR="00B77FD9">
        <w:rPr>
          <w:lang w:val="en-CA"/>
        </w:rPr>
        <w:t xml:space="preserve">quite probably </w:t>
      </w:r>
      <w:r w:rsidR="006F3587">
        <w:rPr>
          <w:lang w:val="en-CA"/>
        </w:rPr>
        <w:t>improper</w:t>
      </w:r>
      <w:r w:rsidR="005E002D">
        <w:rPr>
          <w:lang w:val="en-CA"/>
        </w:rPr>
        <w:t xml:space="preserve"> interest.</w:t>
      </w:r>
    </w:p>
    <w:p w14:paraId="1C4F8659" w14:textId="77777777" w:rsidR="009F612A" w:rsidRPr="00926147" w:rsidRDefault="00E01746" w:rsidP="00FB5BF9">
      <w:pPr>
        <w:pStyle w:val="Citationenretrait"/>
        <w:rPr>
          <w:lang w:val="en-CA"/>
        </w:rPr>
      </w:pPr>
      <w:r w:rsidRPr="00926147">
        <w:rPr>
          <w:lang w:val="en-CA"/>
        </w:rPr>
        <w:t xml:space="preserve">38. </w:t>
      </w:r>
      <w:r w:rsidR="00E51164">
        <w:rPr>
          <w:lang w:val="en-CA"/>
        </w:rPr>
        <w:t xml:space="preserve">In addition, the plaintiff will have to testify about his psychological distress and </w:t>
      </w:r>
      <w:r w:rsidR="00245FA5">
        <w:rPr>
          <w:lang w:val="en-CA"/>
        </w:rPr>
        <w:t xml:space="preserve">reveal detailed confidential information about his </w:t>
      </w:r>
      <w:r w:rsidR="00DB146E">
        <w:rPr>
          <w:lang w:val="en-CA"/>
        </w:rPr>
        <w:t xml:space="preserve">state of </w:t>
      </w:r>
      <w:r w:rsidR="00A3316A">
        <w:rPr>
          <w:lang w:val="en-CA"/>
        </w:rPr>
        <w:t>health</w:t>
      </w:r>
      <w:r w:rsidR="00245FA5">
        <w:rPr>
          <w:lang w:val="en-CA"/>
        </w:rPr>
        <w:t>.</w:t>
      </w:r>
    </w:p>
    <w:p w14:paraId="31E1D1CF" w14:textId="77777777" w:rsidR="009F612A" w:rsidRPr="007C11EE" w:rsidRDefault="00E01746" w:rsidP="00FB5BF9">
      <w:pPr>
        <w:pStyle w:val="Citationenretrait"/>
        <w:rPr>
          <w:lang w:val="en-CA"/>
        </w:rPr>
      </w:pPr>
      <w:r w:rsidRPr="00926147">
        <w:rPr>
          <w:lang w:val="en-CA"/>
        </w:rPr>
        <w:t xml:space="preserve">39. </w:t>
      </w:r>
      <w:r w:rsidR="00245FA5">
        <w:rPr>
          <w:lang w:val="en-CA"/>
        </w:rPr>
        <w:t xml:space="preserve">Several people close to the plaintiff </w:t>
      </w:r>
      <w:r w:rsidR="009079F5">
        <w:rPr>
          <w:lang w:val="en-CA"/>
        </w:rPr>
        <w:t xml:space="preserve">risk being brought into the spotlight in connection with </w:t>
      </w:r>
      <w:r w:rsidR="00245FA5">
        <w:rPr>
          <w:lang w:val="en-CA"/>
        </w:rPr>
        <w:t xml:space="preserve">the court proceedings, </w:t>
      </w:r>
      <w:r w:rsidR="00A95CC3">
        <w:rPr>
          <w:lang w:val="en-CA"/>
        </w:rPr>
        <w:t>including</w:t>
      </w:r>
      <w:r w:rsidR="00572743">
        <w:rPr>
          <w:lang w:val="en-CA"/>
        </w:rPr>
        <w:t xml:space="preserve"> but not limited to</w:t>
      </w:r>
      <w:r w:rsidR="00245FA5">
        <w:rPr>
          <w:lang w:val="en-CA"/>
        </w:rPr>
        <w:t xml:space="preserve"> his family, friends</w:t>
      </w:r>
      <w:r w:rsidR="00857484">
        <w:rPr>
          <w:lang w:val="en-CA"/>
        </w:rPr>
        <w:t>,</w:t>
      </w:r>
      <w:r w:rsidR="00245FA5">
        <w:rPr>
          <w:lang w:val="en-CA"/>
        </w:rPr>
        <w:t xml:space="preserve"> and business </w:t>
      </w:r>
      <w:r w:rsidR="00915E5F">
        <w:rPr>
          <w:lang w:val="en-CA"/>
        </w:rPr>
        <w:t>associates</w:t>
      </w:r>
      <w:r w:rsidR="00245FA5">
        <w:rPr>
          <w:lang w:val="en-CA"/>
        </w:rPr>
        <w:t>.</w:t>
      </w:r>
      <w:r w:rsidRPr="007C11EE">
        <w:rPr>
          <w:lang w:val="en-CA"/>
        </w:rPr>
        <w:t xml:space="preserve"> </w:t>
      </w:r>
    </w:p>
    <w:p w14:paraId="3F3AC4FF" w14:textId="77777777" w:rsidR="009F612A" w:rsidRPr="00926147" w:rsidRDefault="00E01746" w:rsidP="00FB5BF9">
      <w:pPr>
        <w:pStyle w:val="Citationenretrait"/>
        <w:rPr>
          <w:lang w:val="en-CA"/>
        </w:rPr>
      </w:pPr>
      <w:r w:rsidRPr="00926147">
        <w:rPr>
          <w:lang w:val="en-CA"/>
        </w:rPr>
        <w:t xml:space="preserve">40. </w:t>
      </w:r>
      <w:r w:rsidR="007517DC">
        <w:rPr>
          <w:lang w:val="en-CA"/>
        </w:rPr>
        <w:t xml:space="preserve">Moreover, it is highly </w:t>
      </w:r>
      <w:r w:rsidR="0072003A">
        <w:rPr>
          <w:lang w:val="en-CA"/>
        </w:rPr>
        <w:t>likely</w:t>
      </w:r>
      <w:r w:rsidR="007517DC">
        <w:rPr>
          <w:lang w:val="en-CA"/>
        </w:rPr>
        <w:t xml:space="preserve"> that third parties and partner</w:t>
      </w:r>
      <w:r w:rsidR="00B868FE">
        <w:rPr>
          <w:lang w:val="en-CA"/>
        </w:rPr>
        <w:t xml:space="preserve"> businesses</w:t>
      </w:r>
      <w:r w:rsidR="007517DC">
        <w:rPr>
          <w:lang w:val="en-CA"/>
        </w:rPr>
        <w:t xml:space="preserve"> of the </w:t>
      </w:r>
      <w:r w:rsidR="00932BBD">
        <w:rPr>
          <w:lang w:val="en-CA"/>
        </w:rPr>
        <w:t>F</w:t>
      </w:r>
      <w:r w:rsidR="0072003A">
        <w:rPr>
          <w:lang w:val="en-CA"/>
        </w:rPr>
        <w:t>oundation</w:t>
      </w:r>
      <w:r w:rsidR="0072171B">
        <w:rPr>
          <w:lang w:val="en-CA"/>
        </w:rPr>
        <w:t xml:space="preserve"> will</w:t>
      </w:r>
      <w:r w:rsidR="0072003A">
        <w:rPr>
          <w:lang w:val="en-CA"/>
        </w:rPr>
        <w:t xml:space="preserve">, by virtue of </w:t>
      </w:r>
      <w:r w:rsidR="00DB3778">
        <w:rPr>
          <w:lang w:val="en-CA"/>
        </w:rPr>
        <w:t xml:space="preserve">a </w:t>
      </w:r>
      <w:r w:rsidR="0072003A">
        <w:rPr>
          <w:lang w:val="en-CA"/>
        </w:rPr>
        <w:t xml:space="preserve">natural association that would be made with </w:t>
      </w:r>
      <w:r w:rsidR="00DB3778">
        <w:rPr>
          <w:lang w:val="en-CA"/>
        </w:rPr>
        <w:t>A.B.,</w:t>
      </w:r>
      <w:r w:rsidR="0072003A">
        <w:rPr>
          <w:lang w:val="en-CA"/>
        </w:rPr>
        <w:t xml:space="preserve"> become </w:t>
      </w:r>
      <w:r w:rsidR="00857484">
        <w:rPr>
          <w:lang w:val="en-CA"/>
        </w:rPr>
        <w:t xml:space="preserve">reluctant </w:t>
      </w:r>
      <w:r w:rsidR="0072003A">
        <w:rPr>
          <w:lang w:val="en-CA"/>
        </w:rPr>
        <w:t xml:space="preserve">to continue working with the </w:t>
      </w:r>
      <w:r w:rsidR="00932BBD">
        <w:rPr>
          <w:lang w:val="en-CA"/>
        </w:rPr>
        <w:t>F</w:t>
      </w:r>
      <w:r w:rsidR="0072003A">
        <w:rPr>
          <w:lang w:val="en-CA"/>
        </w:rPr>
        <w:t xml:space="preserve">oundation if the defamatory remarks concerning </w:t>
      </w:r>
      <w:r w:rsidR="00DB3778">
        <w:rPr>
          <w:lang w:val="en-CA"/>
        </w:rPr>
        <w:t>A.B.</w:t>
      </w:r>
      <w:r w:rsidR="0072003A">
        <w:rPr>
          <w:lang w:val="en-CA"/>
        </w:rPr>
        <w:t xml:space="preserve"> are </w:t>
      </w:r>
      <w:r w:rsidR="00857484">
        <w:rPr>
          <w:lang w:val="en-CA"/>
        </w:rPr>
        <w:t xml:space="preserve">published </w:t>
      </w:r>
      <w:r w:rsidR="0072003A">
        <w:rPr>
          <w:lang w:val="en-CA"/>
        </w:rPr>
        <w:t xml:space="preserve">and </w:t>
      </w:r>
      <w:r w:rsidR="00857484">
        <w:rPr>
          <w:lang w:val="en-CA"/>
        </w:rPr>
        <w:t xml:space="preserve">disseminated </w:t>
      </w:r>
      <w:proofErr w:type="gramStart"/>
      <w:r w:rsidR="0072003A">
        <w:rPr>
          <w:lang w:val="en-CA"/>
        </w:rPr>
        <w:t>as a result of</w:t>
      </w:r>
      <w:proofErr w:type="gramEnd"/>
      <w:r w:rsidR="0072003A">
        <w:rPr>
          <w:lang w:val="en-CA"/>
        </w:rPr>
        <w:t xml:space="preserve"> this </w:t>
      </w:r>
      <w:r w:rsidR="00D24660">
        <w:rPr>
          <w:lang w:val="en-CA"/>
        </w:rPr>
        <w:t>dispute</w:t>
      </w:r>
      <w:r w:rsidR="0072003A">
        <w:rPr>
          <w:lang w:val="en-CA"/>
        </w:rPr>
        <w:t xml:space="preserve"> being brought into the justice system.</w:t>
      </w:r>
    </w:p>
    <w:p w14:paraId="4CA43976" w14:textId="77777777" w:rsidR="009F612A" w:rsidRPr="00926147" w:rsidRDefault="00E01746" w:rsidP="00FB5BF9">
      <w:pPr>
        <w:pStyle w:val="Citationenretrait"/>
        <w:rPr>
          <w:lang w:val="en-CA"/>
        </w:rPr>
      </w:pPr>
      <w:r w:rsidRPr="00AC22B1">
        <w:rPr>
          <w:lang w:val="en-CA"/>
        </w:rPr>
        <w:t xml:space="preserve">41. </w:t>
      </w:r>
      <w:r w:rsidR="006C7559" w:rsidRPr="00AC22B1">
        <w:rPr>
          <w:lang w:val="en-CA"/>
        </w:rPr>
        <w:t>Indeed the</w:t>
      </w:r>
      <w:r w:rsidR="00343EAF" w:rsidRPr="00AC22B1">
        <w:rPr>
          <w:lang w:val="en-CA"/>
        </w:rPr>
        <w:t xml:space="preserve"> </w:t>
      </w:r>
      <w:r w:rsidR="006C7559" w:rsidRPr="00AC22B1">
        <w:rPr>
          <w:lang w:val="en-CA"/>
        </w:rPr>
        <w:t xml:space="preserve">plaintiff </w:t>
      </w:r>
      <w:proofErr w:type="spellStart"/>
      <w:r w:rsidR="006C7559" w:rsidRPr="00AC22B1">
        <w:rPr>
          <w:lang w:val="en-CA"/>
        </w:rPr>
        <w:t>Fondation</w:t>
      </w:r>
      <w:proofErr w:type="spellEnd"/>
      <w:r w:rsidR="006C7559" w:rsidRPr="00AC22B1">
        <w:rPr>
          <w:lang w:val="en-CA"/>
        </w:rPr>
        <w:t xml:space="preserve"> A.B. is a </w:t>
      </w:r>
      <w:r w:rsidR="00BD46D9" w:rsidRPr="00AC22B1">
        <w:rPr>
          <w:lang w:val="en-CA"/>
        </w:rPr>
        <w:t>F</w:t>
      </w:r>
      <w:r w:rsidR="00343EAF" w:rsidRPr="00AC22B1">
        <w:rPr>
          <w:lang w:val="en-CA"/>
        </w:rPr>
        <w:t>oundation</w:t>
      </w:r>
      <w:r w:rsidR="006C7559" w:rsidRPr="00AC22B1">
        <w:rPr>
          <w:lang w:val="en-CA"/>
        </w:rPr>
        <w:t xml:space="preserve"> whose</w:t>
      </w:r>
      <w:r w:rsidR="00343EAF" w:rsidRPr="00AC22B1">
        <w:rPr>
          <w:lang w:val="en-CA"/>
        </w:rPr>
        <w:t xml:space="preserve"> very purpose is to combat </w:t>
      </w:r>
      <w:r w:rsidR="006C7559" w:rsidRPr="00AC22B1">
        <w:rPr>
          <w:lang w:val="en-CA"/>
        </w:rPr>
        <w:t>all</w:t>
      </w:r>
      <w:r w:rsidR="00BD46D9" w:rsidRPr="00AC22B1">
        <w:rPr>
          <w:lang w:val="en-CA"/>
        </w:rPr>
        <w:t xml:space="preserve"> forms of </w:t>
      </w:r>
      <w:r w:rsidR="00343EAF" w:rsidRPr="00AC22B1">
        <w:rPr>
          <w:lang w:val="en-CA"/>
        </w:rPr>
        <w:t>intimidation and violence.</w:t>
      </w:r>
    </w:p>
    <w:p w14:paraId="533D4101" w14:textId="77777777" w:rsidR="009F612A" w:rsidRPr="00926147" w:rsidRDefault="00E01746" w:rsidP="00FB5BF9">
      <w:pPr>
        <w:pStyle w:val="Citationenretrait"/>
        <w:rPr>
          <w:lang w:val="en-CA"/>
        </w:rPr>
      </w:pPr>
      <w:r w:rsidRPr="00926147">
        <w:rPr>
          <w:lang w:val="en-CA"/>
        </w:rPr>
        <w:t xml:space="preserve">42. </w:t>
      </w:r>
      <w:r w:rsidR="00B77FD9">
        <w:rPr>
          <w:lang w:val="en-CA"/>
        </w:rPr>
        <w:t xml:space="preserve">The </w:t>
      </w:r>
      <w:r w:rsidR="00437B8B">
        <w:rPr>
          <w:lang w:val="en-CA"/>
        </w:rPr>
        <w:t>F</w:t>
      </w:r>
      <w:r w:rsidR="00B77FD9">
        <w:rPr>
          <w:lang w:val="en-CA"/>
        </w:rPr>
        <w:t>oundation</w:t>
      </w:r>
      <w:r w:rsidR="00437B8B">
        <w:rPr>
          <w:lang w:val="en-CA"/>
        </w:rPr>
        <w:t xml:space="preserve"> can exist and survive only if it benefits from the contributions </w:t>
      </w:r>
      <w:r w:rsidR="006961D5">
        <w:rPr>
          <w:lang w:val="en-CA"/>
        </w:rPr>
        <w:t xml:space="preserve">and input </w:t>
      </w:r>
      <w:r w:rsidR="00437B8B">
        <w:rPr>
          <w:lang w:val="en-CA"/>
        </w:rPr>
        <w:t xml:space="preserve">of </w:t>
      </w:r>
      <w:r w:rsidR="00443357">
        <w:rPr>
          <w:lang w:val="en-CA"/>
        </w:rPr>
        <w:t xml:space="preserve">third parties and of </w:t>
      </w:r>
      <w:r w:rsidR="006961D5">
        <w:rPr>
          <w:lang w:val="en-CA"/>
        </w:rPr>
        <w:t>its</w:t>
      </w:r>
      <w:r w:rsidR="00437B8B">
        <w:rPr>
          <w:lang w:val="en-CA"/>
        </w:rPr>
        <w:t xml:space="preserve"> </w:t>
      </w:r>
      <w:r w:rsidR="005A3C31">
        <w:rPr>
          <w:lang w:val="en-CA"/>
        </w:rPr>
        <w:t>partner businesses</w:t>
      </w:r>
      <w:r w:rsidR="00437B8B">
        <w:rPr>
          <w:lang w:val="en-CA"/>
        </w:rPr>
        <w:t>.</w:t>
      </w:r>
    </w:p>
    <w:p w14:paraId="6FF394BC" w14:textId="77777777" w:rsidR="009F612A" w:rsidRPr="007C11EE" w:rsidRDefault="00E01746" w:rsidP="00FB5BF9">
      <w:pPr>
        <w:pStyle w:val="Citationenretrait"/>
        <w:rPr>
          <w:lang w:val="en-CA"/>
        </w:rPr>
      </w:pPr>
      <w:r w:rsidRPr="00926147">
        <w:rPr>
          <w:lang w:val="en-CA"/>
        </w:rPr>
        <w:t xml:space="preserve">43. </w:t>
      </w:r>
      <w:r w:rsidR="00437B8B">
        <w:rPr>
          <w:lang w:val="en-CA"/>
        </w:rPr>
        <w:t xml:space="preserve">The </w:t>
      </w:r>
      <w:r w:rsidR="00E954FB">
        <w:rPr>
          <w:lang w:val="en-CA"/>
        </w:rPr>
        <w:t xml:space="preserve">publication </w:t>
      </w:r>
      <w:r w:rsidR="00437B8B">
        <w:rPr>
          <w:lang w:val="en-CA"/>
        </w:rPr>
        <w:t xml:space="preserve">and </w:t>
      </w:r>
      <w:r w:rsidR="0086104E">
        <w:rPr>
          <w:lang w:val="en-CA"/>
        </w:rPr>
        <w:t>dissemination</w:t>
      </w:r>
      <w:r w:rsidR="00437B8B">
        <w:rPr>
          <w:lang w:val="en-CA"/>
        </w:rPr>
        <w:t xml:space="preserve"> of the </w:t>
      </w:r>
      <w:r w:rsidR="006961D5">
        <w:rPr>
          <w:lang w:val="en-CA"/>
        </w:rPr>
        <w:t xml:space="preserve">proceedings would </w:t>
      </w:r>
      <w:r w:rsidR="005F7F23">
        <w:rPr>
          <w:lang w:val="en-CA"/>
        </w:rPr>
        <w:t>create a</w:t>
      </w:r>
      <w:r w:rsidR="00437B8B">
        <w:rPr>
          <w:lang w:val="en-CA"/>
        </w:rPr>
        <w:t xml:space="preserve"> serious risk that the Foundation would have to cease its operations. </w:t>
      </w:r>
      <w:r w:rsidRPr="00926147">
        <w:rPr>
          <w:lang w:val="en-CA"/>
        </w:rPr>
        <w:t xml:space="preserve"> </w:t>
      </w:r>
    </w:p>
    <w:p w14:paraId="6E9DD42C" w14:textId="77777777" w:rsidR="009F612A" w:rsidRPr="007C11EE" w:rsidRDefault="00E01746" w:rsidP="00FB5BF9">
      <w:pPr>
        <w:pStyle w:val="Citationenretrait"/>
        <w:rPr>
          <w:lang w:val="en-CA"/>
        </w:rPr>
      </w:pPr>
      <w:r w:rsidRPr="00926147">
        <w:rPr>
          <w:lang w:val="en-CA"/>
        </w:rPr>
        <w:lastRenderedPageBreak/>
        <w:t xml:space="preserve">44. </w:t>
      </w:r>
      <w:r w:rsidR="00437B8B">
        <w:rPr>
          <w:lang w:val="en-CA"/>
        </w:rPr>
        <w:t xml:space="preserve">The plaintiff A.B., as </w:t>
      </w:r>
      <w:r w:rsidR="00675346">
        <w:rPr>
          <w:lang w:val="en-CA"/>
        </w:rPr>
        <w:t xml:space="preserve">director </w:t>
      </w:r>
      <w:r w:rsidR="00437B8B">
        <w:rPr>
          <w:lang w:val="en-CA"/>
        </w:rPr>
        <w:t xml:space="preserve">and president of the Foundation, would be psychologically destroyed by such </w:t>
      </w:r>
      <w:r w:rsidR="00F51F71">
        <w:rPr>
          <w:lang w:val="en-CA"/>
        </w:rPr>
        <w:t>an outcome</w:t>
      </w:r>
      <w:r w:rsidR="00437B8B">
        <w:rPr>
          <w:lang w:val="en-CA"/>
        </w:rPr>
        <w:t xml:space="preserve">, </w:t>
      </w:r>
      <w:r w:rsidR="00F51F71">
        <w:rPr>
          <w:lang w:val="en-CA"/>
        </w:rPr>
        <w:t>having</w:t>
      </w:r>
      <w:r w:rsidR="00437B8B">
        <w:rPr>
          <w:lang w:val="en-CA"/>
        </w:rPr>
        <w:t xml:space="preserve"> </w:t>
      </w:r>
      <w:r w:rsidR="004013A1">
        <w:rPr>
          <w:lang w:val="en-CA"/>
        </w:rPr>
        <w:t>devoted</w:t>
      </w:r>
      <w:r w:rsidR="00437B8B">
        <w:rPr>
          <w:lang w:val="en-CA"/>
        </w:rPr>
        <w:t xml:space="preserve"> so much time and energy </w:t>
      </w:r>
      <w:r w:rsidR="00F51F71">
        <w:rPr>
          <w:lang w:val="en-CA"/>
        </w:rPr>
        <w:t>over</w:t>
      </w:r>
      <w:r w:rsidR="00437B8B">
        <w:rPr>
          <w:lang w:val="en-CA"/>
        </w:rPr>
        <w:t xml:space="preserve"> the last ten (10) years </w:t>
      </w:r>
      <w:r w:rsidR="004013A1">
        <w:rPr>
          <w:lang w:val="en-CA"/>
        </w:rPr>
        <w:t>to</w:t>
      </w:r>
      <w:r w:rsidR="00437B8B">
        <w:rPr>
          <w:lang w:val="en-CA"/>
        </w:rPr>
        <w:t xml:space="preserve"> creat</w:t>
      </w:r>
      <w:r w:rsidR="00F51F71">
        <w:rPr>
          <w:lang w:val="en-CA"/>
        </w:rPr>
        <w:t>ing</w:t>
      </w:r>
      <w:r w:rsidR="00437B8B">
        <w:rPr>
          <w:lang w:val="en-CA"/>
        </w:rPr>
        <w:t xml:space="preserve"> th</w:t>
      </w:r>
      <w:r w:rsidR="00F51F71">
        <w:rPr>
          <w:lang w:val="en-CA"/>
        </w:rPr>
        <w:t>e</w:t>
      </w:r>
      <w:r w:rsidR="00437B8B">
        <w:rPr>
          <w:lang w:val="en-CA"/>
        </w:rPr>
        <w:t xml:space="preserve"> Foundation with the specific aim of combatting </w:t>
      </w:r>
      <w:r w:rsidR="004D487A">
        <w:rPr>
          <w:lang w:val="en-CA"/>
        </w:rPr>
        <w:t xml:space="preserve">all </w:t>
      </w:r>
      <w:r w:rsidR="00437B8B">
        <w:rPr>
          <w:lang w:val="en-CA"/>
        </w:rPr>
        <w:t xml:space="preserve">forms of </w:t>
      </w:r>
      <w:r w:rsidR="00437B8B" w:rsidRPr="0063397D">
        <w:rPr>
          <w:lang w:val="en-CA"/>
        </w:rPr>
        <w:t>intimidation</w:t>
      </w:r>
      <w:r w:rsidR="00437B8B">
        <w:rPr>
          <w:lang w:val="en-CA"/>
        </w:rPr>
        <w:t xml:space="preserve"> and violence.</w:t>
      </w:r>
    </w:p>
    <w:p w14:paraId="37E1A122" w14:textId="77777777" w:rsidR="009F612A" w:rsidRPr="00926147" w:rsidRDefault="00E01746" w:rsidP="00FB5BF9">
      <w:pPr>
        <w:pStyle w:val="Citationenretrait"/>
        <w:rPr>
          <w:lang w:val="en-CA"/>
        </w:rPr>
      </w:pPr>
      <w:r w:rsidRPr="00926147">
        <w:rPr>
          <w:lang w:val="en-CA"/>
        </w:rPr>
        <w:t xml:space="preserve">45. </w:t>
      </w:r>
      <w:r w:rsidR="00C871DC">
        <w:rPr>
          <w:lang w:val="en-CA"/>
        </w:rPr>
        <w:t>This poses a serious risk to his psychological integrity.</w:t>
      </w:r>
    </w:p>
    <w:p w14:paraId="65EF66A6" w14:textId="77777777" w:rsidR="009F612A" w:rsidRPr="00926147" w:rsidRDefault="006D241C" w:rsidP="009F612A">
      <w:pPr>
        <w:pStyle w:val="Paragraphe"/>
        <w:spacing w:line="240" w:lineRule="auto"/>
        <w:rPr>
          <w:lang w:val="en-CA"/>
        </w:rPr>
      </w:pPr>
      <w:r>
        <w:rPr>
          <w:lang w:val="en-CA"/>
        </w:rPr>
        <w:t>In his sworn statement</w:t>
      </w:r>
      <w:r w:rsidR="00E01746" w:rsidRPr="00926147">
        <w:rPr>
          <w:lang w:val="en-CA"/>
        </w:rPr>
        <w:t>, A.B. a</w:t>
      </w:r>
      <w:r>
        <w:rPr>
          <w:lang w:val="en-CA"/>
        </w:rPr>
        <w:t>dds</w:t>
      </w:r>
      <w:r w:rsidR="00E01746" w:rsidRPr="00926147">
        <w:rPr>
          <w:lang w:val="en-CA"/>
        </w:rPr>
        <w:t>:</w:t>
      </w:r>
    </w:p>
    <w:p w14:paraId="2C41CB38" w14:textId="77777777" w:rsidR="006D241C" w:rsidRDefault="006D241C" w:rsidP="00FB5BF9">
      <w:pPr>
        <w:pStyle w:val="Citationenretrait"/>
        <w:rPr>
          <w:lang w:val="en-CA"/>
        </w:rPr>
      </w:pPr>
      <w:r>
        <w:rPr>
          <w:lang w:val="en-CA"/>
        </w:rPr>
        <w:t>[</w:t>
      </w:r>
      <w:r w:rsidRPr="002620AF">
        <w:rPr>
          <w:sz w:val="20"/>
          <w:lang w:val="en-CA"/>
        </w:rPr>
        <w:t>TRANSLATION</w:t>
      </w:r>
      <w:r>
        <w:rPr>
          <w:lang w:val="en-CA"/>
        </w:rPr>
        <w:t>]</w:t>
      </w:r>
    </w:p>
    <w:p w14:paraId="731DDFCF" w14:textId="77777777" w:rsidR="009F612A" w:rsidRPr="00926147" w:rsidRDefault="00E01746" w:rsidP="00FB5BF9">
      <w:pPr>
        <w:pStyle w:val="Citationenretrait"/>
        <w:rPr>
          <w:lang w:val="en-CA"/>
        </w:rPr>
      </w:pPr>
      <w:r w:rsidRPr="00926147">
        <w:rPr>
          <w:lang w:val="en-CA"/>
        </w:rPr>
        <w:t xml:space="preserve">4. </w:t>
      </w:r>
      <w:r w:rsidR="006D241C">
        <w:rPr>
          <w:lang w:val="en-CA"/>
        </w:rPr>
        <w:t>I do not know the defendant; I have never met him or even spoken with him.</w:t>
      </w:r>
    </w:p>
    <w:p w14:paraId="5C1FF871" w14:textId="77777777" w:rsidR="009F612A" w:rsidRPr="00926147" w:rsidRDefault="007C66F5" w:rsidP="009F612A">
      <w:pPr>
        <w:pStyle w:val="Paragraphe"/>
        <w:spacing w:line="240" w:lineRule="auto"/>
        <w:rPr>
          <w:lang w:val="en-CA"/>
        </w:rPr>
      </w:pPr>
      <w:r>
        <w:rPr>
          <w:lang w:val="en-CA"/>
        </w:rPr>
        <w:t>I</w:t>
      </w:r>
      <w:r w:rsidR="00E87725">
        <w:rPr>
          <w:lang w:val="en-CA"/>
        </w:rPr>
        <w:t>t is my finding</w:t>
      </w:r>
      <w:r>
        <w:rPr>
          <w:lang w:val="en-CA"/>
        </w:rPr>
        <w:t xml:space="preserve"> that all the potential consequences </w:t>
      </w:r>
      <w:r w:rsidR="00E87725">
        <w:rPr>
          <w:lang w:val="en-CA"/>
        </w:rPr>
        <w:t>to which</w:t>
      </w:r>
      <w:r>
        <w:rPr>
          <w:lang w:val="en-CA"/>
        </w:rPr>
        <w:t xml:space="preserve"> A.B. refers and </w:t>
      </w:r>
      <w:r w:rsidR="00E87725">
        <w:rPr>
          <w:lang w:val="en-CA"/>
        </w:rPr>
        <w:t>which</w:t>
      </w:r>
      <w:r>
        <w:rPr>
          <w:lang w:val="en-CA"/>
        </w:rPr>
        <w:t xml:space="preserve"> he claims would result from </w:t>
      </w:r>
      <w:r w:rsidR="00E87725">
        <w:rPr>
          <w:lang w:val="en-CA"/>
        </w:rPr>
        <w:t>an open</w:t>
      </w:r>
      <w:r>
        <w:rPr>
          <w:lang w:val="en-CA"/>
        </w:rPr>
        <w:t xml:space="preserve"> trial are speculative</w:t>
      </w:r>
      <w:r w:rsidR="00E01746" w:rsidRPr="00926147">
        <w:rPr>
          <w:lang w:val="en-CA"/>
        </w:rPr>
        <w:t>.</w:t>
      </w:r>
    </w:p>
    <w:p w14:paraId="518AE4C9" w14:textId="77777777" w:rsidR="003F73E3" w:rsidRPr="00926147" w:rsidRDefault="00E01746" w:rsidP="003F73E3">
      <w:pPr>
        <w:pStyle w:val="Paragraphe"/>
        <w:spacing w:line="240" w:lineRule="auto"/>
        <w:rPr>
          <w:lang w:val="en-CA"/>
        </w:rPr>
      </w:pPr>
      <w:r w:rsidRPr="00926147">
        <w:rPr>
          <w:rFonts w:cs="Arial"/>
          <w:lang w:val="en-CA"/>
        </w:rPr>
        <w:t xml:space="preserve">A.B. </w:t>
      </w:r>
      <w:r w:rsidR="00A40D37">
        <w:rPr>
          <w:rFonts w:cs="Arial"/>
          <w:lang w:val="en-CA"/>
        </w:rPr>
        <w:t>claims that he has never met or even spoken to defendant</w:t>
      </w:r>
      <w:r w:rsidR="00312661">
        <w:rPr>
          <w:rFonts w:cs="Arial"/>
          <w:lang w:val="en-CA"/>
        </w:rPr>
        <w:t xml:space="preserve"> Robillard</w:t>
      </w:r>
      <w:r w:rsidR="00A40D37">
        <w:rPr>
          <w:rFonts w:cs="Arial"/>
          <w:lang w:val="en-CA"/>
        </w:rPr>
        <w:t>.</w:t>
      </w:r>
      <w:r w:rsidRPr="00926147">
        <w:rPr>
          <w:rFonts w:cs="Arial"/>
          <w:lang w:val="en-CA"/>
        </w:rPr>
        <w:t xml:space="preserve"> </w:t>
      </w:r>
      <w:r w:rsidR="00A40D37">
        <w:rPr>
          <w:rFonts w:cs="Arial"/>
          <w:lang w:val="en-CA"/>
        </w:rPr>
        <w:t>His</w:t>
      </w:r>
      <w:r w:rsidR="00312661">
        <w:rPr>
          <w:rFonts w:cs="Arial"/>
          <w:lang w:val="en-CA"/>
        </w:rPr>
        <w:t> </w:t>
      </w:r>
      <w:r w:rsidR="00A40D37">
        <w:rPr>
          <w:rFonts w:cs="Arial"/>
          <w:lang w:val="en-CA"/>
        </w:rPr>
        <w:t xml:space="preserve">action in defamation seeks to establish this fact, and accordingly, the falseness of the </w:t>
      </w:r>
      <w:r w:rsidR="00A40D37">
        <w:rPr>
          <w:lang w:val="en-CA"/>
        </w:rPr>
        <w:t>public comments made about him.</w:t>
      </w:r>
      <w:r w:rsidRPr="00926147">
        <w:rPr>
          <w:lang w:val="en-CA"/>
        </w:rPr>
        <w:t xml:space="preserve"> </w:t>
      </w:r>
      <w:r w:rsidR="00312661">
        <w:rPr>
          <w:lang w:val="en-CA"/>
        </w:rPr>
        <w:t>It</w:t>
      </w:r>
      <w:r w:rsidR="00A42871">
        <w:rPr>
          <w:lang w:val="en-CA"/>
        </w:rPr>
        <w:t xml:space="preserve"> aims</w:t>
      </w:r>
      <w:r w:rsidR="000A4960">
        <w:rPr>
          <w:lang w:val="en-CA"/>
        </w:rPr>
        <w:t xml:space="preserve"> to show that he does not know </w:t>
      </w:r>
      <w:r w:rsidR="00312661">
        <w:rPr>
          <w:lang w:val="en-CA"/>
        </w:rPr>
        <w:t>Robillard</w:t>
      </w:r>
      <w:r w:rsidR="000A4960">
        <w:rPr>
          <w:lang w:val="en-CA"/>
        </w:rPr>
        <w:t xml:space="preserve"> and did not engage in the sexual </w:t>
      </w:r>
      <w:r w:rsidR="00B30FB9">
        <w:rPr>
          <w:lang w:val="en-CA"/>
        </w:rPr>
        <w:t>mis</w:t>
      </w:r>
      <w:r w:rsidR="000A4960">
        <w:rPr>
          <w:lang w:val="en-CA"/>
        </w:rPr>
        <w:t xml:space="preserve">conduct </w:t>
      </w:r>
      <w:r w:rsidR="00312661">
        <w:rPr>
          <w:lang w:val="en-CA"/>
        </w:rPr>
        <w:t>Robillard</w:t>
      </w:r>
      <w:r w:rsidR="000A4960">
        <w:rPr>
          <w:lang w:val="en-CA"/>
        </w:rPr>
        <w:t xml:space="preserve"> alleges</w:t>
      </w:r>
      <w:r w:rsidR="00312661">
        <w:rPr>
          <w:lang w:val="en-CA"/>
        </w:rPr>
        <w:t>.</w:t>
      </w:r>
      <w:r w:rsidRPr="00926147">
        <w:rPr>
          <w:lang w:val="en-CA"/>
        </w:rPr>
        <w:t xml:space="preserve"> </w:t>
      </w:r>
      <w:r w:rsidR="000A4960">
        <w:rPr>
          <w:lang w:val="en-CA"/>
        </w:rPr>
        <w:t>This will not require</w:t>
      </w:r>
      <w:r w:rsidRPr="00926147">
        <w:rPr>
          <w:lang w:val="en-CA"/>
        </w:rPr>
        <w:t xml:space="preserve"> A.B. </w:t>
      </w:r>
      <w:r w:rsidR="000A4960">
        <w:rPr>
          <w:lang w:val="en-CA"/>
        </w:rPr>
        <w:t xml:space="preserve">to disclose private details that </w:t>
      </w:r>
      <w:r w:rsidR="000A4960" w:rsidRPr="00D865A6">
        <w:rPr>
          <w:lang w:val="en-CA"/>
        </w:rPr>
        <w:t>constitute</w:t>
      </w:r>
      <w:r w:rsidR="000A4960">
        <w:rPr>
          <w:lang w:val="en-CA"/>
        </w:rPr>
        <w:t xml:space="preserve"> biographical </w:t>
      </w:r>
      <w:r w:rsidR="0027678D">
        <w:rPr>
          <w:lang w:val="en-CA"/>
        </w:rPr>
        <w:t>information</w:t>
      </w:r>
      <w:r w:rsidR="000A4960">
        <w:rPr>
          <w:lang w:val="en-CA"/>
        </w:rPr>
        <w:t xml:space="preserve"> </w:t>
      </w:r>
      <w:r w:rsidR="00485F54">
        <w:rPr>
          <w:lang w:val="en-CA"/>
        </w:rPr>
        <w:t xml:space="preserve">that </w:t>
      </w:r>
      <w:r w:rsidR="000A4960" w:rsidRPr="00A42871">
        <w:rPr>
          <w:i/>
          <w:iCs/>
          <w:lang w:val="en-CA"/>
        </w:rPr>
        <w:t>Sherman</w:t>
      </w:r>
      <w:r w:rsidR="000A4960">
        <w:rPr>
          <w:lang w:val="en-CA"/>
        </w:rPr>
        <w:t xml:space="preserve"> would protect as part of an important public interest.</w:t>
      </w:r>
    </w:p>
    <w:p w14:paraId="5877D5C6" w14:textId="77777777" w:rsidR="00F64C3F" w:rsidRPr="00926147" w:rsidRDefault="00135716" w:rsidP="003F73E3">
      <w:pPr>
        <w:pStyle w:val="Paragraphe"/>
        <w:spacing w:line="240" w:lineRule="auto"/>
        <w:rPr>
          <w:lang w:val="en-CA"/>
        </w:rPr>
      </w:pPr>
      <w:r>
        <w:rPr>
          <w:rFonts w:cs="Arial"/>
          <w:lang w:val="en-CA"/>
        </w:rPr>
        <w:t>The allegations in his application and sworn statement are general in nature and fail to show any serious r</w:t>
      </w:r>
      <w:r w:rsidR="007571C7">
        <w:rPr>
          <w:rFonts w:cs="Arial"/>
          <w:lang w:val="en-CA"/>
        </w:rPr>
        <w:t>i</w:t>
      </w:r>
      <w:r>
        <w:rPr>
          <w:rFonts w:cs="Arial"/>
          <w:lang w:val="en-CA"/>
        </w:rPr>
        <w:t xml:space="preserve">sk to his dignity or to the </w:t>
      </w:r>
      <w:r w:rsidR="005B40B2">
        <w:rPr>
          <w:rFonts w:cs="Arial"/>
          <w:lang w:val="en-CA"/>
        </w:rPr>
        <w:t xml:space="preserve">proper </w:t>
      </w:r>
      <w:r>
        <w:rPr>
          <w:rFonts w:cs="Arial"/>
          <w:lang w:val="en-CA"/>
        </w:rPr>
        <w:t>administration of justice.</w:t>
      </w:r>
      <w:r w:rsidR="009F612A" w:rsidRPr="00926147">
        <w:rPr>
          <w:lang w:val="en-CA"/>
        </w:rPr>
        <w:t xml:space="preserve"> </w:t>
      </w:r>
      <w:r>
        <w:rPr>
          <w:lang w:val="en-CA"/>
        </w:rPr>
        <w:t xml:space="preserve">They generically assert that being associated with the status of a sexual </w:t>
      </w:r>
      <w:r w:rsidR="00A06721">
        <w:rPr>
          <w:lang w:val="en-CA"/>
        </w:rPr>
        <w:t xml:space="preserve">predator </w:t>
      </w:r>
      <w:r>
        <w:rPr>
          <w:lang w:val="en-CA"/>
        </w:rPr>
        <w:t xml:space="preserve">poses a serious risk to his dignity, without showing that he would be required to reveal private details that </w:t>
      </w:r>
      <w:r w:rsidR="00DB47E8">
        <w:rPr>
          <w:lang w:val="en-CA"/>
        </w:rPr>
        <w:t>strike</w:t>
      </w:r>
      <w:r>
        <w:rPr>
          <w:lang w:val="en-CA"/>
        </w:rPr>
        <w:t xml:space="preserve"> at the heart of a person’s fundamental identity and must be protected</w:t>
      </w:r>
      <w:r w:rsidR="007571C7">
        <w:rPr>
          <w:lang w:val="en-CA"/>
        </w:rPr>
        <w:t xml:space="preserve"> on that basis</w:t>
      </w:r>
      <w:r w:rsidR="00545CD2" w:rsidRPr="00926147">
        <w:rPr>
          <w:lang w:val="en-CA"/>
        </w:rPr>
        <w:t xml:space="preserve">. </w:t>
      </w:r>
    </w:p>
    <w:p w14:paraId="0850F635" w14:textId="77777777" w:rsidR="009F612A" w:rsidRPr="00926147" w:rsidRDefault="00944D4E" w:rsidP="009F612A">
      <w:pPr>
        <w:pStyle w:val="Paragraphe"/>
        <w:spacing w:line="240" w:lineRule="auto"/>
        <w:rPr>
          <w:lang w:val="en-CA"/>
        </w:rPr>
      </w:pPr>
      <w:r>
        <w:rPr>
          <w:lang w:val="en-CA"/>
        </w:rPr>
        <w:t xml:space="preserve">In this regard, </w:t>
      </w:r>
      <w:r w:rsidR="00A27773">
        <w:rPr>
          <w:lang w:val="en-CA"/>
        </w:rPr>
        <w:t>although</w:t>
      </w:r>
      <w:r>
        <w:rPr>
          <w:lang w:val="en-CA"/>
        </w:rPr>
        <w:t xml:space="preserve"> the appellant </w:t>
      </w:r>
      <w:r w:rsidR="004D3088">
        <w:rPr>
          <w:lang w:val="en-CA"/>
        </w:rPr>
        <w:t>is a plaintiff in a</w:t>
      </w:r>
      <w:r>
        <w:rPr>
          <w:lang w:val="en-CA"/>
        </w:rPr>
        <w:t xml:space="preserve"> defamation</w:t>
      </w:r>
      <w:r w:rsidR="004D3088">
        <w:rPr>
          <w:lang w:val="en-CA"/>
        </w:rPr>
        <w:t xml:space="preserve"> </w:t>
      </w:r>
      <w:r w:rsidR="00734B38">
        <w:rPr>
          <w:lang w:val="en-CA"/>
        </w:rPr>
        <w:t>action</w:t>
      </w:r>
      <w:r>
        <w:rPr>
          <w:lang w:val="en-CA"/>
        </w:rPr>
        <w:t xml:space="preserve">, his situation is </w:t>
      </w:r>
      <w:proofErr w:type="gramStart"/>
      <w:r>
        <w:rPr>
          <w:lang w:val="en-CA"/>
        </w:rPr>
        <w:t>similar to</w:t>
      </w:r>
      <w:proofErr w:type="gramEnd"/>
      <w:r>
        <w:rPr>
          <w:lang w:val="en-CA"/>
        </w:rPr>
        <w:t xml:space="preserve"> the defendant’s in </w:t>
      </w:r>
      <w:r w:rsidR="00E01746" w:rsidRPr="00926147">
        <w:rPr>
          <w:i/>
          <w:lang w:val="en-CA"/>
        </w:rPr>
        <w:t>Dis son nom c. Marquis</w:t>
      </w:r>
      <w:r>
        <w:rPr>
          <w:iCs/>
          <w:lang w:val="en-CA"/>
        </w:rPr>
        <w:t>.</w:t>
      </w:r>
      <w:r w:rsidR="00E01746" w:rsidRPr="00926147">
        <w:rPr>
          <w:rStyle w:val="Appelnotedebasdep"/>
          <w:lang w:val="en-CA"/>
        </w:rPr>
        <w:footnoteReference w:id="27"/>
      </w:r>
      <w:r w:rsidR="00BC29E5" w:rsidRPr="00926147">
        <w:rPr>
          <w:lang w:val="en-CA"/>
        </w:rPr>
        <w:t xml:space="preserve"> </w:t>
      </w:r>
      <w:r w:rsidR="00733304">
        <w:rPr>
          <w:lang w:val="en-CA"/>
        </w:rPr>
        <w:t>There, the defendant</w:t>
      </w:r>
      <w:r w:rsidR="00B170FB">
        <w:rPr>
          <w:lang w:val="en-CA"/>
        </w:rPr>
        <w:t xml:space="preserve"> in</w:t>
      </w:r>
      <w:r w:rsidR="00733304">
        <w:rPr>
          <w:lang w:val="en-CA"/>
        </w:rPr>
        <w:t xml:space="preserve"> </w:t>
      </w:r>
      <w:r w:rsidR="00CA3944">
        <w:rPr>
          <w:lang w:val="en-CA"/>
        </w:rPr>
        <w:t xml:space="preserve">a </w:t>
      </w:r>
      <w:r>
        <w:rPr>
          <w:lang w:val="en-CA"/>
        </w:rPr>
        <w:t xml:space="preserve">defamation </w:t>
      </w:r>
      <w:r w:rsidR="00167748">
        <w:rPr>
          <w:lang w:val="en-CA"/>
        </w:rPr>
        <w:t>action</w:t>
      </w:r>
      <w:r>
        <w:rPr>
          <w:lang w:val="en-CA"/>
        </w:rPr>
        <w:t xml:space="preserve"> </w:t>
      </w:r>
      <w:r w:rsidR="00733304">
        <w:rPr>
          <w:lang w:val="en-CA"/>
        </w:rPr>
        <w:t>applied for</w:t>
      </w:r>
      <w:r>
        <w:rPr>
          <w:lang w:val="en-CA"/>
        </w:rPr>
        <w:t xml:space="preserve"> anonymity. </w:t>
      </w:r>
      <w:r w:rsidRPr="00AC22B1">
        <w:rPr>
          <w:lang w:val="en-CA"/>
        </w:rPr>
        <w:t>She</w:t>
      </w:r>
      <w:r>
        <w:rPr>
          <w:lang w:val="en-CA"/>
        </w:rPr>
        <w:t xml:space="preserve"> alleged in general terms that she was the victim of an assailant who was not a party to the litigation</w:t>
      </w:r>
      <w:r w:rsidR="00E01746" w:rsidRPr="00926147">
        <w:rPr>
          <w:lang w:val="en-CA"/>
        </w:rPr>
        <w:t xml:space="preserve">. </w:t>
      </w:r>
      <w:r w:rsidR="00A27773">
        <w:rPr>
          <w:lang w:val="en-CA"/>
        </w:rPr>
        <w:t>As a result</w:t>
      </w:r>
      <w:r>
        <w:rPr>
          <w:lang w:val="en-CA"/>
        </w:rPr>
        <w:t xml:space="preserve">, the details of the assault were not relevant to the outcome of the proceedings and she would not be </w:t>
      </w:r>
      <w:r w:rsidR="00A06721">
        <w:rPr>
          <w:lang w:val="en-CA"/>
        </w:rPr>
        <w:t xml:space="preserve">required </w:t>
      </w:r>
      <w:r>
        <w:rPr>
          <w:lang w:val="en-CA"/>
        </w:rPr>
        <w:t>to testify about this incident</w:t>
      </w:r>
      <w:r w:rsidR="00A06721">
        <w:rPr>
          <w:lang w:val="en-CA"/>
        </w:rPr>
        <w:t xml:space="preserve"> affecting </w:t>
      </w:r>
      <w:r>
        <w:rPr>
          <w:lang w:val="en-CA"/>
        </w:rPr>
        <w:t>her dignity.</w:t>
      </w:r>
      <w:r w:rsidR="00E01746" w:rsidRPr="00926147">
        <w:rPr>
          <w:rStyle w:val="Appelnotedebasdep"/>
          <w:lang w:val="en-CA"/>
        </w:rPr>
        <w:footnoteReference w:id="28"/>
      </w:r>
      <w:r w:rsidR="00E01746" w:rsidRPr="00926147">
        <w:rPr>
          <w:lang w:val="en-CA"/>
        </w:rPr>
        <w:t xml:space="preserve"> </w:t>
      </w:r>
      <w:r w:rsidR="00C62FD3">
        <w:rPr>
          <w:lang w:val="en-CA"/>
        </w:rPr>
        <w:t>It should also be noted that t</w:t>
      </w:r>
      <w:r w:rsidR="001216CF">
        <w:rPr>
          <w:lang w:val="en-CA"/>
        </w:rPr>
        <w:t xml:space="preserve">hose two cases </w:t>
      </w:r>
      <w:r w:rsidR="00A06721">
        <w:rPr>
          <w:lang w:val="en-CA"/>
        </w:rPr>
        <w:t xml:space="preserve">can be distinguished </w:t>
      </w:r>
      <w:r w:rsidR="001216CF">
        <w:rPr>
          <w:lang w:val="en-CA"/>
        </w:rPr>
        <w:t xml:space="preserve">from </w:t>
      </w:r>
      <w:r w:rsidR="00B423B8" w:rsidRPr="00926147">
        <w:rPr>
          <w:i/>
          <w:lang w:val="en-CA"/>
        </w:rPr>
        <w:t>J.C. c. Douville</w:t>
      </w:r>
      <w:r w:rsidR="00D916BE">
        <w:rPr>
          <w:iCs/>
          <w:lang w:val="en-CA"/>
        </w:rPr>
        <w:t>,</w:t>
      </w:r>
      <w:r w:rsidR="00E01746" w:rsidRPr="00926147">
        <w:rPr>
          <w:rStyle w:val="Appelnotedebasdep"/>
          <w:lang w:val="en-CA"/>
        </w:rPr>
        <w:footnoteReference w:id="29"/>
      </w:r>
      <w:r w:rsidR="00BC29E5" w:rsidRPr="00926147">
        <w:rPr>
          <w:lang w:val="en-CA"/>
        </w:rPr>
        <w:t xml:space="preserve"> </w:t>
      </w:r>
      <w:r w:rsidR="001216CF">
        <w:rPr>
          <w:lang w:val="en-CA"/>
        </w:rPr>
        <w:t xml:space="preserve">where </w:t>
      </w:r>
      <w:r w:rsidR="00B423B8" w:rsidRPr="00926147">
        <w:rPr>
          <w:lang w:val="en-CA"/>
        </w:rPr>
        <w:t>J.C.</w:t>
      </w:r>
      <w:r w:rsidR="003354B6">
        <w:rPr>
          <w:lang w:val="en-CA"/>
        </w:rPr>
        <w:t xml:space="preserve"> </w:t>
      </w:r>
      <w:r w:rsidR="00A433DD">
        <w:rPr>
          <w:lang w:val="en-CA"/>
        </w:rPr>
        <w:t xml:space="preserve">would </w:t>
      </w:r>
      <w:r w:rsidR="001216CF">
        <w:rPr>
          <w:lang w:val="en-CA"/>
        </w:rPr>
        <w:t xml:space="preserve">necessarily have to reveal intimate details of </w:t>
      </w:r>
      <w:r w:rsidR="001216CF" w:rsidRPr="00AC22B1">
        <w:rPr>
          <w:lang w:val="en-CA"/>
        </w:rPr>
        <w:t>their</w:t>
      </w:r>
      <w:r w:rsidR="001216CF">
        <w:rPr>
          <w:lang w:val="en-CA"/>
        </w:rPr>
        <w:t xml:space="preserve"> sex life to prove the veracity of their </w:t>
      </w:r>
      <w:r w:rsidR="009E346D">
        <w:rPr>
          <w:lang w:val="en-CA"/>
        </w:rPr>
        <w:t xml:space="preserve">assertions in order to defend themselves in </w:t>
      </w:r>
      <w:r w:rsidR="001216CF">
        <w:rPr>
          <w:lang w:val="en-CA"/>
        </w:rPr>
        <w:t xml:space="preserve">defamation proceedings. In the case of J.C., the allegations are </w:t>
      </w:r>
      <w:r w:rsidR="001F5636">
        <w:rPr>
          <w:lang w:val="en-CA"/>
        </w:rPr>
        <w:t>far from</w:t>
      </w:r>
      <w:r w:rsidR="001216CF">
        <w:rPr>
          <w:lang w:val="en-CA"/>
        </w:rPr>
        <w:t xml:space="preserve"> general; they get into the after-effects of </w:t>
      </w:r>
      <w:r w:rsidR="007045EA">
        <w:rPr>
          <w:lang w:val="en-CA"/>
        </w:rPr>
        <w:t xml:space="preserve">the </w:t>
      </w:r>
      <w:r w:rsidR="001216CF">
        <w:rPr>
          <w:lang w:val="en-CA"/>
        </w:rPr>
        <w:t>alleged sexual misconduct, which was reported both anonymously and publicly.</w:t>
      </w:r>
      <w:r w:rsidR="00F64C3F" w:rsidRPr="00926147">
        <w:rPr>
          <w:lang w:val="en-CA"/>
        </w:rPr>
        <w:t xml:space="preserve"> </w:t>
      </w:r>
    </w:p>
    <w:p w14:paraId="25020A99" w14:textId="77777777" w:rsidR="009F612A" w:rsidRPr="00926147" w:rsidRDefault="006F3355" w:rsidP="00456F97">
      <w:pPr>
        <w:pStyle w:val="Paragraphe"/>
        <w:keepNext/>
        <w:keepLines/>
        <w:spacing w:line="240" w:lineRule="auto"/>
        <w:rPr>
          <w:lang w:val="en-CA"/>
        </w:rPr>
      </w:pPr>
      <w:r>
        <w:rPr>
          <w:lang w:val="en-CA"/>
        </w:rPr>
        <w:lastRenderedPageBreak/>
        <w:t xml:space="preserve">The concept of human dignity is distinct from the concepts of honour and reputation. </w:t>
      </w:r>
      <w:r w:rsidR="006D6B1D">
        <w:rPr>
          <w:lang w:val="en-CA"/>
        </w:rPr>
        <w:t>In the case at bar</w:t>
      </w:r>
      <w:r>
        <w:rPr>
          <w:lang w:val="en-CA"/>
        </w:rPr>
        <w:t xml:space="preserve">, A.B. </w:t>
      </w:r>
      <w:r w:rsidR="006D6B1D">
        <w:rPr>
          <w:lang w:val="en-CA"/>
        </w:rPr>
        <w:t>claims there</w:t>
      </w:r>
      <w:r>
        <w:rPr>
          <w:lang w:val="en-CA"/>
        </w:rPr>
        <w:t xml:space="preserve"> is a serious risk to his honour and reputation</w:t>
      </w:r>
      <w:r w:rsidR="00EC0E3E">
        <w:rPr>
          <w:lang w:val="en-CA"/>
        </w:rPr>
        <w:t>. However</w:t>
      </w:r>
      <w:r>
        <w:rPr>
          <w:lang w:val="en-CA"/>
        </w:rPr>
        <w:t xml:space="preserve">, based on the allegations he has made, it cannot be concluded that his dignity is also at risk. </w:t>
      </w:r>
      <w:r w:rsidR="00E01746" w:rsidRPr="00926147">
        <w:rPr>
          <w:lang w:val="en-CA"/>
        </w:rPr>
        <w:t xml:space="preserve">Yves-Marie Morissette </w:t>
      </w:r>
      <w:r w:rsidR="00A433DD">
        <w:rPr>
          <w:lang w:val="en-CA"/>
        </w:rPr>
        <w:t xml:space="preserve">J.A. </w:t>
      </w:r>
      <w:r w:rsidR="0086700F">
        <w:rPr>
          <w:lang w:val="en-CA"/>
        </w:rPr>
        <w:t>speaks to this point in</w:t>
      </w:r>
      <w:r w:rsidR="00092E8F">
        <w:rPr>
          <w:lang w:val="en-CA"/>
        </w:rPr>
        <w:t xml:space="preserve"> </w:t>
      </w:r>
      <w:proofErr w:type="spellStart"/>
      <w:r w:rsidR="00E01746" w:rsidRPr="00926147">
        <w:rPr>
          <w:i/>
          <w:lang w:val="en-CA"/>
        </w:rPr>
        <w:t>Calego</w:t>
      </w:r>
      <w:proofErr w:type="spellEnd"/>
      <w:r w:rsidR="00E01746" w:rsidRPr="00092E8F">
        <w:rPr>
          <w:lang w:val="en-CA"/>
        </w:rPr>
        <w:t>:</w:t>
      </w:r>
    </w:p>
    <w:p w14:paraId="5A5D6406" w14:textId="77777777" w:rsidR="002E7379" w:rsidRDefault="002E7379" w:rsidP="009F612A">
      <w:pPr>
        <w:pStyle w:val="Citationenretrait"/>
        <w:spacing w:line="240" w:lineRule="auto"/>
        <w:rPr>
          <w:lang w:val="en-CA"/>
        </w:rPr>
      </w:pPr>
      <w:r>
        <w:rPr>
          <w:lang w:val="en-CA"/>
        </w:rPr>
        <w:t>[</w:t>
      </w:r>
      <w:r w:rsidRPr="002E7379">
        <w:rPr>
          <w:sz w:val="20"/>
          <w:lang w:val="en-CA"/>
        </w:rPr>
        <w:t>TRANSLATION</w:t>
      </w:r>
      <w:r>
        <w:rPr>
          <w:lang w:val="en-CA"/>
        </w:rPr>
        <w:t>]</w:t>
      </w:r>
    </w:p>
    <w:p w14:paraId="4BD32F38" w14:textId="77777777" w:rsidR="009F612A" w:rsidRPr="00926147" w:rsidRDefault="00E01746" w:rsidP="009F612A">
      <w:pPr>
        <w:pStyle w:val="Citationenretrait"/>
        <w:spacing w:line="240" w:lineRule="auto"/>
        <w:rPr>
          <w:lang w:val="en-CA"/>
        </w:rPr>
      </w:pPr>
      <w:r w:rsidRPr="00926147">
        <w:rPr>
          <w:lang w:val="en-CA"/>
        </w:rPr>
        <w:t>[</w:t>
      </w:r>
      <w:bookmarkStart w:id="15" w:name="par101"/>
      <w:r w:rsidRPr="00926147">
        <w:rPr>
          <w:lang w:val="en-CA"/>
        </w:rPr>
        <w:t>101</w:t>
      </w:r>
      <w:bookmarkEnd w:id="15"/>
      <w:r w:rsidRPr="00926147">
        <w:rPr>
          <w:lang w:val="en-CA"/>
        </w:rPr>
        <w:t>]</w:t>
      </w:r>
      <w:r w:rsidRPr="00926147">
        <w:rPr>
          <w:lang w:val="en-CA"/>
        </w:rPr>
        <w:tab/>
      </w:r>
      <w:r w:rsidR="00D638FA">
        <w:rPr>
          <w:lang w:val="en-CA"/>
        </w:rPr>
        <w:t>Furthermore,</w:t>
      </w:r>
      <w:r w:rsidRPr="00926147">
        <w:rPr>
          <w:lang w:val="en-CA"/>
        </w:rPr>
        <w:t xml:space="preserve"> </w:t>
      </w:r>
      <w:r w:rsidR="00D638FA">
        <w:rPr>
          <w:u w:val="single"/>
          <w:lang w:val="en-CA"/>
        </w:rPr>
        <w:t>the conce</w:t>
      </w:r>
      <w:r w:rsidR="005E6883">
        <w:rPr>
          <w:u w:val="single"/>
          <w:lang w:val="en-CA"/>
        </w:rPr>
        <w:t>p</w:t>
      </w:r>
      <w:r w:rsidR="00D638FA">
        <w:rPr>
          <w:u w:val="single"/>
          <w:lang w:val="en-CA"/>
        </w:rPr>
        <w:t>ts of dignity, honour</w:t>
      </w:r>
      <w:r w:rsidR="00A433DD">
        <w:rPr>
          <w:u w:val="single"/>
          <w:lang w:val="en-CA"/>
        </w:rPr>
        <w:t>,</w:t>
      </w:r>
      <w:r w:rsidR="00D638FA">
        <w:rPr>
          <w:u w:val="single"/>
          <w:lang w:val="en-CA"/>
        </w:rPr>
        <w:t xml:space="preserve"> and reputation </w:t>
      </w:r>
      <w:r w:rsidR="005E6883">
        <w:rPr>
          <w:u w:val="single"/>
          <w:lang w:val="en-CA"/>
        </w:rPr>
        <w:t>are not interchangeable</w:t>
      </w:r>
      <w:r w:rsidRPr="00926147">
        <w:rPr>
          <w:lang w:val="en-CA"/>
        </w:rPr>
        <w:t xml:space="preserve">. </w:t>
      </w:r>
      <w:r w:rsidR="00D638FA">
        <w:rPr>
          <w:lang w:val="en-CA"/>
        </w:rPr>
        <w:t xml:space="preserve">I would tend to think that the latter </w:t>
      </w:r>
      <w:r w:rsidR="00FC7D31">
        <w:rPr>
          <w:lang w:val="en-CA"/>
        </w:rPr>
        <w:t>two evoke</w:t>
      </w:r>
      <w:r w:rsidR="00D638FA">
        <w:rPr>
          <w:lang w:val="en-CA"/>
        </w:rPr>
        <w:t xml:space="preserve">, albeit perhaps to different degrees, a third party’s </w:t>
      </w:r>
      <w:r w:rsidR="005E6883">
        <w:rPr>
          <w:lang w:val="en-CA"/>
        </w:rPr>
        <w:t xml:space="preserve">perception of </w:t>
      </w:r>
      <w:r w:rsidR="006D6B1D">
        <w:rPr>
          <w:lang w:val="en-CA"/>
        </w:rPr>
        <w:t>an</w:t>
      </w:r>
      <w:r w:rsidR="005E6883">
        <w:rPr>
          <w:lang w:val="en-CA"/>
        </w:rPr>
        <w:t xml:space="preserve"> alleged victim of wrongdoing.</w:t>
      </w:r>
      <w:r w:rsidRPr="00926147">
        <w:rPr>
          <w:lang w:val="en-CA"/>
        </w:rPr>
        <w:t xml:space="preserve"> </w:t>
      </w:r>
      <w:r w:rsidR="005E6883">
        <w:rPr>
          <w:lang w:val="en-CA"/>
        </w:rPr>
        <w:t>I</w:t>
      </w:r>
      <w:r w:rsidR="00FC7D31">
        <w:rPr>
          <w:lang w:val="en-CA"/>
        </w:rPr>
        <w:t> </w:t>
      </w:r>
      <w:r w:rsidR="005E6883">
        <w:rPr>
          <w:lang w:val="en-CA"/>
        </w:rPr>
        <w:t xml:space="preserve">do not think this is the case with dignity, which is the respect to which </w:t>
      </w:r>
      <w:r w:rsidR="006D6B1D">
        <w:rPr>
          <w:lang w:val="en-CA"/>
        </w:rPr>
        <w:t>people</w:t>
      </w:r>
      <w:r w:rsidR="005E6883">
        <w:rPr>
          <w:lang w:val="en-CA"/>
        </w:rPr>
        <w:t xml:space="preserve"> </w:t>
      </w:r>
      <w:r w:rsidR="006D6B1D">
        <w:rPr>
          <w:lang w:val="en-CA"/>
        </w:rPr>
        <w:t>are</w:t>
      </w:r>
      <w:r w:rsidR="005E6883">
        <w:rPr>
          <w:lang w:val="en-CA"/>
        </w:rPr>
        <w:t xml:space="preserve"> entitled as a </w:t>
      </w:r>
      <w:proofErr w:type="gramStart"/>
      <w:r w:rsidR="005E6883">
        <w:rPr>
          <w:lang w:val="en-CA"/>
        </w:rPr>
        <w:t>human being</w:t>
      </w:r>
      <w:r w:rsidR="006D6B1D">
        <w:rPr>
          <w:lang w:val="en-CA"/>
        </w:rPr>
        <w:t>s</w:t>
      </w:r>
      <w:proofErr w:type="gramEnd"/>
      <w:r w:rsidR="005E6883">
        <w:rPr>
          <w:lang w:val="en-CA"/>
        </w:rPr>
        <w:t xml:space="preserve"> and as subject</w:t>
      </w:r>
      <w:r w:rsidR="006D6B1D">
        <w:rPr>
          <w:lang w:val="en-CA"/>
        </w:rPr>
        <w:t>s</w:t>
      </w:r>
      <w:r w:rsidR="005E6883">
        <w:rPr>
          <w:lang w:val="en-CA"/>
        </w:rPr>
        <w:t xml:space="preserve"> of law</w:t>
      </w:r>
      <w:r w:rsidRPr="00926147">
        <w:rPr>
          <w:lang w:val="en-CA"/>
        </w:rPr>
        <w:t>.</w:t>
      </w:r>
      <w:r w:rsidRPr="00926147">
        <w:rPr>
          <w:rStyle w:val="Appelnotedebasdep"/>
          <w:lang w:val="en-CA"/>
        </w:rPr>
        <w:footnoteReference w:id="30"/>
      </w:r>
    </w:p>
    <w:p w14:paraId="7FC7468A" w14:textId="77777777" w:rsidR="009F612A" w:rsidRPr="00926147" w:rsidRDefault="00E01746" w:rsidP="009F612A">
      <w:pPr>
        <w:pStyle w:val="Citationenretrait"/>
        <w:spacing w:line="240" w:lineRule="auto"/>
        <w:jc w:val="right"/>
        <w:rPr>
          <w:lang w:val="en-CA"/>
        </w:rPr>
      </w:pPr>
      <w:r w:rsidRPr="00926147">
        <w:rPr>
          <w:lang w:val="en-CA"/>
        </w:rPr>
        <w:t>[</w:t>
      </w:r>
      <w:r w:rsidR="005E6883">
        <w:rPr>
          <w:lang w:val="en-CA"/>
        </w:rPr>
        <w:t>Emphasis added</w:t>
      </w:r>
      <w:r w:rsidRPr="00926147">
        <w:rPr>
          <w:lang w:val="en-CA"/>
        </w:rPr>
        <w:t>]</w:t>
      </w:r>
    </w:p>
    <w:p w14:paraId="1AEA1C1D" w14:textId="77777777" w:rsidR="009F612A" w:rsidRPr="00A433DD" w:rsidRDefault="00C55352" w:rsidP="009F612A">
      <w:pPr>
        <w:pStyle w:val="Paragraphe"/>
        <w:spacing w:line="240" w:lineRule="auto"/>
        <w:rPr>
          <w:lang w:val="en-CA"/>
        </w:rPr>
      </w:pPr>
      <w:r w:rsidRPr="00A433DD">
        <w:rPr>
          <w:szCs w:val="24"/>
          <w:lang w:val="en-CA"/>
        </w:rPr>
        <w:t xml:space="preserve">Consequently, </w:t>
      </w:r>
      <w:r w:rsidR="00E01746" w:rsidRPr="00A433DD">
        <w:rPr>
          <w:szCs w:val="24"/>
          <w:lang w:val="en-CA"/>
        </w:rPr>
        <w:t>Lussier</w:t>
      </w:r>
      <w:r w:rsidR="006D6B1D" w:rsidRPr="00A433DD">
        <w:rPr>
          <w:szCs w:val="24"/>
          <w:lang w:val="en-CA"/>
        </w:rPr>
        <w:t xml:space="preserve">, J. </w:t>
      </w:r>
      <w:r w:rsidR="00715C8B" w:rsidRPr="00A433DD">
        <w:rPr>
          <w:szCs w:val="24"/>
          <w:lang w:val="en-CA"/>
        </w:rPr>
        <w:t>properly</w:t>
      </w:r>
      <w:r w:rsidR="006D6B1D" w:rsidRPr="00A433DD">
        <w:rPr>
          <w:szCs w:val="24"/>
          <w:lang w:val="en-CA"/>
        </w:rPr>
        <w:t xml:space="preserve"> h</w:t>
      </w:r>
      <w:r w:rsidR="00715C8B" w:rsidRPr="00A433DD">
        <w:rPr>
          <w:szCs w:val="24"/>
          <w:lang w:val="en-CA"/>
        </w:rPr>
        <w:t>e</w:t>
      </w:r>
      <w:r w:rsidR="006D6B1D" w:rsidRPr="00A433DD">
        <w:rPr>
          <w:szCs w:val="24"/>
          <w:lang w:val="en-CA"/>
        </w:rPr>
        <w:t>ld that</w:t>
      </w:r>
      <w:r w:rsidR="00715C8B" w:rsidRPr="00A433DD">
        <w:rPr>
          <w:szCs w:val="24"/>
          <w:lang w:val="en-CA"/>
        </w:rPr>
        <w:t xml:space="preserve"> </w:t>
      </w:r>
      <w:proofErr w:type="gramStart"/>
      <w:r w:rsidR="00715C8B" w:rsidRPr="00A433DD">
        <w:rPr>
          <w:szCs w:val="24"/>
          <w:lang w:val="en-CA"/>
        </w:rPr>
        <w:t>in order to</w:t>
      </w:r>
      <w:proofErr w:type="gramEnd"/>
      <w:r w:rsidR="00715C8B" w:rsidRPr="00A433DD">
        <w:rPr>
          <w:szCs w:val="24"/>
          <w:lang w:val="en-CA"/>
        </w:rPr>
        <w:t xml:space="preserve"> overcome the presumption of openness,</w:t>
      </w:r>
      <w:r w:rsidR="006D6B1D" w:rsidRPr="00A433DD">
        <w:rPr>
          <w:szCs w:val="24"/>
          <w:lang w:val="en-CA"/>
        </w:rPr>
        <w:t xml:space="preserve"> it was </w:t>
      </w:r>
      <w:r w:rsidR="00715C8B" w:rsidRPr="00A433DD">
        <w:rPr>
          <w:szCs w:val="24"/>
          <w:lang w:val="en-CA"/>
        </w:rPr>
        <w:t xml:space="preserve">not </w:t>
      </w:r>
      <w:r w:rsidR="006D6B1D" w:rsidRPr="00A433DD">
        <w:rPr>
          <w:szCs w:val="24"/>
          <w:lang w:val="en-CA"/>
        </w:rPr>
        <w:t>sufficient for A.B. to allege in general terms that open proceedings would endanger his dignity.</w:t>
      </w:r>
      <w:r w:rsidR="00E01746" w:rsidRPr="00A433DD">
        <w:rPr>
          <w:rStyle w:val="Appelnotedebasdep"/>
          <w:lang w:val="en-CA"/>
        </w:rPr>
        <w:footnoteReference w:id="31"/>
      </w:r>
    </w:p>
    <w:p w14:paraId="2245414E" w14:textId="77777777" w:rsidR="009F612A" w:rsidRPr="00926147" w:rsidRDefault="00815614" w:rsidP="009F612A">
      <w:pPr>
        <w:pStyle w:val="Paragraphe"/>
        <w:spacing w:line="240" w:lineRule="auto"/>
        <w:rPr>
          <w:lang w:val="en-CA"/>
        </w:rPr>
      </w:pPr>
      <w:r>
        <w:rPr>
          <w:lang w:val="en-CA"/>
        </w:rPr>
        <w:t xml:space="preserve">This is because A.B.’s allegations are so general that they could apply in a generic way to </w:t>
      </w:r>
      <w:r w:rsidR="00A433DD">
        <w:rPr>
          <w:lang w:val="en-CA"/>
        </w:rPr>
        <w:t xml:space="preserve">anyone </w:t>
      </w:r>
      <w:r>
        <w:rPr>
          <w:lang w:val="en-CA"/>
        </w:rPr>
        <w:t xml:space="preserve">who sues in defamation because </w:t>
      </w:r>
      <w:r w:rsidR="00455963">
        <w:rPr>
          <w:lang w:val="en-CA"/>
        </w:rPr>
        <w:t>they have been accused of</w:t>
      </w:r>
      <w:r>
        <w:rPr>
          <w:lang w:val="en-CA"/>
        </w:rPr>
        <w:t xml:space="preserve"> sexual misconduct. In other words, if the Court allowed A.B.’s appeal, this would in a sense amount to asserting that any </w:t>
      </w:r>
      <w:r w:rsidR="00907FF4">
        <w:rPr>
          <w:lang w:val="en-CA"/>
        </w:rPr>
        <w:t xml:space="preserve">plaintiff in </w:t>
      </w:r>
      <w:r>
        <w:rPr>
          <w:lang w:val="en-CA"/>
        </w:rPr>
        <w:t xml:space="preserve">defamation </w:t>
      </w:r>
      <w:r w:rsidR="00A433DD">
        <w:rPr>
          <w:lang w:val="en-CA"/>
        </w:rPr>
        <w:t>alleged</w:t>
      </w:r>
      <w:r>
        <w:rPr>
          <w:lang w:val="en-CA"/>
        </w:rPr>
        <w:t xml:space="preserve"> to have engaged in sexual misconduct </w:t>
      </w:r>
      <w:r w:rsidR="00610377">
        <w:rPr>
          <w:lang w:val="en-CA"/>
        </w:rPr>
        <w:t>would</w:t>
      </w:r>
      <w:r>
        <w:rPr>
          <w:lang w:val="en-CA"/>
        </w:rPr>
        <w:t xml:space="preserve"> automatically </w:t>
      </w:r>
      <w:r w:rsidR="00610377">
        <w:rPr>
          <w:lang w:val="en-CA"/>
        </w:rPr>
        <w:t xml:space="preserve">be </w:t>
      </w:r>
      <w:r>
        <w:rPr>
          <w:lang w:val="en-CA"/>
        </w:rPr>
        <w:t>entitled to a</w:t>
      </w:r>
      <w:r w:rsidR="00542F2A">
        <w:rPr>
          <w:lang w:val="en-CA"/>
        </w:rPr>
        <w:t xml:space="preserve"> confidentiality </w:t>
      </w:r>
      <w:r>
        <w:rPr>
          <w:lang w:val="en-CA"/>
        </w:rPr>
        <w:t xml:space="preserve">order </w:t>
      </w:r>
      <w:r w:rsidR="00542F2A">
        <w:rPr>
          <w:lang w:val="en-CA"/>
        </w:rPr>
        <w:t>if</w:t>
      </w:r>
      <w:r>
        <w:rPr>
          <w:lang w:val="en-CA"/>
        </w:rPr>
        <w:t xml:space="preserve"> they appl</w:t>
      </w:r>
      <w:r w:rsidR="00610377">
        <w:rPr>
          <w:lang w:val="en-CA"/>
        </w:rPr>
        <w:t>ied</w:t>
      </w:r>
      <w:r>
        <w:rPr>
          <w:lang w:val="en-CA"/>
        </w:rPr>
        <w:t xml:space="preserve"> for one. </w:t>
      </w:r>
      <w:proofErr w:type="gramStart"/>
      <w:r w:rsidR="00542F2A">
        <w:rPr>
          <w:lang w:val="en-CA"/>
        </w:rPr>
        <w:t>In</w:t>
      </w:r>
      <w:r w:rsidR="00056B84">
        <w:rPr>
          <w:lang w:val="en-CA"/>
        </w:rPr>
        <w:t> </w:t>
      </w:r>
      <w:r w:rsidR="00542F2A">
        <w:rPr>
          <w:lang w:val="en-CA"/>
        </w:rPr>
        <w:t xml:space="preserve">reality, </w:t>
      </w:r>
      <w:r>
        <w:rPr>
          <w:lang w:val="en-CA"/>
        </w:rPr>
        <w:t>for</w:t>
      </w:r>
      <w:proofErr w:type="gramEnd"/>
      <w:r>
        <w:rPr>
          <w:lang w:val="en-CA"/>
        </w:rPr>
        <w:t xml:space="preserve"> a court to grant an application to depersonalize proceedings, a plaintiff in defamation</w:t>
      </w:r>
      <w:r w:rsidR="00006328">
        <w:rPr>
          <w:lang w:val="en-CA"/>
        </w:rPr>
        <w:t xml:space="preserve"> must, </w:t>
      </w:r>
      <w:r>
        <w:rPr>
          <w:lang w:val="en-CA"/>
        </w:rPr>
        <w:t xml:space="preserve">like any other plaintiff, discharge the </w:t>
      </w:r>
      <w:r w:rsidR="000E5126">
        <w:rPr>
          <w:lang w:val="en-CA"/>
        </w:rPr>
        <w:t>onus</w:t>
      </w:r>
      <w:r>
        <w:rPr>
          <w:lang w:val="en-CA"/>
        </w:rPr>
        <w:t xml:space="preserve"> of demonstrating a serious risk to dignity </w:t>
      </w:r>
      <w:r w:rsidR="00937192">
        <w:rPr>
          <w:lang w:val="en-CA"/>
        </w:rPr>
        <w:t>in the sense of an</w:t>
      </w:r>
      <w:r>
        <w:rPr>
          <w:lang w:val="en-CA"/>
        </w:rPr>
        <w:t xml:space="preserve"> important public interest in privacy</w:t>
      </w:r>
      <w:r w:rsidR="00407869">
        <w:rPr>
          <w:lang w:val="en-CA"/>
        </w:rPr>
        <w:t>. This</w:t>
      </w:r>
      <w:r>
        <w:rPr>
          <w:lang w:val="en-CA"/>
        </w:rPr>
        <w:t xml:space="preserve"> can be difficult where, as here, the </w:t>
      </w:r>
      <w:r w:rsidR="00056B84">
        <w:rPr>
          <w:lang w:val="en-CA"/>
        </w:rPr>
        <w:t xml:space="preserve">alleged defamation consists </w:t>
      </w:r>
      <w:r w:rsidR="00075C34">
        <w:rPr>
          <w:lang w:val="en-CA"/>
        </w:rPr>
        <w:t>of</w:t>
      </w:r>
      <w:r w:rsidR="00056B84">
        <w:rPr>
          <w:lang w:val="en-CA"/>
        </w:rPr>
        <w:t xml:space="preserve"> false statements</w:t>
      </w:r>
      <w:r w:rsidR="00E01746" w:rsidRPr="00926147">
        <w:rPr>
          <w:lang w:val="en-CA"/>
        </w:rPr>
        <w:t>.</w:t>
      </w:r>
    </w:p>
    <w:p w14:paraId="55E70CB9" w14:textId="77777777" w:rsidR="009F612A" w:rsidRPr="00907FF4" w:rsidRDefault="00D61FD2" w:rsidP="009F612A">
      <w:pPr>
        <w:pStyle w:val="Paragraphe"/>
        <w:spacing w:line="240" w:lineRule="auto"/>
        <w:rPr>
          <w:lang w:val="en-CA"/>
        </w:rPr>
      </w:pPr>
      <w:r w:rsidRPr="00AC22B1">
        <w:rPr>
          <w:lang w:val="en-CA"/>
        </w:rPr>
        <w:t>A.B. has not met t</w:t>
      </w:r>
      <w:r w:rsidR="00682D03" w:rsidRPr="00AC22B1">
        <w:rPr>
          <w:lang w:val="en-CA"/>
        </w:rPr>
        <w:t xml:space="preserve">his onus </w:t>
      </w:r>
      <w:r w:rsidR="00F01C6D" w:rsidRPr="00AC22B1">
        <w:rPr>
          <w:lang w:val="en-CA"/>
        </w:rPr>
        <w:t>of proving</w:t>
      </w:r>
      <w:r w:rsidR="00682D03" w:rsidRPr="00AC22B1">
        <w:rPr>
          <w:lang w:val="en-CA"/>
        </w:rPr>
        <w:t xml:space="preserve"> a serious risk to the </w:t>
      </w:r>
      <w:r w:rsidR="00907FF4" w:rsidRPr="00AC22B1">
        <w:rPr>
          <w:lang w:val="en-CA"/>
        </w:rPr>
        <w:t xml:space="preserve">proper </w:t>
      </w:r>
      <w:r w:rsidR="00682D03" w:rsidRPr="00AC22B1">
        <w:rPr>
          <w:lang w:val="en-CA"/>
        </w:rPr>
        <w:t xml:space="preserve">administration of justice. Public disclosure of the </w:t>
      </w:r>
      <w:r w:rsidRPr="00AC22B1">
        <w:rPr>
          <w:lang w:val="en-CA"/>
        </w:rPr>
        <w:t>allegations</w:t>
      </w:r>
      <w:r w:rsidR="00682D03" w:rsidRPr="00AC22B1">
        <w:rPr>
          <w:lang w:val="en-CA"/>
        </w:rPr>
        <w:t xml:space="preserve"> the respondent has made against A.B. </w:t>
      </w:r>
      <w:r w:rsidR="00F86B02" w:rsidRPr="00AC22B1">
        <w:rPr>
          <w:lang w:val="en-CA"/>
        </w:rPr>
        <w:t>cannot succeed in</w:t>
      </w:r>
      <w:r w:rsidR="00682D03" w:rsidRPr="00AC22B1">
        <w:rPr>
          <w:lang w:val="en-CA"/>
        </w:rPr>
        <w:t xml:space="preserve"> overcom</w:t>
      </w:r>
      <w:r w:rsidR="00F86B02" w:rsidRPr="00AC22B1">
        <w:rPr>
          <w:lang w:val="en-CA"/>
        </w:rPr>
        <w:t>ing</w:t>
      </w:r>
      <w:r w:rsidR="00682D03" w:rsidRPr="00AC22B1">
        <w:rPr>
          <w:lang w:val="en-CA"/>
        </w:rPr>
        <w:t xml:space="preserve"> the open court presumption</w:t>
      </w:r>
      <w:r w:rsidR="00E01746" w:rsidRPr="00907FF4">
        <w:rPr>
          <w:lang w:val="en-CA"/>
        </w:rPr>
        <w:t xml:space="preserve">, </w:t>
      </w:r>
      <w:r w:rsidR="00682D03" w:rsidRPr="00907FF4">
        <w:rPr>
          <w:lang w:val="en-CA"/>
        </w:rPr>
        <w:t xml:space="preserve">even if such disclosure would be embarrassing and </w:t>
      </w:r>
      <w:r w:rsidR="009E15A9" w:rsidRPr="00907FF4">
        <w:rPr>
          <w:lang w:val="en-CA"/>
        </w:rPr>
        <w:t>w</w:t>
      </w:r>
      <w:r w:rsidR="00682D03" w:rsidRPr="00907FF4">
        <w:rPr>
          <w:lang w:val="en-CA"/>
        </w:rPr>
        <w:t>ould tarnish his honour or reputation.</w:t>
      </w:r>
    </w:p>
    <w:p w14:paraId="1BE008AD" w14:textId="77777777" w:rsidR="009F612A" w:rsidRPr="00926147" w:rsidRDefault="00E64B80" w:rsidP="00456F97">
      <w:pPr>
        <w:pStyle w:val="Paragraphe"/>
        <w:keepNext/>
        <w:keepLines/>
        <w:spacing w:line="240" w:lineRule="auto"/>
        <w:rPr>
          <w:lang w:val="en-CA"/>
        </w:rPr>
      </w:pPr>
      <w:r>
        <w:rPr>
          <w:lang w:val="en-CA"/>
        </w:rPr>
        <w:lastRenderedPageBreak/>
        <w:t xml:space="preserve">All legal proceedings come with </w:t>
      </w:r>
      <w:r w:rsidR="00AE33E0">
        <w:rPr>
          <w:lang w:val="en-CA"/>
        </w:rPr>
        <w:t xml:space="preserve">their share of </w:t>
      </w:r>
      <w:r w:rsidR="00472922">
        <w:rPr>
          <w:lang w:val="en-CA"/>
        </w:rPr>
        <w:t>discomfort</w:t>
      </w:r>
      <w:r w:rsidR="001C09F2">
        <w:rPr>
          <w:lang w:val="en-CA"/>
        </w:rPr>
        <w:t>. T</w:t>
      </w:r>
      <w:r>
        <w:rPr>
          <w:lang w:val="en-CA"/>
        </w:rPr>
        <w:t>his is especially true of defamation actions.</w:t>
      </w:r>
      <w:r w:rsidR="00E01746" w:rsidRPr="00926147">
        <w:rPr>
          <w:lang w:val="en-CA"/>
        </w:rPr>
        <w:t xml:space="preserve"> </w:t>
      </w:r>
      <w:r>
        <w:rPr>
          <w:lang w:val="en-CA"/>
        </w:rPr>
        <w:t xml:space="preserve">But </w:t>
      </w:r>
      <w:r w:rsidR="00AE33E0">
        <w:rPr>
          <w:lang w:val="en-CA"/>
        </w:rPr>
        <w:t>such inconveniences</w:t>
      </w:r>
      <w:r>
        <w:rPr>
          <w:lang w:val="en-CA"/>
        </w:rPr>
        <w:t xml:space="preserve"> alone are not sufficient to set aside the cardinal principle, protected by s. 2(</w:t>
      </w:r>
      <w:r w:rsidRPr="00E64B80">
        <w:rPr>
          <w:i/>
          <w:iCs/>
          <w:lang w:val="en-CA"/>
        </w:rPr>
        <w:t>b</w:t>
      </w:r>
      <w:r>
        <w:rPr>
          <w:lang w:val="en-CA"/>
        </w:rPr>
        <w:t xml:space="preserve">) of the </w:t>
      </w:r>
      <w:r w:rsidRPr="00E64B80">
        <w:rPr>
          <w:i/>
          <w:iCs/>
          <w:lang w:val="en-CA"/>
        </w:rPr>
        <w:t>Canadian Charter of Rights and Freedoms</w:t>
      </w:r>
      <w:r>
        <w:rPr>
          <w:lang w:val="en-CA"/>
        </w:rPr>
        <w:t xml:space="preserve"> and codified in art. 11 </w:t>
      </w:r>
      <w:r w:rsidRPr="00E64B80">
        <w:rPr>
          <w:i/>
          <w:iCs/>
          <w:lang w:val="en-CA"/>
        </w:rPr>
        <w:t>C.C.P</w:t>
      </w:r>
      <w:r>
        <w:rPr>
          <w:lang w:val="en-CA"/>
        </w:rPr>
        <w:t>., that court proceedings are to take place in the open.</w:t>
      </w:r>
    </w:p>
    <w:p w14:paraId="7CB984CC" w14:textId="77777777" w:rsidR="009F612A" w:rsidRPr="00926147" w:rsidRDefault="00E01746" w:rsidP="00E51136">
      <w:pPr>
        <w:pStyle w:val="Paragraphe"/>
        <w:keepNext/>
        <w:keepLines/>
        <w:spacing w:line="240" w:lineRule="auto"/>
        <w:rPr>
          <w:lang w:val="en-CA"/>
        </w:rPr>
      </w:pPr>
      <w:proofErr w:type="spellStart"/>
      <w:r w:rsidRPr="00926147">
        <w:rPr>
          <w:lang w:val="en-CA"/>
        </w:rPr>
        <w:t>Kasirer</w:t>
      </w:r>
      <w:proofErr w:type="spellEnd"/>
      <w:r w:rsidR="00AD2AFA">
        <w:rPr>
          <w:lang w:val="en-CA"/>
        </w:rPr>
        <w:t xml:space="preserve">, J. noted this very point in </w:t>
      </w:r>
      <w:r w:rsidRPr="00926147">
        <w:rPr>
          <w:i/>
          <w:lang w:val="en-CA"/>
        </w:rPr>
        <w:t>Sherman</w:t>
      </w:r>
      <w:r w:rsidR="00AD2AFA">
        <w:rPr>
          <w:iCs/>
          <w:lang w:val="en-CA"/>
        </w:rPr>
        <w:t>:</w:t>
      </w:r>
    </w:p>
    <w:p w14:paraId="74288FE6" w14:textId="77777777" w:rsidR="009F612A" w:rsidRPr="00926147" w:rsidRDefault="00E01746" w:rsidP="009F612A">
      <w:pPr>
        <w:pStyle w:val="Citationenretrait"/>
        <w:spacing w:line="240" w:lineRule="auto"/>
        <w:rPr>
          <w:lang w:val="en-CA"/>
        </w:rPr>
      </w:pPr>
      <w:r w:rsidRPr="00AC22B1">
        <w:rPr>
          <w:lang w:val="en-CA"/>
        </w:rPr>
        <w:t>[2]</w:t>
      </w:r>
      <w:r w:rsidRPr="00AC22B1">
        <w:rPr>
          <w:lang w:val="en-CA"/>
        </w:rPr>
        <w:tab/>
      </w:r>
      <w:r w:rsidR="00FB31A8" w:rsidRPr="00AC22B1">
        <w:rPr>
          <w:lang w:val="en-CA"/>
        </w:rPr>
        <w:t>Accordingly, there is a strong presumption in favour of open courts. It is understood that this allows for public scrutiny which can be the source of inconvenience and even embarrassment to those who feel that their engagement in the justice system brings intrusion into their private lives. But this discomfort is not, as a general matter, enough to overturn the strong presumption that the public can attend hearings and that court files can be consulted and reported upon by the free press</w:t>
      </w:r>
      <w:r w:rsidRPr="00AC22B1">
        <w:rPr>
          <w:lang w:val="en-CA"/>
        </w:rPr>
        <w:t>.</w:t>
      </w:r>
      <w:r w:rsidRPr="00AC22B1">
        <w:rPr>
          <w:rStyle w:val="Appelnotedebasdep"/>
          <w:rFonts w:cs="Arial"/>
          <w:szCs w:val="22"/>
          <w:lang w:val="en-CA"/>
        </w:rPr>
        <w:footnoteReference w:id="32"/>
      </w:r>
      <w:r w:rsidRPr="00926147">
        <w:rPr>
          <w:lang w:val="en-CA"/>
        </w:rPr>
        <w:t xml:space="preserve"> </w:t>
      </w:r>
    </w:p>
    <w:p w14:paraId="53256C41" w14:textId="77777777" w:rsidR="009F612A" w:rsidRPr="00926147" w:rsidRDefault="000B0897" w:rsidP="009F612A">
      <w:pPr>
        <w:pStyle w:val="Paragraphe"/>
        <w:spacing w:line="240" w:lineRule="auto"/>
        <w:rPr>
          <w:lang w:val="en-CA"/>
        </w:rPr>
      </w:pPr>
      <w:r>
        <w:rPr>
          <w:rStyle w:val="ParagrapheCar"/>
          <w:lang w:val="en-CA"/>
        </w:rPr>
        <w:t>Further on, he adds</w:t>
      </w:r>
      <w:r w:rsidR="00E01746" w:rsidRPr="00926147">
        <w:rPr>
          <w:lang w:val="en-CA"/>
        </w:rPr>
        <w:t>:</w:t>
      </w:r>
    </w:p>
    <w:p w14:paraId="5DB6E3A3" w14:textId="77777777" w:rsidR="009F612A" w:rsidRPr="00926147" w:rsidRDefault="00E01746" w:rsidP="00E51136">
      <w:pPr>
        <w:pStyle w:val="Citationenretrait"/>
        <w:rPr>
          <w:lang w:val="en-CA"/>
        </w:rPr>
      </w:pPr>
      <w:r w:rsidRPr="00AC22B1">
        <w:rPr>
          <w:lang w:val="en-CA"/>
        </w:rPr>
        <w:t>[31]</w:t>
      </w:r>
      <w:r w:rsidRPr="00AC22B1">
        <w:rPr>
          <w:lang w:val="en-CA"/>
        </w:rPr>
        <w:tab/>
        <w:t>…</w:t>
      </w:r>
      <w:r w:rsidR="00FB31A8" w:rsidRPr="00AC22B1">
        <w:rPr>
          <w:lang w:val="en-CA"/>
        </w:rPr>
        <w:t xml:space="preserve"> neither individual sensibilities nor mere personal discomfort associated with participating in judicial proceedings are likely to justify the exclusion of the public from court (</w:t>
      </w:r>
      <w:r w:rsidR="00FB31A8" w:rsidRPr="00AC22B1">
        <w:rPr>
          <w:i/>
          <w:iCs/>
          <w:lang w:val="en-CA"/>
        </w:rPr>
        <w:t xml:space="preserve">Attorney General of Nova Scotia v. </w:t>
      </w:r>
      <w:proofErr w:type="spellStart"/>
      <w:r w:rsidR="00FB31A8" w:rsidRPr="00AC22B1">
        <w:rPr>
          <w:i/>
          <w:iCs/>
          <w:lang w:val="en-CA"/>
        </w:rPr>
        <w:t>MacIntyre</w:t>
      </w:r>
      <w:proofErr w:type="spellEnd"/>
      <w:r w:rsidR="00FB31A8" w:rsidRPr="00AC22B1">
        <w:rPr>
          <w:lang w:val="en-CA"/>
        </w:rPr>
        <w:t>, [1982] 1 S.C.R. 175, at p. </w:t>
      </w:r>
      <w:proofErr w:type="gramStart"/>
      <w:r w:rsidR="00FB31A8" w:rsidRPr="00AC22B1">
        <w:rPr>
          <w:lang w:val="en-CA"/>
        </w:rPr>
        <w:t>185;</w:t>
      </w:r>
      <w:proofErr w:type="gramEnd"/>
      <w:r w:rsidR="00FB31A8" w:rsidRPr="00AC22B1">
        <w:rPr>
          <w:lang w:val="en-CA"/>
        </w:rPr>
        <w:t> </w:t>
      </w:r>
      <w:r w:rsidR="00FB31A8" w:rsidRPr="00AC22B1">
        <w:rPr>
          <w:i/>
          <w:iCs/>
          <w:lang w:val="en-CA"/>
        </w:rPr>
        <w:t>New Brunswick</w:t>
      </w:r>
      <w:r w:rsidR="00FB31A8" w:rsidRPr="00AC22B1">
        <w:rPr>
          <w:lang w:val="en-CA"/>
        </w:rPr>
        <w:t>, at para. 41). Determining the role of privacy in the </w:t>
      </w:r>
      <w:r w:rsidR="00FB31A8" w:rsidRPr="00AC22B1">
        <w:rPr>
          <w:i/>
          <w:iCs/>
          <w:lang w:val="en-CA"/>
        </w:rPr>
        <w:t>Sierra Club</w:t>
      </w:r>
      <w:r w:rsidR="00FB31A8" w:rsidRPr="00AC22B1">
        <w:rPr>
          <w:lang w:val="en-CA"/>
        </w:rPr>
        <w:t xml:space="preserve"> analysis requires reconciling these two ideas, which is the nub of the disagreement between the parties. The right of privacy is not absolute; the open court principle is not without exceptions.   </w:t>
      </w:r>
    </w:p>
    <w:p w14:paraId="4C47BEE1" w14:textId="77777777" w:rsidR="009F612A" w:rsidRPr="00926147" w:rsidRDefault="004B2B6A" w:rsidP="00E51136">
      <w:pPr>
        <w:pStyle w:val="Citationenretrait"/>
        <w:rPr>
          <w:lang w:val="en-CA"/>
        </w:rPr>
      </w:pPr>
      <w:r>
        <w:rPr>
          <w:lang w:val="en-CA"/>
        </w:rPr>
        <w:t>…</w:t>
      </w:r>
    </w:p>
    <w:p w14:paraId="77728F55" w14:textId="77777777" w:rsidR="009F612A" w:rsidRPr="00AC22B1" w:rsidRDefault="00E01746" w:rsidP="009D2928">
      <w:pPr>
        <w:pStyle w:val="Citationenretrait"/>
        <w:keepNext/>
        <w:keepLines/>
        <w:rPr>
          <w:lang w:val="en-CA"/>
        </w:rPr>
      </w:pPr>
      <w:r w:rsidRPr="00AC22B1">
        <w:rPr>
          <w:lang w:val="en-CA"/>
        </w:rPr>
        <w:t>[33]</w:t>
      </w:r>
      <w:r w:rsidRPr="00AC22B1">
        <w:rPr>
          <w:lang w:val="en-CA"/>
        </w:rPr>
        <w:tab/>
        <w:t xml:space="preserve">… </w:t>
      </w:r>
      <w:r w:rsidR="00233EA8" w:rsidRPr="00AC22B1">
        <w:rPr>
          <w:lang w:val="en-CA"/>
        </w:rPr>
        <w:t xml:space="preserve">The question is not whether the information is “personal” to the individual concerned, but whether, because of its highly sensitive character, its dissemination would occasion an affront to their dignity that society </w:t>
      </w:r>
      <w:proofErr w:type="gramStart"/>
      <w:r w:rsidR="00233EA8" w:rsidRPr="00AC22B1">
        <w:rPr>
          <w:lang w:val="en-CA"/>
        </w:rPr>
        <w:t>as a whole has</w:t>
      </w:r>
      <w:proofErr w:type="gramEnd"/>
      <w:r w:rsidR="00233EA8" w:rsidRPr="00AC22B1">
        <w:rPr>
          <w:lang w:val="en-CA"/>
        </w:rPr>
        <w:t xml:space="preserve"> a stake in protecting.</w:t>
      </w:r>
      <w:r w:rsidRPr="00AC22B1">
        <w:rPr>
          <w:lang w:val="en-CA"/>
        </w:rPr>
        <w:t xml:space="preserve"> </w:t>
      </w:r>
    </w:p>
    <w:p w14:paraId="00F1A8AB" w14:textId="77777777" w:rsidR="009F612A" w:rsidRPr="00AC22B1" w:rsidRDefault="00E01746" w:rsidP="00E51136">
      <w:pPr>
        <w:pStyle w:val="Citationenretrait"/>
        <w:rPr>
          <w:noProof/>
          <w:u w:val="single"/>
          <w:lang w:val="en-CA"/>
        </w:rPr>
      </w:pPr>
      <w:r w:rsidRPr="00AC22B1">
        <w:rPr>
          <w:noProof/>
          <w:lang w:val="en-CA"/>
        </w:rPr>
        <w:t>[34]</w:t>
      </w:r>
      <w:r w:rsidRPr="00AC22B1">
        <w:rPr>
          <w:noProof/>
          <w:lang w:val="en-CA"/>
        </w:rPr>
        <w:tab/>
      </w:r>
      <w:r w:rsidR="00233EA8" w:rsidRPr="00AC22B1">
        <w:rPr>
          <w:noProof/>
          <w:lang w:val="en-CA"/>
        </w:rPr>
        <w:t xml:space="preserve">This public interest in privacy appropriately focuses the analysis on the impact of the dissemination of sensitive personal information, rather than the mere fact of this dissemination, which is frequently risked in court proceedings and is necessary in a system that privileges court openness. It is a high bar — higher and more precise than the sweeping privacy interest relied upon here by the Trustees. This public interest will only be seriously at risk where the information in question strikes at what is sometimes said to be the core identity of the individual concerned: </w:t>
      </w:r>
      <w:r w:rsidR="00233EA8" w:rsidRPr="00AC22B1">
        <w:rPr>
          <w:noProof/>
          <w:u w:val="single"/>
          <w:lang w:val="en-CA"/>
        </w:rPr>
        <w:t>information so sensitive that its dissemination could be an affront to dignity that the public would not tolerate, even in service of open proceedings</w:t>
      </w:r>
      <w:r w:rsidRPr="00AC22B1">
        <w:rPr>
          <w:noProof/>
          <w:u w:val="single"/>
          <w:lang w:val="en-CA"/>
        </w:rPr>
        <w:t>.</w:t>
      </w:r>
    </w:p>
    <w:p w14:paraId="51E0541A" w14:textId="77777777" w:rsidR="009F612A" w:rsidRPr="00926147" w:rsidRDefault="00E01746" w:rsidP="00E51136">
      <w:pPr>
        <w:pStyle w:val="Citationenretrait"/>
        <w:rPr>
          <w:noProof/>
          <w:lang w:val="en-CA"/>
        </w:rPr>
      </w:pPr>
      <w:r w:rsidRPr="00AC22B1">
        <w:rPr>
          <w:noProof/>
          <w:lang w:val="en-CA"/>
        </w:rPr>
        <w:lastRenderedPageBreak/>
        <w:t>[35]</w:t>
      </w:r>
      <w:r w:rsidRPr="00AC22B1">
        <w:rPr>
          <w:noProof/>
          <w:lang w:val="en-CA"/>
        </w:rPr>
        <w:tab/>
        <w:t>… </w:t>
      </w:r>
      <w:r w:rsidR="0034567C" w:rsidRPr="00AC22B1">
        <w:rPr>
          <w:noProof/>
          <w:u w:val="single"/>
          <w:lang w:val="en-CA"/>
        </w:rPr>
        <w:t>this requires the applicant to show that the information in the court file is sufficiently sensitive such that it can be said to strike at the biographical core of the individual and, in the broader circumstances, that there is a serious risk that, without an exceptional order, the affected individual will suffer an affront to their dignity</w:t>
      </w:r>
      <w:r w:rsidR="0034567C" w:rsidRPr="00AC22B1">
        <w:rPr>
          <w:noProof/>
          <w:lang w:val="en-CA"/>
        </w:rPr>
        <w:t>.</w:t>
      </w:r>
      <w:r w:rsidRPr="005D1AB3">
        <w:rPr>
          <w:rStyle w:val="Appelnotedebasdep"/>
          <w:noProof/>
          <w:szCs w:val="22"/>
          <w:lang w:val="en-CA"/>
        </w:rPr>
        <w:footnoteReference w:id="33"/>
      </w:r>
    </w:p>
    <w:p w14:paraId="26075B31" w14:textId="77777777" w:rsidR="009F612A" w:rsidRPr="00926147" w:rsidRDefault="00E01746" w:rsidP="00E51136">
      <w:pPr>
        <w:pStyle w:val="Citationenretrait"/>
        <w:jc w:val="right"/>
        <w:rPr>
          <w:rFonts w:cs="Arial"/>
          <w:lang w:val="en-CA"/>
        </w:rPr>
      </w:pPr>
      <w:r w:rsidRPr="00926147">
        <w:rPr>
          <w:lang w:val="en-CA"/>
        </w:rPr>
        <w:t>[</w:t>
      </w:r>
      <w:r w:rsidR="00123B1E" w:rsidRPr="00926147">
        <w:rPr>
          <w:lang w:val="en-CA"/>
        </w:rPr>
        <w:t>Emphasis added</w:t>
      </w:r>
      <w:r w:rsidRPr="00926147">
        <w:rPr>
          <w:lang w:val="en-CA"/>
        </w:rPr>
        <w:t>]</w:t>
      </w:r>
    </w:p>
    <w:p w14:paraId="03421B68" w14:textId="77777777" w:rsidR="009F612A" w:rsidRPr="00926147" w:rsidRDefault="00D667E0" w:rsidP="009F612A">
      <w:pPr>
        <w:pStyle w:val="Paragraphe"/>
        <w:spacing w:line="240" w:lineRule="auto"/>
        <w:rPr>
          <w:lang w:val="en-CA"/>
        </w:rPr>
      </w:pPr>
      <w:r>
        <w:rPr>
          <w:lang w:val="en-CA"/>
        </w:rPr>
        <w:t xml:space="preserve">Applying the analytical framework </w:t>
      </w:r>
      <w:r w:rsidR="003F5A58">
        <w:rPr>
          <w:lang w:val="en-CA"/>
        </w:rPr>
        <w:t>laid down</w:t>
      </w:r>
      <w:r>
        <w:rPr>
          <w:lang w:val="en-CA"/>
        </w:rPr>
        <w:t xml:space="preserve"> in </w:t>
      </w:r>
      <w:r w:rsidR="00E01746" w:rsidRPr="00926147">
        <w:rPr>
          <w:i/>
          <w:lang w:val="en-CA"/>
        </w:rPr>
        <w:t xml:space="preserve">Sherman </w:t>
      </w:r>
      <w:r>
        <w:rPr>
          <w:lang w:val="en-CA"/>
        </w:rPr>
        <w:t>to the facts of this case, I</w:t>
      </w:r>
      <w:r w:rsidR="003F5A58">
        <w:rPr>
          <w:lang w:val="en-CA"/>
        </w:rPr>
        <w:t> </w:t>
      </w:r>
      <w:r>
        <w:rPr>
          <w:lang w:val="en-CA"/>
        </w:rPr>
        <w:t xml:space="preserve">find </w:t>
      </w:r>
      <w:r w:rsidR="003F5A58">
        <w:rPr>
          <w:lang w:val="en-CA"/>
        </w:rPr>
        <w:t>no serious risk</w:t>
      </w:r>
      <w:r>
        <w:rPr>
          <w:lang w:val="en-CA"/>
        </w:rPr>
        <w:t xml:space="preserve"> to the public interest </w:t>
      </w:r>
      <w:r w:rsidR="001F1B42">
        <w:rPr>
          <w:lang w:val="en-CA"/>
        </w:rPr>
        <w:t>in</w:t>
      </w:r>
      <w:r>
        <w:rPr>
          <w:lang w:val="en-CA"/>
        </w:rPr>
        <w:t xml:space="preserve"> privacy, as defined </w:t>
      </w:r>
      <w:r w:rsidR="003F5A58">
        <w:rPr>
          <w:lang w:val="en-CA"/>
        </w:rPr>
        <w:t>in terms of</w:t>
      </w:r>
      <w:r>
        <w:rPr>
          <w:lang w:val="en-CA"/>
        </w:rPr>
        <w:t xml:space="preserve"> dignity</w:t>
      </w:r>
      <w:r w:rsidR="003F5A58">
        <w:rPr>
          <w:lang w:val="en-CA"/>
        </w:rPr>
        <w:t xml:space="preserve">. As for the </w:t>
      </w:r>
      <w:r w:rsidR="00927289">
        <w:rPr>
          <w:lang w:val="en-CA"/>
        </w:rPr>
        <w:t>issue</w:t>
      </w:r>
      <w:r w:rsidR="003F5A58">
        <w:rPr>
          <w:lang w:val="en-CA"/>
        </w:rPr>
        <w:t xml:space="preserve"> of sensitivity, the information in the record discloses nothing particularly private about A.B. The legal proceedings in themselves may well cause him inconvenience and possibly embarrassment, but he has not shown that he would be required to reveal biographical information </w:t>
      </w:r>
      <w:r w:rsidR="00927289">
        <w:rPr>
          <w:lang w:val="en-CA"/>
        </w:rPr>
        <w:t xml:space="preserve">in a way </w:t>
      </w:r>
      <w:r w:rsidR="003F5A58">
        <w:rPr>
          <w:lang w:val="en-CA"/>
        </w:rPr>
        <w:t xml:space="preserve">that would </w:t>
      </w:r>
      <w:r w:rsidR="00927289">
        <w:rPr>
          <w:lang w:val="en-CA"/>
        </w:rPr>
        <w:t>erode his</w:t>
      </w:r>
      <w:r w:rsidR="003F5A58">
        <w:rPr>
          <w:lang w:val="en-CA"/>
        </w:rPr>
        <w:t xml:space="preserve"> control over the expression of his identity</w:t>
      </w:r>
      <w:r w:rsidR="001F1B42">
        <w:rPr>
          <w:lang w:val="en-CA"/>
        </w:rPr>
        <w:t xml:space="preserve">. His privacy could well be disturbed, but he has not shown that the relevant privacy interest in personal dignity </w:t>
      </w:r>
      <w:r w:rsidR="00F772AF">
        <w:rPr>
          <w:lang w:val="en-CA"/>
        </w:rPr>
        <w:t>is</w:t>
      </w:r>
      <w:r w:rsidR="001F1B42">
        <w:rPr>
          <w:lang w:val="en-CA"/>
        </w:rPr>
        <w:t xml:space="preserve"> at serious risk.</w:t>
      </w:r>
      <w:r w:rsidR="00E01746" w:rsidRPr="00926147">
        <w:rPr>
          <w:rStyle w:val="Appelnotedebasdep"/>
          <w:color w:val="000000"/>
          <w:lang w:val="en-CA"/>
        </w:rPr>
        <w:footnoteReference w:id="34"/>
      </w:r>
    </w:p>
    <w:p w14:paraId="1A220587" w14:textId="77777777" w:rsidR="005D1AB3" w:rsidRDefault="00F747E9" w:rsidP="005D1AB3">
      <w:pPr>
        <w:pStyle w:val="Paragraphe"/>
        <w:spacing w:line="240" w:lineRule="auto"/>
        <w:rPr>
          <w:lang w:val="en-CA"/>
        </w:rPr>
      </w:pPr>
      <w:r w:rsidRPr="005D1AB3">
        <w:rPr>
          <w:lang w:val="en-CA"/>
        </w:rPr>
        <w:t>It has been determined that the information A.B. seeks to protect is not highly sensitive. This is sufficient to establish that</w:t>
      </w:r>
      <w:r w:rsidR="00E01746" w:rsidRPr="005D1AB3">
        <w:rPr>
          <w:lang w:val="en-CA"/>
        </w:rPr>
        <w:t xml:space="preserve"> </w:t>
      </w:r>
      <w:r w:rsidRPr="005D1AB3">
        <w:rPr>
          <w:lang w:val="en-CA"/>
        </w:rPr>
        <w:t xml:space="preserve">the necessity required by the first step of the applicable test has not been </w:t>
      </w:r>
      <w:r w:rsidR="00C438EB" w:rsidRPr="005D1AB3">
        <w:rPr>
          <w:lang w:val="en-CA"/>
        </w:rPr>
        <w:t>demonstrated</w:t>
      </w:r>
      <w:r w:rsidRPr="005D1AB3">
        <w:rPr>
          <w:lang w:val="en-CA"/>
        </w:rPr>
        <w:t>.</w:t>
      </w:r>
    </w:p>
    <w:p w14:paraId="263ACDFC" w14:textId="77777777" w:rsidR="005D1AB3" w:rsidRPr="005D1AB3" w:rsidRDefault="00C438EB" w:rsidP="005D1AB3">
      <w:pPr>
        <w:pStyle w:val="Paragraphe"/>
        <w:spacing w:line="240" w:lineRule="auto"/>
        <w:rPr>
          <w:lang w:val="en-CA"/>
        </w:rPr>
      </w:pPr>
      <w:r w:rsidRPr="005D1AB3">
        <w:rPr>
          <w:lang w:val="en-CA"/>
        </w:rPr>
        <w:t xml:space="preserve">Since A.B.’s application for depersonalization is not granted, it is unnecessary to answer the respondent’s question </w:t>
      </w:r>
      <w:r w:rsidR="005D1AB3" w:rsidRPr="005D1AB3">
        <w:rPr>
          <w:lang w:val="en-CA"/>
        </w:rPr>
        <w:t xml:space="preserve">as to </w:t>
      </w:r>
      <w:r w:rsidRPr="005D1AB3">
        <w:rPr>
          <w:lang w:val="en-CA"/>
        </w:rPr>
        <w:t xml:space="preserve">whether a legal person — in this instance, </w:t>
      </w:r>
      <w:proofErr w:type="spellStart"/>
      <w:r w:rsidRPr="005D1AB3">
        <w:rPr>
          <w:lang w:val="en-CA"/>
        </w:rPr>
        <w:t>Fondation</w:t>
      </w:r>
      <w:proofErr w:type="spellEnd"/>
      <w:r w:rsidRPr="005D1AB3">
        <w:rPr>
          <w:lang w:val="en-CA"/>
        </w:rPr>
        <w:t xml:space="preserve"> A.B — is also entitled to anonymity so it can safeguard an important public interest in personal dignity. </w:t>
      </w:r>
      <w:r w:rsidR="00E01746" w:rsidRPr="005D1AB3">
        <w:rPr>
          <w:lang w:val="en-CA"/>
        </w:rPr>
        <w:t xml:space="preserve"> </w:t>
      </w:r>
    </w:p>
    <w:p w14:paraId="38FD0108" w14:textId="77777777" w:rsidR="005D1AB3" w:rsidRPr="005D1AB3" w:rsidRDefault="005D1AB3" w:rsidP="005D1AB3">
      <w:pPr>
        <w:pStyle w:val="Paragraphe"/>
        <w:spacing w:line="240" w:lineRule="auto"/>
        <w:rPr>
          <w:lang w:val="en-CA"/>
        </w:rPr>
      </w:pPr>
      <w:r w:rsidRPr="005D1AB3">
        <w:rPr>
          <w:lang w:val="en-CA"/>
        </w:rPr>
        <w:t>For these reasons, I would dismiss the appeal, with legal costs.</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3F1630" w:rsidRPr="00BA03A6" w14:paraId="183FB9C0" w14:textId="77777777" w:rsidTr="009D2928">
        <w:trPr>
          <w:cantSplit/>
          <w:trHeight w:val="277"/>
        </w:trPr>
        <w:tc>
          <w:tcPr>
            <w:tcW w:w="4735" w:type="dxa"/>
          </w:tcPr>
          <w:p w14:paraId="5D1D6A7E" w14:textId="77777777" w:rsidR="009D2928" w:rsidRPr="00EF5A81" w:rsidRDefault="009D2928" w:rsidP="00CA6189">
            <w:pPr>
              <w:spacing w:line="240" w:lineRule="auto"/>
              <w:rPr>
                <w:lang w:val="en-CA"/>
              </w:rPr>
            </w:pPr>
          </w:p>
        </w:tc>
        <w:tc>
          <w:tcPr>
            <w:tcW w:w="4625" w:type="dxa"/>
          </w:tcPr>
          <w:p w14:paraId="4C8B54C4" w14:textId="77777777" w:rsidR="009D2928" w:rsidRPr="00EF5A81" w:rsidRDefault="009D2928" w:rsidP="00CA6189">
            <w:pPr>
              <w:spacing w:line="240" w:lineRule="auto"/>
              <w:rPr>
                <w:lang w:val="en-CA"/>
              </w:rPr>
            </w:pPr>
          </w:p>
        </w:tc>
      </w:tr>
      <w:tr w:rsidR="003F1630" w:rsidRPr="00BA03A6" w14:paraId="5E0FBBE4" w14:textId="77777777" w:rsidTr="009D2928">
        <w:trPr>
          <w:cantSplit/>
          <w:trHeight w:val="277"/>
        </w:trPr>
        <w:tc>
          <w:tcPr>
            <w:tcW w:w="4735" w:type="dxa"/>
          </w:tcPr>
          <w:p w14:paraId="5FC5A65B" w14:textId="77777777" w:rsidR="009D2928" w:rsidRPr="00EF5A81" w:rsidRDefault="009D2928" w:rsidP="00CA6189">
            <w:pPr>
              <w:spacing w:line="240" w:lineRule="auto"/>
              <w:rPr>
                <w:lang w:val="en-CA"/>
              </w:rPr>
            </w:pPr>
          </w:p>
        </w:tc>
        <w:tc>
          <w:tcPr>
            <w:tcW w:w="4625" w:type="dxa"/>
          </w:tcPr>
          <w:p w14:paraId="3C8BE652" w14:textId="77777777" w:rsidR="009D2928" w:rsidRPr="00EF5A81" w:rsidRDefault="009D2928" w:rsidP="00CA6189">
            <w:pPr>
              <w:spacing w:line="240" w:lineRule="auto"/>
              <w:rPr>
                <w:lang w:val="en-CA"/>
              </w:rPr>
            </w:pPr>
          </w:p>
        </w:tc>
      </w:tr>
      <w:tr w:rsidR="003F1630" w:rsidRPr="00BA03A6" w14:paraId="7CB47004" w14:textId="77777777" w:rsidTr="009D2928">
        <w:trPr>
          <w:cantSplit/>
          <w:trHeight w:val="277"/>
        </w:trPr>
        <w:tc>
          <w:tcPr>
            <w:tcW w:w="4735" w:type="dxa"/>
            <w:vMerge w:val="restart"/>
          </w:tcPr>
          <w:p w14:paraId="1CA80D72" w14:textId="77777777" w:rsidR="009F612A" w:rsidRPr="00EF5A81" w:rsidRDefault="009F612A" w:rsidP="00CA6189">
            <w:pPr>
              <w:spacing w:line="240" w:lineRule="auto"/>
              <w:rPr>
                <w:lang w:val="en-CA"/>
              </w:rPr>
            </w:pPr>
          </w:p>
          <w:p w14:paraId="76188C4D" w14:textId="77777777" w:rsidR="009F612A" w:rsidRPr="00EF5A81" w:rsidRDefault="009F612A" w:rsidP="00CA6189">
            <w:pPr>
              <w:spacing w:line="240" w:lineRule="auto"/>
              <w:rPr>
                <w:lang w:val="en-CA"/>
              </w:rPr>
            </w:pPr>
          </w:p>
          <w:p w14:paraId="26CB6787" w14:textId="77777777" w:rsidR="009F612A" w:rsidRPr="00EF5A81" w:rsidRDefault="009F612A" w:rsidP="00CA6189">
            <w:pPr>
              <w:spacing w:line="240" w:lineRule="auto"/>
              <w:rPr>
                <w:lang w:val="en-CA"/>
              </w:rPr>
            </w:pPr>
          </w:p>
          <w:p w14:paraId="644F5BC4" w14:textId="77777777" w:rsidR="009F612A" w:rsidRPr="00EF5A81" w:rsidRDefault="009F612A" w:rsidP="00CA6189">
            <w:pPr>
              <w:spacing w:line="240" w:lineRule="auto"/>
              <w:rPr>
                <w:lang w:val="en-CA"/>
              </w:rPr>
            </w:pPr>
          </w:p>
        </w:tc>
        <w:tc>
          <w:tcPr>
            <w:tcW w:w="4625" w:type="dxa"/>
            <w:tcBorders>
              <w:bottom w:val="single" w:sz="8" w:space="0" w:color="auto"/>
            </w:tcBorders>
          </w:tcPr>
          <w:p w14:paraId="5380511C" w14:textId="77777777" w:rsidR="009F612A" w:rsidRPr="00EF5A81" w:rsidRDefault="009F612A" w:rsidP="00CA6189">
            <w:pPr>
              <w:spacing w:line="240" w:lineRule="auto"/>
              <w:rPr>
                <w:lang w:val="en-CA"/>
              </w:rPr>
            </w:pPr>
          </w:p>
        </w:tc>
      </w:tr>
      <w:tr w:rsidR="003F1630" w:rsidRPr="00926147" w14:paraId="19F71812" w14:textId="77777777" w:rsidTr="00CA6189">
        <w:trPr>
          <w:cantSplit/>
          <w:trHeight w:val="276"/>
        </w:trPr>
        <w:tc>
          <w:tcPr>
            <w:tcW w:w="4735" w:type="dxa"/>
            <w:vMerge/>
          </w:tcPr>
          <w:p w14:paraId="313A4948" w14:textId="77777777" w:rsidR="009F612A" w:rsidRPr="00EF5A81" w:rsidRDefault="009F612A" w:rsidP="00CA6189">
            <w:pPr>
              <w:spacing w:line="240" w:lineRule="auto"/>
              <w:rPr>
                <w:lang w:val="en-CA"/>
              </w:rPr>
            </w:pPr>
          </w:p>
        </w:tc>
        <w:tc>
          <w:tcPr>
            <w:tcW w:w="4625" w:type="dxa"/>
          </w:tcPr>
          <w:p w14:paraId="241A2480" w14:textId="77777777" w:rsidR="009F612A" w:rsidRPr="007C11EE" w:rsidRDefault="00423A1D" w:rsidP="00CA6189">
            <w:pPr>
              <w:spacing w:line="240" w:lineRule="auto"/>
            </w:pPr>
            <w:r w:rsidRPr="007C11EE">
              <w:t>SOPHIE LAVALLÉE, J.C.A.</w:t>
            </w:r>
          </w:p>
        </w:tc>
      </w:tr>
      <w:bookmarkEnd w:id="11"/>
    </w:tbl>
    <w:p w14:paraId="37632EA6" w14:textId="77777777" w:rsidR="00740A17" w:rsidRPr="007C11EE" w:rsidRDefault="00740A17" w:rsidP="00E65A68"/>
    <w:sectPr w:rsidR="00740A17" w:rsidRPr="007C11EE" w:rsidSect="003A59AD">
      <w:headerReference w:type="even" r:id="rId11"/>
      <w:headerReference w:type="default" r:id="rId12"/>
      <w:headerReference w:type="first" r:id="rId13"/>
      <w:pgSz w:w="12242" w:h="15842" w:code="1"/>
      <w:pgMar w:top="1440" w:right="1009" w:bottom="1440" w:left="1871" w:header="1440" w:footer="79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63E1" w14:textId="77777777" w:rsidR="00531D07" w:rsidRDefault="00531D07">
      <w:pPr>
        <w:spacing w:line="240" w:lineRule="auto"/>
      </w:pPr>
      <w:r>
        <w:separator/>
      </w:r>
    </w:p>
  </w:endnote>
  <w:endnote w:type="continuationSeparator" w:id="0">
    <w:p w14:paraId="03F6FFDE" w14:textId="77777777" w:rsidR="00531D07" w:rsidRDefault="00531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BCB4" w14:textId="77777777" w:rsidR="00531D07" w:rsidRDefault="00531D07">
      <w:r>
        <w:separator/>
      </w:r>
    </w:p>
  </w:footnote>
  <w:footnote w:type="continuationSeparator" w:id="0">
    <w:p w14:paraId="20AC4964" w14:textId="77777777" w:rsidR="00531D07" w:rsidRDefault="00531D07">
      <w:r>
        <w:continuationSeparator/>
      </w:r>
    </w:p>
  </w:footnote>
  <w:footnote w:id="1">
    <w:p w14:paraId="30DD8F46" w14:textId="77777777" w:rsidR="009F612A" w:rsidRPr="00D86506" w:rsidRDefault="00E01746" w:rsidP="009F612A">
      <w:pPr>
        <w:pStyle w:val="Notedebasdepage"/>
        <w:rPr>
          <w:lang w:val="en-CA"/>
        </w:rPr>
      </w:pPr>
      <w:r>
        <w:rPr>
          <w:rStyle w:val="Appelnotedebasdep"/>
        </w:rPr>
        <w:footnoteRef/>
      </w:r>
      <w:r w:rsidRPr="007C11EE">
        <w:rPr>
          <w:lang w:val="en-CA"/>
        </w:rPr>
        <w:t xml:space="preserve"> </w:t>
      </w:r>
      <w:r w:rsidRPr="007C11EE">
        <w:rPr>
          <w:lang w:val="en-CA"/>
        </w:rPr>
        <w:tab/>
      </w:r>
      <w:r w:rsidRPr="00D86506">
        <w:rPr>
          <w:i/>
          <w:lang w:val="en-CA"/>
        </w:rPr>
        <w:t>A.B. c. Robillard</w:t>
      </w:r>
      <w:r w:rsidRPr="00D86506">
        <w:rPr>
          <w:lang w:val="en-CA"/>
        </w:rPr>
        <w:t>, 2021 QCCS 2550 [</w:t>
      </w:r>
      <w:r w:rsidR="002A6B58" w:rsidRPr="00D86506">
        <w:rPr>
          <w:lang w:val="en-CA"/>
        </w:rPr>
        <w:t>judgment under appeal</w:t>
      </w:r>
      <w:r w:rsidRPr="00D86506">
        <w:rPr>
          <w:lang w:val="en-CA"/>
        </w:rPr>
        <w:t>].</w:t>
      </w:r>
    </w:p>
  </w:footnote>
  <w:footnote w:id="2">
    <w:p w14:paraId="3ECE2E05"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2A6B58" w:rsidRPr="00D86506">
        <w:rPr>
          <w:lang w:val="en-CA"/>
        </w:rPr>
        <w:t>Sworn statement of A.B.</w:t>
      </w:r>
      <w:r w:rsidRPr="00D86506">
        <w:rPr>
          <w:lang w:val="en-CA"/>
        </w:rPr>
        <w:t xml:space="preserve"> </w:t>
      </w:r>
      <w:r w:rsidR="002A6B58" w:rsidRPr="00D86506">
        <w:rPr>
          <w:lang w:val="en-CA"/>
        </w:rPr>
        <w:t xml:space="preserve">at </w:t>
      </w:r>
      <w:r w:rsidRPr="00D86506">
        <w:rPr>
          <w:lang w:val="en-CA"/>
        </w:rPr>
        <w:t>para</w:t>
      </w:r>
      <w:r w:rsidR="002A6B58" w:rsidRPr="00D86506">
        <w:rPr>
          <w:lang w:val="en-CA"/>
        </w:rPr>
        <w:t>s</w:t>
      </w:r>
      <w:r w:rsidR="000B5AF4">
        <w:rPr>
          <w:lang w:val="en-CA"/>
        </w:rPr>
        <w:t xml:space="preserve">. </w:t>
      </w:r>
      <w:r w:rsidRPr="00D86506">
        <w:rPr>
          <w:lang w:val="en-CA"/>
        </w:rPr>
        <w:t>1</w:t>
      </w:r>
      <w:r w:rsidR="00DE3CCA">
        <w:rPr>
          <w:lang w:val="en-CA"/>
        </w:rPr>
        <w:t>–</w:t>
      </w:r>
      <w:r w:rsidRPr="00D86506">
        <w:rPr>
          <w:lang w:val="en-CA"/>
        </w:rPr>
        <w:t>6.</w:t>
      </w:r>
    </w:p>
  </w:footnote>
  <w:footnote w:id="3">
    <w:p w14:paraId="06C85B7F"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I</w:t>
      </w:r>
      <w:r w:rsidR="002A6B58" w:rsidRPr="00D86506">
        <w:rPr>
          <w:i/>
          <w:lang w:val="en-CA"/>
        </w:rPr>
        <w:t>bi</w:t>
      </w:r>
      <w:r w:rsidRPr="00D86506">
        <w:rPr>
          <w:i/>
          <w:lang w:val="en-CA"/>
        </w:rPr>
        <w:t>d.</w:t>
      </w:r>
      <w:r w:rsidRPr="00D86506">
        <w:rPr>
          <w:lang w:val="en-CA"/>
        </w:rPr>
        <w:t xml:space="preserve"> </w:t>
      </w:r>
      <w:r w:rsidR="002A6B58" w:rsidRPr="00D86506">
        <w:rPr>
          <w:lang w:val="en-CA"/>
        </w:rPr>
        <w:t xml:space="preserve">at </w:t>
      </w:r>
      <w:r w:rsidRPr="00D86506">
        <w:rPr>
          <w:lang w:val="en-CA"/>
        </w:rPr>
        <w:t>para</w:t>
      </w:r>
      <w:r w:rsidR="002A6B58" w:rsidRPr="00D86506">
        <w:rPr>
          <w:lang w:val="en-CA"/>
        </w:rPr>
        <w:t>s</w:t>
      </w:r>
      <w:r w:rsidRPr="00D86506">
        <w:rPr>
          <w:lang w:val="en-CA"/>
        </w:rPr>
        <w:t>. 5</w:t>
      </w:r>
      <w:r w:rsidR="00DE3CCA">
        <w:rPr>
          <w:lang w:val="en-CA"/>
        </w:rPr>
        <w:t>–</w:t>
      </w:r>
      <w:r w:rsidRPr="00D86506">
        <w:rPr>
          <w:lang w:val="en-CA"/>
        </w:rPr>
        <w:t xml:space="preserve">7. </w:t>
      </w:r>
    </w:p>
  </w:footnote>
  <w:footnote w:id="4">
    <w:p w14:paraId="4F6ADD45"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t>Ju</w:t>
      </w:r>
      <w:r w:rsidR="002A6B58" w:rsidRPr="00D86506">
        <w:rPr>
          <w:lang w:val="en-CA"/>
        </w:rPr>
        <w:t>d</w:t>
      </w:r>
      <w:r w:rsidRPr="00D86506">
        <w:rPr>
          <w:lang w:val="en-CA"/>
        </w:rPr>
        <w:t xml:space="preserve">gment </w:t>
      </w:r>
      <w:r w:rsidR="002A6B58" w:rsidRPr="00D86506">
        <w:rPr>
          <w:lang w:val="en-CA"/>
        </w:rPr>
        <w:t xml:space="preserve">under appeal at </w:t>
      </w:r>
      <w:r w:rsidRPr="00D86506">
        <w:rPr>
          <w:lang w:val="en-CA"/>
        </w:rPr>
        <w:t>para. 21.</w:t>
      </w:r>
    </w:p>
  </w:footnote>
  <w:footnote w:id="5">
    <w:p w14:paraId="51B77A81"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I</w:t>
      </w:r>
      <w:r w:rsidR="002A6B58" w:rsidRPr="00D86506">
        <w:rPr>
          <w:i/>
          <w:lang w:val="en-CA"/>
        </w:rPr>
        <w:t>bi</w:t>
      </w:r>
      <w:r w:rsidRPr="00D86506">
        <w:rPr>
          <w:i/>
          <w:lang w:val="en-CA"/>
        </w:rPr>
        <w:t>d.</w:t>
      </w:r>
      <w:r w:rsidRPr="00D86506">
        <w:rPr>
          <w:lang w:val="en-CA"/>
        </w:rPr>
        <w:t xml:space="preserve"> </w:t>
      </w:r>
      <w:r w:rsidR="002A6B58" w:rsidRPr="00D86506">
        <w:rPr>
          <w:lang w:val="en-CA"/>
        </w:rPr>
        <w:t xml:space="preserve">at </w:t>
      </w:r>
      <w:r w:rsidRPr="00D86506">
        <w:rPr>
          <w:lang w:val="en-CA"/>
        </w:rPr>
        <w:t xml:space="preserve">para. 13; </w:t>
      </w:r>
      <w:r w:rsidR="002A6B58" w:rsidRPr="00D86506">
        <w:rPr>
          <w:lang w:val="en-CA"/>
        </w:rPr>
        <w:t xml:space="preserve">Sworn statement of </w:t>
      </w:r>
      <w:r w:rsidRPr="00D86506">
        <w:rPr>
          <w:lang w:val="en-CA"/>
        </w:rPr>
        <w:t xml:space="preserve">A.B. </w:t>
      </w:r>
      <w:r w:rsidR="002A6B58" w:rsidRPr="00D86506">
        <w:rPr>
          <w:lang w:val="en-CA"/>
        </w:rPr>
        <w:t xml:space="preserve">at </w:t>
      </w:r>
      <w:r w:rsidRPr="00D86506">
        <w:rPr>
          <w:lang w:val="en-CA"/>
        </w:rPr>
        <w:t>para. 22.</w:t>
      </w:r>
    </w:p>
  </w:footnote>
  <w:footnote w:id="6">
    <w:p w14:paraId="06E389EC"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2A6B58" w:rsidRPr="00D86506">
        <w:rPr>
          <w:lang w:val="en-CA"/>
        </w:rPr>
        <w:t xml:space="preserve">Sworn statement of </w:t>
      </w:r>
      <w:r w:rsidRPr="00D86506">
        <w:rPr>
          <w:lang w:val="en-CA"/>
        </w:rPr>
        <w:t xml:space="preserve">A.B. </w:t>
      </w:r>
      <w:r w:rsidR="002A6B58" w:rsidRPr="00D86506">
        <w:rPr>
          <w:lang w:val="en-CA"/>
        </w:rPr>
        <w:t xml:space="preserve">at </w:t>
      </w:r>
      <w:r w:rsidRPr="00D86506">
        <w:rPr>
          <w:lang w:val="en-CA"/>
        </w:rPr>
        <w:t>para. 24.</w:t>
      </w:r>
    </w:p>
  </w:footnote>
  <w:footnote w:id="7">
    <w:p w14:paraId="622EDB27"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 xml:space="preserve">Sherman </w:t>
      </w:r>
      <w:r w:rsidR="00D86506" w:rsidRPr="00D86506">
        <w:rPr>
          <w:i/>
          <w:lang w:val="en-CA"/>
        </w:rPr>
        <w:t>Estate</w:t>
      </w:r>
      <w:r w:rsidRPr="00D86506">
        <w:rPr>
          <w:i/>
          <w:lang w:val="en-CA"/>
        </w:rPr>
        <w:t xml:space="preserve"> </w:t>
      </w:r>
      <w:r w:rsidR="00D86506" w:rsidRPr="00D86506">
        <w:rPr>
          <w:i/>
          <w:lang w:val="en-CA"/>
        </w:rPr>
        <w:t>v</w:t>
      </w:r>
      <w:r w:rsidRPr="00D86506">
        <w:rPr>
          <w:i/>
          <w:lang w:val="en-CA"/>
        </w:rPr>
        <w:t>. Donovan</w:t>
      </w:r>
      <w:r w:rsidRPr="00D86506">
        <w:rPr>
          <w:lang w:val="en-CA"/>
        </w:rPr>
        <w:t xml:space="preserve">, 2021 </w:t>
      </w:r>
      <w:r w:rsidR="00D86506" w:rsidRPr="00D86506">
        <w:rPr>
          <w:lang w:val="en-CA"/>
        </w:rPr>
        <w:t>SCC</w:t>
      </w:r>
      <w:r w:rsidRPr="00D86506">
        <w:rPr>
          <w:lang w:val="en-CA"/>
        </w:rPr>
        <w:t xml:space="preserve"> 25 [</w:t>
      </w:r>
      <w:r w:rsidRPr="00D86506">
        <w:rPr>
          <w:i/>
          <w:lang w:val="en-CA"/>
        </w:rPr>
        <w:t>Sherman</w:t>
      </w:r>
      <w:r w:rsidRPr="00D86506">
        <w:rPr>
          <w:lang w:val="en-CA"/>
        </w:rPr>
        <w:t>].</w:t>
      </w:r>
    </w:p>
  </w:footnote>
  <w:footnote w:id="8">
    <w:p w14:paraId="3A9A5EC1"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t>Ju</w:t>
      </w:r>
      <w:r w:rsidR="002A6B58" w:rsidRPr="00D86506">
        <w:rPr>
          <w:lang w:val="en-CA"/>
        </w:rPr>
        <w:t>d</w:t>
      </w:r>
      <w:r w:rsidRPr="00D86506">
        <w:rPr>
          <w:lang w:val="en-CA"/>
        </w:rPr>
        <w:t xml:space="preserve">gment </w:t>
      </w:r>
      <w:r w:rsidR="002A6B58" w:rsidRPr="00D86506">
        <w:rPr>
          <w:lang w:val="en-CA"/>
        </w:rPr>
        <w:t xml:space="preserve">under appeal at </w:t>
      </w:r>
      <w:r w:rsidRPr="00D86506">
        <w:rPr>
          <w:lang w:val="en-CA"/>
        </w:rPr>
        <w:t>para. 72.</w:t>
      </w:r>
    </w:p>
  </w:footnote>
  <w:footnote w:id="9">
    <w:p w14:paraId="4F31E80E"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Sherman</w:t>
      </w:r>
      <w:r w:rsidRPr="00D86506">
        <w:rPr>
          <w:lang w:val="en-CA"/>
        </w:rPr>
        <w:t xml:space="preserve">, </w:t>
      </w:r>
      <w:r w:rsidR="0049054D">
        <w:rPr>
          <w:i/>
          <w:lang w:val="en-CA"/>
        </w:rPr>
        <w:t xml:space="preserve">supra </w:t>
      </w:r>
      <w:r w:rsidR="0049054D" w:rsidRPr="00AC22B1">
        <w:rPr>
          <w:iCs/>
          <w:lang w:val="en-CA"/>
        </w:rPr>
        <w:t>note</w:t>
      </w:r>
      <w:r w:rsidRPr="00D86506">
        <w:rPr>
          <w:lang w:val="en-CA"/>
        </w:rPr>
        <w:t xml:space="preserve"> 7</w:t>
      </w:r>
      <w:r w:rsidR="001C5F1F">
        <w:rPr>
          <w:lang w:val="en-CA"/>
        </w:rPr>
        <w:t xml:space="preserve"> </w:t>
      </w:r>
      <w:r w:rsidR="00B85E9D">
        <w:rPr>
          <w:lang w:val="en-CA"/>
        </w:rPr>
        <w:t>at para.</w:t>
      </w:r>
      <w:r w:rsidRPr="00D86506">
        <w:rPr>
          <w:lang w:val="en-CA"/>
        </w:rPr>
        <w:t xml:space="preserve"> 38.</w:t>
      </w:r>
    </w:p>
  </w:footnote>
  <w:footnote w:id="10">
    <w:p w14:paraId="48A0480A"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B85E9D">
        <w:rPr>
          <w:i/>
          <w:lang w:val="en-CA"/>
        </w:rPr>
        <w:t>Ibid.</w:t>
      </w:r>
      <w:r w:rsidR="001C5F1F">
        <w:rPr>
          <w:i/>
          <w:lang w:val="en-CA"/>
        </w:rPr>
        <w:t xml:space="preserve"> </w:t>
      </w:r>
      <w:r w:rsidR="00B85E9D">
        <w:rPr>
          <w:lang w:val="en-CA"/>
        </w:rPr>
        <w:t>at para.</w:t>
      </w:r>
      <w:r w:rsidRPr="00D86506">
        <w:rPr>
          <w:lang w:val="en-CA"/>
        </w:rPr>
        <w:t xml:space="preserve"> 1.</w:t>
      </w:r>
    </w:p>
  </w:footnote>
  <w:footnote w:id="11">
    <w:p w14:paraId="47F87123" w14:textId="77777777" w:rsidR="009F612A" w:rsidRPr="00E41DB2" w:rsidRDefault="00E01746" w:rsidP="009F612A">
      <w:pPr>
        <w:pStyle w:val="Notedebasdepage"/>
        <w:rPr>
          <w:highlight w:val="green"/>
          <w:lang w:val="en-CA"/>
        </w:rPr>
      </w:pPr>
      <w:r w:rsidRPr="00D86506">
        <w:rPr>
          <w:rStyle w:val="Appelnotedebasdep"/>
          <w:lang w:val="en-CA"/>
        </w:rPr>
        <w:footnoteRef/>
      </w:r>
      <w:r w:rsidRPr="00D86506">
        <w:rPr>
          <w:lang w:val="en-CA"/>
        </w:rPr>
        <w:t xml:space="preserve"> </w:t>
      </w:r>
      <w:r w:rsidRPr="00D86506">
        <w:rPr>
          <w:lang w:val="en-CA"/>
        </w:rPr>
        <w:tab/>
      </w:r>
      <w:r w:rsidR="00B85E9D" w:rsidRPr="001D2C15">
        <w:rPr>
          <w:i/>
          <w:lang w:val="en-CA"/>
        </w:rPr>
        <w:t>Ibid.</w:t>
      </w:r>
      <w:r w:rsidR="001C5F1F" w:rsidRPr="001D2C15">
        <w:rPr>
          <w:i/>
          <w:lang w:val="en-CA"/>
        </w:rPr>
        <w:t xml:space="preserve"> </w:t>
      </w:r>
      <w:r w:rsidR="00B85E9D" w:rsidRPr="001D2C15">
        <w:rPr>
          <w:lang w:val="en-CA"/>
        </w:rPr>
        <w:t>at para.</w:t>
      </w:r>
      <w:r w:rsidRPr="001D2C15">
        <w:rPr>
          <w:lang w:val="en-CA"/>
        </w:rPr>
        <w:t xml:space="preserve"> 3</w:t>
      </w:r>
      <w:r w:rsidR="00C640E4">
        <w:rPr>
          <w:lang w:val="en-CA"/>
        </w:rPr>
        <w:t>3</w:t>
      </w:r>
      <w:r w:rsidRPr="001D2C15">
        <w:rPr>
          <w:lang w:val="en-CA"/>
        </w:rPr>
        <w:t>.</w:t>
      </w:r>
    </w:p>
  </w:footnote>
  <w:footnote w:id="12">
    <w:p w14:paraId="21192CD3" w14:textId="77777777" w:rsidR="009F612A" w:rsidRPr="00D86506" w:rsidRDefault="00E01746" w:rsidP="009F612A">
      <w:pPr>
        <w:pStyle w:val="Notedebasdepage"/>
        <w:rPr>
          <w:highlight w:val="yellow"/>
          <w:lang w:val="en-CA"/>
        </w:rPr>
      </w:pPr>
      <w:r w:rsidRPr="001D2C15">
        <w:rPr>
          <w:rStyle w:val="Appelnotedebasdep"/>
          <w:lang w:val="en-CA"/>
        </w:rPr>
        <w:footnoteRef/>
      </w:r>
      <w:r w:rsidRPr="001D2C15">
        <w:rPr>
          <w:lang w:val="en-CA"/>
        </w:rPr>
        <w:t xml:space="preserve"> </w:t>
      </w:r>
      <w:r w:rsidRPr="001D2C15">
        <w:rPr>
          <w:lang w:val="en-CA"/>
        </w:rPr>
        <w:tab/>
      </w:r>
      <w:r w:rsidR="00B85E9D" w:rsidRPr="001D2C15">
        <w:rPr>
          <w:i/>
          <w:lang w:val="en-CA"/>
        </w:rPr>
        <w:t>Ibid.</w:t>
      </w:r>
      <w:r w:rsidR="001C5F1F" w:rsidRPr="001D2C15">
        <w:rPr>
          <w:i/>
          <w:lang w:val="en-CA"/>
        </w:rPr>
        <w:t xml:space="preserve"> </w:t>
      </w:r>
      <w:r w:rsidR="00B85E9D" w:rsidRPr="001D2C15">
        <w:rPr>
          <w:lang w:val="en-CA"/>
        </w:rPr>
        <w:t>at para.</w:t>
      </w:r>
      <w:r w:rsidRPr="001D2C15">
        <w:rPr>
          <w:lang w:val="en-CA"/>
        </w:rPr>
        <w:t xml:space="preserve"> 7</w:t>
      </w:r>
      <w:r w:rsidR="00C640E4">
        <w:rPr>
          <w:lang w:val="en-CA"/>
        </w:rPr>
        <w:t>5</w:t>
      </w:r>
      <w:r w:rsidRPr="001D2C15">
        <w:rPr>
          <w:lang w:val="en-CA"/>
        </w:rPr>
        <w:t>.</w:t>
      </w:r>
      <w:r w:rsidR="00926147" w:rsidRPr="001D2C15">
        <w:rPr>
          <w:lang w:val="en-CA"/>
        </w:rPr>
        <w:t xml:space="preserve"> </w:t>
      </w:r>
    </w:p>
  </w:footnote>
  <w:footnote w:id="13">
    <w:p w14:paraId="5DD95DB6"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Vancouver Sun (Re)</w:t>
      </w:r>
      <w:r w:rsidRPr="00D86506">
        <w:rPr>
          <w:lang w:val="en-CA"/>
        </w:rPr>
        <w:t xml:space="preserve">, 2004 </w:t>
      </w:r>
      <w:r w:rsidR="000A5BD7">
        <w:rPr>
          <w:lang w:val="en-CA"/>
        </w:rPr>
        <w:t>SC</w:t>
      </w:r>
      <w:r w:rsidRPr="00D86506">
        <w:rPr>
          <w:lang w:val="en-CA"/>
        </w:rPr>
        <w:t xml:space="preserve">C 43, [2004] 2 </w:t>
      </w:r>
      <w:r w:rsidR="000A5BD7">
        <w:rPr>
          <w:lang w:val="en-CA"/>
        </w:rPr>
        <w:t>S.C.R.</w:t>
      </w:r>
      <w:r w:rsidRPr="00D86506">
        <w:rPr>
          <w:lang w:val="en-CA"/>
        </w:rPr>
        <w:t xml:space="preserve"> 332</w:t>
      </w:r>
      <w:r w:rsidR="00C46079">
        <w:rPr>
          <w:lang w:val="en-CA"/>
        </w:rPr>
        <w:t xml:space="preserve"> </w:t>
      </w:r>
      <w:r w:rsidR="00B85E9D">
        <w:rPr>
          <w:lang w:val="en-CA"/>
        </w:rPr>
        <w:t>at para.</w:t>
      </w:r>
      <w:r w:rsidRPr="00D86506">
        <w:rPr>
          <w:lang w:val="en-CA"/>
        </w:rPr>
        <w:t xml:space="preserve"> 24, </w:t>
      </w:r>
      <w:r w:rsidR="000A5BD7">
        <w:rPr>
          <w:lang w:val="en-CA"/>
        </w:rPr>
        <w:t xml:space="preserve">quoting </w:t>
      </w:r>
      <w:r w:rsidRPr="00D86506">
        <w:rPr>
          <w:lang w:val="en-CA"/>
        </w:rPr>
        <w:t>Jeremy Bentham.</w:t>
      </w:r>
    </w:p>
  </w:footnote>
  <w:footnote w:id="14">
    <w:p w14:paraId="76ECFEC2"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021375" w:rsidRPr="007C11EE">
        <w:rPr>
          <w:i/>
          <w:iCs/>
          <w:lang w:val="en-CA"/>
        </w:rPr>
        <w:t>Canadian Broadcasting Corp. v. New Brunswick (Attorney General)</w:t>
      </w:r>
      <w:r w:rsidR="00021375" w:rsidRPr="007C11EE">
        <w:rPr>
          <w:lang w:val="en-CA"/>
        </w:rPr>
        <w:t xml:space="preserve">, </w:t>
      </w:r>
      <w:r w:rsidRPr="00D86506">
        <w:rPr>
          <w:lang w:val="en-CA"/>
        </w:rPr>
        <w:t xml:space="preserve">[1996] 3 </w:t>
      </w:r>
      <w:r w:rsidR="00021375">
        <w:rPr>
          <w:lang w:val="en-CA"/>
        </w:rPr>
        <w:t>S.C.R.</w:t>
      </w:r>
      <w:r w:rsidRPr="00D86506">
        <w:rPr>
          <w:lang w:val="en-CA"/>
        </w:rPr>
        <w:t xml:space="preserve"> 480</w:t>
      </w:r>
      <w:r w:rsidR="00C46079">
        <w:rPr>
          <w:lang w:val="en-CA"/>
        </w:rPr>
        <w:t xml:space="preserve"> </w:t>
      </w:r>
      <w:r w:rsidR="00B85E9D">
        <w:rPr>
          <w:lang w:val="en-CA"/>
        </w:rPr>
        <w:t>at para.</w:t>
      </w:r>
      <w:r w:rsidRPr="00D86506">
        <w:rPr>
          <w:lang w:val="en-CA"/>
        </w:rPr>
        <w:t xml:space="preserve"> 22.</w:t>
      </w:r>
    </w:p>
  </w:footnote>
  <w:footnote w:id="15">
    <w:p w14:paraId="7CF64B0A"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 xml:space="preserve">Sherman, </w:t>
      </w:r>
      <w:r w:rsidR="0049054D">
        <w:rPr>
          <w:i/>
          <w:lang w:val="en-CA"/>
        </w:rPr>
        <w:t xml:space="preserve">supra </w:t>
      </w:r>
      <w:r w:rsidR="00FA7F44" w:rsidRPr="00FA7F44">
        <w:rPr>
          <w:lang w:val="en-CA"/>
        </w:rPr>
        <w:t>note</w:t>
      </w:r>
      <w:r w:rsidRPr="00D86506">
        <w:rPr>
          <w:lang w:val="en-CA"/>
        </w:rPr>
        <w:t xml:space="preserve"> 7</w:t>
      </w:r>
      <w:r w:rsidR="00C46079">
        <w:rPr>
          <w:lang w:val="en-CA"/>
        </w:rPr>
        <w:t xml:space="preserve"> </w:t>
      </w:r>
      <w:r w:rsidR="00B85E9D">
        <w:rPr>
          <w:lang w:val="en-CA"/>
        </w:rPr>
        <w:t>at para</w:t>
      </w:r>
      <w:r w:rsidR="00021375">
        <w:rPr>
          <w:lang w:val="en-CA"/>
        </w:rPr>
        <w:t>s</w:t>
      </w:r>
      <w:r w:rsidR="00B85E9D">
        <w:rPr>
          <w:lang w:val="en-CA"/>
        </w:rPr>
        <w:t>.</w:t>
      </w:r>
      <w:r w:rsidRPr="00D86506">
        <w:rPr>
          <w:lang w:val="en-CA"/>
        </w:rPr>
        <w:t xml:space="preserve"> 12 </w:t>
      </w:r>
      <w:r w:rsidR="00021375">
        <w:rPr>
          <w:lang w:val="en-CA"/>
        </w:rPr>
        <w:t>and</w:t>
      </w:r>
      <w:r w:rsidRPr="00D86506">
        <w:rPr>
          <w:lang w:val="en-CA"/>
        </w:rPr>
        <w:t xml:space="preserve"> 39; </w:t>
      </w:r>
      <w:r w:rsidRPr="00D86506">
        <w:rPr>
          <w:i/>
          <w:lang w:val="en-CA"/>
        </w:rPr>
        <w:t xml:space="preserve">Edmonton Journal </w:t>
      </w:r>
      <w:r w:rsidR="00021375">
        <w:rPr>
          <w:i/>
          <w:lang w:val="en-CA"/>
        </w:rPr>
        <w:t>v</w:t>
      </w:r>
      <w:r w:rsidRPr="00D86506">
        <w:rPr>
          <w:i/>
          <w:lang w:val="en-CA"/>
        </w:rPr>
        <w:t>. Alberta (</w:t>
      </w:r>
      <w:r w:rsidR="00021375">
        <w:rPr>
          <w:i/>
          <w:lang w:val="en-CA"/>
        </w:rPr>
        <w:t>Attorney General</w:t>
      </w:r>
      <w:r w:rsidRPr="00D86506">
        <w:rPr>
          <w:i/>
          <w:lang w:val="en-CA"/>
        </w:rPr>
        <w:t>)</w:t>
      </w:r>
      <w:r w:rsidRPr="00D86506">
        <w:rPr>
          <w:lang w:val="en-CA"/>
        </w:rPr>
        <w:t>, [1989]</w:t>
      </w:r>
      <w:r w:rsidR="00021375">
        <w:rPr>
          <w:lang w:val="en-CA"/>
        </w:rPr>
        <w:t> </w:t>
      </w:r>
      <w:r w:rsidRPr="00D86506">
        <w:rPr>
          <w:lang w:val="en-CA"/>
        </w:rPr>
        <w:t>2</w:t>
      </w:r>
      <w:r w:rsidR="00021375">
        <w:rPr>
          <w:lang w:val="en-CA"/>
        </w:rPr>
        <w:t> S.C.R.</w:t>
      </w:r>
      <w:r w:rsidRPr="00D86506">
        <w:rPr>
          <w:lang w:val="en-CA"/>
        </w:rPr>
        <w:t xml:space="preserve"> 1326 </w:t>
      </w:r>
      <w:r w:rsidR="00021375">
        <w:rPr>
          <w:lang w:val="en-CA"/>
        </w:rPr>
        <w:t xml:space="preserve">at </w:t>
      </w:r>
      <w:r w:rsidRPr="00D86506">
        <w:rPr>
          <w:lang w:val="en-CA"/>
        </w:rPr>
        <w:t>1337-1339</w:t>
      </w:r>
      <w:r w:rsidR="00021375">
        <w:rPr>
          <w:lang w:val="en-CA"/>
        </w:rPr>
        <w:t xml:space="preserve">, citing </w:t>
      </w:r>
      <w:r w:rsidRPr="00D86506">
        <w:rPr>
          <w:i/>
          <w:lang w:val="en-CA"/>
        </w:rPr>
        <w:t>Nova Scotia</w:t>
      </w:r>
      <w:r w:rsidR="00021375">
        <w:rPr>
          <w:i/>
          <w:lang w:val="en-CA"/>
        </w:rPr>
        <w:t xml:space="preserve"> (Attorney General)</w:t>
      </w:r>
      <w:r w:rsidRPr="00D86506">
        <w:rPr>
          <w:i/>
          <w:lang w:val="en-CA"/>
        </w:rPr>
        <w:t xml:space="preserve"> </w:t>
      </w:r>
      <w:r w:rsidR="00021375">
        <w:rPr>
          <w:i/>
          <w:lang w:val="en-CA"/>
        </w:rPr>
        <w:t>v</w:t>
      </w:r>
      <w:r w:rsidRPr="00D86506">
        <w:rPr>
          <w:i/>
          <w:lang w:val="en-CA"/>
        </w:rPr>
        <w:t xml:space="preserve">. </w:t>
      </w:r>
      <w:proofErr w:type="spellStart"/>
      <w:r w:rsidRPr="00D86506">
        <w:rPr>
          <w:i/>
          <w:lang w:val="en-CA"/>
        </w:rPr>
        <w:t>MacIntyre</w:t>
      </w:r>
      <w:proofErr w:type="spellEnd"/>
      <w:r w:rsidRPr="00D86506">
        <w:rPr>
          <w:lang w:val="en-CA"/>
        </w:rPr>
        <w:t>, [1982]</w:t>
      </w:r>
      <w:r w:rsidR="00021375">
        <w:rPr>
          <w:lang w:val="en-CA"/>
        </w:rPr>
        <w:t> </w:t>
      </w:r>
      <w:r w:rsidRPr="00D86506">
        <w:rPr>
          <w:lang w:val="en-CA"/>
        </w:rPr>
        <w:t>1</w:t>
      </w:r>
      <w:r w:rsidR="00021375">
        <w:rPr>
          <w:lang w:val="en-CA"/>
        </w:rPr>
        <w:t> </w:t>
      </w:r>
      <w:r w:rsidRPr="00D86506">
        <w:rPr>
          <w:lang w:val="en-CA"/>
        </w:rPr>
        <w:t>S.</w:t>
      </w:r>
      <w:r w:rsidR="00021375">
        <w:rPr>
          <w:lang w:val="en-CA"/>
        </w:rPr>
        <w:t>C.R. </w:t>
      </w:r>
      <w:r w:rsidRPr="00D86506">
        <w:rPr>
          <w:lang w:val="en-CA"/>
        </w:rPr>
        <w:t>175</w:t>
      </w:r>
      <w:r w:rsidR="00021375">
        <w:rPr>
          <w:lang w:val="en-CA"/>
        </w:rPr>
        <w:t xml:space="preserve"> at</w:t>
      </w:r>
      <w:r w:rsidRPr="00D86506">
        <w:rPr>
          <w:lang w:val="en-CA"/>
        </w:rPr>
        <w:t xml:space="preserve"> 185.</w:t>
      </w:r>
    </w:p>
  </w:footnote>
  <w:footnote w:id="16">
    <w:p w14:paraId="0FA9B480"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C46079">
        <w:rPr>
          <w:i/>
          <w:lang w:val="en-CA"/>
        </w:rPr>
        <w:t>Canadian Charter of Rights and Freedoms</w:t>
      </w:r>
      <w:r w:rsidRPr="00D86506">
        <w:rPr>
          <w:lang w:val="en-CA"/>
        </w:rPr>
        <w:t xml:space="preserve">, </w:t>
      </w:r>
      <w:r w:rsidR="00C46079">
        <w:rPr>
          <w:lang w:val="en-CA"/>
        </w:rPr>
        <w:t xml:space="preserve">Part </w:t>
      </w:r>
      <w:r w:rsidRPr="00D86506">
        <w:rPr>
          <w:lang w:val="en-CA"/>
        </w:rPr>
        <w:t xml:space="preserve">I </w:t>
      </w:r>
      <w:r w:rsidR="00C46079">
        <w:rPr>
          <w:lang w:val="en-CA"/>
        </w:rPr>
        <w:t xml:space="preserve">of the </w:t>
      </w:r>
      <w:r w:rsidR="00C46079">
        <w:rPr>
          <w:i/>
          <w:lang w:val="en-CA"/>
        </w:rPr>
        <w:t xml:space="preserve">Constitution Act, </w:t>
      </w:r>
      <w:r w:rsidRPr="00D86506">
        <w:rPr>
          <w:i/>
          <w:lang w:val="en-CA"/>
        </w:rPr>
        <w:t>1982</w:t>
      </w:r>
      <w:r w:rsidRPr="00D86506">
        <w:rPr>
          <w:lang w:val="en-CA"/>
        </w:rPr>
        <w:t xml:space="preserve">, </w:t>
      </w:r>
      <w:r w:rsidR="00C46079">
        <w:rPr>
          <w:lang w:val="en-CA"/>
        </w:rPr>
        <w:t>being Schedule </w:t>
      </w:r>
      <w:r w:rsidRPr="00D86506">
        <w:rPr>
          <w:lang w:val="en-CA"/>
        </w:rPr>
        <w:t xml:space="preserve">B </w:t>
      </w:r>
      <w:r w:rsidR="00C46079">
        <w:rPr>
          <w:lang w:val="en-CA"/>
        </w:rPr>
        <w:t>to the</w:t>
      </w:r>
      <w:r w:rsidRPr="00D86506">
        <w:rPr>
          <w:lang w:val="en-CA"/>
        </w:rPr>
        <w:t xml:space="preserve"> </w:t>
      </w:r>
      <w:r w:rsidRPr="00D86506">
        <w:rPr>
          <w:i/>
          <w:lang w:val="en-CA"/>
        </w:rPr>
        <w:t>Canada</w:t>
      </w:r>
      <w:r w:rsidR="00C46079">
        <w:rPr>
          <w:i/>
          <w:lang w:val="en-CA"/>
        </w:rPr>
        <w:t xml:space="preserve"> Act 1982</w:t>
      </w:r>
      <w:r w:rsidRPr="00D86506">
        <w:rPr>
          <w:i/>
          <w:lang w:val="en-CA"/>
        </w:rPr>
        <w:t xml:space="preserve"> (</w:t>
      </w:r>
      <w:r w:rsidR="00C46079">
        <w:rPr>
          <w:i/>
          <w:lang w:val="en-CA"/>
        </w:rPr>
        <w:t>U.K.</w:t>
      </w:r>
      <w:r w:rsidRPr="00D86506">
        <w:rPr>
          <w:i/>
          <w:lang w:val="en-CA"/>
        </w:rPr>
        <w:t>)</w:t>
      </w:r>
      <w:r w:rsidRPr="00D86506">
        <w:rPr>
          <w:lang w:val="en-CA"/>
        </w:rPr>
        <w:t>, 1982, c. 11.</w:t>
      </w:r>
    </w:p>
  </w:footnote>
  <w:footnote w:id="17">
    <w:p w14:paraId="7C7E3B55"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Sherman</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7</w:t>
      </w:r>
      <w:r w:rsidR="006A24B9">
        <w:rPr>
          <w:lang w:val="en-CA"/>
        </w:rPr>
        <w:t xml:space="preserve"> </w:t>
      </w:r>
      <w:r w:rsidR="00B85E9D">
        <w:rPr>
          <w:lang w:val="en-CA"/>
        </w:rPr>
        <w:t>at para</w:t>
      </w:r>
      <w:r w:rsidR="00DB3FD7">
        <w:rPr>
          <w:lang w:val="en-CA"/>
        </w:rPr>
        <w:t>s</w:t>
      </w:r>
      <w:r w:rsidR="00B85E9D">
        <w:rPr>
          <w:lang w:val="en-CA"/>
        </w:rPr>
        <w:t>.</w:t>
      </w:r>
      <w:r w:rsidRPr="00D86506">
        <w:rPr>
          <w:lang w:val="en-CA"/>
        </w:rPr>
        <w:t xml:space="preserve"> </w:t>
      </w:r>
      <w:r w:rsidRPr="007C11EE">
        <w:rPr>
          <w:lang w:val="en-CA"/>
        </w:rPr>
        <w:t xml:space="preserve">30 </w:t>
      </w:r>
      <w:r w:rsidR="00DB3FD7" w:rsidRPr="007C11EE">
        <w:rPr>
          <w:lang w:val="en-CA"/>
        </w:rPr>
        <w:t>and</w:t>
      </w:r>
      <w:r w:rsidRPr="007C11EE">
        <w:rPr>
          <w:lang w:val="en-CA"/>
        </w:rPr>
        <w:t xml:space="preserve"> 39</w:t>
      </w:r>
      <w:r w:rsidR="00DB3FD7" w:rsidRPr="007C11EE">
        <w:rPr>
          <w:lang w:val="en-CA"/>
        </w:rPr>
        <w:t>;</w:t>
      </w:r>
      <w:r w:rsidRPr="007C11EE">
        <w:rPr>
          <w:lang w:val="en-CA"/>
        </w:rPr>
        <w:t xml:space="preserve"> </w:t>
      </w:r>
      <w:r w:rsidRPr="007C11EE">
        <w:rPr>
          <w:i/>
          <w:lang w:val="en-CA"/>
        </w:rPr>
        <w:t>Vancouver Sun (Re)</w:t>
      </w:r>
      <w:r w:rsidRPr="007C11EE">
        <w:rPr>
          <w:lang w:val="en-CA"/>
        </w:rPr>
        <w:t xml:space="preserve">, </w:t>
      </w:r>
      <w:r w:rsidR="0049054D" w:rsidRPr="007C11EE">
        <w:rPr>
          <w:i/>
          <w:lang w:val="en-CA"/>
        </w:rPr>
        <w:t xml:space="preserve">supra </w:t>
      </w:r>
      <w:r w:rsidR="00FA7F44" w:rsidRPr="00FA7F44">
        <w:rPr>
          <w:lang w:val="en-CA"/>
        </w:rPr>
        <w:t>note</w:t>
      </w:r>
      <w:r w:rsidRPr="007C11EE">
        <w:rPr>
          <w:lang w:val="en-CA"/>
        </w:rPr>
        <w:t xml:space="preserve"> 13</w:t>
      </w:r>
      <w:r w:rsidR="006A24B9" w:rsidRPr="007C11EE">
        <w:rPr>
          <w:lang w:val="en-CA"/>
        </w:rPr>
        <w:t xml:space="preserve"> </w:t>
      </w:r>
      <w:r w:rsidR="00B85E9D" w:rsidRPr="007C11EE">
        <w:rPr>
          <w:lang w:val="en-CA"/>
        </w:rPr>
        <w:t>at para</w:t>
      </w:r>
      <w:r w:rsidR="00DB3FD7" w:rsidRPr="007C11EE">
        <w:rPr>
          <w:lang w:val="en-CA"/>
        </w:rPr>
        <w:t>s</w:t>
      </w:r>
      <w:r w:rsidR="00B85E9D" w:rsidRPr="007C11EE">
        <w:rPr>
          <w:lang w:val="en-CA"/>
        </w:rPr>
        <w:t>.</w:t>
      </w:r>
      <w:r w:rsidRPr="007C11EE">
        <w:rPr>
          <w:lang w:val="en-CA"/>
        </w:rPr>
        <w:t xml:space="preserve"> </w:t>
      </w:r>
      <w:r w:rsidRPr="00D86506">
        <w:rPr>
          <w:lang w:val="en-CA"/>
        </w:rPr>
        <w:t>23-26; S</w:t>
      </w:r>
      <w:r w:rsidRPr="00D86506">
        <w:rPr>
          <w:i/>
          <w:lang w:val="en-CA"/>
        </w:rPr>
        <w:t>ierra</w:t>
      </w:r>
      <w:r w:rsidR="001B70CB">
        <w:rPr>
          <w:i/>
          <w:lang w:val="en-CA"/>
        </w:rPr>
        <w:t> </w:t>
      </w:r>
      <w:r w:rsidRPr="00D86506">
        <w:rPr>
          <w:i/>
          <w:lang w:val="en-CA"/>
        </w:rPr>
        <w:t xml:space="preserve">Club </w:t>
      </w:r>
      <w:r w:rsidR="00DB3FD7">
        <w:rPr>
          <w:i/>
          <w:lang w:val="en-CA"/>
        </w:rPr>
        <w:t>of</w:t>
      </w:r>
      <w:r w:rsidRPr="00D86506">
        <w:rPr>
          <w:i/>
          <w:lang w:val="en-CA"/>
        </w:rPr>
        <w:t xml:space="preserve"> Canada </w:t>
      </w:r>
      <w:r w:rsidR="00DB3FD7">
        <w:rPr>
          <w:i/>
          <w:lang w:val="en-CA"/>
        </w:rPr>
        <w:t>v</w:t>
      </w:r>
      <w:r w:rsidRPr="00D86506">
        <w:rPr>
          <w:i/>
          <w:lang w:val="en-CA"/>
        </w:rPr>
        <w:t>. Canada (Minist</w:t>
      </w:r>
      <w:r w:rsidR="00DB3FD7">
        <w:rPr>
          <w:i/>
          <w:lang w:val="en-CA"/>
        </w:rPr>
        <w:t xml:space="preserve">er of </w:t>
      </w:r>
      <w:r w:rsidRPr="00D86506">
        <w:rPr>
          <w:i/>
          <w:lang w:val="en-CA"/>
        </w:rPr>
        <w:t xml:space="preserve">Finance), </w:t>
      </w:r>
      <w:r w:rsidRPr="00D86506">
        <w:rPr>
          <w:lang w:val="en-CA"/>
        </w:rPr>
        <w:t xml:space="preserve">2002 </w:t>
      </w:r>
      <w:r w:rsidR="00DB3FD7">
        <w:rPr>
          <w:lang w:val="en-CA"/>
        </w:rPr>
        <w:t>SCC</w:t>
      </w:r>
      <w:r w:rsidRPr="00D86506">
        <w:rPr>
          <w:lang w:val="en-CA"/>
        </w:rPr>
        <w:t xml:space="preserve"> 41, [2002] 2 S.</w:t>
      </w:r>
      <w:r w:rsidR="00DB3FD7">
        <w:rPr>
          <w:lang w:val="en-CA"/>
        </w:rPr>
        <w:t>C.R.</w:t>
      </w:r>
      <w:r w:rsidRPr="00D86506">
        <w:rPr>
          <w:lang w:val="en-CA"/>
        </w:rPr>
        <w:t xml:space="preserve"> 522</w:t>
      </w:r>
      <w:r w:rsidR="00DB3FD7">
        <w:rPr>
          <w:lang w:val="en-CA"/>
        </w:rPr>
        <w:t xml:space="preserve"> </w:t>
      </w:r>
      <w:r w:rsidR="00B85E9D">
        <w:rPr>
          <w:lang w:val="en-CA"/>
        </w:rPr>
        <w:t>at para.</w:t>
      </w:r>
      <w:r w:rsidRPr="00D86506">
        <w:rPr>
          <w:lang w:val="en-CA"/>
        </w:rPr>
        <w:t xml:space="preserve"> 36; </w:t>
      </w:r>
      <w:bookmarkStart w:id="13" w:name="_Hlk135990125"/>
      <w:r w:rsidR="00DB3FD7">
        <w:rPr>
          <w:i/>
          <w:lang w:val="en-CA"/>
        </w:rPr>
        <w:t>Canadian Broadcasting Corporation</w:t>
      </w:r>
      <w:r w:rsidRPr="00D86506">
        <w:rPr>
          <w:i/>
          <w:lang w:val="en-CA"/>
        </w:rPr>
        <w:t xml:space="preserve"> </w:t>
      </w:r>
      <w:r w:rsidR="00DB3FD7">
        <w:rPr>
          <w:i/>
          <w:lang w:val="en-CA"/>
        </w:rPr>
        <w:t>v</w:t>
      </w:r>
      <w:r w:rsidRPr="00D86506">
        <w:rPr>
          <w:i/>
          <w:lang w:val="en-CA"/>
        </w:rPr>
        <w:t>. N</w:t>
      </w:r>
      <w:r w:rsidR="00DB3FD7">
        <w:rPr>
          <w:i/>
          <w:lang w:val="en-CA"/>
        </w:rPr>
        <w:t xml:space="preserve">ew </w:t>
      </w:r>
      <w:r w:rsidRPr="00D86506">
        <w:rPr>
          <w:i/>
          <w:lang w:val="en-CA"/>
        </w:rPr>
        <w:t>Brunswick (</w:t>
      </w:r>
      <w:r w:rsidR="00DB3FD7">
        <w:rPr>
          <w:i/>
          <w:lang w:val="en-CA"/>
        </w:rPr>
        <w:t>Attorney General</w:t>
      </w:r>
      <w:bookmarkEnd w:id="13"/>
      <w:r w:rsidR="00DB3FD7">
        <w:rPr>
          <w:i/>
          <w:lang w:val="en-CA"/>
        </w:rPr>
        <w:t>)</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14</w:t>
      </w:r>
      <w:r w:rsidR="00DB3FD7">
        <w:rPr>
          <w:lang w:val="en-CA"/>
        </w:rPr>
        <w:t xml:space="preserve"> </w:t>
      </w:r>
      <w:r w:rsidR="00B85E9D">
        <w:rPr>
          <w:lang w:val="en-CA"/>
        </w:rPr>
        <w:t>at para.</w:t>
      </w:r>
      <w:r w:rsidRPr="00D86506">
        <w:rPr>
          <w:lang w:val="en-CA"/>
        </w:rPr>
        <w:t xml:space="preserve"> 23; </w:t>
      </w:r>
      <w:r w:rsidRPr="00D86506">
        <w:rPr>
          <w:i/>
          <w:lang w:val="en-CA"/>
        </w:rPr>
        <w:t xml:space="preserve">Edmonton Journal </w:t>
      </w:r>
      <w:r w:rsidR="00DB3FD7">
        <w:rPr>
          <w:i/>
          <w:lang w:val="en-CA"/>
        </w:rPr>
        <w:t>v</w:t>
      </w:r>
      <w:r w:rsidRPr="00D86506">
        <w:rPr>
          <w:i/>
          <w:lang w:val="en-CA"/>
        </w:rPr>
        <w:t>. Alberta (</w:t>
      </w:r>
      <w:r w:rsidR="00DB3FD7">
        <w:rPr>
          <w:i/>
          <w:lang w:val="en-CA"/>
        </w:rPr>
        <w:t>Attorney General</w:t>
      </w:r>
      <w:r w:rsidRPr="00D86506">
        <w:rPr>
          <w:i/>
          <w:lang w:val="en-CA"/>
        </w:rPr>
        <w:t>)</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15 </w:t>
      </w:r>
      <w:r w:rsidR="00DB3FD7">
        <w:rPr>
          <w:lang w:val="en-CA"/>
        </w:rPr>
        <w:t>at</w:t>
      </w:r>
      <w:r w:rsidRPr="00D86506">
        <w:rPr>
          <w:lang w:val="en-CA"/>
        </w:rPr>
        <w:t> 1336</w:t>
      </w:r>
      <w:r w:rsidR="00E86E8A">
        <w:rPr>
          <w:lang w:val="en-CA"/>
        </w:rPr>
        <w:t>–</w:t>
      </w:r>
      <w:r w:rsidRPr="00D86506">
        <w:rPr>
          <w:lang w:val="en-CA"/>
        </w:rPr>
        <w:t>1337.</w:t>
      </w:r>
    </w:p>
  </w:footnote>
  <w:footnote w:id="18">
    <w:p w14:paraId="11B72BDC"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Vancouver Sun (Re)</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13</w:t>
      </w:r>
      <w:r w:rsidR="00DB3FD7">
        <w:rPr>
          <w:lang w:val="en-CA"/>
        </w:rPr>
        <w:t xml:space="preserve"> </w:t>
      </w:r>
      <w:r w:rsidR="00B85E9D">
        <w:rPr>
          <w:lang w:val="en-CA"/>
        </w:rPr>
        <w:t>at para.</w:t>
      </w:r>
      <w:r w:rsidRPr="00D86506">
        <w:rPr>
          <w:lang w:val="en-CA"/>
        </w:rPr>
        <w:t xml:space="preserve"> 26; </w:t>
      </w:r>
      <w:r w:rsidRPr="00D86506">
        <w:rPr>
          <w:i/>
          <w:lang w:val="en-CA"/>
        </w:rPr>
        <w:t>Nova Scotia</w:t>
      </w:r>
      <w:r w:rsidR="00DB3FD7">
        <w:rPr>
          <w:i/>
          <w:lang w:val="en-CA"/>
        </w:rPr>
        <w:t xml:space="preserve"> (Attorney General) v.</w:t>
      </w:r>
      <w:r w:rsidRPr="00D86506">
        <w:rPr>
          <w:i/>
          <w:lang w:val="en-CA"/>
        </w:rPr>
        <w:t xml:space="preserve"> </w:t>
      </w:r>
      <w:proofErr w:type="spellStart"/>
      <w:r w:rsidRPr="00D86506">
        <w:rPr>
          <w:i/>
          <w:lang w:val="en-CA"/>
        </w:rPr>
        <w:t>MacIntyre</w:t>
      </w:r>
      <w:proofErr w:type="spellEnd"/>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15 </w:t>
      </w:r>
      <w:r w:rsidR="00DB3FD7">
        <w:rPr>
          <w:lang w:val="en-CA"/>
        </w:rPr>
        <w:t>at</w:t>
      </w:r>
      <w:r w:rsidRPr="00D86506">
        <w:rPr>
          <w:lang w:val="en-CA"/>
        </w:rPr>
        <w:t> 1339-1340.</w:t>
      </w:r>
    </w:p>
  </w:footnote>
  <w:footnote w:id="19">
    <w:p w14:paraId="3B1A53B0" w14:textId="77777777" w:rsidR="009F612A" w:rsidRPr="00D86506" w:rsidRDefault="00E01746" w:rsidP="009F612A">
      <w:pPr>
        <w:pStyle w:val="Notedebasdepage"/>
        <w:rPr>
          <w:lang w:val="en-CA"/>
        </w:rPr>
      </w:pPr>
      <w:r w:rsidRPr="00D86506">
        <w:rPr>
          <w:rStyle w:val="Appelnotedebasdep"/>
          <w:i/>
          <w:lang w:val="en-CA"/>
        </w:rPr>
        <w:footnoteRef/>
      </w:r>
      <w:r w:rsidRPr="00D86506">
        <w:rPr>
          <w:i/>
          <w:lang w:val="en-CA"/>
        </w:rPr>
        <w:t xml:space="preserve"> </w:t>
      </w:r>
      <w:r w:rsidRPr="00D86506">
        <w:rPr>
          <w:i/>
          <w:lang w:val="en-CA"/>
        </w:rPr>
        <w:tab/>
        <w:t xml:space="preserve">Sherman, </w:t>
      </w:r>
      <w:r w:rsidR="0049054D">
        <w:rPr>
          <w:i/>
          <w:lang w:val="en-CA"/>
        </w:rPr>
        <w:t xml:space="preserve">supra </w:t>
      </w:r>
      <w:r w:rsidR="00FA7F44" w:rsidRPr="00FA7F44">
        <w:rPr>
          <w:lang w:val="en-CA"/>
        </w:rPr>
        <w:t>note</w:t>
      </w:r>
      <w:r w:rsidRPr="00D86506">
        <w:rPr>
          <w:lang w:val="en-CA"/>
        </w:rPr>
        <w:t xml:space="preserve"> 7</w:t>
      </w:r>
      <w:r w:rsidR="001C5F1F">
        <w:rPr>
          <w:lang w:val="en-CA"/>
        </w:rPr>
        <w:t xml:space="preserve"> </w:t>
      </w:r>
      <w:r w:rsidR="00B85E9D">
        <w:rPr>
          <w:lang w:val="en-CA"/>
        </w:rPr>
        <w:t>at para</w:t>
      </w:r>
      <w:r w:rsidR="006B0C04">
        <w:rPr>
          <w:lang w:val="en-CA"/>
        </w:rPr>
        <w:t>s</w:t>
      </w:r>
      <w:r w:rsidR="00B85E9D">
        <w:rPr>
          <w:lang w:val="en-CA"/>
        </w:rPr>
        <w:t>.</w:t>
      </w:r>
      <w:r w:rsidRPr="00D86506">
        <w:rPr>
          <w:lang w:val="en-CA"/>
        </w:rPr>
        <w:t xml:space="preserve"> 42 </w:t>
      </w:r>
      <w:r w:rsidR="006B0C04">
        <w:rPr>
          <w:lang w:val="en-CA"/>
        </w:rPr>
        <w:t>and</w:t>
      </w:r>
      <w:r w:rsidRPr="00D86506">
        <w:rPr>
          <w:lang w:val="en-CA"/>
        </w:rPr>
        <w:t xml:space="preserve"> 62; </w:t>
      </w:r>
      <w:r w:rsidRPr="00D86506">
        <w:rPr>
          <w:i/>
          <w:lang w:val="en-CA"/>
        </w:rPr>
        <w:t xml:space="preserve">R. </w:t>
      </w:r>
      <w:r w:rsidR="00DB3FD7">
        <w:rPr>
          <w:i/>
          <w:lang w:val="en-CA"/>
        </w:rPr>
        <w:t>v</w:t>
      </w:r>
      <w:r w:rsidRPr="00D86506">
        <w:rPr>
          <w:i/>
          <w:lang w:val="en-CA"/>
        </w:rPr>
        <w:t xml:space="preserve">. </w:t>
      </w:r>
      <w:proofErr w:type="spellStart"/>
      <w:r w:rsidRPr="00D86506">
        <w:rPr>
          <w:i/>
          <w:lang w:val="en-CA"/>
        </w:rPr>
        <w:t>Mentuck</w:t>
      </w:r>
      <w:proofErr w:type="spellEnd"/>
      <w:r w:rsidRPr="00D86506">
        <w:rPr>
          <w:lang w:val="en-CA"/>
        </w:rPr>
        <w:t xml:space="preserve">, [2001] 3 </w:t>
      </w:r>
      <w:r w:rsidR="00DB3FD7">
        <w:rPr>
          <w:lang w:val="en-CA"/>
        </w:rPr>
        <w:t>S.C.R.</w:t>
      </w:r>
      <w:r w:rsidRPr="00D86506">
        <w:rPr>
          <w:lang w:val="en-CA"/>
        </w:rPr>
        <w:t xml:space="preserve"> 442</w:t>
      </w:r>
      <w:r w:rsidR="00DB3FD7">
        <w:rPr>
          <w:lang w:val="en-CA"/>
        </w:rPr>
        <w:t> </w:t>
      </w:r>
      <w:r w:rsidR="00B85E9D">
        <w:rPr>
          <w:lang w:val="en-CA"/>
        </w:rPr>
        <w:t>at para</w:t>
      </w:r>
      <w:r w:rsidR="00DB3FD7">
        <w:rPr>
          <w:lang w:val="en-CA"/>
        </w:rPr>
        <w:t>s</w:t>
      </w:r>
      <w:r w:rsidR="00B85E9D">
        <w:rPr>
          <w:lang w:val="en-CA"/>
        </w:rPr>
        <w:t>.</w:t>
      </w:r>
      <w:r w:rsidRPr="00D86506">
        <w:rPr>
          <w:lang w:val="en-CA"/>
        </w:rPr>
        <w:t xml:space="preserve"> 26 </w:t>
      </w:r>
      <w:r w:rsidR="00DB3FD7">
        <w:rPr>
          <w:lang w:val="en-CA"/>
        </w:rPr>
        <w:t>and</w:t>
      </w:r>
      <w:r w:rsidRPr="00D86506">
        <w:rPr>
          <w:lang w:val="en-CA"/>
        </w:rPr>
        <w:t xml:space="preserve"> 39;</w:t>
      </w:r>
      <w:r w:rsidR="00DB3FD7">
        <w:rPr>
          <w:lang w:val="en-CA"/>
        </w:rPr>
        <w:t xml:space="preserve"> </w:t>
      </w:r>
      <w:r w:rsidR="00DB3FD7" w:rsidRPr="00DB3FD7">
        <w:rPr>
          <w:i/>
          <w:lang w:val="en-CA"/>
        </w:rPr>
        <w:t>Canadian Broadcasting Corporation v. New Brunswick (Attorney General</w:t>
      </w:r>
      <w:r w:rsidRPr="00D86506">
        <w:rPr>
          <w:i/>
          <w:lang w:val="en-CA"/>
        </w:rPr>
        <w:t>)</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14</w:t>
      </w:r>
      <w:r w:rsidR="00C46079">
        <w:rPr>
          <w:lang w:val="en-CA"/>
        </w:rPr>
        <w:t xml:space="preserve"> </w:t>
      </w:r>
      <w:r w:rsidR="00B85E9D">
        <w:rPr>
          <w:lang w:val="en-CA"/>
        </w:rPr>
        <w:t>at para.</w:t>
      </w:r>
      <w:r w:rsidRPr="00D86506">
        <w:rPr>
          <w:lang w:val="en-CA"/>
        </w:rPr>
        <w:t xml:space="preserve"> 71; </w:t>
      </w:r>
      <w:r w:rsidRPr="00D86506">
        <w:rPr>
          <w:i/>
          <w:lang w:val="en-CA"/>
        </w:rPr>
        <w:t>L.B. c. J.S.</w:t>
      </w:r>
      <w:r w:rsidRPr="00D86506">
        <w:rPr>
          <w:lang w:val="en-CA"/>
        </w:rPr>
        <w:t>, 2021 QCCA 1593</w:t>
      </w:r>
      <w:r w:rsidR="001C5F1F">
        <w:rPr>
          <w:lang w:val="en-CA"/>
        </w:rPr>
        <w:t xml:space="preserve"> </w:t>
      </w:r>
      <w:r w:rsidR="00B85E9D">
        <w:rPr>
          <w:lang w:val="en-CA"/>
        </w:rPr>
        <w:t>at para.</w:t>
      </w:r>
      <w:r w:rsidRPr="00D86506">
        <w:rPr>
          <w:lang w:val="en-CA"/>
        </w:rPr>
        <w:t xml:space="preserve"> 11.</w:t>
      </w:r>
    </w:p>
  </w:footnote>
  <w:footnote w:id="20">
    <w:p w14:paraId="7C096CB0"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Sherman</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7</w:t>
      </w:r>
      <w:r w:rsidR="00C46079">
        <w:rPr>
          <w:lang w:val="en-CA"/>
        </w:rPr>
        <w:t xml:space="preserve"> </w:t>
      </w:r>
      <w:r w:rsidR="00B85E9D">
        <w:rPr>
          <w:lang w:val="en-CA"/>
        </w:rPr>
        <w:t>at para.</w:t>
      </w:r>
      <w:r w:rsidRPr="00D86506">
        <w:rPr>
          <w:lang w:val="en-CA"/>
        </w:rPr>
        <w:t xml:space="preserve"> 62.</w:t>
      </w:r>
    </w:p>
  </w:footnote>
  <w:footnote w:id="21">
    <w:p w14:paraId="109B8F68"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Edmonton Journal</w:t>
      </w:r>
      <w:r w:rsidRPr="00D86506">
        <w:rPr>
          <w:lang w:val="en-CA"/>
        </w:rPr>
        <w:t xml:space="preserve"> </w:t>
      </w:r>
      <w:r w:rsidR="00A308A5" w:rsidRPr="00AC22B1">
        <w:rPr>
          <w:i/>
          <w:iCs/>
          <w:lang w:val="en-CA"/>
        </w:rPr>
        <w:t>v</w:t>
      </w:r>
      <w:r w:rsidRPr="00D86506">
        <w:rPr>
          <w:i/>
          <w:lang w:val="en-CA"/>
        </w:rPr>
        <w:t>. Alberta (</w:t>
      </w:r>
      <w:r w:rsidR="00A308A5">
        <w:rPr>
          <w:i/>
          <w:lang w:val="en-CA"/>
        </w:rPr>
        <w:t>Attorney Genera</w:t>
      </w:r>
      <w:r w:rsidRPr="00D86506">
        <w:rPr>
          <w:i/>
          <w:lang w:val="en-CA"/>
        </w:rPr>
        <w:t>l)</w:t>
      </w:r>
      <w:r w:rsidRPr="00D86506">
        <w:rPr>
          <w:lang w:val="en-CA"/>
        </w:rPr>
        <w:t xml:space="preserve">, </w:t>
      </w:r>
      <w:r w:rsidR="0049054D">
        <w:rPr>
          <w:i/>
          <w:lang w:val="en-CA"/>
        </w:rPr>
        <w:t xml:space="preserve">supra </w:t>
      </w:r>
      <w:r w:rsidR="0049054D" w:rsidRPr="00AC22B1">
        <w:rPr>
          <w:iCs/>
          <w:lang w:val="en-CA"/>
        </w:rPr>
        <w:t>note</w:t>
      </w:r>
      <w:r w:rsidRPr="00D86506">
        <w:rPr>
          <w:lang w:val="en-CA"/>
        </w:rPr>
        <w:t xml:space="preserve"> 15</w:t>
      </w:r>
      <w:r w:rsidR="00A308A5">
        <w:rPr>
          <w:lang w:val="en-CA"/>
        </w:rPr>
        <w:t xml:space="preserve"> at</w:t>
      </w:r>
      <w:r w:rsidRPr="00D86506">
        <w:rPr>
          <w:lang w:val="en-CA"/>
        </w:rPr>
        <w:t xml:space="preserve"> 1353-1354</w:t>
      </w:r>
      <w:r w:rsidRPr="00D86506">
        <w:rPr>
          <w:i/>
          <w:lang w:val="en-CA"/>
        </w:rPr>
        <w:t xml:space="preserve">, </w:t>
      </w:r>
      <w:r w:rsidRPr="00D86506">
        <w:rPr>
          <w:lang w:val="en-CA"/>
        </w:rPr>
        <w:t>cit</w:t>
      </w:r>
      <w:r w:rsidR="00A308A5">
        <w:rPr>
          <w:lang w:val="en-CA"/>
        </w:rPr>
        <w:t>ed</w:t>
      </w:r>
      <w:r w:rsidRPr="00D86506">
        <w:rPr>
          <w:lang w:val="en-CA"/>
        </w:rPr>
        <w:t xml:space="preserve"> </w:t>
      </w:r>
      <w:r w:rsidR="00A308A5">
        <w:rPr>
          <w:lang w:val="en-CA"/>
        </w:rPr>
        <w:t xml:space="preserve">in </w:t>
      </w:r>
      <w:r w:rsidRPr="00D86506">
        <w:rPr>
          <w:i/>
          <w:lang w:val="en-CA"/>
        </w:rPr>
        <w:t xml:space="preserve">Sierra Club </w:t>
      </w:r>
      <w:r w:rsidR="00A308A5">
        <w:rPr>
          <w:i/>
          <w:lang w:val="en-CA"/>
        </w:rPr>
        <w:t>of</w:t>
      </w:r>
      <w:r w:rsidRPr="00D86506">
        <w:rPr>
          <w:i/>
          <w:lang w:val="en-CA"/>
        </w:rPr>
        <w:t xml:space="preserve"> Canada </w:t>
      </w:r>
      <w:r w:rsidR="00A308A5">
        <w:rPr>
          <w:i/>
          <w:lang w:val="en-CA"/>
        </w:rPr>
        <w:t>v</w:t>
      </w:r>
      <w:r w:rsidRPr="00D86506">
        <w:rPr>
          <w:i/>
          <w:lang w:val="en-CA"/>
        </w:rPr>
        <w:t>. Canada (</w:t>
      </w:r>
      <w:r w:rsidR="00A308A5">
        <w:rPr>
          <w:i/>
          <w:lang w:val="en-CA"/>
        </w:rPr>
        <w:t>Minister of Finance</w:t>
      </w:r>
      <w:r w:rsidRPr="00D86506">
        <w:rPr>
          <w:i/>
          <w:lang w:val="en-CA"/>
        </w:rPr>
        <w:t>)</w:t>
      </w:r>
      <w:r w:rsidRPr="00D86506">
        <w:rPr>
          <w:lang w:val="en-CA"/>
        </w:rPr>
        <w:t xml:space="preserve">, </w:t>
      </w:r>
      <w:r w:rsidR="0049054D">
        <w:rPr>
          <w:i/>
          <w:lang w:val="en-CA"/>
        </w:rPr>
        <w:t xml:space="preserve">supra </w:t>
      </w:r>
      <w:r w:rsidR="0049054D" w:rsidRPr="00AC22B1">
        <w:rPr>
          <w:iCs/>
          <w:lang w:val="en-CA"/>
        </w:rPr>
        <w:t>note</w:t>
      </w:r>
      <w:r w:rsidRPr="00D86506">
        <w:rPr>
          <w:lang w:val="en-CA"/>
        </w:rPr>
        <w:t xml:space="preserve"> 17</w:t>
      </w:r>
      <w:r w:rsidR="00A308A5">
        <w:rPr>
          <w:lang w:val="en-CA"/>
        </w:rPr>
        <w:t xml:space="preserve"> </w:t>
      </w:r>
      <w:r w:rsidR="00B85E9D">
        <w:rPr>
          <w:lang w:val="en-CA"/>
        </w:rPr>
        <w:t>at para.</w:t>
      </w:r>
      <w:r w:rsidRPr="00D86506">
        <w:rPr>
          <w:lang w:val="en-CA"/>
        </w:rPr>
        <w:t xml:space="preserve"> 86. </w:t>
      </w:r>
      <w:r w:rsidR="00A308A5">
        <w:rPr>
          <w:lang w:val="en-CA"/>
        </w:rPr>
        <w:t>See also</w:t>
      </w:r>
      <w:r w:rsidRPr="00D86506">
        <w:rPr>
          <w:lang w:val="en-CA"/>
        </w:rPr>
        <w:t xml:space="preserve"> S</w:t>
      </w:r>
      <w:r w:rsidRPr="00D86506">
        <w:rPr>
          <w:i/>
          <w:lang w:val="en-CA"/>
        </w:rPr>
        <w:t>. c. Lamontagne</w:t>
      </w:r>
      <w:r w:rsidRPr="00D86506">
        <w:rPr>
          <w:lang w:val="en-CA"/>
        </w:rPr>
        <w:t>, 2020</w:t>
      </w:r>
      <w:r w:rsidR="00A308A5">
        <w:rPr>
          <w:lang w:val="en-CA"/>
        </w:rPr>
        <w:t> </w:t>
      </w:r>
      <w:r w:rsidRPr="00D86506">
        <w:rPr>
          <w:lang w:val="en-CA"/>
        </w:rPr>
        <w:t>QCCA 663</w:t>
      </w:r>
      <w:r w:rsidR="00C46079">
        <w:rPr>
          <w:lang w:val="en-CA"/>
        </w:rPr>
        <w:t xml:space="preserve"> </w:t>
      </w:r>
      <w:r w:rsidR="00B85E9D">
        <w:rPr>
          <w:lang w:val="en-CA"/>
        </w:rPr>
        <w:t>at para.</w:t>
      </w:r>
      <w:r w:rsidRPr="00D86506">
        <w:rPr>
          <w:lang w:val="en-CA"/>
        </w:rPr>
        <w:t> 22.</w:t>
      </w:r>
    </w:p>
  </w:footnote>
  <w:footnote w:id="22">
    <w:p w14:paraId="3AD938D0"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 xml:space="preserve">Sherman, </w:t>
      </w:r>
      <w:r w:rsidR="0049054D">
        <w:rPr>
          <w:i/>
          <w:lang w:val="en-CA"/>
        </w:rPr>
        <w:t xml:space="preserve">supra </w:t>
      </w:r>
      <w:r w:rsidR="00FA7F44" w:rsidRPr="00FA7F44">
        <w:rPr>
          <w:lang w:val="en-CA"/>
        </w:rPr>
        <w:t>note</w:t>
      </w:r>
      <w:r w:rsidRPr="00D86506">
        <w:rPr>
          <w:lang w:val="en-CA"/>
        </w:rPr>
        <w:t xml:space="preserve"> 7</w:t>
      </w:r>
      <w:r w:rsidR="00C46079">
        <w:rPr>
          <w:lang w:val="en-CA"/>
        </w:rPr>
        <w:t xml:space="preserve"> </w:t>
      </w:r>
      <w:r w:rsidR="00B85E9D">
        <w:rPr>
          <w:lang w:val="en-CA"/>
        </w:rPr>
        <w:t>at para.</w:t>
      </w:r>
      <w:r w:rsidRPr="00D86506">
        <w:rPr>
          <w:lang w:val="en-CA"/>
        </w:rPr>
        <w:t xml:space="preserve"> 42.</w:t>
      </w:r>
    </w:p>
  </w:footnote>
  <w:footnote w:id="23">
    <w:p w14:paraId="3A654799"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Ibid</w:t>
      </w:r>
      <w:r w:rsidRPr="00D86506">
        <w:rPr>
          <w:lang w:val="en-CA"/>
        </w:rPr>
        <w:t xml:space="preserve">. </w:t>
      </w:r>
      <w:r w:rsidR="00A308A5">
        <w:rPr>
          <w:lang w:val="en-CA"/>
        </w:rPr>
        <w:t xml:space="preserve">See also </w:t>
      </w:r>
      <w:r w:rsidRPr="00D86506">
        <w:rPr>
          <w:lang w:val="en-CA"/>
        </w:rPr>
        <w:t xml:space="preserve">para. 59, </w:t>
      </w:r>
      <w:r w:rsidR="00A308A5">
        <w:rPr>
          <w:lang w:val="en-CA"/>
        </w:rPr>
        <w:t>which cite</w:t>
      </w:r>
      <w:r w:rsidR="00345772">
        <w:rPr>
          <w:lang w:val="en-CA"/>
        </w:rPr>
        <w:t>s</w:t>
      </w:r>
      <w:r w:rsidR="00A308A5">
        <w:rPr>
          <w:lang w:val="en-CA"/>
        </w:rPr>
        <w:t xml:space="preserve"> </w:t>
      </w:r>
      <w:r w:rsidRPr="00D86506">
        <w:rPr>
          <w:i/>
          <w:iCs/>
          <w:color w:val="000000"/>
          <w:lang w:val="en-CA"/>
        </w:rPr>
        <w:t xml:space="preserve">Sierra Club </w:t>
      </w:r>
      <w:r w:rsidR="00A308A5">
        <w:rPr>
          <w:i/>
          <w:iCs/>
          <w:color w:val="000000"/>
          <w:lang w:val="en-CA"/>
        </w:rPr>
        <w:t>of</w:t>
      </w:r>
      <w:r w:rsidRPr="00D86506">
        <w:rPr>
          <w:i/>
          <w:iCs/>
          <w:color w:val="000000"/>
          <w:lang w:val="en-CA"/>
        </w:rPr>
        <w:t xml:space="preserve"> Canada </w:t>
      </w:r>
      <w:r w:rsidR="00A308A5">
        <w:rPr>
          <w:i/>
          <w:iCs/>
          <w:color w:val="000000"/>
          <w:lang w:val="en-CA"/>
        </w:rPr>
        <w:t>v</w:t>
      </w:r>
      <w:r w:rsidRPr="00D86506">
        <w:rPr>
          <w:i/>
          <w:iCs/>
          <w:color w:val="000000"/>
          <w:lang w:val="en-CA"/>
        </w:rPr>
        <w:t>. Canada (</w:t>
      </w:r>
      <w:r w:rsidR="00A308A5" w:rsidRPr="00D86506">
        <w:rPr>
          <w:i/>
          <w:iCs/>
          <w:color w:val="000000"/>
          <w:lang w:val="en-CA"/>
        </w:rPr>
        <w:t>Minister</w:t>
      </w:r>
      <w:r w:rsidRPr="00D86506">
        <w:rPr>
          <w:i/>
          <w:iCs/>
          <w:color w:val="000000"/>
          <w:lang w:val="en-CA"/>
        </w:rPr>
        <w:t xml:space="preserve"> </w:t>
      </w:r>
      <w:r w:rsidR="00A308A5">
        <w:rPr>
          <w:i/>
          <w:iCs/>
          <w:color w:val="000000"/>
          <w:lang w:val="en-CA"/>
        </w:rPr>
        <w:t>of Finance</w:t>
      </w:r>
      <w:r w:rsidRPr="00D86506">
        <w:rPr>
          <w:i/>
          <w:iCs/>
          <w:color w:val="000000"/>
          <w:lang w:val="en-CA"/>
        </w:rPr>
        <w:t>)</w:t>
      </w:r>
      <w:r w:rsidRPr="00D86506">
        <w:rPr>
          <w:color w:val="000000"/>
          <w:lang w:val="en-CA"/>
        </w:rPr>
        <w:t xml:space="preserve">, </w:t>
      </w:r>
      <w:r w:rsidR="0049054D">
        <w:rPr>
          <w:i/>
          <w:color w:val="000000"/>
          <w:lang w:val="en-CA"/>
        </w:rPr>
        <w:t xml:space="preserve">supra </w:t>
      </w:r>
      <w:r w:rsidR="0049054D" w:rsidRPr="00AC22B1">
        <w:rPr>
          <w:iCs/>
          <w:color w:val="000000"/>
          <w:lang w:val="en-CA"/>
        </w:rPr>
        <w:t>note</w:t>
      </w:r>
      <w:r w:rsidR="00A308A5">
        <w:rPr>
          <w:lang w:val="en-CA"/>
        </w:rPr>
        <w:t> </w:t>
      </w:r>
      <w:r w:rsidRPr="00D86506">
        <w:rPr>
          <w:lang w:val="en-CA"/>
        </w:rPr>
        <w:t>17</w:t>
      </w:r>
      <w:r w:rsidR="00A308A5">
        <w:rPr>
          <w:lang w:val="en-CA"/>
        </w:rPr>
        <w:t xml:space="preserve"> </w:t>
      </w:r>
      <w:r w:rsidR="00B85E9D">
        <w:rPr>
          <w:lang w:val="en-CA"/>
        </w:rPr>
        <w:t>at para.</w:t>
      </w:r>
      <w:r w:rsidRPr="00D86506">
        <w:rPr>
          <w:lang w:val="en-CA"/>
        </w:rPr>
        <w:t xml:space="preserve"> 55. </w:t>
      </w:r>
    </w:p>
  </w:footnote>
  <w:footnote w:id="24">
    <w:p w14:paraId="5A788FB9"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 xml:space="preserve">Dagenais </w:t>
      </w:r>
      <w:r w:rsidR="00A308A5">
        <w:rPr>
          <w:i/>
          <w:lang w:val="en-CA"/>
        </w:rPr>
        <w:t>v</w:t>
      </w:r>
      <w:r w:rsidRPr="00D86506">
        <w:rPr>
          <w:i/>
          <w:lang w:val="en-CA"/>
        </w:rPr>
        <w:t xml:space="preserve">. </w:t>
      </w:r>
      <w:r w:rsidR="00BB3EC3">
        <w:rPr>
          <w:i/>
          <w:lang w:val="en-CA"/>
        </w:rPr>
        <w:t>Canadian Broadcasting Corporation</w:t>
      </w:r>
      <w:r w:rsidRPr="00D86506">
        <w:rPr>
          <w:lang w:val="en-CA"/>
        </w:rPr>
        <w:t xml:space="preserve">, [1994] 3 </w:t>
      </w:r>
      <w:r w:rsidR="00A308A5">
        <w:rPr>
          <w:lang w:val="en-CA"/>
        </w:rPr>
        <w:t>S.C.R.</w:t>
      </w:r>
      <w:r w:rsidRPr="00D86506">
        <w:rPr>
          <w:lang w:val="en-CA"/>
        </w:rPr>
        <w:t xml:space="preserve"> 835</w:t>
      </w:r>
      <w:r w:rsidR="00C46079">
        <w:rPr>
          <w:lang w:val="en-CA"/>
        </w:rPr>
        <w:t xml:space="preserve"> at </w:t>
      </w:r>
      <w:r w:rsidRPr="00D86506">
        <w:rPr>
          <w:lang w:val="en-CA"/>
        </w:rPr>
        <w:t>878.</w:t>
      </w:r>
    </w:p>
  </w:footnote>
  <w:footnote w:id="25">
    <w:p w14:paraId="5E2E8F8F" w14:textId="77777777" w:rsidR="009F612A" w:rsidRPr="007C11EE" w:rsidRDefault="00E01746" w:rsidP="009F612A">
      <w:pPr>
        <w:pStyle w:val="Notedebasdepage"/>
        <w:rPr>
          <w:highlight w:val="yellow"/>
        </w:rPr>
      </w:pPr>
      <w:r w:rsidRPr="00D86506">
        <w:rPr>
          <w:rStyle w:val="Appelnotedebasdep"/>
          <w:lang w:val="en-CA"/>
        </w:rPr>
        <w:footnoteRef/>
      </w:r>
      <w:r w:rsidRPr="00D86506">
        <w:rPr>
          <w:lang w:val="en-CA"/>
        </w:rPr>
        <w:t xml:space="preserve"> </w:t>
      </w:r>
      <w:r w:rsidRPr="00D86506">
        <w:rPr>
          <w:lang w:val="en-CA"/>
        </w:rPr>
        <w:tab/>
      </w:r>
      <w:r w:rsidRPr="00D86506">
        <w:rPr>
          <w:i/>
          <w:lang w:val="en-CA"/>
        </w:rPr>
        <w:t>Sherman</w:t>
      </w:r>
      <w:r w:rsidRPr="00D86506">
        <w:rPr>
          <w:lang w:val="en-CA"/>
        </w:rPr>
        <w:t>,</w:t>
      </w:r>
      <w:r w:rsidRPr="00D86506">
        <w:rPr>
          <w:i/>
          <w:lang w:val="en-CA"/>
        </w:rPr>
        <w:t xml:space="preserve"> </w:t>
      </w:r>
      <w:r w:rsidR="0049054D">
        <w:rPr>
          <w:i/>
          <w:lang w:val="en-CA"/>
        </w:rPr>
        <w:t xml:space="preserve">supra </w:t>
      </w:r>
      <w:r w:rsidR="0049054D" w:rsidRPr="00AC22B1">
        <w:rPr>
          <w:iCs/>
          <w:lang w:val="en-CA"/>
        </w:rPr>
        <w:t>note</w:t>
      </w:r>
      <w:r w:rsidRPr="00D86506">
        <w:rPr>
          <w:lang w:val="en-CA"/>
        </w:rPr>
        <w:t xml:space="preserve"> 7</w:t>
      </w:r>
      <w:r w:rsidR="00C46079">
        <w:rPr>
          <w:lang w:val="en-CA"/>
        </w:rPr>
        <w:t xml:space="preserve"> </w:t>
      </w:r>
      <w:r w:rsidR="00B85E9D">
        <w:rPr>
          <w:lang w:val="en-CA"/>
        </w:rPr>
        <w:t>at para.</w:t>
      </w:r>
      <w:r w:rsidRPr="00D86506">
        <w:rPr>
          <w:lang w:val="en-CA"/>
        </w:rPr>
        <w:t xml:space="preserve"> </w:t>
      </w:r>
      <w:r w:rsidRPr="007C11EE">
        <w:t>38.</w:t>
      </w:r>
    </w:p>
  </w:footnote>
  <w:footnote w:id="26">
    <w:p w14:paraId="3B465B9C" w14:textId="77777777" w:rsidR="009F612A" w:rsidRPr="007C11EE" w:rsidRDefault="00E01746" w:rsidP="009F612A">
      <w:pPr>
        <w:pStyle w:val="Notedebasdepage"/>
      </w:pPr>
      <w:r w:rsidRPr="00D86506">
        <w:rPr>
          <w:rStyle w:val="Appelnotedebasdep"/>
          <w:lang w:val="en-CA"/>
        </w:rPr>
        <w:footnoteRef/>
      </w:r>
      <w:r w:rsidRPr="007C11EE">
        <w:t xml:space="preserve"> </w:t>
      </w:r>
      <w:r w:rsidRPr="007C11EE">
        <w:tab/>
      </w:r>
      <w:r w:rsidRPr="007C11EE">
        <w:rPr>
          <w:i/>
        </w:rPr>
        <w:t>Ibid.</w:t>
      </w:r>
    </w:p>
  </w:footnote>
  <w:footnote w:id="27">
    <w:p w14:paraId="1535306A" w14:textId="77777777" w:rsidR="00F03D3D" w:rsidRPr="007C11EE" w:rsidRDefault="00E01746">
      <w:pPr>
        <w:pStyle w:val="Notedebasdepage"/>
      </w:pPr>
      <w:r w:rsidRPr="00D86506">
        <w:rPr>
          <w:rStyle w:val="Appelnotedebasdep"/>
          <w:lang w:val="en-CA"/>
        </w:rPr>
        <w:footnoteRef/>
      </w:r>
      <w:r w:rsidRPr="007C11EE">
        <w:t xml:space="preserve"> </w:t>
      </w:r>
      <w:r w:rsidRPr="007C11EE">
        <w:tab/>
        <w:t>2022 QCCA 841.</w:t>
      </w:r>
    </w:p>
  </w:footnote>
  <w:footnote w:id="28">
    <w:p w14:paraId="348F0396" w14:textId="77777777" w:rsidR="00F03D3D" w:rsidRPr="007C11EE" w:rsidRDefault="00E01746">
      <w:pPr>
        <w:pStyle w:val="Notedebasdepage"/>
      </w:pPr>
      <w:r w:rsidRPr="00D86506">
        <w:rPr>
          <w:rStyle w:val="Appelnotedebasdep"/>
          <w:lang w:val="en-CA"/>
        </w:rPr>
        <w:footnoteRef/>
      </w:r>
      <w:r w:rsidRPr="007C11EE">
        <w:t xml:space="preserve"> </w:t>
      </w:r>
      <w:r w:rsidRPr="007C11EE">
        <w:tab/>
      </w:r>
      <w:r w:rsidRPr="007C11EE">
        <w:rPr>
          <w:i/>
        </w:rPr>
        <w:t>Dis son nom c. Marquis</w:t>
      </w:r>
      <w:r w:rsidRPr="007C11EE">
        <w:t>, 2022 QCCA 841</w:t>
      </w:r>
      <w:r w:rsidR="00C46079" w:rsidRPr="007C11EE">
        <w:t xml:space="preserve"> </w:t>
      </w:r>
      <w:r w:rsidR="00B85E9D" w:rsidRPr="007C11EE">
        <w:t>at para</w:t>
      </w:r>
      <w:r w:rsidR="00C46079" w:rsidRPr="007C11EE">
        <w:t>s</w:t>
      </w:r>
      <w:r w:rsidR="00B85E9D" w:rsidRPr="007C11EE">
        <w:t>.</w:t>
      </w:r>
      <w:r w:rsidRPr="007C11EE">
        <w:t xml:space="preserve"> 66</w:t>
      </w:r>
      <w:r w:rsidR="00A06721">
        <w:t>–</w:t>
      </w:r>
      <w:r w:rsidRPr="007C11EE">
        <w:t xml:space="preserve">67 </w:t>
      </w:r>
      <w:r w:rsidR="00C46079" w:rsidRPr="007C11EE">
        <w:t>and</w:t>
      </w:r>
      <w:r w:rsidRPr="007C11EE">
        <w:t xml:space="preserve"> 75</w:t>
      </w:r>
      <w:r w:rsidR="00A06721">
        <w:t>–</w:t>
      </w:r>
      <w:r w:rsidRPr="007C11EE">
        <w:t>78.</w:t>
      </w:r>
    </w:p>
  </w:footnote>
  <w:footnote w:id="29">
    <w:p w14:paraId="6D896A5B" w14:textId="77777777" w:rsidR="00B423B8" w:rsidRPr="007C11EE" w:rsidRDefault="00E01746">
      <w:pPr>
        <w:pStyle w:val="Notedebasdepage"/>
      </w:pPr>
      <w:r w:rsidRPr="00D86506">
        <w:rPr>
          <w:rStyle w:val="Appelnotedebasdep"/>
          <w:lang w:val="en-CA"/>
        </w:rPr>
        <w:footnoteRef/>
      </w:r>
      <w:r w:rsidRPr="007C11EE">
        <w:t xml:space="preserve"> </w:t>
      </w:r>
      <w:r w:rsidRPr="007C11EE">
        <w:tab/>
      </w:r>
      <w:r w:rsidR="002E77E4" w:rsidRPr="007C11EE">
        <w:rPr>
          <w:i/>
        </w:rPr>
        <w:t xml:space="preserve">J.C. c. </w:t>
      </w:r>
      <w:r w:rsidR="002E77E4" w:rsidRPr="007C11EE">
        <w:rPr>
          <w:i/>
          <w:iCs/>
        </w:rPr>
        <w:t>Douville</w:t>
      </w:r>
      <w:r w:rsidR="002E77E4" w:rsidRPr="007C11EE">
        <w:t xml:space="preserve">, </w:t>
      </w:r>
      <w:r w:rsidR="009D2928" w:rsidRPr="007C11EE">
        <w:t>2022 QCCA 95</w:t>
      </w:r>
      <w:r w:rsidR="002E77E4" w:rsidRPr="007C11EE">
        <w:t>8</w:t>
      </w:r>
      <w:r w:rsidR="00292E92" w:rsidRPr="007C11EE">
        <w:t>.</w:t>
      </w:r>
    </w:p>
  </w:footnote>
  <w:footnote w:id="30">
    <w:p w14:paraId="4BC20F3B" w14:textId="77777777" w:rsidR="009F612A" w:rsidRPr="00D86506" w:rsidRDefault="00E01746" w:rsidP="009F612A">
      <w:pPr>
        <w:pStyle w:val="Notedebasdepage"/>
        <w:rPr>
          <w:lang w:val="en-CA"/>
        </w:rPr>
      </w:pPr>
      <w:r w:rsidRPr="00D86506">
        <w:rPr>
          <w:rStyle w:val="Appelnotedebasdep"/>
          <w:lang w:val="en-CA"/>
        </w:rPr>
        <w:footnoteRef/>
      </w:r>
      <w:r w:rsidRPr="007C11EE">
        <w:tab/>
      </w:r>
      <w:r w:rsidR="0065295A" w:rsidRPr="007C11EE">
        <w:t xml:space="preserve">This </w:t>
      </w:r>
      <w:proofErr w:type="spellStart"/>
      <w:r w:rsidR="0065295A" w:rsidRPr="007C11EE">
        <w:t>quote</w:t>
      </w:r>
      <w:proofErr w:type="spellEnd"/>
      <w:r w:rsidR="0065295A" w:rsidRPr="007C11EE">
        <w:t xml:space="preserve"> </w:t>
      </w:r>
      <w:proofErr w:type="spellStart"/>
      <w:r w:rsidR="0065295A" w:rsidRPr="007C11EE">
        <w:t>is</w:t>
      </w:r>
      <w:proofErr w:type="spellEnd"/>
      <w:r w:rsidR="0065295A" w:rsidRPr="007C11EE">
        <w:t xml:space="preserve"> </w:t>
      </w:r>
      <w:proofErr w:type="spellStart"/>
      <w:r w:rsidR="0065295A" w:rsidRPr="007C11EE">
        <w:t>from</w:t>
      </w:r>
      <w:proofErr w:type="spellEnd"/>
      <w:r w:rsidR="0065295A" w:rsidRPr="007C11EE">
        <w:t xml:space="preserve"> the </w:t>
      </w:r>
      <w:proofErr w:type="spellStart"/>
      <w:r w:rsidR="0065295A" w:rsidRPr="007C11EE">
        <w:t>concurring</w:t>
      </w:r>
      <w:proofErr w:type="spellEnd"/>
      <w:r w:rsidR="0065295A" w:rsidRPr="007C11EE">
        <w:t xml:space="preserve"> </w:t>
      </w:r>
      <w:proofErr w:type="spellStart"/>
      <w:r w:rsidR="0065295A" w:rsidRPr="007C11EE">
        <w:t>reasons</w:t>
      </w:r>
      <w:proofErr w:type="spellEnd"/>
      <w:r w:rsidR="0065295A" w:rsidRPr="007C11EE">
        <w:t xml:space="preserve"> of</w:t>
      </w:r>
      <w:r w:rsidR="00FD38AF" w:rsidRPr="007C11EE">
        <w:t xml:space="preserve"> Morissette, J.A. </w:t>
      </w:r>
      <w:r w:rsidR="000F691A" w:rsidRPr="007C11EE">
        <w:t>in</w:t>
      </w:r>
      <w:r w:rsidRPr="007C11EE">
        <w:t xml:space="preserve"> </w:t>
      </w:r>
      <w:proofErr w:type="spellStart"/>
      <w:r w:rsidRPr="007C11EE">
        <w:rPr>
          <w:i/>
        </w:rPr>
        <w:t>Calego</w:t>
      </w:r>
      <w:proofErr w:type="spellEnd"/>
      <w:r w:rsidRPr="007C11EE">
        <w:rPr>
          <w:i/>
        </w:rPr>
        <w:t xml:space="preserve"> International inc. c. Commission des droits de la personne et des droits de la jeunesse</w:t>
      </w:r>
      <w:r w:rsidRPr="007C11EE">
        <w:t>, 2013 QCCA 924</w:t>
      </w:r>
      <w:r w:rsidR="006F3355" w:rsidRPr="007C11EE">
        <w:t xml:space="preserve"> </w:t>
      </w:r>
      <w:r w:rsidR="00B85E9D" w:rsidRPr="007C11EE">
        <w:t>at para.</w:t>
      </w:r>
      <w:r w:rsidRPr="007C11EE">
        <w:t xml:space="preserve"> 101, </w:t>
      </w:r>
      <w:proofErr w:type="spellStart"/>
      <w:r w:rsidR="000F691A" w:rsidRPr="007C11EE">
        <w:t>cited</w:t>
      </w:r>
      <w:proofErr w:type="spellEnd"/>
      <w:r w:rsidR="000F691A" w:rsidRPr="007C11EE">
        <w:t xml:space="preserve"> </w:t>
      </w:r>
      <w:proofErr w:type="spellStart"/>
      <w:r w:rsidR="000F691A" w:rsidRPr="007C11EE">
        <w:t>with</w:t>
      </w:r>
      <w:proofErr w:type="spellEnd"/>
      <w:r w:rsidR="000F691A" w:rsidRPr="007C11EE">
        <w:t xml:space="preserve"> </w:t>
      </w:r>
      <w:proofErr w:type="spellStart"/>
      <w:r w:rsidR="000F691A" w:rsidRPr="007C11EE">
        <w:t>approval</w:t>
      </w:r>
      <w:proofErr w:type="spellEnd"/>
      <w:r w:rsidR="000F691A" w:rsidRPr="007C11EE">
        <w:t xml:space="preserve"> by the </w:t>
      </w:r>
      <w:proofErr w:type="spellStart"/>
      <w:r w:rsidR="000F691A" w:rsidRPr="007C11EE">
        <w:t>dissenting</w:t>
      </w:r>
      <w:proofErr w:type="spellEnd"/>
      <w:r w:rsidR="000F691A" w:rsidRPr="007C11EE">
        <w:t xml:space="preserve"> justices in </w:t>
      </w:r>
      <w:r w:rsidRPr="007C11EE">
        <w:rPr>
          <w:i/>
        </w:rPr>
        <w:t xml:space="preserve">Ward </w:t>
      </w:r>
      <w:r w:rsidR="000F691A" w:rsidRPr="007C11EE">
        <w:rPr>
          <w:i/>
        </w:rPr>
        <w:t>v</w:t>
      </w:r>
      <w:r w:rsidRPr="007C11EE">
        <w:rPr>
          <w:i/>
        </w:rPr>
        <w:t xml:space="preserve">. </w:t>
      </w:r>
      <w:proofErr w:type="spellStart"/>
      <w:r w:rsidRPr="007C11EE">
        <w:rPr>
          <w:i/>
        </w:rPr>
        <w:t>Qu</w:t>
      </w:r>
      <w:r w:rsidR="000F691A" w:rsidRPr="007C11EE">
        <w:rPr>
          <w:i/>
        </w:rPr>
        <w:t>e</w:t>
      </w:r>
      <w:r w:rsidRPr="007C11EE">
        <w:rPr>
          <w:i/>
        </w:rPr>
        <w:t>bec</w:t>
      </w:r>
      <w:proofErr w:type="spellEnd"/>
      <w:r w:rsidRPr="007C11EE">
        <w:rPr>
          <w:i/>
        </w:rPr>
        <w:t xml:space="preserve"> (Commission des droits de la personne et des droits de la jeunesse)</w:t>
      </w:r>
      <w:r w:rsidRPr="007C11EE">
        <w:t>, 2021 SC</w:t>
      </w:r>
      <w:r w:rsidR="000F691A" w:rsidRPr="007C11EE">
        <w:t>C</w:t>
      </w:r>
      <w:r w:rsidRPr="007C11EE">
        <w:t xml:space="preserve"> 43</w:t>
      </w:r>
      <w:r w:rsidR="00C46079" w:rsidRPr="007C11EE">
        <w:t xml:space="preserve"> </w:t>
      </w:r>
      <w:r w:rsidR="00B85E9D" w:rsidRPr="007C11EE">
        <w:t>at para.</w:t>
      </w:r>
      <w:r w:rsidR="000F691A" w:rsidRPr="007C11EE">
        <w:t> </w:t>
      </w:r>
      <w:r w:rsidRPr="00D86506">
        <w:rPr>
          <w:lang w:val="en-CA"/>
        </w:rPr>
        <w:t>166.</w:t>
      </w:r>
    </w:p>
  </w:footnote>
  <w:footnote w:id="31">
    <w:p w14:paraId="6ECF331B"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6E39B9">
        <w:rPr>
          <w:lang w:val="en-CA"/>
        </w:rPr>
        <w:t>At para. 72 of the decision under appeal, Lussier, J. writes</w:t>
      </w:r>
      <w:r w:rsidR="003F7025">
        <w:rPr>
          <w:lang w:val="en-CA"/>
        </w:rPr>
        <w:t>: [</w:t>
      </w:r>
      <w:r w:rsidR="003F7025" w:rsidRPr="003F7025">
        <w:rPr>
          <w:sz w:val="18"/>
          <w:szCs w:val="18"/>
          <w:lang w:val="en-CA"/>
        </w:rPr>
        <w:t>TRANSLATION</w:t>
      </w:r>
      <w:r w:rsidR="003F7025">
        <w:rPr>
          <w:lang w:val="en-CA"/>
        </w:rPr>
        <w:t>] “There</w:t>
      </w:r>
      <w:r w:rsidR="003F7025" w:rsidRPr="003F7025">
        <w:rPr>
          <w:lang w:val="en-CA"/>
        </w:rPr>
        <w:t xml:space="preserve"> are more narrowly tailored reasonable alternatives to obviate the risks the plaintiff fears. The </w:t>
      </w:r>
      <w:r w:rsidR="00907FF4">
        <w:rPr>
          <w:lang w:val="en-CA"/>
        </w:rPr>
        <w:t>measures</w:t>
      </w:r>
      <w:r w:rsidR="00907FF4" w:rsidRPr="003F7025">
        <w:rPr>
          <w:lang w:val="en-CA"/>
        </w:rPr>
        <w:t xml:space="preserve"> </w:t>
      </w:r>
      <w:r w:rsidR="003F7025" w:rsidRPr="003F7025">
        <w:rPr>
          <w:lang w:val="en-CA"/>
        </w:rPr>
        <w:t xml:space="preserve">sought </w:t>
      </w:r>
      <w:r w:rsidR="00907FF4">
        <w:rPr>
          <w:lang w:val="en-CA"/>
        </w:rPr>
        <w:t>are</w:t>
      </w:r>
      <w:r w:rsidR="00907FF4" w:rsidRPr="003F7025">
        <w:rPr>
          <w:lang w:val="en-CA"/>
        </w:rPr>
        <w:t xml:space="preserve"> </w:t>
      </w:r>
      <w:r w:rsidR="003F7025" w:rsidRPr="003F7025">
        <w:rPr>
          <w:lang w:val="en-CA"/>
        </w:rPr>
        <w:t>not a minimal impairment of the open court principle</w:t>
      </w:r>
      <w:r w:rsidRPr="00D86506">
        <w:rPr>
          <w:lang w:val="en-CA"/>
        </w:rPr>
        <w:t>.</w:t>
      </w:r>
      <w:r w:rsidR="003F7025">
        <w:rPr>
          <w:lang w:val="en-CA"/>
        </w:rPr>
        <w:t>”</w:t>
      </w:r>
      <w:r w:rsidRPr="00D86506">
        <w:rPr>
          <w:lang w:val="en-CA"/>
        </w:rPr>
        <w:t xml:space="preserve"> </w:t>
      </w:r>
      <w:r w:rsidR="003F7025">
        <w:rPr>
          <w:lang w:val="en-CA"/>
        </w:rPr>
        <w:t xml:space="preserve">With respect, applications for anonymity </w:t>
      </w:r>
      <w:r w:rsidR="002815D7">
        <w:rPr>
          <w:lang w:val="en-CA"/>
        </w:rPr>
        <w:t xml:space="preserve">generally </w:t>
      </w:r>
      <w:r w:rsidR="003F7025" w:rsidRPr="00AC22B1">
        <w:rPr>
          <w:i/>
          <w:iCs/>
          <w:lang w:val="en-CA"/>
        </w:rPr>
        <w:t>are</w:t>
      </w:r>
      <w:r w:rsidR="003F7025">
        <w:rPr>
          <w:lang w:val="en-CA"/>
        </w:rPr>
        <w:t xml:space="preserve"> measures that minimally impair the open court principle</w:t>
      </w:r>
      <w:r w:rsidRPr="00D86506">
        <w:rPr>
          <w:lang w:val="en-CA"/>
        </w:rPr>
        <w:t>.</w:t>
      </w:r>
    </w:p>
  </w:footnote>
  <w:footnote w:id="32">
    <w:p w14:paraId="1DE8897F"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Pr="00D86506">
        <w:rPr>
          <w:i/>
          <w:lang w:val="en-CA"/>
        </w:rPr>
        <w:t>Sherman</w:t>
      </w:r>
      <w:r w:rsidRPr="00D86506">
        <w:rPr>
          <w:lang w:val="en-CA"/>
        </w:rPr>
        <w:t xml:space="preserve">, </w:t>
      </w:r>
      <w:r w:rsidR="0049054D">
        <w:rPr>
          <w:i/>
          <w:lang w:val="en-CA"/>
        </w:rPr>
        <w:t xml:space="preserve">supra </w:t>
      </w:r>
      <w:r w:rsidR="00FA7F44" w:rsidRPr="00FA7F44">
        <w:rPr>
          <w:lang w:val="en-CA"/>
        </w:rPr>
        <w:t>note</w:t>
      </w:r>
      <w:r w:rsidRPr="00D86506">
        <w:rPr>
          <w:lang w:val="en-CA"/>
        </w:rPr>
        <w:t xml:space="preserve"> 7</w:t>
      </w:r>
      <w:r w:rsidR="00C46079">
        <w:rPr>
          <w:lang w:val="en-CA"/>
        </w:rPr>
        <w:t xml:space="preserve"> </w:t>
      </w:r>
      <w:r w:rsidR="00B85E9D">
        <w:rPr>
          <w:lang w:val="en-CA"/>
        </w:rPr>
        <w:t>at para.</w:t>
      </w:r>
      <w:r w:rsidRPr="00D86506">
        <w:rPr>
          <w:lang w:val="en-CA"/>
        </w:rPr>
        <w:t xml:space="preserve"> 2.</w:t>
      </w:r>
    </w:p>
  </w:footnote>
  <w:footnote w:id="33">
    <w:p w14:paraId="7CEF9C2F"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B85E9D">
        <w:rPr>
          <w:i/>
          <w:iCs/>
          <w:lang w:val="en-CA"/>
        </w:rPr>
        <w:t>Ibid.</w:t>
      </w:r>
      <w:r w:rsidR="00A54969">
        <w:rPr>
          <w:i/>
          <w:iCs/>
          <w:lang w:val="en-CA"/>
        </w:rPr>
        <w:t xml:space="preserve"> </w:t>
      </w:r>
      <w:r w:rsidR="00B85E9D">
        <w:rPr>
          <w:lang w:val="en-CA"/>
        </w:rPr>
        <w:t>at para</w:t>
      </w:r>
      <w:r w:rsidR="00A01071">
        <w:rPr>
          <w:lang w:val="en-CA"/>
        </w:rPr>
        <w:t>s</w:t>
      </w:r>
      <w:r w:rsidR="00B85E9D">
        <w:rPr>
          <w:lang w:val="en-CA"/>
        </w:rPr>
        <w:t>.</w:t>
      </w:r>
      <w:r w:rsidRPr="00D86506">
        <w:rPr>
          <w:lang w:val="en-CA"/>
        </w:rPr>
        <w:t xml:space="preserve"> 31 </w:t>
      </w:r>
      <w:r w:rsidR="00A01071">
        <w:rPr>
          <w:lang w:val="en-CA"/>
        </w:rPr>
        <w:t>and</w:t>
      </w:r>
      <w:r w:rsidRPr="00D86506">
        <w:rPr>
          <w:lang w:val="en-CA"/>
        </w:rPr>
        <w:t xml:space="preserve"> 33</w:t>
      </w:r>
      <w:r w:rsidR="00A54969">
        <w:rPr>
          <w:lang w:val="en-CA"/>
        </w:rPr>
        <w:t>–</w:t>
      </w:r>
      <w:r w:rsidRPr="00D86506">
        <w:rPr>
          <w:lang w:val="en-CA"/>
        </w:rPr>
        <w:t>35.</w:t>
      </w:r>
    </w:p>
  </w:footnote>
  <w:footnote w:id="34">
    <w:p w14:paraId="0F47A91E" w14:textId="77777777" w:rsidR="009F612A" w:rsidRPr="00D86506" w:rsidRDefault="00E01746" w:rsidP="009F612A">
      <w:pPr>
        <w:pStyle w:val="Notedebasdepage"/>
        <w:rPr>
          <w:lang w:val="en-CA"/>
        </w:rPr>
      </w:pPr>
      <w:r w:rsidRPr="00D86506">
        <w:rPr>
          <w:rStyle w:val="Appelnotedebasdep"/>
          <w:lang w:val="en-CA"/>
        </w:rPr>
        <w:footnoteRef/>
      </w:r>
      <w:r w:rsidRPr="00D86506">
        <w:rPr>
          <w:lang w:val="en-CA"/>
        </w:rPr>
        <w:t xml:space="preserve"> </w:t>
      </w:r>
      <w:r w:rsidRPr="00D86506">
        <w:rPr>
          <w:lang w:val="en-CA"/>
        </w:rPr>
        <w:tab/>
      </w:r>
      <w:r w:rsidR="00B85E9D">
        <w:rPr>
          <w:i/>
          <w:lang w:val="en-CA"/>
        </w:rPr>
        <w:t>Ibid.</w:t>
      </w:r>
      <w:r w:rsidR="00A54969">
        <w:rPr>
          <w:i/>
          <w:lang w:val="en-CA"/>
        </w:rPr>
        <w:t xml:space="preserve"> </w:t>
      </w:r>
      <w:r w:rsidR="00B85E9D">
        <w:rPr>
          <w:lang w:val="en-CA"/>
        </w:rPr>
        <w:t>at para</w:t>
      </w:r>
      <w:r w:rsidR="00A01071">
        <w:rPr>
          <w:lang w:val="en-CA"/>
        </w:rPr>
        <w:t>s</w:t>
      </w:r>
      <w:r w:rsidR="00B85E9D">
        <w:rPr>
          <w:lang w:val="en-CA"/>
        </w:rPr>
        <w:t>.</w:t>
      </w:r>
      <w:r w:rsidRPr="00D86506">
        <w:rPr>
          <w:lang w:val="en-CA"/>
        </w:rPr>
        <w:t xml:space="preserve"> 89 </w:t>
      </w:r>
      <w:r w:rsidR="00A01071">
        <w:rPr>
          <w:lang w:val="en-CA"/>
        </w:rPr>
        <w:t>and</w:t>
      </w:r>
      <w:r w:rsidRPr="00D86506">
        <w:rPr>
          <w:lang w:val="en-CA"/>
        </w:rPr>
        <w:t xml:space="preserve">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6E53" w14:textId="77777777" w:rsidR="002A1E2E" w:rsidRDefault="00E01746" w:rsidP="002A1E2E">
    <w:pPr>
      <w:tabs>
        <w:tab w:val="center" w:pos="4709"/>
        <w:tab w:val="right" w:pos="9360"/>
      </w:tabs>
      <w:spacing w:after="120" w:line="360" w:lineRule="auto"/>
      <w:ind w:right="524"/>
    </w:pPr>
    <w:r>
      <w:t>500-09-700042-211</w:t>
    </w:r>
    <w:r w:rsidRPr="007462D6">
      <w:t xml:space="preserve"> </w:t>
    </w:r>
    <w:r>
      <w:tab/>
    </w:r>
    <w:r>
      <w:tab/>
      <w:t xml:space="preserve">PAGE : </w:t>
    </w:r>
    <w:r>
      <w:fldChar w:fldCharType="begin"/>
    </w:r>
    <w:r>
      <w:instrText xml:space="preserve"> PAGE </w:instrText>
    </w:r>
    <w:r>
      <w:fldChar w:fldCharType="separate"/>
    </w:r>
    <w:r w:rsidR="00B721D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2029" w14:textId="77777777" w:rsidR="006D2B86" w:rsidRPr="00597786" w:rsidRDefault="006D2B86" w:rsidP="005977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8311" w14:textId="77777777" w:rsidR="003A59AD" w:rsidRDefault="00E01746" w:rsidP="003A59AD">
    <w:pPr>
      <w:tabs>
        <w:tab w:val="center" w:pos="4709"/>
        <w:tab w:val="right" w:pos="9360"/>
      </w:tabs>
      <w:spacing w:after="120" w:line="360" w:lineRule="auto"/>
      <w:ind w:right="524"/>
    </w:pPr>
    <w:r>
      <w:t>500-09-700042-211</w:t>
    </w:r>
    <w:r w:rsidRPr="007462D6">
      <w:t xml:space="preserve"> </w:t>
    </w:r>
    <w:r>
      <w:tab/>
    </w:r>
    <w:r>
      <w:tab/>
      <w:t xml:space="preserve">PAGE : </w:t>
    </w:r>
    <w:r>
      <w:fldChar w:fldCharType="begin"/>
    </w:r>
    <w:r>
      <w:instrText xml:space="preserve"> PAGE </w:instrText>
    </w:r>
    <w:r>
      <w:fldChar w:fldCharType="separate"/>
    </w:r>
    <w:r w:rsidR="00B721D1">
      <w:rPr>
        <w:noProof/>
      </w:rP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6B2" w14:textId="77777777" w:rsidR="00F26D8D" w:rsidRDefault="00F26D8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CD67" w14:textId="77777777" w:rsidR="007E33E4" w:rsidRDefault="00E01746" w:rsidP="009F612A">
    <w:pPr>
      <w:tabs>
        <w:tab w:val="center" w:pos="4709"/>
        <w:tab w:val="right" w:pos="9360"/>
      </w:tabs>
      <w:spacing w:after="120" w:line="360" w:lineRule="auto"/>
      <w:ind w:right="524"/>
    </w:pPr>
    <w:bookmarkStart w:id="16" w:name="EntDossier"/>
    <w:r>
      <w:t>500-09-700042-211</w:t>
    </w:r>
    <w:bookmarkEnd w:id="16"/>
    <w:r w:rsidRPr="007462D6">
      <w:t xml:space="preserve"> </w:t>
    </w:r>
    <w:r>
      <w:tab/>
    </w:r>
    <w:r>
      <w:tab/>
      <w:t xml:space="preserve">PAGE: </w:t>
    </w:r>
    <w:r>
      <w:fldChar w:fldCharType="begin"/>
    </w:r>
    <w:r>
      <w:instrText xml:space="preserve"> PAGE </w:instrText>
    </w:r>
    <w:r>
      <w:fldChar w:fldCharType="separate"/>
    </w:r>
    <w:r w:rsidR="00B721D1">
      <w:rPr>
        <w:noProof/>
      </w:rPr>
      <w:t>14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6996" w14:textId="77777777" w:rsidR="00F26D8D" w:rsidRDefault="00F26D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9171C"/>
    <w:multiLevelType w:val="hybridMultilevel"/>
    <w:tmpl w:val="5DB68E2E"/>
    <w:lvl w:ilvl="0" w:tplc="250ED002">
      <w:start w:val="1"/>
      <w:numFmt w:val="upperLetter"/>
      <w:lvlText w:val="%1."/>
      <w:lvlJc w:val="left"/>
      <w:pPr>
        <w:ind w:left="720" w:hanging="360"/>
      </w:pPr>
      <w:rPr>
        <w:rFonts w:hint="default"/>
      </w:rPr>
    </w:lvl>
    <w:lvl w:ilvl="1" w:tplc="7D56AE8E" w:tentative="1">
      <w:start w:val="1"/>
      <w:numFmt w:val="lowerLetter"/>
      <w:lvlText w:val="%2."/>
      <w:lvlJc w:val="left"/>
      <w:pPr>
        <w:ind w:left="1440" w:hanging="360"/>
      </w:pPr>
    </w:lvl>
    <w:lvl w:ilvl="2" w:tplc="1384FC08" w:tentative="1">
      <w:start w:val="1"/>
      <w:numFmt w:val="lowerRoman"/>
      <w:lvlText w:val="%3."/>
      <w:lvlJc w:val="right"/>
      <w:pPr>
        <w:ind w:left="2160" w:hanging="180"/>
      </w:pPr>
    </w:lvl>
    <w:lvl w:ilvl="3" w:tplc="87B6E03C" w:tentative="1">
      <w:start w:val="1"/>
      <w:numFmt w:val="decimal"/>
      <w:lvlText w:val="%4."/>
      <w:lvlJc w:val="left"/>
      <w:pPr>
        <w:ind w:left="2880" w:hanging="360"/>
      </w:pPr>
    </w:lvl>
    <w:lvl w:ilvl="4" w:tplc="06A8BA9A" w:tentative="1">
      <w:start w:val="1"/>
      <w:numFmt w:val="lowerLetter"/>
      <w:lvlText w:val="%5."/>
      <w:lvlJc w:val="left"/>
      <w:pPr>
        <w:ind w:left="3600" w:hanging="360"/>
      </w:pPr>
    </w:lvl>
    <w:lvl w:ilvl="5" w:tplc="5B6A80F0" w:tentative="1">
      <w:start w:val="1"/>
      <w:numFmt w:val="lowerRoman"/>
      <w:lvlText w:val="%6."/>
      <w:lvlJc w:val="right"/>
      <w:pPr>
        <w:ind w:left="4320" w:hanging="180"/>
      </w:pPr>
    </w:lvl>
    <w:lvl w:ilvl="6" w:tplc="19F64FCE" w:tentative="1">
      <w:start w:val="1"/>
      <w:numFmt w:val="decimal"/>
      <w:lvlText w:val="%7."/>
      <w:lvlJc w:val="left"/>
      <w:pPr>
        <w:ind w:left="5040" w:hanging="360"/>
      </w:pPr>
    </w:lvl>
    <w:lvl w:ilvl="7" w:tplc="F880DD2E" w:tentative="1">
      <w:start w:val="1"/>
      <w:numFmt w:val="lowerLetter"/>
      <w:lvlText w:val="%8."/>
      <w:lvlJc w:val="left"/>
      <w:pPr>
        <w:ind w:left="5760" w:hanging="360"/>
      </w:pPr>
    </w:lvl>
    <w:lvl w:ilvl="8" w:tplc="A91C2766" w:tentative="1">
      <w:start w:val="1"/>
      <w:numFmt w:val="lowerRoman"/>
      <w:lvlText w:val="%9."/>
      <w:lvlJc w:val="right"/>
      <w:pPr>
        <w:ind w:left="6480"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229221611">
    <w:abstractNumId w:val="13"/>
  </w:num>
  <w:num w:numId="2" w16cid:durableId="1915125197">
    <w:abstractNumId w:val="13"/>
  </w:num>
  <w:num w:numId="3" w16cid:durableId="1796631568">
    <w:abstractNumId w:val="13"/>
  </w:num>
  <w:num w:numId="4" w16cid:durableId="2011062658">
    <w:abstractNumId w:val="8"/>
  </w:num>
  <w:num w:numId="5" w16cid:durableId="1891453596">
    <w:abstractNumId w:val="3"/>
  </w:num>
  <w:num w:numId="6" w16cid:durableId="1981761179">
    <w:abstractNumId w:val="2"/>
  </w:num>
  <w:num w:numId="7" w16cid:durableId="1923682503">
    <w:abstractNumId w:val="1"/>
  </w:num>
  <w:num w:numId="8" w16cid:durableId="1351643403">
    <w:abstractNumId w:val="0"/>
  </w:num>
  <w:num w:numId="9" w16cid:durableId="114833844">
    <w:abstractNumId w:val="9"/>
  </w:num>
  <w:num w:numId="10" w16cid:durableId="1600913835">
    <w:abstractNumId w:val="7"/>
  </w:num>
  <w:num w:numId="11" w16cid:durableId="1020357992">
    <w:abstractNumId w:val="6"/>
  </w:num>
  <w:num w:numId="12" w16cid:durableId="2086107245">
    <w:abstractNumId w:val="5"/>
  </w:num>
  <w:num w:numId="13" w16cid:durableId="958954836">
    <w:abstractNumId w:val="4"/>
  </w:num>
  <w:num w:numId="14" w16cid:durableId="1153644290">
    <w:abstractNumId w:val="13"/>
  </w:num>
  <w:num w:numId="15" w16cid:durableId="421754593">
    <w:abstractNumId w:val="13"/>
  </w:num>
  <w:num w:numId="16" w16cid:durableId="2055345289">
    <w:abstractNumId w:val="13"/>
  </w:num>
  <w:num w:numId="17" w16cid:durableId="229466378">
    <w:abstractNumId w:val="12"/>
  </w:num>
  <w:num w:numId="18" w16cid:durableId="412049617">
    <w:abstractNumId w:val="11"/>
  </w:num>
  <w:num w:numId="19" w16cid:durableId="174350198">
    <w:abstractNumId w:val="10"/>
  </w:num>
  <w:num w:numId="20" w16cid:durableId="212769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8469016">
    <w:abstractNumId w:val="11"/>
  </w:num>
  <w:num w:numId="22" w16cid:durableId="761219580">
    <w:abstractNumId w:val="11"/>
  </w:num>
  <w:num w:numId="23" w16cid:durableId="45766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0613684">
    <w:abstractNumId w:val="11"/>
  </w:num>
  <w:num w:numId="25" w16cid:durableId="514076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A68"/>
    <w:rsid w:val="00001619"/>
    <w:rsid w:val="00006328"/>
    <w:rsid w:val="0000660F"/>
    <w:rsid w:val="000131E1"/>
    <w:rsid w:val="00014A09"/>
    <w:rsid w:val="00016697"/>
    <w:rsid w:val="00021375"/>
    <w:rsid w:val="00026A82"/>
    <w:rsid w:val="000313C5"/>
    <w:rsid w:val="00034DC9"/>
    <w:rsid w:val="00035C94"/>
    <w:rsid w:val="0004394C"/>
    <w:rsid w:val="00045757"/>
    <w:rsid w:val="00045DEA"/>
    <w:rsid w:val="00051B84"/>
    <w:rsid w:val="00051BD6"/>
    <w:rsid w:val="00053691"/>
    <w:rsid w:val="00056B84"/>
    <w:rsid w:val="00057272"/>
    <w:rsid w:val="00060850"/>
    <w:rsid w:val="00062BAA"/>
    <w:rsid w:val="00063A84"/>
    <w:rsid w:val="00063D3B"/>
    <w:rsid w:val="00064E09"/>
    <w:rsid w:val="00072FB3"/>
    <w:rsid w:val="00073A87"/>
    <w:rsid w:val="00075C34"/>
    <w:rsid w:val="00080D08"/>
    <w:rsid w:val="00092E8F"/>
    <w:rsid w:val="000A0D07"/>
    <w:rsid w:val="000A10D3"/>
    <w:rsid w:val="000A4960"/>
    <w:rsid w:val="000A5BD7"/>
    <w:rsid w:val="000A6C4E"/>
    <w:rsid w:val="000A7516"/>
    <w:rsid w:val="000B0897"/>
    <w:rsid w:val="000B385F"/>
    <w:rsid w:val="000B3F81"/>
    <w:rsid w:val="000B42AF"/>
    <w:rsid w:val="000B5AF4"/>
    <w:rsid w:val="000B7E7D"/>
    <w:rsid w:val="000C0B7D"/>
    <w:rsid w:val="000C100B"/>
    <w:rsid w:val="000C182E"/>
    <w:rsid w:val="000C4B1C"/>
    <w:rsid w:val="000C7A51"/>
    <w:rsid w:val="000E5126"/>
    <w:rsid w:val="000F2BDE"/>
    <w:rsid w:val="000F2F48"/>
    <w:rsid w:val="000F5A46"/>
    <w:rsid w:val="000F691A"/>
    <w:rsid w:val="00100828"/>
    <w:rsid w:val="001028CC"/>
    <w:rsid w:val="00102DBF"/>
    <w:rsid w:val="0010400D"/>
    <w:rsid w:val="00105DF4"/>
    <w:rsid w:val="00106652"/>
    <w:rsid w:val="00107839"/>
    <w:rsid w:val="0011003E"/>
    <w:rsid w:val="00110B53"/>
    <w:rsid w:val="00112321"/>
    <w:rsid w:val="001130E0"/>
    <w:rsid w:val="00116AEA"/>
    <w:rsid w:val="00117914"/>
    <w:rsid w:val="001216CF"/>
    <w:rsid w:val="00121B9A"/>
    <w:rsid w:val="00123B1E"/>
    <w:rsid w:val="0013028C"/>
    <w:rsid w:val="001312BC"/>
    <w:rsid w:val="0013312B"/>
    <w:rsid w:val="00135716"/>
    <w:rsid w:val="00137F28"/>
    <w:rsid w:val="001420FD"/>
    <w:rsid w:val="0015006E"/>
    <w:rsid w:val="001532F1"/>
    <w:rsid w:val="001540FB"/>
    <w:rsid w:val="00154808"/>
    <w:rsid w:val="0015610F"/>
    <w:rsid w:val="001605F7"/>
    <w:rsid w:val="00160B31"/>
    <w:rsid w:val="00167748"/>
    <w:rsid w:val="001678B6"/>
    <w:rsid w:val="00167FF9"/>
    <w:rsid w:val="0017465F"/>
    <w:rsid w:val="00181F56"/>
    <w:rsid w:val="00190FA7"/>
    <w:rsid w:val="00193E09"/>
    <w:rsid w:val="00195D80"/>
    <w:rsid w:val="0019692A"/>
    <w:rsid w:val="001972F2"/>
    <w:rsid w:val="001A0608"/>
    <w:rsid w:val="001A2489"/>
    <w:rsid w:val="001B19A4"/>
    <w:rsid w:val="001B539E"/>
    <w:rsid w:val="001B70CB"/>
    <w:rsid w:val="001C048D"/>
    <w:rsid w:val="001C09F2"/>
    <w:rsid w:val="001C5F1F"/>
    <w:rsid w:val="001D2C15"/>
    <w:rsid w:val="001D2C59"/>
    <w:rsid w:val="001D386F"/>
    <w:rsid w:val="001D6F67"/>
    <w:rsid w:val="001E07D2"/>
    <w:rsid w:val="001F1B42"/>
    <w:rsid w:val="001F3EC3"/>
    <w:rsid w:val="001F5636"/>
    <w:rsid w:val="002009E5"/>
    <w:rsid w:val="00204834"/>
    <w:rsid w:val="00205DC4"/>
    <w:rsid w:val="00207D86"/>
    <w:rsid w:val="00212CD5"/>
    <w:rsid w:val="0021431A"/>
    <w:rsid w:val="0021548E"/>
    <w:rsid w:val="00220031"/>
    <w:rsid w:val="00226F18"/>
    <w:rsid w:val="002273F5"/>
    <w:rsid w:val="00230DA4"/>
    <w:rsid w:val="00233E0A"/>
    <w:rsid w:val="00233EA8"/>
    <w:rsid w:val="00235476"/>
    <w:rsid w:val="002371B2"/>
    <w:rsid w:val="00241989"/>
    <w:rsid w:val="00245FA5"/>
    <w:rsid w:val="00246481"/>
    <w:rsid w:val="00251678"/>
    <w:rsid w:val="00251996"/>
    <w:rsid w:val="002526F5"/>
    <w:rsid w:val="0025590E"/>
    <w:rsid w:val="002620AF"/>
    <w:rsid w:val="00265E2F"/>
    <w:rsid w:val="002733A8"/>
    <w:rsid w:val="0027678D"/>
    <w:rsid w:val="00280878"/>
    <w:rsid w:val="002815D7"/>
    <w:rsid w:val="002900AD"/>
    <w:rsid w:val="0029061E"/>
    <w:rsid w:val="00290EED"/>
    <w:rsid w:val="00292E92"/>
    <w:rsid w:val="00293B3B"/>
    <w:rsid w:val="002A0E8D"/>
    <w:rsid w:val="002A1E2E"/>
    <w:rsid w:val="002A6B58"/>
    <w:rsid w:val="002B31D0"/>
    <w:rsid w:val="002B330E"/>
    <w:rsid w:val="002B4A07"/>
    <w:rsid w:val="002C1E3B"/>
    <w:rsid w:val="002C4107"/>
    <w:rsid w:val="002C52F3"/>
    <w:rsid w:val="002C6FE2"/>
    <w:rsid w:val="002D3044"/>
    <w:rsid w:val="002D419E"/>
    <w:rsid w:val="002D5507"/>
    <w:rsid w:val="002E0058"/>
    <w:rsid w:val="002E0B8C"/>
    <w:rsid w:val="002E1292"/>
    <w:rsid w:val="002E1E96"/>
    <w:rsid w:val="002E1F0E"/>
    <w:rsid w:val="002E229C"/>
    <w:rsid w:val="002E3520"/>
    <w:rsid w:val="002E51F1"/>
    <w:rsid w:val="002E6E04"/>
    <w:rsid w:val="002E7379"/>
    <w:rsid w:val="002E77E4"/>
    <w:rsid w:val="002F1350"/>
    <w:rsid w:val="002F4018"/>
    <w:rsid w:val="002F6136"/>
    <w:rsid w:val="00301F01"/>
    <w:rsid w:val="003039E0"/>
    <w:rsid w:val="00312661"/>
    <w:rsid w:val="0031299C"/>
    <w:rsid w:val="003170B5"/>
    <w:rsid w:val="0032020E"/>
    <w:rsid w:val="0032132C"/>
    <w:rsid w:val="00322034"/>
    <w:rsid w:val="00322DE0"/>
    <w:rsid w:val="0032363D"/>
    <w:rsid w:val="0033190E"/>
    <w:rsid w:val="00331B62"/>
    <w:rsid w:val="003342E5"/>
    <w:rsid w:val="00334B3A"/>
    <w:rsid w:val="003354B6"/>
    <w:rsid w:val="00337C09"/>
    <w:rsid w:val="00342235"/>
    <w:rsid w:val="00343EAF"/>
    <w:rsid w:val="0034567C"/>
    <w:rsid w:val="00345772"/>
    <w:rsid w:val="003516BD"/>
    <w:rsid w:val="00352800"/>
    <w:rsid w:val="00360F81"/>
    <w:rsid w:val="00361325"/>
    <w:rsid w:val="00365523"/>
    <w:rsid w:val="00374888"/>
    <w:rsid w:val="00374E40"/>
    <w:rsid w:val="00384F70"/>
    <w:rsid w:val="00395994"/>
    <w:rsid w:val="00395D16"/>
    <w:rsid w:val="003A357D"/>
    <w:rsid w:val="003A500F"/>
    <w:rsid w:val="003A59AD"/>
    <w:rsid w:val="003A6A14"/>
    <w:rsid w:val="003B51C8"/>
    <w:rsid w:val="003C436A"/>
    <w:rsid w:val="003D487D"/>
    <w:rsid w:val="003E0349"/>
    <w:rsid w:val="003E15C8"/>
    <w:rsid w:val="003E3239"/>
    <w:rsid w:val="003E3E3C"/>
    <w:rsid w:val="003F1630"/>
    <w:rsid w:val="003F50EA"/>
    <w:rsid w:val="003F5A58"/>
    <w:rsid w:val="003F7025"/>
    <w:rsid w:val="003F73E3"/>
    <w:rsid w:val="004013A1"/>
    <w:rsid w:val="00401F05"/>
    <w:rsid w:val="00407869"/>
    <w:rsid w:val="00416529"/>
    <w:rsid w:val="0041744B"/>
    <w:rsid w:val="00421DBD"/>
    <w:rsid w:val="00423A1D"/>
    <w:rsid w:val="00423DF1"/>
    <w:rsid w:val="0042670F"/>
    <w:rsid w:val="00430C58"/>
    <w:rsid w:val="004331C4"/>
    <w:rsid w:val="00434713"/>
    <w:rsid w:val="0043564D"/>
    <w:rsid w:val="00437B8B"/>
    <w:rsid w:val="00441C25"/>
    <w:rsid w:val="00443357"/>
    <w:rsid w:val="00446452"/>
    <w:rsid w:val="00447038"/>
    <w:rsid w:val="004548B7"/>
    <w:rsid w:val="00455963"/>
    <w:rsid w:val="00456278"/>
    <w:rsid w:val="00456F97"/>
    <w:rsid w:val="00460299"/>
    <w:rsid w:val="00460DE6"/>
    <w:rsid w:val="0046161B"/>
    <w:rsid w:val="004717BC"/>
    <w:rsid w:val="00472922"/>
    <w:rsid w:val="00472DC8"/>
    <w:rsid w:val="00476FDF"/>
    <w:rsid w:val="004776B6"/>
    <w:rsid w:val="004777F7"/>
    <w:rsid w:val="004802EC"/>
    <w:rsid w:val="00481BD9"/>
    <w:rsid w:val="004838F5"/>
    <w:rsid w:val="00484BA9"/>
    <w:rsid w:val="00485F54"/>
    <w:rsid w:val="00486216"/>
    <w:rsid w:val="00487087"/>
    <w:rsid w:val="0049054D"/>
    <w:rsid w:val="00492941"/>
    <w:rsid w:val="00492B4B"/>
    <w:rsid w:val="0049455B"/>
    <w:rsid w:val="004958F5"/>
    <w:rsid w:val="00497BF4"/>
    <w:rsid w:val="004A29F1"/>
    <w:rsid w:val="004A6641"/>
    <w:rsid w:val="004B1E94"/>
    <w:rsid w:val="004B200A"/>
    <w:rsid w:val="004B2B6A"/>
    <w:rsid w:val="004B33FF"/>
    <w:rsid w:val="004B558C"/>
    <w:rsid w:val="004C4568"/>
    <w:rsid w:val="004D0E4B"/>
    <w:rsid w:val="004D2F69"/>
    <w:rsid w:val="004D3088"/>
    <w:rsid w:val="004D487A"/>
    <w:rsid w:val="004D52F3"/>
    <w:rsid w:val="004D6F13"/>
    <w:rsid w:val="004D7D91"/>
    <w:rsid w:val="004E18F3"/>
    <w:rsid w:val="004E28D3"/>
    <w:rsid w:val="004E4DCB"/>
    <w:rsid w:val="004E4FBA"/>
    <w:rsid w:val="004F2FDC"/>
    <w:rsid w:val="004F7CCD"/>
    <w:rsid w:val="00502237"/>
    <w:rsid w:val="005060CF"/>
    <w:rsid w:val="00507C4C"/>
    <w:rsid w:val="005103BC"/>
    <w:rsid w:val="005131F1"/>
    <w:rsid w:val="0051484F"/>
    <w:rsid w:val="00515952"/>
    <w:rsid w:val="00516B3E"/>
    <w:rsid w:val="00522504"/>
    <w:rsid w:val="005256BE"/>
    <w:rsid w:val="005262C9"/>
    <w:rsid w:val="0052636A"/>
    <w:rsid w:val="00531D07"/>
    <w:rsid w:val="00531D70"/>
    <w:rsid w:val="00534165"/>
    <w:rsid w:val="00534760"/>
    <w:rsid w:val="005368B7"/>
    <w:rsid w:val="00536AF8"/>
    <w:rsid w:val="00537ED0"/>
    <w:rsid w:val="00542F2A"/>
    <w:rsid w:val="005432DE"/>
    <w:rsid w:val="00545CD2"/>
    <w:rsid w:val="00560488"/>
    <w:rsid w:val="00560E3E"/>
    <w:rsid w:val="00566BF6"/>
    <w:rsid w:val="00572743"/>
    <w:rsid w:val="00574FDE"/>
    <w:rsid w:val="005754E9"/>
    <w:rsid w:val="005815F9"/>
    <w:rsid w:val="00583434"/>
    <w:rsid w:val="0058349F"/>
    <w:rsid w:val="00583EDC"/>
    <w:rsid w:val="005850CB"/>
    <w:rsid w:val="0059138B"/>
    <w:rsid w:val="00594217"/>
    <w:rsid w:val="00596AE5"/>
    <w:rsid w:val="00597786"/>
    <w:rsid w:val="005A207C"/>
    <w:rsid w:val="005A3C31"/>
    <w:rsid w:val="005A78BF"/>
    <w:rsid w:val="005A7920"/>
    <w:rsid w:val="005B1281"/>
    <w:rsid w:val="005B40B2"/>
    <w:rsid w:val="005B455B"/>
    <w:rsid w:val="005B6B4C"/>
    <w:rsid w:val="005C5726"/>
    <w:rsid w:val="005C7516"/>
    <w:rsid w:val="005D1522"/>
    <w:rsid w:val="005D1AB3"/>
    <w:rsid w:val="005D2FF7"/>
    <w:rsid w:val="005E002D"/>
    <w:rsid w:val="005E26E4"/>
    <w:rsid w:val="005E4ABB"/>
    <w:rsid w:val="005E6883"/>
    <w:rsid w:val="005F001B"/>
    <w:rsid w:val="005F1355"/>
    <w:rsid w:val="005F5F5F"/>
    <w:rsid w:val="005F7F23"/>
    <w:rsid w:val="006021F5"/>
    <w:rsid w:val="0060641B"/>
    <w:rsid w:val="00610377"/>
    <w:rsid w:val="006120B6"/>
    <w:rsid w:val="006173CD"/>
    <w:rsid w:val="00620A58"/>
    <w:rsid w:val="0062262C"/>
    <w:rsid w:val="00622A16"/>
    <w:rsid w:val="00622B74"/>
    <w:rsid w:val="00624770"/>
    <w:rsid w:val="00624B12"/>
    <w:rsid w:val="00626A8C"/>
    <w:rsid w:val="0063397D"/>
    <w:rsid w:val="00636D30"/>
    <w:rsid w:val="00637612"/>
    <w:rsid w:val="0064250B"/>
    <w:rsid w:val="00642EAE"/>
    <w:rsid w:val="00643319"/>
    <w:rsid w:val="00650D1E"/>
    <w:rsid w:val="006527CE"/>
    <w:rsid w:val="0065295A"/>
    <w:rsid w:val="0065296D"/>
    <w:rsid w:val="0065344C"/>
    <w:rsid w:val="00661766"/>
    <w:rsid w:val="00665293"/>
    <w:rsid w:val="00672B67"/>
    <w:rsid w:val="00675346"/>
    <w:rsid w:val="006826AA"/>
    <w:rsid w:val="006826FD"/>
    <w:rsid w:val="00682D03"/>
    <w:rsid w:val="0068356A"/>
    <w:rsid w:val="00684408"/>
    <w:rsid w:val="0068505D"/>
    <w:rsid w:val="006948F3"/>
    <w:rsid w:val="006961D5"/>
    <w:rsid w:val="006A0DB0"/>
    <w:rsid w:val="006A24B9"/>
    <w:rsid w:val="006A3E54"/>
    <w:rsid w:val="006A6629"/>
    <w:rsid w:val="006B0981"/>
    <w:rsid w:val="006B0C04"/>
    <w:rsid w:val="006B20C2"/>
    <w:rsid w:val="006B739B"/>
    <w:rsid w:val="006C06C1"/>
    <w:rsid w:val="006C1823"/>
    <w:rsid w:val="006C7559"/>
    <w:rsid w:val="006D11A7"/>
    <w:rsid w:val="006D241C"/>
    <w:rsid w:val="006D2B86"/>
    <w:rsid w:val="006D6B1D"/>
    <w:rsid w:val="006E39B9"/>
    <w:rsid w:val="006E746C"/>
    <w:rsid w:val="006F3355"/>
    <w:rsid w:val="006F3587"/>
    <w:rsid w:val="006F3A7C"/>
    <w:rsid w:val="006F5002"/>
    <w:rsid w:val="006F6B9A"/>
    <w:rsid w:val="0070413D"/>
    <w:rsid w:val="00704311"/>
    <w:rsid w:val="007045EA"/>
    <w:rsid w:val="00715C8B"/>
    <w:rsid w:val="0072003A"/>
    <w:rsid w:val="0072171B"/>
    <w:rsid w:val="0072230B"/>
    <w:rsid w:val="00730FB0"/>
    <w:rsid w:val="007318B5"/>
    <w:rsid w:val="00732387"/>
    <w:rsid w:val="00733304"/>
    <w:rsid w:val="00734B38"/>
    <w:rsid w:val="007400C7"/>
    <w:rsid w:val="00740A17"/>
    <w:rsid w:val="00742BC1"/>
    <w:rsid w:val="007444BC"/>
    <w:rsid w:val="00744F6C"/>
    <w:rsid w:val="007462D6"/>
    <w:rsid w:val="0074738B"/>
    <w:rsid w:val="0075122A"/>
    <w:rsid w:val="007517DC"/>
    <w:rsid w:val="007571C7"/>
    <w:rsid w:val="0076062E"/>
    <w:rsid w:val="00763B88"/>
    <w:rsid w:val="00770AB8"/>
    <w:rsid w:val="00773FA6"/>
    <w:rsid w:val="00784A23"/>
    <w:rsid w:val="00785099"/>
    <w:rsid w:val="00792CD6"/>
    <w:rsid w:val="00794985"/>
    <w:rsid w:val="00794DF1"/>
    <w:rsid w:val="007953F3"/>
    <w:rsid w:val="007A6379"/>
    <w:rsid w:val="007A7803"/>
    <w:rsid w:val="007B061E"/>
    <w:rsid w:val="007B48D5"/>
    <w:rsid w:val="007B58FE"/>
    <w:rsid w:val="007B7B54"/>
    <w:rsid w:val="007C11EE"/>
    <w:rsid w:val="007C66F5"/>
    <w:rsid w:val="007C70EB"/>
    <w:rsid w:val="007D087C"/>
    <w:rsid w:val="007D33E7"/>
    <w:rsid w:val="007D4E0C"/>
    <w:rsid w:val="007E33E4"/>
    <w:rsid w:val="007E4CC9"/>
    <w:rsid w:val="007E7D4E"/>
    <w:rsid w:val="007F1EEB"/>
    <w:rsid w:val="007F4431"/>
    <w:rsid w:val="00800D23"/>
    <w:rsid w:val="00801AAF"/>
    <w:rsid w:val="008042AC"/>
    <w:rsid w:val="00804C71"/>
    <w:rsid w:val="00804E52"/>
    <w:rsid w:val="0081146B"/>
    <w:rsid w:val="00815614"/>
    <w:rsid w:val="00815799"/>
    <w:rsid w:val="00815F21"/>
    <w:rsid w:val="00816273"/>
    <w:rsid w:val="00817FD6"/>
    <w:rsid w:val="008209E6"/>
    <w:rsid w:val="00822779"/>
    <w:rsid w:val="00824AA1"/>
    <w:rsid w:val="00826C2C"/>
    <w:rsid w:val="0082717B"/>
    <w:rsid w:val="00827B04"/>
    <w:rsid w:val="0083032E"/>
    <w:rsid w:val="00831465"/>
    <w:rsid w:val="00841907"/>
    <w:rsid w:val="00842AD5"/>
    <w:rsid w:val="00851636"/>
    <w:rsid w:val="00852F97"/>
    <w:rsid w:val="00853224"/>
    <w:rsid w:val="0085509D"/>
    <w:rsid w:val="00857062"/>
    <w:rsid w:val="00857484"/>
    <w:rsid w:val="0086036A"/>
    <w:rsid w:val="0086104E"/>
    <w:rsid w:val="008653A3"/>
    <w:rsid w:val="008657A2"/>
    <w:rsid w:val="00866645"/>
    <w:rsid w:val="0086700F"/>
    <w:rsid w:val="00867658"/>
    <w:rsid w:val="00872C2D"/>
    <w:rsid w:val="00880A74"/>
    <w:rsid w:val="00881F0B"/>
    <w:rsid w:val="00882210"/>
    <w:rsid w:val="00882B51"/>
    <w:rsid w:val="008838E3"/>
    <w:rsid w:val="00883C3D"/>
    <w:rsid w:val="008920CD"/>
    <w:rsid w:val="0089710B"/>
    <w:rsid w:val="008A255D"/>
    <w:rsid w:val="008A31B6"/>
    <w:rsid w:val="008A3FD1"/>
    <w:rsid w:val="008A4C72"/>
    <w:rsid w:val="008A6185"/>
    <w:rsid w:val="008A6D3B"/>
    <w:rsid w:val="008A77F2"/>
    <w:rsid w:val="008B3F7E"/>
    <w:rsid w:val="008B50CE"/>
    <w:rsid w:val="008C1FE9"/>
    <w:rsid w:val="008C485A"/>
    <w:rsid w:val="008C5562"/>
    <w:rsid w:val="008C7DCE"/>
    <w:rsid w:val="008D18FC"/>
    <w:rsid w:val="008D2FB9"/>
    <w:rsid w:val="008D3521"/>
    <w:rsid w:val="008D398B"/>
    <w:rsid w:val="008D7E49"/>
    <w:rsid w:val="008E26E9"/>
    <w:rsid w:val="008E57E3"/>
    <w:rsid w:val="008E6A8B"/>
    <w:rsid w:val="008E77B4"/>
    <w:rsid w:val="008F247E"/>
    <w:rsid w:val="008F364A"/>
    <w:rsid w:val="008F3F53"/>
    <w:rsid w:val="00901BCB"/>
    <w:rsid w:val="00905987"/>
    <w:rsid w:val="009079F5"/>
    <w:rsid w:val="00907FF4"/>
    <w:rsid w:val="00913E03"/>
    <w:rsid w:val="00913F95"/>
    <w:rsid w:val="00915D93"/>
    <w:rsid w:val="00915E5F"/>
    <w:rsid w:val="009210D1"/>
    <w:rsid w:val="009229E9"/>
    <w:rsid w:val="00926147"/>
    <w:rsid w:val="00926446"/>
    <w:rsid w:val="00926953"/>
    <w:rsid w:val="00927103"/>
    <w:rsid w:val="00927289"/>
    <w:rsid w:val="00927CCC"/>
    <w:rsid w:val="009320EF"/>
    <w:rsid w:val="00932703"/>
    <w:rsid w:val="00932BBD"/>
    <w:rsid w:val="00932E81"/>
    <w:rsid w:val="00936469"/>
    <w:rsid w:val="00937192"/>
    <w:rsid w:val="009400B7"/>
    <w:rsid w:val="00941B3F"/>
    <w:rsid w:val="00942D93"/>
    <w:rsid w:val="00942E18"/>
    <w:rsid w:val="009433BA"/>
    <w:rsid w:val="00944D4E"/>
    <w:rsid w:val="00950A6E"/>
    <w:rsid w:val="0095170D"/>
    <w:rsid w:val="00954DC2"/>
    <w:rsid w:val="00957B92"/>
    <w:rsid w:val="00960621"/>
    <w:rsid w:val="009613EF"/>
    <w:rsid w:val="00964CA0"/>
    <w:rsid w:val="009679AA"/>
    <w:rsid w:val="00967AEF"/>
    <w:rsid w:val="00970966"/>
    <w:rsid w:val="00971873"/>
    <w:rsid w:val="00971D2D"/>
    <w:rsid w:val="00973D8E"/>
    <w:rsid w:val="00974442"/>
    <w:rsid w:val="00976AE7"/>
    <w:rsid w:val="00982BA3"/>
    <w:rsid w:val="00992298"/>
    <w:rsid w:val="0099338E"/>
    <w:rsid w:val="00994C5C"/>
    <w:rsid w:val="00997CFA"/>
    <w:rsid w:val="009A0060"/>
    <w:rsid w:val="009A684D"/>
    <w:rsid w:val="009A7CDF"/>
    <w:rsid w:val="009B02B3"/>
    <w:rsid w:val="009C2289"/>
    <w:rsid w:val="009C3ED4"/>
    <w:rsid w:val="009C466A"/>
    <w:rsid w:val="009D2928"/>
    <w:rsid w:val="009D4C0A"/>
    <w:rsid w:val="009D59B1"/>
    <w:rsid w:val="009E15A9"/>
    <w:rsid w:val="009E250A"/>
    <w:rsid w:val="009E346D"/>
    <w:rsid w:val="009E6B14"/>
    <w:rsid w:val="009F1F69"/>
    <w:rsid w:val="009F612A"/>
    <w:rsid w:val="009F688B"/>
    <w:rsid w:val="009F6DD9"/>
    <w:rsid w:val="009F75C9"/>
    <w:rsid w:val="00A00F41"/>
    <w:rsid w:val="00A01071"/>
    <w:rsid w:val="00A036F7"/>
    <w:rsid w:val="00A06721"/>
    <w:rsid w:val="00A10E53"/>
    <w:rsid w:val="00A162A7"/>
    <w:rsid w:val="00A17009"/>
    <w:rsid w:val="00A17A35"/>
    <w:rsid w:val="00A17E71"/>
    <w:rsid w:val="00A20AE3"/>
    <w:rsid w:val="00A23BF4"/>
    <w:rsid w:val="00A251FF"/>
    <w:rsid w:val="00A2593B"/>
    <w:rsid w:val="00A27773"/>
    <w:rsid w:val="00A308A5"/>
    <w:rsid w:val="00A3316A"/>
    <w:rsid w:val="00A34E05"/>
    <w:rsid w:val="00A35E8C"/>
    <w:rsid w:val="00A40D37"/>
    <w:rsid w:val="00A4134B"/>
    <w:rsid w:val="00A41BC1"/>
    <w:rsid w:val="00A42871"/>
    <w:rsid w:val="00A433DD"/>
    <w:rsid w:val="00A43D8B"/>
    <w:rsid w:val="00A454F1"/>
    <w:rsid w:val="00A53EFB"/>
    <w:rsid w:val="00A543CC"/>
    <w:rsid w:val="00A54969"/>
    <w:rsid w:val="00A61915"/>
    <w:rsid w:val="00A636BB"/>
    <w:rsid w:val="00A6433E"/>
    <w:rsid w:val="00A66358"/>
    <w:rsid w:val="00A70799"/>
    <w:rsid w:val="00A7397C"/>
    <w:rsid w:val="00A7471B"/>
    <w:rsid w:val="00A76524"/>
    <w:rsid w:val="00A77BED"/>
    <w:rsid w:val="00A82447"/>
    <w:rsid w:val="00A86888"/>
    <w:rsid w:val="00A93CFF"/>
    <w:rsid w:val="00A941DD"/>
    <w:rsid w:val="00A95CC3"/>
    <w:rsid w:val="00AA59C1"/>
    <w:rsid w:val="00AA7102"/>
    <w:rsid w:val="00AB7CC4"/>
    <w:rsid w:val="00AB7DD2"/>
    <w:rsid w:val="00AC22B1"/>
    <w:rsid w:val="00AC7812"/>
    <w:rsid w:val="00AD2748"/>
    <w:rsid w:val="00AD2AFA"/>
    <w:rsid w:val="00AD42D7"/>
    <w:rsid w:val="00AD483A"/>
    <w:rsid w:val="00AE33E0"/>
    <w:rsid w:val="00AE6B43"/>
    <w:rsid w:val="00AF03A5"/>
    <w:rsid w:val="00AF0B71"/>
    <w:rsid w:val="00AF0C7C"/>
    <w:rsid w:val="00AF28AE"/>
    <w:rsid w:val="00AF572C"/>
    <w:rsid w:val="00AF6431"/>
    <w:rsid w:val="00B01D86"/>
    <w:rsid w:val="00B02EC5"/>
    <w:rsid w:val="00B074A9"/>
    <w:rsid w:val="00B07E4E"/>
    <w:rsid w:val="00B11FD1"/>
    <w:rsid w:val="00B12AB1"/>
    <w:rsid w:val="00B137E9"/>
    <w:rsid w:val="00B161A0"/>
    <w:rsid w:val="00B170FB"/>
    <w:rsid w:val="00B20A85"/>
    <w:rsid w:val="00B212FD"/>
    <w:rsid w:val="00B22F95"/>
    <w:rsid w:val="00B269D1"/>
    <w:rsid w:val="00B27213"/>
    <w:rsid w:val="00B300F3"/>
    <w:rsid w:val="00B30EA2"/>
    <w:rsid w:val="00B30FB9"/>
    <w:rsid w:val="00B32D1E"/>
    <w:rsid w:val="00B36C7B"/>
    <w:rsid w:val="00B36ED3"/>
    <w:rsid w:val="00B423B8"/>
    <w:rsid w:val="00B4590E"/>
    <w:rsid w:val="00B513C9"/>
    <w:rsid w:val="00B5421F"/>
    <w:rsid w:val="00B55599"/>
    <w:rsid w:val="00B56EF4"/>
    <w:rsid w:val="00B578BE"/>
    <w:rsid w:val="00B60FBE"/>
    <w:rsid w:val="00B65BC8"/>
    <w:rsid w:val="00B70485"/>
    <w:rsid w:val="00B721D1"/>
    <w:rsid w:val="00B75B73"/>
    <w:rsid w:val="00B77FD9"/>
    <w:rsid w:val="00B82A13"/>
    <w:rsid w:val="00B85E9D"/>
    <w:rsid w:val="00B868FE"/>
    <w:rsid w:val="00B87387"/>
    <w:rsid w:val="00B9403F"/>
    <w:rsid w:val="00BA03A6"/>
    <w:rsid w:val="00BA2BFA"/>
    <w:rsid w:val="00BB00F5"/>
    <w:rsid w:val="00BB3EC3"/>
    <w:rsid w:val="00BB56FD"/>
    <w:rsid w:val="00BB5C42"/>
    <w:rsid w:val="00BC29E5"/>
    <w:rsid w:val="00BC7B63"/>
    <w:rsid w:val="00BD46D9"/>
    <w:rsid w:val="00BE2BE6"/>
    <w:rsid w:val="00BE68B5"/>
    <w:rsid w:val="00BF065D"/>
    <w:rsid w:val="00BF1E11"/>
    <w:rsid w:val="00C00C9C"/>
    <w:rsid w:val="00C02AF8"/>
    <w:rsid w:val="00C03209"/>
    <w:rsid w:val="00C17E01"/>
    <w:rsid w:val="00C31AC4"/>
    <w:rsid w:val="00C342DD"/>
    <w:rsid w:val="00C409BE"/>
    <w:rsid w:val="00C423CA"/>
    <w:rsid w:val="00C438EB"/>
    <w:rsid w:val="00C4409A"/>
    <w:rsid w:val="00C45E7D"/>
    <w:rsid w:val="00C45EAF"/>
    <w:rsid w:val="00C46079"/>
    <w:rsid w:val="00C55352"/>
    <w:rsid w:val="00C56956"/>
    <w:rsid w:val="00C57A92"/>
    <w:rsid w:val="00C614F3"/>
    <w:rsid w:val="00C62FD3"/>
    <w:rsid w:val="00C640E4"/>
    <w:rsid w:val="00C652ED"/>
    <w:rsid w:val="00C66510"/>
    <w:rsid w:val="00C7571F"/>
    <w:rsid w:val="00C769B8"/>
    <w:rsid w:val="00C7793C"/>
    <w:rsid w:val="00C77DEF"/>
    <w:rsid w:val="00C80F72"/>
    <w:rsid w:val="00C830B3"/>
    <w:rsid w:val="00C83659"/>
    <w:rsid w:val="00C83A29"/>
    <w:rsid w:val="00C85DC8"/>
    <w:rsid w:val="00C871DC"/>
    <w:rsid w:val="00C939A8"/>
    <w:rsid w:val="00C95E4A"/>
    <w:rsid w:val="00C96932"/>
    <w:rsid w:val="00C97145"/>
    <w:rsid w:val="00CA3944"/>
    <w:rsid w:val="00CA39E0"/>
    <w:rsid w:val="00CA6189"/>
    <w:rsid w:val="00CB7512"/>
    <w:rsid w:val="00CC2A2A"/>
    <w:rsid w:val="00CC44B2"/>
    <w:rsid w:val="00CE0575"/>
    <w:rsid w:val="00CE6C29"/>
    <w:rsid w:val="00CF3469"/>
    <w:rsid w:val="00D010FD"/>
    <w:rsid w:val="00D02812"/>
    <w:rsid w:val="00D067EB"/>
    <w:rsid w:val="00D1237F"/>
    <w:rsid w:val="00D12851"/>
    <w:rsid w:val="00D13D83"/>
    <w:rsid w:val="00D15539"/>
    <w:rsid w:val="00D17878"/>
    <w:rsid w:val="00D17A77"/>
    <w:rsid w:val="00D20056"/>
    <w:rsid w:val="00D2070B"/>
    <w:rsid w:val="00D2080E"/>
    <w:rsid w:val="00D23566"/>
    <w:rsid w:val="00D24660"/>
    <w:rsid w:val="00D2583B"/>
    <w:rsid w:val="00D30EC1"/>
    <w:rsid w:val="00D37BF6"/>
    <w:rsid w:val="00D40102"/>
    <w:rsid w:val="00D41B8D"/>
    <w:rsid w:val="00D42020"/>
    <w:rsid w:val="00D42E6D"/>
    <w:rsid w:val="00D458CC"/>
    <w:rsid w:val="00D601AB"/>
    <w:rsid w:val="00D6142C"/>
    <w:rsid w:val="00D61FD2"/>
    <w:rsid w:val="00D638FA"/>
    <w:rsid w:val="00D667E0"/>
    <w:rsid w:val="00D669DE"/>
    <w:rsid w:val="00D72DE2"/>
    <w:rsid w:val="00D7442A"/>
    <w:rsid w:val="00D77B3E"/>
    <w:rsid w:val="00D77E7E"/>
    <w:rsid w:val="00D84588"/>
    <w:rsid w:val="00D86506"/>
    <w:rsid w:val="00D865A6"/>
    <w:rsid w:val="00D916BE"/>
    <w:rsid w:val="00D92ABB"/>
    <w:rsid w:val="00D94DBA"/>
    <w:rsid w:val="00DA237D"/>
    <w:rsid w:val="00DA31A8"/>
    <w:rsid w:val="00DA34B4"/>
    <w:rsid w:val="00DB0BC4"/>
    <w:rsid w:val="00DB146E"/>
    <w:rsid w:val="00DB2119"/>
    <w:rsid w:val="00DB3778"/>
    <w:rsid w:val="00DB3D77"/>
    <w:rsid w:val="00DB3FD7"/>
    <w:rsid w:val="00DB47E8"/>
    <w:rsid w:val="00DC05BC"/>
    <w:rsid w:val="00DD3A24"/>
    <w:rsid w:val="00DD5B2B"/>
    <w:rsid w:val="00DD78D7"/>
    <w:rsid w:val="00DE052D"/>
    <w:rsid w:val="00DE13BA"/>
    <w:rsid w:val="00DE39DF"/>
    <w:rsid w:val="00DE3CCA"/>
    <w:rsid w:val="00DF2424"/>
    <w:rsid w:val="00DF3516"/>
    <w:rsid w:val="00E00A7D"/>
    <w:rsid w:val="00E01746"/>
    <w:rsid w:val="00E03C07"/>
    <w:rsid w:val="00E06704"/>
    <w:rsid w:val="00E0676B"/>
    <w:rsid w:val="00E07824"/>
    <w:rsid w:val="00E122BC"/>
    <w:rsid w:val="00E178CB"/>
    <w:rsid w:val="00E20E3C"/>
    <w:rsid w:val="00E232E1"/>
    <w:rsid w:val="00E32FB9"/>
    <w:rsid w:val="00E35D62"/>
    <w:rsid w:val="00E36290"/>
    <w:rsid w:val="00E41D11"/>
    <w:rsid w:val="00E41DB2"/>
    <w:rsid w:val="00E4234F"/>
    <w:rsid w:val="00E43CC2"/>
    <w:rsid w:val="00E51136"/>
    <w:rsid w:val="00E51164"/>
    <w:rsid w:val="00E64B80"/>
    <w:rsid w:val="00E658D9"/>
    <w:rsid w:val="00E65A68"/>
    <w:rsid w:val="00E7087A"/>
    <w:rsid w:val="00E712A4"/>
    <w:rsid w:val="00E7192F"/>
    <w:rsid w:val="00E759AF"/>
    <w:rsid w:val="00E7689A"/>
    <w:rsid w:val="00E81E61"/>
    <w:rsid w:val="00E848B4"/>
    <w:rsid w:val="00E86E8A"/>
    <w:rsid w:val="00E87725"/>
    <w:rsid w:val="00E91417"/>
    <w:rsid w:val="00E935F0"/>
    <w:rsid w:val="00E94329"/>
    <w:rsid w:val="00E954FB"/>
    <w:rsid w:val="00EA47C7"/>
    <w:rsid w:val="00EA66F9"/>
    <w:rsid w:val="00EB1377"/>
    <w:rsid w:val="00EB6456"/>
    <w:rsid w:val="00EB7EA5"/>
    <w:rsid w:val="00EC0E3E"/>
    <w:rsid w:val="00EC0E75"/>
    <w:rsid w:val="00EC1E33"/>
    <w:rsid w:val="00EC5F7A"/>
    <w:rsid w:val="00EC6307"/>
    <w:rsid w:val="00EC7354"/>
    <w:rsid w:val="00EC7DB4"/>
    <w:rsid w:val="00EE1FF5"/>
    <w:rsid w:val="00EE2A46"/>
    <w:rsid w:val="00EF164B"/>
    <w:rsid w:val="00EF4639"/>
    <w:rsid w:val="00EF5A81"/>
    <w:rsid w:val="00F01B96"/>
    <w:rsid w:val="00F01C6D"/>
    <w:rsid w:val="00F03D3D"/>
    <w:rsid w:val="00F0403F"/>
    <w:rsid w:val="00F07022"/>
    <w:rsid w:val="00F1119E"/>
    <w:rsid w:val="00F157C3"/>
    <w:rsid w:val="00F20C3E"/>
    <w:rsid w:val="00F25A06"/>
    <w:rsid w:val="00F26D8D"/>
    <w:rsid w:val="00F301E8"/>
    <w:rsid w:val="00F31AAC"/>
    <w:rsid w:val="00F32717"/>
    <w:rsid w:val="00F33E30"/>
    <w:rsid w:val="00F35A34"/>
    <w:rsid w:val="00F400E6"/>
    <w:rsid w:val="00F40882"/>
    <w:rsid w:val="00F41DBD"/>
    <w:rsid w:val="00F43559"/>
    <w:rsid w:val="00F43C81"/>
    <w:rsid w:val="00F46368"/>
    <w:rsid w:val="00F50E45"/>
    <w:rsid w:val="00F51F71"/>
    <w:rsid w:val="00F5203C"/>
    <w:rsid w:val="00F53161"/>
    <w:rsid w:val="00F531C1"/>
    <w:rsid w:val="00F5590B"/>
    <w:rsid w:val="00F55A27"/>
    <w:rsid w:val="00F5789B"/>
    <w:rsid w:val="00F6292E"/>
    <w:rsid w:val="00F646BB"/>
    <w:rsid w:val="00F64992"/>
    <w:rsid w:val="00F64C3F"/>
    <w:rsid w:val="00F65981"/>
    <w:rsid w:val="00F67952"/>
    <w:rsid w:val="00F71253"/>
    <w:rsid w:val="00F7251C"/>
    <w:rsid w:val="00F739BA"/>
    <w:rsid w:val="00F747E9"/>
    <w:rsid w:val="00F75AAB"/>
    <w:rsid w:val="00F75C76"/>
    <w:rsid w:val="00F772AF"/>
    <w:rsid w:val="00F814B8"/>
    <w:rsid w:val="00F86443"/>
    <w:rsid w:val="00F86493"/>
    <w:rsid w:val="00F86B02"/>
    <w:rsid w:val="00F878D0"/>
    <w:rsid w:val="00F97CC2"/>
    <w:rsid w:val="00FA7F44"/>
    <w:rsid w:val="00FB10AC"/>
    <w:rsid w:val="00FB31A8"/>
    <w:rsid w:val="00FB5BF9"/>
    <w:rsid w:val="00FC0879"/>
    <w:rsid w:val="00FC2810"/>
    <w:rsid w:val="00FC34D5"/>
    <w:rsid w:val="00FC720B"/>
    <w:rsid w:val="00FC7D31"/>
    <w:rsid w:val="00FD2A08"/>
    <w:rsid w:val="00FD38AF"/>
    <w:rsid w:val="00FE3401"/>
    <w:rsid w:val="00FE3771"/>
    <w:rsid w:val="00FE3FE9"/>
    <w:rsid w:val="00FE4F76"/>
    <w:rsid w:val="00FE6A10"/>
    <w:rsid w:val="00FF0526"/>
    <w:rsid w:val="00FF28CC"/>
    <w:rsid w:val="00FF5F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E571"/>
  <w15:chartTrackingRefBased/>
  <w15:docId w15:val="{14191BF3-5E14-464E-8A3B-1DEAA9DA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qFormat/>
    <w:locked/>
    <w:rsid w:val="00730FB0"/>
    <w:rPr>
      <w:rFonts w:ascii="Arial" w:hAnsi="Arial"/>
      <w:kern w:val="28"/>
      <w:sz w:val="24"/>
      <w:lang w:eastAsia="fr-FR"/>
    </w:rPr>
  </w:style>
  <w:style w:type="character" w:customStyle="1" w:styleId="NotedebasdepageCar">
    <w:name w:val="Note de bas de page Car"/>
    <w:link w:val="Notedebasdepage"/>
    <w:rsid w:val="009F612A"/>
    <w:rPr>
      <w:rFonts w:ascii="Arial" w:hAnsi="Arial"/>
      <w:lang w:eastAsia="fr-FR"/>
    </w:rPr>
  </w:style>
  <w:style w:type="character" w:styleId="Hyperlien">
    <w:name w:val="Hyperlink"/>
    <w:uiPriority w:val="99"/>
    <w:unhideWhenUsed/>
    <w:rsid w:val="00FB31A8"/>
    <w:rPr>
      <w:color w:val="0563C1"/>
      <w:u w:val="single"/>
    </w:rPr>
  </w:style>
  <w:style w:type="character" w:styleId="Mentionnonrsolue">
    <w:name w:val="Unresolved Mention"/>
    <w:uiPriority w:val="99"/>
    <w:semiHidden/>
    <w:unhideWhenUsed/>
    <w:rsid w:val="00FB31A8"/>
    <w:rPr>
      <w:color w:val="605E5C"/>
      <w:shd w:val="clear" w:color="auto" w:fill="E1DFDD"/>
    </w:rPr>
  </w:style>
  <w:style w:type="character" w:styleId="Marquedecommentaire">
    <w:name w:val="annotation reference"/>
    <w:uiPriority w:val="99"/>
    <w:semiHidden/>
    <w:unhideWhenUsed/>
    <w:rsid w:val="00E41D11"/>
    <w:rPr>
      <w:sz w:val="16"/>
      <w:szCs w:val="16"/>
    </w:rPr>
  </w:style>
  <w:style w:type="paragraph" w:styleId="Commentaire">
    <w:name w:val="annotation text"/>
    <w:basedOn w:val="Normal"/>
    <w:link w:val="CommentaireCar"/>
    <w:uiPriority w:val="99"/>
    <w:unhideWhenUsed/>
    <w:rsid w:val="00E41D11"/>
    <w:pPr>
      <w:spacing w:line="240" w:lineRule="auto"/>
    </w:pPr>
    <w:rPr>
      <w:sz w:val="20"/>
    </w:rPr>
  </w:style>
  <w:style w:type="character" w:customStyle="1" w:styleId="CommentaireCar">
    <w:name w:val="Commentaire Car"/>
    <w:link w:val="Commentaire"/>
    <w:uiPriority w:val="99"/>
    <w:rsid w:val="00E41D11"/>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E41D11"/>
    <w:rPr>
      <w:b/>
      <w:bCs/>
    </w:rPr>
  </w:style>
  <w:style w:type="character" w:customStyle="1" w:styleId="ObjetducommentaireCar">
    <w:name w:val="Objet du commentaire Car"/>
    <w:link w:val="Objetducommentaire"/>
    <w:uiPriority w:val="99"/>
    <w:semiHidden/>
    <w:rsid w:val="00E41D11"/>
    <w:rPr>
      <w:rFonts w:ascii="Arial" w:hAnsi="Arial"/>
      <w:b/>
      <w:bCs/>
      <w:lang w:eastAsia="fr-FR"/>
    </w:rPr>
  </w:style>
  <w:style w:type="paragraph" w:styleId="Rvision">
    <w:name w:val="Revision"/>
    <w:hidden/>
    <w:uiPriority w:val="99"/>
    <w:semiHidden/>
    <w:rsid w:val="007C11EE"/>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E08D-51F3-4FF7-95E4-0A7A810C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4065</Words>
  <Characters>22359</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Tourangeau, Guylaine</dc:creator>
  <cp:keywords/>
  <cp:lastModifiedBy>Gauthier, François</cp:lastModifiedBy>
  <cp:revision>2</cp:revision>
  <dcterms:created xsi:type="dcterms:W3CDTF">2023-09-14T19:09:00Z</dcterms:created>
  <dcterms:modified xsi:type="dcterms:W3CDTF">2023-09-14T19:09:00Z</dcterms:modified>
</cp:coreProperties>
</file>