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8CE9" w14:textId="77777777" w:rsidR="009813B4" w:rsidRPr="005D05E9" w:rsidRDefault="009813B4" w:rsidP="009813B4">
      <w:pPr>
        <w:rPr>
          <w:lang w:val="en-CA"/>
        </w:rPr>
      </w:pPr>
      <w:r w:rsidRPr="005D05E9">
        <w:rPr>
          <w:lang w:val="en-CA"/>
        </w:rPr>
        <w:t xml:space="preserve">Unofficial </w:t>
      </w:r>
      <w:r w:rsidR="009004B3">
        <w:rPr>
          <w:lang w:val="en-CA"/>
        </w:rPr>
        <w:t xml:space="preserve">English </w:t>
      </w:r>
      <w:r w:rsidRPr="005D05E9">
        <w:rPr>
          <w:lang w:val="en-CA"/>
        </w:rPr>
        <w:t>Translation of the J</w:t>
      </w:r>
      <w:r>
        <w:rPr>
          <w:lang w:val="en-CA"/>
        </w:rPr>
        <w:t>udgment of the Court</w:t>
      </w:r>
    </w:p>
    <w:tbl>
      <w:tblPr>
        <w:tblW w:w="9725" w:type="dxa"/>
        <w:tblLayout w:type="fixed"/>
        <w:tblCellMar>
          <w:left w:w="0" w:type="dxa"/>
          <w:right w:w="0" w:type="dxa"/>
        </w:tblCellMar>
        <w:tblLook w:val="04A0" w:firstRow="1" w:lastRow="0" w:firstColumn="1" w:lastColumn="0" w:noHBand="0" w:noVBand="1"/>
      </w:tblPr>
      <w:tblGrid>
        <w:gridCol w:w="1030"/>
        <w:gridCol w:w="813"/>
        <w:gridCol w:w="3184"/>
        <w:gridCol w:w="2344"/>
        <w:gridCol w:w="641"/>
        <w:gridCol w:w="1627"/>
        <w:gridCol w:w="86"/>
      </w:tblGrid>
      <w:tr w:rsidR="00187E37" w:rsidRPr="00187E37" w14:paraId="1FB888C1" w14:textId="77777777" w:rsidTr="00BB5750">
        <w:trPr>
          <w:gridAfter w:val="1"/>
          <w:wAfter w:w="86" w:type="dxa"/>
          <w:trHeight w:val="248"/>
        </w:trPr>
        <w:tc>
          <w:tcPr>
            <w:tcW w:w="7371" w:type="dxa"/>
            <w:gridSpan w:val="4"/>
            <w:hideMark/>
          </w:tcPr>
          <w:p w14:paraId="51DDA85A" w14:textId="77777777" w:rsidR="00244C90" w:rsidRPr="00187E37" w:rsidRDefault="00244C90" w:rsidP="00187E37">
            <w:pPr>
              <w:pStyle w:val="zSoquijdatRepertorie"/>
              <w:ind w:right="-498"/>
              <w:rPr>
                <w:rFonts w:cs="Arial"/>
                <w:highlight w:val="yellow"/>
                <w:lang w:val="en-CA"/>
              </w:rPr>
            </w:pPr>
            <w:bookmarkStart w:id="0" w:name="_Hlk130884204"/>
            <w:r w:rsidRPr="00C82244">
              <w:rPr>
                <w:rFonts w:cs="Arial"/>
              </w:rPr>
              <w:t xml:space="preserve">Cabanons Fontaine inc. </w:t>
            </w:r>
            <w:r w:rsidR="00363EED" w:rsidRPr="00C82244">
              <w:rPr>
                <w:rFonts w:cs="Arial"/>
              </w:rPr>
              <w:t>c</w:t>
            </w:r>
            <w:r w:rsidR="00C317BA" w:rsidRPr="00C82244">
              <w:rPr>
                <w:rFonts w:cs="Arial"/>
              </w:rPr>
              <w:t>.</w:t>
            </w:r>
            <w:r w:rsidRPr="00C82244">
              <w:rPr>
                <w:rFonts w:cs="Arial"/>
              </w:rPr>
              <w:t xml:space="preserve"> 9036-4316 Québec inc. </w:t>
            </w:r>
            <w:r w:rsidRPr="00187E37">
              <w:rPr>
                <w:rFonts w:cs="Arial"/>
                <w:lang w:val="en-CA"/>
              </w:rPr>
              <w:t>(Cabanons Mirabel)</w:t>
            </w:r>
            <w:bookmarkEnd w:id="0"/>
            <w:r w:rsidR="00D67BF2" w:rsidRPr="00187E37">
              <w:rPr>
                <w:rFonts w:cs="Arial"/>
                <w:lang w:val="en-CA"/>
              </w:rPr>
              <w:t xml:space="preserve"> </w:t>
            </w:r>
          </w:p>
        </w:tc>
        <w:tc>
          <w:tcPr>
            <w:tcW w:w="2268" w:type="dxa"/>
            <w:gridSpan w:val="2"/>
            <w:hideMark/>
          </w:tcPr>
          <w:p w14:paraId="3F905924" w14:textId="77777777" w:rsidR="00244C90" w:rsidRPr="00187E37" w:rsidRDefault="00244C90">
            <w:pPr>
              <w:pStyle w:val="zSoquijdatRefNeutre"/>
              <w:jc w:val="right"/>
              <w:rPr>
                <w:rFonts w:cs="Arial"/>
                <w:lang w:val="en-CA"/>
              </w:rPr>
            </w:pPr>
            <w:r w:rsidRPr="00187E37">
              <w:rPr>
                <w:rFonts w:cs="Arial"/>
                <w:lang w:val="en-CA"/>
              </w:rPr>
              <w:t>2022 QCCA 1243</w:t>
            </w:r>
          </w:p>
        </w:tc>
      </w:tr>
      <w:tr w:rsidR="00187E37" w:rsidRPr="00187E37" w14:paraId="474E8DAD" w14:textId="77777777" w:rsidTr="00187E37">
        <w:tblPrEx>
          <w:tblLook w:val="0000" w:firstRow="0" w:lastRow="0" w:firstColumn="0" w:lastColumn="0" w:noHBand="0" w:noVBand="0"/>
        </w:tblPrEx>
        <w:trPr>
          <w:gridAfter w:val="1"/>
          <w:wAfter w:w="86" w:type="dxa"/>
          <w:trHeight w:val="247"/>
        </w:trPr>
        <w:tc>
          <w:tcPr>
            <w:tcW w:w="9639" w:type="dxa"/>
            <w:gridSpan w:val="6"/>
          </w:tcPr>
          <w:p w14:paraId="05632351" w14:textId="77777777" w:rsidR="008F364A" w:rsidRPr="00187E37" w:rsidRDefault="00740A17" w:rsidP="00D67BF2">
            <w:pPr>
              <w:pStyle w:val="zSoquijlblCour"/>
              <w:ind w:left="3119"/>
              <w:jc w:val="left"/>
              <w:rPr>
                <w:lang w:val="en-CA"/>
              </w:rPr>
            </w:pPr>
            <w:r w:rsidRPr="00187E37">
              <w:rPr>
                <w:lang w:val="en-CA"/>
              </w:rPr>
              <w:t>COUR</w:t>
            </w:r>
            <w:r w:rsidR="00D67BF2" w:rsidRPr="00187E37">
              <w:rPr>
                <w:lang w:val="en-CA"/>
              </w:rPr>
              <w:t>T OF APPEAL</w:t>
            </w:r>
          </w:p>
        </w:tc>
      </w:tr>
      <w:tr w:rsidR="00187E37" w:rsidRPr="00187E37" w14:paraId="68CB4492" w14:textId="77777777" w:rsidTr="00187E37">
        <w:tblPrEx>
          <w:tblLook w:val="0000" w:firstRow="0" w:lastRow="0" w:firstColumn="0" w:lastColumn="0" w:noHBand="0" w:noVBand="0"/>
        </w:tblPrEx>
        <w:trPr>
          <w:gridAfter w:val="1"/>
          <w:wAfter w:w="86" w:type="dxa"/>
          <w:trHeight w:val="540"/>
        </w:trPr>
        <w:tc>
          <w:tcPr>
            <w:tcW w:w="9639" w:type="dxa"/>
            <w:gridSpan w:val="6"/>
          </w:tcPr>
          <w:p w14:paraId="2B9E08FB" w14:textId="77777777" w:rsidR="008F364A" w:rsidRPr="00187E37" w:rsidRDefault="008F364A">
            <w:pPr>
              <w:pStyle w:val="zSoquijdatDivision"/>
              <w:rPr>
                <w:lang w:val="en-CA"/>
              </w:rPr>
            </w:pPr>
          </w:p>
        </w:tc>
      </w:tr>
      <w:tr w:rsidR="00187E37" w:rsidRPr="00187E37" w14:paraId="370B932E" w14:textId="77777777" w:rsidTr="00187E37">
        <w:tblPrEx>
          <w:tblLook w:val="0000" w:firstRow="0" w:lastRow="0" w:firstColumn="0" w:lastColumn="0" w:noHBand="0" w:noVBand="0"/>
        </w:tblPrEx>
        <w:trPr>
          <w:gridAfter w:val="1"/>
          <w:wAfter w:w="86" w:type="dxa"/>
        </w:trPr>
        <w:tc>
          <w:tcPr>
            <w:tcW w:w="9639" w:type="dxa"/>
            <w:gridSpan w:val="6"/>
          </w:tcPr>
          <w:p w14:paraId="59128881" w14:textId="77777777" w:rsidR="008F364A" w:rsidRPr="00187E37" w:rsidRDefault="00740A17">
            <w:pPr>
              <w:pStyle w:val="zSoquijlblPays"/>
              <w:rPr>
                <w:lang w:val="en-CA"/>
              </w:rPr>
            </w:pPr>
            <w:r w:rsidRPr="00187E37">
              <w:rPr>
                <w:lang w:val="en-CA"/>
              </w:rPr>
              <w:t>CANADA</w:t>
            </w:r>
          </w:p>
        </w:tc>
      </w:tr>
      <w:tr w:rsidR="00187E37" w:rsidRPr="00187E37" w14:paraId="518F5357" w14:textId="77777777" w:rsidTr="00187E37">
        <w:tblPrEx>
          <w:tblLook w:val="0000" w:firstRow="0" w:lastRow="0" w:firstColumn="0" w:lastColumn="0" w:noHBand="0" w:noVBand="0"/>
        </w:tblPrEx>
        <w:trPr>
          <w:gridAfter w:val="1"/>
          <w:wAfter w:w="86" w:type="dxa"/>
        </w:trPr>
        <w:tc>
          <w:tcPr>
            <w:tcW w:w="9639" w:type="dxa"/>
            <w:gridSpan w:val="6"/>
          </w:tcPr>
          <w:p w14:paraId="521A2F24" w14:textId="77777777" w:rsidR="008F364A" w:rsidRPr="00187E37" w:rsidRDefault="00740A17">
            <w:pPr>
              <w:pStyle w:val="zSoquijlblProvince"/>
              <w:rPr>
                <w:lang w:val="en-CA"/>
              </w:rPr>
            </w:pPr>
            <w:r w:rsidRPr="00187E37">
              <w:rPr>
                <w:lang w:val="en-CA"/>
              </w:rPr>
              <w:t xml:space="preserve">PROVINCE </w:t>
            </w:r>
            <w:r w:rsidR="00D67BF2" w:rsidRPr="00187E37">
              <w:rPr>
                <w:lang w:val="en-CA"/>
              </w:rPr>
              <w:t>OF</w:t>
            </w:r>
            <w:r w:rsidRPr="00187E37">
              <w:rPr>
                <w:lang w:val="en-CA"/>
              </w:rPr>
              <w:t xml:space="preserve"> </w:t>
            </w:r>
            <w:r w:rsidR="00D67BF2" w:rsidRPr="00187E37">
              <w:rPr>
                <w:lang w:val="en-CA"/>
              </w:rPr>
              <w:t>QUEBEC</w:t>
            </w:r>
          </w:p>
        </w:tc>
      </w:tr>
      <w:tr w:rsidR="00187E37" w:rsidRPr="00187E37" w14:paraId="191BCF92" w14:textId="77777777" w:rsidTr="00187E37">
        <w:tblPrEx>
          <w:tblLook w:val="0000" w:firstRow="0" w:lastRow="0" w:firstColumn="0" w:lastColumn="0" w:noHBand="0" w:noVBand="0"/>
        </w:tblPrEx>
        <w:tc>
          <w:tcPr>
            <w:tcW w:w="5027" w:type="dxa"/>
            <w:gridSpan w:val="3"/>
          </w:tcPr>
          <w:p w14:paraId="027D1397" w14:textId="77777777" w:rsidR="008F364A" w:rsidRPr="00187E37" w:rsidRDefault="00D67BF2" w:rsidP="00D67BF2">
            <w:pPr>
              <w:pStyle w:val="zSoquijlblGreffe"/>
              <w:ind w:right="-1679"/>
              <w:rPr>
                <w:lang w:val="en-CA"/>
              </w:rPr>
            </w:pPr>
            <w:r w:rsidRPr="00187E37">
              <w:rPr>
                <w:lang w:val="en-CA"/>
              </w:rPr>
              <w:t>REGISTRY OF MONTREAL</w:t>
            </w:r>
            <w:r w:rsidR="00740A17" w:rsidRPr="00187E37">
              <w:rPr>
                <w:lang w:val="en-CA"/>
              </w:rPr>
              <w:t xml:space="preserve"> </w:t>
            </w:r>
          </w:p>
          <w:p w14:paraId="13653950" w14:textId="77777777" w:rsidR="008F364A" w:rsidRPr="00187E37" w:rsidRDefault="008F364A">
            <w:pPr>
              <w:pStyle w:val="zSoquijlblGreffe"/>
              <w:rPr>
                <w:lang w:val="en-CA"/>
              </w:rPr>
            </w:pPr>
          </w:p>
        </w:tc>
        <w:tc>
          <w:tcPr>
            <w:tcW w:w="4698" w:type="dxa"/>
            <w:gridSpan w:val="4"/>
          </w:tcPr>
          <w:p w14:paraId="2D54610C" w14:textId="77777777" w:rsidR="008F364A" w:rsidRPr="00187E37" w:rsidRDefault="008F364A">
            <w:pPr>
              <w:pStyle w:val="zSoquijdatGreffe"/>
              <w:rPr>
                <w:lang w:val="en-CA"/>
              </w:rPr>
            </w:pPr>
          </w:p>
        </w:tc>
      </w:tr>
      <w:tr w:rsidR="00187E37" w:rsidRPr="00187E37" w14:paraId="64276E78" w14:textId="77777777" w:rsidTr="00187E37">
        <w:tblPrEx>
          <w:tblLook w:val="0000" w:firstRow="0" w:lastRow="0" w:firstColumn="0" w:lastColumn="0" w:noHBand="0" w:noVBand="0"/>
        </w:tblPrEx>
        <w:trPr>
          <w:gridAfter w:val="1"/>
          <w:wAfter w:w="86" w:type="dxa"/>
        </w:trPr>
        <w:tc>
          <w:tcPr>
            <w:tcW w:w="1030" w:type="dxa"/>
          </w:tcPr>
          <w:p w14:paraId="5AF6CF15" w14:textId="77777777" w:rsidR="008F364A" w:rsidRPr="00187E37" w:rsidRDefault="00740A17">
            <w:pPr>
              <w:pStyle w:val="zSoquijlblNoDossier"/>
              <w:rPr>
                <w:lang w:val="en-CA"/>
              </w:rPr>
            </w:pPr>
            <w:r w:rsidRPr="00187E37">
              <w:rPr>
                <w:lang w:val="en-CA"/>
              </w:rPr>
              <w:t>N</w:t>
            </w:r>
            <w:r w:rsidR="00D67BF2" w:rsidRPr="00187E37">
              <w:rPr>
                <w:lang w:val="en-CA"/>
              </w:rPr>
              <w:t>o.</w:t>
            </w:r>
            <w:r w:rsidRPr="00187E37">
              <w:rPr>
                <w:lang w:val="en-CA"/>
              </w:rPr>
              <w:t>:</w:t>
            </w:r>
          </w:p>
        </w:tc>
        <w:tc>
          <w:tcPr>
            <w:tcW w:w="8609" w:type="dxa"/>
            <w:gridSpan w:val="5"/>
          </w:tcPr>
          <w:p w14:paraId="49733790" w14:textId="77777777" w:rsidR="008F364A" w:rsidRPr="00187E37" w:rsidRDefault="004F41AC">
            <w:pPr>
              <w:pStyle w:val="zSoquijdatNoDossier"/>
              <w:rPr>
                <w:lang w:val="en-CA"/>
              </w:rPr>
            </w:pPr>
            <w:bookmarkStart w:id="1" w:name="NoDossier"/>
            <w:r w:rsidRPr="00187E37">
              <w:rPr>
                <w:lang w:val="en-CA"/>
              </w:rPr>
              <w:t>500-09-029038-205</w:t>
            </w:r>
            <w:bookmarkEnd w:id="1"/>
          </w:p>
        </w:tc>
      </w:tr>
      <w:tr w:rsidR="00187E37" w:rsidRPr="00187E37" w14:paraId="5E0845BB" w14:textId="77777777" w:rsidTr="00187E37">
        <w:tblPrEx>
          <w:tblLook w:val="0000" w:firstRow="0" w:lastRow="0" w:firstColumn="0" w:lastColumn="0" w:noHBand="0" w:noVBand="0"/>
        </w:tblPrEx>
        <w:trPr>
          <w:gridAfter w:val="1"/>
          <w:wAfter w:w="86" w:type="dxa"/>
        </w:trPr>
        <w:tc>
          <w:tcPr>
            <w:tcW w:w="9639" w:type="dxa"/>
            <w:gridSpan w:val="6"/>
          </w:tcPr>
          <w:p w14:paraId="57C5E5A8" w14:textId="77777777" w:rsidR="004F41AC" w:rsidRPr="00187E37" w:rsidRDefault="004F41AC" w:rsidP="004F41AC">
            <w:pPr>
              <w:pStyle w:val="zSoquijdatNoDossierAnt"/>
              <w:rPr>
                <w:lang w:val="en-CA"/>
              </w:rPr>
            </w:pPr>
            <w:r w:rsidRPr="00187E37">
              <w:rPr>
                <w:lang w:val="en-CA"/>
              </w:rPr>
              <w:t>(505-17-009972-177)</w:t>
            </w:r>
          </w:p>
        </w:tc>
      </w:tr>
      <w:tr w:rsidR="00187E37" w:rsidRPr="00187E37" w14:paraId="76CB93BC" w14:textId="77777777" w:rsidTr="00187E37">
        <w:tblPrEx>
          <w:tblLook w:val="0000" w:firstRow="0" w:lastRow="0" w:firstColumn="0" w:lastColumn="0" w:noHBand="0" w:noVBand="0"/>
        </w:tblPrEx>
        <w:trPr>
          <w:gridAfter w:val="1"/>
          <w:wAfter w:w="86" w:type="dxa"/>
        </w:trPr>
        <w:tc>
          <w:tcPr>
            <w:tcW w:w="9639" w:type="dxa"/>
            <w:gridSpan w:val="6"/>
          </w:tcPr>
          <w:p w14:paraId="7E67FFC1" w14:textId="77777777" w:rsidR="008F364A" w:rsidRPr="00187E37" w:rsidRDefault="008F364A">
            <w:pPr>
              <w:rPr>
                <w:lang w:val="en-CA"/>
              </w:rPr>
            </w:pPr>
          </w:p>
        </w:tc>
      </w:tr>
      <w:tr w:rsidR="00187E37" w:rsidRPr="00187E37" w14:paraId="3B077FDF" w14:textId="77777777" w:rsidTr="00187E37">
        <w:tblPrEx>
          <w:tblLook w:val="0000" w:firstRow="0" w:lastRow="0" w:firstColumn="0" w:lastColumn="0" w:noHBand="0" w:noVBand="0"/>
        </w:tblPrEx>
        <w:trPr>
          <w:gridAfter w:val="1"/>
          <w:wAfter w:w="86" w:type="dxa"/>
        </w:trPr>
        <w:tc>
          <w:tcPr>
            <w:tcW w:w="1030" w:type="dxa"/>
          </w:tcPr>
          <w:p w14:paraId="7AEF809D" w14:textId="77777777" w:rsidR="008F364A" w:rsidRPr="00187E37" w:rsidRDefault="00740A17">
            <w:pPr>
              <w:pStyle w:val="zSoquijlblDateJugement"/>
              <w:rPr>
                <w:lang w:val="en-CA"/>
              </w:rPr>
            </w:pPr>
            <w:r w:rsidRPr="00187E37">
              <w:rPr>
                <w:lang w:val="en-CA"/>
              </w:rPr>
              <w:t>DATE:</w:t>
            </w:r>
          </w:p>
        </w:tc>
        <w:tc>
          <w:tcPr>
            <w:tcW w:w="8609" w:type="dxa"/>
            <w:gridSpan w:val="5"/>
          </w:tcPr>
          <w:p w14:paraId="512607D6" w14:textId="77777777" w:rsidR="008F364A" w:rsidRPr="00187E37" w:rsidRDefault="00AD0221" w:rsidP="00AD0221">
            <w:pPr>
              <w:pStyle w:val="zSoquijdatDateJugement"/>
              <w:rPr>
                <w:lang w:val="en-CA"/>
              </w:rPr>
            </w:pPr>
            <w:r w:rsidRPr="00187E37">
              <w:rPr>
                <w:lang w:val="en-CA"/>
              </w:rPr>
              <w:t xml:space="preserve"> </w:t>
            </w:r>
            <w:r w:rsidR="00D67BF2" w:rsidRPr="00187E37">
              <w:rPr>
                <w:lang w:val="en-CA"/>
              </w:rPr>
              <w:t xml:space="preserve">September </w:t>
            </w:r>
            <w:r w:rsidRPr="00187E37">
              <w:rPr>
                <w:lang w:val="en-CA"/>
              </w:rPr>
              <w:t>19</w:t>
            </w:r>
            <w:r w:rsidR="00D67BF2" w:rsidRPr="00187E37">
              <w:rPr>
                <w:lang w:val="en-CA"/>
              </w:rPr>
              <w:t xml:space="preserve">, </w:t>
            </w:r>
            <w:r w:rsidRPr="00187E37">
              <w:rPr>
                <w:lang w:val="en-CA"/>
              </w:rPr>
              <w:t>2022</w:t>
            </w:r>
          </w:p>
        </w:tc>
      </w:tr>
      <w:tr w:rsidR="00187E37" w:rsidRPr="00187E37" w14:paraId="7D82F34D" w14:textId="77777777" w:rsidTr="00187E37">
        <w:tblPrEx>
          <w:tblLook w:val="0000" w:firstRow="0" w:lastRow="0" w:firstColumn="0" w:lastColumn="0" w:noHBand="0" w:noVBand="0"/>
        </w:tblPrEx>
        <w:trPr>
          <w:gridAfter w:val="1"/>
          <w:wAfter w:w="86" w:type="dxa"/>
        </w:trPr>
        <w:tc>
          <w:tcPr>
            <w:tcW w:w="9639" w:type="dxa"/>
            <w:gridSpan w:val="6"/>
            <w:tcBorders>
              <w:bottom w:val="single" w:sz="8" w:space="0" w:color="auto"/>
            </w:tcBorders>
          </w:tcPr>
          <w:p w14:paraId="29C173C4" w14:textId="77777777" w:rsidR="008F364A" w:rsidRPr="00187E37" w:rsidRDefault="008F364A">
            <w:pPr>
              <w:rPr>
                <w:lang w:val="en-CA"/>
              </w:rPr>
            </w:pPr>
          </w:p>
        </w:tc>
      </w:tr>
      <w:tr w:rsidR="00187E37" w:rsidRPr="00187E37" w14:paraId="1D2A631A" w14:textId="77777777" w:rsidTr="00187E37">
        <w:tblPrEx>
          <w:tblLook w:val="0000" w:firstRow="0" w:lastRow="0" w:firstColumn="0" w:lastColumn="0" w:noHBand="0" w:noVBand="0"/>
        </w:tblPrEx>
        <w:trPr>
          <w:gridAfter w:val="1"/>
          <w:wAfter w:w="86" w:type="dxa"/>
        </w:trPr>
        <w:tc>
          <w:tcPr>
            <w:tcW w:w="9639" w:type="dxa"/>
            <w:gridSpan w:val="6"/>
            <w:tcBorders>
              <w:top w:val="single" w:sz="8" w:space="0" w:color="auto"/>
            </w:tcBorders>
          </w:tcPr>
          <w:p w14:paraId="23BCCDA8" w14:textId="77777777" w:rsidR="008F364A" w:rsidRPr="00187E37" w:rsidRDefault="008F364A">
            <w:pPr>
              <w:rPr>
                <w:lang w:val="en-CA"/>
              </w:rPr>
            </w:pPr>
          </w:p>
        </w:tc>
      </w:tr>
      <w:tr w:rsidR="00187E37" w:rsidRPr="00187E37" w14:paraId="71130824" w14:textId="77777777" w:rsidTr="00187E37">
        <w:tblPrEx>
          <w:tblLook w:val="0000" w:firstRow="0" w:lastRow="0" w:firstColumn="0" w:lastColumn="0" w:noHBand="0" w:noVBand="0"/>
        </w:tblPrEx>
        <w:trPr>
          <w:gridAfter w:val="2"/>
          <w:wAfter w:w="1713" w:type="dxa"/>
        </w:trPr>
        <w:tc>
          <w:tcPr>
            <w:tcW w:w="1843" w:type="dxa"/>
            <w:gridSpan w:val="2"/>
          </w:tcPr>
          <w:p w14:paraId="7E289157" w14:textId="77777777" w:rsidR="00D67BF2" w:rsidRPr="00187E37" w:rsidRDefault="00D67BF2" w:rsidP="00D67BF2">
            <w:pPr>
              <w:pStyle w:val="zSoquijdatQteJuge"/>
              <w:ind w:right="-1053"/>
              <w:rPr>
                <w:lang w:val="en-CA"/>
              </w:rPr>
            </w:pPr>
            <w:r w:rsidRPr="00187E37">
              <w:rPr>
                <w:lang w:val="en-CA"/>
              </w:rPr>
              <w:t>CORAM</w:t>
            </w:r>
            <w:r w:rsidR="008D5524" w:rsidRPr="00187E37">
              <w:rPr>
                <w:lang w:val="en-CA"/>
              </w:rPr>
              <w:t>:</w:t>
            </w:r>
          </w:p>
        </w:tc>
        <w:tc>
          <w:tcPr>
            <w:tcW w:w="6169" w:type="dxa"/>
            <w:gridSpan w:val="3"/>
          </w:tcPr>
          <w:p w14:paraId="755CBFF2" w14:textId="77777777" w:rsidR="00D67BF2" w:rsidRPr="00187E37" w:rsidRDefault="00D67BF2" w:rsidP="00D67BF2">
            <w:pPr>
              <w:pStyle w:val="zSoquijdatJuge"/>
              <w:ind w:left="-364" w:right="-342" w:firstLine="364"/>
              <w:rPr>
                <w:lang w:val="en-CA"/>
              </w:rPr>
            </w:pPr>
            <w:bookmarkStart w:id="2" w:name="NomJuge1"/>
            <w:r w:rsidRPr="00187E37">
              <w:rPr>
                <w:lang w:val="en-CA"/>
              </w:rPr>
              <w:t>THE HONOURABLE MARK SCHRAGER, J.A.</w:t>
            </w:r>
            <w:bookmarkEnd w:id="2"/>
          </w:p>
          <w:p w14:paraId="023CA52C" w14:textId="77777777" w:rsidR="00D67BF2" w:rsidRPr="00187E37" w:rsidRDefault="00D67BF2" w:rsidP="00D67BF2">
            <w:pPr>
              <w:pStyle w:val="zSoquijdatJuge"/>
              <w:ind w:right="-1134"/>
              <w:rPr>
                <w:lang w:val="en-CA"/>
              </w:rPr>
            </w:pPr>
            <w:bookmarkStart w:id="3" w:name="NomJuge2"/>
            <w:r w:rsidRPr="00187E37">
              <w:rPr>
                <w:lang w:val="en-CA"/>
              </w:rPr>
              <w:t xml:space="preserve">                                   STEPHEN W. HAMILTON, J.A.</w:t>
            </w:r>
            <w:bookmarkEnd w:id="3"/>
          </w:p>
          <w:p w14:paraId="6B993F01" w14:textId="77777777" w:rsidR="00D67BF2" w:rsidRPr="00187E37" w:rsidRDefault="00D67BF2" w:rsidP="00D67BF2">
            <w:pPr>
              <w:pStyle w:val="zSoquijdatJuge"/>
              <w:rPr>
                <w:lang w:val="en-CA"/>
              </w:rPr>
            </w:pPr>
            <w:bookmarkStart w:id="4" w:name="_Hlt520513784"/>
            <w:bookmarkStart w:id="5" w:name="NomJuge3"/>
            <w:bookmarkEnd w:id="4"/>
            <w:r w:rsidRPr="00187E37">
              <w:rPr>
                <w:lang w:val="en-CA"/>
              </w:rPr>
              <w:t xml:space="preserve">                                   GUY COURNOYER, J.A.</w:t>
            </w:r>
            <w:bookmarkEnd w:id="5"/>
          </w:p>
        </w:tc>
      </w:tr>
      <w:tr w:rsidR="00187E37" w:rsidRPr="00187E37" w14:paraId="7841990A" w14:textId="77777777" w:rsidTr="00187E37">
        <w:tblPrEx>
          <w:tblLook w:val="0000" w:firstRow="0" w:lastRow="0" w:firstColumn="0" w:lastColumn="0" w:noHBand="0" w:noVBand="0"/>
        </w:tblPrEx>
        <w:trPr>
          <w:gridAfter w:val="1"/>
          <w:wAfter w:w="86" w:type="dxa"/>
        </w:trPr>
        <w:tc>
          <w:tcPr>
            <w:tcW w:w="9639" w:type="dxa"/>
            <w:gridSpan w:val="6"/>
            <w:tcBorders>
              <w:bottom w:val="single" w:sz="8" w:space="0" w:color="auto"/>
            </w:tcBorders>
          </w:tcPr>
          <w:p w14:paraId="022C4AE3" w14:textId="77777777" w:rsidR="00D67BF2" w:rsidRPr="00187E37" w:rsidRDefault="00D67BF2" w:rsidP="00D67BF2">
            <w:pPr>
              <w:rPr>
                <w:lang w:val="en-CA"/>
              </w:rPr>
            </w:pPr>
          </w:p>
        </w:tc>
      </w:tr>
      <w:tr w:rsidR="00187E37" w:rsidRPr="00187E37" w14:paraId="147F787D" w14:textId="77777777" w:rsidTr="00187E37">
        <w:tblPrEx>
          <w:tblLook w:val="0000" w:firstRow="0" w:lastRow="0" w:firstColumn="0" w:lastColumn="0" w:noHBand="0" w:noVBand="0"/>
        </w:tblPrEx>
        <w:trPr>
          <w:gridAfter w:val="1"/>
          <w:wAfter w:w="86" w:type="dxa"/>
        </w:trPr>
        <w:tc>
          <w:tcPr>
            <w:tcW w:w="9639" w:type="dxa"/>
            <w:gridSpan w:val="6"/>
          </w:tcPr>
          <w:p w14:paraId="079905C8" w14:textId="77777777" w:rsidR="00D67BF2" w:rsidRPr="00187E37" w:rsidRDefault="00D67BF2" w:rsidP="00D67BF2">
            <w:pPr>
              <w:pStyle w:val="zSoquijlblTitrePartie"/>
              <w:rPr>
                <w:lang w:val="en-CA"/>
              </w:rPr>
            </w:pPr>
          </w:p>
        </w:tc>
      </w:tr>
      <w:tr w:rsidR="00187E37" w:rsidRPr="00187E37" w14:paraId="5EA04159" w14:textId="77777777" w:rsidTr="00187E37">
        <w:tblPrEx>
          <w:tblLook w:val="0000" w:firstRow="0" w:lastRow="0" w:firstColumn="0" w:lastColumn="0" w:noHBand="0" w:noVBand="0"/>
        </w:tblPrEx>
        <w:trPr>
          <w:gridAfter w:val="1"/>
          <w:wAfter w:w="86" w:type="dxa"/>
        </w:trPr>
        <w:tc>
          <w:tcPr>
            <w:tcW w:w="9639" w:type="dxa"/>
            <w:gridSpan w:val="6"/>
          </w:tcPr>
          <w:p w14:paraId="793E1B0A" w14:textId="77777777" w:rsidR="00D67BF2" w:rsidRPr="00187E37" w:rsidRDefault="00D67BF2" w:rsidP="00D67BF2">
            <w:pPr>
              <w:pStyle w:val="zSoquijdatNomPartieDem"/>
              <w:rPr>
                <w:lang w:val="en-CA"/>
              </w:rPr>
            </w:pPr>
            <w:r w:rsidRPr="00187E37">
              <w:rPr>
                <w:lang w:val="en-CA"/>
              </w:rPr>
              <w:t>CABANONS FONTAINE INC.</w:t>
            </w:r>
          </w:p>
        </w:tc>
      </w:tr>
      <w:tr w:rsidR="00187E37" w:rsidRPr="00187E37" w14:paraId="7210DC72" w14:textId="77777777" w:rsidTr="00187E37">
        <w:tblPrEx>
          <w:tblLook w:val="0000" w:firstRow="0" w:lastRow="0" w:firstColumn="0" w:lastColumn="0" w:noHBand="0" w:noVBand="0"/>
        </w:tblPrEx>
        <w:trPr>
          <w:gridAfter w:val="1"/>
          <w:wAfter w:w="86" w:type="dxa"/>
        </w:trPr>
        <w:tc>
          <w:tcPr>
            <w:tcW w:w="9639" w:type="dxa"/>
            <w:gridSpan w:val="6"/>
          </w:tcPr>
          <w:p w14:paraId="44F7D0C5" w14:textId="77777777" w:rsidR="00D67BF2" w:rsidRPr="00C82244" w:rsidRDefault="00D67BF2" w:rsidP="00D67BF2">
            <w:pPr>
              <w:pStyle w:val="zSoquijdatNomPartieDem"/>
            </w:pPr>
            <w:r w:rsidRPr="00C82244">
              <w:t>GARAGES ET CABANONS FONTAINE MIRABEL INC.</w:t>
            </w:r>
          </w:p>
        </w:tc>
      </w:tr>
      <w:tr w:rsidR="00187E37" w:rsidRPr="00187E37" w14:paraId="10E1A745" w14:textId="77777777" w:rsidTr="00187E37">
        <w:tblPrEx>
          <w:tblLook w:val="0000" w:firstRow="0" w:lastRow="0" w:firstColumn="0" w:lastColumn="0" w:noHBand="0" w:noVBand="0"/>
        </w:tblPrEx>
        <w:trPr>
          <w:gridAfter w:val="1"/>
          <w:wAfter w:w="86" w:type="dxa"/>
        </w:trPr>
        <w:tc>
          <w:tcPr>
            <w:tcW w:w="9639" w:type="dxa"/>
            <w:gridSpan w:val="6"/>
          </w:tcPr>
          <w:p w14:paraId="0BE5FB2D" w14:textId="77777777" w:rsidR="00D67BF2" w:rsidRPr="00187E37" w:rsidRDefault="00D67BF2" w:rsidP="00D67BF2">
            <w:pPr>
              <w:pStyle w:val="zSoquijdatQtePartieDem"/>
              <w:rPr>
                <w:lang w:val="en-CA"/>
              </w:rPr>
            </w:pPr>
            <w:r w:rsidRPr="00187E37">
              <w:rPr>
                <w:lang w:val="en-CA"/>
              </w:rPr>
              <w:t xml:space="preserve">APPELANTS – </w:t>
            </w:r>
            <w:r w:rsidR="00A351FE">
              <w:rPr>
                <w:lang w:val="en-CA"/>
              </w:rPr>
              <w:t>d</w:t>
            </w:r>
            <w:r w:rsidRPr="00187E37">
              <w:rPr>
                <w:lang w:val="en-CA"/>
              </w:rPr>
              <w:t>efendants</w:t>
            </w:r>
          </w:p>
        </w:tc>
      </w:tr>
      <w:tr w:rsidR="00187E37" w:rsidRPr="00187E37" w14:paraId="52CC2C23" w14:textId="77777777" w:rsidTr="00187E37">
        <w:tblPrEx>
          <w:tblLook w:val="0000" w:firstRow="0" w:lastRow="0" w:firstColumn="0" w:lastColumn="0" w:noHBand="0" w:noVBand="0"/>
        </w:tblPrEx>
        <w:trPr>
          <w:gridAfter w:val="1"/>
          <w:wAfter w:w="86" w:type="dxa"/>
        </w:trPr>
        <w:tc>
          <w:tcPr>
            <w:tcW w:w="9639" w:type="dxa"/>
            <w:gridSpan w:val="6"/>
          </w:tcPr>
          <w:p w14:paraId="3BDAC534" w14:textId="77777777" w:rsidR="00D67BF2" w:rsidRPr="00187E37" w:rsidRDefault="00D67BF2" w:rsidP="00D67BF2">
            <w:pPr>
              <w:pStyle w:val="zSoquijdatQtePartieDem"/>
              <w:rPr>
                <w:lang w:val="en-CA"/>
              </w:rPr>
            </w:pPr>
          </w:p>
        </w:tc>
      </w:tr>
      <w:tr w:rsidR="00187E37" w:rsidRPr="00187E37" w14:paraId="3625D9B2" w14:textId="77777777" w:rsidTr="00187E37">
        <w:tblPrEx>
          <w:tblLook w:val="0000" w:firstRow="0" w:lastRow="0" w:firstColumn="0" w:lastColumn="0" w:noHBand="0" w:noVBand="0"/>
        </w:tblPrEx>
        <w:trPr>
          <w:gridAfter w:val="1"/>
          <w:wAfter w:w="86" w:type="dxa"/>
        </w:trPr>
        <w:tc>
          <w:tcPr>
            <w:tcW w:w="9639" w:type="dxa"/>
            <w:gridSpan w:val="6"/>
          </w:tcPr>
          <w:p w14:paraId="7DC62928" w14:textId="77777777" w:rsidR="00D67BF2" w:rsidRPr="00187E37" w:rsidRDefault="00A83ADA" w:rsidP="00D67BF2">
            <w:pPr>
              <w:rPr>
                <w:lang w:val="en-CA"/>
              </w:rPr>
            </w:pPr>
            <w:r>
              <w:rPr>
                <w:lang w:val="en-CA"/>
              </w:rPr>
              <w:t>a</w:t>
            </w:r>
            <w:r w:rsidRPr="00187E37">
              <w:rPr>
                <w:lang w:val="en-CA"/>
              </w:rPr>
              <w:t>nd</w:t>
            </w:r>
          </w:p>
        </w:tc>
      </w:tr>
      <w:tr w:rsidR="00187E37" w:rsidRPr="00187E37" w14:paraId="2F219A02" w14:textId="77777777" w:rsidTr="00187E37">
        <w:tblPrEx>
          <w:tblLook w:val="0000" w:firstRow="0" w:lastRow="0" w:firstColumn="0" w:lastColumn="0" w:noHBand="0" w:noVBand="0"/>
        </w:tblPrEx>
        <w:trPr>
          <w:gridAfter w:val="1"/>
          <w:wAfter w:w="86" w:type="dxa"/>
        </w:trPr>
        <w:tc>
          <w:tcPr>
            <w:tcW w:w="9639" w:type="dxa"/>
            <w:gridSpan w:val="6"/>
          </w:tcPr>
          <w:p w14:paraId="651D465F" w14:textId="77777777" w:rsidR="00D67BF2" w:rsidRPr="00C82244" w:rsidRDefault="00D67BF2" w:rsidP="00D67BF2">
            <w:pPr>
              <w:pStyle w:val="zSoquijdatNomPartieDem"/>
            </w:pPr>
            <w:r w:rsidRPr="00C82244">
              <w:t>LE GROUPE C.D.G.I. INC.</w:t>
            </w:r>
          </w:p>
        </w:tc>
      </w:tr>
      <w:tr w:rsidR="00187E37" w:rsidRPr="00187E37" w14:paraId="147F73F1" w14:textId="77777777" w:rsidTr="00187E37">
        <w:tblPrEx>
          <w:tblLook w:val="0000" w:firstRow="0" w:lastRow="0" w:firstColumn="0" w:lastColumn="0" w:noHBand="0" w:noVBand="0"/>
        </w:tblPrEx>
        <w:trPr>
          <w:gridAfter w:val="1"/>
          <w:wAfter w:w="86" w:type="dxa"/>
        </w:trPr>
        <w:tc>
          <w:tcPr>
            <w:tcW w:w="9639" w:type="dxa"/>
            <w:gridSpan w:val="6"/>
          </w:tcPr>
          <w:p w14:paraId="371DFCFE" w14:textId="77777777" w:rsidR="00D67BF2" w:rsidRPr="00187E37" w:rsidRDefault="00D67BF2" w:rsidP="00D67BF2">
            <w:pPr>
              <w:pStyle w:val="zSoquijdatQtePartieDem"/>
              <w:spacing w:line="240" w:lineRule="auto"/>
              <w:rPr>
                <w:lang w:val="en-CA"/>
              </w:rPr>
            </w:pPr>
            <w:r w:rsidRPr="00187E37">
              <w:rPr>
                <w:lang w:val="en-CA"/>
              </w:rPr>
              <w:t xml:space="preserve">APPELANT – </w:t>
            </w:r>
            <w:r w:rsidR="00A83ADA">
              <w:rPr>
                <w:lang w:val="en-CA"/>
              </w:rPr>
              <w:t>impleaded party</w:t>
            </w:r>
          </w:p>
        </w:tc>
      </w:tr>
      <w:tr w:rsidR="00187E37" w:rsidRPr="00187E37" w14:paraId="3AC4B3D1" w14:textId="77777777" w:rsidTr="00187E37">
        <w:tblPrEx>
          <w:tblLook w:val="0000" w:firstRow="0" w:lastRow="0" w:firstColumn="0" w:lastColumn="0" w:noHBand="0" w:noVBand="0"/>
        </w:tblPrEx>
        <w:trPr>
          <w:gridAfter w:val="1"/>
          <w:wAfter w:w="86" w:type="dxa"/>
        </w:trPr>
        <w:tc>
          <w:tcPr>
            <w:tcW w:w="9639" w:type="dxa"/>
            <w:gridSpan w:val="6"/>
          </w:tcPr>
          <w:p w14:paraId="788FABF4" w14:textId="77777777" w:rsidR="00D67BF2" w:rsidRPr="00187E37" w:rsidRDefault="00C317BA" w:rsidP="00D67BF2">
            <w:pPr>
              <w:pStyle w:val="zSoquijlblLienParties"/>
              <w:rPr>
                <w:lang w:val="en-CA"/>
              </w:rPr>
            </w:pPr>
            <w:r w:rsidRPr="00187E37">
              <w:rPr>
                <w:lang w:val="en-CA"/>
              </w:rPr>
              <w:t>v.</w:t>
            </w:r>
          </w:p>
        </w:tc>
      </w:tr>
      <w:tr w:rsidR="00187E37" w:rsidRPr="00187E37" w14:paraId="6ED101AC" w14:textId="77777777" w:rsidTr="00187E37">
        <w:tblPrEx>
          <w:tblLook w:val="0000" w:firstRow="0" w:lastRow="0" w:firstColumn="0" w:lastColumn="0" w:noHBand="0" w:noVBand="0"/>
        </w:tblPrEx>
        <w:trPr>
          <w:gridAfter w:val="1"/>
          <w:wAfter w:w="86" w:type="dxa"/>
        </w:trPr>
        <w:tc>
          <w:tcPr>
            <w:tcW w:w="9639" w:type="dxa"/>
            <w:gridSpan w:val="6"/>
          </w:tcPr>
          <w:p w14:paraId="27331C4A" w14:textId="77777777" w:rsidR="00D67BF2" w:rsidRPr="00187E37" w:rsidRDefault="00D67BF2" w:rsidP="00D67BF2">
            <w:pPr>
              <w:rPr>
                <w:lang w:val="en-CA"/>
              </w:rPr>
            </w:pPr>
          </w:p>
        </w:tc>
      </w:tr>
      <w:tr w:rsidR="00187E37" w:rsidRPr="006D754D" w14:paraId="43F45CAC" w14:textId="77777777" w:rsidTr="00187E37">
        <w:tblPrEx>
          <w:tblLook w:val="0000" w:firstRow="0" w:lastRow="0" w:firstColumn="0" w:lastColumn="0" w:noHBand="0" w:noVBand="0"/>
        </w:tblPrEx>
        <w:trPr>
          <w:gridAfter w:val="1"/>
          <w:wAfter w:w="86" w:type="dxa"/>
        </w:trPr>
        <w:tc>
          <w:tcPr>
            <w:tcW w:w="9639" w:type="dxa"/>
            <w:gridSpan w:val="6"/>
          </w:tcPr>
          <w:p w14:paraId="633A0590" w14:textId="77777777" w:rsidR="00D67BF2" w:rsidRPr="00187E37" w:rsidRDefault="00D67BF2" w:rsidP="00D67BF2">
            <w:pPr>
              <w:pStyle w:val="zSoquijdatNomPartieDef"/>
              <w:jc w:val="both"/>
              <w:rPr>
                <w:lang w:val="en-CA"/>
              </w:rPr>
            </w:pPr>
            <w:r w:rsidRPr="00187E37">
              <w:rPr>
                <w:lang w:val="en-CA"/>
              </w:rPr>
              <w:t xml:space="preserve">9036-4316 QUÉBEC INC., </w:t>
            </w:r>
            <w:r w:rsidR="00C317BA" w:rsidRPr="00187E37">
              <w:rPr>
                <w:lang w:val="en-CA"/>
              </w:rPr>
              <w:t>doing business under</w:t>
            </w:r>
            <w:r w:rsidRPr="00187E37">
              <w:rPr>
                <w:lang w:val="en-CA"/>
              </w:rPr>
              <w:t xml:space="preserve"> </w:t>
            </w:r>
            <w:r w:rsidR="00EB1C65">
              <w:rPr>
                <w:lang w:val="en-CA"/>
              </w:rPr>
              <w:t xml:space="preserve">the trade name </w:t>
            </w:r>
            <w:r w:rsidRPr="00187E37">
              <w:rPr>
                <w:lang w:val="en-CA"/>
              </w:rPr>
              <w:t>CABANONS MIRABEL</w:t>
            </w:r>
          </w:p>
        </w:tc>
      </w:tr>
      <w:tr w:rsidR="00187E37" w:rsidRPr="00187E37" w14:paraId="1CB1E66B" w14:textId="77777777" w:rsidTr="00187E37">
        <w:tblPrEx>
          <w:tblLook w:val="0000" w:firstRow="0" w:lastRow="0" w:firstColumn="0" w:lastColumn="0" w:noHBand="0" w:noVBand="0"/>
        </w:tblPrEx>
        <w:trPr>
          <w:gridAfter w:val="1"/>
          <w:wAfter w:w="86" w:type="dxa"/>
        </w:trPr>
        <w:tc>
          <w:tcPr>
            <w:tcW w:w="9639" w:type="dxa"/>
            <w:gridSpan w:val="6"/>
          </w:tcPr>
          <w:p w14:paraId="109419E3" w14:textId="77777777" w:rsidR="00D67BF2" w:rsidRPr="00187E37" w:rsidRDefault="00C317BA" w:rsidP="00D67BF2">
            <w:pPr>
              <w:pStyle w:val="zSoquijdatQtePartieDef"/>
              <w:rPr>
                <w:lang w:val="en-CA"/>
              </w:rPr>
            </w:pPr>
            <w:r w:rsidRPr="00187E37">
              <w:rPr>
                <w:lang w:val="en-CA"/>
              </w:rPr>
              <w:t>RESPONDENT</w:t>
            </w:r>
            <w:r w:rsidR="00D67BF2" w:rsidRPr="00187E37">
              <w:rPr>
                <w:lang w:val="en-CA"/>
              </w:rPr>
              <w:t xml:space="preserve"> – </w:t>
            </w:r>
            <w:r w:rsidR="00A351FE">
              <w:rPr>
                <w:lang w:val="en-CA"/>
              </w:rPr>
              <w:t>p</w:t>
            </w:r>
            <w:r w:rsidRPr="00187E37">
              <w:rPr>
                <w:lang w:val="en-CA"/>
              </w:rPr>
              <w:t>laintiff</w:t>
            </w:r>
          </w:p>
        </w:tc>
      </w:tr>
      <w:tr w:rsidR="00187E37" w:rsidRPr="00187E37" w14:paraId="341005EC" w14:textId="77777777" w:rsidTr="00187E37">
        <w:tblPrEx>
          <w:tblLook w:val="0000" w:firstRow="0" w:lastRow="0" w:firstColumn="0" w:lastColumn="0" w:noHBand="0" w:noVBand="0"/>
        </w:tblPrEx>
        <w:trPr>
          <w:gridAfter w:val="1"/>
          <w:wAfter w:w="86" w:type="dxa"/>
        </w:trPr>
        <w:tc>
          <w:tcPr>
            <w:tcW w:w="9639" w:type="dxa"/>
            <w:gridSpan w:val="6"/>
          </w:tcPr>
          <w:p w14:paraId="6FE15F40" w14:textId="77777777" w:rsidR="00D67BF2" w:rsidRPr="00187E37" w:rsidRDefault="00D67BF2" w:rsidP="00D67BF2">
            <w:pPr>
              <w:rPr>
                <w:lang w:val="en-CA"/>
              </w:rPr>
            </w:pPr>
          </w:p>
        </w:tc>
      </w:tr>
      <w:tr w:rsidR="00187E37" w:rsidRPr="00187E37" w14:paraId="13327FC9" w14:textId="77777777" w:rsidTr="00187E37">
        <w:tblPrEx>
          <w:tblLook w:val="0000" w:firstRow="0" w:lastRow="0" w:firstColumn="0" w:lastColumn="0" w:noHBand="0" w:noVBand="0"/>
        </w:tblPrEx>
        <w:trPr>
          <w:gridAfter w:val="1"/>
          <w:wAfter w:w="86" w:type="dxa"/>
        </w:trPr>
        <w:tc>
          <w:tcPr>
            <w:tcW w:w="9639" w:type="dxa"/>
            <w:gridSpan w:val="6"/>
            <w:tcBorders>
              <w:top w:val="single" w:sz="8" w:space="0" w:color="auto"/>
            </w:tcBorders>
          </w:tcPr>
          <w:p w14:paraId="65C00952" w14:textId="77777777" w:rsidR="00D67BF2" w:rsidRPr="00187E37" w:rsidRDefault="00D67BF2" w:rsidP="00D67BF2">
            <w:pPr>
              <w:rPr>
                <w:lang w:val="en-CA"/>
              </w:rPr>
            </w:pPr>
          </w:p>
        </w:tc>
      </w:tr>
      <w:tr w:rsidR="00187E37" w:rsidRPr="00187E37" w14:paraId="6FC4607F" w14:textId="77777777" w:rsidTr="00187E37">
        <w:tblPrEx>
          <w:tblLook w:val="0000" w:firstRow="0" w:lastRow="0" w:firstColumn="0" w:lastColumn="0" w:noHBand="0" w:noVBand="0"/>
        </w:tblPrEx>
        <w:trPr>
          <w:gridAfter w:val="1"/>
          <w:wAfter w:w="86" w:type="dxa"/>
        </w:trPr>
        <w:tc>
          <w:tcPr>
            <w:tcW w:w="9639" w:type="dxa"/>
            <w:gridSpan w:val="6"/>
          </w:tcPr>
          <w:p w14:paraId="135CF234" w14:textId="77777777" w:rsidR="00D67BF2" w:rsidRPr="00187E37" w:rsidRDefault="00C317BA" w:rsidP="00D67BF2">
            <w:pPr>
              <w:pStyle w:val="zSoquijlblTypeDocument"/>
              <w:spacing w:line="240" w:lineRule="auto"/>
              <w:rPr>
                <w:lang w:val="en-CA"/>
              </w:rPr>
            </w:pPr>
            <w:r w:rsidRPr="00187E37">
              <w:rPr>
                <w:lang w:val="en-CA"/>
              </w:rPr>
              <w:t>JUDGMENT</w:t>
            </w:r>
          </w:p>
        </w:tc>
      </w:tr>
      <w:tr w:rsidR="00187E37" w:rsidRPr="00187E37" w14:paraId="1158763D" w14:textId="77777777" w:rsidTr="00187E37">
        <w:tblPrEx>
          <w:tblLook w:val="0000" w:firstRow="0" w:lastRow="0" w:firstColumn="0" w:lastColumn="0" w:noHBand="0" w:noVBand="0"/>
        </w:tblPrEx>
        <w:trPr>
          <w:gridAfter w:val="1"/>
          <w:wAfter w:w="86" w:type="dxa"/>
        </w:trPr>
        <w:tc>
          <w:tcPr>
            <w:tcW w:w="9639" w:type="dxa"/>
            <w:gridSpan w:val="6"/>
            <w:tcBorders>
              <w:bottom w:val="single" w:sz="8" w:space="0" w:color="auto"/>
            </w:tcBorders>
          </w:tcPr>
          <w:p w14:paraId="5BB6DD66" w14:textId="77777777" w:rsidR="00D67BF2" w:rsidRPr="00187E37" w:rsidRDefault="00D67BF2" w:rsidP="00D67BF2">
            <w:pPr>
              <w:rPr>
                <w:lang w:val="en-CA"/>
              </w:rPr>
            </w:pPr>
          </w:p>
        </w:tc>
      </w:tr>
      <w:tr w:rsidR="00187E37" w:rsidRPr="00187E37" w14:paraId="26B96997" w14:textId="77777777" w:rsidTr="00187E37">
        <w:tblPrEx>
          <w:tblLook w:val="0000" w:firstRow="0" w:lastRow="0" w:firstColumn="0" w:lastColumn="0" w:noHBand="0" w:noVBand="0"/>
        </w:tblPrEx>
        <w:trPr>
          <w:gridAfter w:val="1"/>
          <w:wAfter w:w="86" w:type="dxa"/>
        </w:trPr>
        <w:tc>
          <w:tcPr>
            <w:tcW w:w="9639" w:type="dxa"/>
            <w:gridSpan w:val="6"/>
            <w:tcBorders>
              <w:top w:val="single" w:sz="8" w:space="0" w:color="auto"/>
            </w:tcBorders>
          </w:tcPr>
          <w:p w14:paraId="09BCB005" w14:textId="77777777" w:rsidR="00D67BF2" w:rsidRPr="00187E37" w:rsidRDefault="00D67BF2" w:rsidP="00D67BF2">
            <w:pPr>
              <w:rPr>
                <w:lang w:val="en-CA"/>
              </w:rPr>
            </w:pPr>
          </w:p>
        </w:tc>
      </w:tr>
    </w:tbl>
    <w:p w14:paraId="32147B0E" w14:textId="77777777" w:rsidR="00C317BA" w:rsidRPr="00187E37" w:rsidRDefault="00C317BA" w:rsidP="00AD0221">
      <w:pPr>
        <w:pStyle w:val="Paragraphe"/>
        <w:spacing w:line="280" w:lineRule="exact"/>
        <w:rPr>
          <w:lang w:val="en-CA"/>
        </w:rPr>
      </w:pPr>
      <w:bookmarkStart w:id="6" w:name="Arret"/>
      <w:r w:rsidRPr="00187E37">
        <w:rPr>
          <w:lang w:val="en-CA"/>
        </w:rPr>
        <w:t>The appellants appeal from a judgment</w:t>
      </w:r>
      <w:r w:rsidR="00A65DCC">
        <w:rPr>
          <w:lang w:val="en-CA"/>
        </w:rPr>
        <w:t xml:space="preserve"> of</w:t>
      </w:r>
      <w:r w:rsidRPr="00187E37">
        <w:rPr>
          <w:lang w:val="en-CA"/>
        </w:rPr>
        <w:t xml:space="preserve"> the Superior Court, District of Longueuil (the Honourable Florence Lucas)</w:t>
      </w:r>
      <w:r w:rsidR="00A351FE">
        <w:rPr>
          <w:lang w:val="en-CA"/>
        </w:rPr>
        <w:t>,</w:t>
      </w:r>
      <w:r w:rsidR="00A65DCC">
        <w:rPr>
          <w:lang w:val="en-CA"/>
        </w:rPr>
        <w:t xml:space="preserve"> rendered on April</w:t>
      </w:r>
      <w:r w:rsidR="00936503">
        <w:rPr>
          <w:lang w:val="en-CA"/>
        </w:rPr>
        <w:t> </w:t>
      </w:r>
      <w:r w:rsidR="00A65DCC">
        <w:rPr>
          <w:lang w:val="en-CA"/>
        </w:rPr>
        <w:t>30, 2020,</w:t>
      </w:r>
      <w:r w:rsidRPr="00187E37">
        <w:rPr>
          <w:lang w:val="en-CA"/>
        </w:rPr>
        <w:t xml:space="preserve"> </w:t>
      </w:r>
      <w:r w:rsidR="00936503">
        <w:rPr>
          <w:lang w:val="en-CA"/>
        </w:rPr>
        <w:t>granting</w:t>
      </w:r>
      <w:r w:rsidRPr="00187E37">
        <w:rPr>
          <w:lang w:val="en-CA"/>
        </w:rPr>
        <w:t xml:space="preserve"> the respondent</w:t>
      </w:r>
      <w:r w:rsidR="008D5524" w:rsidRPr="00187E37">
        <w:rPr>
          <w:lang w:val="en-CA"/>
        </w:rPr>
        <w:t>’</w:t>
      </w:r>
      <w:r w:rsidRPr="00187E37">
        <w:rPr>
          <w:lang w:val="en-CA"/>
        </w:rPr>
        <w:t xml:space="preserve">s </w:t>
      </w:r>
      <w:r w:rsidR="00A351FE">
        <w:rPr>
          <w:lang w:val="en-CA"/>
        </w:rPr>
        <w:t>application</w:t>
      </w:r>
      <w:r w:rsidRPr="00187E37">
        <w:rPr>
          <w:lang w:val="en-CA"/>
        </w:rPr>
        <w:t xml:space="preserve"> for a permanent injunction and order</w:t>
      </w:r>
      <w:r w:rsidR="00F15A43">
        <w:rPr>
          <w:lang w:val="en-CA"/>
        </w:rPr>
        <w:t>ing</w:t>
      </w:r>
      <w:r w:rsidRPr="00187E37">
        <w:rPr>
          <w:lang w:val="en-CA"/>
        </w:rPr>
        <w:t xml:space="preserve"> the appellants to stop </w:t>
      </w:r>
      <w:r w:rsidRPr="00187E37">
        <w:rPr>
          <w:lang w:val="en-CA"/>
        </w:rPr>
        <w:lastRenderedPageBreak/>
        <w:t xml:space="preserve">using the domain names </w:t>
      </w:r>
      <w:r w:rsidRPr="00187E37">
        <w:rPr>
          <w:u w:val="single"/>
          <w:lang w:val="en-CA"/>
        </w:rPr>
        <w:t>cabanonmirabel.com</w:t>
      </w:r>
      <w:r w:rsidRPr="00187E37">
        <w:rPr>
          <w:lang w:val="en-CA"/>
        </w:rPr>
        <w:t xml:space="preserve">, </w:t>
      </w:r>
      <w:r w:rsidRPr="00187E37">
        <w:rPr>
          <w:u w:val="single"/>
          <w:lang w:val="en-CA"/>
        </w:rPr>
        <w:t>cabanonsmirabel.ca</w:t>
      </w:r>
      <w:r w:rsidRPr="00187E37">
        <w:rPr>
          <w:lang w:val="en-CA"/>
        </w:rPr>
        <w:t xml:space="preserve"> and </w:t>
      </w:r>
      <w:r w:rsidRPr="00187E37">
        <w:rPr>
          <w:u w:val="single"/>
          <w:lang w:val="en-CA"/>
        </w:rPr>
        <w:t>garagescabanonsmirabel.com</w:t>
      </w:r>
      <w:r w:rsidRPr="00187E37">
        <w:rPr>
          <w:lang w:val="en-CA"/>
        </w:rPr>
        <w:t xml:space="preserve"> and to </w:t>
      </w:r>
      <w:r w:rsidR="00C75517">
        <w:rPr>
          <w:lang w:val="en-CA"/>
        </w:rPr>
        <w:t>transfer</w:t>
      </w:r>
      <w:r w:rsidR="00C75517" w:rsidRPr="00187E37">
        <w:rPr>
          <w:lang w:val="en-CA"/>
        </w:rPr>
        <w:t xml:space="preserve"> </w:t>
      </w:r>
      <w:r w:rsidRPr="00187E37">
        <w:rPr>
          <w:lang w:val="en-CA"/>
        </w:rPr>
        <w:t xml:space="preserve">them </w:t>
      </w:r>
      <w:r w:rsidR="00C75517">
        <w:rPr>
          <w:lang w:val="en-CA"/>
        </w:rPr>
        <w:t xml:space="preserve">at no cost </w:t>
      </w:r>
      <w:r w:rsidRPr="00187E37">
        <w:rPr>
          <w:lang w:val="en-CA"/>
        </w:rPr>
        <w:t>to the respondent.</w:t>
      </w:r>
      <w:r w:rsidRPr="00187E37">
        <w:rPr>
          <w:rStyle w:val="Appelnotedebasdep"/>
          <w:lang w:val="en-CA"/>
        </w:rPr>
        <w:footnoteReference w:id="1"/>
      </w:r>
    </w:p>
    <w:p w14:paraId="56C1A093" w14:textId="77777777" w:rsidR="00C317BA" w:rsidRPr="00187E37" w:rsidRDefault="00C317BA" w:rsidP="00AD0221">
      <w:pPr>
        <w:pStyle w:val="Paragraphe"/>
        <w:spacing w:line="280" w:lineRule="exact"/>
        <w:rPr>
          <w:lang w:val="en-CA"/>
        </w:rPr>
      </w:pPr>
      <w:r w:rsidRPr="00187E37">
        <w:rPr>
          <w:lang w:val="en-CA"/>
        </w:rPr>
        <w:t>For the reasons of Hamilton</w:t>
      </w:r>
      <w:r w:rsidR="00536FE9" w:rsidRPr="00187E37">
        <w:rPr>
          <w:lang w:val="en-CA"/>
        </w:rPr>
        <w:t xml:space="preserve"> J.A.</w:t>
      </w:r>
      <w:r w:rsidR="00A351FE">
        <w:rPr>
          <w:lang w:val="en-CA"/>
        </w:rPr>
        <w:t>,</w:t>
      </w:r>
      <w:r w:rsidRPr="00187E37">
        <w:rPr>
          <w:lang w:val="en-CA"/>
        </w:rPr>
        <w:t xml:space="preserve"> </w:t>
      </w:r>
      <w:r w:rsidR="00C75517">
        <w:rPr>
          <w:lang w:val="en-CA"/>
        </w:rPr>
        <w:t>with</w:t>
      </w:r>
      <w:r w:rsidR="00C75517" w:rsidRPr="00187E37">
        <w:rPr>
          <w:lang w:val="en-CA"/>
        </w:rPr>
        <w:t xml:space="preserve"> </w:t>
      </w:r>
      <w:r w:rsidRPr="00187E37">
        <w:rPr>
          <w:lang w:val="en-CA"/>
        </w:rPr>
        <w:t>which Schrager</w:t>
      </w:r>
      <w:r w:rsidR="00626CCA">
        <w:rPr>
          <w:lang w:val="en-CA"/>
        </w:rPr>
        <w:t xml:space="preserve"> </w:t>
      </w:r>
      <w:r w:rsidRPr="00187E37">
        <w:rPr>
          <w:lang w:val="en-CA"/>
        </w:rPr>
        <w:t>and Cournoyer</w:t>
      </w:r>
      <w:r w:rsidR="00536FE9" w:rsidRPr="00187E37">
        <w:rPr>
          <w:lang w:val="en-CA"/>
        </w:rPr>
        <w:t>, J</w:t>
      </w:r>
      <w:r w:rsidR="00626CCA">
        <w:rPr>
          <w:lang w:val="en-CA"/>
        </w:rPr>
        <w:t>J</w:t>
      </w:r>
      <w:r w:rsidR="00536FE9" w:rsidRPr="00187E37">
        <w:rPr>
          <w:lang w:val="en-CA"/>
        </w:rPr>
        <w:t>.A.</w:t>
      </w:r>
      <w:r w:rsidRPr="00187E37">
        <w:rPr>
          <w:lang w:val="en-CA"/>
        </w:rPr>
        <w:t xml:space="preserve"> concur, </w:t>
      </w:r>
      <w:r w:rsidRPr="00187E37">
        <w:rPr>
          <w:b/>
          <w:bCs/>
          <w:lang w:val="en-CA"/>
        </w:rPr>
        <w:t>THE COURT</w:t>
      </w:r>
      <w:r w:rsidRPr="00187E37">
        <w:rPr>
          <w:lang w:val="en-CA"/>
        </w:rPr>
        <w:t>:</w:t>
      </w:r>
    </w:p>
    <w:p w14:paraId="5D3A1519" w14:textId="77777777" w:rsidR="006C23CD" w:rsidRPr="00187E37" w:rsidRDefault="00C317BA" w:rsidP="00AD0221">
      <w:pPr>
        <w:pStyle w:val="Paragraphe"/>
        <w:spacing w:line="280" w:lineRule="exact"/>
        <w:rPr>
          <w:lang w:val="en-CA"/>
        </w:rPr>
      </w:pPr>
      <w:r w:rsidRPr="00187E37">
        <w:rPr>
          <w:b/>
          <w:lang w:val="en-CA"/>
        </w:rPr>
        <w:t xml:space="preserve">DISMISSES </w:t>
      </w:r>
      <w:r w:rsidRPr="00187E37">
        <w:rPr>
          <w:bCs/>
          <w:lang w:val="en-CA"/>
        </w:rPr>
        <w:t>the appeal, with legal costs</w:t>
      </w:r>
      <w:r w:rsidR="00AD0221" w:rsidRPr="00187E37">
        <w:rPr>
          <w:bCs/>
          <w:lang w:val="en-CA"/>
        </w:rPr>
        <w: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8F364A" w:rsidRPr="006D754D" w14:paraId="256FE995" w14:textId="77777777" w:rsidTr="003E3239">
        <w:trPr>
          <w:trHeight w:val="576"/>
        </w:trPr>
        <w:tc>
          <w:tcPr>
            <w:tcW w:w="9362" w:type="dxa"/>
            <w:gridSpan w:val="3"/>
            <w:tcBorders>
              <w:top w:val="nil"/>
              <w:bottom w:val="nil"/>
            </w:tcBorders>
          </w:tcPr>
          <w:p w14:paraId="184836ED" w14:textId="77777777" w:rsidR="008F364A" w:rsidRPr="00187E37" w:rsidRDefault="008F364A">
            <w:pPr>
              <w:keepNext/>
              <w:rPr>
                <w:lang w:val="en-CA"/>
              </w:rPr>
            </w:pPr>
          </w:p>
        </w:tc>
      </w:tr>
      <w:tr w:rsidR="008F364A" w:rsidRPr="006D754D" w14:paraId="4CF7E59C" w14:textId="77777777" w:rsidTr="00117914">
        <w:trPr>
          <w:trHeight w:val="283"/>
        </w:trPr>
        <w:tc>
          <w:tcPr>
            <w:tcW w:w="4682" w:type="dxa"/>
            <w:gridSpan w:val="2"/>
            <w:tcBorders>
              <w:top w:val="nil"/>
              <w:bottom w:val="nil"/>
            </w:tcBorders>
          </w:tcPr>
          <w:p w14:paraId="5160B78B" w14:textId="77777777" w:rsidR="008F364A" w:rsidRPr="00187E37" w:rsidRDefault="008F364A">
            <w:pPr>
              <w:keepNext/>
              <w:rPr>
                <w:lang w:val="en-CA"/>
              </w:rPr>
            </w:pPr>
          </w:p>
        </w:tc>
        <w:tc>
          <w:tcPr>
            <w:tcW w:w="4680" w:type="dxa"/>
            <w:tcBorders>
              <w:top w:val="nil"/>
              <w:bottom w:val="single" w:sz="8" w:space="0" w:color="auto"/>
            </w:tcBorders>
          </w:tcPr>
          <w:p w14:paraId="066E351A" w14:textId="77777777" w:rsidR="008F364A" w:rsidRPr="00187E37" w:rsidRDefault="008F364A">
            <w:pPr>
              <w:keepNext/>
              <w:rPr>
                <w:lang w:val="en-CA"/>
              </w:rPr>
            </w:pPr>
          </w:p>
        </w:tc>
      </w:tr>
      <w:tr w:rsidR="008F364A" w:rsidRPr="00187E37" w14:paraId="2949BCD8" w14:textId="77777777" w:rsidTr="00117914">
        <w:trPr>
          <w:trHeight w:val="283"/>
        </w:trPr>
        <w:tc>
          <w:tcPr>
            <w:tcW w:w="4682" w:type="dxa"/>
            <w:gridSpan w:val="2"/>
            <w:tcBorders>
              <w:top w:val="nil"/>
            </w:tcBorders>
          </w:tcPr>
          <w:p w14:paraId="5D30703B" w14:textId="77777777" w:rsidR="008F364A" w:rsidRPr="00187E37" w:rsidRDefault="008F364A">
            <w:pPr>
              <w:keepNext/>
              <w:rPr>
                <w:lang w:val="en-CA"/>
              </w:rPr>
            </w:pPr>
          </w:p>
        </w:tc>
        <w:tc>
          <w:tcPr>
            <w:tcW w:w="4680" w:type="dxa"/>
            <w:tcBorders>
              <w:top w:val="single" w:sz="8" w:space="0" w:color="auto"/>
            </w:tcBorders>
          </w:tcPr>
          <w:p w14:paraId="264E6A1E" w14:textId="77777777" w:rsidR="008F364A" w:rsidRPr="00187E37" w:rsidRDefault="00AD0221">
            <w:pPr>
              <w:rPr>
                <w:lang w:val="en-CA"/>
              </w:rPr>
            </w:pPr>
            <w:r w:rsidRPr="00187E37">
              <w:rPr>
                <w:lang w:val="en-CA"/>
              </w:rPr>
              <w:t>MARK SCHRAGER, J.A.</w:t>
            </w:r>
          </w:p>
        </w:tc>
      </w:tr>
      <w:tr w:rsidR="008F364A" w:rsidRPr="00187E37" w14:paraId="59582863" w14:textId="77777777" w:rsidTr="00117914">
        <w:trPr>
          <w:trHeight w:val="283"/>
        </w:trPr>
        <w:tc>
          <w:tcPr>
            <w:tcW w:w="4682" w:type="dxa"/>
            <w:gridSpan w:val="2"/>
            <w:tcBorders>
              <w:top w:val="nil"/>
            </w:tcBorders>
          </w:tcPr>
          <w:p w14:paraId="0CDE69F0" w14:textId="77777777" w:rsidR="008F364A" w:rsidRPr="00187E37" w:rsidRDefault="008F364A">
            <w:pPr>
              <w:keepNext/>
              <w:rPr>
                <w:lang w:val="en-CA"/>
              </w:rPr>
            </w:pPr>
            <w:bookmarkStart w:id="7" w:name="Signature2"/>
          </w:p>
        </w:tc>
        <w:tc>
          <w:tcPr>
            <w:tcW w:w="4680" w:type="dxa"/>
            <w:tcBorders>
              <w:top w:val="nil"/>
            </w:tcBorders>
          </w:tcPr>
          <w:p w14:paraId="4B92C9E5" w14:textId="77777777" w:rsidR="008F364A" w:rsidRPr="00187E37" w:rsidRDefault="008F364A">
            <w:pPr>
              <w:keepNext/>
              <w:rPr>
                <w:lang w:val="en-CA"/>
              </w:rPr>
            </w:pPr>
          </w:p>
        </w:tc>
      </w:tr>
      <w:tr w:rsidR="008F364A" w:rsidRPr="00187E37" w14:paraId="209C7714" w14:textId="77777777" w:rsidTr="00117914">
        <w:trPr>
          <w:trHeight w:val="283"/>
        </w:trPr>
        <w:tc>
          <w:tcPr>
            <w:tcW w:w="4682" w:type="dxa"/>
            <w:gridSpan w:val="2"/>
            <w:tcBorders>
              <w:top w:val="nil"/>
              <w:bottom w:val="nil"/>
            </w:tcBorders>
          </w:tcPr>
          <w:p w14:paraId="261241C5" w14:textId="77777777" w:rsidR="008F364A" w:rsidRPr="00187E37" w:rsidRDefault="008F364A">
            <w:pPr>
              <w:keepNext/>
              <w:rPr>
                <w:lang w:val="en-CA"/>
              </w:rPr>
            </w:pPr>
          </w:p>
        </w:tc>
        <w:tc>
          <w:tcPr>
            <w:tcW w:w="4680" w:type="dxa"/>
            <w:tcBorders>
              <w:top w:val="nil"/>
              <w:bottom w:val="single" w:sz="8" w:space="0" w:color="auto"/>
            </w:tcBorders>
          </w:tcPr>
          <w:p w14:paraId="2571FA4F" w14:textId="77777777" w:rsidR="008F364A" w:rsidRPr="00187E37" w:rsidRDefault="008F364A">
            <w:pPr>
              <w:keepNext/>
              <w:rPr>
                <w:lang w:val="en-CA"/>
              </w:rPr>
            </w:pPr>
          </w:p>
        </w:tc>
      </w:tr>
      <w:tr w:rsidR="008F364A" w:rsidRPr="006D754D" w14:paraId="5659A945" w14:textId="77777777" w:rsidTr="00117914">
        <w:trPr>
          <w:trHeight w:val="283"/>
        </w:trPr>
        <w:tc>
          <w:tcPr>
            <w:tcW w:w="4682" w:type="dxa"/>
            <w:gridSpan w:val="2"/>
            <w:tcBorders>
              <w:top w:val="nil"/>
            </w:tcBorders>
          </w:tcPr>
          <w:p w14:paraId="2D90ED98" w14:textId="77777777" w:rsidR="008F364A" w:rsidRPr="00187E37" w:rsidRDefault="008F364A">
            <w:pPr>
              <w:keepNext/>
              <w:rPr>
                <w:lang w:val="en-CA"/>
              </w:rPr>
            </w:pPr>
          </w:p>
        </w:tc>
        <w:tc>
          <w:tcPr>
            <w:tcW w:w="4680" w:type="dxa"/>
            <w:tcBorders>
              <w:top w:val="single" w:sz="8" w:space="0" w:color="auto"/>
            </w:tcBorders>
          </w:tcPr>
          <w:p w14:paraId="2BF7A3F5" w14:textId="77777777" w:rsidR="008F364A" w:rsidRPr="00187E37" w:rsidRDefault="00AD0221">
            <w:pPr>
              <w:keepNext/>
              <w:rPr>
                <w:lang w:val="en-CA"/>
              </w:rPr>
            </w:pPr>
            <w:r w:rsidRPr="00187E37">
              <w:rPr>
                <w:lang w:val="en-CA"/>
              </w:rPr>
              <w:t>STEPHEN W. HAMILTON, J.A.</w:t>
            </w:r>
          </w:p>
        </w:tc>
      </w:tr>
      <w:tr w:rsidR="008F364A" w:rsidRPr="006D754D" w14:paraId="3F771017" w14:textId="77777777" w:rsidTr="00117914">
        <w:trPr>
          <w:trHeight w:val="283"/>
        </w:trPr>
        <w:tc>
          <w:tcPr>
            <w:tcW w:w="4682" w:type="dxa"/>
            <w:gridSpan w:val="2"/>
            <w:tcBorders>
              <w:top w:val="nil"/>
            </w:tcBorders>
          </w:tcPr>
          <w:p w14:paraId="48BFAFE8" w14:textId="77777777" w:rsidR="008F364A" w:rsidRPr="00187E37" w:rsidRDefault="008F364A">
            <w:pPr>
              <w:keepNext/>
              <w:rPr>
                <w:lang w:val="en-CA"/>
              </w:rPr>
            </w:pPr>
            <w:bookmarkStart w:id="8" w:name="Signature3"/>
            <w:bookmarkEnd w:id="7"/>
          </w:p>
        </w:tc>
        <w:tc>
          <w:tcPr>
            <w:tcW w:w="4680" w:type="dxa"/>
            <w:tcBorders>
              <w:top w:val="nil"/>
            </w:tcBorders>
          </w:tcPr>
          <w:p w14:paraId="7CCC2A13" w14:textId="77777777" w:rsidR="008F364A" w:rsidRPr="00187E37" w:rsidRDefault="008F364A">
            <w:pPr>
              <w:keepNext/>
              <w:rPr>
                <w:lang w:val="en-CA"/>
              </w:rPr>
            </w:pPr>
          </w:p>
        </w:tc>
      </w:tr>
      <w:tr w:rsidR="008F364A" w:rsidRPr="006D754D" w14:paraId="571CCD52" w14:textId="77777777" w:rsidTr="00117914">
        <w:trPr>
          <w:trHeight w:val="283"/>
        </w:trPr>
        <w:tc>
          <w:tcPr>
            <w:tcW w:w="4682" w:type="dxa"/>
            <w:gridSpan w:val="2"/>
            <w:tcBorders>
              <w:top w:val="nil"/>
              <w:bottom w:val="nil"/>
            </w:tcBorders>
          </w:tcPr>
          <w:p w14:paraId="55B11F7E" w14:textId="77777777" w:rsidR="008F364A" w:rsidRPr="00187E37" w:rsidRDefault="008F364A">
            <w:pPr>
              <w:keepNext/>
              <w:rPr>
                <w:lang w:val="en-CA"/>
              </w:rPr>
            </w:pPr>
          </w:p>
        </w:tc>
        <w:tc>
          <w:tcPr>
            <w:tcW w:w="4680" w:type="dxa"/>
            <w:tcBorders>
              <w:top w:val="nil"/>
              <w:bottom w:val="single" w:sz="8" w:space="0" w:color="auto"/>
            </w:tcBorders>
          </w:tcPr>
          <w:p w14:paraId="0711F626" w14:textId="77777777" w:rsidR="008F364A" w:rsidRPr="00187E37" w:rsidRDefault="008F364A">
            <w:pPr>
              <w:keepNext/>
              <w:rPr>
                <w:lang w:val="en-CA"/>
              </w:rPr>
            </w:pPr>
          </w:p>
        </w:tc>
      </w:tr>
      <w:tr w:rsidR="008F364A" w:rsidRPr="00187E37" w14:paraId="1097472E" w14:textId="77777777" w:rsidTr="00117914">
        <w:trPr>
          <w:trHeight w:val="283"/>
        </w:trPr>
        <w:tc>
          <w:tcPr>
            <w:tcW w:w="4682" w:type="dxa"/>
            <w:gridSpan w:val="2"/>
            <w:tcBorders>
              <w:top w:val="nil"/>
            </w:tcBorders>
          </w:tcPr>
          <w:p w14:paraId="06FDA181" w14:textId="77777777" w:rsidR="008F364A" w:rsidRPr="00187E37" w:rsidRDefault="008F364A">
            <w:pPr>
              <w:keepNext/>
              <w:rPr>
                <w:lang w:val="en-CA"/>
              </w:rPr>
            </w:pPr>
          </w:p>
        </w:tc>
        <w:tc>
          <w:tcPr>
            <w:tcW w:w="4680" w:type="dxa"/>
            <w:tcBorders>
              <w:top w:val="single" w:sz="8" w:space="0" w:color="auto"/>
            </w:tcBorders>
          </w:tcPr>
          <w:p w14:paraId="4B2975C1" w14:textId="77777777" w:rsidR="008F364A" w:rsidRPr="00187E37" w:rsidRDefault="00AD0221">
            <w:pPr>
              <w:keepNext/>
              <w:rPr>
                <w:lang w:val="en-CA"/>
              </w:rPr>
            </w:pPr>
            <w:r w:rsidRPr="00187E37">
              <w:rPr>
                <w:lang w:val="en-CA"/>
              </w:rPr>
              <w:t>GUY COURNOYER, J.A.</w:t>
            </w:r>
          </w:p>
        </w:tc>
      </w:tr>
      <w:bookmarkEnd w:id="8"/>
      <w:tr w:rsidR="005A78BF" w:rsidRPr="00187E37" w14:paraId="0ADCA421" w14:textId="77777777" w:rsidTr="00423DF1">
        <w:tc>
          <w:tcPr>
            <w:tcW w:w="9362" w:type="dxa"/>
            <w:gridSpan w:val="3"/>
          </w:tcPr>
          <w:p w14:paraId="16926FED" w14:textId="77777777" w:rsidR="005A78BF" w:rsidRPr="00187E37" w:rsidRDefault="005A78BF" w:rsidP="005A78BF">
            <w:pPr>
              <w:rPr>
                <w:lang w:val="en-CA"/>
              </w:rPr>
            </w:pPr>
          </w:p>
        </w:tc>
      </w:tr>
      <w:tr w:rsidR="005A78BF" w:rsidRPr="00187E37" w14:paraId="55C3EE02" w14:textId="77777777" w:rsidTr="00423DF1">
        <w:tc>
          <w:tcPr>
            <w:tcW w:w="9362" w:type="dxa"/>
            <w:gridSpan w:val="3"/>
          </w:tcPr>
          <w:p w14:paraId="4D912EF9" w14:textId="77777777" w:rsidR="005A78BF" w:rsidRPr="00187E37" w:rsidRDefault="00F5529D" w:rsidP="005A78BF">
            <w:pPr>
              <w:pStyle w:val="zSoquijdatNomProcureurDem"/>
              <w:rPr>
                <w:lang w:val="en-CA"/>
              </w:rPr>
            </w:pPr>
            <w:r w:rsidRPr="00187E37">
              <w:rPr>
                <w:lang w:val="en-CA"/>
              </w:rPr>
              <w:t>M</w:t>
            </w:r>
            <w:r w:rsidR="00536FE9" w:rsidRPr="00187E37">
              <w:rPr>
                <w:lang w:val="en-CA"/>
              </w:rPr>
              <w:t>tr</w:t>
            </w:r>
            <w:r w:rsidRPr="00187E37">
              <w:rPr>
                <w:lang w:val="en-CA"/>
              </w:rPr>
              <w:t>e Bob H. Sotiriadis</w:t>
            </w:r>
          </w:p>
        </w:tc>
      </w:tr>
      <w:tr w:rsidR="009F00CA" w:rsidRPr="00187E37" w14:paraId="72417689" w14:textId="77777777" w:rsidTr="00423DF1">
        <w:tc>
          <w:tcPr>
            <w:tcW w:w="9362" w:type="dxa"/>
            <w:gridSpan w:val="3"/>
          </w:tcPr>
          <w:p w14:paraId="588E9D9D" w14:textId="77777777" w:rsidR="009F00CA" w:rsidRPr="00187E37" w:rsidRDefault="009F00CA" w:rsidP="005A78BF">
            <w:pPr>
              <w:pStyle w:val="zSoquijdatNomProcureurDem"/>
              <w:rPr>
                <w:lang w:val="en-CA"/>
              </w:rPr>
            </w:pPr>
            <w:r w:rsidRPr="00187E37">
              <w:rPr>
                <w:lang w:val="en-CA"/>
              </w:rPr>
              <w:t>M</w:t>
            </w:r>
            <w:r w:rsidR="00536FE9" w:rsidRPr="00187E37">
              <w:rPr>
                <w:lang w:val="en-CA"/>
              </w:rPr>
              <w:t>tr</w:t>
            </w:r>
            <w:r w:rsidRPr="00187E37">
              <w:rPr>
                <w:lang w:val="en-CA"/>
              </w:rPr>
              <w:t>e Catherine Bergeron</w:t>
            </w:r>
          </w:p>
        </w:tc>
      </w:tr>
      <w:tr w:rsidR="005A78BF" w:rsidRPr="00187E37" w14:paraId="00F6F55A" w14:textId="77777777" w:rsidTr="00423DF1">
        <w:tc>
          <w:tcPr>
            <w:tcW w:w="9362" w:type="dxa"/>
            <w:gridSpan w:val="3"/>
          </w:tcPr>
          <w:p w14:paraId="546D5231" w14:textId="77777777" w:rsidR="005A78BF" w:rsidRPr="00187E37" w:rsidRDefault="00F5529D" w:rsidP="005A78BF">
            <w:pPr>
              <w:pStyle w:val="zSoquijdatCabinetProcureurDem"/>
              <w:rPr>
                <w:lang w:val="en-CA"/>
              </w:rPr>
            </w:pPr>
            <w:r w:rsidRPr="00187E37">
              <w:rPr>
                <w:lang w:val="en-CA"/>
              </w:rPr>
              <w:t>ROBIC</w:t>
            </w:r>
          </w:p>
        </w:tc>
      </w:tr>
      <w:tr w:rsidR="005A78BF" w:rsidRPr="00187E37" w14:paraId="33C975D3" w14:textId="77777777" w:rsidTr="00423DF1">
        <w:tc>
          <w:tcPr>
            <w:tcW w:w="9362" w:type="dxa"/>
            <w:gridSpan w:val="3"/>
          </w:tcPr>
          <w:p w14:paraId="1D2F1F1E" w14:textId="77777777" w:rsidR="005A78BF" w:rsidRPr="00187E37" w:rsidRDefault="00536FE9" w:rsidP="005A78BF">
            <w:pPr>
              <w:pStyle w:val="zSoquijlblProcureurDem"/>
              <w:rPr>
                <w:lang w:val="en-CA"/>
              </w:rPr>
            </w:pPr>
            <w:r w:rsidRPr="00187E37">
              <w:rPr>
                <w:lang w:val="en-CA"/>
              </w:rPr>
              <w:t>For the appellants</w:t>
            </w:r>
          </w:p>
        </w:tc>
      </w:tr>
      <w:tr w:rsidR="005A78BF" w:rsidRPr="00187E37" w14:paraId="44A94CBE" w14:textId="77777777" w:rsidTr="00423DF1">
        <w:tc>
          <w:tcPr>
            <w:tcW w:w="9362" w:type="dxa"/>
            <w:gridSpan w:val="3"/>
          </w:tcPr>
          <w:p w14:paraId="52BA0046" w14:textId="77777777" w:rsidR="005A78BF" w:rsidRPr="00187E37" w:rsidRDefault="005A78BF" w:rsidP="005A78BF">
            <w:pPr>
              <w:rPr>
                <w:lang w:val="en-CA"/>
              </w:rPr>
            </w:pPr>
          </w:p>
        </w:tc>
      </w:tr>
      <w:tr w:rsidR="005A78BF" w:rsidRPr="00187E37" w14:paraId="340F5559" w14:textId="77777777" w:rsidTr="00423DF1">
        <w:tc>
          <w:tcPr>
            <w:tcW w:w="9362" w:type="dxa"/>
            <w:gridSpan w:val="3"/>
          </w:tcPr>
          <w:p w14:paraId="2DF1E5F3" w14:textId="77777777" w:rsidR="005A78BF" w:rsidRPr="00187E37" w:rsidRDefault="00F5529D" w:rsidP="005A78BF">
            <w:pPr>
              <w:pStyle w:val="zSoquijdatNomProcureurDef"/>
              <w:rPr>
                <w:lang w:val="en-CA"/>
              </w:rPr>
            </w:pPr>
            <w:r w:rsidRPr="00187E37">
              <w:rPr>
                <w:lang w:val="en-CA"/>
              </w:rPr>
              <w:t>M</w:t>
            </w:r>
            <w:r w:rsidR="00536FE9" w:rsidRPr="00187E37">
              <w:rPr>
                <w:lang w:val="en-CA"/>
              </w:rPr>
              <w:t>tr</w:t>
            </w:r>
            <w:r w:rsidRPr="00187E37">
              <w:rPr>
                <w:lang w:val="en-CA"/>
              </w:rPr>
              <w:t>e Marc-André Nadon</w:t>
            </w:r>
          </w:p>
        </w:tc>
      </w:tr>
      <w:tr w:rsidR="00F5529D" w:rsidRPr="00187E37" w14:paraId="723145C9" w14:textId="77777777" w:rsidTr="00423DF1">
        <w:tc>
          <w:tcPr>
            <w:tcW w:w="9362" w:type="dxa"/>
            <w:gridSpan w:val="3"/>
          </w:tcPr>
          <w:p w14:paraId="4B4A0867" w14:textId="77777777" w:rsidR="00F5529D" w:rsidRPr="00187E37" w:rsidRDefault="00F5529D" w:rsidP="005A78BF">
            <w:pPr>
              <w:pStyle w:val="zSoquijdatNomProcureurDef"/>
              <w:rPr>
                <w:lang w:val="en-CA"/>
              </w:rPr>
            </w:pPr>
            <w:r w:rsidRPr="00187E37">
              <w:rPr>
                <w:lang w:val="en-CA"/>
              </w:rPr>
              <w:t>M</w:t>
            </w:r>
            <w:r w:rsidR="00536FE9" w:rsidRPr="00187E37">
              <w:rPr>
                <w:lang w:val="en-CA"/>
              </w:rPr>
              <w:t>tr</w:t>
            </w:r>
            <w:r w:rsidRPr="00187E37">
              <w:rPr>
                <w:lang w:val="en-CA"/>
              </w:rPr>
              <w:t>e Jean-François Carrier</w:t>
            </w:r>
          </w:p>
        </w:tc>
      </w:tr>
      <w:tr w:rsidR="005A78BF" w:rsidRPr="00187E37" w14:paraId="616D49BC" w14:textId="77777777" w:rsidTr="00423DF1">
        <w:tc>
          <w:tcPr>
            <w:tcW w:w="9362" w:type="dxa"/>
            <w:gridSpan w:val="3"/>
          </w:tcPr>
          <w:p w14:paraId="674F1F36" w14:textId="77777777" w:rsidR="005A78BF" w:rsidRPr="00187E37" w:rsidRDefault="009F00CA" w:rsidP="005A78BF">
            <w:pPr>
              <w:pStyle w:val="zSoquijdatCabinetProcureurDef"/>
              <w:rPr>
                <w:lang w:val="en-CA"/>
              </w:rPr>
            </w:pPr>
            <w:r w:rsidRPr="00187E37">
              <w:rPr>
                <w:lang w:val="en-CA"/>
              </w:rPr>
              <w:t>PRÉVOST FORTIN D’AOUST</w:t>
            </w:r>
          </w:p>
        </w:tc>
      </w:tr>
      <w:tr w:rsidR="005A78BF" w:rsidRPr="00187E37" w14:paraId="36B596B0" w14:textId="77777777" w:rsidTr="00423DF1">
        <w:tc>
          <w:tcPr>
            <w:tcW w:w="9362" w:type="dxa"/>
            <w:gridSpan w:val="3"/>
          </w:tcPr>
          <w:p w14:paraId="38B29973" w14:textId="77777777" w:rsidR="005A78BF" w:rsidRPr="00187E37" w:rsidRDefault="00536FE9" w:rsidP="005A78BF">
            <w:pPr>
              <w:pStyle w:val="zSoquijlblProcureurDef"/>
              <w:rPr>
                <w:lang w:val="en-CA"/>
              </w:rPr>
            </w:pPr>
            <w:r w:rsidRPr="00187E37">
              <w:rPr>
                <w:lang w:val="en-CA"/>
              </w:rPr>
              <w:t>For the respondent</w:t>
            </w:r>
          </w:p>
        </w:tc>
      </w:tr>
      <w:tr w:rsidR="005A78BF" w:rsidRPr="00187E37" w14:paraId="36262203" w14:textId="77777777" w:rsidTr="00423DF1">
        <w:tc>
          <w:tcPr>
            <w:tcW w:w="9362" w:type="dxa"/>
            <w:gridSpan w:val="3"/>
          </w:tcPr>
          <w:p w14:paraId="6F62A378" w14:textId="77777777" w:rsidR="005A78BF" w:rsidRPr="00187E37" w:rsidRDefault="005A78BF" w:rsidP="005A78BF">
            <w:pPr>
              <w:rPr>
                <w:lang w:val="en-CA"/>
              </w:rPr>
            </w:pPr>
          </w:p>
        </w:tc>
      </w:tr>
      <w:tr w:rsidR="005A78BF" w:rsidRPr="00187E37" w14:paraId="363FD635" w14:textId="77777777" w:rsidTr="00423DF1">
        <w:tc>
          <w:tcPr>
            <w:tcW w:w="1997" w:type="dxa"/>
          </w:tcPr>
          <w:p w14:paraId="6FF3AAD3" w14:textId="77777777" w:rsidR="005A78BF" w:rsidRPr="00187E37" w:rsidRDefault="005A78BF" w:rsidP="005A78BF">
            <w:pPr>
              <w:pStyle w:val="zSoquijlblDateAudience"/>
              <w:rPr>
                <w:lang w:val="en-CA"/>
              </w:rPr>
            </w:pPr>
            <w:r w:rsidRPr="00187E37">
              <w:rPr>
                <w:lang w:val="en-CA"/>
              </w:rPr>
              <w:t xml:space="preserve">Date </w:t>
            </w:r>
            <w:r w:rsidR="00536FE9" w:rsidRPr="00187E37">
              <w:rPr>
                <w:lang w:val="en-CA"/>
              </w:rPr>
              <w:t>of hearing</w:t>
            </w:r>
            <w:r w:rsidRPr="00187E37">
              <w:rPr>
                <w:lang w:val="en-CA"/>
              </w:rPr>
              <w:t>:</w:t>
            </w:r>
          </w:p>
        </w:tc>
        <w:tc>
          <w:tcPr>
            <w:tcW w:w="7365" w:type="dxa"/>
            <w:gridSpan w:val="2"/>
          </w:tcPr>
          <w:p w14:paraId="71ED4368" w14:textId="77777777" w:rsidR="005A78BF" w:rsidRPr="00187E37" w:rsidRDefault="00536FE9" w:rsidP="005A78BF">
            <w:pPr>
              <w:pStyle w:val="zSoquijdatDateAudience"/>
              <w:rPr>
                <w:lang w:val="en-CA"/>
              </w:rPr>
            </w:pPr>
            <w:r w:rsidRPr="00187E37">
              <w:rPr>
                <w:lang w:val="en-CA"/>
              </w:rPr>
              <w:t xml:space="preserve">October </w:t>
            </w:r>
            <w:r w:rsidR="00331607" w:rsidRPr="00187E37">
              <w:rPr>
                <w:lang w:val="en-CA"/>
              </w:rPr>
              <w:t>28</w:t>
            </w:r>
            <w:r w:rsidRPr="00187E37">
              <w:rPr>
                <w:lang w:val="en-CA"/>
              </w:rPr>
              <w:t xml:space="preserve">, </w:t>
            </w:r>
            <w:r w:rsidR="00331607" w:rsidRPr="00187E37">
              <w:rPr>
                <w:lang w:val="en-CA"/>
              </w:rPr>
              <w:t>2021</w:t>
            </w:r>
          </w:p>
        </w:tc>
      </w:tr>
    </w:tbl>
    <w:p w14:paraId="4A09789C" w14:textId="77777777" w:rsidR="005110B7" w:rsidRPr="00187E37" w:rsidRDefault="005110B7" w:rsidP="005110B7">
      <w:pPr>
        <w:rPr>
          <w:lang w:val="en-CA"/>
        </w:rPr>
        <w:sectPr w:rsidR="005110B7" w:rsidRPr="00187E3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8" w:bottom="1440" w:left="1872" w:header="1440" w:footer="792" w:gutter="0"/>
          <w:cols w:space="720"/>
          <w:formProt w:val="0"/>
          <w:titlePg/>
          <w:docGrid w:linePitch="326"/>
        </w:sectPr>
      </w:pPr>
      <w:bookmarkStart w:id="9" w:name="Opinion"/>
      <w:bookmarkEnd w:id="6"/>
    </w:p>
    <w:tbl>
      <w:tblPr>
        <w:tblW w:w="0" w:type="auto"/>
        <w:tblLayout w:type="fixed"/>
        <w:tblCellMar>
          <w:left w:w="0" w:type="dxa"/>
          <w:right w:w="0" w:type="dxa"/>
        </w:tblCellMar>
        <w:tblLook w:val="0000" w:firstRow="0" w:lastRow="0" w:firstColumn="0" w:lastColumn="0" w:noHBand="0" w:noVBand="0"/>
      </w:tblPr>
      <w:tblGrid>
        <w:gridCol w:w="9360"/>
      </w:tblGrid>
      <w:tr w:rsidR="005110B7" w:rsidRPr="00187E37" w14:paraId="04AABC77" w14:textId="77777777">
        <w:tc>
          <w:tcPr>
            <w:tcW w:w="9360" w:type="dxa"/>
            <w:tcBorders>
              <w:bottom w:val="single" w:sz="8" w:space="0" w:color="auto"/>
            </w:tcBorders>
          </w:tcPr>
          <w:p w14:paraId="6864CBD7" w14:textId="77777777" w:rsidR="005110B7" w:rsidRPr="00187E37" w:rsidRDefault="005110B7">
            <w:pPr>
              <w:rPr>
                <w:lang w:val="en-CA"/>
              </w:rPr>
            </w:pPr>
          </w:p>
          <w:p w14:paraId="7DECE8C5" w14:textId="77777777" w:rsidR="005110B7" w:rsidRPr="00187E37" w:rsidRDefault="005110B7">
            <w:pPr>
              <w:rPr>
                <w:lang w:val="en-CA"/>
              </w:rPr>
            </w:pPr>
          </w:p>
        </w:tc>
      </w:tr>
      <w:tr w:rsidR="005110B7" w:rsidRPr="00187E37" w14:paraId="774C00CE" w14:textId="77777777">
        <w:tc>
          <w:tcPr>
            <w:tcW w:w="9360" w:type="dxa"/>
            <w:tcBorders>
              <w:top w:val="single" w:sz="8" w:space="0" w:color="auto"/>
            </w:tcBorders>
          </w:tcPr>
          <w:p w14:paraId="250CCE1D" w14:textId="77777777" w:rsidR="005110B7" w:rsidRPr="00187E37" w:rsidRDefault="005110B7">
            <w:pPr>
              <w:rPr>
                <w:lang w:val="en-CA"/>
              </w:rPr>
            </w:pPr>
          </w:p>
        </w:tc>
      </w:tr>
      <w:tr w:rsidR="005110B7" w:rsidRPr="006D754D" w14:paraId="408E395E" w14:textId="77777777">
        <w:tc>
          <w:tcPr>
            <w:tcW w:w="9360" w:type="dxa"/>
          </w:tcPr>
          <w:p w14:paraId="39C7C99C" w14:textId="77777777" w:rsidR="005110B7" w:rsidRPr="00187E37" w:rsidRDefault="00536FE9">
            <w:pPr>
              <w:pStyle w:val="zSoquijlblOpinionJuge"/>
              <w:rPr>
                <w:lang w:val="en-CA"/>
              </w:rPr>
            </w:pPr>
            <w:bookmarkStart w:id="10" w:name="MotifJuge2"/>
            <w:r w:rsidRPr="00187E37">
              <w:rPr>
                <w:lang w:val="en-CA"/>
              </w:rPr>
              <w:t>REASONS OF</w:t>
            </w:r>
            <w:bookmarkEnd w:id="10"/>
            <w:r w:rsidR="005110B7" w:rsidRPr="00187E37">
              <w:rPr>
                <w:lang w:val="en-CA"/>
              </w:rPr>
              <w:t xml:space="preserve"> </w:t>
            </w:r>
            <w:r w:rsidR="00AD0221" w:rsidRPr="00187E37">
              <w:rPr>
                <w:lang w:val="en-CA"/>
              </w:rPr>
              <w:t>HAMILTON</w:t>
            </w:r>
            <w:r w:rsidRPr="00187E37">
              <w:rPr>
                <w:lang w:val="en-CA"/>
              </w:rPr>
              <w:t>, J.A.</w:t>
            </w:r>
          </w:p>
        </w:tc>
      </w:tr>
      <w:tr w:rsidR="005110B7" w:rsidRPr="006D754D" w14:paraId="299736B2" w14:textId="77777777">
        <w:tc>
          <w:tcPr>
            <w:tcW w:w="9360" w:type="dxa"/>
            <w:tcBorders>
              <w:bottom w:val="single" w:sz="8" w:space="0" w:color="auto"/>
            </w:tcBorders>
          </w:tcPr>
          <w:p w14:paraId="2B3BA0DE" w14:textId="77777777" w:rsidR="005110B7" w:rsidRPr="00187E37" w:rsidRDefault="005110B7">
            <w:pPr>
              <w:rPr>
                <w:lang w:val="en-CA"/>
              </w:rPr>
            </w:pPr>
          </w:p>
        </w:tc>
      </w:tr>
      <w:tr w:rsidR="005110B7" w:rsidRPr="006D754D" w14:paraId="6A5EE163" w14:textId="77777777">
        <w:tc>
          <w:tcPr>
            <w:tcW w:w="9360" w:type="dxa"/>
            <w:tcBorders>
              <w:top w:val="single" w:sz="8" w:space="0" w:color="auto"/>
            </w:tcBorders>
          </w:tcPr>
          <w:p w14:paraId="291A2089" w14:textId="77777777" w:rsidR="005110B7" w:rsidRPr="00187E37" w:rsidRDefault="005110B7">
            <w:pPr>
              <w:rPr>
                <w:lang w:val="en-CA"/>
              </w:rPr>
            </w:pPr>
          </w:p>
        </w:tc>
      </w:tr>
    </w:tbl>
    <w:p w14:paraId="54F986F4" w14:textId="77777777" w:rsidR="00536FE9" w:rsidRPr="00187E37" w:rsidRDefault="00536FE9" w:rsidP="00925E16">
      <w:pPr>
        <w:pStyle w:val="Paragraphe"/>
        <w:spacing w:line="240" w:lineRule="auto"/>
        <w:rPr>
          <w:lang w:val="en-CA"/>
        </w:rPr>
      </w:pPr>
      <w:r w:rsidRPr="00187E37">
        <w:rPr>
          <w:lang w:val="en-CA"/>
        </w:rPr>
        <w:t>This case deals with the application of the</w:t>
      </w:r>
      <w:r w:rsidR="00B24A54">
        <w:rPr>
          <w:lang w:val="en-CA"/>
        </w:rPr>
        <w:t xml:space="preserve"> standards </w:t>
      </w:r>
      <w:r w:rsidR="003114A8">
        <w:rPr>
          <w:lang w:val="en-CA"/>
        </w:rPr>
        <w:t>for</w:t>
      </w:r>
      <w:r w:rsidRPr="00187E37">
        <w:rPr>
          <w:lang w:val="en-CA"/>
        </w:rPr>
        <w:t xml:space="preserve"> passing</w:t>
      </w:r>
      <w:r w:rsidR="008D5524" w:rsidRPr="00187E37">
        <w:rPr>
          <w:lang w:val="en-CA"/>
        </w:rPr>
        <w:t>-</w:t>
      </w:r>
      <w:r w:rsidRPr="00187E37">
        <w:rPr>
          <w:lang w:val="en-CA"/>
        </w:rPr>
        <w:t xml:space="preserve">off </w:t>
      </w:r>
      <w:r w:rsidR="002667C3">
        <w:rPr>
          <w:lang w:val="en-CA"/>
        </w:rPr>
        <w:t>under</w:t>
      </w:r>
      <w:r w:rsidRPr="00187E37">
        <w:rPr>
          <w:lang w:val="en-CA"/>
        </w:rPr>
        <w:t xml:space="preserve"> the </w:t>
      </w:r>
      <w:r w:rsidRPr="00187E37">
        <w:rPr>
          <w:i/>
          <w:iCs/>
          <w:lang w:val="en-CA"/>
        </w:rPr>
        <w:t>Trademarks Act</w:t>
      </w:r>
      <w:r w:rsidRPr="00187E37">
        <w:rPr>
          <w:iCs/>
          <w:vertAlign w:val="superscript"/>
          <w:lang w:val="en-CA"/>
        </w:rPr>
        <w:footnoteReference w:id="2"/>
      </w:r>
      <w:r w:rsidRPr="00187E37">
        <w:rPr>
          <w:lang w:val="en-CA"/>
        </w:rPr>
        <w:t xml:space="preserve"> (</w:t>
      </w:r>
      <w:r w:rsidR="008D5524" w:rsidRPr="00187E37">
        <w:rPr>
          <w:lang w:val="en-CA"/>
        </w:rPr>
        <w:t>“</w:t>
      </w:r>
      <w:r w:rsidRPr="0002511C">
        <w:rPr>
          <w:i/>
          <w:iCs/>
          <w:lang w:val="en-CA"/>
        </w:rPr>
        <w:t>TA</w:t>
      </w:r>
      <w:r w:rsidR="008D5524" w:rsidRPr="00187E37">
        <w:rPr>
          <w:lang w:val="en-CA"/>
        </w:rPr>
        <w:t>”</w:t>
      </w:r>
      <w:r w:rsidRPr="00187E37">
        <w:rPr>
          <w:lang w:val="en-CA"/>
        </w:rPr>
        <w:t xml:space="preserve">) and article 1457 of the </w:t>
      </w:r>
      <w:r w:rsidRPr="00187E37">
        <w:rPr>
          <w:i/>
          <w:iCs/>
          <w:lang w:val="en-CA"/>
        </w:rPr>
        <w:t xml:space="preserve">Civil Code of </w:t>
      </w:r>
      <w:r w:rsidR="00B24A54" w:rsidRPr="00187E37">
        <w:rPr>
          <w:i/>
          <w:iCs/>
          <w:lang w:val="en-CA"/>
        </w:rPr>
        <w:t>Qu</w:t>
      </w:r>
      <w:r w:rsidR="00B24A54">
        <w:rPr>
          <w:i/>
          <w:iCs/>
          <w:lang w:val="en-CA"/>
        </w:rPr>
        <w:t>é</w:t>
      </w:r>
      <w:r w:rsidR="00B24A54" w:rsidRPr="00187E37">
        <w:rPr>
          <w:i/>
          <w:iCs/>
          <w:lang w:val="en-CA"/>
        </w:rPr>
        <w:t>bec</w:t>
      </w:r>
      <w:r w:rsidR="00B24A54" w:rsidRPr="00187E37">
        <w:rPr>
          <w:lang w:val="en-CA"/>
        </w:rPr>
        <w:t xml:space="preserve"> </w:t>
      </w:r>
      <w:r w:rsidRPr="00187E37">
        <w:rPr>
          <w:lang w:val="en-CA"/>
        </w:rPr>
        <w:t>(</w:t>
      </w:r>
      <w:r w:rsidR="008D5524" w:rsidRPr="00187E37">
        <w:rPr>
          <w:lang w:val="en-CA"/>
        </w:rPr>
        <w:t>“</w:t>
      </w:r>
      <w:r w:rsidRPr="0002511C">
        <w:rPr>
          <w:lang w:val="en-CA"/>
        </w:rPr>
        <w:t>C</w:t>
      </w:r>
      <w:r w:rsidR="0002511C">
        <w:rPr>
          <w:i/>
          <w:iCs/>
          <w:lang w:val="en-CA"/>
        </w:rPr>
        <w:t>.</w:t>
      </w:r>
      <w:r w:rsidRPr="0002511C">
        <w:rPr>
          <w:lang w:val="en-CA"/>
        </w:rPr>
        <w:t>C</w:t>
      </w:r>
      <w:r w:rsidR="0002511C">
        <w:rPr>
          <w:lang w:val="en-CA"/>
        </w:rPr>
        <w:t>.</w:t>
      </w:r>
      <w:r w:rsidRPr="0002511C">
        <w:rPr>
          <w:lang w:val="en-CA"/>
        </w:rPr>
        <w:t>Q</w:t>
      </w:r>
      <w:r w:rsidR="002B1CF4">
        <w:rPr>
          <w:i/>
          <w:iCs/>
          <w:lang w:val="en-CA"/>
        </w:rPr>
        <w:t>.</w:t>
      </w:r>
      <w:r w:rsidR="008D5524" w:rsidRPr="00187E37">
        <w:rPr>
          <w:lang w:val="en-CA"/>
        </w:rPr>
        <w:t>”</w:t>
      </w:r>
      <w:r w:rsidRPr="00187E37">
        <w:rPr>
          <w:lang w:val="en-CA"/>
        </w:rPr>
        <w:t>) in the context of electronic commerce on the Internet.</w:t>
      </w:r>
    </w:p>
    <w:p w14:paraId="03BB1F61" w14:textId="77777777" w:rsidR="005110B7" w:rsidRPr="00187E37" w:rsidRDefault="003114A8" w:rsidP="00925E16">
      <w:pPr>
        <w:pStyle w:val="Paragraphe"/>
        <w:numPr>
          <w:ilvl w:val="0"/>
          <w:numId w:val="0"/>
        </w:numPr>
        <w:spacing w:line="240" w:lineRule="auto"/>
        <w:rPr>
          <w:b/>
          <w:lang w:val="en-CA"/>
        </w:rPr>
      </w:pPr>
      <w:r>
        <w:rPr>
          <w:b/>
          <w:lang w:val="en-CA"/>
        </w:rPr>
        <w:t>BACKGROUND</w:t>
      </w:r>
    </w:p>
    <w:p w14:paraId="3CAF6C75" w14:textId="77777777" w:rsidR="005110B7" w:rsidRPr="00187E37" w:rsidRDefault="00536FE9" w:rsidP="00925E16">
      <w:pPr>
        <w:pStyle w:val="Paragraphe"/>
        <w:spacing w:line="240" w:lineRule="auto"/>
        <w:rPr>
          <w:lang w:val="en-CA"/>
        </w:rPr>
      </w:pPr>
      <w:r w:rsidRPr="00187E37">
        <w:rPr>
          <w:lang w:val="en-CA"/>
        </w:rPr>
        <w:t>The facts are not disputed.</w:t>
      </w:r>
    </w:p>
    <w:p w14:paraId="30E0A264" w14:textId="77777777" w:rsidR="00536FE9" w:rsidRPr="00187E37" w:rsidRDefault="00536FE9" w:rsidP="00925E16">
      <w:pPr>
        <w:pStyle w:val="Paragraphe"/>
        <w:spacing w:line="240" w:lineRule="auto"/>
        <w:rPr>
          <w:lang w:val="en-CA"/>
        </w:rPr>
      </w:pPr>
      <w:r w:rsidRPr="00187E37">
        <w:rPr>
          <w:lang w:val="en-CA"/>
        </w:rPr>
        <w:t>The respondent has been</w:t>
      </w:r>
      <w:r w:rsidR="003114A8">
        <w:rPr>
          <w:lang w:val="en-CA"/>
        </w:rPr>
        <w:t xml:space="preserve"> in the business of</w:t>
      </w:r>
      <w:r w:rsidRPr="00187E37">
        <w:rPr>
          <w:lang w:val="en-CA"/>
        </w:rPr>
        <w:t xml:space="preserve"> distributing sheds and garages since 1986 and </w:t>
      </w:r>
      <w:r w:rsidR="001F5C61">
        <w:rPr>
          <w:lang w:val="en-CA"/>
        </w:rPr>
        <w:t xml:space="preserve">of </w:t>
      </w:r>
      <w:r w:rsidRPr="00187E37">
        <w:rPr>
          <w:lang w:val="en-CA"/>
        </w:rPr>
        <w:t xml:space="preserve">manufacturing sheds since 2015. Its </w:t>
      </w:r>
      <w:r w:rsidR="000312AD">
        <w:rPr>
          <w:lang w:val="en-CA"/>
        </w:rPr>
        <w:t>business</w:t>
      </w:r>
      <w:r w:rsidR="000312AD" w:rsidRPr="00187E37">
        <w:rPr>
          <w:lang w:val="en-CA"/>
        </w:rPr>
        <w:t xml:space="preserve"> </w:t>
      </w:r>
      <w:r w:rsidRPr="00187E37">
        <w:rPr>
          <w:lang w:val="en-CA"/>
        </w:rPr>
        <w:t xml:space="preserve">began in the Mirabel </w:t>
      </w:r>
      <w:r w:rsidR="000312AD">
        <w:rPr>
          <w:lang w:val="en-CA"/>
        </w:rPr>
        <w:t>area</w:t>
      </w:r>
      <w:r w:rsidR="000312AD" w:rsidRPr="00187E37">
        <w:rPr>
          <w:lang w:val="en-CA"/>
        </w:rPr>
        <w:t xml:space="preserve"> </w:t>
      </w:r>
      <w:r w:rsidRPr="00187E37">
        <w:rPr>
          <w:lang w:val="en-CA"/>
        </w:rPr>
        <w:t xml:space="preserve">and now </w:t>
      </w:r>
      <w:r w:rsidR="000312AD">
        <w:rPr>
          <w:lang w:val="en-CA"/>
        </w:rPr>
        <w:t>mainly</w:t>
      </w:r>
      <w:r w:rsidR="000312AD" w:rsidRPr="00187E37">
        <w:rPr>
          <w:lang w:val="en-CA"/>
        </w:rPr>
        <w:t xml:space="preserve"> </w:t>
      </w:r>
      <w:r w:rsidRPr="00187E37">
        <w:rPr>
          <w:lang w:val="en-CA"/>
        </w:rPr>
        <w:t>extend</w:t>
      </w:r>
      <w:r w:rsidR="004522B3">
        <w:rPr>
          <w:lang w:val="en-CA"/>
        </w:rPr>
        <w:t>s</w:t>
      </w:r>
      <w:r w:rsidRPr="00187E37">
        <w:rPr>
          <w:lang w:val="en-CA"/>
        </w:rPr>
        <w:t xml:space="preserve"> to the Laurentides and Lanaudière </w:t>
      </w:r>
      <w:r w:rsidR="000312AD">
        <w:rPr>
          <w:lang w:val="en-CA"/>
        </w:rPr>
        <w:t>areas</w:t>
      </w:r>
      <w:r w:rsidRPr="00187E37">
        <w:rPr>
          <w:lang w:val="en-CA"/>
        </w:rPr>
        <w:t xml:space="preserve">. The respondent has always </w:t>
      </w:r>
      <w:r w:rsidR="000312AD">
        <w:rPr>
          <w:lang w:val="en-CA"/>
        </w:rPr>
        <w:t>done business</w:t>
      </w:r>
      <w:r w:rsidRPr="00187E37">
        <w:rPr>
          <w:lang w:val="en-CA"/>
        </w:rPr>
        <w:t xml:space="preserve"> under the name </w:t>
      </w:r>
      <w:r w:rsidR="008D5524" w:rsidRPr="00187E37">
        <w:rPr>
          <w:lang w:val="en-CA"/>
        </w:rPr>
        <w:t>“</w:t>
      </w:r>
      <w:r w:rsidRPr="004E4AF7">
        <w:rPr>
          <w:lang w:val="en-CA"/>
        </w:rPr>
        <w:t>Cabanons Mirabel</w:t>
      </w:r>
      <w:r w:rsidR="00D03AC5" w:rsidRPr="00187E37">
        <w:rPr>
          <w:lang w:val="en-CA"/>
        </w:rPr>
        <w:t>”</w:t>
      </w:r>
      <w:r w:rsidR="00D03AC5">
        <w:rPr>
          <w:lang w:val="en-CA"/>
        </w:rPr>
        <w:t>.</w:t>
      </w:r>
      <w:r w:rsidR="00D03AC5" w:rsidRPr="00187E37">
        <w:rPr>
          <w:lang w:val="en-CA"/>
        </w:rPr>
        <w:t xml:space="preserve"> </w:t>
      </w:r>
      <w:r w:rsidR="00D03AC5">
        <w:rPr>
          <w:lang w:val="en-CA"/>
        </w:rPr>
        <w:t>O</w:t>
      </w:r>
      <w:r w:rsidR="00D03AC5" w:rsidRPr="00187E37">
        <w:rPr>
          <w:lang w:val="en-CA"/>
        </w:rPr>
        <w:t xml:space="preserve">ver </w:t>
      </w:r>
      <w:r w:rsidRPr="00187E37">
        <w:rPr>
          <w:lang w:val="en-CA"/>
        </w:rPr>
        <w:t>the years, that name has appeared</w:t>
      </w:r>
      <w:r w:rsidR="00D03AC5">
        <w:rPr>
          <w:lang w:val="en-CA"/>
        </w:rPr>
        <w:t>,</w:t>
      </w:r>
      <w:r w:rsidRPr="00187E37">
        <w:rPr>
          <w:lang w:val="en-CA"/>
        </w:rPr>
        <w:t xml:space="preserve"> </w:t>
      </w:r>
      <w:r w:rsidR="00D03AC5">
        <w:rPr>
          <w:lang w:val="en-CA"/>
        </w:rPr>
        <w:t>among other places,</w:t>
      </w:r>
      <w:r w:rsidR="00D03AC5" w:rsidRPr="00187E37">
        <w:rPr>
          <w:lang w:val="en-CA"/>
        </w:rPr>
        <w:t xml:space="preserve"> </w:t>
      </w:r>
      <w:r w:rsidRPr="00187E37">
        <w:rPr>
          <w:lang w:val="en-CA"/>
        </w:rPr>
        <w:t xml:space="preserve">on </w:t>
      </w:r>
      <w:r w:rsidR="00D03AC5">
        <w:rPr>
          <w:lang w:val="en-CA"/>
        </w:rPr>
        <w:t>the respondent’s</w:t>
      </w:r>
      <w:r w:rsidR="00D03AC5" w:rsidRPr="00187E37">
        <w:rPr>
          <w:lang w:val="en-CA"/>
        </w:rPr>
        <w:t xml:space="preserve"> </w:t>
      </w:r>
      <w:r w:rsidRPr="00187E37">
        <w:rPr>
          <w:lang w:val="en-CA"/>
        </w:rPr>
        <w:t xml:space="preserve">trucks, on its logos, </w:t>
      </w:r>
      <w:r w:rsidR="00867A95">
        <w:rPr>
          <w:lang w:val="en-CA"/>
        </w:rPr>
        <w:t xml:space="preserve">and </w:t>
      </w:r>
      <w:r w:rsidRPr="00187E37">
        <w:rPr>
          <w:lang w:val="en-CA"/>
        </w:rPr>
        <w:t>on a</w:t>
      </w:r>
      <w:r w:rsidR="00D03AC5">
        <w:rPr>
          <w:lang w:val="en-CA"/>
        </w:rPr>
        <w:t xml:space="preserve"> small</w:t>
      </w:r>
      <w:r w:rsidRPr="00187E37">
        <w:rPr>
          <w:lang w:val="en-CA"/>
        </w:rPr>
        <w:t xml:space="preserve"> metal plate affixed to the sheds it manufactures</w:t>
      </w:r>
      <w:r w:rsidR="00867A95">
        <w:rPr>
          <w:lang w:val="en-CA"/>
        </w:rPr>
        <w:t>;</w:t>
      </w:r>
      <w:r w:rsidR="00D03AC5">
        <w:rPr>
          <w:lang w:val="en-CA"/>
        </w:rPr>
        <w:t xml:space="preserve"> </w:t>
      </w:r>
      <w:r w:rsidR="00867A95">
        <w:rPr>
          <w:lang w:val="en-CA"/>
        </w:rPr>
        <w:t>it has also appeared</w:t>
      </w:r>
      <w:r w:rsidR="00D03AC5">
        <w:rPr>
          <w:lang w:val="en-CA"/>
        </w:rPr>
        <w:t xml:space="preserve"> in</w:t>
      </w:r>
      <w:r w:rsidRPr="00187E37">
        <w:rPr>
          <w:lang w:val="en-CA"/>
        </w:rPr>
        <w:t xml:space="preserve"> </w:t>
      </w:r>
      <w:r w:rsidR="00D03AC5">
        <w:rPr>
          <w:lang w:val="en-CA"/>
        </w:rPr>
        <w:t xml:space="preserve">the respondent’s numerous </w:t>
      </w:r>
      <w:r w:rsidRPr="00187E37">
        <w:rPr>
          <w:lang w:val="en-CA"/>
        </w:rPr>
        <w:t xml:space="preserve">promotional and advertising activities. </w:t>
      </w:r>
      <w:r w:rsidR="002667C3">
        <w:rPr>
          <w:lang w:val="en-CA"/>
        </w:rPr>
        <w:t>It</w:t>
      </w:r>
      <w:r w:rsidRPr="00187E37">
        <w:rPr>
          <w:lang w:val="en-CA"/>
        </w:rPr>
        <w:t xml:space="preserve"> acquired the domain name </w:t>
      </w:r>
      <w:r w:rsidRPr="00187E37">
        <w:rPr>
          <w:u w:val="single"/>
          <w:lang w:val="en-CA"/>
        </w:rPr>
        <w:t>cabanonsmirabel.com</w:t>
      </w:r>
      <w:r w:rsidRPr="00187E37">
        <w:rPr>
          <w:lang w:val="en-CA"/>
        </w:rPr>
        <w:t xml:space="preserve"> in May 2001, created </w:t>
      </w:r>
      <w:r w:rsidR="00F10504" w:rsidRPr="00187E37">
        <w:rPr>
          <w:lang w:val="en-CA"/>
        </w:rPr>
        <w:t>its</w:t>
      </w:r>
      <w:r w:rsidRPr="00187E37">
        <w:rPr>
          <w:lang w:val="en-CA"/>
        </w:rPr>
        <w:t xml:space="preserve"> website</w:t>
      </w:r>
      <w:r w:rsidR="00867A95">
        <w:rPr>
          <w:lang w:val="en-CA"/>
        </w:rPr>
        <w:t>,</w:t>
      </w:r>
      <w:r w:rsidRPr="00187E37">
        <w:rPr>
          <w:lang w:val="en-CA"/>
        </w:rPr>
        <w:t xml:space="preserve"> and later developed </w:t>
      </w:r>
      <w:r w:rsidR="002667C3">
        <w:rPr>
          <w:lang w:val="en-CA"/>
        </w:rPr>
        <w:t>w</w:t>
      </w:r>
      <w:r w:rsidRPr="00187E37">
        <w:rPr>
          <w:lang w:val="en-CA"/>
        </w:rPr>
        <w:t xml:space="preserve">eb </w:t>
      </w:r>
      <w:r w:rsidR="002667C3">
        <w:rPr>
          <w:lang w:val="en-CA"/>
        </w:rPr>
        <w:t>m</w:t>
      </w:r>
      <w:r w:rsidRPr="00187E37">
        <w:rPr>
          <w:lang w:val="en-CA"/>
        </w:rPr>
        <w:t xml:space="preserve">arketing strategies. </w:t>
      </w:r>
      <w:r w:rsidR="00B41974">
        <w:rPr>
          <w:lang w:val="en-CA"/>
        </w:rPr>
        <w:t xml:space="preserve">The respondent </w:t>
      </w:r>
      <w:r w:rsidRPr="00187E37">
        <w:rPr>
          <w:lang w:val="en-CA"/>
        </w:rPr>
        <w:t>invest</w:t>
      </w:r>
      <w:r w:rsidR="00F10504" w:rsidRPr="00187E37">
        <w:rPr>
          <w:lang w:val="en-CA"/>
        </w:rPr>
        <w:t>ed</w:t>
      </w:r>
      <w:r w:rsidRPr="00187E37">
        <w:rPr>
          <w:lang w:val="en-CA"/>
        </w:rPr>
        <w:t xml:space="preserve"> </w:t>
      </w:r>
      <w:r w:rsidR="008165D3">
        <w:rPr>
          <w:lang w:val="en-CA"/>
        </w:rPr>
        <w:t>large</w:t>
      </w:r>
      <w:r w:rsidR="008165D3" w:rsidRPr="00187E37">
        <w:rPr>
          <w:lang w:val="en-CA"/>
        </w:rPr>
        <w:t xml:space="preserve"> </w:t>
      </w:r>
      <w:r w:rsidRPr="00187E37">
        <w:rPr>
          <w:lang w:val="en-CA"/>
        </w:rPr>
        <w:t xml:space="preserve">sums </w:t>
      </w:r>
      <w:r w:rsidR="008165D3">
        <w:rPr>
          <w:lang w:val="en-CA"/>
        </w:rPr>
        <w:t xml:space="preserve">of money </w:t>
      </w:r>
      <w:r w:rsidR="00867A95">
        <w:rPr>
          <w:lang w:val="en-CA"/>
        </w:rPr>
        <w:t>in</w:t>
      </w:r>
      <w:r w:rsidR="00867A95" w:rsidRPr="00187E37">
        <w:rPr>
          <w:lang w:val="en-CA"/>
        </w:rPr>
        <w:t xml:space="preserve"> promot</w:t>
      </w:r>
      <w:r w:rsidR="00867A95">
        <w:rPr>
          <w:lang w:val="en-CA"/>
        </w:rPr>
        <w:t>ing</w:t>
      </w:r>
      <w:r w:rsidR="00867A95" w:rsidRPr="00187E37">
        <w:rPr>
          <w:lang w:val="en-CA"/>
        </w:rPr>
        <w:t xml:space="preserve"> </w:t>
      </w:r>
      <w:r w:rsidRPr="00187E37">
        <w:rPr>
          <w:lang w:val="en-CA"/>
        </w:rPr>
        <w:t>its company, its products</w:t>
      </w:r>
      <w:r w:rsidR="00826393">
        <w:rPr>
          <w:lang w:val="en-CA"/>
        </w:rPr>
        <w:t>,</w:t>
      </w:r>
      <w:r w:rsidRPr="00187E37">
        <w:rPr>
          <w:lang w:val="en-CA"/>
        </w:rPr>
        <w:t xml:space="preserve"> and its services.</w:t>
      </w:r>
    </w:p>
    <w:p w14:paraId="34C2A0A8" w14:textId="77777777" w:rsidR="00F10504" w:rsidRPr="00187E37" w:rsidRDefault="00F10504" w:rsidP="00925E16">
      <w:pPr>
        <w:pStyle w:val="Paragraphe"/>
        <w:spacing w:line="240" w:lineRule="auto"/>
        <w:rPr>
          <w:lang w:val="en-CA"/>
        </w:rPr>
      </w:pPr>
      <w:r w:rsidRPr="00187E37">
        <w:rPr>
          <w:lang w:val="en-CA"/>
        </w:rPr>
        <w:t xml:space="preserve">The appellant Cabanons Fontaine </w:t>
      </w:r>
      <w:r w:rsidR="00BF345A" w:rsidRPr="00187E37">
        <w:rPr>
          <w:lang w:val="en-CA"/>
        </w:rPr>
        <w:t>i</w:t>
      </w:r>
      <w:r w:rsidRPr="00187E37">
        <w:rPr>
          <w:lang w:val="en-CA"/>
        </w:rPr>
        <w:t xml:space="preserve">nc. has been </w:t>
      </w:r>
      <w:r w:rsidR="00826393">
        <w:rPr>
          <w:lang w:val="en-CA"/>
        </w:rPr>
        <w:t xml:space="preserve">in the business of </w:t>
      </w:r>
      <w:r w:rsidR="00BF345A" w:rsidRPr="00187E37">
        <w:rPr>
          <w:lang w:val="en-CA"/>
        </w:rPr>
        <w:t>manufacturing</w:t>
      </w:r>
      <w:r w:rsidRPr="00187E37">
        <w:rPr>
          <w:lang w:val="en-CA"/>
        </w:rPr>
        <w:t xml:space="preserve"> and </w:t>
      </w:r>
      <w:r w:rsidR="00BF345A" w:rsidRPr="00187E37">
        <w:rPr>
          <w:lang w:val="en-CA"/>
        </w:rPr>
        <w:t>distributing</w:t>
      </w:r>
      <w:r w:rsidRPr="00187E37">
        <w:rPr>
          <w:lang w:val="en-CA"/>
        </w:rPr>
        <w:t xml:space="preserve"> sheds and garages since 1976. Its territory extends from Rimouski to Cornwall, </w:t>
      </w:r>
      <w:r w:rsidR="002667C3">
        <w:rPr>
          <w:lang w:val="en-CA"/>
        </w:rPr>
        <w:t>passing</w:t>
      </w:r>
      <w:r w:rsidR="00BF345A" w:rsidRPr="00187E37">
        <w:rPr>
          <w:lang w:val="en-CA"/>
        </w:rPr>
        <w:t xml:space="preserve"> through</w:t>
      </w:r>
      <w:r w:rsidRPr="00187E37">
        <w:rPr>
          <w:lang w:val="en-CA"/>
        </w:rPr>
        <w:t xml:space="preserve"> Shawinigan. It owns the registered trademark CABANONS FONTAINE INC. &amp; DESSIN and </w:t>
      </w:r>
      <w:r w:rsidR="002667C3">
        <w:rPr>
          <w:lang w:val="en-CA"/>
        </w:rPr>
        <w:t>owns</w:t>
      </w:r>
      <w:r w:rsidRPr="00187E37">
        <w:rPr>
          <w:lang w:val="en-CA"/>
        </w:rPr>
        <w:t xml:space="preserve"> several domain names redirected to its main </w:t>
      </w:r>
      <w:r w:rsidR="00BF345A" w:rsidRPr="00187E37">
        <w:rPr>
          <w:lang w:val="en-CA"/>
        </w:rPr>
        <w:t>web</w:t>
      </w:r>
      <w:r w:rsidRPr="00187E37">
        <w:rPr>
          <w:lang w:val="en-CA"/>
        </w:rPr>
        <w:t xml:space="preserve">site, </w:t>
      </w:r>
      <w:r w:rsidRPr="00187E37">
        <w:rPr>
          <w:u w:val="single"/>
          <w:lang w:val="en-CA"/>
        </w:rPr>
        <w:t>cabanons.com</w:t>
      </w:r>
      <w:r w:rsidRPr="00187E37">
        <w:rPr>
          <w:lang w:val="en-CA"/>
        </w:rPr>
        <w:t>.</w:t>
      </w:r>
    </w:p>
    <w:p w14:paraId="299A2E11" w14:textId="77777777" w:rsidR="00BF345A" w:rsidRPr="00187E37" w:rsidRDefault="00BF345A" w:rsidP="00925E16">
      <w:pPr>
        <w:pStyle w:val="Paragraphe"/>
        <w:spacing w:line="240" w:lineRule="auto"/>
        <w:rPr>
          <w:lang w:val="en-CA"/>
        </w:rPr>
      </w:pPr>
      <w:r w:rsidRPr="00187E37">
        <w:rPr>
          <w:lang w:val="en-CA"/>
        </w:rPr>
        <w:t xml:space="preserve">In 2000, Cabanons Fontaine </w:t>
      </w:r>
      <w:r w:rsidR="00473533">
        <w:rPr>
          <w:lang w:val="en-CA"/>
        </w:rPr>
        <w:t>set up</w:t>
      </w:r>
      <w:r w:rsidR="00473533" w:rsidRPr="00187E37">
        <w:rPr>
          <w:lang w:val="en-CA"/>
        </w:rPr>
        <w:t xml:space="preserve"> </w:t>
      </w:r>
      <w:r w:rsidR="00473533">
        <w:rPr>
          <w:lang w:val="en-CA"/>
        </w:rPr>
        <w:t>business in</w:t>
      </w:r>
      <w:r w:rsidR="00473533" w:rsidRPr="00187E37">
        <w:rPr>
          <w:lang w:val="en-CA"/>
        </w:rPr>
        <w:t xml:space="preserve"> </w:t>
      </w:r>
      <w:r w:rsidRPr="00187E37">
        <w:rPr>
          <w:lang w:val="en-CA"/>
        </w:rPr>
        <w:t xml:space="preserve">the Mirabel </w:t>
      </w:r>
      <w:r w:rsidR="00D51464">
        <w:rPr>
          <w:lang w:val="en-CA"/>
        </w:rPr>
        <w:t>area</w:t>
      </w:r>
      <w:r w:rsidR="00D51464" w:rsidRPr="00187E37">
        <w:rPr>
          <w:lang w:val="en-CA"/>
        </w:rPr>
        <w:t xml:space="preserve"> </w:t>
      </w:r>
      <w:r w:rsidRPr="00187E37">
        <w:rPr>
          <w:lang w:val="en-CA"/>
        </w:rPr>
        <w:t xml:space="preserve">by </w:t>
      </w:r>
      <w:r w:rsidR="00D51464">
        <w:rPr>
          <w:lang w:val="en-CA"/>
        </w:rPr>
        <w:t>partnering</w:t>
      </w:r>
      <w:r w:rsidRPr="00187E37">
        <w:rPr>
          <w:lang w:val="en-CA"/>
        </w:rPr>
        <w:t xml:space="preserve"> with the appellant Cabanons et Garages Fontaine Mirabel inc. (then Meuble de Jardins Mirabel inc.), before acquiring it in 2006 and changing its name. Garages Fontaine Mirabel acts as distributor of Cabanons Fontaine products in the Mirabel </w:t>
      </w:r>
      <w:r w:rsidR="00D51464">
        <w:rPr>
          <w:lang w:val="en-CA"/>
        </w:rPr>
        <w:t>area</w:t>
      </w:r>
      <w:r w:rsidRPr="00187E37">
        <w:rPr>
          <w:lang w:val="en-CA"/>
        </w:rPr>
        <w:t>.</w:t>
      </w:r>
    </w:p>
    <w:p w14:paraId="1AE5FE45" w14:textId="77777777" w:rsidR="00BF345A" w:rsidRPr="00187E37" w:rsidRDefault="00BF345A" w:rsidP="00925E16">
      <w:pPr>
        <w:pStyle w:val="Paragraphe"/>
        <w:spacing w:line="240" w:lineRule="auto"/>
        <w:rPr>
          <w:lang w:val="en-CA"/>
        </w:rPr>
      </w:pPr>
      <w:r w:rsidRPr="00187E37">
        <w:rPr>
          <w:lang w:val="en-CA"/>
        </w:rPr>
        <w:t xml:space="preserve">On February 14, 2017, through its </w:t>
      </w:r>
      <w:r w:rsidR="002B1CF4">
        <w:rPr>
          <w:lang w:val="en-CA"/>
        </w:rPr>
        <w:t>information systems</w:t>
      </w:r>
      <w:r w:rsidR="002B1CF4" w:rsidRPr="00187E37">
        <w:rPr>
          <w:lang w:val="en-CA"/>
        </w:rPr>
        <w:t xml:space="preserve"> </w:t>
      </w:r>
      <w:r w:rsidRPr="00187E37">
        <w:rPr>
          <w:lang w:val="en-CA"/>
        </w:rPr>
        <w:t xml:space="preserve">consultant Groupe CDGI, </w:t>
      </w:r>
      <w:r w:rsidR="00723D58">
        <w:rPr>
          <w:lang w:val="en-CA"/>
        </w:rPr>
        <w:t xml:space="preserve">the </w:t>
      </w:r>
      <w:r w:rsidR="00D51464" w:rsidRPr="00B20C73">
        <w:rPr>
          <w:lang w:val="en-CA"/>
        </w:rPr>
        <w:t>implead</w:t>
      </w:r>
      <w:r w:rsidR="00473533">
        <w:rPr>
          <w:lang w:val="en-CA"/>
        </w:rPr>
        <w:t>ed</w:t>
      </w:r>
      <w:r w:rsidR="00723D58">
        <w:rPr>
          <w:lang w:val="en-CA"/>
        </w:rPr>
        <w:t xml:space="preserve"> party</w:t>
      </w:r>
      <w:r w:rsidRPr="00187E37">
        <w:rPr>
          <w:lang w:val="en-CA"/>
        </w:rPr>
        <w:t>, Cabanons Fontaine registered several domain names</w:t>
      </w:r>
      <w:r w:rsidR="00723D58">
        <w:rPr>
          <w:lang w:val="en-CA"/>
        </w:rPr>
        <w:t>,</w:t>
      </w:r>
      <w:r w:rsidRPr="00187E37">
        <w:rPr>
          <w:lang w:val="en-CA"/>
        </w:rPr>
        <w:t xml:space="preserve"> including </w:t>
      </w:r>
      <w:r w:rsidRPr="00187E37">
        <w:rPr>
          <w:u w:val="single"/>
          <w:lang w:val="en-CA"/>
        </w:rPr>
        <w:t>cabanonmirabel.com</w:t>
      </w:r>
      <w:r w:rsidRPr="00187E37">
        <w:rPr>
          <w:lang w:val="en-CA"/>
        </w:rPr>
        <w:t xml:space="preserve">, </w:t>
      </w:r>
      <w:r w:rsidRPr="00187E37">
        <w:rPr>
          <w:u w:val="single"/>
          <w:lang w:val="en-CA"/>
        </w:rPr>
        <w:t>cabanonsmirabel.ca</w:t>
      </w:r>
      <w:r w:rsidR="002B1CF4">
        <w:rPr>
          <w:u w:val="single"/>
          <w:lang w:val="en-CA"/>
        </w:rPr>
        <w:t>,</w:t>
      </w:r>
      <w:r w:rsidRPr="00187E37">
        <w:rPr>
          <w:lang w:val="en-CA"/>
        </w:rPr>
        <w:t xml:space="preserve"> and </w:t>
      </w:r>
      <w:r w:rsidRPr="00187E37">
        <w:rPr>
          <w:u w:val="single"/>
          <w:lang w:val="en-CA"/>
        </w:rPr>
        <w:t>garagescabanonsmirabel.com</w:t>
      </w:r>
      <w:r w:rsidR="002B1CF4" w:rsidRPr="00275EDC">
        <w:rPr>
          <w:lang w:val="en-CA"/>
        </w:rPr>
        <w:t>,</w:t>
      </w:r>
      <w:r w:rsidRPr="002B1CF4">
        <w:rPr>
          <w:lang w:val="en-CA"/>
        </w:rPr>
        <w:t xml:space="preserve"> </w:t>
      </w:r>
      <w:r w:rsidRPr="00187E37">
        <w:rPr>
          <w:lang w:val="en-CA"/>
        </w:rPr>
        <w:t>which it uses to redirect consumers to its main website.</w:t>
      </w:r>
    </w:p>
    <w:p w14:paraId="04586A79" w14:textId="77777777" w:rsidR="006F301E" w:rsidRPr="00187E37" w:rsidRDefault="006F301E" w:rsidP="00925E16">
      <w:pPr>
        <w:pStyle w:val="Paragraphe"/>
        <w:spacing w:line="240" w:lineRule="auto"/>
        <w:rPr>
          <w:lang w:val="en-CA"/>
        </w:rPr>
      </w:pPr>
      <w:r w:rsidRPr="00187E37">
        <w:rPr>
          <w:lang w:val="en-CA"/>
        </w:rPr>
        <w:lastRenderedPageBreak/>
        <w:t xml:space="preserve">On August 10, 2017, the respondent </w:t>
      </w:r>
      <w:r w:rsidR="002667C3">
        <w:rPr>
          <w:lang w:val="en-CA"/>
        </w:rPr>
        <w:t>filed a</w:t>
      </w:r>
      <w:r w:rsidRPr="00187E37">
        <w:rPr>
          <w:lang w:val="en-CA"/>
        </w:rPr>
        <w:t xml:space="preserve"> passing</w:t>
      </w:r>
      <w:r w:rsidR="002667C3">
        <w:rPr>
          <w:lang w:val="en-CA"/>
        </w:rPr>
        <w:t>-</w:t>
      </w:r>
      <w:r w:rsidRPr="00187E37">
        <w:rPr>
          <w:lang w:val="en-CA"/>
        </w:rPr>
        <w:t>off</w:t>
      </w:r>
      <w:r w:rsidR="002667C3" w:rsidRPr="002667C3">
        <w:rPr>
          <w:lang w:val="en-CA"/>
        </w:rPr>
        <w:t xml:space="preserve"> </w:t>
      </w:r>
      <w:r w:rsidR="002667C3" w:rsidRPr="00187E37">
        <w:rPr>
          <w:lang w:val="en-CA"/>
        </w:rPr>
        <w:t>action</w:t>
      </w:r>
      <w:r w:rsidRPr="00187E37">
        <w:rPr>
          <w:lang w:val="en-CA"/>
        </w:rPr>
        <w:t xml:space="preserve">. At the provisional stage, the parties </w:t>
      </w:r>
      <w:r w:rsidR="00E05496">
        <w:rPr>
          <w:lang w:val="en-CA"/>
        </w:rPr>
        <w:t>entered</w:t>
      </w:r>
      <w:r w:rsidRPr="00187E37">
        <w:rPr>
          <w:lang w:val="en-CA"/>
        </w:rPr>
        <w:t xml:space="preserve"> a</w:t>
      </w:r>
      <w:r w:rsidR="0013537E">
        <w:rPr>
          <w:lang w:val="en-CA"/>
        </w:rPr>
        <w:t>n</w:t>
      </w:r>
      <w:r w:rsidRPr="00187E37">
        <w:rPr>
          <w:lang w:val="en-CA"/>
        </w:rPr>
        <w:t xml:space="preserve"> </w:t>
      </w:r>
      <w:r w:rsidR="00E05496">
        <w:rPr>
          <w:lang w:val="en-CA"/>
        </w:rPr>
        <w:t>agreement</w:t>
      </w:r>
      <w:r w:rsidR="00825674">
        <w:rPr>
          <w:lang w:val="en-CA"/>
        </w:rPr>
        <w:t>, which was</w:t>
      </w:r>
      <w:r w:rsidR="00825674" w:rsidRPr="00187E37">
        <w:rPr>
          <w:lang w:val="en-CA"/>
        </w:rPr>
        <w:t xml:space="preserve"> </w:t>
      </w:r>
      <w:r w:rsidR="00E05496">
        <w:rPr>
          <w:lang w:val="en-CA"/>
        </w:rPr>
        <w:t>ratified</w:t>
      </w:r>
      <w:r w:rsidR="00E05496" w:rsidRPr="00187E37">
        <w:rPr>
          <w:lang w:val="en-CA"/>
        </w:rPr>
        <w:t xml:space="preserve"> </w:t>
      </w:r>
      <w:r w:rsidRPr="00187E37">
        <w:rPr>
          <w:lang w:val="en-CA"/>
        </w:rPr>
        <w:t xml:space="preserve">on August 16, 2017, </w:t>
      </w:r>
      <w:r w:rsidR="00825674">
        <w:rPr>
          <w:lang w:val="en-CA"/>
        </w:rPr>
        <w:t>and subsequently</w:t>
      </w:r>
      <w:r w:rsidR="00825674" w:rsidRPr="00187E37">
        <w:rPr>
          <w:lang w:val="en-CA"/>
        </w:rPr>
        <w:t xml:space="preserve"> </w:t>
      </w:r>
      <w:r w:rsidRPr="00187E37">
        <w:rPr>
          <w:lang w:val="en-CA"/>
        </w:rPr>
        <w:t xml:space="preserve">renewed until final judgment, </w:t>
      </w:r>
      <w:r w:rsidR="00723D58">
        <w:rPr>
          <w:lang w:val="en-CA"/>
        </w:rPr>
        <w:t>whereby</w:t>
      </w:r>
      <w:r w:rsidRPr="00187E37">
        <w:rPr>
          <w:lang w:val="en-CA"/>
        </w:rPr>
        <w:t xml:space="preserve"> Cabanons Fontaine </w:t>
      </w:r>
      <w:r w:rsidR="00825674">
        <w:rPr>
          <w:lang w:val="en-CA"/>
        </w:rPr>
        <w:t xml:space="preserve">agreed </w:t>
      </w:r>
      <w:r w:rsidRPr="00187E37">
        <w:rPr>
          <w:lang w:val="en-CA"/>
        </w:rPr>
        <w:t xml:space="preserve">to deactivate the </w:t>
      </w:r>
      <w:r w:rsidR="00825674" w:rsidRPr="00187E37">
        <w:rPr>
          <w:lang w:val="en-CA"/>
        </w:rPr>
        <w:t xml:space="preserve">websites </w:t>
      </w:r>
      <w:r w:rsidRPr="00187E37">
        <w:rPr>
          <w:u w:val="single"/>
          <w:lang w:val="en-CA"/>
        </w:rPr>
        <w:t>cabanonmirabel.com</w:t>
      </w:r>
      <w:r w:rsidRPr="00187E37">
        <w:rPr>
          <w:lang w:val="en-CA"/>
        </w:rPr>
        <w:t xml:space="preserve"> and </w:t>
      </w:r>
      <w:r w:rsidRPr="00187E37">
        <w:rPr>
          <w:u w:val="single"/>
          <w:lang w:val="en-CA"/>
        </w:rPr>
        <w:t>cabanonsmirabel.ca</w:t>
      </w:r>
      <w:r w:rsidRPr="00187E37">
        <w:rPr>
          <w:lang w:val="en-CA"/>
        </w:rPr>
        <w:t xml:space="preserve"> and not to use, reserve</w:t>
      </w:r>
      <w:r w:rsidR="00825674">
        <w:rPr>
          <w:lang w:val="en-CA"/>
        </w:rPr>
        <w:t>,</w:t>
      </w:r>
      <w:r w:rsidRPr="00187E37">
        <w:rPr>
          <w:lang w:val="en-CA"/>
        </w:rPr>
        <w:t xml:space="preserve"> or acquire any domain name </w:t>
      </w:r>
      <w:r w:rsidR="00825674">
        <w:rPr>
          <w:lang w:val="en-CA"/>
        </w:rPr>
        <w:t>that includes</w:t>
      </w:r>
      <w:r w:rsidR="00825674" w:rsidRPr="00187E37">
        <w:rPr>
          <w:lang w:val="en-CA"/>
        </w:rPr>
        <w:t xml:space="preserve"> </w:t>
      </w:r>
      <w:r w:rsidRPr="00187E37">
        <w:rPr>
          <w:lang w:val="en-CA"/>
        </w:rPr>
        <w:t xml:space="preserve">“cabanon(s) mirabel”. By mutual agreement, the action </w:t>
      </w:r>
      <w:r w:rsidR="002667C3">
        <w:rPr>
          <w:lang w:val="en-CA"/>
        </w:rPr>
        <w:t>was</w:t>
      </w:r>
      <w:r w:rsidRPr="00187E37">
        <w:rPr>
          <w:lang w:val="en-CA"/>
        </w:rPr>
        <w:t xml:space="preserve"> </w:t>
      </w:r>
      <w:r w:rsidR="002D1E95">
        <w:rPr>
          <w:lang w:val="en-CA"/>
        </w:rPr>
        <w:t>split</w:t>
      </w:r>
      <w:r w:rsidR="002667C3" w:rsidRPr="00187E37">
        <w:rPr>
          <w:lang w:val="en-CA"/>
        </w:rPr>
        <w:t>,</w:t>
      </w:r>
      <w:r w:rsidRPr="00187E37">
        <w:rPr>
          <w:lang w:val="en-CA"/>
        </w:rPr>
        <w:t xml:space="preserve"> and the parties proceed</w:t>
      </w:r>
      <w:r w:rsidR="002667C3">
        <w:rPr>
          <w:lang w:val="en-CA"/>
        </w:rPr>
        <w:t>ed</w:t>
      </w:r>
      <w:r w:rsidRPr="00187E37">
        <w:rPr>
          <w:lang w:val="en-CA"/>
        </w:rPr>
        <w:t xml:space="preserve"> </w:t>
      </w:r>
      <w:r w:rsidR="00F10839" w:rsidRPr="00187E37">
        <w:rPr>
          <w:lang w:val="en-CA"/>
        </w:rPr>
        <w:t>before Lucas</w:t>
      </w:r>
      <w:r w:rsidR="00F10839">
        <w:rPr>
          <w:lang w:val="en-CA"/>
        </w:rPr>
        <w:t xml:space="preserve"> J.</w:t>
      </w:r>
      <w:r w:rsidR="00F10839" w:rsidRPr="00187E37">
        <w:rPr>
          <w:lang w:val="en-CA"/>
        </w:rPr>
        <w:t xml:space="preserve"> </w:t>
      </w:r>
      <w:r w:rsidRPr="00187E37">
        <w:rPr>
          <w:lang w:val="en-CA"/>
        </w:rPr>
        <w:t xml:space="preserve">on the issues </w:t>
      </w:r>
      <w:r w:rsidR="00F10839">
        <w:rPr>
          <w:lang w:val="en-CA"/>
        </w:rPr>
        <w:t>of</w:t>
      </w:r>
      <w:r w:rsidRPr="00187E37">
        <w:rPr>
          <w:lang w:val="en-CA"/>
        </w:rPr>
        <w:t xml:space="preserve"> fault, liability, confusion</w:t>
      </w:r>
      <w:r w:rsidR="00F10839">
        <w:rPr>
          <w:lang w:val="en-CA"/>
        </w:rPr>
        <w:t>,</w:t>
      </w:r>
      <w:r w:rsidRPr="00187E37">
        <w:rPr>
          <w:lang w:val="en-CA"/>
        </w:rPr>
        <w:t xml:space="preserve"> and the right to a permanent injunction. The quantification of damage</w:t>
      </w:r>
      <w:r w:rsidR="00F10839">
        <w:rPr>
          <w:lang w:val="en-CA"/>
        </w:rPr>
        <w:t>s</w:t>
      </w:r>
      <w:r w:rsidRPr="00187E37">
        <w:rPr>
          <w:lang w:val="en-CA"/>
        </w:rPr>
        <w:t xml:space="preserve"> will be </w:t>
      </w:r>
      <w:r w:rsidR="00F10839">
        <w:rPr>
          <w:lang w:val="en-CA"/>
        </w:rPr>
        <w:t xml:space="preserve">the </w:t>
      </w:r>
      <w:r w:rsidRPr="00187E37">
        <w:rPr>
          <w:lang w:val="en-CA"/>
        </w:rPr>
        <w:t xml:space="preserve">subject </w:t>
      </w:r>
      <w:r w:rsidR="00F10839">
        <w:rPr>
          <w:lang w:val="en-CA"/>
        </w:rPr>
        <w:t>of</w:t>
      </w:r>
      <w:r w:rsidR="00F10839" w:rsidRPr="00187E37">
        <w:rPr>
          <w:lang w:val="en-CA"/>
        </w:rPr>
        <w:t xml:space="preserve"> </w:t>
      </w:r>
      <w:r w:rsidRPr="00187E37">
        <w:rPr>
          <w:lang w:val="en-CA"/>
        </w:rPr>
        <w:t>a second trial</w:t>
      </w:r>
      <w:r w:rsidR="002667C3">
        <w:rPr>
          <w:lang w:val="en-CA"/>
        </w:rPr>
        <w:t>,</w:t>
      </w:r>
      <w:r w:rsidRPr="00187E37">
        <w:rPr>
          <w:lang w:val="en-CA"/>
        </w:rPr>
        <w:t xml:space="preserve"> if necessary.</w:t>
      </w:r>
    </w:p>
    <w:p w14:paraId="4EF9496C" w14:textId="77777777" w:rsidR="005110B7" w:rsidRPr="00187E37" w:rsidRDefault="006F301E" w:rsidP="00925E16">
      <w:pPr>
        <w:pStyle w:val="Paragraphe"/>
        <w:numPr>
          <w:ilvl w:val="0"/>
          <w:numId w:val="0"/>
        </w:numPr>
        <w:spacing w:line="240" w:lineRule="auto"/>
        <w:rPr>
          <w:b/>
          <w:lang w:val="en-CA"/>
        </w:rPr>
      </w:pPr>
      <w:r w:rsidRPr="00187E37">
        <w:rPr>
          <w:b/>
          <w:lang w:val="en-CA"/>
        </w:rPr>
        <w:t xml:space="preserve">JUDGMENT </w:t>
      </w:r>
      <w:r w:rsidR="00D83EC3">
        <w:rPr>
          <w:b/>
          <w:lang w:val="en-CA"/>
        </w:rPr>
        <w:t>UNDER APPEAL</w:t>
      </w:r>
    </w:p>
    <w:p w14:paraId="4C82872E" w14:textId="77777777" w:rsidR="006F301E" w:rsidRPr="00187E37" w:rsidRDefault="006F301E" w:rsidP="00925E16">
      <w:pPr>
        <w:pStyle w:val="Paragraphe"/>
        <w:spacing w:line="240" w:lineRule="auto"/>
        <w:rPr>
          <w:lang w:val="en-CA"/>
        </w:rPr>
      </w:pPr>
      <w:r w:rsidRPr="00187E37">
        <w:rPr>
          <w:lang w:val="en-CA"/>
        </w:rPr>
        <w:t xml:space="preserve">The judge </w:t>
      </w:r>
      <w:r w:rsidR="00EB2476">
        <w:rPr>
          <w:lang w:val="en-CA"/>
        </w:rPr>
        <w:t>noted</w:t>
      </w:r>
      <w:r w:rsidRPr="00187E37">
        <w:rPr>
          <w:lang w:val="en-CA"/>
        </w:rPr>
        <w:t xml:space="preserve"> that </w:t>
      </w:r>
      <w:r w:rsidR="00EB2476">
        <w:rPr>
          <w:lang w:val="en-CA"/>
        </w:rPr>
        <w:t>a</w:t>
      </w:r>
      <w:r w:rsidR="00EB2476" w:rsidRPr="00187E37">
        <w:rPr>
          <w:lang w:val="en-CA"/>
        </w:rPr>
        <w:t xml:space="preserve"> </w:t>
      </w:r>
      <w:r w:rsidRPr="00187E37">
        <w:rPr>
          <w:lang w:val="en-CA"/>
        </w:rPr>
        <w:t>passing</w:t>
      </w:r>
      <w:r w:rsidR="002667C3">
        <w:rPr>
          <w:lang w:val="en-CA"/>
        </w:rPr>
        <w:t>-</w:t>
      </w:r>
      <w:r w:rsidRPr="00187E37">
        <w:rPr>
          <w:lang w:val="en-CA"/>
        </w:rPr>
        <w:t xml:space="preserve">off action is based on </w:t>
      </w:r>
      <w:r w:rsidR="00BD57F1" w:rsidRPr="00187E37">
        <w:rPr>
          <w:lang w:val="en-CA"/>
        </w:rPr>
        <w:t xml:space="preserve">both </w:t>
      </w:r>
      <w:r w:rsidRPr="00187E37">
        <w:rPr>
          <w:lang w:val="en-CA"/>
        </w:rPr>
        <w:t xml:space="preserve">section 7(b) </w:t>
      </w:r>
      <w:r w:rsidR="002667C3">
        <w:rPr>
          <w:lang w:val="en-CA"/>
        </w:rPr>
        <w:t xml:space="preserve">of the </w:t>
      </w:r>
      <w:r w:rsidRPr="00296589">
        <w:rPr>
          <w:i/>
          <w:iCs/>
          <w:lang w:val="en-CA"/>
        </w:rPr>
        <w:t>T</w:t>
      </w:r>
      <w:r w:rsidR="00E22142">
        <w:rPr>
          <w:i/>
          <w:iCs/>
          <w:lang w:val="en-CA"/>
        </w:rPr>
        <w:t>.</w:t>
      </w:r>
      <w:r w:rsidRPr="00296589">
        <w:rPr>
          <w:i/>
          <w:iCs/>
          <w:lang w:val="en-CA"/>
        </w:rPr>
        <w:t>A</w:t>
      </w:r>
      <w:r w:rsidR="00E22142">
        <w:rPr>
          <w:i/>
          <w:iCs/>
          <w:lang w:val="en-CA"/>
        </w:rPr>
        <w:t>.</w:t>
      </w:r>
      <w:r w:rsidRPr="00187E37">
        <w:rPr>
          <w:lang w:val="en-CA"/>
        </w:rPr>
        <w:t xml:space="preserve"> and the general principles of civil liability </w:t>
      </w:r>
      <w:r w:rsidR="00BD57F1">
        <w:rPr>
          <w:lang w:val="en-CA"/>
        </w:rPr>
        <w:t>under</w:t>
      </w:r>
      <w:r w:rsidR="00BD57F1" w:rsidRPr="00187E37">
        <w:rPr>
          <w:lang w:val="en-CA"/>
        </w:rPr>
        <w:t xml:space="preserve"> </w:t>
      </w:r>
      <w:r w:rsidRPr="00187E37">
        <w:rPr>
          <w:lang w:val="en-CA"/>
        </w:rPr>
        <w:t>article 1457 C</w:t>
      </w:r>
      <w:r w:rsidR="00E22142">
        <w:rPr>
          <w:lang w:val="en-CA"/>
        </w:rPr>
        <w:t>.</w:t>
      </w:r>
      <w:r w:rsidRPr="00187E37">
        <w:rPr>
          <w:lang w:val="en-CA"/>
        </w:rPr>
        <w:t>C</w:t>
      </w:r>
      <w:r w:rsidR="00E22142">
        <w:rPr>
          <w:lang w:val="en-CA"/>
        </w:rPr>
        <w:t>.</w:t>
      </w:r>
      <w:r w:rsidRPr="00187E37">
        <w:rPr>
          <w:lang w:val="en-CA"/>
        </w:rPr>
        <w:t xml:space="preserve">Q. She applied the </w:t>
      </w:r>
      <w:r w:rsidR="00A07F85">
        <w:rPr>
          <w:lang w:val="en-CA"/>
        </w:rPr>
        <w:t>requirements</w:t>
      </w:r>
      <w:r w:rsidR="0069445E">
        <w:rPr>
          <w:lang w:val="en-CA"/>
        </w:rPr>
        <w:t xml:space="preserve"> for </w:t>
      </w:r>
      <w:r w:rsidRPr="00187E37">
        <w:rPr>
          <w:lang w:val="en-CA"/>
        </w:rPr>
        <w:t xml:space="preserve">this action as set out in the </w:t>
      </w:r>
      <w:r w:rsidR="008D1D53">
        <w:rPr>
          <w:lang w:val="en-CA"/>
        </w:rPr>
        <w:t>leading</w:t>
      </w:r>
      <w:r w:rsidRPr="00187E37">
        <w:rPr>
          <w:lang w:val="en-CA"/>
        </w:rPr>
        <w:t xml:space="preserve"> case </w:t>
      </w:r>
      <w:r w:rsidRPr="00187E37">
        <w:rPr>
          <w:i/>
          <w:lang w:val="en-CA"/>
        </w:rPr>
        <w:t xml:space="preserve">Ciba-Geigy Canada Ltd. </w:t>
      </w:r>
      <w:r w:rsidR="00A016CD">
        <w:rPr>
          <w:i/>
          <w:lang w:val="en-CA"/>
        </w:rPr>
        <w:t>v</w:t>
      </w:r>
      <w:r w:rsidRPr="00187E37">
        <w:rPr>
          <w:i/>
          <w:lang w:val="en-CA"/>
        </w:rPr>
        <w:t>. Apotex Inc.</w:t>
      </w:r>
      <w:r w:rsidR="0069445E">
        <w:rPr>
          <w:iCs/>
          <w:lang w:val="en-CA"/>
        </w:rPr>
        <w:t>,</w:t>
      </w:r>
      <w:r w:rsidRPr="00187E37">
        <w:rPr>
          <w:rStyle w:val="Appelnotedebasdep"/>
          <w:lang w:val="en-CA"/>
        </w:rPr>
        <w:footnoteReference w:id="3"/>
      </w:r>
      <w:r w:rsidRPr="00187E37">
        <w:rPr>
          <w:lang w:val="en-CA"/>
        </w:rPr>
        <w:t xml:space="preserve"> </w:t>
      </w:r>
      <w:r w:rsidR="00D561FE">
        <w:rPr>
          <w:lang w:val="en-CA"/>
        </w:rPr>
        <w:t>namely</w:t>
      </w:r>
      <w:r w:rsidRPr="00187E37">
        <w:rPr>
          <w:lang w:val="en-CA"/>
        </w:rPr>
        <w:t xml:space="preserve">: (1) </w:t>
      </w:r>
      <w:r w:rsidR="002E2ED5">
        <w:rPr>
          <w:lang w:val="en-CA"/>
        </w:rPr>
        <w:t xml:space="preserve">the </w:t>
      </w:r>
      <w:r w:rsidRPr="00187E37">
        <w:rPr>
          <w:lang w:val="en-CA"/>
        </w:rPr>
        <w:t>existence of goodwill</w:t>
      </w:r>
      <w:r w:rsidR="00D561FE">
        <w:rPr>
          <w:lang w:val="en-CA"/>
        </w:rPr>
        <w:t>;</w:t>
      </w:r>
      <w:r w:rsidR="00D561FE" w:rsidRPr="00187E37">
        <w:rPr>
          <w:lang w:val="en-CA"/>
        </w:rPr>
        <w:t xml:space="preserve"> </w:t>
      </w:r>
      <w:r w:rsidRPr="00187E37">
        <w:rPr>
          <w:lang w:val="en-CA"/>
        </w:rPr>
        <w:t>(2) deception of the public</w:t>
      </w:r>
      <w:r w:rsidR="00D561FE">
        <w:rPr>
          <w:lang w:val="en-CA"/>
        </w:rPr>
        <w:t>;</w:t>
      </w:r>
      <w:r w:rsidR="00D561FE" w:rsidRPr="00187E37">
        <w:rPr>
          <w:lang w:val="en-CA"/>
        </w:rPr>
        <w:t xml:space="preserve"> </w:t>
      </w:r>
      <w:r w:rsidRPr="00187E37">
        <w:rPr>
          <w:lang w:val="en-CA"/>
        </w:rPr>
        <w:t>and (3) actual or potential damage.</w:t>
      </w:r>
    </w:p>
    <w:p w14:paraId="4688CC79" w14:textId="77777777" w:rsidR="00E528B1" w:rsidRPr="00187E37" w:rsidRDefault="00D55D2C" w:rsidP="00925E16">
      <w:pPr>
        <w:pStyle w:val="Paragraphe"/>
        <w:spacing w:line="240" w:lineRule="auto"/>
        <w:rPr>
          <w:lang w:val="en-CA"/>
        </w:rPr>
      </w:pPr>
      <w:r>
        <w:rPr>
          <w:lang w:val="en-CA"/>
        </w:rPr>
        <w:t>Regarding</w:t>
      </w:r>
      <w:r w:rsidR="00E528B1" w:rsidRPr="00187E37">
        <w:rPr>
          <w:lang w:val="en-CA"/>
        </w:rPr>
        <w:t xml:space="preserve"> the first </w:t>
      </w:r>
      <w:r>
        <w:rPr>
          <w:lang w:val="en-CA"/>
        </w:rPr>
        <w:t>requirement</w:t>
      </w:r>
      <w:r w:rsidR="00E528B1" w:rsidRPr="00187E37">
        <w:rPr>
          <w:lang w:val="en-CA"/>
        </w:rPr>
        <w:t xml:space="preserve">, the judge recognized that the respondent does not </w:t>
      </w:r>
      <w:r w:rsidR="002667C3">
        <w:rPr>
          <w:lang w:val="en-CA"/>
        </w:rPr>
        <w:t>own</w:t>
      </w:r>
      <w:r w:rsidR="00E528B1" w:rsidRPr="00187E37">
        <w:rPr>
          <w:lang w:val="en-CA"/>
        </w:rPr>
        <w:t xml:space="preserve"> a registered trademark and that its trade name CABANONS MIRABEL is made up of descriptive terms related to the respondent</w:t>
      </w:r>
      <w:r w:rsidR="008D5524" w:rsidRPr="00187E37">
        <w:rPr>
          <w:lang w:val="en-CA"/>
        </w:rPr>
        <w:t>’</w:t>
      </w:r>
      <w:r w:rsidR="00E528B1" w:rsidRPr="00187E37">
        <w:rPr>
          <w:lang w:val="en-CA"/>
        </w:rPr>
        <w:t xml:space="preserve">s activities and </w:t>
      </w:r>
      <w:r w:rsidR="00A20A25">
        <w:rPr>
          <w:lang w:val="en-CA"/>
        </w:rPr>
        <w:t>area of operation</w:t>
      </w:r>
      <w:r w:rsidR="002667C3">
        <w:rPr>
          <w:lang w:val="en-CA"/>
        </w:rPr>
        <w:t>,</w:t>
      </w:r>
      <w:r w:rsidR="00E528B1" w:rsidRPr="00187E37">
        <w:rPr>
          <w:lang w:val="en-CA"/>
        </w:rPr>
        <w:t xml:space="preserve"> and that</w:t>
      </w:r>
      <w:r w:rsidR="00A20A25">
        <w:rPr>
          <w:lang w:val="en-CA"/>
        </w:rPr>
        <w:t>,</w:t>
      </w:r>
      <w:r w:rsidR="00E528B1" w:rsidRPr="00187E37">
        <w:rPr>
          <w:lang w:val="en-CA"/>
        </w:rPr>
        <w:t xml:space="preserve"> in principle, such a </w:t>
      </w:r>
      <w:r w:rsidR="002667C3">
        <w:rPr>
          <w:lang w:val="en-CA"/>
        </w:rPr>
        <w:t>mark</w:t>
      </w:r>
      <w:r w:rsidR="00E528B1" w:rsidRPr="00187E37">
        <w:rPr>
          <w:lang w:val="en-CA"/>
        </w:rPr>
        <w:t xml:space="preserve"> cannot be registered under the </w:t>
      </w:r>
      <w:r w:rsidR="00E528B1" w:rsidRPr="00D30E59">
        <w:rPr>
          <w:i/>
          <w:iCs/>
          <w:lang w:val="en-CA"/>
        </w:rPr>
        <w:t>T</w:t>
      </w:r>
      <w:r w:rsidR="00A20A25" w:rsidRPr="00D30E59">
        <w:rPr>
          <w:i/>
          <w:iCs/>
          <w:lang w:val="en-CA"/>
        </w:rPr>
        <w:t>.</w:t>
      </w:r>
      <w:r w:rsidR="00E528B1" w:rsidRPr="00D30E59">
        <w:rPr>
          <w:i/>
          <w:iCs/>
          <w:lang w:val="en-CA"/>
        </w:rPr>
        <w:t>A</w:t>
      </w:r>
      <w:r w:rsidR="00E528B1" w:rsidRPr="00187E37">
        <w:rPr>
          <w:lang w:val="en-CA"/>
        </w:rPr>
        <w:t xml:space="preserve">. However, </w:t>
      </w:r>
      <w:r w:rsidR="002667C3">
        <w:rPr>
          <w:lang w:val="en-CA"/>
        </w:rPr>
        <w:t xml:space="preserve">she </w:t>
      </w:r>
      <w:r w:rsidR="00A20A25">
        <w:rPr>
          <w:lang w:val="en-CA"/>
        </w:rPr>
        <w:t>explained</w:t>
      </w:r>
      <w:r w:rsidR="00A20A25" w:rsidRPr="00187E37">
        <w:rPr>
          <w:lang w:val="en-CA"/>
        </w:rPr>
        <w:t xml:space="preserve"> </w:t>
      </w:r>
      <w:r w:rsidR="00E528B1" w:rsidRPr="00187E37">
        <w:rPr>
          <w:lang w:val="en-CA"/>
        </w:rPr>
        <w:t xml:space="preserve">that a combination of descriptive terms </w:t>
      </w:r>
      <w:r w:rsidR="00851E18">
        <w:rPr>
          <w:lang w:val="en-CA"/>
        </w:rPr>
        <w:t>may</w:t>
      </w:r>
      <w:r w:rsidR="00E528B1" w:rsidRPr="00187E37">
        <w:rPr>
          <w:lang w:val="en-CA"/>
        </w:rPr>
        <w:t xml:space="preserve"> acquire a secondary meaning </w:t>
      </w:r>
      <w:r w:rsidR="00851E18" w:rsidRPr="00187E37">
        <w:rPr>
          <w:lang w:val="en-CA"/>
        </w:rPr>
        <w:t>through use</w:t>
      </w:r>
      <w:r w:rsidR="00745E63">
        <w:rPr>
          <w:lang w:val="en-CA"/>
        </w:rPr>
        <w:t xml:space="preserve"> that </w:t>
      </w:r>
      <w:r w:rsidR="00E528B1" w:rsidRPr="00187E37">
        <w:rPr>
          <w:lang w:val="en-CA"/>
        </w:rPr>
        <w:t xml:space="preserve">allows it to be protected. Considering the continuous use of the </w:t>
      </w:r>
      <w:r w:rsidR="00745E63">
        <w:rPr>
          <w:lang w:val="en-CA"/>
        </w:rPr>
        <w:t>trade</w:t>
      </w:r>
      <w:r w:rsidR="00851E18">
        <w:rPr>
          <w:lang w:val="en-CA"/>
        </w:rPr>
        <w:t>mark</w:t>
      </w:r>
      <w:r w:rsidR="00E528B1" w:rsidRPr="00187E37">
        <w:rPr>
          <w:lang w:val="en-CA"/>
        </w:rPr>
        <w:t xml:space="preserve"> CABANONS MIRABEL for more than 30 years and the large sums</w:t>
      </w:r>
      <w:r w:rsidR="008165D3">
        <w:rPr>
          <w:lang w:val="en-CA"/>
        </w:rPr>
        <w:t xml:space="preserve"> of money</w:t>
      </w:r>
      <w:r w:rsidR="00E528B1" w:rsidRPr="00187E37">
        <w:rPr>
          <w:lang w:val="en-CA"/>
        </w:rPr>
        <w:t xml:space="preserve"> invested in promotional and advertising activities, the judge ruled that it had acquired a secondary meaning for consumers </w:t>
      </w:r>
      <w:r w:rsidR="008165D3">
        <w:rPr>
          <w:lang w:val="en-CA"/>
        </w:rPr>
        <w:t xml:space="preserve">that is </w:t>
      </w:r>
      <w:r w:rsidR="00E528B1" w:rsidRPr="00187E37">
        <w:rPr>
          <w:lang w:val="en-CA"/>
        </w:rPr>
        <w:t>associated with the respondent</w:t>
      </w:r>
      <w:r w:rsidR="008D5524" w:rsidRPr="00187E37">
        <w:rPr>
          <w:lang w:val="en-CA"/>
        </w:rPr>
        <w:t>’</w:t>
      </w:r>
      <w:r w:rsidR="00E528B1" w:rsidRPr="00187E37">
        <w:rPr>
          <w:lang w:val="en-CA"/>
        </w:rPr>
        <w:t xml:space="preserve">s products. </w:t>
      </w:r>
      <w:r w:rsidR="00851E18">
        <w:rPr>
          <w:lang w:val="en-CA"/>
        </w:rPr>
        <w:t>She</w:t>
      </w:r>
      <w:r w:rsidR="00E528B1" w:rsidRPr="00187E37">
        <w:rPr>
          <w:lang w:val="en-CA"/>
        </w:rPr>
        <w:t xml:space="preserve"> concluded that there is goodwill associated with the distinctive character of the trade name and the </w:t>
      </w:r>
      <w:r w:rsidR="00851E18">
        <w:rPr>
          <w:lang w:val="en-CA"/>
        </w:rPr>
        <w:t>mark</w:t>
      </w:r>
      <w:r w:rsidR="00851E18" w:rsidRPr="00187E37">
        <w:rPr>
          <w:lang w:val="en-CA"/>
        </w:rPr>
        <w:t xml:space="preserve"> </w:t>
      </w:r>
      <w:r w:rsidR="00E528B1" w:rsidRPr="00187E37">
        <w:rPr>
          <w:lang w:val="en-CA"/>
        </w:rPr>
        <w:t>CABANONS MIRABEL, acquired through use.</w:t>
      </w:r>
      <w:r w:rsidR="00E528B1" w:rsidRPr="00187E37">
        <w:rPr>
          <w:rStyle w:val="Appelnotedebasdep"/>
          <w:lang w:val="en-CA"/>
        </w:rPr>
        <w:footnoteReference w:id="4"/>
      </w:r>
    </w:p>
    <w:p w14:paraId="091912DB" w14:textId="77777777" w:rsidR="00E528B1" w:rsidRPr="00187E37" w:rsidRDefault="00E528B1" w:rsidP="00925E16">
      <w:pPr>
        <w:pStyle w:val="Paragraphe"/>
        <w:spacing w:line="240" w:lineRule="auto"/>
        <w:rPr>
          <w:lang w:val="en-CA"/>
        </w:rPr>
      </w:pPr>
      <w:bookmarkStart w:id="11" w:name="_Ref114219379"/>
      <w:r w:rsidRPr="00187E37">
        <w:rPr>
          <w:lang w:val="en-CA"/>
        </w:rPr>
        <w:t>Second, the judge concluded that the appellants</w:t>
      </w:r>
      <w:r w:rsidR="008D5524" w:rsidRPr="00187E37">
        <w:rPr>
          <w:lang w:val="en-CA"/>
        </w:rPr>
        <w:t>’</w:t>
      </w:r>
      <w:r w:rsidRPr="00187E37">
        <w:rPr>
          <w:lang w:val="en-CA"/>
        </w:rPr>
        <w:t xml:space="preserve"> use of domain names that incorporate</w:t>
      </w:r>
      <w:r w:rsidR="00DE6F2C">
        <w:rPr>
          <w:lang w:val="en-CA"/>
        </w:rPr>
        <w:t xml:space="preserve"> the mark</w:t>
      </w:r>
      <w:r w:rsidRPr="00187E37">
        <w:rPr>
          <w:lang w:val="en-CA"/>
        </w:rPr>
        <w:t xml:space="preserve"> CABANONS MIRABEL to redirect consumers to </w:t>
      </w:r>
      <w:r w:rsidR="00C3115B" w:rsidRPr="00187E37">
        <w:rPr>
          <w:lang w:val="en-CA"/>
        </w:rPr>
        <w:t>Cabanons Fontaine</w:t>
      </w:r>
      <w:r w:rsidR="00C3115B">
        <w:rPr>
          <w:lang w:val="en-CA"/>
        </w:rPr>
        <w:t>’s</w:t>
      </w:r>
      <w:r w:rsidR="00C3115B" w:rsidRPr="00187E37">
        <w:rPr>
          <w:lang w:val="en-CA"/>
        </w:rPr>
        <w:t xml:space="preserve"> </w:t>
      </w:r>
      <w:r w:rsidRPr="00187E37">
        <w:rPr>
          <w:lang w:val="en-CA"/>
        </w:rPr>
        <w:t xml:space="preserve">website is confusing and misleading to consumers. </w:t>
      </w:r>
      <w:r w:rsidR="00C3115B">
        <w:rPr>
          <w:lang w:val="en-CA"/>
        </w:rPr>
        <w:t>In her view</w:t>
      </w:r>
      <w:r w:rsidRPr="00187E37">
        <w:rPr>
          <w:lang w:val="en-CA"/>
        </w:rPr>
        <w:t>, Internet users have developed the habit of entering the trademarks of companies they know directly into the</w:t>
      </w:r>
      <w:r w:rsidR="00851E18">
        <w:rPr>
          <w:lang w:val="en-CA"/>
        </w:rPr>
        <w:t>ir</w:t>
      </w:r>
      <w:r w:rsidRPr="00187E37">
        <w:rPr>
          <w:lang w:val="en-CA"/>
        </w:rPr>
        <w:t xml:space="preserve"> </w:t>
      </w:r>
      <w:r w:rsidR="006F38A1">
        <w:rPr>
          <w:lang w:val="en-CA"/>
        </w:rPr>
        <w:t>web</w:t>
      </w:r>
      <w:r w:rsidR="006F38A1" w:rsidRPr="00187E37">
        <w:rPr>
          <w:lang w:val="en-CA"/>
        </w:rPr>
        <w:t xml:space="preserve"> </w:t>
      </w:r>
      <w:r w:rsidRPr="00187E37">
        <w:rPr>
          <w:lang w:val="en-CA"/>
        </w:rPr>
        <w:t xml:space="preserve">browser, which creates a clear risk of confusion. Indeed, </w:t>
      </w:r>
      <w:r w:rsidR="005A02C5">
        <w:rPr>
          <w:lang w:val="en-CA"/>
        </w:rPr>
        <w:t>Internet</w:t>
      </w:r>
      <w:r w:rsidR="005A02C5" w:rsidRPr="00187E37">
        <w:rPr>
          <w:lang w:val="en-CA"/>
        </w:rPr>
        <w:t xml:space="preserve"> user</w:t>
      </w:r>
      <w:r w:rsidR="005A02C5">
        <w:rPr>
          <w:lang w:val="en-CA"/>
        </w:rPr>
        <w:t>s,</w:t>
      </w:r>
      <w:r w:rsidR="005A02C5" w:rsidRPr="00187E37">
        <w:rPr>
          <w:lang w:val="en-CA"/>
        </w:rPr>
        <w:t xml:space="preserve"> </w:t>
      </w:r>
      <w:r w:rsidR="005A02C5">
        <w:rPr>
          <w:lang w:val="en-CA"/>
        </w:rPr>
        <w:t>believing</w:t>
      </w:r>
      <w:r w:rsidR="005A02C5" w:rsidRPr="00187E37">
        <w:rPr>
          <w:lang w:val="en-CA"/>
        </w:rPr>
        <w:t xml:space="preserve"> </w:t>
      </w:r>
      <w:r w:rsidR="005A02C5">
        <w:rPr>
          <w:lang w:val="en-CA"/>
        </w:rPr>
        <w:t>they are accessing</w:t>
      </w:r>
      <w:r w:rsidR="005A02C5" w:rsidRPr="00187E37">
        <w:rPr>
          <w:lang w:val="en-CA"/>
        </w:rPr>
        <w:t xml:space="preserve"> the respondent’s </w:t>
      </w:r>
      <w:r w:rsidR="00E22142" w:rsidRPr="00187E37">
        <w:rPr>
          <w:lang w:val="en-CA"/>
        </w:rPr>
        <w:t>website</w:t>
      </w:r>
      <w:r w:rsidR="00E22142" w:rsidRPr="00480941">
        <w:rPr>
          <w:lang w:val="en-CA"/>
        </w:rPr>
        <w:t xml:space="preserve"> </w:t>
      </w:r>
      <w:r w:rsidR="005A02C5" w:rsidRPr="00187E37">
        <w:rPr>
          <w:u w:val="single"/>
          <w:lang w:val="en-CA"/>
        </w:rPr>
        <w:t>cabanonsmirabel.com</w:t>
      </w:r>
      <w:r w:rsidR="005A02C5">
        <w:rPr>
          <w:lang w:val="en-CA"/>
        </w:rPr>
        <w:t>,</w:t>
      </w:r>
      <w:r w:rsidR="005A02C5" w:rsidRPr="00187E37" w:rsidDel="000D545C">
        <w:rPr>
          <w:lang w:val="en-CA"/>
        </w:rPr>
        <w:t xml:space="preserve"> </w:t>
      </w:r>
      <w:r w:rsidR="005A02C5">
        <w:rPr>
          <w:lang w:val="en-CA"/>
        </w:rPr>
        <w:t xml:space="preserve">are </w:t>
      </w:r>
      <w:r w:rsidR="005A02C5" w:rsidRPr="00187E37">
        <w:rPr>
          <w:lang w:val="en-CA"/>
        </w:rPr>
        <w:t>automatically direct</w:t>
      </w:r>
      <w:r w:rsidR="005A02C5">
        <w:rPr>
          <w:lang w:val="en-CA"/>
        </w:rPr>
        <w:t>ed</w:t>
      </w:r>
      <w:r w:rsidR="005A02C5" w:rsidRPr="00187E37">
        <w:rPr>
          <w:lang w:val="en-CA"/>
        </w:rPr>
        <w:t xml:space="preserve"> to the appellants’ website</w:t>
      </w:r>
      <w:r w:rsidR="005A02C5" w:rsidRPr="00187E37" w:rsidDel="000D545C">
        <w:rPr>
          <w:lang w:val="en-CA"/>
        </w:rPr>
        <w:t xml:space="preserve"> </w:t>
      </w:r>
      <w:r w:rsidR="000D545C">
        <w:rPr>
          <w:lang w:val="en-CA"/>
        </w:rPr>
        <w:t xml:space="preserve">simply </w:t>
      </w:r>
      <w:r w:rsidR="005A02C5">
        <w:rPr>
          <w:lang w:val="en-CA"/>
        </w:rPr>
        <w:t xml:space="preserve">by </w:t>
      </w:r>
      <w:r w:rsidR="000D545C">
        <w:rPr>
          <w:lang w:val="en-CA"/>
        </w:rPr>
        <w:t>typing</w:t>
      </w:r>
      <w:r w:rsidRPr="00187E37">
        <w:rPr>
          <w:lang w:val="en-CA"/>
        </w:rPr>
        <w:t xml:space="preserve"> “.ca” or </w:t>
      </w:r>
      <w:r w:rsidR="000D545C" w:rsidRPr="00187E37">
        <w:rPr>
          <w:lang w:val="en-CA"/>
        </w:rPr>
        <w:t>forget</w:t>
      </w:r>
      <w:r w:rsidR="000D545C">
        <w:rPr>
          <w:lang w:val="en-CA"/>
        </w:rPr>
        <w:t>ting</w:t>
      </w:r>
      <w:r w:rsidR="000D545C" w:rsidRPr="00187E37">
        <w:rPr>
          <w:lang w:val="en-CA"/>
        </w:rPr>
        <w:t xml:space="preserve"> </w:t>
      </w:r>
      <w:r w:rsidRPr="00187E37">
        <w:rPr>
          <w:lang w:val="en-CA"/>
        </w:rPr>
        <w:t xml:space="preserve">the “s”. Thus, the strong resemblance between the domain names in dispute and </w:t>
      </w:r>
      <w:r w:rsidR="00210516" w:rsidRPr="00187E37">
        <w:rPr>
          <w:lang w:val="en-CA"/>
        </w:rPr>
        <w:t xml:space="preserve">the </w:t>
      </w:r>
      <w:r w:rsidRPr="00187E37">
        <w:rPr>
          <w:lang w:val="en-CA"/>
        </w:rPr>
        <w:t>CABANONS MIRABEL</w:t>
      </w:r>
      <w:r w:rsidR="00210516" w:rsidRPr="00187E37">
        <w:rPr>
          <w:lang w:val="en-CA"/>
        </w:rPr>
        <w:t xml:space="preserve"> mark</w:t>
      </w:r>
      <w:r w:rsidRPr="00187E37">
        <w:rPr>
          <w:lang w:val="en-CA"/>
        </w:rPr>
        <w:t xml:space="preserve"> led the judge to conclude that there is a </w:t>
      </w:r>
      <w:r w:rsidR="00784593">
        <w:rPr>
          <w:lang w:val="en-CA"/>
        </w:rPr>
        <w:t>likelihood</w:t>
      </w:r>
      <w:r w:rsidR="00784593" w:rsidRPr="00187E37">
        <w:rPr>
          <w:lang w:val="en-CA"/>
        </w:rPr>
        <w:t xml:space="preserve"> </w:t>
      </w:r>
      <w:r w:rsidRPr="00187E37">
        <w:rPr>
          <w:lang w:val="en-CA"/>
        </w:rPr>
        <w:t>of confusion.</w:t>
      </w:r>
      <w:r w:rsidRPr="00187E37">
        <w:rPr>
          <w:rStyle w:val="Appelnotedebasdep"/>
          <w:lang w:val="en-CA"/>
        </w:rPr>
        <w:footnoteReference w:id="5"/>
      </w:r>
    </w:p>
    <w:bookmarkEnd w:id="11"/>
    <w:p w14:paraId="21F50752" w14:textId="77777777" w:rsidR="00E528B1" w:rsidRPr="00187E37" w:rsidRDefault="00E528B1" w:rsidP="00925E16">
      <w:pPr>
        <w:pStyle w:val="Paragraphe"/>
        <w:spacing w:line="240" w:lineRule="auto"/>
        <w:rPr>
          <w:lang w:val="en-CA"/>
        </w:rPr>
      </w:pPr>
      <w:r w:rsidRPr="00187E37">
        <w:rPr>
          <w:lang w:val="en-CA"/>
        </w:rPr>
        <w:lastRenderedPageBreak/>
        <w:t xml:space="preserve">Third, the judge ruled that, even if the evidence does not </w:t>
      </w:r>
      <w:r w:rsidR="00784593">
        <w:rPr>
          <w:lang w:val="en-CA"/>
        </w:rPr>
        <w:t>reveal</w:t>
      </w:r>
      <w:r w:rsidR="00784593" w:rsidRPr="00187E37">
        <w:rPr>
          <w:lang w:val="en-CA"/>
        </w:rPr>
        <w:t xml:space="preserve"> </w:t>
      </w:r>
      <w:r w:rsidRPr="00187E37">
        <w:rPr>
          <w:lang w:val="en-CA"/>
        </w:rPr>
        <w:t xml:space="preserve">any </w:t>
      </w:r>
      <w:r w:rsidR="00784593">
        <w:rPr>
          <w:lang w:val="en-CA"/>
        </w:rPr>
        <w:t>actual</w:t>
      </w:r>
      <w:r w:rsidR="00784593" w:rsidRPr="00187E37">
        <w:rPr>
          <w:lang w:val="en-CA"/>
        </w:rPr>
        <w:t xml:space="preserve"> </w:t>
      </w:r>
      <w:r w:rsidRPr="00187E37">
        <w:rPr>
          <w:lang w:val="en-CA"/>
        </w:rPr>
        <w:t xml:space="preserve">confusion, there is a very real risk of </w:t>
      </w:r>
      <w:r w:rsidR="00B8191B">
        <w:rPr>
          <w:lang w:val="en-CA"/>
        </w:rPr>
        <w:t>damage</w:t>
      </w:r>
      <w:r w:rsidR="00784593" w:rsidRPr="00187E37">
        <w:rPr>
          <w:lang w:val="en-CA"/>
        </w:rPr>
        <w:t xml:space="preserve"> </w:t>
      </w:r>
      <w:r w:rsidRPr="00187E37">
        <w:rPr>
          <w:lang w:val="en-CA"/>
        </w:rPr>
        <w:t xml:space="preserve">due to the </w:t>
      </w:r>
      <w:r w:rsidR="00B7113A">
        <w:rPr>
          <w:lang w:val="en-CA"/>
        </w:rPr>
        <w:t>erroneous</w:t>
      </w:r>
      <w:r w:rsidR="00B7113A" w:rsidRPr="00187E37">
        <w:rPr>
          <w:lang w:val="en-CA"/>
        </w:rPr>
        <w:t xml:space="preserve"> </w:t>
      </w:r>
      <w:r w:rsidRPr="00187E37">
        <w:rPr>
          <w:lang w:val="en-CA"/>
        </w:rPr>
        <w:t xml:space="preserve">belief </w:t>
      </w:r>
      <w:r w:rsidR="00B7113A">
        <w:rPr>
          <w:lang w:val="en-CA"/>
        </w:rPr>
        <w:t>engendered</w:t>
      </w:r>
      <w:r w:rsidR="00B7113A" w:rsidRPr="00187E37">
        <w:rPr>
          <w:lang w:val="en-CA"/>
        </w:rPr>
        <w:t xml:space="preserve"> </w:t>
      </w:r>
      <w:r w:rsidRPr="00187E37">
        <w:rPr>
          <w:lang w:val="en-CA"/>
        </w:rPr>
        <w:t>by the misleading redirections.</w:t>
      </w:r>
      <w:r w:rsidRPr="00187E37">
        <w:rPr>
          <w:rStyle w:val="Appelnotedebasdep"/>
          <w:lang w:val="en-CA"/>
        </w:rPr>
        <w:footnoteReference w:id="6"/>
      </w:r>
    </w:p>
    <w:p w14:paraId="50268B43" w14:textId="77777777" w:rsidR="001720B9" w:rsidRPr="00187E37" w:rsidRDefault="001720B9" w:rsidP="00925E16">
      <w:pPr>
        <w:pStyle w:val="Paragraphe"/>
        <w:spacing w:line="240" w:lineRule="auto"/>
        <w:rPr>
          <w:lang w:val="en-CA"/>
        </w:rPr>
      </w:pPr>
      <w:r w:rsidRPr="00187E37">
        <w:rPr>
          <w:lang w:val="en-CA"/>
        </w:rPr>
        <w:t xml:space="preserve">The judge concluded that the </w:t>
      </w:r>
      <w:r w:rsidR="00784593">
        <w:rPr>
          <w:lang w:val="en-CA"/>
        </w:rPr>
        <w:t xml:space="preserve">alleged </w:t>
      </w:r>
      <w:r w:rsidRPr="00187E37">
        <w:rPr>
          <w:lang w:val="en-CA"/>
        </w:rPr>
        <w:t>act</w:t>
      </w:r>
      <w:r w:rsidR="00784593">
        <w:rPr>
          <w:lang w:val="en-CA"/>
        </w:rPr>
        <w:t>s</w:t>
      </w:r>
      <w:r w:rsidRPr="00187E37">
        <w:rPr>
          <w:lang w:val="en-CA"/>
        </w:rPr>
        <w:t xml:space="preserve"> constituted unfair competition and that the appellants had no legitimate and reasonable reason to </w:t>
      </w:r>
      <w:r w:rsidR="00784593">
        <w:rPr>
          <w:lang w:val="en-CA"/>
        </w:rPr>
        <w:t>have</w:t>
      </w:r>
      <w:r w:rsidR="00784593" w:rsidRPr="00187E37">
        <w:rPr>
          <w:lang w:val="en-CA"/>
        </w:rPr>
        <w:t xml:space="preserve"> </w:t>
      </w:r>
      <w:r w:rsidRPr="00187E37">
        <w:rPr>
          <w:lang w:val="en-CA"/>
        </w:rPr>
        <w:t>the domain names in dispute. Consequently, she granted the requested injunctions.</w:t>
      </w:r>
      <w:r w:rsidRPr="00187E37">
        <w:rPr>
          <w:rStyle w:val="Appelnotedebasdep"/>
          <w:lang w:val="en-CA"/>
        </w:rPr>
        <w:footnoteReference w:id="7"/>
      </w:r>
    </w:p>
    <w:p w14:paraId="71B96533" w14:textId="77777777" w:rsidR="005110B7" w:rsidRPr="00187E37" w:rsidRDefault="001720B9" w:rsidP="00925E16">
      <w:pPr>
        <w:pStyle w:val="Paragraphe"/>
        <w:spacing w:line="240" w:lineRule="auto"/>
        <w:rPr>
          <w:lang w:val="en-CA"/>
        </w:rPr>
      </w:pPr>
      <w:r w:rsidRPr="00187E37">
        <w:rPr>
          <w:lang w:val="en-CA"/>
        </w:rPr>
        <w:t xml:space="preserve">The appellants </w:t>
      </w:r>
      <w:r w:rsidR="00784593">
        <w:rPr>
          <w:lang w:val="en-CA"/>
        </w:rPr>
        <w:t>appeal</w:t>
      </w:r>
      <w:r w:rsidR="002C7B7C">
        <w:rPr>
          <w:lang w:val="en-CA"/>
        </w:rPr>
        <w:t xml:space="preserve"> from</w:t>
      </w:r>
      <w:r w:rsidR="00784593">
        <w:rPr>
          <w:lang w:val="en-CA"/>
        </w:rPr>
        <w:t xml:space="preserve"> the</w:t>
      </w:r>
      <w:r w:rsidRPr="00187E37">
        <w:rPr>
          <w:lang w:val="en-CA"/>
        </w:rPr>
        <w:t xml:space="preserve"> judgment.</w:t>
      </w:r>
    </w:p>
    <w:p w14:paraId="706C49E3" w14:textId="77777777" w:rsidR="005110B7" w:rsidRPr="00187E37" w:rsidRDefault="001720B9" w:rsidP="00925E16">
      <w:pPr>
        <w:pStyle w:val="Paragraphe"/>
        <w:numPr>
          <w:ilvl w:val="0"/>
          <w:numId w:val="0"/>
        </w:numPr>
        <w:spacing w:line="240" w:lineRule="auto"/>
        <w:rPr>
          <w:b/>
          <w:lang w:val="en-CA"/>
        </w:rPr>
      </w:pPr>
      <w:r w:rsidRPr="00187E37">
        <w:rPr>
          <w:b/>
          <w:lang w:val="en-CA"/>
        </w:rPr>
        <w:t>GROUNDS OF APPEAL</w:t>
      </w:r>
    </w:p>
    <w:p w14:paraId="055B8D1E" w14:textId="77777777" w:rsidR="001720B9" w:rsidRPr="00187E37" w:rsidRDefault="001720B9" w:rsidP="00925E16">
      <w:pPr>
        <w:pStyle w:val="Paragraphe"/>
        <w:spacing w:line="240" w:lineRule="auto"/>
        <w:rPr>
          <w:lang w:val="en-CA"/>
        </w:rPr>
      </w:pPr>
      <w:r w:rsidRPr="00187E37">
        <w:rPr>
          <w:lang w:val="en-CA"/>
        </w:rPr>
        <w:t xml:space="preserve">The appellants acknowledge that the judge applied the correct legal test, but they </w:t>
      </w:r>
      <w:r w:rsidR="000056E6">
        <w:rPr>
          <w:lang w:val="en-CA"/>
        </w:rPr>
        <w:t>argue</w:t>
      </w:r>
      <w:r w:rsidR="000056E6" w:rsidRPr="00187E37">
        <w:rPr>
          <w:lang w:val="en-CA"/>
        </w:rPr>
        <w:t xml:space="preserve"> </w:t>
      </w:r>
      <w:r w:rsidRPr="00187E37">
        <w:rPr>
          <w:lang w:val="en-CA"/>
        </w:rPr>
        <w:t xml:space="preserve">that the judge made </w:t>
      </w:r>
      <w:r w:rsidR="00E22142">
        <w:rPr>
          <w:lang w:val="en-CA"/>
        </w:rPr>
        <w:t>palpable</w:t>
      </w:r>
      <w:r w:rsidR="00E22142" w:rsidRPr="00187E37">
        <w:rPr>
          <w:lang w:val="en-CA"/>
        </w:rPr>
        <w:t xml:space="preserve"> </w:t>
      </w:r>
      <w:r w:rsidRPr="00187E37">
        <w:rPr>
          <w:lang w:val="en-CA"/>
        </w:rPr>
        <w:t xml:space="preserve">and overriding errors in her assessment of each of the three </w:t>
      </w:r>
      <w:r w:rsidR="000056E6">
        <w:rPr>
          <w:lang w:val="en-CA"/>
        </w:rPr>
        <w:t>requirements</w:t>
      </w:r>
      <w:r w:rsidR="000056E6" w:rsidRPr="00187E37">
        <w:rPr>
          <w:lang w:val="en-CA"/>
        </w:rPr>
        <w:t xml:space="preserve"> </w:t>
      </w:r>
      <w:r w:rsidRPr="00187E37">
        <w:rPr>
          <w:lang w:val="en-CA"/>
        </w:rPr>
        <w:t xml:space="preserve">and in her application of the facts to these </w:t>
      </w:r>
      <w:r w:rsidR="000056E6">
        <w:rPr>
          <w:lang w:val="en-CA"/>
        </w:rPr>
        <w:t>requirements</w:t>
      </w:r>
      <w:r w:rsidRPr="00187E37">
        <w:rPr>
          <w:lang w:val="en-CA"/>
        </w:rPr>
        <w:t xml:space="preserve">. According to them, none of the three </w:t>
      </w:r>
      <w:r w:rsidR="000056E6">
        <w:rPr>
          <w:lang w:val="en-CA"/>
        </w:rPr>
        <w:t>requirements</w:t>
      </w:r>
      <w:r w:rsidR="000056E6" w:rsidRPr="00187E37">
        <w:rPr>
          <w:lang w:val="en-CA"/>
        </w:rPr>
        <w:t xml:space="preserve"> </w:t>
      </w:r>
      <w:r w:rsidRPr="00187E37">
        <w:rPr>
          <w:lang w:val="en-CA"/>
        </w:rPr>
        <w:t>is satisfied. They further argue that the judge erred in assessing the scope of the passing-off action.</w:t>
      </w:r>
    </w:p>
    <w:p w14:paraId="244170EC" w14:textId="77777777" w:rsidR="001720B9" w:rsidRPr="00187E37" w:rsidRDefault="001720B9" w:rsidP="00925E16">
      <w:pPr>
        <w:pStyle w:val="Paragraphe"/>
        <w:spacing w:line="240" w:lineRule="auto"/>
        <w:rPr>
          <w:lang w:val="en-CA"/>
        </w:rPr>
      </w:pPr>
      <w:r w:rsidRPr="00187E37">
        <w:rPr>
          <w:lang w:val="en-CA"/>
        </w:rPr>
        <w:t>The respondent raises an additional argument, namely that the appellants also committed a fault under the civil liability regime of article 1457 C</w:t>
      </w:r>
      <w:r w:rsidR="00E22142">
        <w:rPr>
          <w:lang w:val="en-CA"/>
        </w:rPr>
        <w:t>.</w:t>
      </w:r>
      <w:r w:rsidRPr="00187E37">
        <w:rPr>
          <w:lang w:val="en-CA"/>
        </w:rPr>
        <w:t>C</w:t>
      </w:r>
      <w:r w:rsidR="00E22142">
        <w:rPr>
          <w:lang w:val="en-CA"/>
        </w:rPr>
        <w:t>.</w:t>
      </w:r>
      <w:r w:rsidRPr="00187E37">
        <w:rPr>
          <w:lang w:val="en-CA"/>
        </w:rPr>
        <w:t>Q</w:t>
      </w:r>
      <w:r w:rsidR="00E22142">
        <w:rPr>
          <w:lang w:val="en-CA"/>
        </w:rPr>
        <w:t>.</w:t>
      </w:r>
      <w:r w:rsidRPr="00187E37">
        <w:rPr>
          <w:lang w:val="en-CA"/>
        </w:rPr>
        <w:t xml:space="preserve"> by committing </w:t>
      </w:r>
      <w:r w:rsidR="001D02B5">
        <w:rPr>
          <w:lang w:val="en-CA"/>
        </w:rPr>
        <w:t>parasitic acts</w:t>
      </w:r>
      <w:r w:rsidRPr="00187E37">
        <w:rPr>
          <w:lang w:val="en-CA"/>
        </w:rPr>
        <w:t xml:space="preserve"> by engaging in typosquatting and/or cybersquatting.</w:t>
      </w:r>
    </w:p>
    <w:p w14:paraId="7D95C9F9" w14:textId="77777777" w:rsidR="005110B7" w:rsidRPr="00187E37" w:rsidRDefault="005110B7" w:rsidP="00925E16">
      <w:pPr>
        <w:pStyle w:val="Paragraphe"/>
        <w:numPr>
          <w:ilvl w:val="0"/>
          <w:numId w:val="0"/>
        </w:numPr>
        <w:spacing w:line="240" w:lineRule="auto"/>
        <w:rPr>
          <w:b/>
          <w:lang w:val="en-CA"/>
        </w:rPr>
      </w:pPr>
      <w:r w:rsidRPr="00187E37">
        <w:rPr>
          <w:b/>
          <w:lang w:val="en-CA"/>
        </w:rPr>
        <w:t>ANALYS</w:t>
      </w:r>
      <w:r w:rsidR="001720B9" w:rsidRPr="00187E37">
        <w:rPr>
          <w:b/>
          <w:lang w:val="en-CA"/>
        </w:rPr>
        <w:t>IS</w:t>
      </w:r>
    </w:p>
    <w:p w14:paraId="76725728" w14:textId="77777777" w:rsidR="005110B7" w:rsidRPr="00187E37" w:rsidRDefault="00AD274B" w:rsidP="00925E16">
      <w:pPr>
        <w:pStyle w:val="Paragraphe"/>
        <w:numPr>
          <w:ilvl w:val="0"/>
          <w:numId w:val="19"/>
        </w:numPr>
        <w:spacing w:line="240" w:lineRule="auto"/>
        <w:rPr>
          <w:b/>
          <w:lang w:val="en-CA"/>
        </w:rPr>
      </w:pPr>
      <w:r w:rsidRPr="00187E37">
        <w:rPr>
          <w:b/>
          <w:lang w:val="en-CA"/>
        </w:rPr>
        <w:t>Leave to appeal</w:t>
      </w:r>
    </w:p>
    <w:p w14:paraId="1B86838F" w14:textId="77777777" w:rsidR="00EE2974" w:rsidRPr="00187E37" w:rsidRDefault="00EE2974" w:rsidP="00925E16">
      <w:pPr>
        <w:pStyle w:val="Paragraphe"/>
        <w:spacing w:line="240" w:lineRule="auto"/>
        <w:rPr>
          <w:lang w:val="en-CA"/>
        </w:rPr>
      </w:pPr>
      <w:r w:rsidRPr="00187E37">
        <w:rPr>
          <w:lang w:val="en-CA"/>
        </w:rPr>
        <w:t>Before dealing with the merits of the appeal, the</w:t>
      </w:r>
      <w:r w:rsidR="001D02B5">
        <w:rPr>
          <w:lang w:val="en-CA"/>
        </w:rPr>
        <w:t xml:space="preserve"> appellants’</w:t>
      </w:r>
      <w:r w:rsidRPr="00187E37">
        <w:rPr>
          <w:lang w:val="en-CA"/>
        </w:rPr>
        <w:t xml:space="preserve"> right to appeal the judgment</w:t>
      </w:r>
      <w:r w:rsidR="001D02B5">
        <w:rPr>
          <w:lang w:val="en-CA"/>
        </w:rPr>
        <w:t xml:space="preserve"> must be considered</w:t>
      </w:r>
      <w:r w:rsidRPr="00187E37">
        <w:rPr>
          <w:lang w:val="en-CA"/>
        </w:rPr>
        <w:t>.</w:t>
      </w:r>
    </w:p>
    <w:p w14:paraId="1271B954" w14:textId="77777777" w:rsidR="00EE2974" w:rsidRPr="00187E37" w:rsidRDefault="00EE2974" w:rsidP="00925E16">
      <w:pPr>
        <w:pStyle w:val="Paragraphe"/>
        <w:spacing w:line="240" w:lineRule="auto"/>
        <w:rPr>
          <w:lang w:val="en-CA"/>
        </w:rPr>
      </w:pPr>
      <w:r w:rsidRPr="00187E37">
        <w:rPr>
          <w:lang w:val="en-CA"/>
        </w:rPr>
        <w:t xml:space="preserve">This is a split proceeding: the judgment </w:t>
      </w:r>
      <w:r w:rsidR="001D02B5">
        <w:rPr>
          <w:lang w:val="en-CA"/>
        </w:rPr>
        <w:t>under appeal</w:t>
      </w:r>
      <w:r w:rsidR="001D02B5" w:rsidRPr="00187E37">
        <w:rPr>
          <w:lang w:val="en-CA"/>
        </w:rPr>
        <w:t xml:space="preserve"> </w:t>
      </w:r>
      <w:r w:rsidRPr="00187E37">
        <w:rPr>
          <w:lang w:val="en-CA"/>
        </w:rPr>
        <w:t>deals with the issues of fault, liability, confusion</w:t>
      </w:r>
      <w:r w:rsidR="001D02B5">
        <w:rPr>
          <w:lang w:val="en-CA"/>
        </w:rPr>
        <w:t>,</w:t>
      </w:r>
      <w:r w:rsidRPr="00187E37">
        <w:rPr>
          <w:lang w:val="en-CA"/>
        </w:rPr>
        <w:t xml:space="preserve"> and </w:t>
      </w:r>
      <w:r w:rsidR="001D02B5">
        <w:rPr>
          <w:lang w:val="en-CA"/>
        </w:rPr>
        <w:t xml:space="preserve">the </w:t>
      </w:r>
      <w:r w:rsidRPr="00187E37">
        <w:rPr>
          <w:lang w:val="en-CA"/>
        </w:rPr>
        <w:t>right to a permanent injunction, while the quantification of damage</w:t>
      </w:r>
      <w:r w:rsidR="001D02B5">
        <w:rPr>
          <w:lang w:val="en-CA"/>
        </w:rPr>
        <w:t>s</w:t>
      </w:r>
      <w:r w:rsidRPr="00187E37">
        <w:rPr>
          <w:lang w:val="en-CA"/>
        </w:rPr>
        <w:t xml:space="preserve"> will be the subject of a second judgment, if necessary.</w:t>
      </w:r>
    </w:p>
    <w:p w14:paraId="2FDF7DB8" w14:textId="77777777" w:rsidR="00EE2974" w:rsidRPr="00187E37" w:rsidRDefault="00EE2974" w:rsidP="00925E16">
      <w:pPr>
        <w:pStyle w:val="Paragraphe"/>
        <w:spacing w:line="240" w:lineRule="auto"/>
        <w:rPr>
          <w:lang w:val="en-CA"/>
        </w:rPr>
      </w:pPr>
      <w:r w:rsidRPr="00187E37">
        <w:rPr>
          <w:lang w:val="en-CA"/>
        </w:rPr>
        <w:t xml:space="preserve">It is clear that the judgment </w:t>
      </w:r>
      <w:r w:rsidR="005226E0">
        <w:rPr>
          <w:lang w:val="en-CA"/>
        </w:rPr>
        <w:t>under appeal</w:t>
      </w:r>
      <w:r w:rsidR="005226E0" w:rsidRPr="00187E37">
        <w:rPr>
          <w:lang w:val="en-CA"/>
        </w:rPr>
        <w:t xml:space="preserve"> </w:t>
      </w:r>
      <w:r w:rsidRPr="00187E37">
        <w:rPr>
          <w:lang w:val="en-CA"/>
        </w:rPr>
        <w:t xml:space="preserve">does not </w:t>
      </w:r>
      <w:r w:rsidR="005226E0">
        <w:rPr>
          <w:lang w:val="en-CA"/>
        </w:rPr>
        <w:t>terminate</w:t>
      </w:r>
      <w:r w:rsidRPr="00187E37">
        <w:rPr>
          <w:lang w:val="en-CA"/>
        </w:rPr>
        <w:t xml:space="preserve"> the proceeding, even </w:t>
      </w:r>
      <w:r w:rsidR="005226E0">
        <w:rPr>
          <w:lang w:val="en-CA"/>
        </w:rPr>
        <w:t>though</w:t>
      </w:r>
      <w:r w:rsidR="005226E0" w:rsidRPr="00187E37">
        <w:rPr>
          <w:lang w:val="en-CA"/>
        </w:rPr>
        <w:t xml:space="preserve"> </w:t>
      </w:r>
      <w:r w:rsidRPr="00187E37">
        <w:rPr>
          <w:lang w:val="en-CA"/>
        </w:rPr>
        <w:t xml:space="preserve">it </w:t>
      </w:r>
      <w:r w:rsidR="0051212A" w:rsidRPr="0051212A">
        <w:rPr>
          <w:lang w:val="en-CA"/>
        </w:rPr>
        <w:t>determines part of the dispute</w:t>
      </w:r>
      <w:r w:rsidRPr="00187E37">
        <w:rPr>
          <w:lang w:val="en-CA"/>
        </w:rPr>
        <w:t xml:space="preserve">. </w:t>
      </w:r>
      <w:r w:rsidR="0051212A">
        <w:rPr>
          <w:lang w:val="en-CA"/>
        </w:rPr>
        <w:t>Accordingly</w:t>
      </w:r>
      <w:r w:rsidRPr="00187E37">
        <w:rPr>
          <w:lang w:val="en-CA"/>
        </w:rPr>
        <w:t>, the right to appeal this judgment is governed by article 31 C</w:t>
      </w:r>
      <w:r w:rsidR="00EF70A5" w:rsidRPr="00187E37">
        <w:rPr>
          <w:lang w:val="en-CA"/>
        </w:rPr>
        <w:t>CP</w:t>
      </w:r>
      <w:r w:rsidR="0051212A">
        <w:rPr>
          <w:lang w:val="en-CA"/>
        </w:rPr>
        <w:t>,</w:t>
      </w:r>
      <w:r w:rsidRPr="00187E37">
        <w:rPr>
          <w:lang w:val="en-CA"/>
        </w:rPr>
        <w:t xml:space="preserve"> which provides for an appeal with leave when the judgment in the course of the proceeding </w:t>
      </w:r>
      <w:r w:rsidR="00EF70A5" w:rsidRPr="00187E37">
        <w:rPr>
          <w:lang w:val="en-CA"/>
        </w:rPr>
        <w:t>determines</w:t>
      </w:r>
      <w:r w:rsidRPr="00187E37">
        <w:rPr>
          <w:lang w:val="en-CA"/>
        </w:rPr>
        <w:t xml:space="preserve"> part</w:t>
      </w:r>
      <w:r w:rsidR="00EF70A5" w:rsidRPr="00187E37">
        <w:rPr>
          <w:lang w:val="en-CA"/>
        </w:rPr>
        <w:t xml:space="preserve"> of</w:t>
      </w:r>
      <w:r w:rsidRPr="00187E37">
        <w:rPr>
          <w:lang w:val="en-CA"/>
        </w:rPr>
        <w:t xml:space="preserve"> the dispute.</w:t>
      </w:r>
    </w:p>
    <w:p w14:paraId="2BE6CA25" w14:textId="77777777" w:rsidR="00EF70A5" w:rsidRPr="00187E37" w:rsidRDefault="00EF70A5" w:rsidP="00925E16">
      <w:pPr>
        <w:pStyle w:val="Paragraphe"/>
        <w:spacing w:line="240" w:lineRule="auto"/>
        <w:rPr>
          <w:lang w:val="en-CA"/>
        </w:rPr>
      </w:pPr>
      <w:r w:rsidRPr="00187E37">
        <w:rPr>
          <w:lang w:val="en-CA"/>
        </w:rPr>
        <w:t>The appellants filed a notice of appeal on August 25, 2020</w:t>
      </w:r>
      <w:r w:rsidR="008D5524" w:rsidRPr="00187E37">
        <w:rPr>
          <w:lang w:val="en-CA"/>
        </w:rPr>
        <w:t>,</w:t>
      </w:r>
      <w:r w:rsidRPr="00187E37">
        <w:rPr>
          <w:lang w:val="en-CA"/>
        </w:rPr>
        <w:t xml:space="preserve"> without seeking </w:t>
      </w:r>
      <w:r w:rsidR="005C05D1">
        <w:rPr>
          <w:lang w:val="en-CA"/>
        </w:rPr>
        <w:t>leave to appeal</w:t>
      </w:r>
      <w:r w:rsidR="005C05D1" w:rsidRPr="00187E37">
        <w:rPr>
          <w:lang w:val="en-CA"/>
        </w:rPr>
        <w:t xml:space="preserve"> </w:t>
      </w:r>
      <w:r w:rsidRPr="00187E37">
        <w:rPr>
          <w:lang w:val="en-CA"/>
        </w:rPr>
        <w:t xml:space="preserve">from an </w:t>
      </w:r>
      <w:r w:rsidR="005C05D1">
        <w:rPr>
          <w:lang w:val="en-CA"/>
        </w:rPr>
        <w:t>appellate</w:t>
      </w:r>
      <w:r w:rsidR="005C05D1" w:rsidRPr="00187E37">
        <w:rPr>
          <w:lang w:val="en-CA"/>
        </w:rPr>
        <w:t xml:space="preserve"> </w:t>
      </w:r>
      <w:r w:rsidRPr="00187E37">
        <w:rPr>
          <w:lang w:val="en-CA"/>
        </w:rPr>
        <w:t xml:space="preserve">judge. The respondent did not raise this irregularity, but the </w:t>
      </w:r>
      <w:r w:rsidR="008D5524" w:rsidRPr="00187E37">
        <w:rPr>
          <w:lang w:val="en-CA"/>
        </w:rPr>
        <w:t>C</w:t>
      </w:r>
      <w:r w:rsidRPr="00187E37">
        <w:rPr>
          <w:lang w:val="en-CA"/>
        </w:rPr>
        <w:t xml:space="preserve">oram raised it </w:t>
      </w:r>
      <w:r w:rsidRPr="00187E37">
        <w:rPr>
          <w:i/>
          <w:iCs/>
          <w:lang w:val="en-CA"/>
        </w:rPr>
        <w:t>ex officio</w:t>
      </w:r>
      <w:r w:rsidRPr="00187E37">
        <w:rPr>
          <w:lang w:val="en-CA"/>
        </w:rPr>
        <w:t xml:space="preserve"> by letter before the hearing, which caused the appellants to file an application for leave to appeal </w:t>
      </w:r>
      <w:r w:rsidRPr="00187E37">
        <w:rPr>
          <w:i/>
          <w:iCs/>
          <w:lang w:val="en-CA"/>
        </w:rPr>
        <w:t>de bene esse</w:t>
      </w:r>
      <w:r w:rsidRPr="00187E37">
        <w:rPr>
          <w:lang w:val="en-CA"/>
        </w:rPr>
        <w:t xml:space="preserve">. The respondent consents to the </w:t>
      </w:r>
      <w:r w:rsidRPr="00187E37">
        <w:rPr>
          <w:lang w:val="en-CA"/>
        </w:rPr>
        <w:lastRenderedPageBreak/>
        <w:t xml:space="preserve">application and it should be granted. It is clear that this is a simple error that no one has noted and that does not cause any harm. As the six-month period during which the Court may </w:t>
      </w:r>
      <w:r w:rsidR="000302C8">
        <w:rPr>
          <w:lang w:val="en-CA"/>
        </w:rPr>
        <w:t>authorize</w:t>
      </w:r>
      <w:r w:rsidR="000302C8" w:rsidRPr="00187E37">
        <w:rPr>
          <w:lang w:val="en-CA"/>
        </w:rPr>
        <w:t xml:space="preserve"> </w:t>
      </w:r>
      <w:r w:rsidRPr="00187E37">
        <w:rPr>
          <w:lang w:val="en-CA"/>
        </w:rPr>
        <w:t>a</w:t>
      </w:r>
      <w:r w:rsidR="00410008" w:rsidRPr="00187E37">
        <w:rPr>
          <w:lang w:val="en-CA"/>
        </w:rPr>
        <w:t xml:space="preserve">n </w:t>
      </w:r>
      <w:r w:rsidRPr="00187E37">
        <w:rPr>
          <w:lang w:val="en-CA"/>
        </w:rPr>
        <w:t xml:space="preserve">appeal </w:t>
      </w:r>
      <w:r w:rsidR="00410008" w:rsidRPr="00187E37">
        <w:rPr>
          <w:lang w:val="en-CA"/>
        </w:rPr>
        <w:t>after the time limit</w:t>
      </w:r>
      <w:r w:rsidR="00D029D6">
        <w:rPr>
          <w:lang w:val="en-CA"/>
        </w:rPr>
        <w:t xml:space="preserve"> </w:t>
      </w:r>
      <w:r w:rsidR="000302C8">
        <w:rPr>
          <w:lang w:val="en-CA"/>
        </w:rPr>
        <w:t xml:space="preserve">has </w:t>
      </w:r>
      <w:r w:rsidR="00D029D6">
        <w:rPr>
          <w:lang w:val="en-CA"/>
        </w:rPr>
        <w:t>expired</w:t>
      </w:r>
      <w:r w:rsidRPr="00187E37">
        <w:rPr>
          <w:lang w:val="en-CA"/>
        </w:rPr>
        <w:t xml:space="preserve">, leave should be granted on a </w:t>
      </w:r>
      <w:r w:rsidR="00410008" w:rsidRPr="00187E37">
        <w:rPr>
          <w:i/>
          <w:lang w:val="en-CA"/>
        </w:rPr>
        <w:t>nunc pro tunc</w:t>
      </w:r>
      <w:r w:rsidR="00410008" w:rsidRPr="00187E37">
        <w:rPr>
          <w:lang w:val="en-CA"/>
        </w:rPr>
        <w:t xml:space="preserve"> </w:t>
      </w:r>
      <w:r w:rsidRPr="00187E37">
        <w:rPr>
          <w:lang w:val="en-CA"/>
        </w:rPr>
        <w:t>basis.</w:t>
      </w:r>
      <w:r w:rsidR="00410008" w:rsidRPr="00187E37">
        <w:rPr>
          <w:vertAlign w:val="superscript"/>
          <w:lang w:val="en-CA"/>
        </w:rPr>
        <w:footnoteReference w:id="8"/>
      </w:r>
    </w:p>
    <w:p w14:paraId="4FE5C029" w14:textId="77777777" w:rsidR="005110B7" w:rsidRPr="00187E37" w:rsidRDefault="00327EB5" w:rsidP="00925E16">
      <w:pPr>
        <w:pStyle w:val="Paragraphe"/>
        <w:numPr>
          <w:ilvl w:val="0"/>
          <w:numId w:val="19"/>
        </w:numPr>
        <w:spacing w:line="240" w:lineRule="auto"/>
        <w:rPr>
          <w:b/>
          <w:lang w:val="en-CA"/>
        </w:rPr>
      </w:pPr>
      <w:r>
        <w:rPr>
          <w:b/>
          <w:lang w:val="en-CA"/>
        </w:rPr>
        <w:t>P</w:t>
      </w:r>
      <w:r w:rsidRPr="00187E37">
        <w:rPr>
          <w:b/>
          <w:lang w:val="en-CA"/>
        </w:rPr>
        <w:t>assing</w:t>
      </w:r>
      <w:r w:rsidR="00410008" w:rsidRPr="00187E37">
        <w:rPr>
          <w:b/>
          <w:lang w:val="en-CA"/>
        </w:rPr>
        <w:t>-off action</w:t>
      </w:r>
    </w:p>
    <w:p w14:paraId="3C09D31D" w14:textId="77777777" w:rsidR="005110B7" w:rsidRPr="00187E37" w:rsidRDefault="00410008" w:rsidP="00410008">
      <w:pPr>
        <w:pStyle w:val="Paragraphe"/>
        <w:spacing w:line="240" w:lineRule="auto"/>
        <w:rPr>
          <w:lang w:val="en-CA"/>
        </w:rPr>
      </w:pPr>
      <w:r w:rsidRPr="00187E37">
        <w:rPr>
          <w:lang w:val="en-CA"/>
        </w:rPr>
        <w:t xml:space="preserve">The passing-off action is based primarily on section 7(b) </w:t>
      </w:r>
      <w:r w:rsidR="00D029D6">
        <w:rPr>
          <w:lang w:val="en-CA"/>
        </w:rPr>
        <w:t xml:space="preserve">of the </w:t>
      </w:r>
      <w:r w:rsidRPr="0068618A">
        <w:rPr>
          <w:i/>
          <w:iCs/>
          <w:lang w:val="en-CA"/>
        </w:rPr>
        <w:t>T</w:t>
      </w:r>
      <w:r w:rsidR="00E22142">
        <w:rPr>
          <w:i/>
          <w:iCs/>
          <w:lang w:val="en-CA"/>
        </w:rPr>
        <w:t>.</w:t>
      </w:r>
      <w:r w:rsidRPr="0068618A">
        <w:rPr>
          <w:i/>
          <w:iCs/>
          <w:lang w:val="en-CA"/>
        </w:rPr>
        <w:t>A</w:t>
      </w:r>
      <w:r w:rsidR="00E22142">
        <w:rPr>
          <w:i/>
          <w:iCs/>
          <w:lang w:val="en-CA"/>
        </w:rPr>
        <w:t>.</w:t>
      </w:r>
      <w:r w:rsidRPr="00187E37">
        <w:rPr>
          <w:lang w:val="en-CA"/>
        </w:rPr>
        <w:t xml:space="preserve">, which codifies the </w:t>
      </w:r>
      <w:r w:rsidR="000302C8">
        <w:rPr>
          <w:lang w:val="en-CA"/>
        </w:rPr>
        <w:t xml:space="preserve">tort of </w:t>
      </w:r>
      <w:r w:rsidR="00D029D6" w:rsidRPr="00187E37">
        <w:rPr>
          <w:lang w:val="en-CA"/>
        </w:rPr>
        <w:t xml:space="preserve">passing-off </w:t>
      </w:r>
      <w:r w:rsidR="009D6D75">
        <w:rPr>
          <w:lang w:val="en-CA"/>
        </w:rPr>
        <w:t>developed under</w:t>
      </w:r>
      <w:r w:rsidR="009D6D75" w:rsidRPr="00187E37">
        <w:rPr>
          <w:lang w:val="en-CA"/>
        </w:rPr>
        <w:t xml:space="preserve"> </w:t>
      </w:r>
      <w:r w:rsidRPr="00187E37">
        <w:rPr>
          <w:lang w:val="en-CA"/>
        </w:rPr>
        <w:t>the common law:</w:t>
      </w:r>
      <w:r w:rsidRPr="00187E37">
        <w:rPr>
          <w:rStyle w:val="Appelnotedebasdep"/>
          <w:lang w:val="en-CA"/>
        </w:rPr>
        <w:footnoteReference w:id="9"/>
      </w:r>
    </w:p>
    <w:tbl>
      <w:tblPr>
        <w:tblW w:w="0" w:type="auto"/>
        <w:tblCellMar>
          <w:left w:w="70" w:type="dxa"/>
          <w:right w:w="70" w:type="dxa"/>
        </w:tblCellMar>
        <w:tblLook w:val="0000" w:firstRow="0" w:lastRow="0" w:firstColumn="0" w:lastColumn="0" w:noHBand="0" w:noVBand="0"/>
      </w:tblPr>
      <w:tblGrid>
        <w:gridCol w:w="4687"/>
        <w:gridCol w:w="4675"/>
      </w:tblGrid>
      <w:tr w:rsidR="005110B7" w:rsidRPr="007660A5" w14:paraId="0355F832" w14:textId="77777777">
        <w:tc>
          <w:tcPr>
            <w:tcW w:w="4687" w:type="dxa"/>
          </w:tcPr>
          <w:p w14:paraId="5FF4E0CA" w14:textId="77777777" w:rsidR="005110B7" w:rsidRPr="0068618A" w:rsidRDefault="005110B7" w:rsidP="00925E16">
            <w:pPr>
              <w:pStyle w:val="Tableaugauchefranais"/>
              <w:spacing w:line="240" w:lineRule="auto"/>
              <w:jc w:val="both"/>
              <w:rPr>
                <w:lang w:val="en-CA"/>
              </w:rPr>
            </w:pPr>
            <w:r w:rsidRPr="0068618A">
              <w:rPr>
                <w:b/>
                <w:lang w:val="en-CA"/>
              </w:rPr>
              <w:t xml:space="preserve">7 </w:t>
            </w:r>
            <w:r w:rsidR="009D6D75" w:rsidRPr="0068618A">
              <w:rPr>
                <w:lang w:val="en-CA"/>
              </w:rPr>
              <w:t>No person shall</w:t>
            </w:r>
          </w:p>
          <w:p w14:paraId="50609CBE" w14:textId="77777777" w:rsidR="005110B7" w:rsidRPr="0068618A" w:rsidRDefault="005110B7" w:rsidP="00925E16">
            <w:pPr>
              <w:pStyle w:val="Tableaugauchefranais"/>
              <w:spacing w:line="240" w:lineRule="auto"/>
              <w:jc w:val="both"/>
              <w:rPr>
                <w:lang w:val="en-CA"/>
              </w:rPr>
            </w:pPr>
          </w:p>
          <w:p w14:paraId="256A0C6D" w14:textId="77777777" w:rsidR="005110B7" w:rsidRPr="0068618A" w:rsidRDefault="009D6D75" w:rsidP="00925E16">
            <w:pPr>
              <w:pStyle w:val="Tableaugauchefranais"/>
              <w:spacing w:line="240" w:lineRule="auto"/>
              <w:jc w:val="both"/>
              <w:rPr>
                <w:lang w:val="en-CA"/>
              </w:rPr>
            </w:pPr>
            <w:r w:rsidRPr="0068618A">
              <w:rPr>
                <w:b/>
                <w:lang w:val="en-CA"/>
              </w:rPr>
              <w:t>(</w:t>
            </w:r>
            <w:r w:rsidR="005110B7" w:rsidRPr="0068618A">
              <w:rPr>
                <w:b/>
                <w:lang w:val="en-CA"/>
              </w:rPr>
              <w:t>b)</w:t>
            </w:r>
            <w:r w:rsidR="005110B7" w:rsidRPr="0068618A">
              <w:rPr>
                <w:lang w:val="en-CA"/>
              </w:rPr>
              <w:t xml:space="preserve"> </w:t>
            </w:r>
            <w:r w:rsidRPr="0068618A">
              <w:rPr>
                <w:lang w:val="en-CA"/>
              </w:rPr>
              <w:t xml:space="preserve">direct public attention to his goods, services or business in such a way as to cause or be likely to cause confusion in Canada, at the time he commenced so to direct attention to them, between his goods, services or business and the goods, services or business of another; </w:t>
            </w:r>
          </w:p>
          <w:p w14:paraId="706B7E8C" w14:textId="77777777" w:rsidR="005110B7" w:rsidRPr="0068618A" w:rsidRDefault="005110B7" w:rsidP="00925E16">
            <w:pPr>
              <w:pStyle w:val="Paragraphe"/>
              <w:numPr>
                <w:ilvl w:val="0"/>
                <w:numId w:val="0"/>
              </w:numPr>
              <w:spacing w:before="0" w:after="0" w:line="240" w:lineRule="auto"/>
              <w:rPr>
                <w:sz w:val="22"/>
                <w:szCs w:val="22"/>
                <w:lang w:val="en-CA"/>
              </w:rPr>
            </w:pPr>
          </w:p>
        </w:tc>
        <w:tc>
          <w:tcPr>
            <w:tcW w:w="4675" w:type="dxa"/>
          </w:tcPr>
          <w:p w14:paraId="66E2AF9A" w14:textId="77777777" w:rsidR="005110B7" w:rsidRPr="0068618A" w:rsidRDefault="005110B7" w:rsidP="00925E16">
            <w:pPr>
              <w:pStyle w:val="Tableaudroiteanglais"/>
              <w:spacing w:line="240" w:lineRule="auto"/>
              <w:rPr>
                <w:lang w:val="fr-CA"/>
              </w:rPr>
            </w:pPr>
            <w:r w:rsidRPr="0068618A">
              <w:rPr>
                <w:b/>
                <w:lang w:val="fr-CA"/>
              </w:rPr>
              <w:t>7 </w:t>
            </w:r>
            <w:r w:rsidR="009D6D75" w:rsidRPr="0068618A">
              <w:rPr>
                <w:lang w:val="fr-CA"/>
              </w:rPr>
              <w:t>Nul ne peut :</w:t>
            </w:r>
          </w:p>
          <w:p w14:paraId="217792C5" w14:textId="77777777" w:rsidR="005110B7" w:rsidRPr="0068618A" w:rsidRDefault="005110B7" w:rsidP="00925E16">
            <w:pPr>
              <w:pStyle w:val="Tableaudroiteanglais"/>
              <w:spacing w:line="240" w:lineRule="auto"/>
              <w:rPr>
                <w:b/>
                <w:lang w:val="fr-CA"/>
              </w:rPr>
            </w:pPr>
          </w:p>
          <w:p w14:paraId="034651A8" w14:textId="77777777" w:rsidR="005110B7" w:rsidRPr="0068618A" w:rsidRDefault="005110B7" w:rsidP="00925E16">
            <w:pPr>
              <w:pStyle w:val="Tableaudroiteanglais"/>
              <w:spacing w:line="240" w:lineRule="auto"/>
              <w:rPr>
                <w:lang w:val="fr-CA"/>
              </w:rPr>
            </w:pPr>
            <w:r w:rsidRPr="0068618A">
              <w:rPr>
                <w:b/>
                <w:lang w:val="fr-CA"/>
              </w:rPr>
              <w:t>b) </w:t>
            </w:r>
            <w:r w:rsidR="009D6D75" w:rsidRPr="0068618A">
              <w:rPr>
                <w:lang w:val="fr-CA"/>
              </w:rPr>
              <w:t>appeler l’attention du public sur ses produits, ses services ou son entreprise de manière à causer ou à vraisemblablement causer de la confusion au Canada, lorsqu’il a commencé à y appeler ainsi l’attention, entre ses produits, ses services ou son entreprise et ceux d’un autre</w:t>
            </w:r>
            <w:r w:rsidRPr="0068618A">
              <w:rPr>
                <w:lang w:val="fr-CA"/>
              </w:rPr>
              <w:t>;</w:t>
            </w:r>
          </w:p>
          <w:p w14:paraId="3BB75573" w14:textId="77777777" w:rsidR="005110B7" w:rsidRPr="0068618A" w:rsidRDefault="005110B7" w:rsidP="00925E16">
            <w:pPr>
              <w:pStyle w:val="Tableaudroiteanglais"/>
              <w:spacing w:line="240" w:lineRule="auto"/>
              <w:ind w:left="57" w:right="0"/>
              <w:rPr>
                <w:szCs w:val="22"/>
                <w:lang w:val="fr-CA"/>
              </w:rPr>
            </w:pPr>
          </w:p>
        </w:tc>
      </w:tr>
    </w:tbl>
    <w:p w14:paraId="141F515C" w14:textId="77777777" w:rsidR="00410008" w:rsidRPr="00187E37" w:rsidRDefault="00410008" w:rsidP="00925E16">
      <w:pPr>
        <w:pStyle w:val="Paragraphe"/>
        <w:spacing w:line="240" w:lineRule="auto"/>
        <w:rPr>
          <w:lang w:val="en-CA"/>
        </w:rPr>
      </w:pPr>
      <w:r w:rsidRPr="00187E37">
        <w:rPr>
          <w:lang w:val="en-CA"/>
        </w:rPr>
        <w:t xml:space="preserve">This action is consistent with the general principles of civil liability </w:t>
      </w:r>
      <w:r w:rsidR="000467B8">
        <w:rPr>
          <w:lang w:val="en-CA"/>
        </w:rPr>
        <w:t>of</w:t>
      </w:r>
      <w:r w:rsidR="000467B8" w:rsidRPr="00187E37">
        <w:rPr>
          <w:lang w:val="en-CA"/>
        </w:rPr>
        <w:t xml:space="preserve"> </w:t>
      </w:r>
      <w:r w:rsidRPr="00187E37">
        <w:rPr>
          <w:lang w:val="en-CA"/>
        </w:rPr>
        <w:t>Quebec law.</w:t>
      </w:r>
      <w:r w:rsidRPr="00187E37">
        <w:rPr>
          <w:rStyle w:val="Appelnotedebasdep"/>
          <w:lang w:val="en-CA"/>
        </w:rPr>
        <w:footnoteReference w:id="10"/>
      </w:r>
    </w:p>
    <w:p w14:paraId="1080FCEF" w14:textId="77777777" w:rsidR="00410008" w:rsidRPr="00187E37" w:rsidRDefault="00410008" w:rsidP="00925E16">
      <w:pPr>
        <w:pStyle w:val="Paragraphe"/>
        <w:spacing w:line="240" w:lineRule="auto"/>
        <w:rPr>
          <w:lang w:val="en-CA"/>
        </w:rPr>
      </w:pPr>
      <w:r w:rsidRPr="00187E37">
        <w:rPr>
          <w:lang w:val="en-CA"/>
        </w:rPr>
        <w:t xml:space="preserve">In the </w:t>
      </w:r>
      <w:r w:rsidR="000467B8">
        <w:rPr>
          <w:lang w:val="en-CA"/>
        </w:rPr>
        <w:t>leading</w:t>
      </w:r>
      <w:r w:rsidR="000467B8" w:rsidRPr="00187E37">
        <w:rPr>
          <w:lang w:val="en-CA"/>
        </w:rPr>
        <w:t xml:space="preserve"> </w:t>
      </w:r>
      <w:r w:rsidRPr="00187E37">
        <w:rPr>
          <w:lang w:val="en-CA"/>
        </w:rPr>
        <w:t>case</w:t>
      </w:r>
      <w:r w:rsidR="000467B8">
        <w:rPr>
          <w:lang w:val="en-CA"/>
        </w:rPr>
        <w:t xml:space="preserve"> of</w:t>
      </w:r>
      <w:r w:rsidRPr="00187E37">
        <w:rPr>
          <w:lang w:val="en-CA"/>
        </w:rPr>
        <w:t xml:space="preserve"> </w:t>
      </w:r>
      <w:r w:rsidRPr="00187E37">
        <w:rPr>
          <w:i/>
          <w:iCs/>
          <w:lang w:val="en-CA"/>
        </w:rPr>
        <w:t>Apotex</w:t>
      </w:r>
      <w:r w:rsidRPr="00187E37">
        <w:rPr>
          <w:lang w:val="en-CA"/>
        </w:rPr>
        <w:t xml:space="preserve">, the Supreme Court </w:t>
      </w:r>
      <w:r w:rsidR="00DC56DF">
        <w:rPr>
          <w:lang w:val="en-CA"/>
        </w:rPr>
        <w:t>quoted</w:t>
      </w:r>
      <w:r w:rsidR="00DC56DF" w:rsidRPr="00187E37">
        <w:rPr>
          <w:lang w:val="en-CA"/>
        </w:rPr>
        <w:t xml:space="preserve"> </w:t>
      </w:r>
      <w:r w:rsidRPr="00187E37">
        <w:rPr>
          <w:lang w:val="en-CA"/>
        </w:rPr>
        <w:t xml:space="preserve">the following statement from the English case </w:t>
      </w:r>
      <w:r w:rsidRPr="00187E37">
        <w:rPr>
          <w:i/>
          <w:iCs/>
          <w:lang w:val="en-CA"/>
        </w:rPr>
        <w:t>Reckitt &amp; Colman Products Ltd. v. Borden Inc.</w:t>
      </w:r>
      <w:r w:rsidRPr="00187E37">
        <w:rPr>
          <w:rStyle w:val="Appelnotedebasdep"/>
          <w:iCs/>
          <w:lang w:val="en-CA"/>
        </w:rPr>
        <w:footnoteReference w:id="11"/>
      </w:r>
      <w:r w:rsidRPr="00187E37">
        <w:rPr>
          <w:lang w:val="en-CA"/>
        </w:rPr>
        <w:t xml:space="preserve"> which sets out the </w:t>
      </w:r>
      <w:r w:rsidR="00DC56DF">
        <w:rPr>
          <w:lang w:val="en-CA"/>
        </w:rPr>
        <w:t>requirements</w:t>
      </w:r>
      <w:r w:rsidRPr="00187E37">
        <w:rPr>
          <w:lang w:val="en-CA"/>
        </w:rPr>
        <w:t xml:space="preserve"> </w:t>
      </w:r>
      <w:r w:rsidR="00DC56DF">
        <w:rPr>
          <w:lang w:val="en-CA"/>
        </w:rPr>
        <w:t>in order to succeed in</w:t>
      </w:r>
      <w:r w:rsidRPr="00187E37">
        <w:rPr>
          <w:lang w:val="en-CA"/>
        </w:rPr>
        <w:t xml:space="preserve"> a passing-off action:</w:t>
      </w:r>
      <w:r w:rsidRPr="00187E37">
        <w:rPr>
          <w:rStyle w:val="Appelnotedebasdep"/>
          <w:lang w:val="en-CA"/>
        </w:rPr>
        <w:footnoteReference w:id="12"/>
      </w:r>
      <w:r w:rsidRPr="00187E37">
        <w:rPr>
          <w:lang w:val="en-CA"/>
        </w:rPr>
        <w:t> </w:t>
      </w:r>
    </w:p>
    <w:p w14:paraId="3F740D61" w14:textId="77777777" w:rsidR="00410008" w:rsidRPr="00187E37" w:rsidRDefault="00410008" w:rsidP="00925E16">
      <w:pPr>
        <w:pStyle w:val="Citationenretrait"/>
        <w:spacing w:line="240" w:lineRule="auto"/>
        <w:rPr>
          <w:color w:val="000000"/>
          <w:lang w:val="en-CA"/>
        </w:rPr>
      </w:pPr>
      <w:r w:rsidRPr="00187E37">
        <w:rPr>
          <w:color w:val="000000"/>
          <w:lang w:val="en-CA"/>
        </w:rPr>
        <w:t xml:space="preserve">The law of passing off can be </w:t>
      </w:r>
      <w:r w:rsidR="008278A8" w:rsidRPr="00187E37">
        <w:rPr>
          <w:color w:val="000000"/>
          <w:lang w:val="en-CA"/>
        </w:rPr>
        <w:t>summari</w:t>
      </w:r>
      <w:r w:rsidR="008278A8">
        <w:rPr>
          <w:color w:val="000000"/>
          <w:lang w:val="en-CA"/>
        </w:rPr>
        <w:t>s</w:t>
      </w:r>
      <w:r w:rsidR="008278A8" w:rsidRPr="00187E37">
        <w:rPr>
          <w:color w:val="000000"/>
          <w:lang w:val="en-CA"/>
        </w:rPr>
        <w:t xml:space="preserve">ed </w:t>
      </w:r>
      <w:r w:rsidRPr="00187E37">
        <w:rPr>
          <w:color w:val="000000"/>
          <w:lang w:val="en-CA"/>
        </w:rPr>
        <w:t>in one short general proposition, no man may pass off his goods as those of another.  More specifically, it may be expressed in terms of the elements which the plaintiff in such an action has to prove in order to succeed.  These are three in number.  First, he must establish</w:t>
      </w:r>
      <w:r w:rsidRPr="00187E37">
        <w:rPr>
          <w:rStyle w:val="apple-converted-space"/>
          <w:color w:val="000000"/>
          <w:lang w:val="en-CA"/>
        </w:rPr>
        <w:t> </w:t>
      </w:r>
      <w:r w:rsidR="008278A8" w:rsidRPr="00D91F46">
        <w:rPr>
          <w:rStyle w:val="apple-converted-space"/>
          <w:color w:val="000000"/>
          <w:u w:val="single"/>
          <w:lang w:val="en-CA"/>
        </w:rPr>
        <w:t xml:space="preserve">a </w:t>
      </w:r>
      <w:r w:rsidRPr="00187E37">
        <w:rPr>
          <w:color w:val="000000"/>
          <w:u w:val="single"/>
          <w:lang w:val="en-CA"/>
        </w:rPr>
        <w:t xml:space="preserve">goodwill or reputation attached to the goods or services which he </w:t>
      </w:r>
      <w:r w:rsidRPr="00E22142">
        <w:rPr>
          <w:color w:val="000000"/>
          <w:u w:val="single"/>
          <w:lang w:val="en-CA"/>
        </w:rPr>
        <w:t>supplies</w:t>
      </w:r>
      <w:r w:rsidRPr="00D91F46">
        <w:rPr>
          <w:rStyle w:val="apple-converted-space"/>
          <w:color w:val="000000"/>
          <w:u w:val="single"/>
          <w:lang w:val="en-CA"/>
        </w:rPr>
        <w:t> </w:t>
      </w:r>
      <w:r w:rsidRPr="00D91F46">
        <w:rPr>
          <w:color w:val="000000"/>
          <w:u w:val="single"/>
          <w:lang w:val="en-CA"/>
        </w:rPr>
        <w:t>in the mind of the purchasing public</w:t>
      </w:r>
      <w:r w:rsidRPr="00D91F46">
        <w:rPr>
          <w:rStyle w:val="apple-converted-space"/>
          <w:color w:val="000000"/>
          <w:u w:val="single"/>
          <w:lang w:val="en-CA"/>
        </w:rPr>
        <w:t> </w:t>
      </w:r>
      <w:r w:rsidRPr="00187E37">
        <w:rPr>
          <w:color w:val="000000"/>
          <w:u w:val="single"/>
          <w:lang w:val="en-CA"/>
        </w:rPr>
        <w:t>by association with the identifying “get-up”</w:t>
      </w:r>
      <w:r w:rsidRPr="00187E37">
        <w:rPr>
          <w:rStyle w:val="apple-converted-space"/>
          <w:color w:val="000000"/>
          <w:lang w:val="en-CA"/>
        </w:rPr>
        <w:t> </w:t>
      </w:r>
      <w:r w:rsidRPr="00187E37">
        <w:rPr>
          <w:color w:val="000000"/>
          <w:lang w:val="en-CA"/>
        </w:rPr>
        <w:t xml:space="preserve">(whether it consists simply of a brand name or a trade description, or the individual features of labelling or packaging) under which his particular goods or services are offered to the public, such that the get-up is </w:t>
      </w:r>
      <w:r w:rsidR="008278A8" w:rsidRPr="00187E37">
        <w:rPr>
          <w:color w:val="000000"/>
          <w:lang w:val="en-CA"/>
        </w:rPr>
        <w:t>recogni</w:t>
      </w:r>
      <w:r w:rsidR="008278A8">
        <w:rPr>
          <w:color w:val="000000"/>
          <w:lang w:val="en-CA"/>
        </w:rPr>
        <w:t>s</w:t>
      </w:r>
      <w:r w:rsidR="008278A8" w:rsidRPr="00187E37">
        <w:rPr>
          <w:color w:val="000000"/>
          <w:lang w:val="en-CA"/>
        </w:rPr>
        <w:t xml:space="preserve">ed </w:t>
      </w:r>
      <w:r w:rsidRPr="00187E37">
        <w:rPr>
          <w:color w:val="000000"/>
          <w:lang w:val="en-CA"/>
        </w:rPr>
        <w:t xml:space="preserve">by the public as </w:t>
      </w:r>
      <w:r w:rsidRPr="00D91F46">
        <w:rPr>
          <w:color w:val="000000"/>
          <w:u w:val="single"/>
          <w:lang w:val="en-CA"/>
        </w:rPr>
        <w:t>distinctive specifically of the plaintiff’s goods or services</w:t>
      </w:r>
      <w:r w:rsidRPr="00187E37">
        <w:rPr>
          <w:color w:val="000000"/>
          <w:lang w:val="en-CA"/>
        </w:rPr>
        <w:t>.  Second, he must demonstrate</w:t>
      </w:r>
      <w:r w:rsidRPr="00187E37">
        <w:rPr>
          <w:rStyle w:val="apple-converted-space"/>
          <w:color w:val="000000"/>
          <w:lang w:val="en-CA"/>
        </w:rPr>
        <w:t> </w:t>
      </w:r>
      <w:r w:rsidRPr="00187E37">
        <w:rPr>
          <w:color w:val="000000"/>
          <w:u w:val="single"/>
          <w:lang w:val="en-CA"/>
        </w:rPr>
        <w:t xml:space="preserve">a </w:t>
      </w:r>
      <w:r w:rsidRPr="00E22142">
        <w:rPr>
          <w:color w:val="000000"/>
          <w:u w:val="single"/>
          <w:lang w:val="en-CA"/>
        </w:rPr>
        <w:t>misrepresentation</w:t>
      </w:r>
      <w:r w:rsidRPr="00D91F46">
        <w:rPr>
          <w:rStyle w:val="apple-converted-space"/>
          <w:color w:val="000000"/>
          <w:u w:val="single"/>
          <w:lang w:val="en-CA"/>
        </w:rPr>
        <w:t> </w:t>
      </w:r>
      <w:r w:rsidRPr="00D91F46">
        <w:rPr>
          <w:color w:val="000000"/>
          <w:u w:val="single"/>
          <w:lang w:val="en-CA"/>
        </w:rPr>
        <w:t xml:space="preserve">by the defendant to the public (whether or not intentional) leading or likely to lead the public to believe that goods or services </w:t>
      </w:r>
      <w:r w:rsidRPr="00D91F46">
        <w:rPr>
          <w:color w:val="000000"/>
          <w:u w:val="single"/>
          <w:lang w:val="en-CA"/>
        </w:rPr>
        <w:lastRenderedPageBreak/>
        <w:t>offered by him are the goods or services of the plaintiff</w:t>
      </w:r>
      <w:r w:rsidRPr="00187E37">
        <w:rPr>
          <w:color w:val="000000"/>
          <w:lang w:val="en-CA"/>
        </w:rPr>
        <w:t xml:space="preserve"> </w:t>
      </w:r>
      <w:r w:rsidRPr="00187E37">
        <w:rPr>
          <w:lang w:val="en-CA"/>
        </w:rPr>
        <w:t>...</w:t>
      </w:r>
      <w:r w:rsidR="00E22142">
        <w:rPr>
          <w:lang w:val="en-CA"/>
        </w:rPr>
        <w:t xml:space="preserve"> </w:t>
      </w:r>
      <w:r w:rsidRPr="00187E37">
        <w:rPr>
          <w:color w:val="000000"/>
          <w:lang w:val="en-CA"/>
        </w:rPr>
        <w:t xml:space="preserve">Third, he must demonstrate that he suffers or, in a quia timet action, that he is </w:t>
      </w:r>
      <w:r w:rsidRPr="00D91F46">
        <w:rPr>
          <w:color w:val="000000"/>
          <w:u w:val="single"/>
          <w:lang w:val="en-CA"/>
        </w:rPr>
        <w:t>likely to suffer</w:t>
      </w:r>
      <w:r w:rsidRPr="00D91F46">
        <w:rPr>
          <w:rStyle w:val="apple-converted-space"/>
          <w:color w:val="000000"/>
          <w:u w:val="single"/>
          <w:lang w:val="en-CA"/>
        </w:rPr>
        <w:t> </w:t>
      </w:r>
      <w:r w:rsidRPr="00187E37">
        <w:rPr>
          <w:color w:val="000000"/>
          <w:u w:val="single"/>
          <w:lang w:val="en-CA"/>
        </w:rPr>
        <w:t>damage</w:t>
      </w:r>
      <w:r w:rsidRPr="00187E37">
        <w:rPr>
          <w:rStyle w:val="apple-converted-space"/>
          <w:color w:val="000000"/>
          <w:lang w:val="en-CA"/>
        </w:rPr>
        <w:t> </w:t>
      </w:r>
      <w:r w:rsidRPr="00187E37">
        <w:rPr>
          <w:color w:val="000000"/>
          <w:lang w:val="en-CA"/>
        </w:rPr>
        <w:t xml:space="preserve">by reason of the erroneous belief engendered by the defendant’s misrepresentation that the source of the defendant’s goods or services is the same as the source of those offered by the plaintiff. </w:t>
      </w:r>
    </w:p>
    <w:p w14:paraId="623210B0" w14:textId="77777777" w:rsidR="00410008" w:rsidRPr="00187E37" w:rsidRDefault="00410008" w:rsidP="00410008">
      <w:pPr>
        <w:pStyle w:val="Citationenretrait"/>
        <w:spacing w:line="240" w:lineRule="auto"/>
        <w:jc w:val="right"/>
        <w:rPr>
          <w:highlight w:val="yellow"/>
          <w:lang w:val="en-CA"/>
        </w:rPr>
      </w:pPr>
      <w:r w:rsidRPr="00187E37">
        <w:rPr>
          <w:color w:val="000000"/>
          <w:lang w:val="en-CA"/>
        </w:rPr>
        <w:t>[Emphasis added</w:t>
      </w:r>
      <w:r w:rsidR="000467B8">
        <w:rPr>
          <w:color w:val="000000"/>
          <w:lang w:val="en-CA"/>
        </w:rPr>
        <w:t>.</w:t>
      </w:r>
      <w:r w:rsidRPr="00187E37">
        <w:rPr>
          <w:color w:val="000000"/>
          <w:lang w:val="en-CA"/>
        </w:rPr>
        <w:t>]</w:t>
      </w:r>
    </w:p>
    <w:p w14:paraId="35B71099" w14:textId="77777777" w:rsidR="00410008" w:rsidRPr="00187E37" w:rsidRDefault="00410008" w:rsidP="00925E16">
      <w:pPr>
        <w:pStyle w:val="Paragraphe"/>
        <w:spacing w:line="240" w:lineRule="auto"/>
        <w:rPr>
          <w:lang w:val="en-CA"/>
        </w:rPr>
      </w:pPr>
      <w:r w:rsidRPr="00187E37">
        <w:rPr>
          <w:lang w:val="en-CA"/>
        </w:rPr>
        <w:t xml:space="preserve">In short, the passing-off action </w:t>
      </w:r>
      <w:r w:rsidR="00F47909">
        <w:rPr>
          <w:lang w:val="en-CA"/>
        </w:rPr>
        <w:t>is based</w:t>
      </w:r>
      <w:r w:rsidR="00F47909" w:rsidRPr="00187E37">
        <w:rPr>
          <w:lang w:val="en-CA"/>
        </w:rPr>
        <w:t xml:space="preserve"> </w:t>
      </w:r>
      <w:r w:rsidRPr="00187E37">
        <w:rPr>
          <w:lang w:val="en-CA"/>
        </w:rPr>
        <w:t xml:space="preserve">on three </w:t>
      </w:r>
      <w:r w:rsidR="00DC56DF">
        <w:rPr>
          <w:lang w:val="en-CA"/>
        </w:rPr>
        <w:t>components</w:t>
      </w:r>
      <w:r w:rsidRPr="00187E37">
        <w:rPr>
          <w:lang w:val="en-CA"/>
        </w:rPr>
        <w:t>: (1) existence of goodwill, (2) deception of the publi</w:t>
      </w:r>
      <w:r w:rsidR="005E1975" w:rsidRPr="00187E37">
        <w:rPr>
          <w:lang w:val="en-CA"/>
        </w:rPr>
        <w:t>c</w:t>
      </w:r>
      <w:r w:rsidRPr="00187E37">
        <w:rPr>
          <w:lang w:val="en-CA"/>
        </w:rPr>
        <w:t xml:space="preserve"> due to </w:t>
      </w:r>
      <w:r w:rsidR="00846D82" w:rsidRPr="00187E37">
        <w:rPr>
          <w:lang w:val="en-CA"/>
        </w:rPr>
        <w:t>a</w:t>
      </w:r>
      <w:r w:rsidRPr="00187E37">
        <w:rPr>
          <w:lang w:val="en-CA"/>
        </w:rPr>
        <w:t xml:space="preserve"> misrepresentation, and (3) actual or potential damage.</w:t>
      </w:r>
      <w:r w:rsidRPr="00187E37">
        <w:rPr>
          <w:rStyle w:val="Appelnotedebasdep"/>
          <w:lang w:val="en-CA"/>
        </w:rPr>
        <w:footnoteReference w:id="13"/>
      </w:r>
    </w:p>
    <w:p w14:paraId="4B047D32" w14:textId="77777777" w:rsidR="005110B7" w:rsidRPr="00187E37" w:rsidRDefault="005E1975" w:rsidP="00925E16">
      <w:pPr>
        <w:pStyle w:val="Paragraphe"/>
        <w:numPr>
          <w:ilvl w:val="1"/>
          <w:numId w:val="19"/>
        </w:numPr>
        <w:spacing w:line="240" w:lineRule="auto"/>
        <w:rPr>
          <w:b/>
          <w:lang w:val="en-CA"/>
        </w:rPr>
      </w:pPr>
      <w:r w:rsidRPr="00187E37">
        <w:rPr>
          <w:b/>
          <w:lang w:val="en-CA"/>
        </w:rPr>
        <w:t>Existence of goodwill</w:t>
      </w:r>
    </w:p>
    <w:p w14:paraId="0643C92D" w14:textId="77777777" w:rsidR="005E1975" w:rsidRPr="00187E37" w:rsidRDefault="005E1975" w:rsidP="00925E16">
      <w:pPr>
        <w:pStyle w:val="Paragraphe"/>
        <w:spacing w:line="240" w:lineRule="auto"/>
        <w:rPr>
          <w:lang w:val="en-CA"/>
        </w:rPr>
      </w:pPr>
      <w:r w:rsidRPr="00187E37">
        <w:rPr>
          <w:lang w:val="en-CA"/>
        </w:rPr>
        <w:t xml:space="preserve">The judge concluded that there was goodwill associated with the distinctive character of the trade name and the </w:t>
      </w:r>
      <w:r w:rsidR="00D029D6" w:rsidRPr="00187E37">
        <w:rPr>
          <w:lang w:val="en-CA"/>
        </w:rPr>
        <w:t xml:space="preserve">mark </w:t>
      </w:r>
      <w:r w:rsidRPr="00187E37">
        <w:rPr>
          <w:lang w:val="en-CA"/>
        </w:rPr>
        <w:t>CABANONS MIRABEL, acquired through use.</w:t>
      </w:r>
    </w:p>
    <w:p w14:paraId="718966F0" w14:textId="77777777" w:rsidR="005E1975" w:rsidRPr="00187E37" w:rsidRDefault="005E1975" w:rsidP="00925E16">
      <w:pPr>
        <w:pStyle w:val="Paragraphe"/>
        <w:spacing w:line="240" w:lineRule="auto"/>
        <w:rPr>
          <w:lang w:val="en-CA"/>
        </w:rPr>
      </w:pPr>
      <w:r w:rsidRPr="00187E37">
        <w:rPr>
          <w:lang w:val="en-CA"/>
        </w:rPr>
        <w:t xml:space="preserve">First, she noted that the respondent does not </w:t>
      </w:r>
      <w:r w:rsidR="00D029D6">
        <w:rPr>
          <w:lang w:val="en-CA"/>
        </w:rPr>
        <w:t>own</w:t>
      </w:r>
      <w:r w:rsidRPr="00187E37">
        <w:rPr>
          <w:lang w:val="en-CA"/>
        </w:rPr>
        <w:t xml:space="preserve"> a registered trademark and that its trade name Cabanons Mirabel is made up of descriptive terms that do not have the distinctive character required for a passing-off action. She continued her analysis to determine whether the trade name </w:t>
      </w:r>
      <w:r w:rsidR="00D029D6">
        <w:rPr>
          <w:lang w:val="en-CA"/>
        </w:rPr>
        <w:t>had</w:t>
      </w:r>
      <w:r w:rsidRPr="00187E37">
        <w:rPr>
          <w:lang w:val="en-CA"/>
        </w:rPr>
        <w:t xml:space="preserve"> acquired a secondary meaning through use which </w:t>
      </w:r>
      <w:r w:rsidR="00D029D6">
        <w:rPr>
          <w:lang w:val="en-CA"/>
        </w:rPr>
        <w:t>would allow</w:t>
      </w:r>
      <w:r w:rsidRPr="00187E37">
        <w:rPr>
          <w:lang w:val="en-CA"/>
        </w:rPr>
        <w:t xml:space="preserve"> it to be protected. She analyzed the evidence of the continuous use of the name Cabanons Mirabel by the respondent for 30 years, the respondent</w:t>
      </w:r>
      <w:r w:rsidR="008D5524" w:rsidRPr="00187E37">
        <w:rPr>
          <w:lang w:val="en-CA"/>
        </w:rPr>
        <w:t>’</w:t>
      </w:r>
      <w:r w:rsidRPr="00187E37">
        <w:rPr>
          <w:lang w:val="en-CA"/>
        </w:rPr>
        <w:t xml:space="preserve">s promotional and advertising activities under the name Cabanons Mirabel, the importance of its website </w:t>
      </w:r>
      <w:r w:rsidRPr="00187E37">
        <w:rPr>
          <w:u w:val="single"/>
          <w:lang w:val="en-CA"/>
        </w:rPr>
        <w:t>cabanonsmirabel.com</w:t>
      </w:r>
      <w:r w:rsidRPr="00187E37">
        <w:rPr>
          <w:lang w:val="en-CA"/>
        </w:rPr>
        <w:t xml:space="preserve">, the </w:t>
      </w:r>
      <w:r w:rsidR="006726B8" w:rsidRPr="00187E37">
        <w:rPr>
          <w:lang w:val="en-CA"/>
        </w:rPr>
        <w:t>respondent</w:t>
      </w:r>
      <w:r w:rsidR="006726B8">
        <w:rPr>
          <w:lang w:val="en-CA"/>
        </w:rPr>
        <w:t>s’</w:t>
      </w:r>
      <w:r w:rsidR="006726B8" w:rsidRPr="00187E37">
        <w:rPr>
          <w:lang w:val="en-CA"/>
        </w:rPr>
        <w:t xml:space="preserve"> </w:t>
      </w:r>
      <w:r w:rsidRPr="00187E37">
        <w:rPr>
          <w:lang w:val="en-CA"/>
        </w:rPr>
        <w:t>logos</w:t>
      </w:r>
      <w:r w:rsidR="006726B8">
        <w:rPr>
          <w:lang w:val="en-CA"/>
        </w:rPr>
        <w:t xml:space="preserve"> that</w:t>
      </w:r>
      <w:r w:rsidRPr="00187E37">
        <w:rPr>
          <w:lang w:val="en-CA"/>
        </w:rPr>
        <w:t xml:space="preserve"> highlight the name Cabanons Mirabel</w:t>
      </w:r>
      <w:r w:rsidR="006726B8">
        <w:rPr>
          <w:lang w:val="en-CA"/>
        </w:rPr>
        <w:t>,</w:t>
      </w:r>
      <w:r w:rsidRPr="00187E37">
        <w:rPr>
          <w:lang w:val="en-CA"/>
        </w:rPr>
        <w:t xml:space="preserve"> </w:t>
      </w:r>
      <w:r w:rsidR="00D029D6">
        <w:rPr>
          <w:lang w:val="en-CA"/>
        </w:rPr>
        <w:t>as well as</w:t>
      </w:r>
      <w:r w:rsidRPr="00187E37">
        <w:rPr>
          <w:lang w:val="en-CA"/>
        </w:rPr>
        <w:t xml:space="preserve"> </w:t>
      </w:r>
      <w:r w:rsidR="006726B8">
        <w:rPr>
          <w:lang w:val="en-CA"/>
        </w:rPr>
        <w:t>testimony</w:t>
      </w:r>
      <w:r w:rsidR="006726B8" w:rsidRPr="00187E37">
        <w:rPr>
          <w:lang w:val="en-CA"/>
        </w:rPr>
        <w:t xml:space="preserve"> </w:t>
      </w:r>
      <w:r w:rsidRPr="00187E37">
        <w:rPr>
          <w:lang w:val="en-CA"/>
        </w:rPr>
        <w:t>from consumers and the appellants</w:t>
      </w:r>
      <w:r w:rsidR="008D5524" w:rsidRPr="00187E37">
        <w:rPr>
          <w:lang w:val="en-CA"/>
        </w:rPr>
        <w:t>’</w:t>
      </w:r>
      <w:r w:rsidRPr="00187E37">
        <w:rPr>
          <w:lang w:val="en-CA"/>
        </w:rPr>
        <w:t xml:space="preserve"> representative who associate the name Cabanons Mirabel with the respondent. She concluded that, although the words cabanons and Mirabel are descriptive, the combination Cabanons Mirabel has acquired goodwill.</w:t>
      </w:r>
    </w:p>
    <w:p w14:paraId="3F3EE9BE" w14:textId="77777777" w:rsidR="005E1975" w:rsidRPr="00187E37" w:rsidRDefault="005E1975" w:rsidP="00925E16">
      <w:pPr>
        <w:pStyle w:val="Paragraphe"/>
        <w:spacing w:line="240" w:lineRule="auto"/>
        <w:rPr>
          <w:lang w:val="en-CA"/>
        </w:rPr>
      </w:pPr>
      <w:r w:rsidRPr="00187E37">
        <w:rPr>
          <w:lang w:val="en-CA"/>
        </w:rPr>
        <w:t xml:space="preserve">This analysis is consistent with the principles established by the Supreme Court in </w:t>
      </w:r>
      <w:r w:rsidRPr="00187E37">
        <w:rPr>
          <w:i/>
          <w:iCs/>
          <w:lang w:val="en-CA"/>
        </w:rPr>
        <w:t>Apotex</w:t>
      </w:r>
      <w:r w:rsidRPr="00187E37">
        <w:rPr>
          <w:lang w:val="en-CA"/>
        </w:rPr>
        <w:t xml:space="preserve"> and </w:t>
      </w:r>
      <w:r w:rsidRPr="00187E37">
        <w:rPr>
          <w:i/>
          <w:iCs/>
          <w:lang w:val="en-CA"/>
        </w:rPr>
        <w:t>Kirkbi</w:t>
      </w:r>
      <w:r w:rsidRPr="00187E37">
        <w:rPr>
          <w:lang w:val="en-CA"/>
        </w:rPr>
        <w:t xml:space="preserve"> and by this Court in </w:t>
      </w:r>
      <w:r w:rsidRPr="00187E37">
        <w:rPr>
          <w:i/>
          <w:iCs/>
          <w:lang w:val="en-CA"/>
        </w:rPr>
        <w:t>Canada Bread</w:t>
      </w:r>
      <w:r w:rsidRPr="00187E37">
        <w:rPr>
          <w:vertAlign w:val="superscript"/>
          <w:lang w:val="en-CA"/>
        </w:rPr>
        <w:footnoteReference w:id="14"/>
      </w:r>
      <w:r w:rsidRPr="00187E37">
        <w:rPr>
          <w:lang w:val="en-CA"/>
        </w:rPr>
        <w:t xml:space="preserve"> and </w:t>
      </w:r>
      <w:r w:rsidRPr="00187E37">
        <w:rPr>
          <w:i/>
          <w:iCs/>
          <w:lang w:val="en-CA"/>
        </w:rPr>
        <w:t>Montr</w:t>
      </w:r>
      <w:r w:rsidR="00D029D6">
        <w:rPr>
          <w:i/>
          <w:iCs/>
          <w:lang w:val="en-CA"/>
        </w:rPr>
        <w:t>é</w:t>
      </w:r>
      <w:r w:rsidRPr="00187E37">
        <w:rPr>
          <w:i/>
          <w:iCs/>
          <w:lang w:val="en-CA"/>
        </w:rPr>
        <w:t>al Auto Prix</w:t>
      </w:r>
      <w:r w:rsidRPr="00187E37">
        <w:rPr>
          <w:lang w:val="en-CA"/>
        </w:rPr>
        <w:t>.</w:t>
      </w:r>
      <w:r w:rsidRPr="00187E37">
        <w:rPr>
          <w:rStyle w:val="Appelnotedebasdep"/>
          <w:iCs/>
          <w:lang w:val="en-CA"/>
        </w:rPr>
        <w:footnoteReference w:id="15"/>
      </w:r>
      <w:r w:rsidRPr="00187E37">
        <w:rPr>
          <w:lang w:val="en-CA"/>
        </w:rPr>
        <w:t xml:space="preserve"> The appellants </w:t>
      </w:r>
      <w:r w:rsidR="00A22C3F">
        <w:rPr>
          <w:lang w:val="en-CA"/>
        </w:rPr>
        <w:t xml:space="preserve">did not </w:t>
      </w:r>
      <w:r w:rsidR="00D029D6">
        <w:rPr>
          <w:lang w:val="en-CA"/>
        </w:rPr>
        <w:t>demonstrate</w:t>
      </w:r>
      <w:r w:rsidRPr="00187E37">
        <w:rPr>
          <w:lang w:val="en-CA"/>
        </w:rPr>
        <w:t xml:space="preserve"> </w:t>
      </w:r>
      <w:r w:rsidR="00A22C3F">
        <w:rPr>
          <w:lang w:val="en-CA"/>
        </w:rPr>
        <w:t xml:space="preserve">a </w:t>
      </w:r>
      <w:r w:rsidR="00E22142">
        <w:rPr>
          <w:lang w:val="en-CA"/>
        </w:rPr>
        <w:t>palpable</w:t>
      </w:r>
      <w:r w:rsidRPr="00187E37">
        <w:rPr>
          <w:lang w:val="en-CA"/>
        </w:rPr>
        <w:t xml:space="preserve"> and overriding error of fact </w:t>
      </w:r>
      <w:r w:rsidR="00D029D6">
        <w:rPr>
          <w:lang w:val="en-CA"/>
        </w:rPr>
        <w:t xml:space="preserve">in </w:t>
      </w:r>
      <w:r w:rsidRPr="00187E37">
        <w:rPr>
          <w:lang w:val="en-CA"/>
        </w:rPr>
        <w:t>this conclusion.</w:t>
      </w:r>
    </w:p>
    <w:p w14:paraId="6B99EEDE" w14:textId="77777777" w:rsidR="00A505E2" w:rsidRPr="00187E37" w:rsidRDefault="00A505E2" w:rsidP="00925E16">
      <w:pPr>
        <w:pStyle w:val="Paragraphe"/>
        <w:spacing w:line="240" w:lineRule="auto"/>
        <w:rPr>
          <w:lang w:val="en-CA"/>
        </w:rPr>
      </w:pPr>
      <w:r w:rsidRPr="00187E37">
        <w:rPr>
          <w:lang w:val="en-CA"/>
        </w:rPr>
        <w:t>The appellants submit that the judge limited her analysis to determining the existence of goodwill, without</w:t>
      </w:r>
      <w:r w:rsidR="008D5524" w:rsidRPr="00187E37">
        <w:rPr>
          <w:lang w:val="en-CA"/>
        </w:rPr>
        <w:t>, however,</w:t>
      </w:r>
      <w:r w:rsidRPr="00187E37">
        <w:rPr>
          <w:lang w:val="en-CA"/>
        </w:rPr>
        <w:t xml:space="preserve"> assessing whether </w:t>
      </w:r>
      <w:r w:rsidR="00A22C3F">
        <w:rPr>
          <w:lang w:val="en-CA"/>
        </w:rPr>
        <w:t>this</w:t>
      </w:r>
      <w:r w:rsidR="00A22C3F" w:rsidRPr="00187E37">
        <w:rPr>
          <w:lang w:val="en-CA"/>
        </w:rPr>
        <w:t xml:space="preserve"> </w:t>
      </w:r>
      <w:r w:rsidRPr="00187E37">
        <w:rPr>
          <w:lang w:val="en-CA"/>
        </w:rPr>
        <w:t xml:space="preserve">goodwill is related to the distinctive character of the CABANONS MIRABEL </w:t>
      </w:r>
      <w:r w:rsidR="00210516" w:rsidRPr="00187E37">
        <w:rPr>
          <w:lang w:val="en-CA"/>
        </w:rPr>
        <w:t>mark</w:t>
      </w:r>
      <w:r w:rsidRPr="00187E37">
        <w:rPr>
          <w:lang w:val="en-CA"/>
        </w:rPr>
        <w:t xml:space="preserve">. They cite the second </w:t>
      </w:r>
      <w:r w:rsidR="00DA7C10">
        <w:rPr>
          <w:lang w:val="en-CA"/>
        </w:rPr>
        <w:t xml:space="preserve">component </w:t>
      </w:r>
      <w:r w:rsidRPr="00187E37">
        <w:rPr>
          <w:lang w:val="en-CA"/>
        </w:rPr>
        <w:t xml:space="preserve">of the </w:t>
      </w:r>
      <w:r w:rsidRPr="00187E37">
        <w:rPr>
          <w:i/>
          <w:iCs/>
          <w:lang w:val="en-CA"/>
        </w:rPr>
        <w:t>Canada Bread</w:t>
      </w:r>
      <w:r w:rsidRPr="00187E37">
        <w:rPr>
          <w:lang w:val="en-CA"/>
        </w:rPr>
        <w:t xml:space="preserve"> test,</w:t>
      </w:r>
      <w:r w:rsidR="00A22C3F">
        <w:rPr>
          <w:lang w:val="en-CA"/>
        </w:rPr>
        <w:t xml:space="preserve"> [</w:t>
      </w:r>
      <w:r w:rsidR="00A22C3F" w:rsidRPr="00D91F46">
        <w:rPr>
          <w:smallCaps/>
          <w:lang w:val="en-CA"/>
        </w:rPr>
        <w:t>translation</w:t>
      </w:r>
      <w:r w:rsidR="00A22C3F">
        <w:rPr>
          <w:lang w:val="en-CA"/>
        </w:rPr>
        <w:t>]</w:t>
      </w:r>
      <w:r w:rsidRPr="00187E37">
        <w:rPr>
          <w:lang w:val="en-CA"/>
        </w:rPr>
        <w:t xml:space="preserve"> </w:t>
      </w:r>
      <w:r w:rsidR="00A22C3F">
        <w:rPr>
          <w:lang w:val="en-CA"/>
        </w:rPr>
        <w:t>“</w:t>
      </w:r>
      <w:r w:rsidR="00A22C3F" w:rsidRPr="00A22C3F">
        <w:rPr>
          <w:lang w:val="en-CA"/>
        </w:rPr>
        <w:t>whether the plaintiff has established that the public recognizes its product on the basis of the copied element</w:t>
      </w:r>
      <w:r w:rsidR="00A22C3F">
        <w:rPr>
          <w:lang w:val="en-CA"/>
        </w:rPr>
        <w:t>”</w:t>
      </w:r>
      <w:r w:rsidR="00A22C3F" w:rsidRPr="00A22C3F">
        <w:rPr>
          <w:lang w:val="en-CA"/>
        </w:rPr>
        <w:t>.</w:t>
      </w:r>
      <w:r w:rsidRPr="00187E37">
        <w:rPr>
          <w:lang w:val="en-CA"/>
        </w:rPr>
        <w:t>.</w:t>
      </w:r>
      <w:r w:rsidRPr="00187E37">
        <w:rPr>
          <w:rStyle w:val="Appelnotedebasdep"/>
          <w:lang w:val="en-CA"/>
        </w:rPr>
        <w:footnoteReference w:id="16"/>
      </w:r>
      <w:r w:rsidRPr="00187E37">
        <w:rPr>
          <w:lang w:val="en-CA"/>
        </w:rPr>
        <w:t xml:space="preserve"> </w:t>
      </w:r>
      <w:r w:rsidRPr="00187E37">
        <w:rPr>
          <w:lang w:val="en-CA"/>
        </w:rPr>
        <w:lastRenderedPageBreak/>
        <w:t xml:space="preserve">According to the appellants, this </w:t>
      </w:r>
      <w:r w:rsidR="00DA7C10">
        <w:rPr>
          <w:lang w:val="en-CA"/>
        </w:rPr>
        <w:t>component</w:t>
      </w:r>
      <w:r w:rsidR="00B56A49">
        <w:rPr>
          <w:lang w:val="en-CA"/>
        </w:rPr>
        <w:t xml:space="preserve"> </w:t>
      </w:r>
      <w:r w:rsidRPr="00187E37">
        <w:rPr>
          <w:lang w:val="en-CA"/>
        </w:rPr>
        <w:t xml:space="preserve">imposes on the respondent the burden of </w:t>
      </w:r>
      <w:r w:rsidR="00B56A49">
        <w:rPr>
          <w:lang w:val="en-CA"/>
        </w:rPr>
        <w:t>proving</w:t>
      </w:r>
      <w:r w:rsidR="00B56A49" w:rsidRPr="00187E37">
        <w:rPr>
          <w:lang w:val="en-CA"/>
        </w:rPr>
        <w:t xml:space="preserve"> </w:t>
      </w:r>
      <w:r w:rsidR="00B56A49">
        <w:rPr>
          <w:lang w:val="en-CA"/>
        </w:rPr>
        <w:t>[</w:t>
      </w:r>
      <w:r w:rsidR="00B56A49" w:rsidRPr="00F97261">
        <w:rPr>
          <w:smallCaps/>
          <w:lang w:val="en-CA"/>
        </w:rPr>
        <w:t>translation</w:t>
      </w:r>
      <w:r w:rsidR="00B56A49">
        <w:rPr>
          <w:lang w:val="en-CA"/>
        </w:rPr>
        <w:t>] “</w:t>
      </w:r>
      <w:r w:rsidRPr="00187E37">
        <w:rPr>
          <w:lang w:val="en-CA"/>
        </w:rPr>
        <w:t>that the public is able to recognize a product because of the distinctive character attached to its trademark</w:t>
      </w:r>
      <w:r w:rsidR="00B56A49">
        <w:rPr>
          <w:lang w:val="en-CA"/>
        </w:rPr>
        <w:t>”</w:t>
      </w:r>
      <w:r w:rsidRPr="00187E37">
        <w:rPr>
          <w:lang w:val="en-CA"/>
        </w:rPr>
        <w:t xml:space="preserve">. They argue that if this </w:t>
      </w:r>
      <w:r w:rsidR="00D029D6">
        <w:rPr>
          <w:lang w:val="en-CA"/>
        </w:rPr>
        <w:t>component</w:t>
      </w:r>
      <w:r w:rsidRPr="00187E37">
        <w:rPr>
          <w:lang w:val="en-CA"/>
        </w:rPr>
        <w:t xml:space="preserve"> had been analyzed by the trial judge, it would not have been satisfied.</w:t>
      </w:r>
    </w:p>
    <w:p w14:paraId="0B6DBA7B" w14:textId="77777777" w:rsidR="005110B7" w:rsidRPr="00187E37" w:rsidRDefault="00210516" w:rsidP="00925E16">
      <w:pPr>
        <w:pStyle w:val="Paragraphe"/>
        <w:spacing w:line="240" w:lineRule="auto"/>
        <w:rPr>
          <w:lang w:val="en-CA"/>
        </w:rPr>
      </w:pPr>
      <w:r w:rsidRPr="00187E37">
        <w:rPr>
          <w:lang w:val="en-CA"/>
        </w:rPr>
        <w:t xml:space="preserve">This </w:t>
      </w:r>
      <w:r w:rsidR="00B56A49">
        <w:rPr>
          <w:lang w:val="en-CA"/>
        </w:rPr>
        <w:t>argument</w:t>
      </w:r>
      <w:r w:rsidR="00B56A49" w:rsidRPr="00187E37">
        <w:rPr>
          <w:lang w:val="en-CA"/>
        </w:rPr>
        <w:t xml:space="preserve"> </w:t>
      </w:r>
      <w:r w:rsidRPr="00187E37">
        <w:rPr>
          <w:lang w:val="en-CA"/>
        </w:rPr>
        <w:t>must be rejected.</w:t>
      </w:r>
    </w:p>
    <w:p w14:paraId="0B97AFAB" w14:textId="77777777" w:rsidR="00210516" w:rsidRPr="00187E37" w:rsidRDefault="00210516" w:rsidP="00925E16">
      <w:pPr>
        <w:pStyle w:val="Paragraphe"/>
        <w:spacing w:line="240" w:lineRule="auto"/>
        <w:rPr>
          <w:lang w:val="en-CA"/>
        </w:rPr>
      </w:pPr>
      <w:r w:rsidRPr="00187E37">
        <w:rPr>
          <w:lang w:val="en-CA"/>
        </w:rPr>
        <w:t xml:space="preserve">It is clear that the judge in no way neglected this </w:t>
      </w:r>
      <w:r w:rsidR="00D029D6">
        <w:rPr>
          <w:lang w:val="en-CA"/>
        </w:rPr>
        <w:t>component</w:t>
      </w:r>
      <w:r w:rsidRPr="00187E37">
        <w:rPr>
          <w:lang w:val="en-CA"/>
        </w:rPr>
        <w:t xml:space="preserve"> of the test. On the contrary, she concluded that there was goodwill </w:t>
      </w:r>
      <w:r w:rsidR="00625C09">
        <w:rPr>
          <w:lang w:val="en-CA"/>
        </w:rPr>
        <w:t>[</w:t>
      </w:r>
      <w:r w:rsidR="00625C09" w:rsidRPr="00F97261">
        <w:rPr>
          <w:smallCaps/>
          <w:lang w:val="en-CA"/>
        </w:rPr>
        <w:t>translation</w:t>
      </w:r>
      <w:r w:rsidR="00625C09">
        <w:rPr>
          <w:lang w:val="en-CA"/>
        </w:rPr>
        <w:t>] “attached to</w:t>
      </w:r>
      <w:r w:rsidR="00625C09" w:rsidRPr="00187E37">
        <w:rPr>
          <w:lang w:val="en-CA"/>
        </w:rPr>
        <w:t xml:space="preserve"> </w:t>
      </w:r>
      <w:r w:rsidRPr="00187E37">
        <w:rPr>
          <w:lang w:val="en-CA"/>
        </w:rPr>
        <w:t xml:space="preserve">the distinctive character of the trade name and the </w:t>
      </w:r>
      <w:r w:rsidR="00D029D6">
        <w:rPr>
          <w:lang w:val="en-CA"/>
        </w:rPr>
        <w:t xml:space="preserve">mark </w:t>
      </w:r>
      <w:r w:rsidRPr="00187E37">
        <w:rPr>
          <w:lang w:val="en-CA"/>
        </w:rPr>
        <w:t>CABANONS MIRABE</w:t>
      </w:r>
      <w:r w:rsidR="00D029D6">
        <w:rPr>
          <w:lang w:val="en-CA"/>
        </w:rPr>
        <w:t>L</w:t>
      </w:r>
      <w:r w:rsidR="00625C09">
        <w:rPr>
          <w:lang w:val="en-CA"/>
        </w:rPr>
        <w:t>”</w:t>
      </w:r>
      <w:r w:rsidRPr="00187E37">
        <w:rPr>
          <w:lang w:val="en-CA"/>
        </w:rPr>
        <w:t>.</w:t>
      </w:r>
      <w:r w:rsidRPr="00187E37">
        <w:rPr>
          <w:rStyle w:val="Appelnotedebasdep"/>
          <w:lang w:val="en-CA"/>
        </w:rPr>
        <w:footnoteReference w:id="17"/>
      </w:r>
      <w:r w:rsidRPr="00187E37">
        <w:rPr>
          <w:lang w:val="en-CA"/>
        </w:rPr>
        <w:t xml:space="preserve"> She noted that</w:t>
      </w:r>
      <w:r w:rsidR="00625C09">
        <w:rPr>
          <w:lang w:val="en-CA"/>
        </w:rPr>
        <w:t xml:space="preserve"> [</w:t>
      </w:r>
      <w:r w:rsidR="00625C09" w:rsidRPr="00F97261">
        <w:rPr>
          <w:smallCaps/>
          <w:lang w:val="en-CA"/>
        </w:rPr>
        <w:t>translation</w:t>
      </w:r>
      <w:r w:rsidR="00625C09">
        <w:rPr>
          <w:lang w:val="en-CA"/>
        </w:rPr>
        <w:t>]</w:t>
      </w:r>
      <w:r w:rsidRPr="00187E37">
        <w:rPr>
          <w:lang w:val="en-CA"/>
        </w:rPr>
        <w:t xml:space="preserve"> </w:t>
      </w:r>
      <w:r w:rsidR="00625C09">
        <w:rPr>
          <w:lang w:val="en-CA"/>
        </w:rPr>
        <w:t>“</w:t>
      </w:r>
      <w:r w:rsidRPr="00187E37">
        <w:rPr>
          <w:lang w:val="en-CA"/>
        </w:rPr>
        <w:t>consumers testified that they know and look for CABANONS MIRABEL products and services, a mark that has become distinctive in their eyes</w:t>
      </w:r>
      <w:r w:rsidR="00625C09">
        <w:rPr>
          <w:lang w:val="en-CA"/>
        </w:rPr>
        <w:t>”</w:t>
      </w:r>
      <w:r w:rsidRPr="00187E37">
        <w:rPr>
          <w:lang w:val="en-CA"/>
        </w:rPr>
        <w:t>.</w:t>
      </w:r>
      <w:r w:rsidRPr="00187E37">
        <w:rPr>
          <w:rStyle w:val="Appelnotedebasdep"/>
          <w:lang w:val="en-CA"/>
        </w:rPr>
        <w:footnoteReference w:id="18"/>
      </w:r>
      <w:r w:rsidRPr="00187E37">
        <w:rPr>
          <w:lang w:val="en-CA"/>
        </w:rPr>
        <w:t xml:space="preserve"> Similarly, she noted that the respondent </w:t>
      </w:r>
      <w:r w:rsidR="00625C09">
        <w:rPr>
          <w:lang w:val="en-CA"/>
        </w:rPr>
        <w:t>[</w:t>
      </w:r>
      <w:r w:rsidR="00625C09" w:rsidRPr="00F97261">
        <w:rPr>
          <w:smallCaps/>
          <w:lang w:val="en-CA"/>
        </w:rPr>
        <w:t>translation</w:t>
      </w:r>
      <w:r w:rsidR="00625C09">
        <w:rPr>
          <w:lang w:val="en-CA"/>
        </w:rPr>
        <w:t>] “</w:t>
      </w:r>
      <w:r w:rsidRPr="00187E37">
        <w:rPr>
          <w:lang w:val="en-CA"/>
        </w:rPr>
        <w:t>has carried out major promotional campaigns on the radio, in newspapers</w:t>
      </w:r>
      <w:r w:rsidR="00625C09">
        <w:rPr>
          <w:lang w:val="en-CA"/>
        </w:rPr>
        <w:t>,</w:t>
      </w:r>
      <w:r w:rsidRPr="00187E37">
        <w:rPr>
          <w:lang w:val="en-CA"/>
        </w:rPr>
        <w:t xml:space="preserve"> and on billboards on Highway 15 to publicize its CABANONS MIRABEL mark and advertise its products to consumers in the </w:t>
      </w:r>
      <w:r w:rsidR="005C31D6">
        <w:rPr>
          <w:lang w:val="en-CA"/>
        </w:rPr>
        <w:t>area”</w:t>
      </w:r>
      <w:r w:rsidRPr="00187E37">
        <w:rPr>
          <w:lang w:val="en-CA"/>
        </w:rPr>
        <w:t>.</w:t>
      </w:r>
      <w:r w:rsidRPr="00187E37">
        <w:rPr>
          <w:rStyle w:val="Appelnotedebasdep"/>
          <w:lang w:val="en-CA"/>
        </w:rPr>
        <w:footnoteReference w:id="19"/>
      </w:r>
      <w:r w:rsidRPr="00187E37">
        <w:rPr>
          <w:lang w:val="en-CA"/>
        </w:rPr>
        <w:t xml:space="preserve"> In light of these findings, the judge</w:t>
      </w:r>
      <w:r w:rsidR="008D5524" w:rsidRPr="00187E37">
        <w:rPr>
          <w:lang w:val="en-CA"/>
        </w:rPr>
        <w:t>’</w:t>
      </w:r>
      <w:r w:rsidRPr="00187E37">
        <w:rPr>
          <w:lang w:val="en-CA"/>
        </w:rPr>
        <w:t>s conclusion that goodwill is related to the distinctive character of the respondent</w:t>
      </w:r>
      <w:r w:rsidR="008D5524" w:rsidRPr="00187E37">
        <w:rPr>
          <w:lang w:val="en-CA"/>
        </w:rPr>
        <w:t>’</w:t>
      </w:r>
      <w:r w:rsidRPr="00187E37">
        <w:rPr>
          <w:lang w:val="en-CA"/>
        </w:rPr>
        <w:t xml:space="preserve">s mark is reasonable. This is a question of fact and the appellants did not demonstrate any </w:t>
      </w:r>
      <w:r w:rsidR="00E22142">
        <w:rPr>
          <w:lang w:val="en-CA"/>
        </w:rPr>
        <w:t>palpable</w:t>
      </w:r>
      <w:r w:rsidR="00E22142" w:rsidRPr="00187E37">
        <w:rPr>
          <w:lang w:val="en-CA"/>
        </w:rPr>
        <w:t xml:space="preserve"> </w:t>
      </w:r>
      <w:r w:rsidRPr="00187E37">
        <w:rPr>
          <w:lang w:val="en-CA"/>
        </w:rPr>
        <w:t>and overriding error.</w:t>
      </w:r>
    </w:p>
    <w:p w14:paraId="553AE253" w14:textId="77777777" w:rsidR="00210516" w:rsidRPr="00187E37" w:rsidRDefault="00210516" w:rsidP="00925E16">
      <w:pPr>
        <w:pStyle w:val="Paragraphe"/>
        <w:spacing w:line="240" w:lineRule="auto"/>
        <w:rPr>
          <w:lang w:val="en-CA"/>
        </w:rPr>
      </w:pPr>
      <w:r w:rsidRPr="00187E37">
        <w:rPr>
          <w:lang w:val="en-CA"/>
        </w:rPr>
        <w:t xml:space="preserve">I would add that the scope of this </w:t>
      </w:r>
      <w:r w:rsidR="008D5524" w:rsidRPr="00187E37">
        <w:rPr>
          <w:lang w:val="en-CA"/>
        </w:rPr>
        <w:t>component</w:t>
      </w:r>
      <w:r w:rsidRPr="00187E37">
        <w:rPr>
          <w:lang w:val="en-CA"/>
        </w:rPr>
        <w:t xml:space="preserve"> is limited. Once the court finds the existence of goodwill, assessing the </w:t>
      </w:r>
      <w:r w:rsidR="00E170B0">
        <w:rPr>
          <w:lang w:val="en-CA"/>
        </w:rPr>
        <w:t>attachment</w:t>
      </w:r>
      <w:r w:rsidR="00E170B0" w:rsidRPr="00187E37">
        <w:rPr>
          <w:lang w:val="en-CA"/>
        </w:rPr>
        <w:t xml:space="preserve"> </w:t>
      </w:r>
      <w:r w:rsidR="00E170B0">
        <w:rPr>
          <w:lang w:val="en-CA"/>
        </w:rPr>
        <w:t>comes down</w:t>
      </w:r>
      <w:r w:rsidR="00E170B0" w:rsidRPr="00187E37">
        <w:rPr>
          <w:lang w:val="en-CA"/>
        </w:rPr>
        <w:t xml:space="preserve"> </w:t>
      </w:r>
      <w:r w:rsidRPr="00187E37">
        <w:rPr>
          <w:lang w:val="en-CA"/>
        </w:rPr>
        <w:t>to</w:t>
      </w:r>
      <w:r w:rsidR="008D5524" w:rsidRPr="00187E37">
        <w:rPr>
          <w:lang w:val="en-CA"/>
        </w:rPr>
        <w:t xml:space="preserve"> </w:t>
      </w:r>
      <w:r w:rsidR="00D15946">
        <w:rPr>
          <w:lang w:val="en-CA"/>
        </w:rPr>
        <w:t>[</w:t>
      </w:r>
      <w:r w:rsidR="00D15946" w:rsidRPr="004A0359">
        <w:rPr>
          <w:smallCaps/>
          <w:lang w:val="en-CA"/>
        </w:rPr>
        <w:t>translation</w:t>
      </w:r>
      <w:r w:rsidR="00D15946">
        <w:rPr>
          <w:lang w:val="en-CA"/>
        </w:rPr>
        <w:t>] “</w:t>
      </w:r>
      <w:r w:rsidR="008D5524" w:rsidRPr="00187E37">
        <w:rPr>
          <w:lang w:val="en-CA"/>
        </w:rPr>
        <w:t>determining</w:t>
      </w:r>
      <w:r w:rsidR="00D15946">
        <w:rPr>
          <w:lang w:val="en-CA"/>
        </w:rPr>
        <w:t>”</w:t>
      </w:r>
      <w:r w:rsidRPr="00187E37">
        <w:rPr>
          <w:lang w:val="en-CA"/>
        </w:rPr>
        <w:t xml:space="preserve"> the part of the goodwill that </w:t>
      </w:r>
      <w:r w:rsidR="008D5524" w:rsidRPr="00187E37">
        <w:rPr>
          <w:lang w:val="en-CA"/>
        </w:rPr>
        <w:t>results from</w:t>
      </w:r>
      <w:r w:rsidRPr="00187E37">
        <w:rPr>
          <w:lang w:val="en-CA"/>
        </w:rPr>
        <w:t xml:space="preserve"> the distinctive character of a mark.</w:t>
      </w:r>
      <w:r w:rsidR="008D5524" w:rsidRPr="00187E37">
        <w:rPr>
          <w:vertAlign w:val="superscript"/>
          <w:lang w:val="en-CA"/>
        </w:rPr>
        <w:footnoteReference w:id="20"/>
      </w:r>
      <w:r w:rsidRPr="00187E37">
        <w:rPr>
          <w:lang w:val="en-CA"/>
        </w:rPr>
        <w:t xml:space="preserve"> In practice, once the plaintiff </w:t>
      </w:r>
      <w:r w:rsidR="00E170B0">
        <w:rPr>
          <w:lang w:val="en-CA"/>
        </w:rPr>
        <w:t>proves</w:t>
      </w:r>
      <w:r w:rsidR="00E170B0" w:rsidRPr="00187E37">
        <w:rPr>
          <w:lang w:val="en-CA"/>
        </w:rPr>
        <w:t xml:space="preserve"> </w:t>
      </w:r>
      <w:r w:rsidRPr="00187E37">
        <w:rPr>
          <w:lang w:val="en-CA"/>
        </w:rPr>
        <w:t xml:space="preserve">the existence of goodwill, </w:t>
      </w:r>
      <w:r w:rsidR="00E170B0">
        <w:rPr>
          <w:lang w:val="en-CA"/>
        </w:rPr>
        <w:t>care must be taken to ensure</w:t>
      </w:r>
      <w:r w:rsidRPr="00187E37">
        <w:rPr>
          <w:lang w:val="en-CA"/>
        </w:rPr>
        <w:t xml:space="preserve"> that the goodwill is not related to another </w:t>
      </w:r>
      <w:r w:rsidR="008D5524" w:rsidRPr="00187E37">
        <w:rPr>
          <w:lang w:val="en-CA"/>
        </w:rPr>
        <w:t xml:space="preserve">distinctive </w:t>
      </w:r>
      <w:r w:rsidRPr="00187E37">
        <w:rPr>
          <w:lang w:val="en-CA"/>
        </w:rPr>
        <w:t>element of the plaintiff</w:t>
      </w:r>
      <w:r w:rsidR="008D5524" w:rsidRPr="00187E37">
        <w:rPr>
          <w:lang w:val="en-CA"/>
        </w:rPr>
        <w:t>’</w:t>
      </w:r>
      <w:r w:rsidRPr="00187E37">
        <w:rPr>
          <w:lang w:val="en-CA"/>
        </w:rPr>
        <w:t xml:space="preserve">s products, </w:t>
      </w:r>
      <w:r w:rsidR="00E170B0">
        <w:rPr>
          <w:lang w:val="en-CA"/>
        </w:rPr>
        <w:t xml:space="preserve">for example, </w:t>
      </w:r>
      <w:r w:rsidRPr="00187E37">
        <w:rPr>
          <w:lang w:val="en-CA"/>
        </w:rPr>
        <w:t xml:space="preserve"> their </w:t>
      </w:r>
      <w:r w:rsidR="00E170B0">
        <w:rPr>
          <w:lang w:val="en-CA"/>
        </w:rPr>
        <w:t xml:space="preserve">physical </w:t>
      </w:r>
      <w:r w:rsidRPr="00187E37">
        <w:rPr>
          <w:lang w:val="en-CA"/>
        </w:rPr>
        <w:t>appearance. The more difficult it is to recognize a company</w:t>
      </w:r>
      <w:r w:rsidR="008D5524" w:rsidRPr="00187E37">
        <w:rPr>
          <w:lang w:val="en-CA"/>
        </w:rPr>
        <w:t>’</w:t>
      </w:r>
      <w:r w:rsidRPr="00187E37">
        <w:rPr>
          <w:lang w:val="en-CA"/>
        </w:rPr>
        <w:t xml:space="preserve">s products </w:t>
      </w:r>
      <w:r w:rsidR="008D5524" w:rsidRPr="00187E37">
        <w:rPr>
          <w:lang w:val="en-CA"/>
        </w:rPr>
        <w:t>through</w:t>
      </w:r>
      <w:r w:rsidRPr="00187E37">
        <w:rPr>
          <w:lang w:val="en-CA"/>
        </w:rPr>
        <w:t xml:space="preserve"> other distinctive elements, the more the goodwill of </w:t>
      </w:r>
      <w:r w:rsidR="00E170B0">
        <w:rPr>
          <w:lang w:val="en-CA"/>
        </w:rPr>
        <w:t>that</w:t>
      </w:r>
      <w:r w:rsidRPr="00187E37">
        <w:rPr>
          <w:lang w:val="en-CA"/>
        </w:rPr>
        <w:t xml:space="preserve"> a company is likely to be explained by its trademark. In this case, it is established that the respondent</w:t>
      </w:r>
      <w:r w:rsidR="008D5524" w:rsidRPr="00187E37">
        <w:rPr>
          <w:lang w:val="en-CA"/>
        </w:rPr>
        <w:t>’</w:t>
      </w:r>
      <w:r w:rsidRPr="00187E37">
        <w:rPr>
          <w:lang w:val="en-CA"/>
        </w:rPr>
        <w:t>s products and the appellants</w:t>
      </w:r>
      <w:r w:rsidR="008D5524" w:rsidRPr="00187E37">
        <w:rPr>
          <w:lang w:val="en-CA"/>
        </w:rPr>
        <w:t>’</w:t>
      </w:r>
      <w:r w:rsidRPr="00187E37">
        <w:rPr>
          <w:lang w:val="en-CA"/>
        </w:rPr>
        <w:t xml:space="preserve"> products are similar. Accordingly, the conclusion that the goodwill is connected to the trademark is reasonable.</w:t>
      </w:r>
    </w:p>
    <w:p w14:paraId="4F0974A0" w14:textId="77777777" w:rsidR="008D5524" w:rsidRPr="00187E37" w:rsidRDefault="008D5524" w:rsidP="00925E16">
      <w:pPr>
        <w:pStyle w:val="Paragraphe"/>
        <w:spacing w:line="240" w:lineRule="auto"/>
        <w:rPr>
          <w:lang w:val="en-CA"/>
        </w:rPr>
      </w:pPr>
      <w:r w:rsidRPr="00187E37">
        <w:rPr>
          <w:lang w:val="en-CA"/>
        </w:rPr>
        <w:t xml:space="preserve">This component must also be adapted to take into account the fact that the searches take place on the Internet. The notion of “recognizing” the product must be interpreted differently when it comes to Internet searches </w:t>
      </w:r>
      <w:r w:rsidR="00A433C7">
        <w:rPr>
          <w:lang w:val="en-CA"/>
        </w:rPr>
        <w:t>rather than</w:t>
      </w:r>
      <w:r w:rsidR="00A433C7" w:rsidRPr="00187E37">
        <w:rPr>
          <w:lang w:val="en-CA"/>
        </w:rPr>
        <w:t xml:space="preserve"> </w:t>
      </w:r>
      <w:r w:rsidRPr="00187E37">
        <w:rPr>
          <w:lang w:val="en-CA"/>
        </w:rPr>
        <w:t xml:space="preserve">products on a store’s shelves. In my opinion, for this component, it is enough </w:t>
      </w:r>
      <w:r w:rsidR="00E85335">
        <w:rPr>
          <w:lang w:val="en-CA"/>
        </w:rPr>
        <w:t xml:space="preserve">to </w:t>
      </w:r>
      <w:r w:rsidR="00A433C7">
        <w:rPr>
          <w:lang w:val="en-CA"/>
        </w:rPr>
        <w:t xml:space="preserve">prove </w:t>
      </w:r>
      <w:r w:rsidR="00E85335">
        <w:rPr>
          <w:lang w:val="en-CA"/>
        </w:rPr>
        <w:t>that</w:t>
      </w:r>
      <w:r w:rsidRPr="00187E37">
        <w:rPr>
          <w:lang w:val="en-CA"/>
        </w:rPr>
        <w:t xml:space="preserve"> the public </w:t>
      </w:r>
      <w:r w:rsidR="00A433C7">
        <w:rPr>
          <w:lang w:val="en-CA"/>
        </w:rPr>
        <w:t>uses the copied element to search</w:t>
      </w:r>
      <w:r w:rsidR="00A433C7" w:rsidRPr="00187E37">
        <w:rPr>
          <w:lang w:val="en-CA"/>
        </w:rPr>
        <w:t xml:space="preserve"> </w:t>
      </w:r>
      <w:r w:rsidRPr="00187E37">
        <w:rPr>
          <w:lang w:val="en-CA"/>
        </w:rPr>
        <w:t xml:space="preserve">for the product on the Internet, namely the name Cabanons Mirabel. I will </w:t>
      </w:r>
      <w:r w:rsidR="00A433C7">
        <w:rPr>
          <w:lang w:val="en-CA"/>
        </w:rPr>
        <w:t>return</w:t>
      </w:r>
      <w:r w:rsidR="00A433C7" w:rsidRPr="00187E37">
        <w:rPr>
          <w:lang w:val="en-CA"/>
        </w:rPr>
        <w:t xml:space="preserve"> </w:t>
      </w:r>
      <w:r w:rsidRPr="00187E37">
        <w:rPr>
          <w:lang w:val="en-CA"/>
        </w:rPr>
        <w:t>to this.</w:t>
      </w:r>
    </w:p>
    <w:p w14:paraId="38CBFC3C" w14:textId="77777777" w:rsidR="005110B7" w:rsidRPr="00187E37" w:rsidRDefault="00846D82" w:rsidP="004A0359">
      <w:pPr>
        <w:pStyle w:val="Paragraphe"/>
        <w:keepNext/>
        <w:numPr>
          <w:ilvl w:val="1"/>
          <w:numId w:val="19"/>
        </w:numPr>
        <w:spacing w:line="240" w:lineRule="auto"/>
        <w:rPr>
          <w:b/>
          <w:lang w:val="en-CA"/>
        </w:rPr>
      </w:pPr>
      <w:r w:rsidRPr="00187E37">
        <w:rPr>
          <w:b/>
          <w:lang w:val="en-CA"/>
        </w:rPr>
        <w:lastRenderedPageBreak/>
        <w:t>Deception of the public due to a misrepresentation</w:t>
      </w:r>
    </w:p>
    <w:p w14:paraId="04986909" w14:textId="77777777" w:rsidR="00846D82" w:rsidRPr="00187E37" w:rsidRDefault="00846D82" w:rsidP="004A0359">
      <w:pPr>
        <w:pStyle w:val="Paragraphe"/>
        <w:keepNext/>
        <w:spacing w:line="240" w:lineRule="auto"/>
        <w:rPr>
          <w:lang w:val="en-CA"/>
        </w:rPr>
      </w:pPr>
      <w:r w:rsidRPr="00187E37">
        <w:rPr>
          <w:lang w:val="en-CA"/>
        </w:rPr>
        <w:t xml:space="preserve">This second </w:t>
      </w:r>
      <w:r w:rsidR="00AC3F97">
        <w:rPr>
          <w:lang w:val="en-CA"/>
        </w:rPr>
        <w:t>requirement</w:t>
      </w:r>
      <w:r w:rsidR="00AC3F97" w:rsidRPr="00187E37">
        <w:rPr>
          <w:lang w:val="en-CA"/>
        </w:rPr>
        <w:t xml:space="preserve"> </w:t>
      </w:r>
      <w:r w:rsidRPr="00187E37">
        <w:rPr>
          <w:lang w:val="en-CA"/>
        </w:rPr>
        <w:t>has two components, which Benoît Moore</w:t>
      </w:r>
      <w:r w:rsidR="00AC3F97">
        <w:rPr>
          <w:lang w:val="en-CA"/>
        </w:rPr>
        <w:t xml:space="preserve"> J.</w:t>
      </w:r>
      <w:r w:rsidRPr="00187E37">
        <w:rPr>
          <w:lang w:val="en-CA"/>
        </w:rPr>
        <w:t xml:space="preserve">, </w:t>
      </w:r>
      <w:r w:rsidR="00AC3F97">
        <w:rPr>
          <w:lang w:val="en-CA"/>
        </w:rPr>
        <w:t>as he then was</w:t>
      </w:r>
      <w:r w:rsidRPr="00187E37">
        <w:rPr>
          <w:lang w:val="en-CA"/>
        </w:rPr>
        <w:t xml:space="preserve">, explained in </w:t>
      </w:r>
      <w:r w:rsidRPr="00187E37">
        <w:rPr>
          <w:i/>
          <w:iCs/>
          <w:lang w:val="en-CA"/>
        </w:rPr>
        <w:t>9248-9533 Québec inc</w:t>
      </w:r>
      <w:r w:rsidRPr="00187E37">
        <w:rPr>
          <w:lang w:val="en-CA"/>
        </w:rPr>
        <w:t xml:space="preserve">. </w:t>
      </w:r>
      <w:r w:rsidRPr="00E85335">
        <w:rPr>
          <w:i/>
          <w:iCs/>
          <w:lang w:val="en-CA"/>
        </w:rPr>
        <w:t>c</w:t>
      </w:r>
      <w:r w:rsidRPr="00187E37">
        <w:rPr>
          <w:lang w:val="en-CA"/>
        </w:rPr>
        <w:t xml:space="preserve">. </w:t>
      </w:r>
      <w:r w:rsidRPr="00187E37">
        <w:rPr>
          <w:i/>
          <w:iCs/>
          <w:lang w:val="en-CA"/>
        </w:rPr>
        <w:t>Industries Désormeau inc</w:t>
      </w:r>
      <w:r w:rsidRPr="00187E37">
        <w:rPr>
          <w:lang w:val="en-CA"/>
        </w:rPr>
        <w:t>.:</w:t>
      </w:r>
    </w:p>
    <w:p w14:paraId="66022C93" w14:textId="77777777" w:rsidR="000D6EA6" w:rsidRDefault="00846D82" w:rsidP="00925E16">
      <w:pPr>
        <w:pStyle w:val="Citationenretrait"/>
        <w:spacing w:line="240" w:lineRule="auto"/>
        <w:rPr>
          <w:lang w:val="en-CA"/>
        </w:rPr>
      </w:pPr>
      <w:r w:rsidRPr="00187E37">
        <w:rPr>
          <w:lang w:val="en-CA"/>
        </w:rPr>
        <w:t>[</w:t>
      </w:r>
      <w:r w:rsidR="000D6EA6">
        <w:rPr>
          <w:smallCaps/>
          <w:lang w:val="en-CA"/>
        </w:rPr>
        <w:t>translation</w:t>
      </w:r>
      <w:r w:rsidRPr="00187E37">
        <w:rPr>
          <w:lang w:val="en-CA"/>
        </w:rPr>
        <w:t xml:space="preserve">] </w:t>
      </w:r>
    </w:p>
    <w:p w14:paraId="7C74E6FB" w14:textId="77777777" w:rsidR="00846D82" w:rsidRPr="00187E37" w:rsidRDefault="005110B7" w:rsidP="00925E16">
      <w:pPr>
        <w:pStyle w:val="Citationenretrait"/>
        <w:spacing w:line="240" w:lineRule="auto"/>
        <w:rPr>
          <w:lang w:val="en-CA"/>
        </w:rPr>
      </w:pPr>
      <w:r w:rsidRPr="00187E37">
        <w:rPr>
          <w:lang w:val="en-CA"/>
        </w:rPr>
        <w:t>[68]</w:t>
      </w:r>
      <w:r w:rsidRPr="00187E37">
        <w:rPr>
          <w:lang w:val="en-CA"/>
        </w:rPr>
        <w:tab/>
      </w:r>
      <w:r w:rsidR="00846D82" w:rsidRPr="00187E37">
        <w:rPr>
          <w:lang w:val="en-CA"/>
        </w:rPr>
        <w:t xml:space="preserve">The second </w:t>
      </w:r>
      <w:r w:rsidR="000D6EA6">
        <w:rPr>
          <w:lang w:val="en-CA"/>
        </w:rPr>
        <w:t>requirement</w:t>
      </w:r>
      <w:r w:rsidR="000D6EA6" w:rsidRPr="00187E37">
        <w:rPr>
          <w:lang w:val="en-CA"/>
        </w:rPr>
        <w:t xml:space="preserve"> </w:t>
      </w:r>
      <w:r w:rsidR="000D6EA6">
        <w:rPr>
          <w:lang w:val="en-CA"/>
        </w:rPr>
        <w:t xml:space="preserve">is to demonstrate </w:t>
      </w:r>
      <w:r w:rsidR="00846D82" w:rsidRPr="00187E37">
        <w:rPr>
          <w:lang w:val="en-CA"/>
        </w:rPr>
        <w:t xml:space="preserve">a misrepresentation causing confusion </w:t>
      </w:r>
      <w:r w:rsidR="000D6EA6">
        <w:rPr>
          <w:lang w:val="en-CA"/>
        </w:rPr>
        <w:t>in</w:t>
      </w:r>
      <w:r w:rsidR="000D6EA6" w:rsidRPr="00187E37">
        <w:rPr>
          <w:lang w:val="en-CA"/>
        </w:rPr>
        <w:t xml:space="preserve"> </w:t>
      </w:r>
      <w:r w:rsidR="00846D82" w:rsidRPr="00187E37">
        <w:rPr>
          <w:lang w:val="en-CA"/>
        </w:rPr>
        <w:t xml:space="preserve">the public and endangering </w:t>
      </w:r>
      <w:r w:rsidR="00E85335">
        <w:rPr>
          <w:lang w:val="en-CA"/>
        </w:rPr>
        <w:t xml:space="preserve">the </w:t>
      </w:r>
      <w:r w:rsidR="00846D82" w:rsidRPr="00187E37">
        <w:rPr>
          <w:lang w:val="en-CA"/>
        </w:rPr>
        <w:t xml:space="preserve">goodwill and reputation of the mark. This condition </w:t>
      </w:r>
      <w:r w:rsidR="000D6EA6">
        <w:rPr>
          <w:lang w:val="en-CA"/>
        </w:rPr>
        <w:t>is</w:t>
      </w:r>
      <w:r w:rsidR="000D6EA6" w:rsidRPr="00187E37">
        <w:rPr>
          <w:lang w:val="en-CA"/>
        </w:rPr>
        <w:t xml:space="preserve"> </w:t>
      </w:r>
      <w:r w:rsidR="00846D82" w:rsidRPr="00187E37">
        <w:rPr>
          <w:lang w:val="en-CA"/>
        </w:rPr>
        <w:t xml:space="preserve">a </w:t>
      </w:r>
      <w:r w:rsidR="00846D82" w:rsidRPr="00187E37">
        <w:rPr>
          <w:u w:val="single"/>
          <w:lang w:val="en-CA"/>
        </w:rPr>
        <w:t xml:space="preserve">hybrid </w:t>
      </w:r>
      <w:r w:rsidR="000D6EA6">
        <w:rPr>
          <w:u w:val="single"/>
          <w:lang w:val="en-CA"/>
        </w:rPr>
        <w:t>condition</w:t>
      </w:r>
      <w:r w:rsidR="000D6EA6" w:rsidRPr="00187E37">
        <w:rPr>
          <w:lang w:val="en-CA"/>
        </w:rPr>
        <w:t xml:space="preserve"> </w:t>
      </w:r>
      <w:r w:rsidR="00846D82" w:rsidRPr="00187E37">
        <w:rPr>
          <w:lang w:val="en-CA"/>
        </w:rPr>
        <w:t xml:space="preserve">in that it </w:t>
      </w:r>
      <w:r w:rsidR="00E63A37">
        <w:rPr>
          <w:lang w:val="en-CA"/>
        </w:rPr>
        <w:t>pertains</w:t>
      </w:r>
      <w:r w:rsidR="00E85335">
        <w:rPr>
          <w:lang w:val="en-CA"/>
        </w:rPr>
        <w:t>,</w:t>
      </w:r>
      <w:r w:rsidR="001346D5" w:rsidRPr="00187E37">
        <w:rPr>
          <w:lang w:val="en-CA"/>
        </w:rPr>
        <w:t xml:space="preserve"> on the one hand,</w:t>
      </w:r>
      <w:r w:rsidR="00846D82" w:rsidRPr="00187E37">
        <w:rPr>
          <w:lang w:val="en-CA"/>
        </w:rPr>
        <w:t xml:space="preserve"> </w:t>
      </w:r>
      <w:r w:rsidR="00E63A37">
        <w:rPr>
          <w:lang w:val="en-CA"/>
        </w:rPr>
        <w:t xml:space="preserve">to </w:t>
      </w:r>
      <w:r w:rsidR="00846D82" w:rsidRPr="00187E37">
        <w:rPr>
          <w:lang w:val="en-CA"/>
        </w:rPr>
        <w:t xml:space="preserve">the fault of the </w:t>
      </w:r>
      <w:r w:rsidR="00E63A37">
        <w:rPr>
          <w:lang w:val="en-CA"/>
        </w:rPr>
        <w:t>person who committed it</w:t>
      </w:r>
      <w:r w:rsidR="00E63A37" w:rsidRPr="00187E37">
        <w:rPr>
          <w:lang w:val="en-CA"/>
        </w:rPr>
        <w:t xml:space="preserve"> </w:t>
      </w:r>
      <w:r w:rsidR="00846D82" w:rsidRPr="00187E37">
        <w:rPr>
          <w:lang w:val="en-CA"/>
        </w:rPr>
        <w:t xml:space="preserve">(the misrepresentation) and, on the other hand, </w:t>
      </w:r>
      <w:r w:rsidR="00E63A37">
        <w:rPr>
          <w:lang w:val="en-CA"/>
        </w:rPr>
        <w:t xml:space="preserve">to </w:t>
      </w:r>
      <w:r w:rsidR="00846D82" w:rsidRPr="00187E37">
        <w:rPr>
          <w:lang w:val="en-CA"/>
        </w:rPr>
        <w:t>the victim</w:t>
      </w:r>
      <w:r w:rsidR="00E22142">
        <w:rPr>
          <w:lang w:val="en-CA"/>
        </w:rPr>
        <w:t>’s injury</w:t>
      </w:r>
      <w:r w:rsidR="00846D82" w:rsidRPr="00187E37">
        <w:rPr>
          <w:lang w:val="en-CA"/>
        </w:rPr>
        <w:t xml:space="preserve"> (the confusion).</w:t>
      </w:r>
      <w:r w:rsidR="00846D82" w:rsidRPr="00187E37">
        <w:rPr>
          <w:rStyle w:val="Appelnotedebasdep"/>
          <w:lang w:val="en-CA"/>
        </w:rPr>
        <w:footnoteReference w:id="21"/>
      </w:r>
    </w:p>
    <w:p w14:paraId="2BCE1462" w14:textId="77777777" w:rsidR="005110B7" w:rsidRPr="00187E37" w:rsidRDefault="005110B7" w:rsidP="00925E16">
      <w:pPr>
        <w:pStyle w:val="Citationenretrait"/>
        <w:spacing w:line="240" w:lineRule="auto"/>
        <w:jc w:val="right"/>
        <w:rPr>
          <w:lang w:val="en-CA"/>
        </w:rPr>
      </w:pPr>
      <w:r w:rsidRPr="00187E37">
        <w:rPr>
          <w:lang w:val="en-CA"/>
        </w:rPr>
        <w:t>[</w:t>
      </w:r>
      <w:r w:rsidR="00846D82" w:rsidRPr="00187E37">
        <w:rPr>
          <w:lang w:val="en-CA"/>
        </w:rPr>
        <w:t>Emphasis added</w:t>
      </w:r>
      <w:r w:rsidRPr="00187E37">
        <w:rPr>
          <w:lang w:val="en-CA"/>
        </w:rPr>
        <w:t>]</w:t>
      </w:r>
    </w:p>
    <w:p w14:paraId="1BF0CE58" w14:textId="77777777" w:rsidR="00846D82" w:rsidRPr="00187E37" w:rsidRDefault="00846D82" w:rsidP="00925E16">
      <w:pPr>
        <w:pStyle w:val="Paragraphe"/>
        <w:spacing w:line="240" w:lineRule="auto"/>
        <w:rPr>
          <w:lang w:val="en-CA"/>
        </w:rPr>
      </w:pPr>
      <w:r w:rsidRPr="00187E37">
        <w:rPr>
          <w:lang w:val="en-CA"/>
        </w:rPr>
        <w:t xml:space="preserve">The first component, misrepresentation, is often </w:t>
      </w:r>
      <w:r w:rsidR="00BD37A3">
        <w:rPr>
          <w:lang w:val="en-CA"/>
        </w:rPr>
        <w:t>inferred</w:t>
      </w:r>
      <w:r w:rsidR="00BD37A3" w:rsidRPr="00187E37">
        <w:rPr>
          <w:lang w:val="en-CA"/>
        </w:rPr>
        <w:t xml:space="preserve"> </w:t>
      </w:r>
      <w:r w:rsidRPr="00187E37">
        <w:rPr>
          <w:lang w:val="en-CA"/>
        </w:rPr>
        <w:t>by the courts</w:t>
      </w:r>
      <w:r w:rsidRPr="00187E37">
        <w:rPr>
          <w:rStyle w:val="Appelnotedebasdep"/>
          <w:lang w:val="en-CA"/>
        </w:rPr>
        <w:footnoteReference w:id="22"/>
      </w:r>
      <w:r w:rsidRPr="00187E37">
        <w:rPr>
          <w:lang w:val="en-CA"/>
        </w:rPr>
        <w:t xml:space="preserve"> since they consider it obvious that the use of another’s </w:t>
      </w:r>
      <w:r w:rsidR="00E85335">
        <w:rPr>
          <w:lang w:val="en-CA"/>
        </w:rPr>
        <w:t>mark</w:t>
      </w:r>
      <w:r w:rsidRPr="00187E37">
        <w:rPr>
          <w:lang w:val="en-CA"/>
        </w:rPr>
        <w:t xml:space="preserve"> constitutes a deceptive and unfair practice.</w:t>
      </w:r>
      <w:r w:rsidRPr="00187E37">
        <w:rPr>
          <w:rStyle w:val="Appelnotedebasdep"/>
          <w:lang w:val="en-CA"/>
        </w:rPr>
        <w:footnoteReference w:id="23"/>
      </w:r>
    </w:p>
    <w:p w14:paraId="0028B82D" w14:textId="77777777" w:rsidR="00846D82" w:rsidRPr="00187E37" w:rsidRDefault="00827AAA" w:rsidP="00925E16">
      <w:pPr>
        <w:pStyle w:val="Paragraphe"/>
        <w:spacing w:line="240" w:lineRule="auto"/>
        <w:rPr>
          <w:lang w:val="en-CA"/>
        </w:rPr>
      </w:pPr>
      <w:r>
        <w:rPr>
          <w:lang w:val="en-CA"/>
        </w:rPr>
        <w:t>Regarding</w:t>
      </w:r>
      <w:r w:rsidR="00846D82" w:rsidRPr="00187E37">
        <w:rPr>
          <w:lang w:val="en-CA"/>
        </w:rPr>
        <w:t xml:space="preserve"> the second component, confusion, Rochette</w:t>
      </w:r>
      <w:r>
        <w:rPr>
          <w:lang w:val="en-CA"/>
        </w:rPr>
        <w:t xml:space="preserve"> J.A.</w:t>
      </w:r>
      <w:r w:rsidR="00846D82" w:rsidRPr="00187E37">
        <w:rPr>
          <w:lang w:val="en-CA"/>
        </w:rPr>
        <w:t xml:space="preserve"> defined the</w:t>
      </w:r>
      <w:r w:rsidR="00E85335">
        <w:rPr>
          <w:lang w:val="en-CA"/>
        </w:rPr>
        <w:t xml:space="preserve"> applicable</w:t>
      </w:r>
      <w:r w:rsidR="00846D82" w:rsidRPr="00187E37">
        <w:rPr>
          <w:lang w:val="en-CA"/>
        </w:rPr>
        <w:t xml:space="preserve"> parameters in </w:t>
      </w:r>
      <w:r w:rsidR="00846D82" w:rsidRPr="00187E37">
        <w:rPr>
          <w:i/>
          <w:iCs/>
          <w:lang w:val="en-CA"/>
        </w:rPr>
        <w:t>Canada Bread</w:t>
      </w:r>
      <w:r w:rsidR="00846D82" w:rsidRPr="00187E37">
        <w:rPr>
          <w:lang w:val="en-CA"/>
        </w:rPr>
        <w:t>:</w:t>
      </w:r>
    </w:p>
    <w:p w14:paraId="352E3E49" w14:textId="77777777" w:rsidR="00827AAA" w:rsidRDefault="00846D82" w:rsidP="00925E16">
      <w:pPr>
        <w:pStyle w:val="Citationenretrait"/>
        <w:spacing w:line="240" w:lineRule="auto"/>
        <w:rPr>
          <w:lang w:val="en-CA"/>
        </w:rPr>
      </w:pPr>
      <w:r w:rsidRPr="00187E37">
        <w:rPr>
          <w:lang w:val="en-CA"/>
        </w:rPr>
        <w:t>[</w:t>
      </w:r>
      <w:r w:rsidR="00827AAA" w:rsidRPr="00275EDC">
        <w:rPr>
          <w:smallCaps/>
          <w:lang w:val="en-CA"/>
        </w:rPr>
        <w:t>translation</w:t>
      </w:r>
      <w:r w:rsidRPr="00187E37">
        <w:rPr>
          <w:lang w:val="en-CA"/>
        </w:rPr>
        <w:t xml:space="preserve">] </w:t>
      </w:r>
    </w:p>
    <w:p w14:paraId="4A18493E" w14:textId="77777777" w:rsidR="00846D82" w:rsidRPr="00187E37" w:rsidRDefault="005110B7" w:rsidP="00925E16">
      <w:pPr>
        <w:pStyle w:val="Citationenretrait"/>
        <w:spacing w:line="240" w:lineRule="auto"/>
        <w:rPr>
          <w:lang w:val="en-CA"/>
        </w:rPr>
      </w:pPr>
      <w:r w:rsidRPr="00187E37">
        <w:rPr>
          <w:lang w:val="en-CA"/>
        </w:rPr>
        <w:t>[58]</w:t>
      </w:r>
      <w:r w:rsidRPr="00187E37">
        <w:rPr>
          <w:lang w:val="en-CA"/>
        </w:rPr>
        <w:tab/>
      </w:r>
      <w:r w:rsidR="00E22142">
        <w:rPr>
          <w:lang w:val="en-CA"/>
        </w:rPr>
        <w:t>Second</w:t>
      </w:r>
      <w:r w:rsidR="00846D82" w:rsidRPr="00187E37">
        <w:rPr>
          <w:lang w:val="en-CA"/>
        </w:rPr>
        <w:t xml:space="preserve">, the relevant </w:t>
      </w:r>
      <w:r w:rsidR="00F80ACD">
        <w:rPr>
          <w:lang w:val="en-CA"/>
        </w:rPr>
        <w:t>requirement</w:t>
      </w:r>
      <w:r w:rsidR="00F80ACD" w:rsidRPr="00187E37">
        <w:rPr>
          <w:lang w:val="en-CA"/>
        </w:rPr>
        <w:t xml:space="preserve"> </w:t>
      </w:r>
      <w:r w:rsidR="00846D82" w:rsidRPr="00187E37">
        <w:rPr>
          <w:lang w:val="en-CA"/>
        </w:rPr>
        <w:t xml:space="preserve">is that of the </w:t>
      </w:r>
      <w:r w:rsidR="001346D5" w:rsidRPr="00187E37">
        <w:rPr>
          <w:lang w:val="en-CA"/>
        </w:rPr>
        <w:t>“</w:t>
      </w:r>
      <w:r w:rsidR="00846D82" w:rsidRPr="00187E37">
        <w:rPr>
          <w:lang w:val="en-CA"/>
        </w:rPr>
        <w:t>risk of confusion</w:t>
      </w:r>
      <w:r w:rsidR="001346D5" w:rsidRPr="00187E37">
        <w:rPr>
          <w:lang w:val="en-CA"/>
        </w:rPr>
        <w:t>”</w:t>
      </w:r>
      <w:r w:rsidR="00846D82" w:rsidRPr="00187E37">
        <w:rPr>
          <w:lang w:val="en-CA"/>
        </w:rPr>
        <w:t xml:space="preserve"> or, as Rousseau-Houle </w:t>
      </w:r>
      <w:r w:rsidR="00F80ACD">
        <w:rPr>
          <w:lang w:val="en-CA"/>
        </w:rPr>
        <w:t>J.</w:t>
      </w:r>
      <w:r w:rsidR="00E22142">
        <w:rPr>
          <w:lang w:val="en-CA"/>
        </w:rPr>
        <w:t>A.</w:t>
      </w:r>
      <w:r w:rsidR="00F80ACD">
        <w:rPr>
          <w:lang w:val="en-CA"/>
        </w:rPr>
        <w:t xml:space="preserve"> explained</w:t>
      </w:r>
      <w:r w:rsidR="00846D82" w:rsidRPr="00187E37">
        <w:rPr>
          <w:lang w:val="en-CA"/>
        </w:rPr>
        <w:t xml:space="preserve">, of a misrepresentation </w:t>
      </w:r>
      <w:r w:rsidR="00F80ACD">
        <w:rPr>
          <w:lang w:val="en-CA"/>
        </w:rPr>
        <w:t>leading</w:t>
      </w:r>
      <w:r w:rsidR="00846D82" w:rsidRPr="00187E37">
        <w:rPr>
          <w:lang w:val="en-CA"/>
        </w:rPr>
        <w:t xml:space="preserve"> or </w:t>
      </w:r>
      <w:r w:rsidR="00827AAA">
        <w:rPr>
          <w:lang w:val="en-CA"/>
        </w:rPr>
        <w:t>[</w:t>
      </w:r>
      <w:r w:rsidR="00827AAA" w:rsidRPr="00937880">
        <w:rPr>
          <w:smallCaps/>
          <w:lang w:val="en-CA"/>
        </w:rPr>
        <w:t>translation</w:t>
      </w:r>
      <w:r w:rsidR="00827AAA">
        <w:rPr>
          <w:lang w:val="en-CA"/>
        </w:rPr>
        <w:t>] “</w:t>
      </w:r>
      <w:r w:rsidR="00846D82" w:rsidRPr="00187E37">
        <w:rPr>
          <w:lang w:val="en-CA"/>
        </w:rPr>
        <w:t>likely to lead the public to believe</w:t>
      </w:r>
      <w:r w:rsidR="00827AAA">
        <w:rPr>
          <w:lang w:val="en-CA"/>
        </w:rPr>
        <w:t>”</w:t>
      </w:r>
      <w:r w:rsidR="00846D82" w:rsidRPr="00187E37">
        <w:rPr>
          <w:lang w:val="en-CA"/>
        </w:rPr>
        <w:t xml:space="preserve"> that the </w:t>
      </w:r>
      <w:r w:rsidR="00F80ACD">
        <w:rPr>
          <w:lang w:val="en-CA"/>
        </w:rPr>
        <w:t>copied</w:t>
      </w:r>
      <w:r w:rsidR="00F80ACD" w:rsidRPr="00187E37">
        <w:rPr>
          <w:lang w:val="en-CA"/>
        </w:rPr>
        <w:t xml:space="preserve"> </w:t>
      </w:r>
      <w:r w:rsidR="00846D82" w:rsidRPr="00187E37">
        <w:rPr>
          <w:lang w:val="en-CA"/>
        </w:rPr>
        <w:t xml:space="preserve">products are those of the merchant </w:t>
      </w:r>
      <w:r w:rsidR="00E85335">
        <w:rPr>
          <w:lang w:val="en-CA"/>
        </w:rPr>
        <w:t>with</w:t>
      </w:r>
      <w:r w:rsidR="00846D82" w:rsidRPr="00187E37">
        <w:rPr>
          <w:lang w:val="en-CA"/>
        </w:rPr>
        <w:t xml:space="preserve"> the established trademark. It should also be kept in mind that the exercise </w:t>
      </w:r>
      <w:r w:rsidR="00E85335">
        <w:rPr>
          <w:lang w:val="en-CA"/>
        </w:rPr>
        <w:t>considers a</w:t>
      </w:r>
      <w:r w:rsidR="00846D82" w:rsidRPr="00187E37">
        <w:rPr>
          <w:lang w:val="en-CA"/>
        </w:rPr>
        <w:t xml:space="preserve"> consumer in a hurry with a vague memory of the trademark. The judge must therefore ask </w:t>
      </w:r>
      <w:r w:rsidR="00827AAA">
        <w:rPr>
          <w:lang w:val="en-CA"/>
        </w:rPr>
        <w:t>“</w:t>
      </w:r>
      <w:r w:rsidR="00827AAA" w:rsidRPr="00827AAA">
        <w:rPr>
          <w:lang w:val="en-CA"/>
        </w:rPr>
        <w:t>if ordinary casual consumers somewhat in a hurry are likely to be deceived about the origin of the wares or services</w:t>
      </w:r>
      <w:r w:rsidR="00827AAA">
        <w:rPr>
          <w:lang w:val="en-CA"/>
        </w:rPr>
        <w:t>”</w:t>
      </w:r>
      <w:r w:rsidR="00846D82" w:rsidRPr="00187E37">
        <w:rPr>
          <w:lang w:val="en-CA"/>
        </w:rPr>
        <w:t>.</w:t>
      </w:r>
      <w:r w:rsidR="00C05C7A" w:rsidRPr="00187E37">
        <w:rPr>
          <w:rStyle w:val="Appelnotedebasdep"/>
          <w:iCs/>
          <w:lang w:val="en-CA"/>
        </w:rPr>
        <w:footnoteReference w:id="24"/>
      </w:r>
    </w:p>
    <w:p w14:paraId="20BEA5C5" w14:textId="77777777" w:rsidR="00C05C7A" w:rsidRPr="00187E37" w:rsidRDefault="00C05C7A" w:rsidP="00925E16">
      <w:pPr>
        <w:pStyle w:val="Paragraphe"/>
        <w:spacing w:line="240" w:lineRule="auto"/>
        <w:rPr>
          <w:lang w:val="en-CA"/>
        </w:rPr>
      </w:pPr>
      <w:r w:rsidRPr="00187E37">
        <w:rPr>
          <w:lang w:val="en-CA"/>
        </w:rPr>
        <w:t xml:space="preserve">This is a factual determination that </w:t>
      </w:r>
      <w:r w:rsidR="00A6796D">
        <w:rPr>
          <w:lang w:val="en-CA"/>
        </w:rPr>
        <w:t xml:space="preserve">calls for </w:t>
      </w:r>
      <w:r w:rsidRPr="00187E37">
        <w:rPr>
          <w:lang w:val="en-CA"/>
        </w:rPr>
        <w:t xml:space="preserve">a certain degree of deference, subject to </w:t>
      </w:r>
      <w:r w:rsidR="003F57C4">
        <w:rPr>
          <w:lang w:val="en-CA"/>
        </w:rPr>
        <w:t xml:space="preserve">a </w:t>
      </w:r>
      <w:r w:rsidRPr="00187E37">
        <w:rPr>
          <w:lang w:val="en-CA"/>
        </w:rPr>
        <w:t>manifest and overriding error.</w:t>
      </w:r>
      <w:r w:rsidRPr="00187E37">
        <w:rPr>
          <w:vertAlign w:val="superscript"/>
          <w:lang w:val="en-CA"/>
        </w:rPr>
        <w:footnoteReference w:id="25"/>
      </w:r>
    </w:p>
    <w:p w14:paraId="4CEA2CAA" w14:textId="77777777" w:rsidR="00C05C7A" w:rsidRPr="00187E37" w:rsidRDefault="00C05C7A" w:rsidP="00925E16">
      <w:pPr>
        <w:pStyle w:val="Paragraphe"/>
        <w:spacing w:line="240" w:lineRule="auto"/>
        <w:rPr>
          <w:lang w:val="en-CA"/>
        </w:rPr>
      </w:pPr>
      <w:r w:rsidRPr="00187E37">
        <w:rPr>
          <w:lang w:val="en-CA"/>
        </w:rPr>
        <w:t xml:space="preserve">The judge considered that the risk of confusion </w:t>
      </w:r>
      <w:r w:rsidR="00743F5D" w:rsidRPr="00187E37">
        <w:rPr>
          <w:lang w:val="en-CA"/>
        </w:rPr>
        <w:t>between</w:t>
      </w:r>
      <w:r w:rsidRPr="00187E37">
        <w:rPr>
          <w:lang w:val="en-CA"/>
        </w:rPr>
        <w:t xml:space="preserve"> the domain names </w:t>
      </w:r>
      <w:r w:rsidRPr="00187E37">
        <w:rPr>
          <w:u w:val="single"/>
          <w:lang w:val="en-CA"/>
        </w:rPr>
        <w:t>cabanonmirabel.com</w:t>
      </w:r>
      <w:r w:rsidRPr="00187E37">
        <w:rPr>
          <w:lang w:val="en-CA"/>
        </w:rPr>
        <w:t xml:space="preserve"> and </w:t>
      </w:r>
      <w:r w:rsidRPr="00187E37">
        <w:rPr>
          <w:u w:val="single"/>
          <w:lang w:val="en-CA"/>
        </w:rPr>
        <w:t>cabanonsmirabel.ca</w:t>
      </w:r>
      <w:r w:rsidRPr="00187E37">
        <w:rPr>
          <w:lang w:val="en-CA"/>
        </w:rPr>
        <w:t xml:space="preserve"> is obvious: the consumer who </w:t>
      </w:r>
      <w:r w:rsidR="00743F5D" w:rsidRPr="00187E37">
        <w:rPr>
          <w:lang w:val="en-CA"/>
        </w:rPr>
        <w:t>wishes</w:t>
      </w:r>
      <w:r w:rsidRPr="00187E37">
        <w:rPr>
          <w:lang w:val="en-CA"/>
        </w:rPr>
        <w:t xml:space="preserve"> </w:t>
      </w:r>
      <w:r w:rsidR="00743F5D" w:rsidRPr="00187E37">
        <w:rPr>
          <w:lang w:val="en-CA"/>
        </w:rPr>
        <w:t>to visit</w:t>
      </w:r>
      <w:r w:rsidRPr="00187E37">
        <w:rPr>
          <w:lang w:val="en-CA"/>
        </w:rPr>
        <w:t xml:space="preserve"> the respondent</w:t>
      </w:r>
      <w:r w:rsidR="001346D5" w:rsidRPr="00187E37">
        <w:rPr>
          <w:lang w:val="en-CA"/>
        </w:rPr>
        <w:t>’</w:t>
      </w:r>
      <w:r w:rsidRPr="00187E37">
        <w:rPr>
          <w:lang w:val="en-CA"/>
        </w:rPr>
        <w:t xml:space="preserve">s </w:t>
      </w:r>
      <w:r w:rsidRPr="00187E37">
        <w:rPr>
          <w:u w:val="single"/>
          <w:lang w:val="en-CA"/>
        </w:rPr>
        <w:t>cabanonsmirabel.com</w:t>
      </w:r>
      <w:r w:rsidRPr="00187E37">
        <w:rPr>
          <w:lang w:val="en-CA"/>
        </w:rPr>
        <w:t xml:space="preserve"> </w:t>
      </w:r>
      <w:r w:rsidR="00743F5D" w:rsidRPr="00187E37">
        <w:rPr>
          <w:lang w:val="en-CA"/>
        </w:rPr>
        <w:t>web</w:t>
      </w:r>
      <w:r w:rsidRPr="00187E37">
        <w:rPr>
          <w:lang w:val="en-CA"/>
        </w:rPr>
        <w:t xml:space="preserve">site, but who types </w:t>
      </w:r>
      <w:r w:rsidR="001346D5" w:rsidRPr="00187E37">
        <w:rPr>
          <w:lang w:val="en-CA"/>
        </w:rPr>
        <w:t>“</w:t>
      </w:r>
      <w:r w:rsidRPr="00187E37">
        <w:rPr>
          <w:lang w:val="en-CA"/>
        </w:rPr>
        <w:t>.ca</w:t>
      </w:r>
      <w:r w:rsidR="001346D5" w:rsidRPr="00187E37">
        <w:rPr>
          <w:lang w:val="en-CA"/>
        </w:rPr>
        <w:t>”</w:t>
      </w:r>
      <w:r w:rsidRPr="00187E37">
        <w:rPr>
          <w:lang w:val="en-CA"/>
        </w:rPr>
        <w:t xml:space="preserve"> or </w:t>
      </w:r>
      <w:r w:rsidR="00743F5D" w:rsidRPr="00187E37">
        <w:rPr>
          <w:lang w:val="en-CA"/>
        </w:rPr>
        <w:t>forgets</w:t>
      </w:r>
      <w:r w:rsidRPr="00187E37">
        <w:rPr>
          <w:lang w:val="en-CA"/>
        </w:rPr>
        <w:t xml:space="preserve"> the </w:t>
      </w:r>
      <w:r w:rsidRPr="00187E37">
        <w:rPr>
          <w:lang w:val="en-CA"/>
        </w:rPr>
        <w:lastRenderedPageBreak/>
        <w:t xml:space="preserve">“s” is automatically and erroneously directed to the Cabanons Fontaine </w:t>
      </w:r>
      <w:r w:rsidR="00743F5D" w:rsidRPr="00187E37">
        <w:rPr>
          <w:lang w:val="en-CA"/>
        </w:rPr>
        <w:t>web</w:t>
      </w:r>
      <w:r w:rsidRPr="00187E37">
        <w:rPr>
          <w:lang w:val="en-CA"/>
        </w:rPr>
        <w:t xml:space="preserve">site. </w:t>
      </w:r>
      <w:r w:rsidR="00743F5D" w:rsidRPr="00187E37">
        <w:rPr>
          <w:lang w:val="en-CA"/>
        </w:rPr>
        <w:t>She</w:t>
      </w:r>
      <w:r w:rsidRPr="00187E37">
        <w:rPr>
          <w:lang w:val="en-CA"/>
        </w:rPr>
        <w:t xml:space="preserve"> further conclude</w:t>
      </w:r>
      <w:r w:rsidR="00743F5D" w:rsidRPr="00187E37">
        <w:rPr>
          <w:lang w:val="en-CA"/>
        </w:rPr>
        <w:t>d</w:t>
      </w:r>
      <w:r w:rsidRPr="00187E37">
        <w:rPr>
          <w:lang w:val="en-CA"/>
        </w:rPr>
        <w:t xml:space="preserve"> that the use of the domain name </w:t>
      </w:r>
      <w:r w:rsidRPr="00187E37">
        <w:rPr>
          <w:u w:val="single"/>
          <w:lang w:val="en-CA"/>
        </w:rPr>
        <w:t>garagescabanonsmirabel.com</w:t>
      </w:r>
      <w:r w:rsidRPr="00187E37">
        <w:rPr>
          <w:lang w:val="en-CA"/>
        </w:rPr>
        <w:t xml:space="preserve"> </w:t>
      </w:r>
      <w:r w:rsidR="0070757F">
        <w:rPr>
          <w:lang w:val="en-CA"/>
        </w:rPr>
        <w:t>[</w:t>
      </w:r>
      <w:r w:rsidR="0070757F" w:rsidRPr="00275EDC">
        <w:rPr>
          <w:smallCaps/>
          <w:lang w:val="en-CA"/>
        </w:rPr>
        <w:t>translation</w:t>
      </w:r>
      <w:r w:rsidR="0070757F">
        <w:rPr>
          <w:lang w:val="en-CA"/>
        </w:rPr>
        <w:t>] "i</w:t>
      </w:r>
      <w:r w:rsidRPr="00187E37">
        <w:rPr>
          <w:lang w:val="en-CA"/>
        </w:rPr>
        <w:t xml:space="preserve">s likely to mislead the public into believing that there is a commercial association or </w:t>
      </w:r>
      <w:r w:rsidR="00743F5D" w:rsidRPr="00187E37">
        <w:rPr>
          <w:lang w:val="en-CA"/>
        </w:rPr>
        <w:t>relationship</w:t>
      </w:r>
      <w:r w:rsidRPr="00187E37">
        <w:rPr>
          <w:lang w:val="en-CA"/>
        </w:rPr>
        <w:t xml:space="preserve"> between the parties, which the legislation on trademarks and unfair competition seeks to</w:t>
      </w:r>
      <w:r w:rsidR="000A7341">
        <w:rPr>
          <w:lang w:val="en-CA"/>
        </w:rPr>
        <w:t xml:space="preserve"> curtail</w:t>
      </w:r>
      <w:r w:rsidR="0070757F">
        <w:rPr>
          <w:lang w:val="en-CA"/>
        </w:rPr>
        <w:t>”</w:t>
      </w:r>
      <w:r w:rsidRPr="00187E37">
        <w:rPr>
          <w:lang w:val="en-CA"/>
        </w:rPr>
        <w:t>.</w:t>
      </w:r>
      <w:r w:rsidR="00743F5D" w:rsidRPr="00187E37">
        <w:rPr>
          <w:vertAlign w:val="superscript"/>
          <w:lang w:val="en-CA"/>
        </w:rPr>
        <w:footnoteReference w:id="26"/>
      </w:r>
    </w:p>
    <w:p w14:paraId="4EC05524" w14:textId="77777777" w:rsidR="00743F5D" w:rsidRPr="00187E37" w:rsidRDefault="00743F5D" w:rsidP="00925E16">
      <w:pPr>
        <w:pStyle w:val="Paragraphe"/>
        <w:spacing w:line="240" w:lineRule="auto"/>
        <w:rPr>
          <w:lang w:val="en-CA"/>
        </w:rPr>
      </w:pPr>
      <w:r w:rsidRPr="00187E37">
        <w:rPr>
          <w:lang w:val="en-CA"/>
        </w:rPr>
        <w:t>The appellants challenge these conclusions on several grounds.</w:t>
      </w:r>
    </w:p>
    <w:p w14:paraId="438F28AF" w14:textId="77777777" w:rsidR="00CA6AED" w:rsidRPr="00187E37" w:rsidRDefault="00CA6AED" w:rsidP="00925E16">
      <w:pPr>
        <w:pStyle w:val="Paragraphe"/>
        <w:spacing w:line="240" w:lineRule="auto"/>
        <w:rPr>
          <w:lang w:val="en-CA"/>
        </w:rPr>
      </w:pPr>
      <w:r w:rsidRPr="00187E37">
        <w:rPr>
          <w:lang w:val="en-CA"/>
        </w:rPr>
        <w:t xml:space="preserve">First, they argue that the judge did not explicitly analyze the first component, namely the notion of misrepresentation. They are </w:t>
      </w:r>
      <w:r w:rsidR="00857B93">
        <w:rPr>
          <w:lang w:val="en-CA"/>
        </w:rPr>
        <w:t>correct</w:t>
      </w:r>
      <w:r w:rsidRPr="00187E37">
        <w:rPr>
          <w:lang w:val="en-CA"/>
        </w:rPr>
        <w:t>.</w:t>
      </w:r>
    </w:p>
    <w:p w14:paraId="66189CE9" w14:textId="77777777" w:rsidR="00CA6AED" w:rsidRPr="00187E37" w:rsidRDefault="00CA6AED" w:rsidP="00925E16">
      <w:pPr>
        <w:pStyle w:val="Paragraphe"/>
        <w:spacing w:line="240" w:lineRule="auto"/>
        <w:rPr>
          <w:lang w:val="en-CA"/>
        </w:rPr>
      </w:pPr>
      <w:r w:rsidRPr="00187E37">
        <w:rPr>
          <w:lang w:val="en-CA"/>
        </w:rPr>
        <w:t xml:space="preserve">However, the evidence in the </w:t>
      </w:r>
      <w:r w:rsidR="00E05257">
        <w:rPr>
          <w:lang w:val="en-CA"/>
        </w:rPr>
        <w:t xml:space="preserve">record </w:t>
      </w:r>
      <w:r w:rsidRPr="00187E37">
        <w:rPr>
          <w:lang w:val="en-CA"/>
        </w:rPr>
        <w:t xml:space="preserve">is sufficient to </w:t>
      </w:r>
      <w:r w:rsidR="00E05257">
        <w:rPr>
          <w:lang w:val="en-CA"/>
        </w:rPr>
        <w:t>demonstrate</w:t>
      </w:r>
      <w:r w:rsidR="00E05257" w:rsidRPr="00187E37">
        <w:rPr>
          <w:lang w:val="en-CA"/>
        </w:rPr>
        <w:t xml:space="preserve"> </w:t>
      </w:r>
      <w:r w:rsidRPr="00187E37">
        <w:rPr>
          <w:lang w:val="en-CA"/>
        </w:rPr>
        <w:t>that the first component is satisfied. The appellants registered domain names that were practically identical to the CABANONS MIRABEL mark despite the fact that they had been aware for at least 15 years of the existence of Cabanons Mirabel</w:t>
      </w:r>
      <w:r w:rsidRPr="00187E37">
        <w:rPr>
          <w:vertAlign w:val="superscript"/>
          <w:lang w:val="en-CA"/>
        </w:rPr>
        <w:footnoteReference w:id="27"/>
      </w:r>
      <w:r w:rsidRPr="00187E37">
        <w:rPr>
          <w:lang w:val="en-CA"/>
        </w:rPr>
        <w:t xml:space="preserve"> and of the respondent’s website.</w:t>
      </w:r>
      <w:r w:rsidRPr="00187E37">
        <w:rPr>
          <w:vertAlign w:val="superscript"/>
          <w:lang w:val="en-CA"/>
        </w:rPr>
        <w:footnoteReference w:id="28"/>
      </w:r>
      <w:r w:rsidRPr="00187E37">
        <w:rPr>
          <w:lang w:val="en-CA"/>
        </w:rPr>
        <w:t xml:space="preserve"> They omitted the word </w:t>
      </w:r>
      <w:r w:rsidR="001346D5" w:rsidRPr="00187E37">
        <w:rPr>
          <w:lang w:val="en-CA"/>
        </w:rPr>
        <w:t>“</w:t>
      </w:r>
      <w:r w:rsidRPr="00187E37">
        <w:rPr>
          <w:lang w:val="en-CA"/>
        </w:rPr>
        <w:t>Fontaine</w:t>
      </w:r>
      <w:r w:rsidR="001346D5" w:rsidRPr="00187E37">
        <w:rPr>
          <w:lang w:val="en-CA"/>
        </w:rPr>
        <w:t>”</w:t>
      </w:r>
      <w:r w:rsidRPr="00187E37">
        <w:rPr>
          <w:lang w:val="en-CA"/>
        </w:rPr>
        <w:t>, which distinguishes their products.</w:t>
      </w:r>
    </w:p>
    <w:p w14:paraId="59488098" w14:textId="77777777" w:rsidR="00CA6AED" w:rsidRPr="00187E37" w:rsidRDefault="00CA6AED" w:rsidP="00925E16">
      <w:pPr>
        <w:pStyle w:val="Paragraphe"/>
        <w:spacing w:line="240" w:lineRule="auto"/>
        <w:rPr>
          <w:lang w:val="en-CA"/>
        </w:rPr>
      </w:pPr>
      <w:r w:rsidRPr="00187E37">
        <w:rPr>
          <w:lang w:val="en-CA"/>
        </w:rPr>
        <w:t xml:space="preserve">The appellants submit that they did not intend to mislead consumers. They allege that they acquired the three domain names in dispute, as well as other domain names </w:t>
      </w:r>
      <w:r w:rsidR="00E05257">
        <w:rPr>
          <w:lang w:val="en-CA"/>
        </w:rPr>
        <w:t>that</w:t>
      </w:r>
      <w:r w:rsidR="00E05257" w:rsidRPr="00187E37">
        <w:rPr>
          <w:lang w:val="en-CA"/>
        </w:rPr>
        <w:t xml:space="preserve"> </w:t>
      </w:r>
      <w:r w:rsidRPr="00187E37">
        <w:rPr>
          <w:lang w:val="en-CA"/>
        </w:rPr>
        <w:t xml:space="preserve">are not disputed, in a legitimate manner as a </w:t>
      </w:r>
      <w:r w:rsidR="00E85335">
        <w:rPr>
          <w:lang w:val="en-CA"/>
        </w:rPr>
        <w:t>w</w:t>
      </w:r>
      <w:r w:rsidRPr="00187E37">
        <w:rPr>
          <w:lang w:val="en-CA"/>
        </w:rPr>
        <w:t xml:space="preserve">eb </w:t>
      </w:r>
      <w:r w:rsidR="00E85335">
        <w:rPr>
          <w:lang w:val="en-CA"/>
        </w:rPr>
        <w:t>m</w:t>
      </w:r>
      <w:r w:rsidRPr="00187E37">
        <w:rPr>
          <w:lang w:val="en-CA"/>
        </w:rPr>
        <w:t xml:space="preserve">arketing strategy </w:t>
      </w:r>
      <w:r w:rsidR="00E05257">
        <w:rPr>
          <w:lang w:val="en-CA"/>
        </w:rPr>
        <w:t>in order to obtain</w:t>
      </w:r>
      <w:r w:rsidR="00E85335">
        <w:rPr>
          <w:lang w:val="en-CA"/>
        </w:rPr>
        <w:t xml:space="preserve"> the</w:t>
      </w:r>
      <w:r w:rsidRPr="00187E37">
        <w:rPr>
          <w:lang w:val="en-CA"/>
        </w:rPr>
        <w:t xml:space="preserve"> greatest </w:t>
      </w:r>
      <w:r w:rsidR="006F26DF">
        <w:rPr>
          <w:lang w:val="en-CA"/>
        </w:rPr>
        <w:t>amount</w:t>
      </w:r>
      <w:r w:rsidR="006F26DF" w:rsidRPr="00187E37">
        <w:rPr>
          <w:lang w:val="en-CA"/>
        </w:rPr>
        <w:t xml:space="preserve"> </w:t>
      </w:r>
      <w:r w:rsidRPr="00187E37">
        <w:rPr>
          <w:lang w:val="en-CA"/>
        </w:rPr>
        <w:t xml:space="preserve">of natural referencing on search engines and </w:t>
      </w:r>
      <w:r w:rsidR="00E05257">
        <w:rPr>
          <w:lang w:val="en-CA"/>
        </w:rPr>
        <w:t>optimize</w:t>
      </w:r>
      <w:r w:rsidR="00E05257" w:rsidRPr="00187E37">
        <w:rPr>
          <w:lang w:val="en-CA"/>
        </w:rPr>
        <w:t xml:space="preserve"> </w:t>
      </w:r>
      <w:r w:rsidRPr="00187E37">
        <w:rPr>
          <w:lang w:val="en-CA"/>
        </w:rPr>
        <w:t xml:space="preserve">their </w:t>
      </w:r>
      <w:r w:rsidR="00E05257">
        <w:rPr>
          <w:lang w:val="en-CA"/>
        </w:rPr>
        <w:t>rank</w:t>
      </w:r>
      <w:r w:rsidR="00E05257" w:rsidRPr="00187E37">
        <w:rPr>
          <w:lang w:val="en-CA"/>
        </w:rPr>
        <w:t xml:space="preserve"> </w:t>
      </w:r>
      <w:r w:rsidRPr="00187E37">
        <w:rPr>
          <w:lang w:val="en-CA"/>
        </w:rPr>
        <w:t>in search results, following a search engine optimization strategy.</w:t>
      </w:r>
    </w:p>
    <w:p w14:paraId="4D7A1AEA" w14:textId="77777777" w:rsidR="00CA6AED" w:rsidRPr="00187E37" w:rsidRDefault="00CA6AED" w:rsidP="00925E16">
      <w:pPr>
        <w:pStyle w:val="Paragraphe"/>
        <w:spacing w:line="240" w:lineRule="auto"/>
        <w:rPr>
          <w:lang w:val="en-CA"/>
        </w:rPr>
      </w:pPr>
      <w:r w:rsidRPr="00187E37">
        <w:rPr>
          <w:lang w:val="en-CA"/>
        </w:rPr>
        <w:t>However, the intention of the appellants is irrelevant. A misrepresentation may be deliberate or may arise from negligence or recklessness.</w:t>
      </w:r>
      <w:r w:rsidR="00DA2CC1" w:rsidRPr="00187E37">
        <w:rPr>
          <w:rStyle w:val="Appelnotedebasdep"/>
          <w:lang w:val="en-CA"/>
        </w:rPr>
        <w:footnoteReference w:id="29"/>
      </w:r>
      <w:r w:rsidRPr="00187E37">
        <w:rPr>
          <w:lang w:val="en-CA"/>
        </w:rPr>
        <w:t xml:space="preserve"> On this</w:t>
      </w:r>
      <w:r w:rsidR="006F26DF">
        <w:rPr>
          <w:lang w:val="en-CA"/>
        </w:rPr>
        <w:t xml:space="preserve"> subject</w:t>
      </w:r>
      <w:r w:rsidRPr="00187E37">
        <w:rPr>
          <w:lang w:val="en-CA"/>
        </w:rPr>
        <w:t>, Estey</w:t>
      </w:r>
      <w:r w:rsidR="006F26DF">
        <w:rPr>
          <w:lang w:val="en-CA"/>
        </w:rPr>
        <w:t xml:space="preserve"> J.</w:t>
      </w:r>
      <w:r w:rsidR="00E85335">
        <w:rPr>
          <w:lang w:val="en-CA"/>
        </w:rPr>
        <w:t xml:space="preserve">, on behalf of </w:t>
      </w:r>
      <w:r w:rsidRPr="00187E37">
        <w:rPr>
          <w:lang w:val="en-CA"/>
        </w:rPr>
        <w:t>the Supreme Court</w:t>
      </w:r>
      <w:r w:rsidR="00E85335">
        <w:rPr>
          <w:lang w:val="en-CA"/>
        </w:rPr>
        <w:t>,</w:t>
      </w:r>
      <w:r w:rsidRPr="00187E37">
        <w:rPr>
          <w:lang w:val="en-CA"/>
        </w:rPr>
        <w:t xml:space="preserve"> </w:t>
      </w:r>
      <w:r w:rsidR="006F26DF" w:rsidRPr="00187E37">
        <w:rPr>
          <w:lang w:val="en-CA"/>
        </w:rPr>
        <w:t>explain</w:t>
      </w:r>
      <w:r w:rsidR="006F26DF">
        <w:rPr>
          <w:lang w:val="en-CA"/>
        </w:rPr>
        <w:t>ed</w:t>
      </w:r>
      <w:r w:rsidR="006F26DF" w:rsidRPr="00187E37">
        <w:rPr>
          <w:lang w:val="en-CA"/>
        </w:rPr>
        <w:t xml:space="preserve"> </w:t>
      </w:r>
      <w:r w:rsidRPr="00187E37">
        <w:rPr>
          <w:lang w:val="en-CA"/>
        </w:rPr>
        <w:t xml:space="preserve">in </w:t>
      </w:r>
      <w:r w:rsidRPr="00187E37">
        <w:rPr>
          <w:i/>
          <w:iCs/>
          <w:lang w:val="en-CA"/>
        </w:rPr>
        <w:t>Seiko</w:t>
      </w:r>
      <w:r w:rsidRPr="00187E37">
        <w:rPr>
          <w:lang w:val="en-CA"/>
        </w:rPr>
        <w:t>:</w:t>
      </w:r>
    </w:p>
    <w:p w14:paraId="606758B9" w14:textId="77777777" w:rsidR="00DA2CC1" w:rsidRPr="00187E37" w:rsidRDefault="00DA2CC1" w:rsidP="00DA2CC1">
      <w:pPr>
        <w:pStyle w:val="Citationenretrait"/>
        <w:spacing w:line="240" w:lineRule="auto"/>
        <w:rPr>
          <w:lang w:val="en-CA"/>
        </w:rPr>
      </w:pPr>
      <w:r w:rsidRPr="00187E37">
        <w:rPr>
          <w:lang w:val="en-CA"/>
        </w:rPr>
        <w:t xml:space="preserve">If anything further need be said to distinguish the commercial activity of the appellant from that condemned by the rule in passing off, attention should be drawn to the fact that the passing off rule is founded upon the tort of deceit, and while the original requirement of an </w:t>
      </w:r>
      <w:r w:rsidRPr="00187E37">
        <w:rPr>
          <w:u w:val="single"/>
          <w:lang w:val="en-CA"/>
        </w:rPr>
        <w:t>intent to deceive died out in the mid-1800</w:t>
      </w:r>
      <w:r w:rsidR="001346D5" w:rsidRPr="00187E37">
        <w:rPr>
          <w:u w:val="single"/>
          <w:lang w:val="en-CA"/>
        </w:rPr>
        <w:t>’</w:t>
      </w:r>
      <w:r w:rsidRPr="00187E37">
        <w:rPr>
          <w:u w:val="single"/>
          <w:lang w:val="en-CA"/>
        </w:rPr>
        <w:t>s, there remains the requirement, at the very least, that confusion in the minds of the public be a likely consequence</w:t>
      </w:r>
      <w:r w:rsidRPr="00187E37">
        <w:rPr>
          <w:lang w:val="en-CA"/>
        </w:rPr>
        <w:t xml:space="preserve"> by reason of the sale, or proffering for sale, by the defendant of a product not that of the plaintiffs making, under the guise or implication that it was the plaintiff’s product or the equivalent.</w:t>
      </w:r>
      <w:r w:rsidRPr="00187E37">
        <w:rPr>
          <w:rStyle w:val="Appelnotedebasdep"/>
          <w:lang w:val="en-CA"/>
        </w:rPr>
        <w:footnoteReference w:id="30"/>
      </w:r>
    </w:p>
    <w:p w14:paraId="77C3A99D" w14:textId="77777777" w:rsidR="005110B7" w:rsidRPr="00187E37" w:rsidRDefault="005110B7" w:rsidP="00DA2CC1">
      <w:pPr>
        <w:pStyle w:val="Citationenretrait"/>
        <w:spacing w:line="240" w:lineRule="auto"/>
        <w:jc w:val="right"/>
        <w:rPr>
          <w:lang w:val="en-CA"/>
        </w:rPr>
      </w:pPr>
      <w:r w:rsidRPr="00187E37">
        <w:rPr>
          <w:rFonts w:cs="Arial"/>
          <w:lang w:val="en-CA"/>
        </w:rPr>
        <w:t>[</w:t>
      </w:r>
      <w:r w:rsidR="00DA2CC1" w:rsidRPr="00187E37">
        <w:rPr>
          <w:lang w:val="en-CA"/>
        </w:rPr>
        <w:t>Emphasis added</w:t>
      </w:r>
      <w:r w:rsidR="00E22142">
        <w:rPr>
          <w:lang w:val="en-CA"/>
        </w:rPr>
        <w:t>.</w:t>
      </w:r>
      <w:r w:rsidRPr="00187E37">
        <w:rPr>
          <w:rFonts w:cs="Arial"/>
          <w:lang w:val="en-CA"/>
        </w:rPr>
        <w:t>]</w:t>
      </w:r>
    </w:p>
    <w:p w14:paraId="284EE845" w14:textId="77777777" w:rsidR="00DA2CC1" w:rsidRPr="00187E37" w:rsidRDefault="00F86B90" w:rsidP="00925E16">
      <w:pPr>
        <w:pStyle w:val="Paragraphe"/>
        <w:spacing w:line="240" w:lineRule="auto"/>
        <w:rPr>
          <w:lang w:val="en-CA"/>
        </w:rPr>
      </w:pPr>
      <w:r>
        <w:rPr>
          <w:lang w:val="en-CA"/>
        </w:rPr>
        <w:t>Registering</w:t>
      </w:r>
      <w:r w:rsidR="00DA2CC1" w:rsidRPr="00187E37">
        <w:rPr>
          <w:lang w:val="en-CA"/>
        </w:rPr>
        <w:t xml:space="preserve"> domain names virtually identical to the CABANONS MIRABEL mark</w:t>
      </w:r>
      <w:r w:rsidR="00E85335">
        <w:rPr>
          <w:lang w:val="en-CA"/>
        </w:rPr>
        <w:t>,</w:t>
      </w:r>
      <w:r w:rsidR="00DA2CC1" w:rsidRPr="00187E37">
        <w:rPr>
          <w:lang w:val="en-CA"/>
        </w:rPr>
        <w:t xml:space="preserve"> </w:t>
      </w:r>
      <w:r w:rsidR="00E85335">
        <w:rPr>
          <w:lang w:val="en-CA"/>
        </w:rPr>
        <w:t>which</w:t>
      </w:r>
      <w:r w:rsidR="00DA2CC1" w:rsidRPr="00187E37">
        <w:rPr>
          <w:lang w:val="en-CA"/>
        </w:rPr>
        <w:t xml:space="preserve"> the appellants were aware of, while omitting the name </w:t>
      </w:r>
      <w:r w:rsidR="001346D5" w:rsidRPr="00187E37">
        <w:rPr>
          <w:lang w:val="en-CA"/>
        </w:rPr>
        <w:t>“</w:t>
      </w:r>
      <w:r w:rsidR="00DA2CC1" w:rsidRPr="00187E37">
        <w:rPr>
          <w:lang w:val="en-CA"/>
        </w:rPr>
        <w:t>Fontaine</w:t>
      </w:r>
      <w:r w:rsidR="001346D5" w:rsidRPr="00187E37">
        <w:rPr>
          <w:lang w:val="en-CA"/>
        </w:rPr>
        <w:t>”</w:t>
      </w:r>
      <w:r w:rsidR="00E85335">
        <w:rPr>
          <w:lang w:val="en-CA"/>
        </w:rPr>
        <w:t>,</w:t>
      </w:r>
      <w:r w:rsidR="00DA2CC1" w:rsidRPr="00187E37">
        <w:rPr>
          <w:lang w:val="en-CA"/>
        </w:rPr>
        <w:t xml:space="preserve"> and without </w:t>
      </w:r>
      <w:r w:rsidR="00DA2CC1" w:rsidRPr="00187E37">
        <w:rPr>
          <w:lang w:val="en-CA"/>
        </w:rPr>
        <w:lastRenderedPageBreak/>
        <w:t xml:space="preserve">making any verification as to the risk of confusion or illegality, is </w:t>
      </w:r>
      <w:r w:rsidRPr="00187E37">
        <w:rPr>
          <w:lang w:val="en-CA"/>
        </w:rPr>
        <w:t xml:space="preserve">at the very least </w:t>
      </w:r>
      <w:r w:rsidR="00DA2CC1" w:rsidRPr="00187E37">
        <w:rPr>
          <w:lang w:val="en-CA"/>
        </w:rPr>
        <w:t xml:space="preserve">negligent or reckless and public confusion was a likely consequence. This is enough </w:t>
      </w:r>
      <w:r>
        <w:rPr>
          <w:lang w:val="en-CA"/>
        </w:rPr>
        <w:t>for a</w:t>
      </w:r>
      <w:r w:rsidRPr="00187E37">
        <w:rPr>
          <w:lang w:val="en-CA"/>
        </w:rPr>
        <w:t xml:space="preserve"> </w:t>
      </w:r>
      <w:r>
        <w:rPr>
          <w:lang w:val="en-CA"/>
        </w:rPr>
        <w:t>finding of deceit</w:t>
      </w:r>
      <w:r w:rsidR="00DA2CC1" w:rsidRPr="00187E37">
        <w:rPr>
          <w:lang w:val="en-CA"/>
        </w:rPr>
        <w:t>.</w:t>
      </w:r>
    </w:p>
    <w:p w14:paraId="763158D5" w14:textId="77777777" w:rsidR="00DA2CC1" w:rsidRPr="00187E37" w:rsidRDefault="00DA2CC1" w:rsidP="00925E16">
      <w:pPr>
        <w:pStyle w:val="Paragraphe"/>
        <w:spacing w:line="240" w:lineRule="auto"/>
        <w:rPr>
          <w:lang w:val="en-CA"/>
        </w:rPr>
      </w:pPr>
      <w:r w:rsidRPr="00187E37">
        <w:rPr>
          <w:lang w:val="en-CA"/>
        </w:rPr>
        <w:t xml:space="preserve">The appellants submit that their search engine optimization strategy aims to </w:t>
      </w:r>
      <w:r w:rsidR="004E5C4B">
        <w:rPr>
          <w:lang w:val="en-CA"/>
        </w:rPr>
        <w:t>improve</w:t>
      </w:r>
      <w:r w:rsidR="00F86B90" w:rsidRPr="00187E37">
        <w:rPr>
          <w:lang w:val="en-CA"/>
        </w:rPr>
        <w:t xml:space="preserve"> </w:t>
      </w:r>
      <w:r w:rsidRPr="00187E37">
        <w:rPr>
          <w:lang w:val="en-CA"/>
        </w:rPr>
        <w:t xml:space="preserve">their </w:t>
      </w:r>
      <w:r w:rsidR="00F86B90">
        <w:rPr>
          <w:lang w:val="en-CA"/>
        </w:rPr>
        <w:t>rank</w:t>
      </w:r>
      <w:r w:rsidR="00F86B90" w:rsidRPr="00187E37">
        <w:rPr>
          <w:lang w:val="en-CA"/>
        </w:rPr>
        <w:t xml:space="preserve"> </w:t>
      </w:r>
      <w:r w:rsidRPr="00187E37">
        <w:rPr>
          <w:lang w:val="en-CA"/>
        </w:rPr>
        <w:t xml:space="preserve">in the </w:t>
      </w:r>
      <w:r w:rsidR="002E391D">
        <w:rPr>
          <w:lang w:val="en-CA"/>
        </w:rPr>
        <w:t xml:space="preserve">list of </w:t>
      </w:r>
      <w:r w:rsidRPr="00187E37">
        <w:rPr>
          <w:lang w:val="en-CA"/>
        </w:rPr>
        <w:t xml:space="preserve">search results </w:t>
      </w:r>
      <w:r w:rsidR="002E391D">
        <w:rPr>
          <w:lang w:val="en-CA"/>
        </w:rPr>
        <w:t>on</w:t>
      </w:r>
      <w:r w:rsidR="002E391D" w:rsidRPr="00187E37">
        <w:rPr>
          <w:lang w:val="en-CA"/>
        </w:rPr>
        <w:t xml:space="preserve"> </w:t>
      </w:r>
      <w:r w:rsidRPr="00187E37">
        <w:rPr>
          <w:lang w:val="en-CA"/>
        </w:rPr>
        <w:t xml:space="preserve">a search engine and does not create confusion in the mind of the public. They add that the use of domain names is invisible and consumers will therefore make no connection between the appellants and these domain names. They suggest that what they are doing resembles using keywords for </w:t>
      </w:r>
      <w:r w:rsidR="004E5C4B">
        <w:rPr>
          <w:lang w:val="en-CA"/>
        </w:rPr>
        <w:t>referencing</w:t>
      </w:r>
      <w:r w:rsidR="004E5C4B" w:rsidRPr="00187E37">
        <w:rPr>
          <w:lang w:val="en-CA"/>
        </w:rPr>
        <w:t xml:space="preserve"> </w:t>
      </w:r>
      <w:r w:rsidRPr="00187E37">
        <w:rPr>
          <w:lang w:val="en-CA"/>
        </w:rPr>
        <w:t>purposes (</w:t>
      </w:r>
      <w:r w:rsidR="004E5C4B">
        <w:rPr>
          <w:lang w:val="en-CA"/>
        </w:rPr>
        <w:t>like</w:t>
      </w:r>
      <w:r w:rsidRPr="00187E37">
        <w:rPr>
          <w:lang w:val="en-CA"/>
        </w:rPr>
        <w:t xml:space="preserve"> Google Ads), which the courts have recognized as </w:t>
      </w:r>
      <w:r w:rsidR="001C0128">
        <w:rPr>
          <w:lang w:val="en-CA"/>
        </w:rPr>
        <w:t>lawful</w:t>
      </w:r>
      <w:r w:rsidRPr="00187E37">
        <w:rPr>
          <w:lang w:val="en-CA"/>
        </w:rPr>
        <w:t>.</w:t>
      </w:r>
      <w:r w:rsidRPr="00187E37">
        <w:rPr>
          <w:rStyle w:val="Appelnotedebasdep"/>
          <w:lang w:val="en-CA"/>
        </w:rPr>
        <w:footnoteReference w:id="31"/>
      </w:r>
    </w:p>
    <w:p w14:paraId="5E29E54E" w14:textId="77777777" w:rsidR="00DA2CC1" w:rsidRPr="00187E37" w:rsidRDefault="00DA2CC1" w:rsidP="00925E16">
      <w:pPr>
        <w:pStyle w:val="Paragraphe"/>
        <w:spacing w:line="240" w:lineRule="auto"/>
        <w:rPr>
          <w:lang w:val="en-CA"/>
        </w:rPr>
      </w:pPr>
      <w:r w:rsidRPr="00187E37">
        <w:rPr>
          <w:lang w:val="en-CA"/>
        </w:rPr>
        <w:t xml:space="preserve">Indeed, if </w:t>
      </w:r>
      <w:r w:rsidR="00E22142">
        <w:rPr>
          <w:lang w:val="en-CA"/>
        </w:rPr>
        <w:t xml:space="preserve">a </w:t>
      </w:r>
      <w:r w:rsidRPr="00187E37">
        <w:rPr>
          <w:lang w:val="en-CA"/>
        </w:rPr>
        <w:t xml:space="preserve">consumer enters the words </w:t>
      </w:r>
      <w:r w:rsidR="001346D5" w:rsidRPr="00187E37">
        <w:rPr>
          <w:lang w:val="en-CA"/>
        </w:rPr>
        <w:t>“</w:t>
      </w:r>
      <w:r w:rsidRPr="00187E37">
        <w:rPr>
          <w:lang w:val="en-CA"/>
        </w:rPr>
        <w:t>Cabanons Mirabel</w:t>
      </w:r>
      <w:r w:rsidR="001346D5" w:rsidRPr="00187E37">
        <w:rPr>
          <w:lang w:val="en-CA"/>
        </w:rPr>
        <w:t>”</w:t>
      </w:r>
      <w:r w:rsidRPr="00187E37">
        <w:rPr>
          <w:lang w:val="en-CA"/>
        </w:rPr>
        <w:t xml:space="preserve"> in the search bar of a </w:t>
      </w:r>
      <w:r w:rsidR="001C0128">
        <w:rPr>
          <w:lang w:val="en-CA"/>
        </w:rPr>
        <w:t>w</w:t>
      </w:r>
      <w:r w:rsidRPr="00187E37">
        <w:rPr>
          <w:lang w:val="en-CA"/>
        </w:rPr>
        <w:t xml:space="preserve">eb browser such as Google Chrome, the search engine uses the words entered as keywords to find the most relevant </w:t>
      </w:r>
      <w:r w:rsidR="00BF128E" w:rsidRPr="00187E37">
        <w:rPr>
          <w:lang w:val="en-CA"/>
        </w:rPr>
        <w:t>web</w:t>
      </w:r>
      <w:r w:rsidRPr="00187E37">
        <w:rPr>
          <w:lang w:val="en-CA"/>
        </w:rPr>
        <w:t>sites and generates a list of results in order of relevance according to its own algorithm. The consumer chooses the site he</w:t>
      </w:r>
      <w:r w:rsidR="00E22142">
        <w:rPr>
          <w:lang w:val="en-CA"/>
        </w:rPr>
        <w:t xml:space="preserve"> or she</w:t>
      </w:r>
      <w:r w:rsidRPr="00187E37">
        <w:rPr>
          <w:lang w:val="en-CA"/>
        </w:rPr>
        <w:t xml:space="preserve"> wants to access from the list of results. In this case, the evidence </w:t>
      </w:r>
      <w:r w:rsidR="00432518">
        <w:rPr>
          <w:lang w:val="en-CA"/>
        </w:rPr>
        <w:t>demonstrates</w:t>
      </w:r>
      <w:r w:rsidR="00432518" w:rsidRPr="00187E37">
        <w:rPr>
          <w:lang w:val="en-CA"/>
        </w:rPr>
        <w:t xml:space="preserve"> </w:t>
      </w:r>
      <w:r w:rsidRPr="00187E37">
        <w:rPr>
          <w:lang w:val="en-CA"/>
        </w:rPr>
        <w:t xml:space="preserve">that </w:t>
      </w:r>
      <w:r w:rsidR="00432518" w:rsidRPr="00187E37">
        <w:rPr>
          <w:lang w:val="en-CA"/>
        </w:rPr>
        <w:t>the respondent’s website</w:t>
      </w:r>
      <w:r w:rsidR="00432518">
        <w:rPr>
          <w:lang w:val="en-CA"/>
        </w:rPr>
        <w:t xml:space="preserve"> comes up</w:t>
      </w:r>
      <w:r w:rsidR="00432518" w:rsidRPr="00187E37">
        <w:rPr>
          <w:lang w:val="en-CA"/>
        </w:rPr>
        <w:t xml:space="preserve"> first and the Cabanons Fontaine website third </w:t>
      </w:r>
      <w:r w:rsidR="00432518">
        <w:rPr>
          <w:lang w:val="en-CA"/>
        </w:rPr>
        <w:t xml:space="preserve">in </w:t>
      </w:r>
      <w:r w:rsidRPr="00187E37">
        <w:rPr>
          <w:lang w:val="en-CA"/>
        </w:rPr>
        <w:t>a search for “Cabanons Mirabel” on the Google search engine.</w:t>
      </w:r>
      <w:r w:rsidR="00BF128E" w:rsidRPr="00187E37">
        <w:rPr>
          <w:rStyle w:val="Appelnotedebasdep"/>
          <w:lang w:val="en-CA"/>
        </w:rPr>
        <w:footnoteReference w:id="32"/>
      </w:r>
      <w:r w:rsidR="00BF128E" w:rsidRPr="00187E37">
        <w:rPr>
          <w:lang w:val="en-CA"/>
        </w:rPr>
        <w:t xml:space="preserve"> </w:t>
      </w:r>
      <w:r w:rsidRPr="00187E37">
        <w:rPr>
          <w:lang w:val="en-CA"/>
        </w:rPr>
        <w:t xml:space="preserve">There is no mention of the domain names in dispute in connection with the Cabanons Fontaine </w:t>
      </w:r>
      <w:r w:rsidR="00BF128E" w:rsidRPr="00187E37">
        <w:rPr>
          <w:lang w:val="en-CA"/>
        </w:rPr>
        <w:t>web</w:t>
      </w:r>
      <w:r w:rsidRPr="00187E37">
        <w:rPr>
          <w:lang w:val="en-CA"/>
        </w:rPr>
        <w:t>site.</w:t>
      </w:r>
    </w:p>
    <w:p w14:paraId="084EB9FB" w14:textId="77777777" w:rsidR="00BF128E" w:rsidRPr="00187E37" w:rsidRDefault="001C0128" w:rsidP="00925E16">
      <w:pPr>
        <w:pStyle w:val="Paragraphe"/>
        <w:spacing w:line="240" w:lineRule="auto"/>
        <w:rPr>
          <w:lang w:val="en-CA"/>
        </w:rPr>
      </w:pPr>
      <w:r>
        <w:rPr>
          <w:lang w:val="en-CA"/>
        </w:rPr>
        <w:t>I</w:t>
      </w:r>
      <w:r w:rsidRPr="00187E37">
        <w:rPr>
          <w:lang w:val="en-CA"/>
        </w:rPr>
        <w:t xml:space="preserve">n this </w:t>
      </w:r>
      <w:r>
        <w:rPr>
          <w:lang w:val="en-CA"/>
        </w:rPr>
        <w:t>scenario, t</w:t>
      </w:r>
      <w:r w:rsidR="00BF128E" w:rsidRPr="00187E37">
        <w:rPr>
          <w:lang w:val="en-CA"/>
        </w:rPr>
        <w:t xml:space="preserve">he fact that the appellants registered the domain names in dispute could only </w:t>
      </w:r>
      <w:r w:rsidR="006F38A1">
        <w:rPr>
          <w:lang w:val="en-CA"/>
        </w:rPr>
        <w:t>have improved</w:t>
      </w:r>
      <w:r w:rsidR="00BF128E" w:rsidRPr="00187E37">
        <w:rPr>
          <w:lang w:val="en-CA"/>
        </w:rPr>
        <w:t xml:space="preserve"> Cabanons Fontaine</w:t>
      </w:r>
      <w:r w:rsidR="006F38A1">
        <w:rPr>
          <w:lang w:val="en-CA"/>
        </w:rPr>
        <w:t>’s rank</w:t>
      </w:r>
      <w:r w:rsidR="00BF128E" w:rsidRPr="00187E37">
        <w:rPr>
          <w:lang w:val="en-CA"/>
        </w:rPr>
        <w:t xml:space="preserve"> </w:t>
      </w:r>
      <w:r w:rsidR="006F38A1">
        <w:rPr>
          <w:lang w:val="en-CA"/>
        </w:rPr>
        <w:t>on</w:t>
      </w:r>
      <w:r w:rsidR="006F38A1" w:rsidRPr="00187E37">
        <w:rPr>
          <w:lang w:val="en-CA"/>
        </w:rPr>
        <w:t xml:space="preserve"> </w:t>
      </w:r>
      <w:r w:rsidR="00BF128E" w:rsidRPr="00187E37">
        <w:rPr>
          <w:lang w:val="en-CA"/>
        </w:rPr>
        <w:t xml:space="preserve">this list. This poses no problem </w:t>
      </w:r>
      <w:r>
        <w:rPr>
          <w:lang w:val="en-CA"/>
        </w:rPr>
        <w:t>with respect to passing-off</w:t>
      </w:r>
      <w:r w:rsidR="00BF128E" w:rsidRPr="00187E37">
        <w:rPr>
          <w:lang w:val="en-CA"/>
        </w:rPr>
        <w:t>.</w:t>
      </w:r>
      <w:r w:rsidR="00BF128E" w:rsidRPr="00187E37">
        <w:rPr>
          <w:rStyle w:val="Appelnotedebasdep"/>
          <w:lang w:val="en-CA"/>
        </w:rPr>
        <w:footnoteReference w:id="33"/>
      </w:r>
    </w:p>
    <w:p w14:paraId="4F418117" w14:textId="77777777" w:rsidR="00BF128E" w:rsidRPr="00187E37" w:rsidRDefault="00BF128E" w:rsidP="00925E16">
      <w:pPr>
        <w:pStyle w:val="Paragraphe"/>
        <w:spacing w:line="240" w:lineRule="auto"/>
        <w:rPr>
          <w:lang w:val="en-CA"/>
        </w:rPr>
      </w:pPr>
      <w:r w:rsidRPr="00187E37">
        <w:rPr>
          <w:lang w:val="en-CA"/>
        </w:rPr>
        <w:t>However, the judge considered that</w:t>
      </w:r>
      <w:r w:rsidR="006F38A1">
        <w:rPr>
          <w:lang w:val="en-CA"/>
        </w:rPr>
        <w:t xml:space="preserve"> [</w:t>
      </w:r>
      <w:r w:rsidR="006F38A1" w:rsidRPr="002E391D">
        <w:rPr>
          <w:smallCaps/>
          <w:lang w:val="en-CA"/>
        </w:rPr>
        <w:t>translation</w:t>
      </w:r>
      <w:r w:rsidR="006F38A1">
        <w:rPr>
          <w:lang w:val="en-CA"/>
        </w:rPr>
        <w:t>]</w:t>
      </w:r>
      <w:r w:rsidRPr="00187E37">
        <w:rPr>
          <w:lang w:val="en-CA"/>
        </w:rPr>
        <w:t xml:space="preserve"> </w:t>
      </w:r>
      <w:r w:rsidR="006F38A1">
        <w:rPr>
          <w:lang w:val="en-CA"/>
        </w:rPr>
        <w:t>“</w:t>
      </w:r>
      <w:r w:rsidRPr="00187E37">
        <w:rPr>
          <w:lang w:val="en-CA"/>
        </w:rPr>
        <w:t xml:space="preserve">Internet users have developed the habit of </w:t>
      </w:r>
      <w:r w:rsidR="006F38A1">
        <w:rPr>
          <w:lang w:val="en-CA"/>
        </w:rPr>
        <w:t>searching</w:t>
      </w:r>
      <w:r w:rsidR="006F38A1" w:rsidRPr="00187E37">
        <w:rPr>
          <w:lang w:val="en-CA"/>
        </w:rPr>
        <w:t xml:space="preserve"> </w:t>
      </w:r>
      <w:r w:rsidRPr="00187E37">
        <w:rPr>
          <w:lang w:val="en-CA"/>
        </w:rPr>
        <w:t xml:space="preserve">for the website </w:t>
      </w:r>
      <w:r w:rsidR="004D7F9F">
        <w:rPr>
          <w:lang w:val="en-CA"/>
        </w:rPr>
        <w:t>of</w:t>
      </w:r>
      <w:r w:rsidRPr="00187E37">
        <w:rPr>
          <w:lang w:val="en-CA"/>
        </w:rPr>
        <w:t xml:space="preserve"> a company they know by entering the trademark of this company </w:t>
      </w:r>
      <w:r w:rsidR="006F38A1">
        <w:rPr>
          <w:lang w:val="en-CA"/>
        </w:rPr>
        <w:t>into</w:t>
      </w:r>
      <w:r w:rsidRPr="00187E37">
        <w:rPr>
          <w:lang w:val="en-CA"/>
        </w:rPr>
        <w:t xml:space="preserve"> the </w:t>
      </w:r>
      <w:r w:rsidR="006F38A1">
        <w:rPr>
          <w:lang w:val="en-CA"/>
        </w:rPr>
        <w:t>web</w:t>
      </w:r>
      <w:r w:rsidR="006F38A1" w:rsidRPr="00187E37">
        <w:rPr>
          <w:lang w:val="en-CA"/>
        </w:rPr>
        <w:t xml:space="preserve"> </w:t>
      </w:r>
      <w:r w:rsidRPr="00187E37">
        <w:rPr>
          <w:lang w:val="en-CA"/>
        </w:rPr>
        <w:t>browser</w:t>
      </w:r>
      <w:r w:rsidR="004D7F9F">
        <w:rPr>
          <w:lang w:val="en-CA"/>
        </w:rPr>
        <w:t>”</w:t>
      </w:r>
      <w:r w:rsidRPr="00187E37">
        <w:rPr>
          <w:lang w:val="en-CA"/>
        </w:rPr>
        <w:t>.</w:t>
      </w:r>
      <w:r w:rsidRPr="00187E37">
        <w:rPr>
          <w:vertAlign w:val="superscript"/>
          <w:lang w:val="en-CA"/>
        </w:rPr>
        <w:footnoteReference w:id="34"/>
      </w:r>
      <w:r w:rsidRPr="00187E37">
        <w:rPr>
          <w:lang w:val="en-CA"/>
        </w:rPr>
        <w:t xml:space="preserve"> Indeed, there is a second way for consumer</w:t>
      </w:r>
      <w:r w:rsidR="006F38A1">
        <w:rPr>
          <w:lang w:val="en-CA"/>
        </w:rPr>
        <w:t>s</w:t>
      </w:r>
      <w:r w:rsidRPr="00187E37">
        <w:rPr>
          <w:lang w:val="en-CA"/>
        </w:rPr>
        <w:t xml:space="preserve"> to reach a company</w:t>
      </w:r>
      <w:r w:rsidR="001346D5" w:rsidRPr="00187E37">
        <w:rPr>
          <w:lang w:val="en-CA"/>
        </w:rPr>
        <w:t>’</w:t>
      </w:r>
      <w:r w:rsidRPr="00187E37">
        <w:rPr>
          <w:lang w:val="en-CA"/>
        </w:rPr>
        <w:t xml:space="preserve">s website: </w:t>
      </w:r>
      <w:r w:rsidR="006F38A1">
        <w:rPr>
          <w:lang w:val="en-CA"/>
        </w:rPr>
        <w:t>they</w:t>
      </w:r>
      <w:r w:rsidR="006F38A1" w:rsidRPr="00187E37">
        <w:rPr>
          <w:lang w:val="en-CA"/>
        </w:rPr>
        <w:t xml:space="preserve"> </w:t>
      </w:r>
      <w:r w:rsidRPr="00187E37">
        <w:rPr>
          <w:lang w:val="en-CA"/>
        </w:rPr>
        <w:t>can enter the domain name (if known)</w:t>
      </w:r>
      <w:r w:rsidR="004D7F9F">
        <w:rPr>
          <w:lang w:val="en-CA"/>
        </w:rPr>
        <w:t xml:space="preserve">, </w:t>
      </w:r>
      <w:r w:rsidRPr="00187E37">
        <w:rPr>
          <w:lang w:val="en-CA"/>
        </w:rPr>
        <w:t xml:space="preserve">the </w:t>
      </w:r>
      <w:r w:rsidR="001C0128">
        <w:rPr>
          <w:lang w:val="en-CA"/>
        </w:rPr>
        <w:t>trade</w:t>
      </w:r>
      <w:r w:rsidRPr="00187E37">
        <w:rPr>
          <w:lang w:val="en-CA"/>
        </w:rPr>
        <w:t xml:space="preserve"> name</w:t>
      </w:r>
      <w:r w:rsidR="004D7F9F">
        <w:rPr>
          <w:lang w:val="en-CA"/>
        </w:rPr>
        <w:t xml:space="preserve">, </w:t>
      </w:r>
      <w:r w:rsidR="00E22142">
        <w:rPr>
          <w:lang w:val="en-CA"/>
        </w:rPr>
        <w:t xml:space="preserve">or </w:t>
      </w:r>
      <w:r w:rsidRPr="00187E37">
        <w:rPr>
          <w:lang w:val="en-CA"/>
        </w:rPr>
        <w:t>the trademark of the company sought</w:t>
      </w:r>
      <w:r w:rsidR="00575FC0" w:rsidRPr="00187E37">
        <w:rPr>
          <w:lang w:val="en-CA"/>
        </w:rPr>
        <w:t xml:space="preserve"> in the browser address bar</w:t>
      </w:r>
      <w:r w:rsidRPr="00187E37">
        <w:rPr>
          <w:lang w:val="en-CA"/>
        </w:rPr>
        <w:t>,</w:t>
      </w:r>
      <w:r w:rsidR="00575FC0" w:rsidRPr="00187E37">
        <w:rPr>
          <w:rStyle w:val="Appelnotedebasdep"/>
          <w:lang w:val="en-CA"/>
        </w:rPr>
        <w:footnoteReference w:id="35"/>
      </w:r>
      <w:r w:rsidRPr="00187E37">
        <w:rPr>
          <w:lang w:val="en-CA"/>
        </w:rPr>
        <w:t xml:space="preserve"> preceded by “www.</w:t>
      </w:r>
      <w:r w:rsidR="00575FC0" w:rsidRPr="00187E37">
        <w:rPr>
          <w:lang w:val="en-CA"/>
        </w:rPr>
        <w:t>”</w:t>
      </w:r>
      <w:r w:rsidRPr="00187E37">
        <w:rPr>
          <w:lang w:val="en-CA"/>
        </w:rPr>
        <w:t xml:space="preserve"> and followed by the generic “.ca” or “.com”. If the consumer enters the correct address, he </w:t>
      </w:r>
      <w:r w:rsidR="004E1847">
        <w:rPr>
          <w:lang w:val="en-CA"/>
        </w:rPr>
        <w:t xml:space="preserve">or she </w:t>
      </w:r>
      <w:r w:rsidRPr="00187E37">
        <w:rPr>
          <w:lang w:val="en-CA"/>
        </w:rPr>
        <w:t>is directed to the chosen website.</w:t>
      </w:r>
    </w:p>
    <w:p w14:paraId="1F021DF5" w14:textId="77777777" w:rsidR="00575FC0" w:rsidRPr="00187E37" w:rsidRDefault="00575FC0" w:rsidP="00925E16">
      <w:pPr>
        <w:pStyle w:val="Paragraphe"/>
        <w:spacing w:line="240" w:lineRule="auto"/>
        <w:rPr>
          <w:lang w:val="en-CA"/>
        </w:rPr>
      </w:pPr>
      <w:r w:rsidRPr="00187E37">
        <w:rPr>
          <w:lang w:val="en-CA"/>
        </w:rPr>
        <w:t>In this context, the judge raises two sources of confusion.</w:t>
      </w:r>
    </w:p>
    <w:p w14:paraId="2F44083C" w14:textId="77777777" w:rsidR="00575FC0" w:rsidRPr="00187E37" w:rsidRDefault="00575FC0" w:rsidP="00925E16">
      <w:pPr>
        <w:pStyle w:val="Paragraphe"/>
        <w:spacing w:line="240" w:lineRule="auto"/>
        <w:rPr>
          <w:lang w:val="en-CA"/>
        </w:rPr>
      </w:pPr>
      <w:r w:rsidRPr="00187E37">
        <w:rPr>
          <w:lang w:val="en-CA"/>
        </w:rPr>
        <w:t xml:space="preserve">First, if a consumer tries to enter the domain name </w:t>
      </w:r>
      <w:r w:rsidRPr="00187E37">
        <w:rPr>
          <w:u w:val="single"/>
          <w:lang w:val="en-CA"/>
        </w:rPr>
        <w:t>cabanonsmirabel.com</w:t>
      </w:r>
      <w:r w:rsidRPr="00187E37">
        <w:rPr>
          <w:lang w:val="en-CA"/>
        </w:rPr>
        <w:t xml:space="preserve"> in the </w:t>
      </w:r>
      <w:r w:rsidR="002E391D">
        <w:rPr>
          <w:lang w:val="en-CA"/>
        </w:rPr>
        <w:t xml:space="preserve">browser’s </w:t>
      </w:r>
      <w:r w:rsidRPr="00187E37">
        <w:rPr>
          <w:lang w:val="en-CA"/>
        </w:rPr>
        <w:t>address bar to go directly to the respondent</w:t>
      </w:r>
      <w:r w:rsidR="001346D5" w:rsidRPr="00187E37">
        <w:rPr>
          <w:lang w:val="en-CA"/>
        </w:rPr>
        <w:t>’</w:t>
      </w:r>
      <w:r w:rsidRPr="00187E37">
        <w:rPr>
          <w:lang w:val="en-CA"/>
        </w:rPr>
        <w:t xml:space="preserve">s website, but types </w:t>
      </w:r>
      <w:r w:rsidR="001346D5" w:rsidRPr="00187E37">
        <w:rPr>
          <w:lang w:val="en-CA"/>
        </w:rPr>
        <w:t>“</w:t>
      </w:r>
      <w:r w:rsidRPr="00187E37">
        <w:rPr>
          <w:lang w:val="en-CA"/>
        </w:rPr>
        <w:t xml:space="preserve">.ca” or forgets the “s”, </w:t>
      </w:r>
      <w:r w:rsidR="005F4969">
        <w:rPr>
          <w:lang w:val="en-CA"/>
        </w:rPr>
        <w:t xml:space="preserve">he or she </w:t>
      </w:r>
      <w:r w:rsidRPr="00187E37">
        <w:rPr>
          <w:lang w:val="en-CA"/>
        </w:rPr>
        <w:t xml:space="preserve">is first redirected to the </w:t>
      </w:r>
      <w:r w:rsidRPr="00187E37">
        <w:rPr>
          <w:u w:val="single"/>
          <w:lang w:val="en-CA"/>
        </w:rPr>
        <w:t>garagescabanonsmirabel.com</w:t>
      </w:r>
      <w:r w:rsidRPr="00187E37">
        <w:rPr>
          <w:lang w:val="en-CA"/>
        </w:rPr>
        <w:t xml:space="preserve"> website </w:t>
      </w:r>
      <w:r w:rsidRPr="00187E37">
        <w:rPr>
          <w:lang w:val="en-CA"/>
        </w:rPr>
        <w:lastRenderedPageBreak/>
        <w:t>and then to Cabanons Fontaine</w:t>
      </w:r>
      <w:r w:rsidR="00296E21">
        <w:rPr>
          <w:lang w:val="en-CA"/>
        </w:rPr>
        <w:t>’s main</w:t>
      </w:r>
      <w:r w:rsidRPr="00187E37">
        <w:rPr>
          <w:lang w:val="en-CA"/>
        </w:rPr>
        <w:t xml:space="preserve"> website. If, while looking for </w:t>
      </w:r>
      <w:r w:rsidR="00296E21">
        <w:rPr>
          <w:lang w:val="en-CA"/>
        </w:rPr>
        <w:t>one of</w:t>
      </w:r>
      <w:r w:rsidRPr="00187E37">
        <w:rPr>
          <w:lang w:val="en-CA"/>
        </w:rPr>
        <w:t xml:space="preserve"> the respondent</w:t>
      </w:r>
      <w:r w:rsidR="00296E21">
        <w:rPr>
          <w:lang w:val="en-CA"/>
        </w:rPr>
        <w:t>’s garages</w:t>
      </w:r>
      <w:r w:rsidRPr="00187E37">
        <w:rPr>
          <w:lang w:val="en-CA"/>
        </w:rPr>
        <w:t>,</w:t>
      </w:r>
      <w:r w:rsidRPr="00187E37">
        <w:rPr>
          <w:rStyle w:val="Appelnotedebasdep"/>
          <w:lang w:val="en-CA"/>
        </w:rPr>
        <w:footnoteReference w:id="36"/>
      </w:r>
      <w:r w:rsidRPr="00187E37">
        <w:rPr>
          <w:lang w:val="en-CA"/>
        </w:rPr>
        <w:t xml:space="preserve"> the consumer enters the name </w:t>
      </w:r>
      <w:r w:rsidRPr="00187E37">
        <w:rPr>
          <w:u w:val="single"/>
          <w:lang w:val="en-CA"/>
        </w:rPr>
        <w:t>garagescabanonsmirabel.com</w:t>
      </w:r>
      <w:r w:rsidRPr="00187E37">
        <w:rPr>
          <w:lang w:val="en-CA"/>
        </w:rPr>
        <w:t xml:space="preserve"> in the address bar, he </w:t>
      </w:r>
      <w:r w:rsidR="00296E21">
        <w:rPr>
          <w:lang w:val="en-CA"/>
        </w:rPr>
        <w:t xml:space="preserve">or she </w:t>
      </w:r>
      <w:r w:rsidRPr="00187E37">
        <w:rPr>
          <w:lang w:val="en-CA"/>
        </w:rPr>
        <w:t>is redirected to Cabanons Fontaine</w:t>
      </w:r>
      <w:r w:rsidR="00296E21">
        <w:rPr>
          <w:lang w:val="en-CA"/>
        </w:rPr>
        <w:t>’s main</w:t>
      </w:r>
      <w:r w:rsidRPr="00187E37">
        <w:rPr>
          <w:lang w:val="en-CA"/>
        </w:rPr>
        <w:t xml:space="preserve"> website. In all these cases, consumer</w:t>
      </w:r>
      <w:r w:rsidR="00296E21">
        <w:rPr>
          <w:lang w:val="en-CA"/>
        </w:rPr>
        <w:t>s</w:t>
      </w:r>
      <w:r w:rsidRPr="00187E37">
        <w:rPr>
          <w:lang w:val="en-CA"/>
        </w:rPr>
        <w:t xml:space="preserve"> </w:t>
      </w:r>
      <w:r w:rsidR="00296E21">
        <w:rPr>
          <w:lang w:val="en-CA"/>
        </w:rPr>
        <w:t>wishing</w:t>
      </w:r>
      <w:r w:rsidRPr="00187E37">
        <w:rPr>
          <w:lang w:val="en-CA"/>
        </w:rPr>
        <w:t xml:space="preserve"> to access the respondent</w:t>
      </w:r>
      <w:r w:rsidR="001346D5" w:rsidRPr="00187E37">
        <w:rPr>
          <w:lang w:val="en-CA"/>
        </w:rPr>
        <w:t>’</w:t>
      </w:r>
      <w:r w:rsidRPr="00187E37">
        <w:rPr>
          <w:lang w:val="en-CA"/>
        </w:rPr>
        <w:t xml:space="preserve">s website automatically and </w:t>
      </w:r>
      <w:r w:rsidR="00296E21">
        <w:rPr>
          <w:lang w:val="en-CA"/>
        </w:rPr>
        <w:t>unwittingly</w:t>
      </w:r>
      <w:r w:rsidRPr="00187E37">
        <w:rPr>
          <w:lang w:val="en-CA"/>
        </w:rPr>
        <w:t xml:space="preserve"> </w:t>
      </w:r>
      <w:r w:rsidR="00296E21">
        <w:rPr>
          <w:lang w:val="en-CA"/>
        </w:rPr>
        <w:t>end up on</w:t>
      </w:r>
      <w:r w:rsidR="00296E21" w:rsidRPr="00187E37">
        <w:rPr>
          <w:lang w:val="en-CA"/>
        </w:rPr>
        <w:t xml:space="preserve"> </w:t>
      </w:r>
      <w:r w:rsidRPr="00187E37">
        <w:rPr>
          <w:lang w:val="en-CA"/>
        </w:rPr>
        <w:t>the Cabanons Fontaine website. In addition, once on the Cabanons Fontaine website, consumer</w:t>
      </w:r>
      <w:r w:rsidR="00E22142">
        <w:rPr>
          <w:lang w:val="en-CA"/>
        </w:rPr>
        <w:t>s</w:t>
      </w:r>
      <w:r w:rsidRPr="00187E37">
        <w:rPr>
          <w:lang w:val="en-CA"/>
        </w:rPr>
        <w:t xml:space="preserve"> who entered the name </w:t>
      </w:r>
      <w:r w:rsidRPr="00187E37">
        <w:rPr>
          <w:u w:val="single"/>
          <w:lang w:val="en-CA"/>
        </w:rPr>
        <w:t>cabanonmirabel.com</w:t>
      </w:r>
      <w:r w:rsidRPr="00187E37">
        <w:rPr>
          <w:lang w:val="en-CA"/>
        </w:rPr>
        <w:t xml:space="preserve"> or </w:t>
      </w:r>
      <w:r w:rsidRPr="00187E37">
        <w:rPr>
          <w:u w:val="single"/>
          <w:lang w:val="en-CA"/>
        </w:rPr>
        <w:t>cabanonsmirabel.ca</w:t>
      </w:r>
      <w:r w:rsidRPr="00187E37">
        <w:rPr>
          <w:lang w:val="en-CA"/>
        </w:rPr>
        <w:t xml:space="preserve"> can see the name </w:t>
      </w:r>
      <w:r w:rsidRPr="00187E37">
        <w:rPr>
          <w:u w:val="single"/>
          <w:lang w:val="en-CA"/>
        </w:rPr>
        <w:t>garagescabanonsmirabel.com</w:t>
      </w:r>
      <w:r w:rsidRPr="00187E37">
        <w:rPr>
          <w:lang w:val="en-CA"/>
        </w:rPr>
        <w:t xml:space="preserve"> in the address bar,</w:t>
      </w:r>
      <w:r w:rsidRPr="00187E37">
        <w:rPr>
          <w:rStyle w:val="Appelnotedebasdep"/>
          <w:lang w:val="en-CA"/>
        </w:rPr>
        <w:footnoteReference w:id="37"/>
      </w:r>
      <w:r w:rsidRPr="00187E37">
        <w:rPr>
          <w:lang w:val="en-CA"/>
        </w:rPr>
        <w:t xml:space="preserve"> which suggests a link between Garages Cabanons Mirabel and Cabanons Fontaine. The judge </w:t>
      </w:r>
      <w:r w:rsidR="00296E21">
        <w:rPr>
          <w:lang w:val="en-CA"/>
        </w:rPr>
        <w:t>therefore found that there</w:t>
      </w:r>
      <w:r w:rsidRPr="00187E37">
        <w:rPr>
          <w:lang w:val="en-CA"/>
        </w:rPr>
        <w:t xml:space="preserve"> is a risk of confusion.</w:t>
      </w:r>
      <w:r w:rsidRPr="00187E37">
        <w:rPr>
          <w:rStyle w:val="Appelnotedebasdep"/>
          <w:lang w:val="en-CA"/>
        </w:rPr>
        <w:footnoteReference w:id="38"/>
      </w:r>
    </w:p>
    <w:p w14:paraId="5FFCC388" w14:textId="77777777" w:rsidR="00575FC0" w:rsidRPr="00187E37" w:rsidRDefault="00575FC0" w:rsidP="00925E16">
      <w:pPr>
        <w:pStyle w:val="Paragraphe"/>
        <w:spacing w:line="240" w:lineRule="auto"/>
        <w:rPr>
          <w:lang w:val="en-CA"/>
        </w:rPr>
      </w:pPr>
      <w:r w:rsidRPr="00187E37">
        <w:rPr>
          <w:lang w:val="en-CA"/>
        </w:rPr>
        <w:t>The appellants challenge the judge</w:t>
      </w:r>
      <w:r w:rsidR="001346D5" w:rsidRPr="00187E37">
        <w:rPr>
          <w:lang w:val="en-CA"/>
        </w:rPr>
        <w:t>’</w:t>
      </w:r>
      <w:r w:rsidRPr="00187E37">
        <w:rPr>
          <w:lang w:val="en-CA"/>
        </w:rPr>
        <w:t xml:space="preserve">s premise that consumers enter the trademark directly into the address bar and are </w:t>
      </w:r>
      <w:r w:rsidR="00BB50F6">
        <w:rPr>
          <w:lang w:val="en-CA"/>
        </w:rPr>
        <w:t>thereby</w:t>
      </w:r>
      <w:r w:rsidRPr="00187E37">
        <w:rPr>
          <w:lang w:val="en-CA"/>
        </w:rPr>
        <w:t xml:space="preserve"> redirected to the Cabanons Fontaine website, arguing that there is no evidence to this effect. They maintain that expert evidence was required to support the judge</w:t>
      </w:r>
      <w:r w:rsidR="001346D5" w:rsidRPr="00187E37">
        <w:rPr>
          <w:lang w:val="en-CA"/>
        </w:rPr>
        <w:t>’</w:t>
      </w:r>
      <w:r w:rsidRPr="00187E37">
        <w:rPr>
          <w:lang w:val="en-CA"/>
        </w:rPr>
        <w:t xml:space="preserve">s premise on the habits of Internet users. In my view, the judge could </w:t>
      </w:r>
      <w:r w:rsidR="00BB50F6">
        <w:rPr>
          <w:lang w:val="en-CA"/>
        </w:rPr>
        <w:t>arrive</w:t>
      </w:r>
      <w:r w:rsidR="00BB50F6" w:rsidRPr="00187E37">
        <w:rPr>
          <w:lang w:val="en-CA"/>
        </w:rPr>
        <w:t xml:space="preserve"> </w:t>
      </w:r>
      <w:r w:rsidR="00BB50F6">
        <w:rPr>
          <w:lang w:val="en-CA"/>
        </w:rPr>
        <w:t>at</w:t>
      </w:r>
      <w:r w:rsidR="00BB50F6" w:rsidRPr="00187E37">
        <w:rPr>
          <w:lang w:val="en-CA"/>
        </w:rPr>
        <w:t xml:space="preserve"> </w:t>
      </w:r>
      <w:r w:rsidRPr="00187E37">
        <w:rPr>
          <w:lang w:val="en-CA"/>
        </w:rPr>
        <w:t>this conclusion based on common sense</w:t>
      </w:r>
      <w:r w:rsidR="00BB50F6">
        <w:rPr>
          <w:lang w:val="en-CA"/>
        </w:rPr>
        <w:t xml:space="preserve">, </w:t>
      </w:r>
      <w:r w:rsidRPr="00187E37">
        <w:rPr>
          <w:lang w:val="en-CA"/>
        </w:rPr>
        <w:t>human experience</w:t>
      </w:r>
      <w:r w:rsidR="00BB50F6">
        <w:rPr>
          <w:lang w:val="en-CA"/>
        </w:rPr>
        <w:t>, and</w:t>
      </w:r>
      <w:r w:rsidR="00E22142">
        <w:rPr>
          <w:lang w:val="en-CA"/>
        </w:rPr>
        <w:t xml:space="preserve"> </w:t>
      </w:r>
      <w:r w:rsidRPr="00187E37">
        <w:rPr>
          <w:lang w:val="en-CA"/>
        </w:rPr>
        <w:t>the evidence presented.</w:t>
      </w:r>
      <w:r w:rsidRPr="00187E37">
        <w:rPr>
          <w:rStyle w:val="Appelnotedebasdep"/>
          <w:lang w:val="en-CA"/>
        </w:rPr>
        <w:footnoteReference w:id="39"/>
      </w:r>
    </w:p>
    <w:p w14:paraId="7EE61B29" w14:textId="77777777" w:rsidR="001346D5" w:rsidRPr="00187E37" w:rsidRDefault="001346D5" w:rsidP="00925E16">
      <w:pPr>
        <w:pStyle w:val="Paragraphe"/>
        <w:spacing w:line="240" w:lineRule="auto"/>
        <w:rPr>
          <w:lang w:val="en-CA"/>
        </w:rPr>
      </w:pPr>
      <w:r w:rsidRPr="00187E37">
        <w:rPr>
          <w:lang w:val="en-CA"/>
        </w:rPr>
        <w:t>The appellants add that, even if consumer</w:t>
      </w:r>
      <w:r w:rsidR="00886902">
        <w:rPr>
          <w:lang w:val="en-CA"/>
        </w:rPr>
        <w:t>s</w:t>
      </w:r>
      <w:r w:rsidRPr="00187E37">
        <w:rPr>
          <w:lang w:val="en-CA"/>
        </w:rPr>
        <w:t xml:space="preserve"> </w:t>
      </w:r>
      <w:r w:rsidR="00886902">
        <w:rPr>
          <w:lang w:val="en-CA"/>
        </w:rPr>
        <w:t>are</w:t>
      </w:r>
      <w:r w:rsidR="00886902" w:rsidRPr="00187E37">
        <w:rPr>
          <w:lang w:val="en-CA"/>
        </w:rPr>
        <w:t xml:space="preserve"> </w:t>
      </w:r>
      <w:r w:rsidRPr="00187E37">
        <w:rPr>
          <w:lang w:val="en-CA"/>
        </w:rPr>
        <w:t xml:space="preserve">redirected in this way, </w:t>
      </w:r>
      <w:r w:rsidR="00886902">
        <w:rPr>
          <w:lang w:val="en-CA"/>
        </w:rPr>
        <w:t>they are</w:t>
      </w:r>
      <w:r w:rsidR="00886902" w:rsidRPr="00187E37">
        <w:rPr>
          <w:lang w:val="en-CA"/>
        </w:rPr>
        <w:t xml:space="preserve"> </w:t>
      </w:r>
      <w:r w:rsidRPr="00187E37">
        <w:rPr>
          <w:lang w:val="en-CA"/>
        </w:rPr>
        <w:t>not misled because Cabanons Fontaine</w:t>
      </w:r>
      <w:r w:rsidR="00E22142">
        <w:rPr>
          <w:lang w:val="en-CA"/>
        </w:rPr>
        <w:t>’s</w:t>
      </w:r>
      <w:r w:rsidRPr="00187E37">
        <w:rPr>
          <w:lang w:val="en-CA"/>
        </w:rPr>
        <w:t xml:space="preserve"> website is clearly indicated as such without any mention of the respondent. This argument must fail. First, the evidence </w:t>
      </w:r>
      <w:r w:rsidR="00886902">
        <w:rPr>
          <w:lang w:val="en-CA"/>
        </w:rPr>
        <w:t>demonstrates</w:t>
      </w:r>
      <w:r w:rsidR="00886902" w:rsidRPr="00187E37">
        <w:rPr>
          <w:lang w:val="en-CA"/>
        </w:rPr>
        <w:t xml:space="preserve"> </w:t>
      </w:r>
      <w:r w:rsidRPr="00187E37">
        <w:rPr>
          <w:lang w:val="en-CA"/>
        </w:rPr>
        <w:t xml:space="preserve">that the name </w:t>
      </w:r>
      <w:r w:rsidRPr="00187E37">
        <w:rPr>
          <w:u w:val="single"/>
          <w:lang w:val="en-CA"/>
        </w:rPr>
        <w:t>cabanonmirabel.com</w:t>
      </w:r>
      <w:r w:rsidRPr="00187E37">
        <w:rPr>
          <w:lang w:val="en-CA"/>
        </w:rPr>
        <w:t xml:space="preserve">, </w:t>
      </w:r>
      <w:r w:rsidRPr="00187E37">
        <w:rPr>
          <w:u w:val="single"/>
          <w:lang w:val="en-CA"/>
        </w:rPr>
        <w:t>cabanonsmirabel.ca</w:t>
      </w:r>
      <w:r w:rsidRPr="00187E37">
        <w:rPr>
          <w:lang w:val="en-CA"/>
        </w:rPr>
        <w:t xml:space="preserve"> or </w:t>
      </w:r>
      <w:r w:rsidRPr="00187E37">
        <w:rPr>
          <w:u w:val="single"/>
          <w:lang w:val="en-CA"/>
        </w:rPr>
        <w:t>garagescabanonsmirabel.com</w:t>
      </w:r>
      <w:r w:rsidRPr="00187E37">
        <w:rPr>
          <w:lang w:val="en-CA"/>
        </w:rPr>
        <w:t xml:space="preserve"> is visible during the redirect.</w:t>
      </w:r>
      <w:r w:rsidRPr="00187E37">
        <w:rPr>
          <w:rStyle w:val="Appelnotedebasdep"/>
          <w:lang w:val="en-CA"/>
        </w:rPr>
        <w:footnoteReference w:id="40"/>
      </w:r>
      <w:r w:rsidRPr="00187E37">
        <w:rPr>
          <w:lang w:val="en-CA"/>
        </w:rPr>
        <w:t xml:space="preserve"> In addition, there remains the possibility that, among the consumers redirected to this website, some will </w:t>
      </w:r>
      <w:r w:rsidR="001C0128">
        <w:rPr>
          <w:lang w:val="en-CA"/>
        </w:rPr>
        <w:t>stay</w:t>
      </w:r>
      <w:r w:rsidRPr="00187E37">
        <w:rPr>
          <w:lang w:val="en-CA"/>
        </w:rPr>
        <w:t xml:space="preserve"> there, given the immediate availability of similar products</w:t>
      </w:r>
      <w:r w:rsidR="00886902">
        <w:rPr>
          <w:lang w:val="en-CA"/>
        </w:rPr>
        <w:t>,</w:t>
      </w:r>
      <w:r w:rsidRPr="00187E37">
        <w:rPr>
          <w:lang w:val="en-CA"/>
        </w:rPr>
        <w:t xml:space="preserve"> and that sales will thus be lost for the respondent.</w:t>
      </w:r>
      <w:r w:rsidRPr="00187E37">
        <w:rPr>
          <w:rStyle w:val="Appelnotedebasdep"/>
          <w:lang w:val="en-CA"/>
        </w:rPr>
        <w:footnoteReference w:id="41"/>
      </w:r>
      <w:r w:rsidRPr="00187E37">
        <w:rPr>
          <w:lang w:val="en-CA"/>
        </w:rPr>
        <w:t xml:space="preserve"> Finally, it seems possible to me that the average consumer, in a hurry and having a vague memory of the trademark that </w:t>
      </w:r>
      <w:r w:rsidR="005F4969">
        <w:rPr>
          <w:lang w:val="en-CA"/>
        </w:rPr>
        <w:t xml:space="preserve">prompted this </w:t>
      </w:r>
      <w:r w:rsidRPr="00187E37">
        <w:rPr>
          <w:lang w:val="en-CA"/>
        </w:rPr>
        <w:t>initial search, will not notice that he</w:t>
      </w:r>
      <w:r w:rsidR="00886902">
        <w:rPr>
          <w:lang w:val="en-CA"/>
        </w:rPr>
        <w:t xml:space="preserve"> or she</w:t>
      </w:r>
      <w:r w:rsidRPr="00187E37">
        <w:rPr>
          <w:lang w:val="en-CA"/>
        </w:rPr>
        <w:t xml:space="preserve"> has been redirected to the wrong company’s website. </w:t>
      </w:r>
    </w:p>
    <w:p w14:paraId="5CACDD2B" w14:textId="77777777" w:rsidR="001346D5" w:rsidRPr="00187E37" w:rsidRDefault="001346D5" w:rsidP="00925E16">
      <w:pPr>
        <w:pStyle w:val="Paragraphe"/>
        <w:spacing w:line="240" w:lineRule="auto"/>
        <w:rPr>
          <w:lang w:val="en-CA"/>
        </w:rPr>
      </w:pPr>
      <w:r w:rsidRPr="00187E37">
        <w:rPr>
          <w:lang w:val="en-CA"/>
        </w:rPr>
        <w:t xml:space="preserve">The result is that the appellants </w:t>
      </w:r>
      <w:r w:rsidR="00886902">
        <w:rPr>
          <w:lang w:val="en-CA"/>
        </w:rPr>
        <w:t>capture</w:t>
      </w:r>
      <w:r w:rsidRPr="00187E37">
        <w:rPr>
          <w:lang w:val="en-CA"/>
        </w:rPr>
        <w:t xml:space="preserve"> a portion of the respondent’s goodwill. The </w:t>
      </w:r>
      <w:r w:rsidR="00B87A98">
        <w:rPr>
          <w:lang w:val="en-CA"/>
        </w:rPr>
        <w:t>lack of evidence</w:t>
      </w:r>
      <w:r w:rsidRPr="00187E37">
        <w:rPr>
          <w:lang w:val="en-CA"/>
        </w:rPr>
        <w:t xml:space="preserve"> </w:t>
      </w:r>
      <w:r w:rsidR="00B87A98">
        <w:rPr>
          <w:lang w:val="en-CA"/>
        </w:rPr>
        <w:t>of</w:t>
      </w:r>
      <w:r w:rsidR="00B87A98" w:rsidRPr="00187E37">
        <w:rPr>
          <w:lang w:val="en-CA"/>
        </w:rPr>
        <w:t xml:space="preserve"> </w:t>
      </w:r>
      <w:r w:rsidRPr="00187E37">
        <w:rPr>
          <w:lang w:val="en-CA"/>
        </w:rPr>
        <w:t>the number of people who were thus redirected or of sales actually lost for the respondent is not relevant at the stage of fault and injunction. This will be a factor when calculating damage</w:t>
      </w:r>
      <w:r w:rsidR="00B87A98">
        <w:rPr>
          <w:lang w:val="en-CA"/>
        </w:rPr>
        <w:t>s</w:t>
      </w:r>
      <w:r w:rsidRPr="00187E37">
        <w:rPr>
          <w:lang w:val="en-CA"/>
        </w:rPr>
        <w:t>.</w:t>
      </w:r>
    </w:p>
    <w:p w14:paraId="6EAD9C66" w14:textId="77777777" w:rsidR="005110B7" w:rsidRPr="00187E37" w:rsidRDefault="0017082A" w:rsidP="00925E16">
      <w:pPr>
        <w:pStyle w:val="Paragraphe"/>
        <w:numPr>
          <w:ilvl w:val="1"/>
          <w:numId w:val="19"/>
        </w:numPr>
        <w:spacing w:line="240" w:lineRule="auto"/>
        <w:rPr>
          <w:b/>
          <w:lang w:val="en-CA"/>
        </w:rPr>
      </w:pPr>
      <w:r w:rsidRPr="00187E37">
        <w:rPr>
          <w:b/>
          <w:lang w:val="en-CA"/>
        </w:rPr>
        <w:t>Damage</w:t>
      </w:r>
    </w:p>
    <w:p w14:paraId="1555F6D5" w14:textId="77777777" w:rsidR="0017082A" w:rsidRPr="00187E37" w:rsidRDefault="0017082A" w:rsidP="00925E16">
      <w:pPr>
        <w:pStyle w:val="Paragraphe"/>
        <w:spacing w:line="240" w:lineRule="auto"/>
        <w:rPr>
          <w:lang w:val="en-CA"/>
        </w:rPr>
      </w:pPr>
      <w:r w:rsidRPr="00187E37">
        <w:rPr>
          <w:lang w:val="en-CA"/>
        </w:rPr>
        <w:lastRenderedPageBreak/>
        <w:t>The third element of the passing-off action does not require proof of actual and quantifiable damage:</w:t>
      </w:r>
    </w:p>
    <w:p w14:paraId="1DEB13EF" w14:textId="77777777" w:rsidR="00180C32" w:rsidRDefault="0017082A" w:rsidP="00925E16">
      <w:pPr>
        <w:pStyle w:val="Citationenretrait"/>
        <w:spacing w:line="240" w:lineRule="auto"/>
        <w:rPr>
          <w:lang w:val="en-CA"/>
        </w:rPr>
      </w:pPr>
      <w:r w:rsidRPr="00187E37">
        <w:rPr>
          <w:lang w:val="en-CA"/>
        </w:rPr>
        <w:t>[</w:t>
      </w:r>
      <w:r w:rsidR="00180C32" w:rsidRPr="005F4969">
        <w:rPr>
          <w:smallCaps/>
          <w:lang w:val="en-CA"/>
        </w:rPr>
        <w:t>translation</w:t>
      </w:r>
      <w:r w:rsidRPr="00187E37">
        <w:rPr>
          <w:lang w:val="en-CA"/>
        </w:rPr>
        <w:t xml:space="preserve">] </w:t>
      </w:r>
    </w:p>
    <w:p w14:paraId="5E688766" w14:textId="77777777" w:rsidR="007732BD" w:rsidRPr="00187E37" w:rsidRDefault="005110B7" w:rsidP="00925E16">
      <w:pPr>
        <w:pStyle w:val="Citationenretrait"/>
        <w:spacing w:line="240" w:lineRule="auto"/>
        <w:rPr>
          <w:lang w:val="en-CA"/>
        </w:rPr>
      </w:pPr>
      <w:r w:rsidRPr="00187E37">
        <w:rPr>
          <w:lang w:val="en-CA"/>
        </w:rPr>
        <w:t xml:space="preserve">[42] </w:t>
      </w:r>
      <w:r w:rsidR="007732BD" w:rsidRPr="00187E37">
        <w:rPr>
          <w:lang w:val="en-CA"/>
        </w:rPr>
        <w:t xml:space="preserve">In </w:t>
      </w:r>
      <w:r w:rsidR="007732BD" w:rsidRPr="00187E37">
        <w:rPr>
          <w:i/>
          <w:iCs/>
          <w:lang w:val="en-CA"/>
        </w:rPr>
        <w:t>Ciba-Geigy</w:t>
      </w:r>
      <w:r w:rsidR="007732BD" w:rsidRPr="00187E37">
        <w:rPr>
          <w:lang w:val="en-CA"/>
        </w:rPr>
        <w:t xml:space="preserve">, </w:t>
      </w:r>
      <w:r w:rsidR="007732BD" w:rsidRPr="00187E37">
        <w:rPr>
          <w:i/>
          <w:iCs/>
          <w:lang w:val="en-CA"/>
        </w:rPr>
        <w:t>supra</w:t>
      </w:r>
      <w:r w:rsidR="007732BD" w:rsidRPr="00187E37">
        <w:rPr>
          <w:lang w:val="en-CA"/>
        </w:rPr>
        <w:t xml:space="preserve">, the Supreme Court </w:t>
      </w:r>
      <w:r w:rsidR="00B87A98">
        <w:rPr>
          <w:lang w:val="en-CA"/>
        </w:rPr>
        <w:t>refers to</w:t>
      </w:r>
      <w:r w:rsidR="007732BD" w:rsidRPr="00187E37">
        <w:rPr>
          <w:lang w:val="en-CA"/>
        </w:rPr>
        <w:t xml:space="preserve"> </w:t>
      </w:r>
      <w:r w:rsidR="00363EED" w:rsidRPr="00187E37">
        <w:rPr>
          <w:lang w:val="en-CA"/>
        </w:rPr>
        <w:t>“</w:t>
      </w:r>
      <w:r w:rsidR="007732BD" w:rsidRPr="00187E37">
        <w:rPr>
          <w:lang w:val="en-CA"/>
        </w:rPr>
        <w:t>actual or potential damage to the plaintiff</w:t>
      </w:r>
      <w:r w:rsidR="00363EED" w:rsidRPr="00187E37">
        <w:rPr>
          <w:lang w:val="en-CA"/>
        </w:rPr>
        <w:t>”</w:t>
      </w:r>
      <w:r w:rsidR="007732BD" w:rsidRPr="00187E37">
        <w:rPr>
          <w:lang w:val="en-CA"/>
        </w:rPr>
        <w:t xml:space="preserve">, a quote which is repeated in </w:t>
      </w:r>
      <w:r w:rsidR="007732BD" w:rsidRPr="00187E37">
        <w:rPr>
          <w:i/>
          <w:iCs/>
          <w:lang w:val="en-CA"/>
        </w:rPr>
        <w:t>Kirkbi AG</w:t>
      </w:r>
      <w:r w:rsidR="007732BD" w:rsidRPr="00187E37">
        <w:rPr>
          <w:lang w:val="en-CA"/>
        </w:rPr>
        <w:t>, [2005] 3 S</w:t>
      </w:r>
      <w:r w:rsidR="00B87A98">
        <w:rPr>
          <w:lang w:val="en-CA"/>
        </w:rPr>
        <w:t>.</w:t>
      </w:r>
      <w:r w:rsidR="007732BD" w:rsidRPr="00187E37">
        <w:rPr>
          <w:lang w:val="en-CA"/>
        </w:rPr>
        <w:t>C</w:t>
      </w:r>
      <w:r w:rsidR="00B87A98">
        <w:rPr>
          <w:lang w:val="en-CA"/>
        </w:rPr>
        <w:t>.</w:t>
      </w:r>
      <w:r w:rsidR="007732BD" w:rsidRPr="00187E37">
        <w:rPr>
          <w:lang w:val="en-CA"/>
        </w:rPr>
        <w:t>R</w:t>
      </w:r>
      <w:r w:rsidR="00B87A98">
        <w:rPr>
          <w:lang w:val="en-CA"/>
        </w:rPr>
        <w:t>.</w:t>
      </w:r>
      <w:r w:rsidR="00363EED" w:rsidRPr="00187E37">
        <w:rPr>
          <w:lang w:val="en-CA"/>
        </w:rPr>
        <w:t> </w:t>
      </w:r>
      <w:r w:rsidR="007732BD" w:rsidRPr="00187E37">
        <w:rPr>
          <w:lang w:val="en-CA"/>
        </w:rPr>
        <w:t xml:space="preserve">302. In </w:t>
      </w:r>
      <w:r w:rsidR="007732BD" w:rsidRPr="00187E37">
        <w:rPr>
          <w:i/>
          <w:iCs/>
          <w:lang w:val="en-CA"/>
        </w:rPr>
        <w:t>Kisber &amp; Co.</w:t>
      </w:r>
      <w:r w:rsidR="007732BD" w:rsidRPr="00187E37">
        <w:rPr>
          <w:lang w:val="en-CA"/>
        </w:rPr>
        <w:t xml:space="preserve">, </w:t>
      </w:r>
      <w:r w:rsidR="007732BD" w:rsidRPr="001C0128">
        <w:rPr>
          <w:i/>
          <w:iCs/>
          <w:lang w:val="en-CA"/>
        </w:rPr>
        <w:t>supra</w:t>
      </w:r>
      <w:r w:rsidR="007732BD" w:rsidRPr="00187E37">
        <w:rPr>
          <w:lang w:val="en-CA"/>
        </w:rPr>
        <w:t xml:space="preserve">, the majority, </w:t>
      </w:r>
      <w:r w:rsidR="00B87A98">
        <w:rPr>
          <w:lang w:val="en-CA"/>
        </w:rPr>
        <w:t>per</w:t>
      </w:r>
      <w:r w:rsidR="00B87A98" w:rsidRPr="00187E37">
        <w:rPr>
          <w:lang w:val="en-CA"/>
        </w:rPr>
        <w:t xml:space="preserve"> </w:t>
      </w:r>
      <w:r w:rsidR="007732BD" w:rsidRPr="00187E37">
        <w:rPr>
          <w:lang w:val="en-CA"/>
        </w:rPr>
        <w:t>Rousseau-Houle</w:t>
      </w:r>
      <w:r w:rsidR="00B87A98">
        <w:rPr>
          <w:lang w:val="en-CA"/>
        </w:rPr>
        <w:t xml:space="preserve"> J.A.</w:t>
      </w:r>
      <w:r w:rsidR="007732BD" w:rsidRPr="00187E37">
        <w:rPr>
          <w:lang w:val="en-CA"/>
        </w:rPr>
        <w:t xml:space="preserve">, writes that the plaintiff, for the purposes of its passing-off action, must establish that </w:t>
      </w:r>
      <w:r w:rsidR="00226084">
        <w:rPr>
          <w:lang w:val="en-CA"/>
        </w:rPr>
        <w:t xml:space="preserve">he or she </w:t>
      </w:r>
      <w:r w:rsidR="00B87A98">
        <w:rPr>
          <w:u w:val="single"/>
          <w:lang w:val="en-CA"/>
        </w:rPr>
        <w:t>[</w:t>
      </w:r>
      <w:r w:rsidR="00B87A98" w:rsidRPr="005F4969">
        <w:rPr>
          <w:smallCaps/>
          <w:u w:val="single"/>
          <w:lang w:val="en-CA"/>
        </w:rPr>
        <w:t>translation</w:t>
      </w:r>
      <w:r w:rsidR="00B87A98">
        <w:rPr>
          <w:u w:val="single"/>
          <w:lang w:val="en-CA"/>
        </w:rPr>
        <w:t>]</w:t>
      </w:r>
      <w:r w:rsidR="00B87A98" w:rsidRPr="00187E37">
        <w:rPr>
          <w:u w:val="single"/>
          <w:lang w:val="en-CA"/>
        </w:rPr>
        <w:t xml:space="preserve"> </w:t>
      </w:r>
      <w:r w:rsidR="00226084">
        <w:rPr>
          <w:u w:val="single"/>
          <w:lang w:val="en-CA"/>
        </w:rPr>
        <w:t>“</w:t>
      </w:r>
      <w:r w:rsidR="00226084" w:rsidRPr="00226084">
        <w:rPr>
          <w:u w:val="single"/>
          <w:lang w:val="en-CA"/>
        </w:rPr>
        <w:t>suffers or is likely to suffer damage by reason of the erroneous belief engendered by the defendant's misrepresentation</w:t>
      </w:r>
      <w:r w:rsidR="00226084">
        <w:rPr>
          <w:u w:val="single"/>
          <w:lang w:val="en-CA"/>
        </w:rPr>
        <w:t>”</w:t>
      </w:r>
      <w:r w:rsidR="00226084" w:rsidRPr="00226084" w:rsidDel="00226084">
        <w:rPr>
          <w:u w:val="single"/>
          <w:lang w:val="en-CA"/>
        </w:rPr>
        <w:t xml:space="preserve"> </w:t>
      </w:r>
      <w:r w:rsidR="007732BD" w:rsidRPr="00187E37">
        <w:rPr>
          <w:lang w:val="en-CA"/>
        </w:rPr>
        <w:t>.</w:t>
      </w:r>
    </w:p>
    <w:p w14:paraId="6B1F2A25" w14:textId="77777777" w:rsidR="005110B7" w:rsidRPr="00187E37" w:rsidRDefault="005110B7" w:rsidP="00925E16">
      <w:pPr>
        <w:pStyle w:val="Citationenretrait"/>
        <w:spacing w:line="240" w:lineRule="auto"/>
        <w:rPr>
          <w:lang w:val="en-CA"/>
        </w:rPr>
      </w:pPr>
      <w:r w:rsidRPr="00187E37">
        <w:rPr>
          <w:lang w:val="en-CA"/>
        </w:rPr>
        <w:t>[…]</w:t>
      </w:r>
    </w:p>
    <w:p w14:paraId="25A0C255" w14:textId="77777777" w:rsidR="007732BD" w:rsidRPr="00187E37" w:rsidRDefault="005110B7" w:rsidP="00925E16">
      <w:pPr>
        <w:pStyle w:val="Citationenretrait"/>
        <w:spacing w:line="240" w:lineRule="auto"/>
        <w:rPr>
          <w:lang w:val="en-CA"/>
        </w:rPr>
      </w:pPr>
      <w:r w:rsidRPr="00187E37">
        <w:rPr>
          <w:lang w:val="en-CA"/>
        </w:rPr>
        <w:t xml:space="preserve">[44] </w:t>
      </w:r>
      <w:r w:rsidR="00180C32" w:rsidRPr="00180C32">
        <w:rPr>
          <w:lang w:val="en-CA"/>
        </w:rPr>
        <w:t xml:space="preserve">Indeed, the evidence shows, on a balance of probabilities, that the risk of prejudice caused by the confusion is very real. While the respondent </w:t>
      </w:r>
      <w:r w:rsidR="00180C32" w:rsidRPr="005F4969">
        <w:rPr>
          <w:u w:val="single"/>
          <w:lang w:val="en-CA"/>
        </w:rPr>
        <w:t>had not yet suffered any quantifiable monetary prejudice</w:t>
      </w:r>
      <w:r w:rsidR="00180C32" w:rsidRPr="00180C32">
        <w:rPr>
          <w:lang w:val="en-CA"/>
        </w:rPr>
        <w:t xml:space="preserve"> when it instituted its motion for injunction (its business is in fact flourishing), it is clear that this would no longer be the case if the appellants were allowed to usurp its name or continue to benefit from the confusion generated by the identity of the name under which all three of them market their services</w:t>
      </w:r>
      <w:r w:rsidR="007732BD" w:rsidRPr="00187E37">
        <w:rPr>
          <w:lang w:val="en-CA"/>
        </w:rPr>
        <w:t>.</w:t>
      </w:r>
      <w:r w:rsidR="007732BD" w:rsidRPr="00187E37">
        <w:rPr>
          <w:vertAlign w:val="superscript"/>
          <w:lang w:val="en-CA"/>
        </w:rPr>
        <w:footnoteReference w:id="42"/>
      </w:r>
      <w:r w:rsidR="007732BD" w:rsidRPr="00187E37">
        <w:rPr>
          <w:lang w:val="en-CA"/>
        </w:rPr>
        <w:t xml:space="preserve">  </w:t>
      </w:r>
    </w:p>
    <w:p w14:paraId="234BF825" w14:textId="77777777" w:rsidR="005110B7" w:rsidRPr="00187E37" w:rsidRDefault="005110B7" w:rsidP="00925E16">
      <w:pPr>
        <w:pStyle w:val="Citationenretrait"/>
        <w:spacing w:line="240" w:lineRule="auto"/>
        <w:jc w:val="right"/>
        <w:rPr>
          <w:lang w:val="en-CA"/>
        </w:rPr>
      </w:pPr>
      <w:r w:rsidRPr="00187E37">
        <w:rPr>
          <w:lang w:val="en-CA"/>
        </w:rPr>
        <w:t>[</w:t>
      </w:r>
      <w:r w:rsidR="007D5C0E">
        <w:rPr>
          <w:lang w:val="en-CA"/>
        </w:rPr>
        <w:t>References</w:t>
      </w:r>
      <w:r w:rsidR="007D5C0E" w:rsidRPr="00187E37">
        <w:rPr>
          <w:lang w:val="en-CA"/>
        </w:rPr>
        <w:t xml:space="preserve"> </w:t>
      </w:r>
      <w:r w:rsidR="00E22142" w:rsidRPr="00187E37">
        <w:rPr>
          <w:lang w:val="en-CA"/>
        </w:rPr>
        <w:t>omitted;</w:t>
      </w:r>
      <w:r w:rsidRPr="00187E37">
        <w:rPr>
          <w:lang w:val="en-CA"/>
        </w:rPr>
        <w:t xml:space="preserve"> </w:t>
      </w:r>
      <w:r w:rsidR="007732BD" w:rsidRPr="00187E37">
        <w:rPr>
          <w:lang w:val="en-CA"/>
        </w:rPr>
        <w:t>emphasis added</w:t>
      </w:r>
      <w:r w:rsidRPr="00187E37">
        <w:rPr>
          <w:lang w:val="en-CA"/>
        </w:rPr>
        <w:t>]</w:t>
      </w:r>
    </w:p>
    <w:p w14:paraId="347B5EEF" w14:textId="77777777" w:rsidR="007732BD" w:rsidRPr="00187E37" w:rsidRDefault="007732BD" w:rsidP="00925E16">
      <w:pPr>
        <w:pStyle w:val="Paragraphe"/>
        <w:spacing w:line="240" w:lineRule="auto"/>
        <w:rPr>
          <w:lang w:val="en-CA"/>
        </w:rPr>
      </w:pPr>
      <w:r w:rsidRPr="00187E37">
        <w:rPr>
          <w:lang w:val="en-CA"/>
        </w:rPr>
        <w:t xml:space="preserve">The courts are not very demanding when it comes to proof of damage: it </w:t>
      </w:r>
      <w:r w:rsidR="001C0128">
        <w:rPr>
          <w:lang w:val="en-CA"/>
        </w:rPr>
        <w:t xml:space="preserve">may namely be </w:t>
      </w:r>
      <w:r w:rsidRPr="00187E37">
        <w:rPr>
          <w:lang w:val="en-CA"/>
        </w:rPr>
        <w:t>inferred from</w:t>
      </w:r>
      <w:r w:rsidR="007D5C0E">
        <w:rPr>
          <w:lang w:val="en-CA"/>
        </w:rPr>
        <w:t xml:space="preserve"> the</w:t>
      </w:r>
      <w:r w:rsidRPr="00187E37">
        <w:rPr>
          <w:lang w:val="en-CA"/>
        </w:rPr>
        <w:t xml:space="preserve"> unauthorized </w:t>
      </w:r>
      <w:r w:rsidR="007D5C0E">
        <w:rPr>
          <w:lang w:val="en-CA"/>
        </w:rPr>
        <w:t xml:space="preserve">use </w:t>
      </w:r>
      <w:r w:rsidRPr="00187E37">
        <w:rPr>
          <w:lang w:val="en-CA"/>
        </w:rPr>
        <w:t xml:space="preserve">or the loss of control of </w:t>
      </w:r>
      <w:r w:rsidR="007D5C0E">
        <w:rPr>
          <w:lang w:val="en-CA"/>
        </w:rPr>
        <w:t>goodwill</w:t>
      </w:r>
      <w:r w:rsidRPr="00187E37">
        <w:rPr>
          <w:lang w:val="en-CA"/>
        </w:rPr>
        <w:t>.</w:t>
      </w:r>
      <w:r w:rsidRPr="00187E37">
        <w:rPr>
          <w:vertAlign w:val="superscript"/>
          <w:lang w:val="en-CA"/>
        </w:rPr>
        <w:footnoteReference w:id="43"/>
      </w:r>
      <w:r w:rsidRPr="00187E37">
        <w:rPr>
          <w:lang w:val="en-CA"/>
        </w:rPr>
        <w:t xml:space="preserve"> Some evidence is required, however, as there is no presumption of damage.</w:t>
      </w:r>
      <w:r w:rsidRPr="00187E37">
        <w:rPr>
          <w:vertAlign w:val="superscript"/>
          <w:lang w:val="en-CA"/>
        </w:rPr>
        <w:footnoteReference w:id="44"/>
      </w:r>
    </w:p>
    <w:p w14:paraId="7BF5D934" w14:textId="77777777" w:rsidR="00363EED" w:rsidRPr="00187E37" w:rsidRDefault="00363EED" w:rsidP="00925E16">
      <w:pPr>
        <w:pStyle w:val="Paragraphe"/>
        <w:spacing w:line="240" w:lineRule="auto"/>
        <w:rPr>
          <w:lang w:val="en-CA"/>
        </w:rPr>
      </w:pPr>
      <w:r w:rsidRPr="00187E37">
        <w:rPr>
          <w:lang w:val="en-CA"/>
        </w:rPr>
        <w:t>In this case, the respondent has not proven actual and quantifiable prejudice. However, the judge concluded that there was potential damage:</w:t>
      </w:r>
    </w:p>
    <w:p w14:paraId="219A8CB0" w14:textId="77777777" w:rsidR="00C877B6" w:rsidRDefault="00363EED" w:rsidP="00925E16">
      <w:pPr>
        <w:pStyle w:val="Citationenretrait"/>
        <w:spacing w:line="240" w:lineRule="auto"/>
        <w:rPr>
          <w:lang w:val="en-CA"/>
        </w:rPr>
      </w:pPr>
      <w:r w:rsidRPr="00187E37">
        <w:rPr>
          <w:lang w:val="en-CA"/>
        </w:rPr>
        <w:t>[</w:t>
      </w:r>
      <w:r w:rsidR="00C877B6" w:rsidRPr="005F4969">
        <w:rPr>
          <w:smallCaps/>
          <w:lang w:val="en-CA"/>
        </w:rPr>
        <w:t>translation</w:t>
      </w:r>
      <w:r w:rsidRPr="00187E37">
        <w:rPr>
          <w:lang w:val="en-CA"/>
        </w:rPr>
        <w:t xml:space="preserve">] </w:t>
      </w:r>
    </w:p>
    <w:p w14:paraId="41140BE3" w14:textId="77777777" w:rsidR="00363EED" w:rsidRPr="00187E37" w:rsidRDefault="005110B7" w:rsidP="00925E16">
      <w:pPr>
        <w:pStyle w:val="Citationenretrait"/>
        <w:spacing w:line="240" w:lineRule="auto"/>
        <w:rPr>
          <w:lang w:val="en-CA"/>
        </w:rPr>
      </w:pPr>
      <w:r w:rsidRPr="00187E37">
        <w:rPr>
          <w:lang w:val="en-CA"/>
        </w:rPr>
        <w:t xml:space="preserve">[81] </w:t>
      </w:r>
      <w:r w:rsidR="00363EED" w:rsidRPr="00187E37">
        <w:rPr>
          <w:lang w:val="en-CA"/>
        </w:rPr>
        <w:t xml:space="preserve">In this case, the parties operate the same type of business and the domain names allow Cabanons Fontaine to divert Internet traffic in its favour, at the expense of its direct competitor Cabanons Mirabel. </w:t>
      </w:r>
      <w:r w:rsidR="00E22142">
        <w:rPr>
          <w:lang w:val="en-CA"/>
        </w:rPr>
        <w:t>Given</w:t>
      </w:r>
      <w:r w:rsidR="00363EED" w:rsidRPr="00187E37">
        <w:rPr>
          <w:lang w:val="en-CA"/>
        </w:rPr>
        <w:t xml:space="preserve"> that the two companies offer sheds of equivalent dimensions and quality, available in the same </w:t>
      </w:r>
      <w:r w:rsidR="00E22142">
        <w:rPr>
          <w:lang w:val="en-CA"/>
        </w:rPr>
        <w:t>area</w:t>
      </w:r>
      <w:r w:rsidR="00E22142" w:rsidRPr="00187E37">
        <w:rPr>
          <w:lang w:val="en-CA"/>
        </w:rPr>
        <w:t xml:space="preserve"> </w:t>
      </w:r>
      <w:r w:rsidR="00363EED" w:rsidRPr="00187E37">
        <w:rPr>
          <w:lang w:val="en-CA"/>
        </w:rPr>
        <w:t xml:space="preserve">for the same potential customers, </w:t>
      </w:r>
      <w:r w:rsidR="00363EED" w:rsidRPr="00187E37">
        <w:rPr>
          <w:u w:val="single"/>
          <w:lang w:val="en-CA"/>
        </w:rPr>
        <w:t>Internet user</w:t>
      </w:r>
      <w:r w:rsidR="00B8191B">
        <w:rPr>
          <w:u w:val="single"/>
          <w:lang w:val="en-CA"/>
        </w:rPr>
        <w:t>s</w:t>
      </w:r>
      <w:r w:rsidR="00363EED" w:rsidRPr="00187E37">
        <w:rPr>
          <w:u w:val="single"/>
          <w:lang w:val="en-CA"/>
        </w:rPr>
        <w:t xml:space="preserve"> who erroneously use the disputed domain names and </w:t>
      </w:r>
      <w:r w:rsidR="00B8191B">
        <w:rPr>
          <w:u w:val="single"/>
          <w:lang w:val="en-CA"/>
        </w:rPr>
        <w:t>are</w:t>
      </w:r>
      <w:r w:rsidR="00B8191B" w:rsidRPr="00187E37">
        <w:rPr>
          <w:u w:val="single"/>
          <w:lang w:val="en-CA"/>
        </w:rPr>
        <w:t xml:space="preserve"> </w:t>
      </w:r>
      <w:r w:rsidR="00363EED" w:rsidRPr="00187E37">
        <w:rPr>
          <w:u w:val="single"/>
          <w:lang w:val="en-CA"/>
        </w:rPr>
        <w:t xml:space="preserve">redirected to the Cabanons Fontaine website </w:t>
      </w:r>
      <w:r w:rsidR="00B8191B">
        <w:rPr>
          <w:u w:val="single"/>
          <w:lang w:val="en-CA"/>
        </w:rPr>
        <w:t>are</w:t>
      </w:r>
      <w:r w:rsidR="00363EED" w:rsidRPr="00187E37">
        <w:rPr>
          <w:u w:val="single"/>
          <w:lang w:val="en-CA"/>
        </w:rPr>
        <w:t xml:space="preserve"> likely to </w:t>
      </w:r>
      <w:r w:rsidR="002E7675">
        <w:rPr>
          <w:u w:val="single"/>
          <w:lang w:val="en-CA"/>
        </w:rPr>
        <w:t>make a bid</w:t>
      </w:r>
      <w:r w:rsidR="002E7675" w:rsidRPr="00187E37">
        <w:rPr>
          <w:u w:val="single"/>
          <w:lang w:val="en-CA"/>
        </w:rPr>
        <w:t xml:space="preserve"> </w:t>
      </w:r>
      <w:r w:rsidR="00363EED" w:rsidRPr="00187E37">
        <w:rPr>
          <w:u w:val="single"/>
          <w:lang w:val="en-CA"/>
        </w:rPr>
        <w:t>(on the Internet or otherwise) and ultimately to buy the products of a competitor that he</w:t>
      </w:r>
      <w:r w:rsidR="002E7675">
        <w:rPr>
          <w:u w:val="single"/>
          <w:lang w:val="en-CA"/>
        </w:rPr>
        <w:t xml:space="preserve"> or she </w:t>
      </w:r>
      <w:r w:rsidR="00363EED" w:rsidRPr="00187E37">
        <w:rPr>
          <w:u w:val="single"/>
          <w:lang w:val="en-CA"/>
        </w:rPr>
        <w:t xml:space="preserve">might never have </w:t>
      </w:r>
      <w:r w:rsidR="00E22142" w:rsidRPr="00187E37">
        <w:rPr>
          <w:u w:val="single"/>
          <w:lang w:val="en-CA"/>
        </w:rPr>
        <w:t xml:space="preserve">otherwise </w:t>
      </w:r>
      <w:r w:rsidR="00363EED" w:rsidRPr="00187E37">
        <w:rPr>
          <w:u w:val="single"/>
          <w:lang w:val="en-CA"/>
        </w:rPr>
        <w:t>thought of visiting</w:t>
      </w:r>
      <w:r w:rsidR="00363EED" w:rsidRPr="00187E37">
        <w:rPr>
          <w:lang w:val="en-CA"/>
        </w:rPr>
        <w:t>.</w:t>
      </w:r>
    </w:p>
    <w:p w14:paraId="3918D609" w14:textId="77777777" w:rsidR="005110B7" w:rsidRPr="00187E37" w:rsidRDefault="005110B7" w:rsidP="00925E16">
      <w:pPr>
        <w:pStyle w:val="Citationenretrait"/>
        <w:spacing w:line="240" w:lineRule="auto"/>
        <w:jc w:val="right"/>
        <w:rPr>
          <w:lang w:val="en-CA"/>
        </w:rPr>
      </w:pPr>
      <w:r w:rsidRPr="00187E37">
        <w:rPr>
          <w:lang w:val="en-CA"/>
        </w:rPr>
        <w:lastRenderedPageBreak/>
        <w:t>[</w:t>
      </w:r>
      <w:r w:rsidR="002E7675">
        <w:rPr>
          <w:lang w:val="en-CA"/>
        </w:rPr>
        <w:t>References</w:t>
      </w:r>
      <w:r w:rsidR="002E7675" w:rsidRPr="00187E37">
        <w:rPr>
          <w:lang w:val="en-CA"/>
        </w:rPr>
        <w:t xml:space="preserve"> omitted;</w:t>
      </w:r>
      <w:r w:rsidR="00363EED" w:rsidRPr="00187E37">
        <w:rPr>
          <w:lang w:val="en-CA"/>
        </w:rPr>
        <w:t xml:space="preserve"> emphasis added</w:t>
      </w:r>
      <w:r w:rsidR="002E7675">
        <w:rPr>
          <w:lang w:val="en-CA"/>
        </w:rPr>
        <w:t>.</w:t>
      </w:r>
      <w:r w:rsidRPr="00187E37">
        <w:rPr>
          <w:lang w:val="en-CA"/>
        </w:rPr>
        <w:t>]</w:t>
      </w:r>
    </w:p>
    <w:p w14:paraId="08D7F78E" w14:textId="77777777" w:rsidR="00363EED" w:rsidRPr="00187E37" w:rsidRDefault="00363EED" w:rsidP="00925E16">
      <w:pPr>
        <w:pStyle w:val="Paragraphe"/>
        <w:spacing w:line="240" w:lineRule="auto"/>
        <w:rPr>
          <w:lang w:val="en-CA"/>
        </w:rPr>
      </w:pPr>
      <w:r w:rsidRPr="00187E37">
        <w:rPr>
          <w:lang w:val="en-CA"/>
        </w:rPr>
        <w:t xml:space="preserve">The potential </w:t>
      </w:r>
      <w:r w:rsidR="002E7675">
        <w:rPr>
          <w:lang w:val="en-CA"/>
        </w:rPr>
        <w:t>damage</w:t>
      </w:r>
      <w:r w:rsidR="002E7675" w:rsidRPr="00187E37">
        <w:rPr>
          <w:lang w:val="en-CA"/>
        </w:rPr>
        <w:t xml:space="preserve"> </w:t>
      </w:r>
      <w:r w:rsidRPr="00187E37">
        <w:rPr>
          <w:lang w:val="en-CA"/>
        </w:rPr>
        <w:t>seems obvious to me.</w:t>
      </w:r>
    </w:p>
    <w:p w14:paraId="6040C5B8" w14:textId="77777777" w:rsidR="00363EED" w:rsidRPr="00187E37" w:rsidRDefault="002E7675" w:rsidP="00925E16">
      <w:pPr>
        <w:pStyle w:val="Paragraphe"/>
        <w:spacing w:line="240" w:lineRule="auto"/>
        <w:rPr>
          <w:lang w:val="en-CA"/>
        </w:rPr>
      </w:pPr>
      <w:r>
        <w:rPr>
          <w:lang w:val="en-CA"/>
        </w:rPr>
        <w:t>First</w:t>
      </w:r>
      <w:r w:rsidR="00363EED" w:rsidRPr="00187E37">
        <w:rPr>
          <w:lang w:val="en-CA"/>
        </w:rPr>
        <w:t xml:space="preserve">, the respondent produced statistics showing the growing volume of visits to its website and of </w:t>
      </w:r>
      <w:r>
        <w:rPr>
          <w:lang w:val="en-CA"/>
        </w:rPr>
        <w:t>bids</w:t>
      </w:r>
      <w:r w:rsidRPr="00187E37">
        <w:rPr>
          <w:lang w:val="en-CA"/>
        </w:rPr>
        <w:t xml:space="preserve"> </w:t>
      </w:r>
      <w:r w:rsidR="00363EED" w:rsidRPr="00187E37">
        <w:rPr>
          <w:lang w:val="en-CA"/>
        </w:rPr>
        <w:t xml:space="preserve">provided </w:t>
      </w:r>
      <w:r>
        <w:rPr>
          <w:lang w:val="en-CA"/>
        </w:rPr>
        <w:t>through</w:t>
      </w:r>
      <w:r w:rsidRPr="00187E37">
        <w:rPr>
          <w:lang w:val="en-CA"/>
        </w:rPr>
        <w:t xml:space="preserve"> </w:t>
      </w:r>
      <w:r w:rsidR="00363EED" w:rsidRPr="00187E37">
        <w:rPr>
          <w:lang w:val="en-CA"/>
        </w:rPr>
        <w:t xml:space="preserve">the website or </w:t>
      </w:r>
      <w:r>
        <w:rPr>
          <w:lang w:val="en-CA"/>
        </w:rPr>
        <w:t>through</w:t>
      </w:r>
      <w:r w:rsidRPr="00187E37">
        <w:rPr>
          <w:lang w:val="en-CA"/>
        </w:rPr>
        <w:t xml:space="preserve"> </w:t>
      </w:r>
      <w:r w:rsidR="00363EED" w:rsidRPr="00187E37">
        <w:rPr>
          <w:lang w:val="en-CA"/>
        </w:rPr>
        <w:t>consumers who visited the website.</w:t>
      </w:r>
    </w:p>
    <w:p w14:paraId="2FEE1A75" w14:textId="77777777" w:rsidR="00363EED" w:rsidRPr="00187E37" w:rsidRDefault="002E7675" w:rsidP="00925E16">
      <w:pPr>
        <w:pStyle w:val="Paragraphe"/>
        <w:spacing w:line="240" w:lineRule="auto"/>
        <w:rPr>
          <w:lang w:val="en-CA"/>
        </w:rPr>
      </w:pPr>
      <w:r>
        <w:rPr>
          <w:lang w:val="en-CA"/>
        </w:rPr>
        <w:t>Second</w:t>
      </w:r>
      <w:r w:rsidR="00363EED" w:rsidRPr="00187E37">
        <w:rPr>
          <w:lang w:val="en-CA"/>
        </w:rPr>
        <w:t xml:space="preserve">, it appears that the </w:t>
      </w:r>
      <w:r w:rsidR="0064128B" w:rsidRPr="00187E37">
        <w:rPr>
          <w:lang w:val="en-CA"/>
        </w:rPr>
        <w:t xml:space="preserve">vast majority of </w:t>
      </w:r>
      <w:r w:rsidR="00363EED" w:rsidRPr="00187E37">
        <w:rPr>
          <w:lang w:val="en-CA"/>
        </w:rPr>
        <w:t>respondent’s clientele consults its website before coming to the store, thus increasing the risk of misappropriation of goodwill.</w:t>
      </w:r>
      <w:r w:rsidR="00363EED" w:rsidRPr="00187E37">
        <w:rPr>
          <w:rStyle w:val="Appelnotedebasdep"/>
          <w:lang w:val="en-CA"/>
        </w:rPr>
        <w:footnoteReference w:id="45"/>
      </w:r>
    </w:p>
    <w:p w14:paraId="5C79C295" w14:textId="77777777" w:rsidR="00363EED" w:rsidRPr="00187E37" w:rsidRDefault="00363EED" w:rsidP="00925E16">
      <w:pPr>
        <w:pStyle w:val="Paragraphe"/>
        <w:spacing w:line="240" w:lineRule="auto"/>
        <w:rPr>
          <w:lang w:val="en-CA"/>
        </w:rPr>
      </w:pPr>
      <w:r w:rsidRPr="00187E37">
        <w:rPr>
          <w:lang w:val="en-CA"/>
        </w:rPr>
        <w:t xml:space="preserve">In these circumstances, the inference that the respondent risks losing sales is a logical and reasonable inference. The appellants </w:t>
      </w:r>
      <w:r w:rsidR="00E22142">
        <w:rPr>
          <w:lang w:val="en-CA"/>
        </w:rPr>
        <w:t>did not demonstrate any palpable</w:t>
      </w:r>
      <w:r w:rsidR="00E22142" w:rsidRPr="00187E37">
        <w:rPr>
          <w:lang w:val="en-CA"/>
        </w:rPr>
        <w:t xml:space="preserve"> </w:t>
      </w:r>
      <w:r w:rsidRPr="00187E37">
        <w:rPr>
          <w:lang w:val="en-CA"/>
        </w:rPr>
        <w:t>and overriding error that would justify our intervention.</w:t>
      </w:r>
    </w:p>
    <w:p w14:paraId="462AC44A" w14:textId="77777777" w:rsidR="00363EED" w:rsidRPr="00187E37" w:rsidRDefault="00363EED" w:rsidP="00925E16">
      <w:pPr>
        <w:pStyle w:val="Paragraphe"/>
        <w:numPr>
          <w:ilvl w:val="1"/>
          <w:numId w:val="19"/>
        </w:numPr>
        <w:spacing w:line="240" w:lineRule="auto"/>
        <w:rPr>
          <w:b/>
          <w:lang w:val="en-CA"/>
        </w:rPr>
      </w:pPr>
      <w:r w:rsidRPr="00187E37">
        <w:rPr>
          <w:b/>
          <w:lang w:val="en-CA"/>
        </w:rPr>
        <w:t>Scope of the passing-off action</w:t>
      </w:r>
    </w:p>
    <w:p w14:paraId="71B935E1" w14:textId="77777777" w:rsidR="00363EED" w:rsidRPr="00187E37" w:rsidRDefault="00363EED" w:rsidP="00925E16">
      <w:pPr>
        <w:pStyle w:val="Paragraphe"/>
        <w:spacing w:line="240" w:lineRule="auto"/>
        <w:rPr>
          <w:lang w:val="en-CA"/>
        </w:rPr>
      </w:pPr>
      <w:r w:rsidRPr="00187E37">
        <w:rPr>
          <w:lang w:val="en-CA"/>
        </w:rPr>
        <w:t xml:space="preserve">The appellants submit that an unregistered trademark only gives rise to rights in the </w:t>
      </w:r>
      <w:r w:rsidR="0064128B">
        <w:rPr>
          <w:lang w:val="en-CA"/>
        </w:rPr>
        <w:t>area</w:t>
      </w:r>
      <w:r w:rsidR="0064128B" w:rsidRPr="00187E37">
        <w:rPr>
          <w:lang w:val="en-CA"/>
        </w:rPr>
        <w:t xml:space="preserve"> </w:t>
      </w:r>
      <w:r w:rsidRPr="00187E37">
        <w:rPr>
          <w:lang w:val="en-CA"/>
        </w:rPr>
        <w:t>where it has acquired goodwill through sufficient commercial activity.</w:t>
      </w:r>
      <w:r w:rsidRPr="00187E37">
        <w:rPr>
          <w:rStyle w:val="Appelnotedebasdep"/>
          <w:lang w:val="en-CA"/>
        </w:rPr>
        <w:footnoteReference w:id="46"/>
      </w:r>
      <w:r w:rsidRPr="00187E37">
        <w:rPr>
          <w:lang w:val="en-CA"/>
        </w:rPr>
        <w:t xml:space="preserve"> They therefore suggest that the injunction should be limited to the</w:t>
      </w:r>
      <w:r w:rsidR="00E22142">
        <w:rPr>
          <w:lang w:val="en-CA"/>
        </w:rPr>
        <w:t xml:space="preserve"> areas of</w:t>
      </w:r>
      <w:r w:rsidRPr="00187E37">
        <w:rPr>
          <w:lang w:val="en-CA"/>
        </w:rPr>
        <w:t xml:space="preserve"> Laurentides and Lanaudière. However, they do not indicate how to limit the injunction and the </w:t>
      </w:r>
      <w:r w:rsidR="00E22142">
        <w:rPr>
          <w:lang w:val="en-CA"/>
        </w:rPr>
        <w:t>transfer</w:t>
      </w:r>
      <w:r w:rsidR="00E22142" w:rsidRPr="00187E37">
        <w:rPr>
          <w:lang w:val="en-CA"/>
        </w:rPr>
        <w:t xml:space="preserve"> </w:t>
      </w:r>
      <w:r w:rsidRPr="00187E37">
        <w:rPr>
          <w:lang w:val="en-CA"/>
        </w:rPr>
        <w:t xml:space="preserve">of </w:t>
      </w:r>
      <w:r w:rsidR="00E22142">
        <w:rPr>
          <w:lang w:val="en-CA"/>
        </w:rPr>
        <w:t xml:space="preserve">the </w:t>
      </w:r>
      <w:r w:rsidRPr="00187E37">
        <w:rPr>
          <w:lang w:val="en-CA"/>
        </w:rPr>
        <w:t xml:space="preserve">domain names to a limited territory in the context of passing-off on the Internet. In any event, the appellants’ representative admitted that the sole purpose of acquiring the domain names in dispute was to target potential buyers in the Mirabel </w:t>
      </w:r>
      <w:r w:rsidR="004D0872">
        <w:rPr>
          <w:lang w:val="en-CA"/>
        </w:rPr>
        <w:t>area</w:t>
      </w:r>
      <w:r w:rsidRPr="00187E37">
        <w:rPr>
          <w:lang w:val="en-CA"/>
        </w:rPr>
        <w:t>. It must be deduced that</w:t>
      </w:r>
      <w:r w:rsidR="00BB757F">
        <w:rPr>
          <w:lang w:val="en-CA"/>
        </w:rPr>
        <w:t xml:space="preserve"> the</w:t>
      </w:r>
      <w:r w:rsidRPr="00187E37">
        <w:rPr>
          <w:lang w:val="en-CA"/>
        </w:rPr>
        <w:t xml:space="preserve"> domain names are intrinsically linked to this </w:t>
      </w:r>
      <w:r w:rsidR="004D0872">
        <w:rPr>
          <w:lang w:val="en-CA"/>
        </w:rPr>
        <w:t>area</w:t>
      </w:r>
      <w:r w:rsidR="004D0872" w:rsidRPr="00187E37">
        <w:rPr>
          <w:lang w:val="en-CA"/>
        </w:rPr>
        <w:t xml:space="preserve"> </w:t>
      </w:r>
      <w:r w:rsidRPr="00187E37">
        <w:rPr>
          <w:lang w:val="en-CA"/>
        </w:rPr>
        <w:t>and have no use outside this region.</w:t>
      </w:r>
    </w:p>
    <w:p w14:paraId="6954E143" w14:textId="77777777" w:rsidR="005110B7" w:rsidRPr="00187E37" w:rsidRDefault="00363EED" w:rsidP="00925E16">
      <w:pPr>
        <w:pStyle w:val="Paragraphe"/>
        <w:numPr>
          <w:ilvl w:val="0"/>
          <w:numId w:val="19"/>
        </w:numPr>
        <w:spacing w:line="240" w:lineRule="auto"/>
        <w:rPr>
          <w:b/>
          <w:lang w:val="en-CA"/>
        </w:rPr>
      </w:pPr>
      <w:r w:rsidRPr="00187E37">
        <w:rPr>
          <w:b/>
          <w:lang w:val="en-CA"/>
        </w:rPr>
        <w:t>Parasitism</w:t>
      </w:r>
    </w:p>
    <w:p w14:paraId="7852B029" w14:textId="77777777" w:rsidR="005110B7" w:rsidRPr="00187E37" w:rsidRDefault="00363EED" w:rsidP="00363EED">
      <w:pPr>
        <w:pStyle w:val="Paragraphe"/>
        <w:spacing w:line="240" w:lineRule="auto"/>
        <w:rPr>
          <w:lang w:val="en-CA"/>
        </w:rPr>
      </w:pPr>
      <w:r w:rsidRPr="00187E37">
        <w:rPr>
          <w:lang w:val="en-CA"/>
        </w:rPr>
        <w:t>As I propose to dismiss the appeal, it is not necessary to consider the possibility that the respondent also had a</w:t>
      </w:r>
      <w:r w:rsidR="006D754D">
        <w:rPr>
          <w:lang w:val="en-CA"/>
        </w:rPr>
        <w:t>n</w:t>
      </w:r>
      <w:r w:rsidRPr="00187E37">
        <w:rPr>
          <w:lang w:val="en-CA"/>
        </w:rPr>
        <w:t xml:space="preserve"> </w:t>
      </w:r>
      <w:r w:rsidR="004D0872">
        <w:rPr>
          <w:lang w:val="en-CA"/>
        </w:rPr>
        <w:t>action based on</w:t>
      </w:r>
      <w:r w:rsidRPr="00187E37">
        <w:rPr>
          <w:lang w:val="en-CA"/>
        </w:rPr>
        <w:t xml:space="preserve"> parasitism.</w:t>
      </w:r>
    </w:p>
    <w:tbl>
      <w:tblPr>
        <w:tblW w:w="0" w:type="auto"/>
        <w:tblLayout w:type="fixed"/>
        <w:tblCellMar>
          <w:left w:w="0" w:type="dxa"/>
          <w:right w:w="0" w:type="dxa"/>
        </w:tblCellMar>
        <w:tblLook w:val="0000" w:firstRow="0" w:lastRow="0" w:firstColumn="0" w:lastColumn="0" w:noHBand="0" w:noVBand="0"/>
      </w:tblPr>
      <w:tblGrid>
        <w:gridCol w:w="4735"/>
        <w:gridCol w:w="4625"/>
      </w:tblGrid>
      <w:tr w:rsidR="005110B7" w:rsidRPr="00275EDC" w14:paraId="1E08CA47" w14:textId="77777777">
        <w:trPr>
          <w:cantSplit/>
          <w:trHeight w:val="513"/>
        </w:trPr>
        <w:tc>
          <w:tcPr>
            <w:tcW w:w="9360" w:type="dxa"/>
            <w:gridSpan w:val="2"/>
          </w:tcPr>
          <w:p w14:paraId="173D1985" w14:textId="77777777" w:rsidR="005110B7" w:rsidRPr="00187E37" w:rsidRDefault="005110B7">
            <w:pPr>
              <w:rPr>
                <w:lang w:val="en-CA"/>
              </w:rPr>
            </w:pPr>
          </w:p>
        </w:tc>
      </w:tr>
      <w:tr w:rsidR="005110B7" w:rsidRPr="00275EDC" w14:paraId="41F9DA49" w14:textId="77777777">
        <w:trPr>
          <w:cantSplit/>
          <w:trHeight w:val="277"/>
        </w:trPr>
        <w:tc>
          <w:tcPr>
            <w:tcW w:w="4735" w:type="dxa"/>
            <w:vMerge w:val="restart"/>
          </w:tcPr>
          <w:p w14:paraId="5244B9CB" w14:textId="77777777" w:rsidR="005110B7" w:rsidRPr="00187E37" w:rsidRDefault="005110B7">
            <w:pPr>
              <w:rPr>
                <w:lang w:val="en-CA"/>
              </w:rPr>
            </w:pPr>
          </w:p>
        </w:tc>
        <w:tc>
          <w:tcPr>
            <w:tcW w:w="4625" w:type="dxa"/>
            <w:tcBorders>
              <w:bottom w:val="single" w:sz="8" w:space="0" w:color="auto"/>
            </w:tcBorders>
          </w:tcPr>
          <w:p w14:paraId="31987CD6" w14:textId="77777777" w:rsidR="005110B7" w:rsidRPr="00187E37" w:rsidRDefault="005110B7">
            <w:pPr>
              <w:rPr>
                <w:lang w:val="en-CA"/>
              </w:rPr>
            </w:pPr>
          </w:p>
        </w:tc>
      </w:tr>
      <w:tr w:rsidR="005110B7" w:rsidRPr="006D754D" w14:paraId="6BBBFA3A" w14:textId="77777777">
        <w:trPr>
          <w:cantSplit/>
          <w:trHeight w:val="276"/>
        </w:trPr>
        <w:tc>
          <w:tcPr>
            <w:tcW w:w="4735" w:type="dxa"/>
            <w:vMerge/>
          </w:tcPr>
          <w:p w14:paraId="2937F35E" w14:textId="77777777" w:rsidR="005110B7" w:rsidRPr="00187E37" w:rsidRDefault="005110B7">
            <w:pPr>
              <w:rPr>
                <w:lang w:val="en-CA"/>
              </w:rPr>
            </w:pPr>
          </w:p>
        </w:tc>
        <w:tc>
          <w:tcPr>
            <w:tcW w:w="4625" w:type="dxa"/>
          </w:tcPr>
          <w:p w14:paraId="6280369C" w14:textId="77777777" w:rsidR="005110B7" w:rsidRPr="00187E37" w:rsidRDefault="00AD0221">
            <w:pPr>
              <w:rPr>
                <w:lang w:val="en-CA"/>
              </w:rPr>
            </w:pPr>
            <w:r w:rsidRPr="00187E37">
              <w:rPr>
                <w:lang w:val="en-CA"/>
              </w:rPr>
              <w:t>STEPHEN W. HAMILTON, J.A.</w:t>
            </w:r>
          </w:p>
        </w:tc>
      </w:tr>
      <w:bookmarkEnd w:id="9"/>
    </w:tbl>
    <w:p w14:paraId="257B7111" w14:textId="77777777" w:rsidR="00740A17" w:rsidRPr="00187E37" w:rsidRDefault="00740A17" w:rsidP="004F41AC">
      <w:pPr>
        <w:rPr>
          <w:lang w:val="en-CA"/>
        </w:rPr>
      </w:pPr>
    </w:p>
    <w:sectPr w:rsidR="00740A17" w:rsidRPr="00187E37" w:rsidSect="005110B7">
      <w:headerReference w:type="default" r:id="rId14"/>
      <w:pgSz w:w="12242" w:h="15842" w:code="1"/>
      <w:pgMar w:top="1440" w:right="1008" w:bottom="1440" w:left="1872" w:header="1440"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ECC4" w14:textId="77777777" w:rsidR="004511B4" w:rsidRDefault="004511B4">
      <w:r>
        <w:separator/>
      </w:r>
    </w:p>
  </w:endnote>
  <w:endnote w:type="continuationSeparator" w:id="0">
    <w:p w14:paraId="43A64C63" w14:textId="77777777" w:rsidR="004511B4" w:rsidRDefault="0045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C409" w14:textId="77777777" w:rsidR="00911C36" w:rsidRDefault="00911C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33D1" w14:textId="77777777" w:rsidR="00911C36" w:rsidRDefault="00911C3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993" w14:textId="77777777" w:rsidR="00911C36" w:rsidRDefault="00911C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A94F" w14:textId="77777777" w:rsidR="004511B4" w:rsidRDefault="004511B4">
      <w:r>
        <w:separator/>
      </w:r>
    </w:p>
  </w:footnote>
  <w:footnote w:type="continuationSeparator" w:id="0">
    <w:p w14:paraId="0B64BD51" w14:textId="77777777" w:rsidR="004511B4" w:rsidRDefault="004511B4">
      <w:r>
        <w:continuationSeparator/>
      </w:r>
    </w:p>
  </w:footnote>
  <w:footnote w:id="1">
    <w:p w14:paraId="08146C8C" w14:textId="77777777" w:rsidR="00C317BA" w:rsidRPr="00A351FE" w:rsidRDefault="00C317BA" w:rsidP="00C317BA">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Cabanons Mirabel</w:t>
      </w:r>
      <w:r w:rsidRPr="00A351FE">
        <w:rPr>
          <w:lang w:val="en-CA"/>
        </w:rPr>
        <w:t xml:space="preserve"> c. </w:t>
      </w:r>
      <w:r w:rsidRPr="00A351FE">
        <w:rPr>
          <w:i/>
          <w:iCs/>
          <w:lang w:val="en-CA"/>
        </w:rPr>
        <w:t>Cabanons Fontaine inc</w:t>
      </w:r>
      <w:r w:rsidRPr="00A351FE">
        <w:rPr>
          <w:lang w:val="en-CA"/>
        </w:rPr>
        <w:t xml:space="preserve">., 2020 QCCS 1419 [judgment </w:t>
      </w:r>
      <w:r w:rsidR="00A65DCC">
        <w:rPr>
          <w:lang w:val="en-CA"/>
        </w:rPr>
        <w:t>under appeal</w:t>
      </w:r>
      <w:r w:rsidRPr="00A351FE">
        <w:rPr>
          <w:lang w:val="en-CA"/>
        </w:rPr>
        <w:t>].</w:t>
      </w:r>
    </w:p>
  </w:footnote>
  <w:footnote w:id="2">
    <w:p w14:paraId="1294FAF9" w14:textId="77777777" w:rsidR="00536FE9" w:rsidRPr="00A351FE" w:rsidRDefault="00536FE9" w:rsidP="00536FE9">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00BF345A" w:rsidRPr="00A351FE">
        <w:rPr>
          <w:i/>
          <w:iCs/>
          <w:lang w:val="en-CA"/>
        </w:rPr>
        <w:t>Trademarks Act</w:t>
      </w:r>
      <w:r w:rsidRPr="00A351FE">
        <w:rPr>
          <w:lang w:val="en-CA"/>
        </w:rPr>
        <w:t xml:space="preserve">, </w:t>
      </w:r>
      <w:r w:rsidR="00BF345A" w:rsidRPr="00A351FE">
        <w:rPr>
          <w:lang w:val="en-CA"/>
        </w:rPr>
        <w:t>R</w:t>
      </w:r>
      <w:r w:rsidR="001F5C61">
        <w:rPr>
          <w:lang w:val="en-CA"/>
        </w:rPr>
        <w:t>.</w:t>
      </w:r>
      <w:r w:rsidR="00BF345A" w:rsidRPr="00A351FE">
        <w:rPr>
          <w:lang w:val="en-CA"/>
        </w:rPr>
        <w:t>S</w:t>
      </w:r>
      <w:r w:rsidR="001F5C61">
        <w:rPr>
          <w:lang w:val="en-CA"/>
        </w:rPr>
        <w:t>.</w:t>
      </w:r>
      <w:r w:rsidR="00BF345A" w:rsidRPr="00A351FE">
        <w:rPr>
          <w:lang w:val="en-CA"/>
        </w:rPr>
        <w:t>C</w:t>
      </w:r>
      <w:r w:rsidR="001F5C61">
        <w:rPr>
          <w:lang w:val="en-CA"/>
        </w:rPr>
        <w:t>.</w:t>
      </w:r>
      <w:r w:rsidRPr="00A351FE">
        <w:rPr>
          <w:lang w:val="en-CA"/>
        </w:rPr>
        <w:t xml:space="preserve"> 1985, c</w:t>
      </w:r>
      <w:r w:rsidR="001F5C61">
        <w:rPr>
          <w:lang w:val="en-CA"/>
        </w:rPr>
        <w:t>.</w:t>
      </w:r>
      <w:r w:rsidRPr="00A351FE">
        <w:rPr>
          <w:lang w:val="en-CA"/>
        </w:rPr>
        <w:t xml:space="preserve"> T-13. </w:t>
      </w:r>
    </w:p>
  </w:footnote>
  <w:footnote w:id="3">
    <w:p w14:paraId="786CDA33" w14:textId="77777777" w:rsidR="006F301E" w:rsidRPr="00A351FE" w:rsidRDefault="006F301E" w:rsidP="006F301E">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lang w:val="en-CA"/>
        </w:rPr>
        <w:t xml:space="preserve">Ciba-Geigy Canada Ltd. </w:t>
      </w:r>
      <w:r w:rsidR="00E528B1" w:rsidRPr="00A351FE">
        <w:rPr>
          <w:i/>
          <w:lang w:val="en-CA"/>
        </w:rPr>
        <w:t>v</w:t>
      </w:r>
      <w:r w:rsidRPr="00A351FE">
        <w:rPr>
          <w:i/>
          <w:lang w:val="en-CA"/>
        </w:rPr>
        <w:t>. Apotex Inc.</w:t>
      </w:r>
      <w:r w:rsidRPr="00A351FE">
        <w:rPr>
          <w:lang w:val="en-CA"/>
        </w:rPr>
        <w:t xml:space="preserve">, [1992] 3 </w:t>
      </w:r>
      <w:r w:rsidR="00E528B1" w:rsidRPr="00A351FE">
        <w:rPr>
          <w:lang w:val="en-CA"/>
        </w:rPr>
        <w:t>S</w:t>
      </w:r>
      <w:r w:rsidR="001F5C61">
        <w:rPr>
          <w:lang w:val="en-CA"/>
        </w:rPr>
        <w:t>.</w:t>
      </w:r>
      <w:r w:rsidR="00E528B1" w:rsidRPr="00A351FE">
        <w:rPr>
          <w:lang w:val="en-CA"/>
        </w:rPr>
        <w:t>C</w:t>
      </w:r>
      <w:r w:rsidR="001F5C61">
        <w:rPr>
          <w:lang w:val="en-CA"/>
        </w:rPr>
        <w:t>.</w:t>
      </w:r>
      <w:r w:rsidR="00E528B1" w:rsidRPr="00A351FE">
        <w:rPr>
          <w:lang w:val="en-CA"/>
        </w:rPr>
        <w:t>R</w:t>
      </w:r>
      <w:r w:rsidR="001F5C61">
        <w:rPr>
          <w:lang w:val="en-CA"/>
        </w:rPr>
        <w:t>.</w:t>
      </w:r>
      <w:r w:rsidRPr="00A351FE">
        <w:rPr>
          <w:lang w:val="en-CA"/>
        </w:rPr>
        <w:t xml:space="preserve"> 120 [</w:t>
      </w:r>
      <w:r w:rsidRPr="00A351FE">
        <w:rPr>
          <w:i/>
          <w:lang w:val="en-CA"/>
        </w:rPr>
        <w:t>Apotex</w:t>
      </w:r>
      <w:r w:rsidRPr="00A351FE">
        <w:rPr>
          <w:lang w:val="en-CA"/>
        </w:rPr>
        <w:t>].</w:t>
      </w:r>
    </w:p>
  </w:footnote>
  <w:footnote w:id="4">
    <w:p w14:paraId="02FBDC21" w14:textId="77777777" w:rsidR="00E528B1" w:rsidRPr="00A351FE" w:rsidRDefault="00E528B1" w:rsidP="00E528B1">
      <w:pPr>
        <w:pStyle w:val="Notedebasdepage"/>
        <w:rPr>
          <w:lang w:val="en-CA"/>
        </w:rPr>
      </w:pPr>
      <w:r w:rsidRPr="00A351FE">
        <w:rPr>
          <w:rStyle w:val="Appelnotedebasdep"/>
          <w:lang w:val="en-CA"/>
        </w:rPr>
        <w:footnoteRef/>
      </w:r>
      <w:r w:rsidRPr="00A351FE">
        <w:rPr>
          <w:lang w:val="en-CA"/>
        </w:rPr>
        <w:t xml:space="preserve"> </w:t>
      </w:r>
      <w:r w:rsidRPr="00A351FE">
        <w:rPr>
          <w:lang w:val="en-CA"/>
        </w:rPr>
        <w:tab/>
        <w:t xml:space="preserve">Judgment </w:t>
      </w:r>
      <w:r w:rsidR="009D6D75">
        <w:rPr>
          <w:lang w:val="en-CA"/>
        </w:rPr>
        <w:t>under appeal</w:t>
      </w:r>
      <w:r w:rsidR="009D6D75" w:rsidRPr="00A351FE">
        <w:rPr>
          <w:lang w:val="en-CA"/>
        </w:rPr>
        <w:t xml:space="preserve"> </w:t>
      </w:r>
      <w:r w:rsidRPr="00A351FE">
        <w:rPr>
          <w:lang w:val="en-CA"/>
        </w:rPr>
        <w:t>at paras</w:t>
      </w:r>
      <w:r w:rsidR="001D02B5">
        <w:rPr>
          <w:lang w:val="en-CA"/>
        </w:rPr>
        <w:t>.</w:t>
      </w:r>
      <w:r w:rsidRPr="00A351FE">
        <w:rPr>
          <w:lang w:val="en-CA"/>
        </w:rPr>
        <w:t> 22</w:t>
      </w:r>
      <w:r w:rsidR="00E45F03">
        <w:rPr>
          <w:lang w:val="en-CA"/>
        </w:rPr>
        <w:sym w:font="Symbol" w:char="F02D"/>
      </w:r>
      <w:r w:rsidRPr="00A351FE">
        <w:rPr>
          <w:lang w:val="en-CA"/>
        </w:rPr>
        <w:t>43.</w:t>
      </w:r>
    </w:p>
  </w:footnote>
  <w:footnote w:id="5">
    <w:p w14:paraId="13388C5F" w14:textId="77777777" w:rsidR="00E528B1" w:rsidRPr="00A351FE" w:rsidRDefault="00E528B1" w:rsidP="00E528B1">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Ibid</w:t>
      </w:r>
      <w:r w:rsidR="009D6D75">
        <w:rPr>
          <w:i/>
          <w:iCs/>
          <w:lang w:val="en-CA"/>
        </w:rPr>
        <w:t>.</w:t>
      </w:r>
      <w:r w:rsidRPr="00A351FE">
        <w:rPr>
          <w:i/>
          <w:iCs/>
          <w:lang w:val="en-CA"/>
        </w:rPr>
        <w:t xml:space="preserve"> </w:t>
      </w:r>
      <w:r w:rsidRPr="00A351FE">
        <w:rPr>
          <w:lang w:val="en-CA"/>
        </w:rPr>
        <w:t>at paras</w:t>
      </w:r>
      <w:r w:rsidR="001D02B5">
        <w:rPr>
          <w:lang w:val="en-CA"/>
        </w:rPr>
        <w:t>.</w:t>
      </w:r>
      <w:r w:rsidRPr="00A351FE">
        <w:rPr>
          <w:lang w:val="en-CA"/>
        </w:rPr>
        <w:t xml:space="preserve"> 44</w:t>
      </w:r>
      <w:r w:rsidR="00E45F03">
        <w:rPr>
          <w:lang w:val="en-CA"/>
        </w:rPr>
        <w:sym w:font="Symbol" w:char="F02D"/>
      </w:r>
      <w:r w:rsidRPr="00A351FE">
        <w:rPr>
          <w:lang w:val="en-CA"/>
        </w:rPr>
        <w:t xml:space="preserve">76. </w:t>
      </w:r>
    </w:p>
  </w:footnote>
  <w:footnote w:id="6">
    <w:p w14:paraId="7B6DDCB2" w14:textId="77777777" w:rsidR="00E528B1" w:rsidRPr="00A351FE" w:rsidRDefault="00E528B1" w:rsidP="00E528B1">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001720B9" w:rsidRPr="00A351FE">
        <w:rPr>
          <w:i/>
          <w:iCs/>
          <w:lang w:val="en-CA"/>
        </w:rPr>
        <w:t>Ibid</w:t>
      </w:r>
      <w:r w:rsidR="009D6D75">
        <w:rPr>
          <w:i/>
          <w:iCs/>
          <w:lang w:val="en-CA"/>
        </w:rPr>
        <w:t>.</w:t>
      </w:r>
      <w:r w:rsidR="001720B9" w:rsidRPr="00A351FE">
        <w:rPr>
          <w:i/>
          <w:iCs/>
          <w:lang w:val="en-CA"/>
        </w:rPr>
        <w:t xml:space="preserve"> </w:t>
      </w:r>
      <w:r w:rsidR="001720B9" w:rsidRPr="00A351FE">
        <w:rPr>
          <w:lang w:val="en-CA"/>
        </w:rPr>
        <w:t>at paras</w:t>
      </w:r>
      <w:r w:rsidR="001D02B5">
        <w:rPr>
          <w:lang w:val="en-CA"/>
        </w:rPr>
        <w:t>.</w:t>
      </w:r>
      <w:r w:rsidR="001720B9" w:rsidRPr="00A351FE">
        <w:rPr>
          <w:lang w:val="en-CA"/>
        </w:rPr>
        <w:t xml:space="preserve"> </w:t>
      </w:r>
      <w:r w:rsidRPr="00A351FE">
        <w:rPr>
          <w:lang w:val="en-CA"/>
        </w:rPr>
        <w:t>77</w:t>
      </w:r>
      <w:r w:rsidR="00E45F03">
        <w:rPr>
          <w:lang w:val="en-CA"/>
        </w:rPr>
        <w:sym w:font="Symbol" w:char="F02D"/>
      </w:r>
      <w:r w:rsidRPr="00A351FE">
        <w:rPr>
          <w:lang w:val="en-CA"/>
        </w:rPr>
        <w:t>82.</w:t>
      </w:r>
    </w:p>
  </w:footnote>
  <w:footnote w:id="7">
    <w:p w14:paraId="40B894BF" w14:textId="77777777" w:rsidR="001720B9" w:rsidRPr="006D754D" w:rsidRDefault="001720B9" w:rsidP="001720B9">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Ibid</w:t>
      </w:r>
      <w:r w:rsidR="009D6D75">
        <w:rPr>
          <w:i/>
          <w:iCs/>
          <w:lang w:val="en-CA"/>
        </w:rPr>
        <w:t>.</w:t>
      </w:r>
      <w:r w:rsidRPr="00A351FE">
        <w:rPr>
          <w:i/>
          <w:iCs/>
          <w:lang w:val="en-CA"/>
        </w:rPr>
        <w:t xml:space="preserve"> </w:t>
      </w:r>
      <w:r w:rsidRPr="00A351FE">
        <w:rPr>
          <w:lang w:val="en-CA"/>
        </w:rPr>
        <w:t>at paras</w:t>
      </w:r>
      <w:r w:rsidR="001D02B5">
        <w:rPr>
          <w:lang w:val="en-CA"/>
        </w:rPr>
        <w:t>.</w:t>
      </w:r>
      <w:r w:rsidRPr="00A351FE">
        <w:rPr>
          <w:lang w:val="en-CA"/>
        </w:rPr>
        <w:t xml:space="preserve"> </w:t>
      </w:r>
      <w:r w:rsidRPr="006D754D">
        <w:rPr>
          <w:lang w:val="en-CA"/>
        </w:rPr>
        <w:t>84</w:t>
      </w:r>
      <w:r w:rsidR="00E45F03">
        <w:rPr>
          <w:lang w:val="en-CA"/>
        </w:rPr>
        <w:sym w:font="Symbol" w:char="F02D"/>
      </w:r>
      <w:r w:rsidRPr="006D754D">
        <w:rPr>
          <w:lang w:val="en-CA"/>
        </w:rPr>
        <w:t>89.</w:t>
      </w:r>
    </w:p>
  </w:footnote>
  <w:footnote w:id="8">
    <w:p w14:paraId="042F3570" w14:textId="77777777" w:rsidR="00410008" w:rsidRPr="00275EDC" w:rsidRDefault="00410008" w:rsidP="00410008">
      <w:pPr>
        <w:pStyle w:val="Notedebasdepage"/>
        <w:rPr>
          <w:lang w:val="en-CA"/>
        </w:rPr>
      </w:pPr>
      <w:r w:rsidRPr="00A351FE">
        <w:rPr>
          <w:rStyle w:val="Appelnotedebasdep"/>
          <w:lang w:val="en-CA"/>
        </w:rPr>
        <w:footnoteRef/>
      </w:r>
      <w:r w:rsidRPr="006D754D">
        <w:rPr>
          <w:lang w:val="en-CA"/>
        </w:rPr>
        <w:t xml:space="preserve"> </w:t>
      </w:r>
      <w:r w:rsidRPr="006D754D">
        <w:rPr>
          <w:lang w:val="en-CA"/>
        </w:rPr>
        <w:tab/>
      </w:r>
      <w:r w:rsidRPr="006D754D">
        <w:rPr>
          <w:i/>
          <w:iCs/>
          <w:lang w:val="en-CA"/>
        </w:rPr>
        <w:t>Construction Steco inc</w:t>
      </w:r>
      <w:r w:rsidRPr="006D754D">
        <w:rPr>
          <w:lang w:val="en-CA"/>
        </w:rPr>
        <w:t xml:space="preserve">. </w:t>
      </w:r>
      <w:r w:rsidRPr="006D754D">
        <w:rPr>
          <w:i/>
          <w:iCs/>
          <w:lang w:val="en-CA"/>
        </w:rPr>
        <w:t>c.</w:t>
      </w:r>
      <w:r w:rsidRPr="006D754D">
        <w:rPr>
          <w:lang w:val="en-CA"/>
        </w:rPr>
        <w:t xml:space="preserve"> </w:t>
      </w:r>
      <w:r w:rsidRPr="006D754D">
        <w:rPr>
          <w:i/>
          <w:iCs/>
          <w:lang w:val="en-CA"/>
        </w:rPr>
        <w:t>Gestion Michel Bélanger inc</w:t>
      </w:r>
      <w:r w:rsidRPr="006D754D">
        <w:rPr>
          <w:lang w:val="en-CA"/>
        </w:rPr>
        <w:t>., 2013 QCCA 217</w:t>
      </w:r>
      <w:r w:rsidR="00BB757F" w:rsidRPr="006D754D">
        <w:rPr>
          <w:lang w:val="en-CA"/>
        </w:rPr>
        <w:t xml:space="preserve"> at para</w:t>
      </w:r>
      <w:r w:rsidR="009D6D75" w:rsidRPr="006D754D">
        <w:rPr>
          <w:lang w:val="en-CA"/>
        </w:rPr>
        <w:t>.</w:t>
      </w:r>
      <w:r w:rsidRPr="006D754D">
        <w:rPr>
          <w:lang w:val="en-CA"/>
        </w:rPr>
        <w:t> </w:t>
      </w:r>
      <w:r w:rsidRPr="00275EDC">
        <w:rPr>
          <w:lang w:val="en-CA"/>
        </w:rPr>
        <w:t xml:space="preserve">20. </w:t>
      </w:r>
    </w:p>
  </w:footnote>
  <w:footnote w:id="9">
    <w:p w14:paraId="2221B932" w14:textId="77777777" w:rsidR="00410008" w:rsidRPr="00A351FE" w:rsidRDefault="00410008" w:rsidP="00410008">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 xml:space="preserve">Kirkbi AG </w:t>
      </w:r>
      <w:r w:rsidR="00BB757F">
        <w:rPr>
          <w:i/>
          <w:iCs/>
          <w:lang w:val="en-CA"/>
        </w:rPr>
        <w:t>v</w:t>
      </w:r>
      <w:r w:rsidRPr="00A351FE">
        <w:rPr>
          <w:i/>
          <w:iCs/>
          <w:lang w:val="en-CA"/>
        </w:rPr>
        <w:t>.</w:t>
      </w:r>
      <w:r w:rsidRPr="00A351FE">
        <w:rPr>
          <w:lang w:val="en-CA"/>
        </w:rPr>
        <w:t xml:space="preserve"> </w:t>
      </w:r>
      <w:r w:rsidR="00E45F03">
        <w:rPr>
          <w:i/>
          <w:iCs/>
          <w:lang w:val="en-CA"/>
        </w:rPr>
        <w:t>Ritvik Holdings</w:t>
      </w:r>
      <w:r w:rsidRPr="00A351FE">
        <w:rPr>
          <w:i/>
          <w:iCs/>
          <w:lang w:val="en-CA"/>
        </w:rPr>
        <w:t xml:space="preserve"> Inc</w:t>
      </w:r>
      <w:r w:rsidRPr="00A351FE">
        <w:rPr>
          <w:lang w:val="en-CA"/>
        </w:rPr>
        <w:t xml:space="preserve">., 2005 </w:t>
      </w:r>
      <w:r w:rsidR="00BB757F">
        <w:rPr>
          <w:lang w:val="en-CA"/>
        </w:rPr>
        <w:t>SCC</w:t>
      </w:r>
      <w:r w:rsidRPr="00A351FE">
        <w:rPr>
          <w:lang w:val="en-CA"/>
        </w:rPr>
        <w:t xml:space="preserve"> 65</w:t>
      </w:r>
      <w:r w:rsidR="00BB757F">
        <w:rPr>
          <w:lang w:val="en-CA"/>
        </w:rPr>
        <w:t xml:space="preserve"> at para</w:t>
      </w:r>
      <w:r w:rsidR="009D6D75">
        <w:rPr>
          <w:lang w:val="en-CA"/>
        </w:rPr>
        <w:t>.</w:t>
      </w:r>
      <w:r w:rsidRPr="00A351FE">
        <w:rPr>
          <w:lang w:val="en-CA"/>
        </w:rPr>
        <w:t> 23 [</w:t>
      </w:r>
      <w:r w:rsidRPr="00A351FE">
        <w:rPr>
          <w:i/>
          <w:iCs/>
          <w:lang w:val="en-CA"/>
        </w:rPr>
        <w:t>Kirkbi</w:t>
      </w:r>
      <w:r w:rsidRPr="00A351FE">
        <w:rPr>
          <w:lang w:val="en-CA"/>
        </w:rPr>
        <w:t>].</w:t>
      </w:r>
    </w:p>
  </w:footnote>
  <w:footnote w:id="10">
    <w:p w14:paraId="02CA6CCA" w14:textId="77777777" w:rsidR="00410008" w:rsidRPr="00A351FE" w:rsidRDefault="00410008" w:rsidP="00410008">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lang w:val="en-CA"/>
        </w:rPr>
        <w:t>Apotex, supra</w:t>
      </w:r>
      <w:r w:rsidRPr="00A351FE">
        <w:rPr>
          <w:lang w:val="en-CA"/>
        </w:rPr>
        <w:t xml:space="preserve"> note 3</w:t>
      </w:r>
      <w:r w:rsidR="00BB757F">
        <w:rPr>
          <w:lang w:val="en-CA"/>
        </w:rPr>
        <w:t xml:space="preserve"> at para</w:t>
      </w:r>
      <w:r w:rsidR="009D6D75">
        <w:rPr>
          <w:lang w:val="en-CA"/>
        </w:rPr>
        <w:t>.</w:t>
      </w:r>
      <w:r w:rsidRPr="00A351FE">
        <w:rPr>
          <w:lang w:val="en-CA"/>
        </w:rPr>
        <w:t> 37.</w:t>
      </w:r>
    </w:p>
  </w:footnote>
  <w:footnote w:id="11">
    <w:p w14:paraId="2ABC28A6" w14:textId="77777777" w:rsidR="00410008" w:rsidRPr="00A351FE" w:rsidRDefault="00410008" w:rsidP="00410008">
      <w:pPr>
        <w:pStyle w:val="Notedebasdepage"/>
        <w:rPr>
          <w:lang w:val="en-CA"/>
        </w:rPr>
      </w:pPr>
      <w:r w:rsidRPr="00A351FE">
        <w:rPr>
          <w:rStyle w:val="Appelnotedebasdep"/>
          <w:lang w:val="en-CA"/>
        </w:rPr>
        <w:footnoteRef/>
      </w:r>
      <w:r w:rsidRPr="00A351FE">
        <w:rPr>
          <w:lang w:val="en-CA"/>
        </w:rPr>
        <w:t xml:space="preserve"> </w:t>
      </w:r>
      <w:r w:rsidRPr="00A351FE">
        <w:rPr>
          <w:lang w:val="en-CA"/>
        </w:rPr>
        <w:tab/>
        <w:t xml:space="preserve">[1990] 1 All E.R. 873 </w:t>
      </w:r>
      <w:r w:rsidR="00BB757F">
        <w:rPr>
          <w:lang w:val="en-CA"/>
        </w:rPr>
        <w:t>at</w:t>
      </w:r>
      <w:r w:rsidRPr="00A351FE">
        <w:rPr>
          <w:lang w:val="en-CA"/>
        </w:rPr>
        <w:t> 880.</w:t>
      </w:r>
    </w:p>
  </w:footnote>
  <w:footnote w:id="12">
    <w:p w14:paraId="0F7022AE" w14:textId="77777777" w:rsidR="00410008" w:rsidRPr="00A351FE" w:rsidRDefault="00410008" w:rsidP="00410008">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lang w:val="en-CA"/>
        </w:rPr>
        <w:t>Apotex</w:t>
      </w:r>
      <w:r w:rsidRPr="00A351FE">
        <w:rPr>
          <w:lang w:val="en-CA"/>
        </w:rPr>
        <w:t xml:space="preserve">, </w:t>
      </w:r>
      <w:r w:rsidRPr="00A351FE">
        <w:rPr>
          <w:i/>
          <w:lang w:val="en-CA"/>
        </w:rPr>
        <w:t>supra</w:t>
      </w:r>
      <w:r w:rsidRPr="00A351FE">
        <w:rPr>
          <w:lang w:val="en-CA"/>
        </w:rPr>
        <w:t xml:space="preserve"> note 3</w:t>
      </w:r>
      <w:r w:rsidR="00BB757F">
        <w:rPr>
          <w:lang w:val="en-CA"/>
        </w:rPr>
        <w:t xml:space="preserve"> at para</w:t>
      </w:r>
      <w:r w:rsidR="00E45F03">
        <w:rPr>
          <w:lang w:val="en-CA"/>
        </w:rPr>
        <w:t>.</w:t>
      </w:r>
      <w:r w:rsidRPr="00A351FE">
        <w:rPr>
          <w:lang w:val="en-CA"/>
        </w:rPr>
        <w:t> 32.</w:t>
      </w:r>
    </w:p>
  </w:footnote>
  <w:footnote w:id="13">
    <w:p w14:paraId="5BEF246F" w14:textId="77777777" w:rsidR="00410008" w:rsidRPr="00DA3BDE" w:rsidRDefault="00410008" w:rsidP="00410008">
      <w:pPr>
        <w:pStyle w:val="Notedebasdepage"/>
      </w:pPr>
      <w:r w:rsidRPr="00A351FE">
        <w:rPr>
          <w:rStyle w:val="Appelnotedebasdep"/>
          <w:lang w:val="en-CA"/>
        </w:rPr>
        <w:footnoteRef/>
      </w:r>
      <w:r w:rsidRPr="00A351FE">
        <w:rPr>
          <w:lang w:val="en-CA"/>
        </w:rPr>
        <w:t xml:space="preserve"> </w:t>
      </w:r>
      <w:r w:rsidRPr="00A351FE">
        <w:rPr>
          <w:lang w:val="en-CA"/>
        </w:rPr>
        <w:tab/>
      </w:r>
      <w:r w:rsidRPr="00A351FE">
        <w:rPr>
          <w:i/>
          <w:iCs/>
          <w:lang w:val="en-CA"/>
        </w:rPr>
        <w:t>Ibid</w:t>
      </w:r>
      <w:r w:rsidR="00E45F03">
        <w:rPr>
          <w:i/>
          <w:iCs/>
          <w:lang w:val="en-CA"/>
        </w:rPr>
        <w:t>.</w:t>
      </w:r>
      <w:r w:rsidRPr="00A351FE">
        <w:rPr>
          <w:i/>
          <w:iCs/>
          <w:lang w:val="en-CA"/>
        </w:rPr>
        <w:t xml:space="preserve"> </w:t>
      </w:r>
      <w:r w:rsidRPr="00A351FE">
        <w:rPr>
          <w:lang w:val="en-CA"/>
        </w:rPr>
        <w:t>at para</w:t>
      </w:r>
      <w:r w:rsidR="00E45F03">
        <w:rPr>
          <w:lang w:val="en-CA"/>
        </w:rPr>
        <w:t>.</w:t>
      </w:r>
      <w:r w:rsidRPr="00A351FE">
        <w:rPr>
          <w:lang w:val="en-CA"/>
        </w:rPr>
        <w:t xml:space="preserve"> </w:t>
      </w:r>
      <w:r w:rsidRPr="00DA3BDE">
        <w:t>33.</w:t>
      </w:r>
    </w:p>
  </w:footnote>
  <w:footnote w:id="14">
    <w:p w14:paraId="00558B26" w14:textId="77777777" w:rsidR="005E1975" w:rsidRPr="00C82244" w:rsidRDefault="005E1975" w:rsidP="005E1975">
      <w:pPr>
        <w:pStyle w:val="Notedebasdepage"/>
        <w:rPr>
          <w:rFonts w:cs="Arial"/>
        </w:rPr>
      </w:pPr>
      <w:r w:rsidRPr="00A351FE">
        <w:rPr>
          <w:rStyle w:val="Appelnotedebasdep"/>
          <w:rFonts w:cs="Arial"/>
          <w:lang w:val="en-CA"/>
        </w:rPr>
        <w:footnoteRef/>
      </w:r>
      <w:r w:rsidRPr="00C82244">
        <w:rPr>
          <w:rFonts w:cs="Arial"/>
        </w:rPr>
        <w:t xml:space="preserve"> </w:t>
      </w:r>
      <w:r w:rsidRPr="00C82244">
        <w:rPr>
          <w:rFonts w:cs="Arial"/>
        </w:rPr>
        <w:tab/>
      </w:r>
      <w:r w:rsidRPr="00C82244">
        <w:rPr>
          <w:rFonts w:cs="Arial"/>
          <w:i/>
          <w:shd w:val="clear" w:color="auto" w:fill="FFFFFF"/>
        </w:rPr>
        <w:t>Boulangerie Canada Bread ltée c. Boulangerie St-Méthode inc</w:t>
      </w:r>
      <w:r w:rsidRPr="00C82244">
        <w:rPr>
          <w:rFonts w:cs="Arial"/>
          <w:shd w:val="clear" w:color="auto" w:fill="FFFFFF"/>
        </w:rPr>
        <w:t xml:space="preserve">., 2013 QCCA 1503 </w:t>
      </w:r>
      <w:r w:rsidR="00A505E2" w:rsidRPr="00C82244">
        <w:rPr>
          <w:rFonts w:cs="Arial"/>
          <w:shd w:val="clear" w:color="auto" w:fill="FFFFFF"/>
        </w:rPr>
        <w:t>at paras</w:t>
      </w:r>
      <w:r w:rsidR="00D15946">
        <w:rPr>
          <w:rFonts w:cs="Arial"/>
          <w:shd w:val="clear" w:color="auto" w:fill="FFFFFF"/>
        </w:rPr>
        <w:t>.</w:t>
      </w:r>
      <w:r w:rsidRPr="00C82244">
        <w:rPr>
          <w:rFonts w:cs="Arial"/>
          <w:shd w:val="clear" w:color="auto" w:fill="FFFFFF"/>
        </w:rPr>
        <w:t xml:space="preserve"> 23 </w:t>
      </w:r>
      <w:r w:rsidRPr="00C82244">
        <w:rPr>
          <w:rFonts w:cs="Arial"/>
          <w:i/>
          <w:iCs/>
          <w:shd w:val="clear" w:color="auto" w:fill="FFFFFF"/>
        </w:rPr>
        <w:t xml:space="preserve">et </w:t>
      </w:r>
      <w:r w:rsidR="00A505E2" w:rsidRPr="00C82244">
        <w:rPr>
          <w:rFonts w:cs="Arial"/>
          <w:i/>
          <w:iCs/>
          <w:shd w:val="clear" w:color="auto" w:fill="FFFFFF"/>
        </w:rPr>
        <w:t>seq</w:t>
      </w:r>
      <w:r w:rsidR="00A505E2" w:rsidRPr="00C82244">
        <w:rPr>
          <w:rFonts w:cs="Arial"/>
          <w:shd w:val="clear" w:color="auto" w:fill="FFFFFF"/>
        </w:rPr>
        <w:t>.</w:t>
      </w:r>
      <w:r w:rsidRPr="00C82244">
        <w:rPr>
          <w:rFonts w:cs="Arial"/>
          <w:shd w:val="clear" w:color="auto" w:fill="FFFFFF"/>
        </w:rPr>
        <w:t xml:space="preserve"> [</w:t>
      </w:r>
      <w:r w:rsidRPr="00C82244">
        <w:rPr>
          <w:rFonts w:cs="Arial"/>
          <w:i/>
          <w:shd w:val="clear" w:color="auto" w:fill="FFFFFF"/>
        </w:rPr>
        <w:t>Canada Bread</w:t>
      </w:r>
      <w:r w:rsidRPr="00C82244">
        <w:rPr>
          <w:rFonts w:cs="Arial"/>
          <w:shd w:val="clear" w:color="auto" w:fill="FFFFFF"/>
        </w:rPr>
        <w:t>].</w:t>
      </w:r>
    </w:p>
  </w:footnote>
  <w:footnote w:id="15">
    <w:p w14:paraId="6CC7D598" w14:textId="77777777" w:rsidR="005E1975" w:rsidRPr="00DA3BDE" w:rsidRDefault="005E1975" w:rsidP="005E1975">
      <w:pPr>
        <w:pStyle w:val="Notedebasdepage"/>
        <w:rPr>
          <w:lang w:val="en-CA"/>
        </w:rPr>
      </w:pPr>
      <w:r w:rsidRPr="00A351FE">
        <w:rPr>
          <w:rStyle w:val="Appelnotedebasdep"/>
          <w:lang w:val="en-CA"/>
        </w:rPr>
        <w:footnoteRef/>
      </w:r>
      <w:r w:rsidRPr="00C82244">
        <w:t xml:space="preserve"> </w:t>
      </w:r>
      <w:r w:rsidRPr="00C82244">
        <w:tab/>
      </w:r>
      <w:r w:rsidRPr="00C82244">
        <w:rPr>
          <w:i/>
        </w:rPr>
        <w:t>9055-6473 Québec inc. c.</w:t>
      </w:r>
      <w:r w:rsidRPr="00C82244">
        <w:t xml:space="preserve"> </w:t>
      </w:r>
      <w:r w:rsidRPr="00C82244">
        <w:rPr>
          <w:i/>
          <w:iCs/>
        </w:rPr>
        <w:t>Montréal Auto Prix</w:t>
      </w:r>
      <w:r w:rsidRPr="00C82244">
        <w:t xml:space="preserve">, 2006 QCCA 627 </w:t>
      </w:r>
      <w:r w:rsidR="00A505E2" w:rsidRPr="00C82244">
        <w:t>at para</w:t>
      </w:r>
      <w:r w:rsidR="00E45F03">
        <w:t>.</w:t>
      </w:r>
      <w:r w:rsidRPr="00C82244">
        <w:t> </w:t>
      </w:r>
      <w:r w:rsidRPr="00DA3BDE">
        <w:rPr>
          <w:lang w:val="en-CA"/>
        </w:rPr>
        <w:t>16 [</w:t>
      </w:r>
      <w:r w:rsidRPr="00DA3BDE">
        <w:rPr>
          <w:i/>
          <w:iCs/>
          <w:lang w:val="en-CA"/>
        </w:rPr>
        <w:t>Montréal Auto Prix</w:t>
      </w:r>
      <w:r w:rsidRPr="00DA3BDE">
        <w:rPr>
          <w:lang w:val="en-CA"/>
        </w:rPr>
        <w:t>].</w:t>
      </w:r>
    </w:p>
  </w:footnote>
  <w:footnote w:id="16">
    <w:p w14:paraId="495A092D" w14:textId="77777777" w:rsidR="00A505E2" w:rsidRPr="00A351FE" w:rsidRDefault="00A505E2" w:rsidP="00A505E2">
      <w:pPr>
        <w:pStyle w:val="Notedebasdepage"/>
        <w:rPr>
          <w:lang w:val="en-CA"/>
        </w:rPr>
      </w:pPr>
      <w:bookmarkStart w:id="12" w:name="_Ref112488827"/>
      <w:r w:rsidRPr="00A351FE">
        <w:rPr>
          <w:rStyle w:val="Appelnotedebasdep"/>
          <w:lang w:val="en-CA"/>
        </w:rPr>
        <w:footnoteRef/>
      </w:r>
      <w:r w:rsidRPr="00A351FE">
        <w:rPr>
          <w:lang w:val="en-CA"/>
        </w:rPr>
        <w:t xml:space="preserve"> </w:t>
      </w:r>
      <w:r w:rsidRPr="00A351FE">
        <w:rPr>
          <w:lang w:val="en-CA"/>
        </w:rPr>
        <w:tab/>
      </w:r>
      <w:r w:rsidRPr="00A351FE">
        <w:rPr>
          <w:i/>
          <w:lang w:val="en-CA"/>
        </w:rPr>
        <w:t>Canada Bread</w:t>
      </w:r>
      <w:r w:rsidRPr="00A351FE">
        <w:rPr>
          <w:lang w:val="en-CA"/>
        </w:rPr>
        <w:t xml:space="preserve">, </w:t>
      </w:r>
      <w:r w:rsidRPr="00A351FE">
        <w:rPr>
          <w:i/>
          <w:lang w:val="en-CA"/>
        </w:rPr>
        <w:t>supra</w:t>
      </w:r>
      <w:r w:rsidRPr="00A351FE">
        <w:rPr>
          <w:lang w:val="en-CA"/>
        </w:rPr>
        <w:t xml:space="preserve"> note 14 at para</w:t>
      </w:r>
      <w:r w:rsidR="00E45F03">
        <w:rPr>
          <w:lang w:val="en-CA"/>
        </w:rPr>
        <w:t>.</w:t>
      </w:r>
      <w:r w:rsidRPr="00A351FE">
        <w:rPr>
          <w:lang w:val="en-CA"/>
        </w:rPr>
        <w:t> 8, citing the trial judgment, 2012 QCCS 83 at para</w:t>
      </w:r>
      <w:r w:rsidR="00E45F03">
        <w:rPr>
          <w:lang w:val="en-CA"/>
        </w:rPr>
        <w:t>.</w:t>
      </w:r>
      <w:r w:rsidRPr="00A351FE">
        <w:rPr>
          <w:lang w:val="en-CA"/>
        </w:rPr>
        <w:t> 70.</w:t>
      </w:r>
    </w:p>
    <w:bookmarkEnd w:id="12"/>
  </w:footnote>
  <w:footnote w:id="17">
    <w:p w14:paraId="1E1EED39" w14:textId="77777777" w:rsidR="00210516" w:rsidRPr="00A351FE" w:rsidRDefault="00210516" w:rsidP="00210516">
      <w:pPr>
        <w:pStyle w:val="Notedebasdepage"/>
        <w:rPr>
          <w:lang w:val="en-CA"/>
        </w:rPr>
      </w:pPr>
      <w:r w:rsidRPr="00A351FE">
        <w:rPr>
          <w:rStyle w:val="Appelnotedebasdep"/>
          <w:lang w:val="en-CA"/>
        </w:rPr>
        <w:footnoteRef/>
      </w:r>
      <w:r w:rsidRPr="00A351FE">
        <w:rPr>
          <w:lang w:val="en-CA"/>
        </w:rPr>
        <w:t xml:space="preserve"> </w:t>
      </w:r>
      <w:r w:rsidRPr="00A351FE">
        <w:rPr>
          <w:lang w:val="en-CA"/>
        </w:rPr>
        <w:tab/>
        <w:t>Ju</w:t>
      </w:r>
      <w:r w:rsidR="00846D82" w:rsidRPr="00A351FE">
        <w:rPr>
          <w:lang w:val="en-CA"/>
        </w:rPr>
        <w:t xml:space="preserve">dgment </w:t>
      </w:r>
      <w:r w:rsidR="00E45F03">
        <w:rPr>
          <w:lang w:val="en-CA"/>
        </w:rPr>
        <w:t>under appeal</w:t>
      </w:r>
      <w:r w:rsidRPr="00A351FE">
        <w:rPr>
          <w:lang w:val="en-CA"/>
        </w:rPr>
        <w:t xml:space="preserve"> </w:t>
      </w:r>
      <w:r w:rsidR="00846D82" w:rsidRPr="00A351FE">
        <w:rPr>
          <w:lang w:val="en-CA"/>
        </w:rPr>
        <w:t>at para</w:t>
      </w:r>
      <w:r w:rsidR="00E45F03">
        <w:rPr>
          <w:lang w:val="en-CA"/>
        </w:rPr>
        <w:t>.</w:t>
      </w:r>
      <w:r w:rsidRPr="00A351FE">
        <w:rPr>
          <w:lang w:val="en-CA"/>
        </w:rPr>
        <w:t> 43.</w:t>
      </w:r>
    </w:p>
  </w:footnote>
  <w:footnote w:id="18">
    <w:p w14:paraId="237F7070" w14:textId="77777777" w:rsidR="00210516" w:rsidRPr="00A351FE" w:rsidRDefault="00210516" w:rsidP="00210516">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Ibid</w:t>
      </w:r>
      <w:r w:rsidR="00E45F03">
        <w:rPr>
          <w:i/>
          <w:iCs/>
          <w:lang w:val="en-CA"/>
        </w:rPr>
        <w:t>.</w:t>
      </w:r>
      <w:r w:rsidRPr="00A351FE">
        <w:rPr>
          <w:i/>
          <w:iCs/>
          <w:lang w:val="en-CA"/>
        </w:rPr>
        <w:t xml:space="preserve"> </w:t>
      </w:r>
      <w:r w:rsidRPr="00A351FE">
        <w:rPr>
          <w:lang w:val="en-CA"/>
        </w:rPr>
        <w:t>at para</w:t>
      </w:r>
      <w:r w:rsidR="00E45F03">
        <w:rPr>
          <w:lang w:val="en-CA"/>
        </w:rPr>
        <w:t>.</w:t>
      </w:r>
      <w:r w:rsidRPr="00A351FE">
        <w:rPr>
          <w:lang w:val="en-CA"/>
        </w:rPr>
        <w:t xml:space="preserve"> 38.</w:t>
      </w:r>
    </w:p>
  </w:footnote>
  <w:footnote w:id="19">
    <w:p w14:paraId="6B092C29" w14:textId="77777777" w:rsidR="00210516" w:rsidRPr="00A351FE" w:rsidRDefault="00210516" w:rsidP="00210516">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Ibid</w:t>
      </w:r>
      <w:r w:rsidR="00E45F03">
        <w:rPr>
          <w:i/>
          <w:iCs/>
          <w:lang w:val="en-CA"/>
        </w:rPr>
        <w:t>.</w:t>
      </w:r>
      <w:r w:rsidRPr="00A351FE">
        <w:rPr>
          <w:i/>
          <w:iCs/>
          <w:lang w:val="en-CA"/>
        </w:rPr>
        <w:t xml:space="preserve"> </w:t>
      </w:r>
      <w:r w:rsidRPr="00A351FE">
        <w:rPr>
          <w:lang w:val="en-CA"/>
        </w:rPr>
        <w:t>at para</w:t>
      </w:r>
      <w:r w:rsidR="00E45F03">
        <w:rPr>
          <w:lang w:val="en-CA"/>
        </w:rPr>
        <w:t>.</w:t>
      </w:r>
      <w:r w:rsidRPr="00A351FE">
        <w:rPr>
          <w:lang w:val="en-CA"/>
        </w:rPr>
        <w:t xml:space="preserve"> 32.</w:t>
      </w:r>
    </w:p>
  </w:footnote>
  <w:footnote w:id="20">
    <w:p w14:paraId="59F018EE" w14:textId="77777777" w:rsidR="008D5524" w:rsidRPr="00C82244" w:rsidRDefault="008D5524" w:rsidP="008D5524">
      <w:pPr>
        <w:pStyle w:val="Notedebasdepage"/>
      </w:pPr>
      <w:r w:rsidRPr="00A351FE">
        <w:rPr>
          <w:rStyle w:val="Appelnotedebasdep"/>
          <w:lang w:val="en-CA"/>
        </w:rPr>
        <w:footnoteRef/>
      </w:r>
      <w:r w:rsidRPr="00A351FE">
        <w:rPr>
          <w:lang w:val="en-CA"/>
        </w:rPr>
        <w:t xml:space="preserve"> </w:t>
      </w:r>
      <w:r w:rsidRPr="00A351FE">
        <w:rPr>
          <w:lang w:val="en-CA"/>
        </w:rPr>
        <w:tab/>
      </w:r>
      <w:r w:rsidRPr="00A351FE">
        <w:rPr>
          <w:i/>
          <w:iCs/>
          <w:lang w:val="en-CA"/>
        </w:rPr>
        <w:t>7531877 Canada ltée (Buckingham Chrysler, Jeep, Dodge) c.</w:t>
      </w:r>
      <w:r w:rsidRPr="00A351FE">
        <w:rPr>
          <w:lang w:val="en-CA"/>
        </w:rPr>
        <w:t xml:space="preserve"> </w:t>
      </w:r>
      <w:r w:rsidRPr="00A351FE">
        <w:rPr>
          <w:i/>
          <w:iCs/>
          <w:lang w:val="en-CA"/>
        </w:rPr>
        <w:t xml:space="preserve">9531025 Canada inc. </w:t>
      </w:r>
      <w:r w:rsidRPr="00C82244">
        <w:rPr>
          <w:i/>
        </w:rPr>
        <w:t>(Buckingham Chevrolet Buick GMC)</w:t>
      </w:r>
      <w:r w:rsidRPr="00C82244">
        <w:t xml:space="preserve">, 2018 QCCS 2123 </w:t>
      </w:r>
      <w:r w:rsidR="00846D82" w:rsidRPr="00C82244">
        <w:t>at paras</w:t>
      </w:r>
      <w:r w:rsidR="00D15946">
        <w:t>.</w:t>
      </w:r>
      <w:r w:rsidRPr="00C82244">
        <w:t xml:space="preserve"> 71, 75. </w:t>
      </w:r>
    </w:p>
  </w:footnote>
  <w:footnote w:id="21">
    <w:p w14:paraId="6AF93BFF" w14:textId="77777777" w:rsidR="00846D82" w:rsidRPr="00C82244" w:rsidRDefault="00846D82" w:rsidP="00846D82">
      <w:pPr>
        <w:pStyle w:val="Notedebasdepage"/>
      </w:pPr>
      <w:r w:rsidRPr="00A351FE">
        <w:rPr>
          <w:rStyle w:val="Appelnotedebasdep"/>
          <w:lang w:val="en-CA"/>
        </w:rPr>
        <w:footnoteRef/>
      </w:r>
      <w:r w:rsidRPr="00C82244">
        <w:t xml:space="preserve"> </w:t>
      </w:r>
      <w:r w:rsidRPr="00C82244">
        <w:tab/>
      </w:r>
      <w:r w:rsidRPr="00C82244">
        <w:rPr>
          <w:i/>
          <w:iCs/>
        </w:rPr>
        <w:t>9248-9533 Québec inc</w:t>
      </w:r>
      <w:r w:rsidRPr="00C82244">
        <w:t xml:space="preserve">. </w:t>
      </w:r>
      <w:r w:rsidRPr="00C82244">
        <w:rPr>
          <w:i/>
          <w:iCs/>
        </w:rPr>
        <w:t>c.</w:t>
      </w:r>
      <w:r w:rsidRPr="00C82244">
        <w:t xml:space="preserve"> </w:t>
      </w:r>
      <w:r w:rsidRPr="00C82244">
        <w:rPr>
          <w:i/>
          <w:iCs/>
        </w:rPr>
        <w:t>Industries Désormeau inc</w:t>
      </w:r>
      <w:r w:rsidRPr="00C82244">
        <w:t xml:space="preserve">., 2017 QCCS 3837 </w:t>
      </w:r>
      <w:r w:rsidR="00BF128E" w:rsidRPr="00C82244">
        <w:t>at para</w:t>
      </w:r>
      <w:r w:rsidR="00D15946">
        <w:t>.</w:t>
      </w:r>
      <w:r w:rsidR="00BF128E" w:rsidRPr="00C82244">
        <w:t xml:space="preserve"> </w:t>
      </w:r>
      <w:r w:rsidRPr="00C82244">
        <w:t>68.</w:t>
      </w:r>
    </w:p>
  </w:footnote>
  <w:footnote w:id="22">
    <w:p w14:paraId="767FA829" w14:textId="77777777" w:rsidR="00846D82" w:rsidRPr="009E121F" w:rsidRDefault="00846D82" w:rsidP="00846D82">
      <w:pPr>
        <w:pStyle w:val="Notedebasdepage"/>
        <w:rPr>
          <w:lang w:val="en-CA"/>
        </w:rPr>
      </w:pPr>
      <w:r w:rsidRPr="00A351FE">
        <w:rPr>
          <w:rStyle w:val="Appelnotedebasdep"/>
          <w:lang w:val="en-CA"/>
        </w:rPr>
        <w:footnoteRef/>
      </w:r>
      <w:r w:rsidRPr="00C82244">
        <w:t xml:space="preserve"> </w:t>
      </w:r>
      <w:r w:rsidRPr="00C82244">
        <w:tab/>
      </w:r>
      <w:r w:rsidRPr="00C82244">
        <w:rPr>
          <w:i/>
          <w:iCs/>
        </w:rPr>
        <w:t>Les Accessoires de bagages Hudson inc./Hudson Luggage Supplies Inc. c. Les Attaches Tri-Point inc</w:t>
      </w:r>
      <w:r w:rsidRPr="00C82244">
        <w:t xml:space="preserve">., 2003 CanLII 33320 </w:t>
      </w:r>
      <w:r w:rsidR="00BF128E" w:rsidRPr="00C82244">
        <w:t>at para</w:t>
      </w:r>
      <w:r w:rsidR="00A84900">
        <w:t>.</w:t>
      </w:r>
      <w:r w:rsidRPr="00C82244">
        <w:t> 38 (</w:t>
      </w:r>
      <w:r w:rsidR="00A84900" w:rsidRPr="00A84900">
        <w:t>Q</w:t>
      </w:r>
      <w:r w:rsidR="009E121F">
        <w:t>C</w:t>
      </w:r>
      <w:r w:rsidR="00A84900" w:rsidRPr="00A84900">
        <w:t xml:space="preserve"> Sup. Ct.),</w:t>
      </w:r>
      <w:r w:rsidRPr="00C82244">
        <w:t xml:space="preserve">); </w:t>
      </w:r>
      <w:r w:rsidRPr="00C82244">
        <w:rPr>
          <w:i/>
          <w:iCs/>
        </w:rPr>
        <w:t>National Ballet School/École nationale de ballet</w:t>
      </w:r>
      <w:r w:rsidRPr="00C82244">
        <w:t xml:space="preserve"> </w:t>
      </w:r>
      <w:r w:rsidRPr="00C82244">
        <w:rPr>
          <w:i/>
          <w:iCs/>
        </w:rPr>
        <w:t>c.</w:t>
      </w:r>
      <w:r w:rsidRPr="00C82244">
        <w:t xml:space="preserve"> </w:t>
      </w:r>
      <w:r w:rsidRPr="00C82244">
        <w:rPr>
          <w:i/>
          <w:iCs/>
        </w:rPr>
        <w:t>École nationale de ballet contemporain</w:t>
      </w:r>
      <w:r w:rsidRPr="00C82244">
        <w:t xml:space="preserve">, 2006 QCCS 459 </w:t>
      </w:r>
      <w:r w:rsidR="00BF128E" w:rsidRPr="00C82244">
        <w:t>at paras</w:t>
      </w:r>
      <w:r w:rsidR="00BD37A3">
        <w:t>.</w:t>
      </w:r>
      <w:r w:rsidRPr="00C82244">
        <w:t> </w:t>
      </w:r>
      <w:r w:rsidRPr="009E121F">
        <w:rPr>
          <w:lang w:val="en-CA"/>
        </w:rPr>
        <w:t>17-27 [</w:t>
      </w:r>
      <w:r w:rsidRPr="009E121F">
        <w:rPr>
          <w:i/>
          <w:iCs/>
          <w:lang w:val="en-CA"/>
        </w:rPr>
        <w:t>National Ballet School</w:t>
      </w:r>
      <w:r w:rsidRPr="009E121F">
        <w:rPr>
          <w:lang w:val="en-CA"/>
        </w:rPr>
        <w:t xml:space="preserve">]. </w:t>
      </w:r>
    </w:p>
  </w:footnote>
  <w:footnote w:id="23">
    <w:p w14:paraId="1A6316EC" w14:textId="77777777" w:rsidR="00846D82" w:rsidRPr="009E121F" w:rsidRDefault="00846D82" w:rsidP="00846D82">
      <w:pPr>
        <w:pStyle w:val="Notedebasdepage"/>
        <w:rPr>
          <w:lang w:val="en-CA"/>
        </w:rPr>
      </w:pPr>
      <w:r w:rsidRPr="00A351FE">
        <w:rPr>
          <w:rStyle w:val="Appelnotedebasdep"/>
          <w:lang w:val="en-CA"/>
        </w:rPr>
        <w:footnoteRef/>
      </w:r>
      <w:r w:rsidRPr="006D754D">
        <w:rPr>
          <w:lang w:val="en-CA"/>
        </w:rPr>
        <w:t xml:space="preserve"> </w:t>
      </w:r>
      <w:r w:rsidRPr="006D754D">
        <w:rPr>
          <w:lang w:val="en-CA"/>
        </w:rPr>
        <w:tab/>
      </w:r>
      <w:r w:rsidRPr="006D754D">
        <w:rPr>
          <w:i/>
          <w:iCs/>
          <w:lang w:val="en-CA"/>
        </w:rPr>
        <w:t>Montréal Auto Prix</w:t>
      </w:r>
      <w:r w:rsidRPr="006D754D">
        <w:rPr>
          <w:lang w:val="en-CA"/>
        </w:rPr>
        <w:t xml:space="preserve">, </w:t>
      </w:r>
      <w:r w:rsidR="00BF128E" w:rsidRPr="006D754D">
        <w:rPr>
          <w:i/>
          <w:lang w:val="en-CA"/>
        </w:rPr>
        <w:t>supra</w:t>
      </w:r>
      <w:r w:rsidR="00BF128E" w:rsidRPr="006D754D">
        <w:rPr>
          <w:lang w:val="en-CA"/>
        </w:rPr>
        <w:t xml:space="preserve"> note </w:t>
      </w:r>
      <w:r w:rsidRPr="006D754D">
        <w:rPr>
          <w:lang w:val="en-CA"/>
        </w:rPr>
        <w:t xml:space="preserve">15 </w:t>
      </w:r>
      <w:r w:rsidR="00BF128E" w:rsidRPr="006D754D">
        <w:rPr>
          <w:lang w:val="en-CA"/>
        </w:rPr>
        <w:t>at paras</w:t>
      </w:r>
      <w:r w:rsidR="00857B93" w:rsidRPr="006D754D">
        <w:rPr>
          <w:lang w:val="en-CA"/>
        </w:rPr>
        <w:t>.</w:t>
      </w:r>
      <w:r w:rsidRPr="006D754D">
        <w:rPr>
          <w:lang w:val="en-CA"/>
        </w:rPr>
        <w:t> </w:t>
      </w:r>
      <w:r w:rsidRPr="009E121F">
        <w:rPr>
          <w:lang w:val="en-CA"/>
        </w:rPr>
        <w:t>9</w:t>
      </w:r>
      <w:r w:rsidR="00BD37A3" w:rsidRPr="009E121F">
        <w:rPr>
          <w:lang w:val="en-CA"/>
        </w:rPr>
        <w:t xml:space="preserve"> and </w:t>
      </w:r>
      <w:r w:rsidRPr="009E121F">
        <w:rPr>
          <w:lang w:val="en-CA"/>
        </w:rPr>
        <w:t xml:space="preserve">27. </w:t>
      </w:r>
    </w:p>
  </w:footnote>
  <w:footnote w:id="24">
    <w:p w14:paraId="6673101B" w14:textId="77777777" w:rsidR="00C05C7A" w:rsidRPr="00A351FE" w:rsidRDefault="00C05C7A" w:rsidP="00C05C7A">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 xml:space="preserve">Canada Bread, </w:t>
      </w:r>
      <w:r w:rsidR="00BF128E" w:rsidRPr="00A351FE">
        <w:rPr>
          <w:i/>
          <w:lang w:val="en-CA"/>
        </w:rPr>
        <w:t>supra</w:t>
      </w:r>
      <w:r w:rsidR="00BF128E" w:rsidRPr="00A351FE">
        <w:rPr>
          <w:lang w:val="en-CA"/>
        </w:rPr>
        <w:t xml:space="preserve"> note </w:t>
      </w:r>
      <w:r w:rsidRPr="00A351FE">
        <w:rPr>
          <w:iCs/>
          <w:lang w:val="en-CA"/>
        </w:rPr>
        <w:t>14</w:t>
      </w:r>
      <w:r w:rsidR="00BF128E" w:rsidRPr="00A351FE">
        <w:rPr>
          <w:lang w:val="en-CA"/>
        </w:rPr>
        <w:t xml:space="preserve"> at para</w:t>
      </w:r>
      <w:r w:rsidR="0070757F">
        <w:rPr>
          <w:lang w:val="en-CA"/>
        </w:rPr>
        <w:t>.</w:t>
      </w:r>
      <w:r w:rsidRPr="00A351FE">
        <w:rPr>
          <w:lang w:val="en-CA"/>
        </w:rPr>
        <w:t xml:space="preserve"> 58. </w:t>
      </w:r>
    </w:p>
  </w:footnote>
  <w:footnote w:id="25">
    <w:p w14:paraId="673DDABC" w14:textId="77777777" w:rsidR="00C05C7A" w:rsidRPr="00A351FE" w:rsidRDefault="00C05C7A" w:rsidP="00C05C7A">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lang w:val="en-CA"/>
        </w:rPr>
        <w:t xml:space="preserve">Masterpiece Inc. </w:t>
      </w:r>
      <w:r w:rsidR="00BF128E" w:rsidRPr="00A351FE">
        <w:rPr>
          <w:i/>
          <w:iCs/>
          <w:lang w:val="en-CA"/>
        </w:rPr>
        <w:t>v</w:t>
      </w:r>
      <w:r w:rsidRPr="00A351FE">
        <w:rPr>
          <w:i/>
          <w:iCs/>
          <w:lang w:val="en-CA"/>
        </w:rPr>
        <w:t xml:space="preserve">. </w:t>
      </w:r>
      <w:r w:rsidRPr="00A351FE">
        <w:rPr>
          <w:i/>
          <w:lang w:val="en-CA"/>
        </w:rPr>
        <w:t>Alavida Lifestyles Inc.</w:t>
      </w:r>
      <w:r w:rsidRPr="00A351FE">
        <w:rPr>
          <w:lang w:val="en-CA"/>
        </w:rPr>
        <w:t xml:space="preserve">, 2011 </w:t>
      </w:r>
      <w:r w:rsidR="00A84900">
        <w:rPr>
          <w:lang w:val="en-CA"/>
        </w:rPr>
        <w:t>SCC</w:t>
      </w:r>
      <w:r w:rsidR="00A84900" w:rsidRPr="00A351FE">
        <w:rPr>
          <w:lang w:val="en-CA"/>
        </w:rPr>
        <w:t xml:space="preserve"> </w:t>
      </w:r>
      <w:r w:rsidRPr="00A351FE">
        <w:rPr>
          <w:lang w:val="en-CA"/>
        </w:rPr>
        <w:t xml:space="preserve">27, [2011] 2 </w:t>
      </w:r>
      <w:r w:rsidR="00BF128E" w:rsidRPr="00A351FE">
        <w:rPr>
          <w:lang w:val="en-CA"/>
        </w:rPr>
        <w:t>S</w:t>
      </w:r>
      <w:r w:rsidR="00E45F03">
        <w:rPr>
          <w:lang w:val="en-CA"/>
        </w:rPr>
        <w:t>.</w:t>
      </w:r>
      <w:r w:rsidR="00BF128E" w:rsidRPr="00A351FE">
        <w:rPr>
          <w:lang w:val="en-CA"/>
        </w:rPr>
        <w:t>C</w:t>
      </w:r>
      <w:r w:rsidR="00E45F03">
        <w:rPr>
          <w:lang w:val="en-CA"/>
        </w:rPr>
        <w:t>.</w:t>
      </w:r>
      <w:r w:rsidR="00BF128E" w:rsidRPr="00A351FE">
        <w:rPr>
          <w:lang w:val="en-CA"/>
        </w:rPr>
        <w:t>R</w:t>
      </w:r>
      <w:r w:rsidR="00E45F03">
        <w:rPr>
          <w:lang w:val="en-CA"/>
        </w:rPr>
        <w:t>.</w:t>
      </w:r>
      <w:r w:rsidRPr="00A351FE">
        <w:rPr>
          <w:lang w:val="en-CA"/>
        </w:rPr>
        <w:t xml:space="preserve"> 387</w:t>
      </w:r>
      <w:r w:rsidR="00BF128E" w:rsidRPr="00A351FE">
        <w:rPr>
          <w:lang w:val="en-CA"/>
        </w:rPr>
        <w:t xml:space="preserve"> at para</w:t>
      </w:r>
      <w:r w:rsidR="00A84900">
        <w:rPr>
          <w:lang w:val="en-CA"/>
        </w:rPr>
        <w:t>.</w:t>
      </w:r>
      <w:r w:rsidRPr="00A351FE">
        <w:rPr>
          <w:lang w:val="en-CA"/>
        </w:rPr>
        <w:t> 102 [</w:t>
      </w:r>
      <w:r w:rsidRPr="00A351FE">
        <w:rPr>
          <w:i/>
          <w:lang w:val="en-CA"/>
        </w:rPr>
        <w:t>Masterpiece</w:t>
      </w:r>
      <w:r w:rsidRPr="00A351FE">
        <w:rPr>
          <w:lang w:val="en-CA"/>
        </w:rPr>
        <w:t xml:space="preserve">]; </w:t>
      </w:r>
      <w:r w:rsidRPr="00A351FE">
        <w:rPr>
          <w:i/>
          <w:iCs/>
          <w:lang w:val="en-CA"/>
        </w:rPr>
        <w:t>Canada Bread</w:t>
      </w:r>
      <w:r w:rsidRPr="00A351FE">
        <w:rPr>
          <w:lang w:val="en-CA"/>
        </w:rPr>
        <w:t xml:space="preserve">, </w:t>
      </w:r>
      <w:r w:rsidR="00BF128E" w:rsidRPr="00A351FE">
        <w:rPr>
          <w:i/>
          <w:lang w:val="en-CA"/>
        </w:rPr>
        <w:t>supra</w:t>
      </w:r>
      <w:r w:rsidR="00BF128E" w:rsidRPr="00A351FE">
        <w:rPr>
          <w:lang w:val="en-CA"/>
        </w:rPr>
        <w:t xml:space="preserve"> note </w:t>
      </w:r>
      <w:r w:rsidRPr="00A351FE">
        <w:rPr>
          <w:lang w:val="en-CA"/>
        </w:rPr>
        <w:t xml:space="preserve">14 </w:t>
      </w:r>
      <w:r w:rsidR="00BF128E" w:rsidRPr="00A351FE">
        <w:rPr>
          <w:lang w:val="en-CA"/>
        </w:rPr>
        <w:t>at para</w:t>
      </w:r>
      <w:r w:rsidR="00A84900">
        <w:rPr>
          <w:lang w:val="en-CA"/>
        </w:rPr>
        <w:t>.</w:t>
      </w:r>
      <w:r w:rsidRPr="00A351FE">
        <w:rPr>
          <w:lang w:val="en-CA"/>
        </w:rPr>
        <w:t xml:space="preserve"> 57. </w:t>
      </w:r>
    </w:p>
  </w:footnote>
  <w:footnote w:id="26">
    <w:p w14:paraId="4AFD52F6" w14:textId="77777777" w:rsidR="00743F5D" w:rsidRPr="00A351FE" w:rsidRDefault="00743F5D" w:rsidP="00743F5D">
      <w:pPr>
        <w:pStyle w:val="Notedebasdepage"/>
        <w:rPr>
          <w:lang w:val="en-CA"/>
        </w:rPr>
      </w:pPr>
      <w:r w:rsidRPr="00A351FE">
        <w:rPr>
          <w:rStyle w:val="Appelnotedebasdep"/>
          <w:lang w:val="en-CA"/>
        </w:rPr>
        <w:footnoteRef/>
      </w:r>
      <w:r w:rsidRPr="00A351FE">
        <w:rPr>
          <w:lang w:val="en-CA"/>
        </w:rPr>
        <w:t xml:space="preserve"> </w:t>
      </w:r>
      <w:r w:rsidRPr="00A351FE">
        <w:rPr>
          <w:lang w:val="en-CA"/>
        </w:rPr>
        <w:tab/>
        <w:t>Ju</w:t>
      </w:r>
      <w:r w:rsidR="00BF128E" w:rsidRPr="00A351FE">
        <w:rPr>
          <w:lang w:val="en-CA"/>
        </w:rPr>
        <w:t>dg</w:t>
      </w:r>
      <w:r w:rsidRPr="00A351FE">
        <w:rPr>
          <w:lang w:val="en-CA"/>
        </w:rPr>
        <w:t xml:space="preserve">ment </w:t>
      </w:r>
      <w:r w:rsidR="00A84900">
        <w:rPr>
          <w:lang w:val="en-CA"/>
        </w:rPr>
        <w:t>under appeal</w:t>
      </w:r>
      <w:r w:rsidR="00BF128E" w:rsidRPr="00A351FE">
        <w:rPr>
          <w:lang w:val="en-CA"/>
        </w:rPr>
        <w:t xml:space="preserve"> at para</w:t>
      </w:r>
      <w:r w:rsidR="0070757F">
        <w:rPr>
          <w:lang w:val="en-CA"/>
        </w:rPr>
        <w:t>.</w:t>
      </w:r>
      <w:r w:rsidRPr="00A351FE">
        <w:rPr>
          <w:lang w:val="en-CA"/>
        </w:rPr>
        <w:t> 69.</w:t>
      </w:r>
    </w:p>
  </w:footnote>
  <w:footnote w:id="27">
    <w:p w14:paraId="73647A16" w14:textId="77777777" w:rsidR="00CA6AED" w:rsidRPr="00A351FE" w:rsidRDefault="00CA6AED" w:rsidP="00CA6AED">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Ibid</w:t>
      </w:r>
      <w:r w:rsidR="004E5C4B">
        <w:rPr>
          <w:i/>
          <w:iCs/>
          <w:lang w:val="en-CA"/>
        </w:rPr>
        <w:t>.</w:t>
      </w:r>
      <w:r w:rsidRPr="00A351FE">
        <w:rPr>
          <w:i/>
          <w:iCs/>
          <w:lang w:val="en-CA"/>
        </w:rPr>
        <w:t xml:space="preserve"> </w:t>
      </w:r>
      <w:r w:rsidRPr="00A351FE">
        <w:rPr>
          <w:lang w:val="en-CA"/>
        </w:rPr>
        <w:t>at para</w:t>
      </w:r>
      <w:r w:rsidR="004E5C4B">
        <w:rPr>
          <w:lang w:val="en-CA"/>
        </w:rPr>
        <w:t>.</w:t>
      </w:r>
      <w:r w:rsidRPr="00A351FE">
        <w:rPr>
          <w:lang w:val="en-CA"/>
        </w:rPr>
        <w:t xml:space="preserve"> 39.</w:t>
      </w:r>
    </w:p>
  </w:footnote>
  <w:footnote w:id="28">
    <w:p w14:paraId="70AC8C36" w14:textId="77777777" w:rsidR="00CA6AED" w:rsidRPr="00A351FE" w:rsidRDefault="00CA6AED" w:rsidP="00CA6AED">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001346D5" w:rsidRPr="00A351FE">
        <w:rPr>
          <w:lang w:val="en-CA"/>
        </w:rPr>
        <w:t>Cross-examination of André Coulombe</w:t>
      </w:r>
      <w:r w:rsidRPr="00A351FE">
        <w:rPr>
          <w:lang w:val="en-CA"/>
        </w:rPr>
        <w:t xml:space="preserve">, </w:t>
      </w:r>
      <w:r w:rsidR="00E45F03">
        <w:rPr>
          <w:lang w:val="en-CA"/>
        </w:rPr>
        <w:t xml:space="preserve">17 </w:t>
      </w:r>
      <w:r w:rsidR="00BF128E" w:rsidRPr="00A351FE">
        <w:rPr>
          <w:lang w:val="en-CA"/>
        </w:rPr>
        <w:t xml:space="preserve">February </w:t>
      </w:r>
      <w:r w:rsidRPr="00A351FE">
        <w:rPr>
          <w:lang w:val="en-CA"/>
        </w:rPr>
        <w:t>2020, 271</w:t>
      </w:r>
      <w:r w:rsidR="00E45F03">
        <w:rPr>
          <w:lang w:val="en-CA"/>
        </w:rPr>
        <w:sym w:font="Symbol" w:char="F02D"/>
      </w:r>
      <w:r w:rsidRPr="00A351FE">
        <w:rPr>
          <w:lang w:val="en-CA"/>
        </w:rPr>
        <w:t>271.</w:t>
      </w:r>
    </w:p>
  </w:footnote>
  <w:footnote w:id="29">
    <w:p w14:paraId="268BD4F3" w14:textId="77777777" w:rsidR="00DA2CC1" w:rsidRPr="00A351FE" w:rsidRDefault="00DA2CC1" w:rsidP="00DA2CC1">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lang w:val="en-CA"/>
        </w:rPr>
        <w:t>Kirkbi</w:t>
      </w:r>
      <w:r w:rsidRPr="00A351FE">
        <w:rPr>
          <w:lang w:val="en-CA"/>
        </w:rPr>
        <w:t xml:space="preserve">, </w:t>
      </w:r>
      <w:r w:rsidR="00BF128E" w:rsidRPr="00A351FE">
        <w:rPr>
          <w:i/>
          <w:lang w:val="en-CA"/>
        </w:rPr>
        <w:t>supra</w:t>
      </w:r>
      <w:r w:rsidR="00BF128E" w:rsidRPr="00A351FE">
        <w:rPr>
          <w:lang w:val="en-CA"/>
        </w:rPr>
        <w:t xml:space="preserve"> note </w:t>
      </w:r>
      <w:r w:rsidRPr="00A351FE">
        <w:rPr>
          <w:lang w:val="en-CA"/>
        </w:rPr>
        <w:t>9</w:t>
      </w:r>
      <w:r w:rsidR="00BF128E" w:rsidRPr="00A351FE">
        <w:rPr>
          <w:lang w:val="en-CA"/>
        </w:rPr>
        <w:t xml:space="preserve"> at para</w:t>
      </w:r>
      <w:r w:rsidRPr="00A351FE">
        <w:rPr>
          <w:lang w:val="en-CA"/>
        </w:rPr>
        <w:t xml:space="preserve"> 68. </w:t>
      </w:r>
    </w:p>
  </w:footnote>
  <w:footnote w:id="30">
    <w:p w14:paraId="5D754651" w14:textId="77777777" w:rsidR="00DA2CC1" w:rsidRPr="006D754D" w:rsidRDefault="00DA2CC1" w:rsidP="00DA2CC1">
      <w:pPr>
        <w:pStyle w:val="Notedebasdepage"/>
      </w:pPr>
      <w:r w:rsidRPr="00A351FE">
        <w:rPr>
          <w:rStyle w:val="Appelnotedebasdep"/>
          <w:lang w:val="en-CA"/>
        </w:rPr>
        <w:footnoteRef/>
      </w:r>
      <w:r w:rsidRPr="00A351FE">
        <w:rPr>
          <w:lang w:val="en-CA"/>
        </w:rPr>
        <w:t xml:space="preserve"> </w:t>
      </w:r>
      <w:r w:rsidRPr="00A351FE">
        <w:rPr>
          <w:lang w:val="en-CA"/>
        </w:rPr>
        <w:tab/>
      </w:r>
      <w:r w:rsidRPr="00A351FE">
        <w:rPr>
          <w:i/>
          <w:iCs/>
          <w:lang w:val="en-CA"/>
        </w:rPr>
        <w:t>Consumers Distributing Co</w:t>
      </w:r>
      <w:r w:rsidRPr="00A351FE">
        <w:rPr>
          <w:lang w:val="en-CA"/>
        </w:rPr>
        <w:t xml:space="preserve">. </w:t>
      </w:r>
      <w:r w:rsidR="00BF128E" w:rsidRPr="00A351FE">
        <w:rPr>
          <w:i/>
          <w:iCs/>
          <w:lang w:val="en-CA"/>
        </w:rPr>
        <w:t>v</w:t>
      </w:r>
      <w:r w:rsidRPr="00A351FE">
        <w:rPr>
          <w:i/>
          <w:iCs/>
          <w:lang w:val="en-CA"/>
        </w:rPr>
        <w:t>.</w:t>
      </w:r>
      <w:r w:rsidRPr="00A351FE">
        <w:rPr>
          <w:lang w:val="en-CA"/>
        </w:rPr>
        <w:t xml:space="preserve"> </w:t>
      </w:r>
      <w:r w:rsidRPr="00A351FE">
        <w:rPr>
          <w:i/>
          <w:iCs/>
          <w:lang w:val="en-CA"/>
        </w:rPr>
        <w:t>Seiko Time Canada Ltd</w:t>
      </w:r>
      <w:r w:rsidRPr="00A351FE">
        <w:rPr>
          <w:lang w:val="en-CA"/>
        </w:rPr>
        <w:t xml:space="preserve">., [1984] 1 </w:t>
      </w:r>
      <w:r w:rsidR="00BF128E" w:rsidRPr="00A351FE">
        <w:rPr>
          <w:lang w:val="en-CA"/>
        </w:rPr>
        <w:t>S</w:t>
      </w:r>
      <w:r w:rsidR="00E45F03">
        <w:rPr>
          <w:lang w:val="en-CA"/>
        </w:rPr>
        <w:t>.</w:t>
      </w:r>
      <w:r w:rsidR="00BF128E" w:rsidRPr="00A351FE">
        <w:rPr>
          <w:lang w:val="en-CA"/>
        </w:rPr>
        <w:t>C</w:t>
      </w:r>
      <w:r w:rsidR="00E45F03">
        <w:rPr>
          <w:lang w:val="en-CA"/>
        </w:rPr>
        <w:t>.</w:t>
      </w:r>
      <w:r w:rsidR="00BF128E" w:rsidRPr="00A351FE">
        <w:rPr>
          <w:lang w:val="en-CA"/>
        </w:rPr>
        <w:t>R</w:t>
      </w:r>
      <w:r w:rsidR="00E45F03">
        <w:rPr>
          <w:lang w:val="en-CA"/>
        </w:rPr>
        <w:t>.</w:t>
      </w:r>
      <w:r w:rsidRPr="00A351FE">
        <w:rPr>
          <w:lang w:val="en-CA"/>
        </w:rPr>
        <w:t xml:space="preserve"> 583 </w:t>
      </w:r>
      <w:r w:rsidR="00BF128E" w:rsidRPr="00A351FE">
        <w:rPr>
          <w:lang w:val="en-CA"/>
        </w:rPr>
        <w:t>at para</w:t>
      </w:r>
      <w:r w:rsidR="00E45F03">
        <w:rPr>
          <w:lang w:val="en-CA"/>
        </w:rPr>
        <w:t>.</w:t>
      </w:r>
      <w:r w:rsidR="00BF128E" w:rsidRPr="00A351FE">
        <w:rPr>
          <w:lang w:val="en-CA"/>
        </w:rPr>
        <w:t xml:space="preserve"> </w:t>
      </w:r>
      <w:r w:rsidRPr="006D754D">
        <w:t>23.</w:t>
      </w:r>
    </w:p>
  </w:footnote>
  <w:footnote w:id="31">
    <w:p w14:paraId="77177BAC" w14:textId="77777777" w:rsidR="00DA2CC1" w:rsidRPr="006D754D" w:rsidRDefault="00DA2CC1" w:rsidP="00DA2CC1">
      <w:pPr>
        <w:pStyle w:val="Notedebasdepage"/>
      </w:pPr>
      <w:r w:rsidRPr="00A351FE">
        <w:rPr>
          <w:rStyle w:val="Appelnotedebasdep"/>
          <w:lang w:val="en-CA"/>
        </w:rPr>
        <w:footnoteRef/>
      </w:r>
      <w:r w:rsidRPr="006D754D">
        <w:t xml:space="preserve"> </w:t>
      </w:r>
      <w:r w:rsidRPr="006D754D">
        <w:tab/>
      </w:r>
      <w:r w:rsidRPr="006D754D">
        <w:rPr>
          <w:i/>
        </w:rPr>
        <w:t>Chocolat Lamontagne inc. c. humeur Groupe-conseil inc.,</w:t>
      </w:r>
      <w:r w:rsidRPr="006D754D">
        <w:t xml:space="preserve"> 2010 QCCS 3301.</w:t>
      </w:r>
    </w:p>
  </w:footnote>
  <w:footnote w:id="32">
    <w:p w14:paraId="5AF0650D" w14:textId="77777777" w:rsidR="00BF128E" w:rsidRPr="006D754D" w:rsidRDefault="00BF128E" w:rsidP="00BF128E">
      <w:pPr>
        <w:pStyle w:val="Notedebasdepage"/>
      </w:pPr>
      <w:r w:rsidRPr="00A351FE">
        <w:rPr>
          <w:rStyle w:val="Appelnotedebasdep"/>
          <w:lang w:val="en-CA"/>
        </w:rPr>
        <w:footnoteRef/>
      </w:r>
      <w:r w:rsidRPr="006D754D">
        <w:t xml:space="preserve"> </w:t>
      </w:r>
      <w:r w:rsidRPr="006D754D">
        <w:tab/>
      </w:r>
      <w:r w:rsidR="00B20A2C" w:rsidRPr="006D754D">
        <w:t>Exhibit</w:t>
      </w:r>
      <w:r w:rsidRPr="006D754D">
        <w:t xml:space="preserve"> D-5.</w:t>
      </w:r>
    </w:p>
  </w:footnote>
  <w:footnote w:id="33">
    <w:p w14:paraId="53618F65" w14:textId="77777777" w:rsidR="00BF128E" w:rsidRPr="00A351FE" w:rsidRDefault="00BF128E" w:rsidP="00BF128E">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Vancouver Community College</w:t>
      </w:r>
      <w:r w:rsidRPr="00A351FE">
        <w:rPr>
          <w:lang w:val="en-CA"/>
        </w:rPr>
        <w:t xml:space="preserve"> </w:t>
      </w:r>
      <w:r w:rsidRPr="00A351FE">
        <w:rPr>
          <w:i/>
          <w:iCs/>
          <w:lang w:val="en-CA"/>
        </w:rPr>
        <w:t>v. Vancouver Career College</w:t>
      </w:r>
      <w:r w:rsidRPr="00A351FE">
        <w:rPr>
          <w:lang w:val="en-CA"/>
        </w:rPr>
        <w:t>, 2017 BCCA 41 at para</w:t>
      </w:r>
      <w:r w:rsidR="00B20A2C">
        <w:rPr>
          <w:lang w:val="en-CA"/>
        </w:rPr>
        <w:t>.</w:t>
      </w:r>
      <w:r w:rsidRPr="00A351FE">
        <w:rPr>
          <w:lang w:val="en-CA"/>
        </w:rPr>
        <w:t> 44 [</w:t>
      </w:r>
      <w:r w:rsidRPr="00A351FE">
        <w:rPr>
          <w:i/>
          <w:iCs/>
          <w:lang w:val="en-CA"/>
        </w:rPr>
        <w:t>Vancouver Community College</w:t>
      </w:r>
      <w:r w:rsidRPr="00A351FE">
        <w:rPr>
          <w:lang w:val="en-CA"/>
        </w:rPr>
        <w:t>].</w:t>
      </w:r>
    </w:p>
  </w:footnote>
  <w:footnote w:id="34">
    <w:p w14:paraId="60C6F034" w14:textId="77777777" w:rsidR="00BF128E" w:rsidRPr="00A351FE" w:rsidRDefault="00BF128E" w:rsidP="00BF128E">
      <w:pPr>
        <w:pStyle w:val="Notedebasdepage"/>
        <w:rPr>
          <w:lang w:val="en-CA"/>
        </w:rPr>
      </w:pPr>
      <w:r w:rsidRPr="00A351FE">
        <w:rPr>
          <w:rStyle w:val="Appelnotedebasdep"/>
          <w:lang w:val="en-CA"/>
        </w:rPr>
        <w:footnoteRef/>
      </w:r>
      <w:r w:rsidRPr="00A351FE">
        <w:rPr>
          <w:lang w:val="en-CA"/>
        </w:rPr>
        <w:t xml:space="preserve"> </w:t>
      </w:r>
      <w:r w:rsidRPr="00A351FE">
        <w:rPr>
          <w:lang w:val="en-CA"/>
        </w:rPr>
        <w:tab/>
        <w:t xml:space="preserve">Judgment </w:t>
      </w:r>
      <w:r w:rsidR="00B20A2C">
        <w:rPr>
          <w:lang w:val="en-CA"/>
        </w:rPr>
        <w:t>under appeal</w:t>
      </w:r>
      <w:r w:rsidRPr="00A351FE">
        <w:rPr>
          <w:lang w:val="en-CA"/>
        </w:rPr>
        <w:t xml:space="preserve"> at para</w:t>
      </w:r>
      <w:r w:rsidR="00B20A2C">
        <w:rPr>
          <w:lang w:val="en-CA"/>
        </w:rPr>
        <w:t>.</w:t>
      </w:r>
      <w:r w:rsidRPr="00A351FE">
        <w:rPr>
          <w:lang w:val="en-CA"/>
        </w:rPr>
        <w:t xml:space="preserve"> 68. </w:t>
      </w:r>
    </w:p>
  </w:footnote>
  <w:footnote w:id="35">
    <w:p w14:paraId="4AF9E4EA" w14:textId="77777777" w:rsidR="00575FC0" w:rsidRPr="00A351FE" w:rsidRDefault="00575FC0" w:rsidP="00575FC0">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001346D5" w:rsidRPr="00A351FE">
        <w:rPr>
          <w:lang w:val="en-CA"/>
        </w:rPr>
        <w:t xml:space="preserve">In Google Chrome, the address bar and the search bar are combined in the </w:t>
      </w:r>
      <w:r w:rsidR="00BB757F">
        <w:rPr>
          <w:lang w:val="en-CA"/>
        </w:rPr>
        <w:t>“</w:t>
      </w:r>
      <w:r w:rsidR="001346D5" w:rsidRPr="00A351FE">
        <w:rPr>
          <w:lang w:val="en-CA"/>
        </w:rPr>
        <w:t>omnibar</w:t>
      </w:r>
      <w:r w:rsidR="00BB757F">
        <w:rPr>
          <w:lang w:val="en-CA"/>
        </w:rPr>
        <w:t>”</w:t>
      </w:r>
      <w:r w:rsidR="001346D5" w:rsidRPr="00A351FE">
        <w:rPr>
          <w:lang w:val="en-CA"/>
        </w:rPr>
        <w:t xml:space="preserve">, but the principle </w:t>
      </w:r>
      <w:r w:rsidR="00B20A2C">
        <w:rPr>
          <w:lang w:val="en-CA"/>
        </w:rPr>
        <w:t>is</w:t>
      </w:r>
      <w:r w:rsidR="00B20A2C" w:rsidRPr="00A351FE">
        <w:rPr>
          <w:lang w:val="en-CA"/>
        </w:rPr>
        <w:t xml:space="preserve"> </w:t>
      </w:r>
      <w:r w:rsidR="001346D5" w:rsidRPr="00A351FE">
        <w:rPr>
          <w:lang w:val="en-CA"/>
        </w:rPr>
        <w:t xml:space="preserve">the same. </w:t>
      </w:r>
    </w:p>
  </w:footnote>
  <w:footnote w:id="36">
    <w:p w14:paraId="6FCFBFAB" w14:textId="77777777" w:rsidR="00575FC0" w:rsidRPr="00A351FE" w:rsidRDefault="00575FC0" w:rsidP="001346D5">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001346D5" w:rsidRPr="00A351FE">
        <w:rPr>
          <w:lang w:val="en-CA"/>
        </w:rPr>
        <w:t xml:space="preserve">The word </w:t>
      </w:r>
      <w:r w:rsidR="00BB757F">
        <w:rPr>
          <w:lang w:val="en-CA"/>
        </w:rPr>
        <w:t>“</w:t>
      </w:r>
      <w:r w:rsidR="001346D5" w:rsidRPr="00A351FE">
        <w:rPr>
          <w:lang w:val="en-CA"/>
        </w:rPr>
        <w:t>garages</w:t>
      </w:r>
      <w:r w:rsidR="00BB757F">
        <w:rPr>
          <w:lang w:val="en-CA"/>
        </w:rPr>
        <w:t>”</w:t>
      </w:r>
      <w:r w:rsidR="001346D5" w:rsidRPr="00A351FE">
        <w:rPr>
          <w:lang w:val="en-CA"/>
        </w:rPr>
        <w:t xml:space="preserve"> is not part of the respondent</w:t>
      </w:r>
      <w:r w:rsidR="00BB757F">
        <w:rPr>
          <w:lang w:val="en-CA"/>
        </w:rPr>
        <w:t>’</w:t>
      </w:r>
      <w:r w:rsidR="001346D5" w:rsidRPr="00A351FE">
        <w:rPr>
          <w:lang w:val="en-CA"/>
        </w:rPr>
        <w:t>s name, but garages represent 20% of its sales</w:t>
      </w:r>
      <w:r w:rsidRPr="00A351FE">
        <w:rPr>
          <w:lang w:val="en-CA"/>
        </w:rPr>
        <w:t>.</w:t>
      </w:r>
    </w:p>
  </w:footnote>
  <w:footnote w:id="37">
    <w:p w14:paraId="0FF8FB16" w14:textId="77777777" w:rsidR="00575FC0" w:rsidRPr="00A351FE" w:rsidRDefault="00575FC0" w:rsidP="00575FC0">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001346D5" w:rsidRPr="00A351FE">
        <w:rPr>
          <w:lang w:val="en-CA"/>
        </w:rPr>
        <w:t>See Exhibit</w:t>
      </w:r>
      <w:r w:rsidRPr="00A351FE">
        <w:rPr>
          <w:lang w:val="en-CA"/>
        </w:rPr>
        <w:t xml:space="preserve"> P-10.</w:t>
      </w:r>
    </w:p>
  </w:footnote>
  <w:footnote w:id="38">
    <w:p w14:paraId="5DC52720" w14:textId="77777777" w:rsidR="00575FC0" w:rsidRPr="00A351FE" w:rsidRDefault="00575FC0" w:rsidP="00575FC0">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001346D5" w:rsidRPr="00A351FE">
        <w:rPr>
          <w:lang w:val="en-CA"/>
        </w:rPr>
        <w:t>See e.g.</w:t>
      </w:r>
      <w:r w:rsidR="00B20A2C">
        <w:rPr>
          <w:lang w:val="en-CA"/>
        </w:rPr>
        <w:t>,</w:t>
      </w:r>
      <w:r w:rsidRPr="00A351FE">
        <w:rPr>
          <w:lang w:val="en-CA"/>
        </w:rPr>
        <w:t xml:space="preserve"> </w:t>
      </w:r>
      <w:r w:rsidRPr="00A351FE">
        <w:rPr>
          <w:i/>
          <w:lang w:val="en-CA"/>
        </w:rPr>
        <w:t>Dentec Safety Specialists Inc. v. Degil Safety Products Inc.</w:t>
      </w:r>
      <w:r w:rsidRPr="00A351FE">
        <w:rPr>
          <w:lang w:val="en-CA"/>
        </w:rPr>
        <w:t xml:space="preserve">, 2012 ONSC 4721, </w:t>
      </w:r>
      <w:r w:rsidR="001346D5" w:rsidRPr="00A351FE">
        <w:rPr>
          <w:lang w:val="en-CA"/>
        </w:rPr>
        <w:t>appeal dismissed</w:t>
      </w:r>
      <w:r w:rsidR="00B20A2C">
        <w:rPr>
          <w:lang w:val="en-CA"/>
        </w:rPr>
        <w:t>,</w:t>
      </w:r>
      <w:r w:rsidRPr="00A351FE">
        <w:rPr>
          <w:lang w:val="en-CA"/>
        </w:rPr>
        <w:t xml:space="preserve"> 2014 ONSC 2449.</w:t>
      </w:r>
    </w:p>
  </w:footnote>
  <w:footnote w:id="39">
    <w:p w14:paraId="6F7ACFF0" w14:textId="77777777" w:rsidR="00575FC0" w:rsidRPr="00A351FE" w:rsidRDefault="00575FC0" w:rsidP="00A351FE">
      <w:pPr>
        <w:pStyle w:val="Notedebasdepage"/>
      </w:pPr>
      <w:r w:rsidRPr="00A351FE">
        <w:rPr>
          <w:rStyle w:val="Appelnotedebasdep"/>
          <w:lang w:val="en-CA"/>
        </w:rPr>
        <w:footnoteRef/>
      </w:r>
      <w:r w:rsidRPr="00A351FE">
        <w:rPr>
          <w:lang w:val="en-CA"/>
        </w:rPr>
        <w:t xml:space="preserve"> </w:t>
      </w:r>
      <w:r w:rsidRPr="00A351FE">
        <w:rPr>
          <w:lang w:val="en-CA"/>
        </w:rPr>
        <w:tab/>
      </w:r>
      <w:r w:rsidR="001346D5" w:rsidRPr="00A351FE">
        <w:rPr>
          <w:lang w:val="en-CA"/>
        </w:rPr>
        <w:t xml:space="preserve">Exhibit P-7 shows that </w:t>
      </w:r>
      <w:r w:rsidR="00B20A2C">
        <w:rPr>
          <w:lang w:val="en-CA"/>
        </w:rPr>
        <w:t>some</w:t>
      </w:r>
      <w:r w:rsidR="001346D5" w:rsidRPr="00A351FE">
        <w:rPr>
          <w:lang w:val="en-CA"/>
        </w:rPr>
        <w:t xml:space="preserve"> consumers who access the respondent</w:t>
      </w:r>
      <w:r w:rsidR="00BB757F">
        <w:rPr>
          <w:lang w:val="en-CA"/>
        </w:rPr>
        <w:t>’</w:t>
      </w:r>
      <w:r w:rsidR="001346D5" w:rsidRPr="00A351FE">
        <w:rPr>
          <w:lang w:val="en-CA"/>
        </w:rPr>
        <w:t xml:space="preserve">s website do so directly by entering the name of the website in the address bar. In addition, several consumers stated that they </w:t>
      </w:r>
      <w:r w:rsidR="00B20A2C">
        <w:rPr>
          <w:lang w:val="en-CA"/>
        </w:rPr>
        <w:t>[</w:t>
      </w:r>
      <w:r w:rsidR="00B20A2C" w:rsidRPr="00275EDC">
        <w:rPr>
          <w:smallCaps/>
          <w:lang w:val="en-CA"/>
        </w:rPr>
        <w:t>translation</w:t>
      </w:r>
      <w:r w:rsidR="00B20A2C">
        <w:rPr>
          <w:lang w:val="en-CA"/>
        </w:rPr>
        <w:t>] “</w:t>
      </w:r>
      <w:r w:rsidR="001346D5" w:rsidRPr="00A351FE">
        <w:rPr>
          <w:lang w:val="en-CA"/>
        </w:rPr>
        <w:t xml:space="preserve">performed a search </w:t>
      </w:r>
      <w:r w:rsidR="00275EDC">
        <w:rPr>
          <w:lang w:val="en-CA"/>
        </w:rPr>
        <w:t>on</w:t>
      </w:r>
      <w:r w:rsidR="001346D5" w:rsidRPr="00A351FE">
        <w:rPr>
          <w:lang w:val="en-CA"/>
        </w:rPr>
        <w:t xml:space="preserve"> Google</w:t>
      </w:r>
      <w:r w:rsidR="00B20A2C">
        <w:rPr>
          <w:lang w:val="en-CA"/>
        </w:rPr>
        <w:t>”</w:t>
      </w:r>
      <w:r w:rsidR="001346D5" w:rsidRPr="00A351FE">
        <w:rPr>
          <w:lang w:val="en-CA"/>
        </w:rPr>
        <w:t xml:space="preserve"> and </w:t>
      </w:r>
      <w:r w:rsidR="00B20A2C">
        <w:rPr>
          <w:lang w:val="en-CA"/>
        </w:rPr>
        <w:t>[</w:t>
      </w:r>
      <w:r w:rsidR="00B20A2C" w:rsidRPr="00275EDC">
        <w:rPr>
          <w:smallCaps/>
          <w:lang w:val="en-CA"/>
        </w:rPr>
        <w:t>translation</w:t>
      </w:r>
      <w:r w:rsidR="00B20A2C">
        <w:rPr>
          <w:lang w:val="en-CA"/>
        </w:rPr>
        <w:t>] “</w:t>
      </w:r>
      <w:r w:rsidR="001346D5" w:rsidRPr="00A351FE">
        <w:rPr>
          <w:lang w:val="en-CA"/>
        </w:rPr>
        <w:t>ended up on Cabanons Fontaine</w:t>
      </w:r>
      <w:r w:rsidR="00B20A2C">
        <w:rPr>
          <w:lang w:val="en-CA"/>
        </w:rPr>
        <w:t>’s</w:t>
      </w:r>
      <w:r w:rsidR="001346D5" w:rsidRPr="00A351FE">
        <w:rPr>
          <w:lang w:val="en-CA"/>
        </w:rPr>
        <w:t xml:space="preserve"> website</w:t>
      </w:r>
      <w:r w:rsidR="00B20A2C">
        <w:rPr>
          <w:lang w:val="en-CA"/>
        </w:rPr>
        <w:t>”</w:t>
      </w:r>
      <w:r w:rsidR="001346D5" w:rsidRPr="00A351FE">
        <w:rPr>
          <w:lang w:val="en-CA"/>
        </w:rPr>
        <w:t xml:space="preserve"> (Exhibit P-18). </w:t>
      </w:r>
      <w:r w:rsidR="001346D5" w:rsidRPr="00A351FE">
        <w:t>See also</w:t>
      </w:r>
      <w:r w:rsidR="00BB757F">
        <w:t xml:space="preserve"> </w:t>
      </w:r>
      <w:r w:rsidRPr="00A351FE">
        <w:t xml:space="preserve">Jean-Philippe Mikus </w:t>
      </w:r>
      <w:r w:rsidR="001346D5" w:rsidRPr="00A351FE">
        <w:t>&amp;</w:t>
      </w:r>
      <w:r w:rsidRPr="00A351FE">
        <w:t xml:space="preserve"> Sébastien Roy, </w:t>
      </w:r>
      <w:r w:rsidRPr="00A351FE">
        <w:rPr>
          <w:i/>
          <w:iCs/>
        </w:rPr>
        <w:t>Choisir et protéger ses marques de commerce</w:t>
      </w:r>
      <w:r w:rsidR="001346D5" w:rsidRPr="00A351FE">
        <w:t xml:space="preserve"> (</w:t>
      </w:r>
      <w:r w:rsidRPr="00A351FE">
        <w:t>Cowansville</w:t>
      </w:r>
      <w:r w:rsidR="001346D5" w:rsidRPr="00A351FE">
        <w:t>:</w:t>
      </w:r>
      <w:r w:rsidRPr="00A351FE">
        <w:t xml:space="preserve"> Éditions Yvon Blais, 2010</w:t>
      </w:r>
      <w:r w:rsidR="001346D5" w:rsidRPr="00A351FE">
        <w:t>)</w:t>
      </w:r>
      <w:r w:rsidRPr="00A351FE">
        <w:t xml:space="preserve"> </w:t>
      </w:r>
      <w:r w:rsidR="001346D5" w:rsidRPr="00A351FE">
        <w:t>at</w:t>
      </w:r>
      <w:r w:rsidRPr="00A351FE">
        <w:t> 242.</w:t>
      </w:r>
    </w:p>
  </w:footnote>
  <w:footnote w:id="40">
    <w:p w14:paraId="558817CE" w14:textId="77777777" w:rsidR="001346D5" w:rsidRPr="00A351FE" w:rsidRDefault="001346D5" w:rsidP="001346D5">
      <w:pPr>
        <w:pStyle w:val="Notedebasdepage"/>
        <w:rPr>
          <w:lang w:val="en-CA"/>
        </w:rPr>
      </w:pPr>
      <w:r w:rsidRPr="00A351FE">
        <w:rPr>
          <w:rStyle w:val="Appelnotedebasdep"/>
          <w:lang w:val="en-CA"/>
        </w:rPr>
        <w:footnoteRef/>
      </w:r>
      <w:r w:rsidRPr="00A351FE">
        <w:rPr>
          <w:lang w:val="en-CA"/>
        </w:rPr>
        <w:t xml:space="preserve"> </w:t>
      </w:r>
      <w:r w:rsidRPr="00A351FE">
        <w:rPr>
          <w:lang w:val="en-CA"/>
        </w:rPr>
        <w:tab/>
        <w:t>Exhibit P-10.</w:t>
      </w:r>
    </w:p>
  </w:footnote>
  <w:footnote w:id="41">
    <w:p w14:paraId="61063025" w14:textId="77777777" w:rsidR="001346D5" w:rsidRPr="00A351FE" w:rsidRDefault="001346D5" w:rsidP="001346D5">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lang w:val="en-CA"/>
        </w:rPr>
        <w:t>Masterpiece, supra</w:t>
      </w:r>
      <w:r w:rsidRPr="00A351FE">
        <w:rPr>
          <w:lang w:val="en-CA"/>
        </w:rPr>
        <w:t xml:space="preserve"> note 25 at paras</w:t>
      </w:r>
      <w:r w:rsidR="00B20A2C">
        <w:rPr>
          <w:lang w:val="en-CA"/>
        </w:rPr>
        <w:t>.</w:t>
      </w:r>
      <w:r w:rsidRPr="00A351FE">
        <w:rPr>
          <w:lang w:val="en-CA"/>
        </w:rPr>
        <w:t> 71</w:t>
      </w:r>
      <w:r w:rsidR="00B20A2C">
        <w:rPr>
          <w:lang w:val="en-CA"/>
        </w:rPr>
        <w:sym w:font="Symbol" w:char="F02D"/>
      </w:r>
      <w:r w:rsidRPr="00A351FE">
        <w:rPr>
          <w:lang w:val="en-CA"/>
        </w:rPr>
        <w:t>73.</w:t>
      </w:r>
    </w:p>
  </w:footnote>
  <w:footnote w:id="42">
    <w:p w14:paraId="4571F460" w14:textId="77777777" w:rsidR="007732BD" w:rsidRPr="00A351FE" w:rsidRDefault="007732BD" w:rsidP="007732BD">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Canada Bread</w:t>
      </w:r>
      <w:r w:rsidRPr="00A351FE">
        <w:rPr>
          <w:lang w:val="en-CA"/>
        </w:rPr>
        <w:t xml:space="preserve">, </w:t>
      </w:r>
      <w:r w:rsidRPr="00A351FE">
        <w:rPr>
          <w:i/>
          <w:lang w:val="en-CA"/>
        </w:rPr>
        <w:t>supra</w:t>
      </w:r>
      <w:r w:rsidRPr="00A351FE">
        <w:rPr>
          <w:lang w:val="en-CA"/>
        </w:rPr>
        <w:t xml:space="preserve"> note 14 at para</w:t>
      </w:r>
      <w:r w:rsidR="00B20A2C">
        <w:rPr>
          <w:lang w:val="en-CA"/>
        </w:rPr>
        <w:t>.</w:t>
      </w:r>
      <w:r w:rsidRPr="00A351FE">
        <w:rPr>
          <w:lang w:val="en-CA"/>
        </w:rPr>
        <w:t xml:space="preserve"> 61; </w:t>
      </w:r>
      <w:r w:rsidRPr="00A351FE">
        <w:rPr>
          <w:i/>
          <w:iCs/>
          <w:lang w:val="en-CA"/>
        </w:rPr>
        <w:t>Montréal Auto Prix</w:t>
      </w:r>
      <w:r w:rsidRPr="00A351FE">
        <w:rPr>
          <w:lang w:val="en-CA"/>
        </w:rPr>
        <w:t xml:space="preserve">, </w:t>
      </w:r>
      <w:r w:rsidRPr="00A351FE">
        <w:rPr>
          <w:i/>
          <w:lang w:val="en-CA"/>
        </w:rPr>
        <w:t>supra</w:t>
      </w:r>
      <w:r w:rsidRPr="00A351FE">
        <w:rPr>
          <w:lang w:val="en-CA"/>
        </w:rPr>
        <w:t xml:space="preserve"> note 15 at paras</w:t>
      </w:r>
      <w:r w:rsidR="00B20A2C">
        <w:rPr>
          <w:lang w:val="en-CA"/>
        </w:rPr>
        <w:t>.</w:t>
      </w:r>
      <w:r w:rsidRPr="00A351FE">
        <w:rPr>
          <w:lang w:val="en-CA"/>
        </w:rPr>
        <w:t xml:space="preserve"> 42, 44.</w:t>
      </w:r>
    </w:p>
  </w:footnote>
  <w:footnote w:id="43">
    <w:p w14:paraId="3FB8E728" w14:textId="77777777" w:rsidR="007732BD" w:rsidRPr="00A351FE" w:rsidRDefault="007732BD" w:rsidP="007732BD">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 xml:space="preserve">National Ballet School, </w:t>
      </w:r>
      <w:r w:rsidRPr="00A351FE">
        <w:rPr>
          <w:i/>
          <w:lang w:val="en-CA"/>
        </w:rPr>
        <w:t>supra</w:t>
      </w:r>
      <w:r w:rsidRPr="00A351FE">
        <w:rPr>
          <w:lang w:val="en-CA"/>
        </w:rPr>
        <w:t xml:space="preserve"> note 22 at para</w:t>
      </w:r>
      <w:r w:rsidR="00B20A2C">
        <w:rPr>
          <w:lang w:val="en-CA"/>
        </w:rPr>
        <w:t>.</w:t>
      </w:r>
      <w:r w:rsidRPr="00A351FE">
        <w:rPr>
          <w:lang w:val="en-CA"/>
        </w:rPr>
        <w:t xml:space="preserve"> 28; </w:t>
      </w:r>
      <w:r w:rsidRPr="00A351FE">
        <w:rPr>
          <w:i/>
          <w:iCs/>
          <w:lang w:val="en-CA"/>
        </w:rPr>
        <w:t xml:space="preserve">Vancouver Community College, </w:t>
      </w:r>
      <w:r w:rsidRPr="00A351FE">
        <w:rPr>
          <w:i/>
          <w:lang w:val="en-CA"/>
        </w:rPr>
        <w:t>supra</w:t>
      </w:r>
      <w:r w:rsidRPr="00A351FE">
        <w:rPr>
          <w:lang w:val="en-CA"/>
        </w:rPr>
        <w:t xml:space="preserve"> note 33 at para</w:t>
      </w:r>
      <w:r w:rsidR="0090598C">
        <w:rPr>
          <w:lang w:val="en-CA"/>
        </w:rPr>
        <w:t>.</w:t>
      </w:r>
      <w:r w:rsidRPr="00A351FE">
        <w:rPr>
          <w:lang w:val="en-CA"/>
        </w:rPr>
        <w:t> 75.</w:t>
      </w:r>
    </w:p>
  </w:footnote>
  <w:footnote w:id="44">
    <w:p w14:paraId="3388D308" w14:textId="77777777" w:rsidR="007732BD" w:rsidRPr="00A351FE" w:rsidRDefault="007732BD" w:rsidP="007732BD">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iCs/>
          <w:lang w:val="en-CA"/>
        </w:rPr>
        <w:t>Canada Bread</w:t>
      </w:r>
      <w:r w:rsidRPr="00A351FE">
        <w:rPr>
          <w:lang w:val="en-CA"/>
        </w:rPr>
        <w:t xml:space="preserve">, </w:t>
      </w:r>
      <w:r w:rsidRPr="00A351FE">
        <w:rPr>
          <w:i/>
          <w:lang w:val="en-CA"/>
        </w:rPr>
        <w:t>supra</w:t>
      </w:r>
      <w:r w:rsidRPr="00A351FE">
        <w:rPr>
          <w:lang w:val="en-CA"/>
        </w:rPr>
        <w:t xml:space="preserve"> note 14 at para</w:t>
      </w:r>
      <w:r w:rsidR="0090598C">
        <w:rPr>
          <w:lang w:val="en-CA"/>
        </w:rPr>
        <w:t>.</w:t>
      </w:r>
      <w:r w:rsidRPr="00A351FE">
        <w:rPr>
          <w:lang w:val="en-CA"/>
        </w:rPr>
        <w:t xml:space="preserve"> 60. See also </w:t>
      </w:r>
      <w:r w:rsidRPr="00A351FE">
        <w:rPr>
          <w:i/>
          <w:iCs/>
          <w:lang w:val="en-CA"/>
        </w:rPr>
        <w:t>Nissan Canada Inc</w:t>
      </w:r>
      <w:r w:rsidRPr="00A351FE">
        <w:rPr>
          <w:lang w:val="en-CA"/>
        </w:rPr>
        <w:t xml:space="preserve">. </w:t>
      </w:r>
      <w:r w:rsidRPr="00A351FE">
        <w:rPr>
          <w:i/>
          <w:iCs/>
          <w:lang w:val="en-CA"/>
        </w:rPr>
        <w:t>v.</w:t>
      </w:r>
      <w:r w:rsidRPr="00A351FE">
        <w:rPr>
          <w:lang w:val="en-CA"/>
        </w:rPr>
        <w:t xml:space="preserve"> </w:t>
      </w:r>
      <w:r w:rsidRPr="00A351FE">
        <w:rPr>
          <w:i/>
          <w:iCs/>
          <w:lang w:val="en-CA"/>
        </w:rPr>
        <w:t>BMW Canada Inc</w:t>
      </w:r>
      <w:r w:rsidRPr="00A351FE">
        <w:rPr>
          <w:lang w:val="en-CA"/>
        </w:rPr>
        <w:t>., 2007 FCA 255 at para</w:t>
      </w:r>
      <w:r w:rsidR="0090598C">
        <w:rPr>
          <w:lang w:val="en-CA"/>
        </w:rPr>
        <w:t>.</w:t>
      </w:r>
      <w:r w:rsidRPr="00A351FE">
        <w:rPr>
          <w:lang w:val="en-CA"/>
        </w:rPr>
        <w:t> 37.</w:t>
      </w:r>
    </w:p>
  </w:footnote>
  <w:footnote w:id="45">
    <w:p w14:paraId="2314AA28" w14:textId="77777777" w:rsidR="00363EED" w:rsidRPr="00A351FE" w:rsidRDefault="00363EED" w:rsidP="00363EED">
      <w:pPr>
        <w:pStyle w:val="Notedebasdepage"/>
        <w:rPr>
          <w:lang w:val="en-CA"/>
        </w:rPr>
      </w:pPr>
      <w:r w:rsidRPr="00A351FE">
        <w:rPr>
          <w:rStyle w:val="Appelnotedebasdep"/>
          <w:lang w:val="en-CA"/>
        </w:rPr>
        <w:footnoteRef/>
      </w:r>
      <w:r w:rsidRPr="00A351FE">
        <w:rPr>
          <w:lang w:val="en-CA"/>
        </w:rPr>
        <w:t xml:space="preserve"> </w:t>
      </w:r>
      <w:r w:rsidRPr="00A351FE">
        <w:rPr>
          <w:lang w:val="en-CA"/>
        </w:rPr>
        <w:tab/>
        <w:t xml:space="preserve">Testimony of Josée Lachance, </w:t>
      </w:r>
      <w:r w:rsidR="0090598C">
        <w:rPr>
          <w:lang w:val="en-CA"/>
        </w:rPr>
        <w:t xml:space="preserve">17 </w:t>
      </w:r>
      <w:r w:rsidRPr="00A351FE">
        <w:rPr>
          <w:lang w:val="en-CA"/>
        </w:rPr>
        <w:t>February 2020, at 137.</w:t>
      </w:r>
    </w:p>
  </w:footnote>
  <w:footnote w:id="46">
    <w:p w14:paraId="6AD0889C" w14:textId="77777777" w:rsidR="00363EED" w:rsidRPr="00A351FE" w:rsidRDefault="00363EED" w:rsidP="00363EED">
      <w:pPr>
        <w:pStyle w:val="Notedebasdepage"/>
        <w:rPr>
          <w:lang w:val="en-CA"/>
        </w:rPr>
      </w:pPr>
      <w:r w:rsidRPr="00A351FE">
        <w:rPr>
          <w:rStyle w:val="Appelnotedebasdep"/>
          <w:lang w:val="en-CA"/>
        </w:rPr>
        <w:footnoteRef/>
      </w:r>
      <w:r w:rsidRPr="00A351FE">
        <w:rPr>
          <w:lang w:val="en-CA"/>
        </w:rPr>
        <w:t xml:space="preserve"> </w:t>
      </w:r>
      <w:r w:rsidRPr="00A351FE">
        <w:rPr>
          <w:lang w:val="en-CA"/>
        </w:rPr>
        <w:tab/>
      </w:r>
      <w:r w:rsidRPr="00A351FE">
        <w:rPr>
          <w:i/>
          <w:lang w:val="en-CA"/>
        </w:rPr>
        <w:t>Apotex, supra</w:t>
      </w:r>
      <w:r w:rsidRPr="00A351FE">
        <w:rPr>
          <w:lang w:val="en-CA"/>
        </w:rPr>
        <w:t xml:space="preserve"> note 3 at para</w:t>
      </w:r>
      <w:r w:rsidR="0090598C">
        <w:rPr>
          <w:lang w:val="en-CA"/>
        </w:rPr>
        <w:t>.</w:t>
      </w:r>
      <w:r w:rsidRPr="00A351FE">
        <w:rPr>
          <w:lang w:val="en-CA"/>
        </w:rPr>
        <w:t> 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E654" w14:textId="77777777" w:rsidR="00911C36" w:rsidRDefault="00911C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AE85" w14:textId="77777777" w:rsidR="005110B7" w:rsidRDefault="005110B7">
    <w:pPr>
      <w:tabs>
        <w:tab w:val="center" w:pos="4709"/>
        <w:tab w:val="right" w:pos="9360"/>
      </w:tabs>
      <w:spacing w:line="360" w:lineRule="auto"/>
      <w:ind w:right="524"/>
    </w:pPr>
    <w:r>
      <w:t>500-09-029038-205</w:t>
    </w:r>
    <w:r w:rsidRPr="007462D6">
      <w:t xml:space="preserve"> </w:t>
    </w:r>
    <w:r>
      <w:tab/>
    </w:r>
    <w:r>
      <w:tab/>
      <w:t xml:space="preserve">PAGE : </w:t>
    </w:r>
    <w:r>
      <w:fldChar w:fldCharType="begin"/>
    </w:r>
    <w:r>
      <w:instrText xml:space="preserve"> PAGE </w:instrText>
    </w:r>
    <w:r>
      <w:fldChar w:fldCharType="separate"/>
    </w:r>
    <w:r w:rsidR="00580C50">
      <w:rPr>
        <w:noProof/>
      </w:rPr>
      <w:t>2</w:t>
    </w:r>
    <w:r>
      <w:fldChar w:fldCharType="end"/>
    </w:r>
  </w:p>
  <w:p w14:paraId="7CE9118F" w14:textId="77777777" w:rsidR="009F00CA" w:rsidRDefault="009F00CA">
    <w:pPr>
      <w:tabs>
        <w:tab w:val="center" w:pos="4709"/>
        <w:tab w:val="right" w:pos="9360"/>
      </w:tabs>
      <w:spacing w:line="360" w:lineRule="auto"/>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7966" w14:textId="77777777" w:rsidR="00911C36" w:rsidRDefault="00911C3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B69D" w14:textId="77777777" w:rsidR="007E33E4" w:rsidRDefault="004F41AC" w:rsidP="00DB2119">
    <w:pPr>
      <w:tabs>
        <w:tab w:val="center" w:pos="4709"/>
        <w:tab w:val="right" w:pos="9360"/>
      </w:tabs>
      <w:spacing w:line="360" w:lineRule="auto"/>
      <w:ind w:right="524"/>
    </w:pPr>
    <w:bookmarkStart w:id="13" w:name="EntDossier"/>
    <w:r>
      <w:t>500-09-029038-205</w:t>
    </w:r>
    <w:bookmarkEnd w:id="13"/>
    <w:r w:rsidR="007E33E4" w:rsidRPr="007462D6">
      <w:t xml:space="preserve"> </w:t>
    </w:r>
    <w:r w:rsidR="007E33E4">
      <w:tab/>
    </w:r>
    <w:r w:rsidR="007E33E4">
      <w:tab/>
      <w:t xml:space="preserve">PAGE: </w:t>
    </w:r>
    <w:r w:rsidR="007E33E4">
      <w:fldChar w:fldCharType="begin"/>
    </w:r>
    <w:r w:rsidR="007E33E4">
      <w:instrText xml:space="preserve"> PAGE </w:instrText>
    </w:r>
    <w:r w:rsidR="007E33E4">
      <w:fldChar w:fldCharType="separate"/>
    </w:r>
    <w:r w:rsidR="00580C50">
      <w:rPr>
        <w:noProof/>
      </w:rPr>
      <w:t>3</w:t>
    </w:r>
    <w:r w:rsidR="007E33E4">
      <w:fldChar w:fldCharType="end"/>
    </w:r>
  </w:p>
  <w:p w14:paraId="030F78CF"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6219A"/>
    <w:multiLevelType w:val="hybridMultilevel"/>
    <w:tmpl w:val="120A83B8"/>
    <w:lvl w:ilvl="0" w:tplc="957C5562">
      <w:start w:val="1"/>
      <w:numFmt w:val="decimal"/>
      <w:lvlText w:val="%1."/>
      <w:lvlJc w:val="left"/>
      <w:pPr>
        <w:ind w:left="1080" w:hanging="360"/>
      </w:pPr>
      <w:rPr>
        <w:rFonts w:hint="default"/>
      </w:r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379623568">
    <w:abstractNumId w:val="13"/>
  </w:num>
  <w:num w:numId="2" w16cid:durableId="1972321953">
    <w:abstractNumId w:val="13"/>
  </w:num>
  <w:num w:numId="3" w16cid:durableId="1555777695">
    <w:abstractNumId w:val="13"/>
  </w:num>
  <w:num w:numId="4" w16cid:durableId="1204057541">
    <w:abstractNumId w:val="8"/>
  </w:num>
  <w:num w:numId="5" w16cid:durableId="1211846592">
    <w:abstractNumId w:val="3"/>
  </w:num>
  <w:num w:numId="6" w16cid:durableId="1138493397">
    <w:abstractNumId w:val="2"/>
  </w:num>
  <w:num w:numId="7" w16cid:durableId="919219061">
    <w:abstractNumId w:val="1"/>
  </w:num>
  <w:num w:numId="8" w16cid:durableId="1466004280">
    <w:abstractNumId w:val="0"/>
  </w:num>
  <w:num w:numId="9" w16cid:durableId="1902016912">
    <w:abstractNumId w:val="9"/>
  </w:num>
  <w:num w:numId="10" w16cid:durableId="1345353466">
    <w:abstractNumId w:val="7"/>
  </w:num>
  <w:num w:numId="11" w16cid:durableId="360016102">
    <w:abstractNumId w:val="6"/>
  </w:num>
  <w:num w:numId="12" w16cid:durableId="65303474">
    <w:abstractNumId w:val="5"/>
  </w:num>
  <w:num w:numId="13" w16cid:durableId="1319461511">
    <w:abstractNumId w:val="4"/>
  </w:num>
  <w:num w:numId="14" w16cid:durableId="601840653">
    <w:abstractNumId w:val="13"/>
  </w:num>
  <w:num w:numId="15" w16cid:durableId="394742802">
    <w:abstractNumId w:val="13"/>
  </w:num>
  <w:num w:numId="16" w16cid:durableId="182481056">
    <w:abstractNumId w:val="13"/>
  </w:num>
  <w:num w:numId="17" w16cid:durableId="1799639914">
    <w:abstractNumId w:val="12"/>
  </w:num>
  <w:num w:numId="18" w16cid:durableId="1564561104">
    <w:abstractNumId w:val="11"/>
  </w:num>
  <w:num w:numId="19" w16cid:durableId="1114250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Moves/>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inNBChoix" w:val="3"/>
    <w:docVar w:name="MotifJuge1" w:val="MOTIFS DU JUGE"/>
    <w:docVar w:name="MotifJuge2" w:val="MOTIFS DU JUGE"/>
    <w:docVar w:name="MotifJuge3" w:val="MOTIFS DU JUGE"/>
    <w:docVar w:name="NomFamJuge1" w:val="SCHRAGER"/>
    <w:docVar w:name="NomFamJuge2" w:val="HAMILTON"/>
    <w:docVar w:name="NomFamJuge3" w:val="COURNOYER"/>
    <w:docVar w:name="NomFamJuge4" w:val="MAILHOT"/>
    <w:docVar w:name="NomFamJuge5" w:val="BAUDOUIN"/>
    <w:docVar w:name="QteJuge1" w:val=", J.C.A."/>
    <w:docVar w:name="QteJuge2" w:val=", J.C.A."/>
    <w:docVar w:name="QteJuge3" w:val=", J.C.A."/>
    <w:docVar w:name="stPremiereFois" w:val="Non"/>
  </w:docVars>
  <w:rsids>
    <w:rsidRoot w:val="004F41AC"/>
    <w:rsid w:val="000056E6"/>
    <w:rsid w:val="000123FE"/>
    <w:rsid w:val="000131E1"/>
    <w:rsid w:val="0002511C"/>
    <w:rsid w:val="0002618F"/>
    <w:rsid w:val="000302C8"/>
    <w:rsid w:val="000312AD"/>
    <w:rsid w:val="0004394C"/>
    <w:rsid w:val="000467B8"/>
    <w:rsid w:val="00053691"/>
    <w:rsid w:val="000A7341"/>
    <w:rsid w:val="000A7516"/>
    <w:rsid w:val="000B42AF"/>
    <w:rsid w:val="000D545C"/>
    <w:rsid w:val="000D6EA6"/>
    <w:rsid w:val="00110B53"/>
    <w:rsid w:val="00112321"/>
    <w:rsid w:val="00117914"/>
    <w:rsid w:val="0013028C"/>
    <w:rsid w:val="00134176"/>
    <w:rsid w:val="001346D5"/>
    <w:rsid w:val="0013537E"/>
    <w:rsid w:val="0015610F"/>
    <w:rsid w:val="00160B31"/>
    <w:rsid w:val="0017082A"/>
    <w:rsid w:val="001710A6"/>
    <w:rsid w:val="001720B9"/>
    <w:rsid w:val="00180C32"/>
    <w:rsid w:val="00181F56"/>
    <w:rsid w:val="00187E37"/>
    <w:rsid w:val="00190FA7"/>
    <w:rsid w:val="001972F2"/>
    <w:rsid w:val="001C0128"/>
    <w:rsid w:val="001D02B5"/>
    <w:rsid w:val="001F5C61"/>
    <w:rsid w:val="00205DC4"/>
    <w:rsid w:val="00210516"/>
    <w:rsid w:val="0021548E"/>
    <w:rsid w:val="00226084"/>
    <w:rsid w:val="002273F5"/>
    <w:rsid w:val="00244C90"/>
    <w:rsid w:val="002667C3"/>
    <w:rsid w:val="00275EDC"/>
    <w:rsid w:val="00296589"/>
    <w:rsid w:val="00296E21"/>
    <w:rsid w:val="002B1CF4"/>
    <w:rsid w:val="002B4A07"/>
    <w:rsid w:val="002C2ADD"/>
    <w:rsid w:val="002C4107"/>
    <w:rsid w:val="002C7B7C"/>
    <w:rsid w:val="002D1E95"/>
    <w:rsid w:val="002D50E3"/>
    <w:rsid w:val="002E229C"/>
    <w:rsid w:val="002E2ED5"/>
    <w:rsid w:val="002E391D"/>
    <w:rsid w:val="002E51F1"/>
    <w:rsid w:val="002E7675"/>
    <w:rsid w:val="002F1350"/>
    <w:rsid w:val="002F6136"/>
    <w:rsid w:val="003114A8"/>
    <w:rsid w:val="00322DE0"/>
    <w:rsid w:val="0032363D"/>
    <w:rsid w:val="00327EB5"/>
    <w:rsid w:val="00331607"/>
    <w:rsid w:val="0033190E"/>
    <w:rsid w:val="00361325"/>
    <w:rsid w:val="00363EED"/>
    <w:rsid w:val="00373A78"/>
    <w:rsid w:val="00374888"/>
    <w:rsid w:val="00374E40"/>
    <w:rsid w:val="003B4421"/>
    <w:rsid w:val="003C39EB"/>
    <w:rsid w:val="003D1E7D"/>
    <w:rsid w:val="003D487D"/>
    <w:rsid w:val="003E3239"/>
    <w:rsid w:val="003E3E3C"/>
    <w:rsid w:val="003F57C4"/>
    <w:rsid w:val="00410008"/>
    <w:rsid w:val="00423DF1"/>
    <w:rsid w:val="00430C58"/>
    <w:rsid w:val="00432518"/>
    <w:rsid w:val="004331C4"/>
    <w:rsid w:val="0043564D"/>
    <w:rsid w:val="00441C25"/>
    <w:rsid w:val="00446452"/>
    <w:rsid w:val="004511B4"/>
    <w:rsid w:val="004522B3"/>
    <w:rsid w:val="00472DC8"/>
    <w:rsid w:val="00473533"/>
    <w:rsid w:val="004802EC"/>
    <w:rsid w:val="00480941"/>
    <w:rsid w:val="004A0359"/>
    <w:rsid w:val="004A29F1"/>
    <w:rsid w:val="004A6641"/>
    <w:rsid w:val="004B1E94"/>
    <w:rsid w:val="004B33FF"/>
    <w:rsid w:val="004D0872"/>
    <w:rsid w:val="004D2F69"/>
    <w:rsid w:val="004D7F9F"/>
    <w:rsid w:val="004E1847"/>
    <w:rsid w:val="004E4AF7"/>
    <w:rsid w:val="004E4FBA"/>
    <w:rsid w:val="004E5B6A"/>
    <w:rsid w:val="004E5C4B"/>
    <w:rsid w:val="004F41AC"/>
    <w:rsid w:val="005110B7"/>
    <w:rsid w:val="0051212A"/>
    <w:rsid w:val="005131F1"/>
    <w:rsid w:val="0051484F"/>
    <w:rsid w:val="00516B3E"/>
    <w:rsid w:val="00521323"/>
    <w:rsid w:val="005226E0"/>
    <w:rsid w:val="005262C9"/>
    <w:rsid w:val="00531D70"/>
    <w:rsid w:val="00536FE9"/>
    <w:rsid w:val="00566BF6"/>
    <w:rsid w:val="005757B2"/>
    <w:rsid w:val="00575FC0"/>
    <w:rsid w:val="00580C50"/>
    <w:rsid w:val="00583434"/>
    <w:rsid w:val="0058349F"/>
    <w:rsid w:val="005A02C5"/>
    <w:rsid w:val="005A78BF"/>
    <w:rsid w:val="005B6B4C"/>
    <w:rsid w:val="005C05D1"/>
    <w:rsid w:val="005C31D6"/>
    <w:rsid w:val="005C7516"/>
    <w:rsid w:val="005D1522"/>
    <w:rsid w:val="005E1975"/>
    <w:rsid w:val="005F4969"/>
    <w:rsid w:val="005F5F5F"/>
    <w:rsid w:val="005F6FD3"/>
    <w:rsid w:val="00624770"/>
    <w:rsid w:val="00625427"/>
    <w:rsid w:val="00625C09"/>
    <w:rsid w:val="00626CCA"/>
    <w:rsid w:val="0064128B"/>
    <w:rsid w:val="0064250B"/>
    <w:rsid w:val="006726B8"/>
    <w:rsid w:val="006826AA"/>
    <w:rsid w:val="0068356A"/>
    <w:rsid w:val="0068618A"/>
    <w:rsid w:val="0069445E"/>
    <w:rsid w:val="006A0DB0"/>
    <w:rsid w:val="006A6629"/>
    <w:rsid w:val="006C23CD"/>
    <w:rsid w:val="006D754D"/>
    <w:rsid w:val="006F26DF"/>
    <w:rsid w:val="006F301E"/>
    <w:rsid w:val="006F38A1"/>
    <w:rsid w:val="006F679E"/>
    <w:rsid w:val="0070757F"/>
    <w:rsid w:val="00723D58"/>
    <w:rsid w:val="00740A17"/>
    <w:rsid w:val="00743F5D"/>
    <w:rsid w:val="00745E63"/>
    <w:rsid w:val="007462D6"/>
    <w:rsid w:val="0074738B"/>
    <w:rsid w:val="00755853"/>
    <w:rsid w:val="0076062E"/>
    <w:rsid w:val="007654F0"/>
    <w:rsid w:val="007660A5"/>
    <w:rsid w:val="007732BD"/>
    <w:rsid w:val="00784593"/>
    <w:rsid w:val="007953F3"/>
    <w:rsid w:val="007A7803"/>
    <w:rsid w:val="007B3642"/>
    <w:rsid w:val="007B48D5"/>
    <w:rsid w:val="007D087C"/>
    <w:rsid w:val="007D5C0E"/>
    <w:rsid w:val="007E33E4"/>
    <w:rsid w:val="007E4CC9"/>
    <w:rsid w:val="007E682F"/>
    <w:rsid w:val="00800D23"/>
    <w:rsid w:val="00816273"/>
    <w:rsid w:val="008165D3"/>
    <w:rsid w:val="00825674"/>
    <w:rsid w:val="00826393"/>
    <w:rsid w:val="0082717B"/>
    <w:rsid w:val="008278A8"/>
    <w:rsid w:val="00827AAA"/>
    <w:rsid w:val="00827B04"/>
    <w:rsid w:val="0083032E"/>
    <w:rsid w:val="00841907"/>
    <w:rsid w:val="00846D82"/>
    <w:rsid w:val="00851E18"/>
    <w:rsid w:val="00857B93"/>
    <w:rsid w:val="0086036A"/>
    <w:rsid w:val="008653A3"/>
    <w:rsid w:val="008657A2"/>
    <w:rsid w:val="00866645"/>
    <w:rsid w:val="00867A95"/>
    <w:rsid w:val="00882210"/>
    <w:rsid w:val="00886902"/>
    <w:rsid w:val="00893586"/>
    <w:rsid w:val="008A6185"/>
    <w:rsid w:val="008C1FE9"/>
    <w:rsid w:val="008C56A3"/>
    <w:rsid w:val="008C7DCE"/>
    <w:rsid w:val="008D18FC"/>
    <w:rsid w:val="008D1D53"/>
    <w:rsid w:val="008D398B"/>
    <w:rsid w:val="008D5524"/>
    <w:rsid w:val="008D7E49"/>
    <w:rsid w:val="008F3298"/>
    <w:rsid w:val="008F364A"/>
    <w:rsid w:val="008F3F53"/>
    <w:rsid w:val="009004B3"/>
    <w:rsid w:val="0090598C"/>
    <w:rsid w:val="00906A3D"/>
    <w:rsid w:val="00911C36"/>
    <w:rsid w:val="00913E03"/>
    <w:rsid w:val="009229E9"/>
    <w:rsid w:val="00925E16"/>
    <w:rsid w:val="00926953"/>
    <w:rsid w:val="00936469"/>
    <w:rsid w:val="00936503"/>
    <w:rsid w:val="00937880"/>
    <w:rsid w:val="009400B7"/>
    <w:rsid w:val="00954DC2"/>
    <w:rsid w:val="00957B92"/>
    <w:rsid w:val="00970966"/>
    <w:rsid w:val="00974442"/>
    <w:rsid w:val="0098082A"/>
    <w:rsid w:val="009813B4"/>
    <w:rsid w:val="00985ED0"/>
    <w:rsid w:val="00994F8C"/>
    <w:rsid w:val="009D6D75"/>
    <w:rsid w:val="009E0102"/>
    <w:rsid w:val="009E121F"/>
    <w:rsid w:val="009F00CA"/>
    <w:rsid w:val="009F1F69"/>
    <w:rsid w:val="00A016CD"/>
    <w:rsid w:val="00A07F85"/>
    <w:rsid w:val="00A20A25"/>
    <w:rsid w:val="00A22C3F"/>
    <w:rsid w:val="00A23BF4"/>
    <w:rsid w:val="00A24409"/>
    <w:rsid w:val="00A2593B"/>
    <w:rsid w:val="00A34E05"/>
    <w:rsid w:val="00A351FE"/>
    <w:rsid w:val="00A42736"/>
    <w:rsid w:val="00A433C7"/>
    <w:rsid w:val="00A43D8B"/>
    <w:rsid w:val="00A454F1"/>
    <w:rsid w:val="00A505E2"/>
    <w:rsid w:val="00A543CC"/>
    <w:rsid w:val="00A65DCC"/>
    <w:rsid w:val="00A6796D"/>
    <w:rsid w:val="00A83ADA"/>
    <w:rsid w:val="00A84900"/>
    <w:rsid w:val="00A93CFF"/>
    <w:rsid w:val="00AB7DD2"/>
    <w:rsid w:val="00AC3F97"/>
    <w:rsid w:val="00AD0221"/>
    <w:rsid w:val="00AD274B"/>
    <w:rsid w:val="00AE3DF8"/>
    <w:rsid w:val="00AF0C7C"/>
    <w:rsid w:val="00B01D86"/>
    <w:rsid w:val="00B064DD"/>
    <w:rsid w:val="00B07E4E"/>
    <w:rsid w:val="00B10E8E"/>
    <w:rsid w:val="00B11FD1"/>
    <w:rsid w:val="00B137E9"/>
    <w:rsid w:val="00B20A2C"/>
    <w:rsid w:val="00B20C73"/>
    <w:rsid w:val="00B24A54"/>
    <w:rsid w:val="00B30EA2"/>
    <w:rsid w:val="00B36ED3"/>
    <w:rsid w:val="00B41974"/>
    <w:rsid w:val="00B513C9"/>
    <w:rsid w:val="00B56A49"/>
    <w:rsid w:val="00B56EF4"/>
    <w:rsid w:val="00B66C16"/>
    <w:rsid w:val="00B70485"/>
    <w:rsid w:val="00B7113A"/>
    <w:rsid w:val="00B8191B"/>
    <w:rsid w:val="00B82A13"/>
    <w:rsid w:val="00B87A98"/>
    <w:rsid w:val="00BB50F6"/>
    <w:rsid w:val="00BB5750"/>
    <w:rsid w:val="00BB757F"/>
    <w:rsid w:val="00BD1FFC"/>
    <w:rsid w:val="00BD37A3"/>
    <w:rsid w:val="00BD57F1"/>
    <w:rsid w:val="00BF128E"/>
    <w:rsid w:val="00BF345A"/>
    <w:rsid w:val="00C02AF8"/>
    <w:rsid w:val="00C05C7A"/>
    <w:rsid w:val="00C13A6E"/>
    <w:rsid w:val="00C17E01"/>
    <w:rsid w:val="00C3115B"/>
    <w:rsid w:val="00C317BA"/>
    <w:rsid w:val="00C31AC4"/>
    <w:rsid w:val="00C400A8"/>
    <w:rsid w:val="00C409BE"/>
    <w:rsid w:val="00C423CA"/>
    <w:rsid w:val="00C51E51"/>
    <w:rsid w:val="00C652ED"/>
    <w:rsid w:val="00C75517"/>
    <w:rsid w:val="00C7793C"/>
    <w:rsid w:val="00C82244"/>
    <w:rsid w:val="00C877B6"/>
    <w:rsid w:val="00C91CFF"/>
    <w:rsid w:val="00C939A8"/>
    <w:rsid w:val="00C97145"/>
    <w:rsid w:val="00CA0118"/>
    <w:rsid w:val="00CA6AED"/>
    <w:rsid w:val="00CB3896"/>
    <w:rsid w:val="00CE22C0"/>
    <w:rsid w:val="00D010FD"/>
    <w:rsid w:val="00D02812"/>
    <w:rsid w:val="00D029D6"/>
    <w:rsid w:val="00D03AC5"/>
    <w:rsid w:val="00D15946"/>
    <w:rsid w:val="00D20056"/>
    <w:rsid w:val="00D30E59"/>
    <w:rsid w:val="00D51464"/>
    <w:rsid w:val="00D55D2C"/>
    <w:rsid w:val="00D561FE"/>
    <w:rsid w:val="00D67BF2"/>
    <w:rsid w:val="00D8260F"/>
    <w:rsid w:val="00D83EC3"/>
    <w:rsid w:val="00D91F46"/>
    <w:rsid w:val="00DA2CC1"/>
    <w:rsid w:val="00DA3BDE"/>
    <w:rsid w:val="00DA7C10"/>
    <w:rsid w:val="00DB2119"/>
    <w:rsid w:val="00DC05BC"/>
    <w:rsid w:val="00DC2C09"/>
    <w:rsid w:val="00DC3AC3"/>
    <w:rsid w:val="00DC56DF"/>
    <w:rsid w:val="00DD3A24"/>
    <w:rsid w:val="00DE6F2C"/>
    <w:rsid w:val="00DF3516"/>
    <w:rsid w:val="00E03C07"/>
    <w:rsid w:val="00E05257"/>
    <w:rsid w:val="00E05496"/>
    <w:rsid w:val="00E07C40"/>
    <w:rsid w:val="00E170B0"/>
    <w:rsid w:val="00E20E3C"/>
    <w:rsid w:val="00E22142"/>
    <w:rsid w:val="00E36290"/>
    <w:rsid w:val="00E364F9"/>
    <w:rsid w:val="00E45F03"/>
    <w:rsid w:val="00E528B1"/>
    <w:rsid w:val="00E63A37"/>
    <w:rsid w:val="00E81E61"/>
    <w:rsid w:val="00E848B4"/>
    <w:rsid w:val="00E85335"/>
    <w:rsid w:val="00E91417"/>
    <w:rsid w:val="00E94329"/>
    <w:rsid w:val="00EB1377"/>
    <w:rsid w:val="00EB1C65"/>
    <w:rsid w:val="00EB2476"/>
    <w:rsid w:val="00EC1E33"/>
    <w:rsid w:val="00ED6777"/>
    <w:rsid w:val="00EE2974"/>
    <w:rsid w:val="00EF70A5"/>
    <w:rsid w:val="00F07022"/>
    <w:rsid w:val="00F10504"/>
    <w:rsid w:val="00F10839"/>
    <w:rsid w:val="00F1119E"/>
    <w:rsid w:val="00F15A43"/>
    <w:rsid w:val="00F33E30"/>
    <w:rsid w:val="00F35A34"/>
    <w:rsid w:val="00F40882"/>
    <w:rsid w:val="00F43559"/>
    <w:rsid w:val="00F47909"/>
    <w:rsid w:val="00F47DBE"/>
    <w:rsid w:val="00F5529D"/>
    <w:rsid w:val="00F5789B"/>
    <w:rsid w:val="00F75AAB"/>
    <w:rsid w:val="00F75C76"/>
    <w:rsid w:val="00F80ACD"/>
    <w:rsid w:val="00F86B90"/>
    <w:rsid w:val="00FC3342"/>
    <w:rsid w:val="00FC720B"/>
    <w:rsid w:val="00FE3FE9"/>
    <w:rsid w:val="00FE6233"/>
    <w:rsid w:val="00FE6A10"/>
    <w:rsid w:val="00FF01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41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3E3239"/>
    <w:rPr>
      <w:rFonts w:ascii="Segoe UI" w:hAnsi="Segoe UI" w:cs="Segoe UI"/>
      <w:sz w:val="18"/>
      <w:szCs w:val="18"/>
      <w:lang w:eastAsia="fr-FR"/>
    </w:rPr>
  </w:style>
  <w:style w:type="character" w:customStyle="1" w:styleId="ParagrapheCar">
    <w:name w:val="Paragraphe Car"/>
    <w:link w:val="Paragraphe"/>
    <w:rsid w:val="006C23CD"/>
    <w:rPr>
      <w:rFonts w:ascii="Arial" w:hAnsi="Arial"/>
      <w:kern w:val="28"/>
      <w:sz w:val="24"/>
      <w:lang w:eastAsia="fr-FR"/>
    </w:rPr>
  </w:style>
  <w:style w:type="character" w:customStyle="1" w:styleId="NotedebasdepageCar">
    <w:name w:val="Note de bas de page Car"/>
    <w:link w:val="Notedebasdepage"/>
    <w:semiHidden/>
    <w:rsid w:val="006C23CD"/>
    <w:rPr>
      <w:rFonts w:ascii="Arial" w:hAnsi="Arial"/>
      <w:lang w:eastAsia="fr-FR"/>
    </w:rPr>
  </w:style>
  <w:style w:type="character" w:customStyle="1" w:styleId="apple-converted-space">
    <w:name w:val="apple-converted-space"/>
    <w:basedOn w:val="Policepardfaut"/>
    <w:rsid w:val="00410008"/>
  </w:style>
  <w:style w:type="paragraph" w:styleId="Rvision">
    <w:name w:val="Revision"/>
    <w:hidden/>
    <w:uiPriority w:val="99"/>
    <w:semiHidden/>
    <w:rsid w:val="009813B4"/>
    <w:rPr>
      <w:rFonts w:ascii="Arial" w:hAnsi="Arial"/>
      <w:sz w:val="24"/>
      <w:lang w:eastAsia="fr-FR"/>
    </w:rPr>
  </w:style>
  <w:style w:type="character" w:styleId="Marquedecommentaire">
    <w:name w:val="annotation reference"/>
    <w:uiPriority w:val="99"/>
    <w:semiHidden/>
    <w:unhideWhenUsed/>
    <w:rsid w:val="00A83ADA"/>
    <w:rPr>
      <w:sz w:val="16"/>
      <w:szCs w:val="16"/>
    </w:rPr>
  </w:style>
  <w:style w:type="paragraph" w:styleId="Commentaire">
    <w:name w:val="annotation text"/>
    <w:basedOn w:val="Normal"/>
    <w:link w:val="CommentaireCar"/>
    <w:uiPriority w:val="99"/>
    <w:unhideWhenUsed/>
    <w:rsid w:val="00A83ADA"/>
    <w:pPr>
      <w:spacing w:line="240" w:lineRule="auto"/>
    </w:pPr>
    <w:rPr>
      <w:sz w:val="20"/>
    </w:rPr>
  </w:style>
  <w:style w:type="character" w:customStyle="1" w:styleId="CommentaireCar">
    <w:name w:val="Commentaire Car"/>
    <w:link w:val="Commentaire"/>
    <w:uiPriority w:val="99"/>
    <w:rsid w:val="00A83ADA"/>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A83ADA"/>
    <w:rPr>
      <w:b/>
      <w:bCs/>
    </w:rPr>
  </w:style>
  <w:style w:type="character" w:customStyle="1" w:styleId="ObjetducommentaireCar">
    <w:name w:val="Objet du commentaire Car"/>
    <w:link w:val="Objetducommentaire"/>
    <w:uiPriority w:val="99"/>
    <w:semiHidden/>
    <w:rsid w:val="00A83ADA"/>
    <w:rPr>
      <w:rFonts w:ascii="Arial" w:hAnsi="Arial"/>
      <w:b/>
      <w:bCs/>
      <w:lang w:eastAsia="fr-FR"/>
    </w:rPr>
  </w:style>
  <w:style w:type="character" w:styleId="Hyperlien">
    <w:name w:val="Hyperlink"/>
    <w:uiPriority w:val="99"/>
    <w:unhideWhenUsed/>
    <w:rsid w:val="00EB1C65"/>
    <w:rPr>
      <w:color w:val="0000FF"/>
      <w:u w:val="single"/>
    </w:rPr>
  </w:style>
  <w:style w:type="character" w:styleId="DfinitionHTML">
    <w:name w:val="HTML Definition"/>
    <w:uiPriority w:val="99"/>
    <w:semiHidden/>
    <w:unhideWhenUsed/>
    <w:rsid w:val="00A65DCC"/>
    <w:rPr>
      <w:i/>
      <w:iCs/>
    </w:rPr>
  </w:style>
  <w:style w:type="character" w:customStyle="1" w:styleId="definedtermlink">
    <w:name w:val="definedtermlink"/>
    <w:basedOn w:val="Policepardfaut"/>
    <w:rsid w:val="00A65DCC"/>
  </w:style>
  <w:style w:type="character" w:styleId="Mentionnonrsolue">
    <w:name w:val="Unresolved Mention"/>
    <w:uiPriority w:val="99"/>
    <w:semiHidden/>
    <w:unhideWhenUsed/>
    <w:rsid w:val="00031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164EB-4716-41BE-AE96-0F81A515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4382</Words>
  <Characters>24104</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2023-09-18T14:57:00Z</dcterms:created>
  <dcterms:modified xsi:type="dcterms:W3CDTF">2023-09-18T14:57:00Z</dcterms:modified>
</cp:coreProperties>
</file>