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D0F5" w14:textId="77777777" w:rsidR="00392FE1" w:rsidRPr="00B2562E" w:rsidRDefault="00392FE1" w:rsidP="00392FE1">
      <w:pPr>
        <w:pStyle w:val="zSoquijdatRepertorie"/>
        <w:rPr>
          <w:rFonts w:cs="Arial"/>
          <w:b w:val="0"/>
          <w:bCs/>
          <w:color w:val="000000"/>
          <w:szCs w:val="22"/>
        </w:rPr>
      </w:pPr>
      <w:r w:rsidRPr="00B2562E">
        <w:rPr>
          <w:rFonts w:cs="Arial"/>
          <w:b w:val="0"/>
          <w:bCs/>
          <w:color w:val="000000"/>
          <w:szCs w:val="22"/>
        </w:rPr>
        <w:t>Unofficial English Translation of the Judgment of the Court</w:t>
      </w:r>
    </w:p>
    <w:tbl>
      <w:tblPr>
        <w:tblW w:w="9621" w:type="dxa"/>
        <w:tblLayout w:type="fixed"/>
        <w:tblCellMar>
          <w:left w:w="0" w:type="dxa"/>
          <w:right w:w="0" w:type="dxa"/>
        </w:tblCellMar>
        <w:tblLook w:val="0000" w:firstRow="0" w:lastRow="0" w:firstColumn="0" w:lastColumn="0" w:noHBand="0" w:noVBand="0"/>
      </w:tblPr>
      <w:tblGrid>
        <w:gridCol w:w="1030"/>
        <w:gridCol w:w="671"/>
        <w:gridCol w:w="180"/>
        <w:gridCol w:w="2350"/>
        <w:gridCol w:w="3402"/>
        <w:gridCol w:w="1988"/>
      </w:tblGrid>
      <w:tr w:rsidR="008F364A" w:rsidRPr="00B2562E" w14:paraId="4970569C" w14:textId="77777777" w:rsidTr="00A4029E">
        <w:trPr>
          <w:trHeight w:val="248"/>
        </w:trPr>
        <w:tc>
          <w:tcPr>
            <w:tcW w:w="7633" w:type="dxa"/>
            <w:gridSpan w:val="5"/>
          </w:tcPr>
          <w:p w14:paraId="5B691408" w14:textId="533D7F90" w:rsidR="008F364A" w:rsidRPr="001335CE" w:rsidRDefault="00392FE1" w:rsidP="002E1FB7">
            <w:pPr>
              <w:pStyle w:val="zSoquijdatRepertorie"/>
              <w:rPr>
                <w:rFonts w:cs="Arial"/>
              </w:rPr>
            </w:pPr>
            <w:r>
              <w:rPr>
                <w:rFonts w:cs="Arial"/>
              </w:rPr>
              <w:t>Reyes c. R.</w:t>
            </w:r>
          </w:p>
        </w:tc>
        <w:tc>
          <w:tcPr>
            <w:tcW w:w="1988" w:type="dxa"/>
          </w:tcPr>
          <w:p w14:paraId="69324AE6" w14:textId="47267C70" w:rsidR="008F364A" w:rsidRPr="001335CE" w:rsidRDefault="00392FE1" w:rsidP="00B15ECB">
            <w:pPr>
              <w:pStyle w:val="zSoquijdatRefNeutre"/>
              <w:jc w:val="right"/>
              <w:rPr>
                <w:rFonts w:cs="Arial"/>
              </w:rPr>
            </w:pPr>
            <w:r>
              <w:rPr>
                <w:rFonts w:cs="Arial"/>
              </w:rPr>
              <w:t>2022 QCCA 1689</w:t>
            </w:r>
          </w:p>
        </w:tc>
      </w:tr>
      <w:tr w:rsidR="008F364A" w:rsidRPr="00B2562E" w14:paraId="1B7FE0CA" w14:textId="77777777" w:rsidTr="00A4029E">
        <w:trPr>
          <w:trHeight w:val="247"/>
        </w:trPr>
        <w:tc>
          <w:tcPr>
            <w:tcW w:w="9621" w:type="dxa"/>
            <w:gridSpan w:val="6"/>
          </w:tcPr>
          <w:p w14:paraId="75B77E94" w14:textId="47D36513" w:rsidR="008F364A" w:rsidRPr="00B2562E" w:rsidRDefault="00740A17">
            <w:pPr>
              <w:pStyle w:val="zSoquijlblCour"/>
            </w:pPr>
            <w:r w:rsidRPr="00B2562E">
              <w:t>COUR</w:t>
            </w:r>
            <w:r w:rsidR="00A4029E" w:rsidRPr="00B2562E">
              <w:t>T OF APPEAL</w:t>
            </w:r>
          </w:p>
        </w:tc>
      </w:tr>
      <w:tr w:rsidR="008F364A" w:rsidRPr="00B2562E" w14:paraId="7C0A2E73" w14:textId="77777777" w:rsidTr="00A4029E">
        <w:trPr>
          <w:trHeight w:val="540"/>
        </w:trPr>
        <w:tc>
          <w:tcPr>
            <w:tcW w:w="9621" w:type="dxa"/>
            <w:gridSpan w:val="6"/>
          </w:tcPr>
          <w:p w14:paraId="13DF63F3" w14:textId="77777777" w:rsidR="008F364A" w:rsidRPr="00B2562E" w:rsidRDefault="008F364A">
            <w:pPr>
              <w:pStyle w:val="zSoquijdatDivision"/>
            </w:pPr>
          </w:p>
        </w:tc>
      </w:tr>
      <w:tr w:rsidR="008F364A" w:rsidRPr="00B2562E" w14:paraId="2C6835FC" w14:textId="77777777" w:rsidTr="00A4029E">
        <w:tc>
          <w:tcPr>
            <w:tcW w:w="9621" w:type="dxa"/>
            <w:gridSpan w:val="6"/>
          </w:tcPr>
          <w:p w14:paraId="2DA4F56E" w14:textId="77777777" w:rsidR="008F364A" w:rsidRPr="00B2562E" w:rsidRDefault="00740A17">
            <w:pPr>
              <w:pStyle w:val="zSoquijlblPays"/>
            </w:pPr>
            <w:r w:rsidRPr="00B2562E">
              <w:t>CANADA</w:t>
            </w:r>
          </w:p>
        </w:tc>
      </w:tr>
      <w:tr w:rsidR="008F364A" w:rsidRPr="00B2562E" w14:paraId="534FE0B8" w14:textId="77777777" w:rsidTr="00A4029E">
        <w:tc>
          <w:tcPr>
            <w:tcW w:w="9621" w:type="dxa"/>
            <w:gridSpan w:val="6"/>
          </w:tcPr>
          <w:p w14:paraId="34EBC0CA" w14:textId="0435DA8E" w:rsidR="008F364A" w:rsidRPr="00B2562E" w:rsidRDefault="00740A17">
            <w:pPr>
              <w:pStyle w:val="zSoquijlblProvince"/>
            </w:pPr>
            <w:r w:rsidRPr="00B2562E">
              <w:t xml:space="preserve">PROVINCE </w:t>
            </w:r>
            <w:r w:rsidR="00A4029E" w:rsidRPr="00B2562E">
              <w:t>OF</w:t>
            </w:r>
            <w:r w:rsidRPr="00B2562E">
              <w:t xml:space="preserve"> QU</w:t>
            </w:r>
            <w:r w:rsidR="00A4029E" w:rsidRPr="00B2562E">
              <w:t>E</w:t>
            </w:r>
            <w:r w:rsidRPr="00B2562E">
              <w:t>BEC</w:t>
            </w:r>
          </w:p>
        </w:tc>
      </w:tr>
      <w:tr w:rsidR="008F364A" w:rsidRPr="00B2562E" w14:paraId="278A4E9D" w14:textId="77777777" w:rsidTr="00A4029E">
        <w:tc>
          <w:tcPr>
            <w:tcW w:w="1701" w:type="dxa"/>
            <w:gridSpan w:val="2"/>
          </w:tcPr>
          <w:p w14:paraId="3A6CDCCB" w14:textId="711032E7" w:rsidR="008F364A" w:rsidRPr="00B2562E" w:rsidRDefault="00A4029E">
            <w:pPr>
              <w:pStyle w:val="zSoquijlblGreffe"/>
            </w:pPr>
            <w:r w:rsidRPr="00B2562E">
              <w:t>REGISTRY OF</w:t>
            </w:r>
          </w:p>
          <w:p w14:paraId="7D5F2B70" w14:textId="77777777" w:rsidR="008F364A" w:rsidRPr="00B2562E" w:rsidRDefault="008F364A">
            <w:pPr>
              <w:pStyle w:val="zSoquijlblGreffe"/>
            </w:pPr>
          </w:p>
        </w:tc>
        <w:tc>
          <w:tcPr>
            <w:tcW w:w="7920" w:type="dxa"/>
            <w:gridSpan w:val="4"/>
          </w:tcPr>
          <w:p w14:paraId="471263C5" w14:textId="37EF0FF8" w:rsidR="008F364A" w:rsidRPr="00B2562E" w:rsidRDefault="00DA3A77">
            <w:pPr>
              <w:pStyle w:val="zSoquijdatGreffe"/>
            </w:pPr>
            <w:bookmarkStart w:id="0" w:name="NomGreffe"/>
            <w:r w:rsidRPr="00B2562E">
              <w:t>MONTR</w:t>
            </w:r>
            <w:r w:rsidR="00A4029E" w:rsidRPr="00B2562E">
              <w:t>E</w:t>
            </w:r>
            <w:r w:rsidRPr="00B2562E">
              <w:t>AL</w:t>
            </w:r>
            <w:bookmarkEnd w:id="0"/>
          </w:p>
        </w:tc>
      </w:tr>
      <w:tr w:rsidR="008F364A" w:rsidRPr="00B2562E" w14:paraId="7019969E" w14:textId="77777777" w:rsidTr="00A4029E">
        <w:tc>
          <w:tcPr>
            <w:tcW w:w="1030" w:type="dxa"/>
          </w:tcPr>
          <w:p w14:paraId="7FF6B2E6" w14:textId="3B3768A5" w:rsidR="008F364A" w:rsidRPr="00B2562E" w:rsidRDefault="00740A17">
            <w:pPr>
              <w:pStyle w:val="zSoquijlblNoDossier"/>
            </w:pPr>
            <w:r w:rsidRPr="00B2562E">
              <w:t>N</w:t>
            </w:r>
            <w:r w:rsidR="00A4029E" w:rsidRPr="00B2562E">
              <w:t>o.</w:t>
            </w:r>
            <w:r w:rsidRPr="00B2562E">
              <w:t>:</w:t>
            </w:r>
          </w:p>
        </w:tc>
        <w:tc>
          <w:tcPr>
            <w:tcW w:w="8591" w:type="dxa"/>
            <w:gridSpan w:val="5"/>
          </w:tcPr>
          <w:p w14:paraId="363A27E7" w14:textId="77777777" w:rsidR="008F364A" w:rsidRPr="00B2562E" w:rsidRDefault="00DA3A77">
            <w:pPr>
              <w:pStyle w:val="zSoquijdatNoDossier"/>
            </w:pPr>
            <w:bookmarkStart w:id="1" w:name="NoDossier"/>
            <w:r w:rsidRPr="00B2562E">
              <w:t>500-10-007465-204</w:t>
            </w:r>
            <w:bookmarkEnd w:id="1"/>
          </w:p>
        </w:tc>
      </w:tr>
      <w:tr w:rsidR="00DA3A77" w:rsidRPr="00B2562E" w14:paraId="374D8EE8" w14:textId="77777777" w:rsidTr="00A4029E">
        <w:tc>
          <w:tcPr>
            <w:tcW w:w="9621" w:type="dxa"/>
            <w:gridSpan w:val="6"/>
          </w:tcPr>
          <w:p w14:paraId="20B4131A" w14:textId="77777777" w:rsidR="00DA3A77" w:rsidRPr="00B2562E" w:rsidRDefault="00DA3A77" w:rsidP="00DA3A77">
            <w:pPr>
              <w:pStyle w:val="zSoquijdatNoDossierAnt"/>
            </w:pPr>
            <w:r w:rsidRPr="00B2562E">
              <w:t>(540-01-095607-209)</w:t>
            </w:r>
          </w:p>
        </w:tc>
      </w:tr>
      <w:tr w:rsidR="008F364A" w:rsidRPr="00B2562E" w14:paraId="2D35F34E" w14:textId="77777777" w:rsidTr="00A4029E">
        <w:tc>
          <w:tcPr>
            <w:tcW w:w="9621" w:type="dxa"/>
            <w:gridSpan w:val="6"/>
          </w:tcPr>
          <w:p w14:paraId="3570388B" w14:textId="77777777" w:rsidR="008F364A" w:rsidRPr="00B2562E" w:rsidRDefault="008F364A"/>
        </w:tc>
      </w:tr>
      <w:tr w:rsidR="008F364A" w:rsidRPr="00B2562E" w14:paraId="6858F7C6" w14:textId="77777777" w:rsidTr="00A4029E">
        <w:tc>
          <w:tcPr>
            <w:tcW w:w="1030" w:type="dxa"/>
          </w:tcPr>
          <w:p w14:paraId="09C3C3C4" w14:textId="57B6538A" w:rsidR="008F364A" w:rsidRPr="00B2562E" w:rsidRDefault="00740A17">
            <w:pPr>
              <w:pStyle w:val="zSoquijlblDateJugement"/>
            </w:pPr>
            <w:r w:rsidRPr="00B2562E">
              <w:t>DATE:</w:t>
            </w:r>
          </w:p>
        </w:tc>
        <w:tc>
          <w:tcPr>
            <w:tcW w:w="8591" w:type="dxa"/>
            <w:gridSpan w:val="5"/>
          </w:tcPr>
          <w:p w14:paraId="3639F42B" w14:textId="6D99B6FC" w:rsidR="008F364A" w:rsidRPr="00B2562E" w:rsidRDefault="00C6787E">
            <w:pPr>
              <w:pStyle w:val="zSoquijdatDateJugement"/>
            </w:pPr>
            <w:r w:rsidRPr="00B2562E">
              <w:t xml:space="preserve"> </w:t>
            </w:r>
            <w:r w:rsidR="00A82181" w:rsidRPr="00B2562E">
              <w:t xml:space="preserve">December 13, </w:t>
            </w:r>
            <w:r w:rsidR="00EC57A5" w:rsidRPr="00B2562E">
              <w:t>2022</w:t>
            </w:r>
          </w:p>
        </w:tc>
      </w:tr>
      <w:tr w:rsidR="008F364A" w:rsidRPr="00B2562E" w14:paraId="34049863" w14:textId="77777777" w:rsidTr="00A4029E">
        <w:tc>
          <w:tcPr>
            <w:tcW w:w="9621" w:type="dxa"/>
            <w:gridSpan w:val="6"/>
            <w:tcBorders>
              <w:bottom w:val="single" w:sz="8" w:space="0" w:color="auto"/>
            </w:tcBorders>
          </w:tcPr>
          <w:p w14:paraId="3826652F" w14:textId="77777777" w:rsidR="008F364A" w:rsidRPr="00B2562E" w:rsidRDefault="008F364A"/>
        </w:tc>
      </w:tr>
      <w:tr w:rsidR="008F364A" w:rsidRPr="00B2562E" w14:paraId="32C5A9FE" w14:textId="77777777" w:rsidTr="00A4029E">
        <w:tc>
          <w:tcPr>
            <w:tcW w:w="9621" w:type="dxa"/>
            <w:gridSpan w:val="6"/>
            <w:tcBorders>
              <w:top w:val="single" w:sz="8" w:space="0" w:color="auto"/>
            </w:tcBorders>
          </w:tcPr>
          <w:p w14:paraId="2F56DF6A" w14:textId="77777777" w:rsidR="008F364A" w:rsidRPr="00B2562E" w:rsidRDefault="008F364A"/>
        </w:tc>
      </w:tr>
      <w:tr w:rsidR="008F364A" w:rsidRPr="00B2562E" w14:paraId="0A0485D0" w14:textId="77777777" w:rsidTr="00A4029E">
        <w:tc>
          <w:tcPr>
            <w:tcW w:w="1881" w:type="dxa"/>
            <w:gridSpan w:val="3"/>
          </w:tcPr>
          <w:p w14:paraId="64174FDC" w14:textId="7A3E1D3C" w:rsidR="008F364A" w:rsidRPr="00B2562E" w:rsidRDefault="00A82181" w:rsidP="00423DF1">
            <w:pPr>
              <w:pStyle w:val="zSoquijlblJuge"/>
              <w:ind w:right="-142"/>
            </w:pPr>
            <w:bookmarkStart w:id="2" w:name="FORMATION"/>
            <w:r w:rsidRPr="00B2562E">
              <w:t>CORAM</w:t>
            </w:r>
            <w:r w:rsidR="00740A17" w:rsidRPr="00B2562E">
              <w:t>:</w:t>
            </w:r>
            <w:bookmarkEnd w:id="2"/>
          </w:p>
        </w:tc>
        <w:tc>
          <w:tcPr>
            <w:tcW w:w="2350" w:type="dxa"/>
          </w:tcPr>
          <w:p w14:paraId="6D5F9BE9" w14:textId="4D76DB7C" w:rsidR="008F364A" w:rsidRPr="00B2562E" w:rsidRDefault="00A82181">
            <w:pPr>
              <w:pStyle w:val="zSoquijdatQteJuge"/>
            </w:pPr>
            <w:bookmarkStart w:id="3" w:name="Honorables"/>
            <w:r w:rsidRPr="00B2562E">
              <w:t>THE</w:t>
            </w:r>
            <w:r w:rsidR="00740A17" w:rsidRPr="00B2562E">
              <w:t xml:space="preserve"> HONO</w:t>
            </w:r>
            <w:r w:rsidRPr="00B2562E">
              <w:t>U</w:t>
            </w:r>
            <w:r w:rsidR="00740A17" w:rsidRPr="00B2562E">
              <w:t>RABLE</w:t>
            </w:r>
            <w:bookmarkEnd w:id="3"/>
          </w:p>
        </w:tc>
        <w:tc>
          <w:tcPr>
            <w:tcW w:w="5390" w:type="dxa"/>
            <w:gridSpan w:val="2"/>
          </w:tcPr>
          <w:p w14:paraId="07ED368E" w14:textId="3BDFAD8D" w:rsidR="008F364A" w:rsidRPr="00B2562E" w:rsidRDefault="00DA3A77">
            <w:pPr>
              <w:pStyle w:val="zSoquijdatJuge"/>
            </w:pPr>
            <w:bookmarkStart w:id="4" w:name="NomJuge1"/>
            <w:r w:rsidRPr="00B2562E">
              <w:t xml:space="preserve">GUY GAGNON, </w:t>
            </w:r>
            <w:r w:rsidR="00A82181" w:rsidRPr="00B2562E">
              <w:t>J.A.</w:t>
            </w:r>
            <w:bookmarkEnd w:id="4"/>
          </w:p>
          <w:p w14:paraId="32529145" w14:textId="393244CC" w:rsidR="008F364A" w:rsidRPr="00B2562E" w:rsidRDefault="00DA3A77">
            <w:pPr>
              <w:pStyle w:val="zSoquijdatJuge"/>
            </w:pPr>
            <w:bookmarkStart w:id="5" w:name="NomJuge2"/>
            <w:r w:rsidRPr="00B2562E">
              <w:t xml:space="preserve">PATRICK HEALY, </w:t>
            </w:r>
            <w:r w:rsidR="00A82181" w:rsidRPr="00B2562E">
              <w:t>J.A.</w:t>
            </w:r>
            <w:bookmarkEnd w:id="5"/>
          </w:p>
          <w:p w14:paraId="249BD9F0" w14:textId="2AEC5151" w:rsidR="005A78BF" w:rsidRPr="00B2562E" w:rsidRDefault="00DA3A77" w:rsidP="00DA3A77">
            <w:pPr>
              <w:pStyle w:val="zSoquijdatJuge"/>
            </w:pPr>
            <w:bookmarkStart w:id="6" w:name="_Hlt520513784"/>
            <w:bookmarkStart w:id="7" w:name="NomJuge3"/>
            <w:bookmarkEnd w:id="6"/>
            <w:r w:rsidRPr="00B2562E">
              <w:t xml:space="preserve">FRÉDÉRIC BACHAND, </w:t>
            </w:r>
            <w:r w:rsidR="00A82181" w:rsidRPr="00B2562E">
              <w:t>J.A.</w:t>
            </w:r>
            <w:bookmarkEnd w:id="7"/>
          </w:p>
        </w:tc>
      </w:tr>
      <w:tr w:rsidR="008F364A" w:rsidRPr="00B2562E" w14:paraId="6A013662" w14:textId="77777777" w:rsidTr="00A4029E">
        <w:tc>
          <w:tcPr>
            <w:tcW w:w="9621" w:type="dxa"/>
            <w:gridSpan w:val="6"/>
            <w:tcBorders>
              <w:bottom w:val="single" w:sz="8" w:space="0" w:color="auto"/>
            </w:tcBorders>
          </w:tcPr>
          <w:p w14:paraId="6A8E23D3" w14:textId="77777777" w:rsidR="008F364A" w:rsidRPr="00B2562E" w:rsidRDefault="008F364A"/>
        </w:tc>
      </w:tr>
      <w:tr w:rsidR="008F364A" w:rsidRPr="00B2562E" w14:paraId="7722EABE" w14:textId="77777777" w:rsidTr="00A4029E">
        <w:tc>
          <w:tcPr>
            <w:tcW w:w="9621" w:type="dxa"/>
            <w:gridSpan w:val="6"/>
          </w:tcPr>
          <w:p w14:paraId="4B903A8C" w14:textId="77777777" w:rsidR="008F364A" w:rsidRPr="00B2562E" w:rsidRDefault="008F364A">
            <w:pPr>
              <w:pStyle w:val="zSoquijlblTitrePartie"/>
            </w:pPr>
          </w:p>
        </w:tc>
      </w:tr>
      <w:tr w:rsidR="008F364A" w:rsidRPr="00B2562E" w14:paraId="05F52C84" w14:textId="77777777" w:rsidTr="00A4029E">
        <w:tc>
          <w:tcPr>
            <w:tcW w:w="9621" w:type="dxa"/>
            <w:gridSpan w:val="6"/>
          </w:tcPr>
          <w:p w14:paraId="11946BB8" w14:textId="77777777" w:rsidR="008F364A" w:rsidRPr="00B2562E" w:rsidRDefault="00DA3A77">
            <w:pPr>
              <w:pStyle w:val="zSoquijdatNomPartieDem"/>
            </w:pPr>
            <w:r w:rsidRPr="00B2562E">
              <w:t>JOSÉ ALBERTO REYES</w:t>
            </w:r>
          </w:p>
        </w:tc>
      </w:tr>
      <w:tr w:rsidR="008F364A" w:rsidRPr="00B2562E" w14:paraId="4C7219C3" w14:textId="77777777" w:rsidTr="00A4029E">
        <w:tc>
          <w:tcPr>
            <w:tcW w:w="9621" w:type="dxa"/>
            <w:gridSpan w:val="6"/>
          </w:tcPr>
          <w:p w14:paraId="29B9800C" w14:textId="6BC51177" w:rsidR="008F364A" w:rsidRPr="00B2562E" w:rsidRDefault="00DA3A77">
            <w:pPr>
              <w:pStyle w:val="zSoquijdatQtePartieDem"/>
            </w:pPr>
            <w:r w:rsidRPr="00B2562E">
              <w:t>APPEL</w:t>
            </w:r>
            <w:r w:rsidR="003875B8" w:rsidRPr="00B2562E">
              <w:t>L</w:t>
            </w:r>
            <w:r w:rsidRPr="00B2562E">
              <w:t xml:space="preserve">ANT – </w:t>
            </w:r>
            <w:r w:rsidR="003875B8" w:rsidRPr="00B2562E">
              <w:t>Accused</w:t>
            </w:r>
          </w:p>
        </w:tc>
      </w:tr>
      <w:tr w:rsidR="008F364A" w:rsidRPr="00B2562E" w14:paraId="1F0C8812" w14:textId="77777777" w:rsidTr="00A4029E">
        <w:tc>
          <w:tcPr>
            <w:tcW w:w="9621" w:type="dxa"/>
            <w:gridSpan w:val="6"/>
          </w:tcPr>
          <w:p w14:paraId="505319AB" w14:textId="48112CB5" w:rsidR="008F364A" w:rsidRPr="00B2562E" w:rsidRDefault="004679BD">
            <w:pPr>
              <w:pStyle w:val="zSoquijlblLienParties"/>
            </w:pPr>
            <w:r w:rsidRPr="00B2562E">
              <w:t>v</w:t>
            </w:r>
            <w:r w:rsidR="00740A17" w:rsidRPr="00B2562E">
              <w:t>.</w:t>
            </w:r>
          </w:p>
        </w:tc>
      </w:tr>
      <w:tr w:rsidR="008F364A" w:rsidRPr="00B2562E" w14:paraId="52785C15" w14:textId="77777777" w:rsidTr="00A4029E">
        <w:tc>
          <w:tcPr>
            <w:tcW w:w="9621" w:type="dxa"/>
            <w:gridSpan w:val="6"/>
          </w:tcPr>
          <w:p w14:paraId="3ECCD0F0" w14:textId="77777777" w:rsidR="008F364A" w:rsidRPr="00B2562E" w:rsidRDefault="008F364A"/>
        </w:tc>
      </w:tr>
      <w:tr w:rsidR="008F364A" w:rsidRPr="00B2562E" w14:paraId="0F0C9997" w14:textId="77777777" w:rsidTr="00A4029E">
        <w:tc>
          <w:tcPr>
            <w:tcW w:w="9621" w:type="dxa"/>
            <w:gridSpan w:val="6"/>
          </w:tcPr>
          <w:p w14:paraId="6E7163BF" w14:textId="6171C26B" w:rsidR="008F364A" w:rsidRPr="00B2562E" w:rsidRDefault="003875B8">
            <w:pPr>
              <w:pStyle w:val="zSoquijdatNomPartieDef"/>
            </w:pPr>
            <w:r w:rsidRPr="00B2562E">
              <w:t xml:space="preserve">HIS </w:t>
            </w:r>
            <w:r w:rsidR="00DA3A77" w:rsidRPr="00B2562E">
              <w:t>MAJEST</w:t>
            </w:r>
            <w:r w:rsidRPr="00B2562E">
              <w:t>Y THE KING</w:t>
            </w:r>
          </w:p>
        </w:tc>
      </w:tr>
      <w:tr w:rsidR="008F364A" w:rsidRPr="00B2562E" w14:paraId="7A90AFED" w14:textId="77777777" w:rsidTr="00A4029E">
        <w:tc>
          <w:tcPr>
            <w:tcW w:w="9621" w:type="dxa"/>
            <w:gridSpan w:val="6"/>
          </w:tcPr>
          <w:p w14:paraId="716CEB6D" w14:textId="481C2C37" w:rsidR="008F364A" w:rsidRPr="00B2562E" w:rsidRDefault="003875B8">
            <w:pPr>
              <w:pStyle w:val="zSoquijdatQtePartieDef"/>
            </w:pPr>
            <w:r w:rsidRPr="00B2562E">
              <w:t>RESPONDENT</w:t>
            </w:r>
            <w:r w:rsidR="00DA3A77" w:rsidRPr="00B2562E">
              <w:t xml:space="preserve"> – </w:t>
            </w:r>
            <w:r w:rsidRPr="00B2562E">
              <w:t>Prosecutor</w:t>
            </w:r>
          </w:p>
        </w:tc>
      </w:tr>
      <w:tr w:rsidR="008F364A" w:rsidRPr="00B2562E" w14:paraId="4D05B7C1" w14:textId="77777777" w:rsidTr="00A4029E">
        <w:tc>
          <w:tcPr>
            <w:tcW w:w="9621" w:type="dxa"/>
            <w:gridSpan w:val="6"/>
          </w:tcPr>
          <w:p w14:paraId="1BBA16B4" w14:textId="77777777" w:rsidR="008F364A" w:rsidRPr="00B2562E" w:rsidRDefault="008F364A"/>
        </w:tc>
      </w:tr>
      <w:tr w:rsidR="008F364A" w:rsidRPr="00B2562E" w14:paraId="675EC05F" w14:textId="77777777" w:rsidTr="00A4029E">
        <w:tc>
          <w:tcPr>
            <w:tcW w:w="9621" w:type="dxa"/>
            <w:gridSpan w:val="6"/>
            <w:tcBorders>
              <w:top w:val="single" w:sz="8" w:space="0" w:color="auto"/>
            </w:tcBorders>
          </w:tcPr>
          <w:p w14:paraId="6F674213" w14:textId="77777777" w:rsidR="008F364A" w:rsidRPr="00B2562E" w:rsidRDefault="008F364A">
            <w:bookmarkStart w:id="8" w:name="Arret"/>
          </w:p>
        </w:tc>
      </w:tr>
      <w:tr w:rsidR="008F364A" w:rsidRPr="00B2562E" w14:paraId="5887B347" w14:textId="77777777" w:rsidTr="00A4029E">
        <w:tc>
          <w:tcPr>
            <w:tcW w:w="9621" w:type="dxa"/>
            <w:gridSpan w:val="6"/>
          </w:tcPr>
          <w:p w14:paraId="3906E4E3" w14:textId="67100731" w:rsidR="008F364A" w:rsidRPr="00B2562E" w:rsidRDefault="003875B8">
            <w:pPr>
              <w:pStyle w:val="zSoquijlblTypeDocument"/>
            </w:pPr>
            <w:bookmarkStart w:id="9" w:name="TitreDocument"/>
            <w:r w:rsidRPr="00B2562E">
              <w:t>JUDGMENT</w:t>
            </w:r>
            <w:bookmarkEnd w:id="9"/>
          </w:p>
        </w:tc>
      </w:tr>
      <w:tr w:rsidR="008F364A" w:rsidRPr="00B2562E" w14:paraId="2EC882B2" w14:textId="77777777" w:rsidTr="00A4029E">
        <w:tc>
          <w:tcPr>
            <w:tcW w:w="9621" w:type="dxa"/>
            <w:gridSpan w:val="6"/>
            <w:tcBorders>
              <w:bottom w:val="single" w:sz="8" w:space="0" w:color="auto"/>
            </w:tcBorders>
          </w:tcPr>
          <w:p w14:paraId="68F58A53" w14:textId="77777777" w:rsidR="008F364A" w:rsidRPr="00B2562E" w:rsidRDefault="008F364A"/>
        </w:tc>
      </w:tr>
      <w:tr w:rsidR="008F364A" w:rsidRPr="00B2562E" w14:paraId="16C5322D" w14:textId="77777777" w:rsidTr="00A4029E">
        <w:tc>
          <w:tcPr>
            <w:tcW w:w="9621" w:type="dxa"/>
            <w:gridSpan w:val="6"/>
            <w:tcBorders>
              <w:top w:val="single" w:sz="8" w:space="0" w:color="auto"/>
            </w:tcBorders>
          </w:tcPr>
          <w:p w14:paraId="5D4AB9C2" w14:textId="77777777" w:rsidR="008F364A" w:rsidRPr="00B2562E" w:rsidRDefault="008F364A"/>
        </w:tc>
      </w:tr>
    </w:tbl>
    <w:p w14:paraId="399DB34B" w14:textId="512E0364" w:rsidR="00FE3FEB" w:rsidRPr="00B2562E" w:rsidRDefault="009F013A" w:rsidP="00FE3FEB">
      <w:pPr>
        <w:pStyle w:val="Paragraphe"/>
        <w:spacing w:line="280" w:lineRule="exact"/>
      </w:pPr>
      <w:r w:rsidRPr="00B2562E">
        <w:t>The</w:t>
      </w:r>
      <w:r w:rsidR="00742DC5">
        <w:t xml:space="preserve"> </w:t>
      </w:r>
      <w:r w:rsidRPr="00B2562E">
        <w:t>appellant</w:t>
      </w:r>
      <w:r w:rsidR="00FE3FEB" w:rsidRPr="00B2562E">
        <w:t xml:space="preserve"> </w:t>
      </w:r>
      <w:r w:rsidR="00DB1759" w:rsidRPr="00B2562E">
        <w:t xml:space="preserve">seeks leave to appeal a judgment dealing with the </w:t>
      </w:r>
      <w:r w:rsidR="000D27FE" w:rsidRPr="00B2562E">
        <w:t xml:space="preserve">sentence </w:t>
      </w:r>
      <w:r w:rsidR="00DB1759" w:rsidRPr="00B2562E">
        <w:t xml:space="preserve">imposed by the </w:t>
      </w:r>
      <w:r w:rsidR="00FE3FEB" w:rsidRPr="00B2562E">
        <w:t>Cour</w:t>
      </w:r>
      <w:r w:rsidR="00DB1759" w:rsidRPr="00B2562E">
        <w:t xml:space="preserve">t of </w:t>
      </w:r>
      <w:r w:rsidR="00FE3FEB" w:rsidRPr="00B2562E">
        <w:t>Qu</w:t>
      </w:r>
      <w:r w:rsidR="00DB1759" w:rsidRPr="00B2562E">
        <w:t>e</w:t>
      </w:r>
      <w:r w:rsidR="00FE3FEB" w:rsidRPr="00B2562E">
        <w:t xml:space="preserve">bec, </w:t>
      </w:r>
      <w:r w:rsidR="00DB1759" w:rsidRPr="00B2562E">
        <w:t>Criminal and Penal Division</w:t>
      </w:r>
      <w:r w:rsidR="00FE3FEB" w:rsidRPr="00B2562E">
        <w:t xml:space="preserve">, district </w:t>
      </w:r>
      <w:r w:rsidR="00DB1759" w:rsidRPr="00B2562E">
        <w:t xml:space="preserve">of </w:t>
      </w:r>
      <w:r w:rsidR="00FE3FEB" w:rsidRPr="00B2562E">
        <w:t>Laval (</w:t>
      </w:r>
      <w:r w:rsidR="00DB1759" w:rsidRPr="00B2562E">
        <w:t>the H</w:t>
      </w:r>
      <w:r w:rsidR="00FE3FEB" w:rsidRPr="00B2562E">
        <w:t>ono</w:t>
      </w:r>
      <w:r w:rsidR="00DB1759" w:rsidRPr="00B2562E">
        <w:t>u</w:t>
      </w:r>
      <w:r w:rsidR="00FE3FEB" w:rsidRPr="00B2562E">
        <w:t xml:space="preserve">rable Serge Cimon), </w:t>
      </w:r>
      <w:r w:rsidR="00DB1759" w:rsidRPr="00B2562E">
        <w:t xml:space="preserve">rendered on November 27, </w:t>
      </w:r>
      <w:r w:rsidR="00FE3FEB" w:rsidRPr="00B2562E">
        <w:t xml:space="preserve">2020, </w:t>
      </w:r>
      <w:r w:rsidR="00DB1759" w:rsidRPr="00B2562E">
        <w:t>following his plea of guilty on a count of uttering threat</w:t>
      </w:r>
      <w:r w:rsidR="00F35BE4" w:rsidRPr="00B2562E">
        <w:t>s</w:t>
      </w:r>
      <w:r w:rsidR="00DB1759" w:rsidRPr="00B2562E">
        <w:t xml:space="preserve"> to cause death or bodily harm and a count of mischief of a value of $</w:t>
      </w:r>
      <w:r w:rsidR="00FE3FEB" w:rsidRPr="00B2562E">
        <w:t>4</w:t>
      </w:r>
      <w:r w:rsidR="00DB1759" w:rsidRPr="00B2562E">
        <w:t>,</w:t>
      </w:r>
      <w:r w:rsidR="00FE3FEB" w:rsidRPr="00B2562E">
        <w:t>850</w:t>
      </w:r>
      <w:r w:rsidR="00F35BE4" w:rsidRPr="00B2562E">
        <w:t>,</w:t>
      </w:r>
      <w:r w:rsidR="00FE3FEB" w:rsidRPr="00B2562E">
        <w:t> commi</w:t>
      </w:r>
      <w:r w:rsidR="00DB1759" w:rsidRPr="00B2562E">
        <w:t>tted in a holding cell</w:t>
      </w:r>
      <w:r w:rsidR="00FE3FEB" w:rsidRPr="00B2562E">
        <w:t xml:space="preserve">. </w:t>
      </w:r>
    </w:p>
    <w:p w14:paraId="3A5E1C1D" w14:textId="01759A77" w:rsidR="00F34F73" w:rsidRPr="00B2562E" w:rsidRDefault="00DB1759" w:rsidP="00D65639">
      <w:pPr>
        <w:pStyle w:val="Paragraphe"/>
        <w:spacing w:line="280" w:lineRule="exact"/>
      </w:pPr>
      <w:r w:rsidRPr="00B2562E">
        <w:t xml:space="preserve">For the reasons of </w:t>
      </w:r>
      <w:r w:rsidR="00810B33" w:rsidRPr="00B2562E">
        <w:t xml:space="preserve">Healy </w:t>
      </w:r>
      <w:r w:rsidRPr="00B2562E">
        <w:t xml:space="preserve">and </w:t>
      </w:r>
      <w:r w:rsidR="00F34F73" w:rsidRPr="00B2562E">
        <w:t>Gagnon</w:t>
      </w:r>
      <w:r w:rsidRPr="00B2562E">
        <w:t xml:space="preserve"> </w:t>
      </w:r>
      <w:r w:rsidR="00E94C88" w:rsidRPr="00B2562E">
        <w:t>J</w:t>
      </w:r>
      <w:r w:rsidRPr="00B2562E">
        <w:t>J.A.</w:t>
      </w:r>
      <w:r w:rsidR="00F34F73" w:rsidRPr="00B2562E">
        <w:t xml:space="preserve">, </w:t>
      </w:r>
      <w:proofErr w:type="spellStart"/>
      <w:r w:rsidR="00F34F73" w:rsidRPr="00B2562E">
        <w:t>Bachand</w:t>
      </w:r>
      <w:proofErr w:type="spellEnd"/>
      <w:r w:rsidRPr="00B2562E">
        <w:t xml:space="preserve"> J.A.</w:t>
      </w:r>
      <w:r w:rsidR="00A150CC" w:rsidRPr="00B2562E">
        <w:t>,</w:t>
      </w:r>
      <w:r w:rsidR="001335CE">
        <w:t xml:space="preserve"> </w:t>
      </w:r>
      <w:r w:rsidR="00E94C88" w:rsidRPr="00B2562E">
        <w:t>concurring,</w:t>
      </w:r>
      <w:r w:rsidR="00A150CC" w:rsidRPr="00B2562E">
        <w:t xml:space="preserve"> </w:t>
      </w:r>
      <w:r w:rsidRPr="00B2562E">
        <w:rPr>
          <w:b/>
          <w:bCs/>
        </w:rPr>
        <w:t xml:space="preserve">THE </w:t>
      </w:r>
      <w:r w:rsidR="00F34F73" w:rsidRPr="00B2562E">
        <w:rPr>
          <w:b/>
          <w:bCs/>
        </w:rPr>
        <w:t>COUR</w:t>
      </w:r>
      <w:r w:rsidRPr="00B2562E">
        <w:rPr>
          <w:b/>
          <w:bCs/>
        </w:rPr>
        <w:t>T</w:t>
      </w:r>
      <w:r w:rsidR="00F34F73" w:rsidRPr="00B2562E">
        <w:rPr>
          <w:b/>
          <w:bCs/>
        </w:rPr>
        <w:t>:</w:t>
      </w:r>
      <w:r w:rsidR="00F34F73" w:rsidRPr="00B2562E">
        <w:t xml:space="preserve"> </w:t>
      </w:r>
    </w:p>
    <w:p w14:paraId="66ED3771" w14:textId="5B3E3001" w:rsidR="00F34F73" w:rsidRPr="00B2562E" w:rsidRDefault="00F35BE4" w:rsidP="00D65639">
      <w:pPr>
        <w:pStyle w:val="Paragraphe"/>
        <w:spacing w:line="280" w:lineRule="exact"/>
      </w:pPr>
      <w:r w:rsidRPr="00B2562E">
        <w:rPr>
          <w:b/>
          <w:bCs/>
        </w:rPr>
        <w:t>ALLOWS</w:t>
      </w:r>
      <w:r w:rsidR="00390954" w:rsidRPr="00B2562E">
        <w:rPr>
          <w:b/>
          <w:bCs/>
        </w:rPr>
        <w:t xml:space="preserve"> </w:t>
      </w:r>
      <w:r w:rsidR="00390954" w:rsidRPr="00B2562E">
        <w:t>t</w:t>
      </w:r>
      <w:r w:rsidRPr="00B2562E">
        <w:t>he</w:t>
      </w:r>
      <w:r w:rsidR="00390954" w:rsidRPr="00B2562E">
        <w:t xml:space="preserve"> appeal</w:t>
      </w:r>
      <w:r w:rsidR="00F34F73" w:rsidRPr="00B2562E">
        <w:t>;</w:t>
      </w:r>
    </w:p>
    <w:p w14:paraId="28FE6488" w14:textId="7D6922F2" w:rsidR="00F34F73" w:rsidRPr="00B2562E" w:rsidRDefault="00E41A06" w:rsidP="00F34F73">
      <w:pPr>
        <w:pStyle w:val="Paragraphe"/>
        <w:spacing w:line="280" w:lineRule="exact"/>
      </w:pPr>
      <w:r w:rsidRPr="00B2562E">
        <w:rPr>
          <w:b/>
          <w:bCs/>
        </w:rPr>
        <w:t>QUASHES</w:t>
      </w:r>
      <w:r w:rsidR="00F34F73" w:rsidRPr="00B2562E">
        <w:t xml:space="preserve"> </w:t>
      </w:r>
      <w:r w:rsidR="00390954" w:rsidRPr="00B2562E">
        <w:t xml:space="preserve">the </w:t>
      </w:r>
      <w:r w:rsidRPr="00B2562E">
        <w:t>sentence</w:t>
      </w:r>
      <w:r w:rsidR="00390954" w:rsidRPr="00B2562E">
        <w:t xml:space="preserve"> imposed on November 27, </w:t>
      </w:r>
      <w:r w:rsidR="00F34F73" w:rsidRPr="00B2562E">
        <w:t xml:space="preserve">2020; </w:t>
      </w:r>
    </w:p>
    <w:p w14:paraId="42638967" w14:textId="087F19F8" w:rsidR="00F34F73" w:rsidRPr="00B2562E" w:rsidRDefault="00F34F73" w:rsidP="0036223D">
      <w:pPr>
        <w:pStyle w:val="Paragraphe"/>
        <w:spacing w:line="280" w:lineRule="exact"/>
      </w:pPr>
      <w:r w:rsidRPr="00B2562E">
        <w:rPr>
          <w:b/>
          <w:bCs/>
        </w:rPr>
        <w:lastRenderedPageBreak/>
        <w:t>IMPOSE</w:t>
      </w:r>
      <w:r w:rsidR="008F19FB" w:rsidRPr="00B2562E">
        <w:rPr>
          <w:b/>
          <w:bCs/>
        </w:rPr>
        <w:t>S</w:t>
      </w:r>
      <w:r w:rsidRPr="00B2562E">
        <w:t xml:space="preserve"> </w:t>
      </w:r>
      <w:r w:rsidR="008F19FB" w:rsidRPr="00B2562E">
        <w:t>a</w:t>
      </w:r>
      <w:r w:rsidR="00742DC5">
        <w:t xml:space="preserve"> </w:t>
      </w:r>
      <w:r w:rsidR="0009593C">
        <w:t>three</w:t>
      </w:r>
      <w:r w:rsidR="006E4B01">
        <w:t>-</w:t>
      </w:r>
      <w:r w:rsidR="00287FFB" w:rsidRPr="00B2562E">
        <w:t>month sentence on</w:t>
      </w:r>
      <w:r w:rsidR="009F6006" w:rsidRPr="00B2562E">
        <w:t xml:space="preserve"> each</w:t>
      </w:r>
      <w:r w:rsidR="00287FFB" w:rsidRPr="00B2562E">
        <w:t xml:space="preserve"> count to be served </w:t>
      </w:r>
      <w:r w:rsidRPr="00B2562E">
        <w:t>concurre</w:t>
      </w:r>
      <w:r w:rsidR="00287FFB" w:rsidRPr="00B2562E">
        <w:t xml:space="preserve">ntly with any other sentence in </w:t>
      </w:r>
      <w:r w:rsidR="00E94C88" w:rsidRPr="00B2562E">
        <w:t>effect</w:t>
      </w:r>
      <w:r w:rsidR="006E4B01">
        <w:t>,</w:t>
      </w:r>
      <w:r w:rsidR="00E94C88" w:rsidRPr="00B2562E">
        <w:t xml:space="preserve"> </w:t>
      </w:r>
      <w:r w:rsidR="00287FFB" w:rsidRPr="00B2562E">
        <w:t xml:space="preserve">as well as </w:t>
      </w:r>
      <w:r w:rsidR="0009593C">
        <w:t>one</w:t>
      </w:r>
      <w:r w:rsidR="006E4B01">
        <w:t xml:space="preserve"> </w:t>
      </w:r>
      <w:r w:rsidR="00287FFB" w:rsidRPr="00B2562E">
        <w:t xml:space="preserve">year’s </w:t>
      </w:r>
      <w:r w:rsidRPr="00B2562E">
        <w:t xml:space="preserve">probation </w:t>
      </w:r>
      <w:r w:rsidR="00287FFB" w:rsidRPr="00B2562E">
        <w:t xml:space="preserve">under the </w:t>
      </w:r>
      <w:r w:rsidRPr="00B2562E">
        <w:t xml:space="preserve">conditions </w:t>
      </w:r>
      <w:r w:rsidR="00DA7142" w:rsidRPr="00B2562E">
        <w:t xml:space="preserve">set out </w:t>
      </w:r>
      <w:r w:rsidR="00287FFB" w:rsidRPr="00B2562E">
        <w:t xml:space="preserve">in the </w:t>
      </w:r>
      <w:r w:rsidR="00F768B7" w:rsidRPr="00B2562E">
        <w:t>joint submission</w:t>
      </w:r>
      <w:r w:rsidRPr="00B2562E">
        <w:t>;</w:t>
      </w:r>
    </w:p>
    <w:p w14:paraId="7E65B20C" w14:textId="274AF3BE" w:rsidR="00F34F73" w:rsidRPr="00B2562E" w:rsidRDefault="00F34F73" w:rsidP="00A150CC">
      <w:pPr>
        <w:pStyle w:val="Paragraphe"/>
        <w:spacing w:line="280" w:lineRule="exact"/>
      </w:pPr>
      <w:r w:rsidRPr="00B2562E">
        <w:rPr>
          <w:b/>
          <w:bCs/>
        </w:rPr>
        <w:t>ORD</w:t>
      </w:r>
      <w:r w:rsidR="00287FFB" w:rsidRPr="00B2562E">
        <w:rPr>
          <w:b/>
          <w:bCs/>
        </w:rPr>
        <w:t>ERS</w:t>
      </w:r>
      <w:r w:rsidRPr="00B2562E">
        <w:t xml:space="preserve"> </w:t>
      </w:r>
      <w:r w:rsidR="009F013A" w:rsidRPr="00B2562E">
        <w:t>the appellant</w:t>
      </w:r>
      <w:r w:rsidRPr="00B2562E">
        <w:t xml:space="preserve"> </w:t>
      </w:r>
      <w:r w:rsidR="00287FFB" w:rsidRPr="00B2562E">
        <w:t xml:space="preserve">to present himself to the prison authorities no later than Tuesday, January 10, </w:t>
      </w:r>
      <w:r w:rsidR="0004507D" w:rsidRPr="00B2562E">
        <w:t xml:space="preserve">2023, </w:t>
      </w:r>
      <w:r w:rsidR="001335CE" w:rsidRPr="00B2562E">
        <w:t>at noon</w:t>
      </w:r>
      <w:r w:rsidR="00A150CC" w:rsidRPr="00B2562E">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F364A" w:rsidRPr="00B2562E" w14:paraId="71E3A7CD" w14:textId="77777777" w:rsidTr="003E3239">
        <w:trPr>
          <w:trHeight w:val="576"/>
        </w:trPr>
        <w:tc>
          <w:tcPr>
            <w:tcW w:w="9362" w:type="dxa"/>
            <w:gridSpan w:val="3"/>
            <w:tcBorders>
              <w:top w:val="nil"/>
              <w:bottom w:val="nil"/>
            </w:tcBorders>
          </w:tcPr>
          <w:p w14:paraId="1C8693E0" w14:textId="77777777" w:rsidR="008F364A" w:rsidRPr="00B2562E" w:rsidRDefault="008F364A">
            <w:pPr>
              <w:keepNext/>
            </w:pPr>
          </w:p>
        </w:tc>
      </w:tr>
      <w:tr w:rsidR="008F364A" w:rsidRPr="00B2562E" w14:paraId="1876FBE9" w14:textId="77777777" w:rsidTr="00117914">
        <w:trPr>
          <w:trHeight w:val="283"/>
        </w:trPr>
        <w:tc>
          <w:tcPr>
            <w:tcW w:w="4682" w:type="dxa"/>
            <w:gridSpan w:val="2"/>
            <w:tcBorders>
              <w:top w:val="nil"/>
              <w:bottom w:val="nil"/>
            </w:tcBorders>
          </w:tcPr>
          <w:p w14:paraId="45A962DA" w14:textId="77777777" w:rsidR="008F364A" w:rsidRPr="00B2562E" w:rsidRDefault="008F364A">
            <w:pPr>
              <w:keepNext/>
            </w:pPr>
          </w:p>
        </w:tc>
        <w:tc>
          <w:tcPr>
            <w:tcW w:w="4680" w:type="dxa"/>
            <w:tcBorders>
              <w:top w:val="nil"/>
              <w:bottom w:val="single" w:sz="8" w:space="0" w:color="auto"/>
            </w:tcBorders>
          </w:tcPr>
          <w:p w14:paraId="0E4216F2" w14:textId="77777777" w:rsidR="008F364A" w:rsidRPr="00B2562E" w:rsidRDefault="008F364A">
            <w:pPr>
              <w:keepNext/>
            </w:pPr>
          </w:p>
        </w:tc>
      </w:tr>
      <w:tr w:rsidR="008F364A" w:rsidRPr="00B2562E" w14:paraId="50916831" w14:textId="77777777" w:rsidTr="00117914">
        <w:trPr>
          <w:trHeight w:val="283"/>
        </w:trPr>
        <w:tc>
          <w:tcPr>
            <w:tcW w:w="4682" w:type="dxa"/>
            <w:gridSpan w:val="2"/>
            <w:tcBorders>
              <w:top w:val="nil"/>
            </w:tcBorders>
          </w:tcPr>
          <w:p w14:paraId="27AAE3C0" w14:textId="77777777" w:rsidR="008F364A" w:rsidRPr="00B2562E" w:rsidRDefault="008F364A">
            <w:pPr>
              <w:keepNext/>
            </w:pPr>
          </w:p>
        </w:tc>
        <w:tc>
          <w:tcPr>
            <w:tcW w:w="4680" w:type="dxa"/>
            <w:tcBorders>
              <w:top w:val="single" w:sz="8" w:space="0" w:color="auto"/>
            </w:tcBorders>
          </w:tcPr>
          <w:p w14:paraId="61F008E0" w14:textId="3EB6368E" w:rsidR="008F364A" w:rsidRPr="00B2562E" w:rsidRDefault="00C6787E">
            <w:r w:rsidRPr="00B2562E">
              <w:t xml:space="preserve">GUY GAGNON, </w:t>
            </w:r>
            <w:r w:rsidR="00A82181" w:rsidRPr="00B2562E">
              <w:t>J.A.</w:t>
            </w:r>
          </w:p>
        </w:tc>
      </w:tr>
      <w:tr w:rsidR="008F364A" w:rsidRPr="00B2562E" w14:paraId="37D38C86" w14:textId="77777777" w:rsidTr="00117914">
        <w:trPr>
          <w:trHeight w:val="283"/>
        </w:trPr>
        <w:tc>
          <w:tcPr>
            <w:tcW w:w="4682" w:type="dxa"/>
            <w:gridSpan w:val="2"/>
            <w:tcBorders>
              <w:top w:val="nil"/>
            </w:tcBorders>
          </w:tcPr>
          <w:p w14:paraId="75571270" w14:textId="77777777" w:rsidR="008F364A" w:rsidRPr="00B2562E" w:rsidRDefault="008F364A">
            <w:pPr>
              <w:keepNext/>
            </w:pPr>
            <w:bookmarkStart w:id="10" w:name="Signature2"/>
          </w:p>
        </w:tc>
        <w:tc>
          <w:tcPr>
            <w:tcW w:w="4680" w:type="dxa"/>
            <w:tcBorders>
              <w:top w:val="nil"/>
            </w:tcBorders>
          </w:tcPr>
          <w:p w14:paraId="286B4F72" w14:textId="77777777" w:rsidR="008F364A" w:rsidRPr="00B2562E" w:rsidRDefault="008F364A">
            <w:pPr>
              <w:keepNext/>
            </w:pPr>
          </w:p>
        </w:tc>
      </w:tr>
      <w:tr w:rsidR="008F364A" w:rsidRPr="00B2562E" w14:paraId="4F325411" w14:textId="77777777" w:rsidTr="00117914">
        <w:trPr>
          <w:trHeight w:val="283"/>
        </w:trPr>
        <w:tc>
          <w:tcPr>
            <w:tcW w:w="4682" w:type="dxa"/>
            <w:gridSpan w:val="2"/>
            <w:tcBorders>
              <w:top w:val="nil"/>
              <w:bottom w:val="nil"/>
            </w:tcBorders>
          </w:tcPr>
          <w:p w14:paraId="49C2CECA" w14:textId="77777777" w:rsidR="008F364A" w:rsidRPr="00B2562E" w:rsidRDefault="008F364A">
            <w:pPr>
              <w:keepNext/>
            </w:pPr>
          </w:p>
        </w:tc>
        <w:tc>
          <w:tcPr>
            <w:tcW w:w="4680" w:type="dxa"/>
            <w:tcBorders>
              <w:top w:val="nil"/>
              <w:bottom w:val="single" w:sz="8" w:space="0" w:color="auto"/>
            </w:tcBorders>
          </w:tcPr>
          <w:p w14:paraId="5183FA9E" w14:textId="77777777" w:rsidR="008F364A" w:rsidRPr="00B2562E" w:rsidRDefault="008F364A">
            <w:pPr>
              <w:keepNext/>
            </w:pPr>
          </w:p>
        </w:tc>
      </w:tr>
      <w:tr w:rsidR="008F364A" w:rsidRPr="00B2562E" w14:paraId="3D9603CD" w14:textId="77777777" w:rsidTr="00117914">
        <w:trPr>
          <w:trHeight w:val="283"/>
        </w:trPr>
        <w:tc>
          <w:tcPr>
            <w:tcW w:w="4682" w:type="dxa"/>
            <w:gridSpan w:val="2"/>
            <w:tcBorders>
              <w:top w:val="nil"/>
            </w:tcBorders>
          </w:tcPr>
          <w:p w14:paraId="58CFF3C1" w14:textId="77777777" w:rsidR="008F364A" w:rsidRPr="00B2562E" w:rsidRDefault="008F364A">
            <w:pPr>
              <w:keepNext/>
            </w:pPr>
          </w:p>
        </w:tc>
        <w:tc>
          <w:tcPr>
            <w:tcW w:w="4680" w:type="dxa"/>
            <w:tcBorders>
              <w:top w:val="single" w:sz="8" w:space="0" w:color="auto"/>
            </w:tcBorders>
          </w:tcPr>
          <w:p w14:paraId="3CC71C50" w14:textId="126EE042" w:rsidR="008F364A" w:rsidRPr="00B2562E" w:rsidRDefault="00C6787E">
            <w:pPr>
              <w:keepNext/>
            </w:pPr>
            <w:r w:rsidRPr="00B2562E">
              <w:t xml:space="preserve">PATRICK HEALY, </w:t>
            </w:r>
            <w:r w:rsidR="00A82181" w:rsidRPr="00B2562E">
              <w:t>J.A.</w:t>
            </w:r>
          </w:p>
        </w:tc>
      </w:tr>
      <w:tr w:rsidR="008F364A" w:rsidRPr="00B2562E" w14:paraId="1C58848C" w14:textId="77777777" w:rsidTr="00117914">
        <w:trPr>
          <w:trHeight w:val="283"/>
        </w:trPr>
        <w:tc>
          <w:tcPr>
            <w:tcW w:w="4682" w:type="dxa"/>
            <w:gridSpan w:val="2"/>
            <w:tcBorders>
              <w:top w:val="nil"/>
            </w:tcBorders>
          </w:tcPr>
          <w:p w14:paraId="3F1CA80A" w14:textId="77777777" w:rsidR="008F364A" w:rsidRPr="00B2562E" w:rsidRDefault="008F364A">
            <w:pPr>
              <w:keepNext/>
            </w:pPr>
            <w:bookmarkStart w:id="11" w:name="Signature3"/>
            <w:bookmarkEnd w:id="10"/>
          </w:p>
        </w:tc>
        <w:tc>
          <w:tcPr>
            <w:tcW w:w="4680" w:type="dxa"/>
            <w:tcBorders>
              <w:top w:val="nil"/>
            </w:tcBorders>
          </w:tcPr>
          <w:p w14:paraId="496755EF" w14:textId="77777777" w:rsidR="008F364A" w:rsidRPr="00B2562E" w:rsidRDefault="008F364A">
            <w:pPr>
              <w:keepNext/>
            </w:pPr>
          </w:p>
        </w:tc>
      </w:tr>
      <w:tr w:rsidR="008F364A" w:rsidRPr="00B2562E" w14:paraId="6CD102A8" w14:textId="77777777" w:rsidTr="00117914">
        <w:trPr>
          <w:trHeight w:val="283"/>
        </w:trPr>
        <w:tc>
          <w:tcPr>
            <w:tcW w:w="4682" w:type="dxa"/>
            <w:gridSpan w:val="2"/>
            <w:tcBorders>
              <w:top w:val="nil"/>
              <w:bottom w:val="nil"/>
            </w:tcBorders>
          </w:tcPr>
          <w:p w14:paraId="0AE1B6B8" w14:textId="77777777" w:rsidR="008F364A" w:rsidRPr="00B2562E" w:rsidRDefault="008F364A">
            <w:pPr>
              <w:keepNext/>
            </w:pPr>
          </w:p>
        </w:tc>
        <w:tc>
          <w:tcPr>
            <w:tcW w:w="4680" w:type="dxa"/>
            <w:tcBorders>
              <w:top w:val="nil"/>
              <w:bottom w:val="single" w:sz="8" w:space="0" w:color="auto"/>
            </w:tcBorders>
          </w:tcPr>
          <w:p w14:paraId="102B6BBE" w14:textId="77777777" w:rsidR="008F364A" w:rsidRPr="00B2562E" w:rsidRDefault="008F364A">
            <w:pPr>
              <w:keepNext/>
            </w:pPr>
          </w:p>
        </w:tc>
      </w:tr>
      <w:tr w:rsidR="008F364A" w:rsidRPr="00B2562E" w14:paraId="3C917D2D" w14:textId="77777777" w:rsidTr="00117914">
        <w:trPr>
          <w:trHeight w:val="283"/>
        </w:trPr>
        <w:tc>
          <w:tcPr>
            <w:tcW w:w="4682" w:type="dxa"/>
            <w:gridSpan w:val="2"/>
            <w:tcBorders>
              <w:top w:val="nil"/>
            </w:tcBorders>
          </w:tcPr>
          <w:p w14:paraId="295FCE6F" w14:textId="77777777" w:rsidR="008F364A" w:rsidRPr="00B2562E" w:rsidRDefault="008F364A">
            <w:pPr>
              <w:keepNext/>
            </w:pPr>
          </w:p>
        </w:tc>
        <w:tc>
          <w:tcPr>
            <w:tcW w:w="4680" w:type="dxa"/>
            <w:tcBorders>
              <w:top w:val="single" w:sz="8" w:space="0" w:color="auto"/>
            </w:tcBorders>
          </w:tcPr>
          <w:p w14:paraId="5B7F4546" w14:textId="429ADE42" w:rsidR="008F364A" w:rsidRPr="00B2562E" w:rsidRDefault="00C6787E">
            <w:pPr>
              <w:keepNext/>
            </w:pPr>
            <w:r w:rsidRPr="00B2562E">
              <w:t xml:space="preserve">FRÉDÉRIC BACHAND, </w:t>
            </w:r>
            <w:r w:rsidR="00A82181" w:rsidRPr="00B2562E">
              <w:t>J.A.</w:t>
            </w:r>
          </w:p>
        </w:tc>
      </w:tr>
      <w:bookmarkEnd w:id="11"/>
      <w:tr w:rsidR="005A78BF" w:rsidRPr="00B2562E" w14:paraId="1132C38C" w14:textId="77777777" w:rsidTr="0067558D">
        <w:tc>
          <w:tcPr>
            <w:tcW w:w="9362" w:type="dxa"/>
            <w:gridSpan w:val="3"/>
            <w:tcBorders>
              <w:bottom w:val="nil"/>
            </w:tcBorders>
          </w:tcPr>
          <w:p w14:paraId="347BECA8" w14:textId="77777777" w:rsidR="005A78BF" w:rsidRPr="00B2562E" w:rsidRDefault="005A78BF" w:rsidP="005A78BF"/>
        </w:tc>
      </w:tr>
      <w:tr w:rsidR="005A78BF" w:rsidRPr="00B2562E" w14:paraId="7068E9FA" w14:textId="77777777" w:rsidTr="0067558D">
        <w:tc>
          <w:tcPr>
            <w:tcW w:w="9362" w:type="dxa"/>
            <w:gridSpan w:val="3"/>
            <w:tcBorders>
              <w:top w:val="nil"/>
            </w:tcBorders>
          </w:tcPr>
          <w:p w14:paraId="63849585" w14:textId="4FC6D510" w:rsidR="005A78BF" w:rsidRPr="00B2562E" w:rsidRDefault="00DA3A77" w:rsidP="005A78BF">
            <w:pPr>
              <w:pStyle w:val="zSoquijdatNomProcureurDem"/>
            </w:pPr>
            <w:r w:rsidRPr="00B2562E">
              <w:t>M</w:t>
            </w:r>
            <w:r w:rsidR="005F121A" w:rsidRPr="00B2562E">
              <w:t>tr</w:t>
            </w:r>
            <w:r w:rsidRPr="00B2562E">
              <w:t xml:space="preserve">e Anna </w:t>
            </w:r>
            <w:proofErr w:type="spellStart"/>
            <w:r w:rsidRPr="00B2562E">
              <w:t>Ouahnich</w:t>
            </w:r>
            <w:proofErr w:type="spellEnd"/>
          </w:p>
        </w:tc>
      </w:tr>
      <w:tr w:rsidR="005A78BF" w:rsidRPr="00B2562E" w14:paraId="0634B228" w14:textId="77777777" w:rsidTr="00423DF1">
        <w:tc>
          <w:tcPr>
            <w:tcW w:w="9362" w:type="dxa"/>
            <w:gridSpan w:val="3"/>
          </w:tcPr>
          <w:p w14:paraId="03E513C9" w14:textId="528612AE" w:rsidR="005A78BF" w:rsidRPr="00B2562E" w:rsidRDefault="00DA3A77" w:rsidP="005A78BF">
            <w:pPr>
              <w:pStyle w:val="zSoquijdatCabinetProcureurDem"/>
            </w:pPr>
            <w:r w:rsidRPr="00B2562E">
              <w:t xml:space="preserve">ANNA OUAHNICH AVOCATE </w:t>
            </w:r>
          </w:p>
        </w:tc>
      </w:tr>
      <w:tr w:rsidR="005A78BF" w:rsidRPr="00B2562E" w14:paraId="4BF96B4E" w14:textId="77777777" w:rsidTr="00423DF1">
        <w:tc>
          <w:tcPr>
            <w:tcW w:w="9362" w:type="dxa"/>
            <w:gridSpan w:val="3"/>
          </w:tcPr>
          <w:p w14:paraId="2EA35B7C" w14:textId="2F389C8A" w:rsidR="005A78BF" w:rsidRPr="00B2562E" w:rsidRDefault="005F121A" w:rsidP="005A78BF">
            <w:pPr>
              <w:pStyle w:val="zSoquijlblProcureurDem"/>
            </w:pPr>
            <w:r w:rsidRPr="00B2562E">
              <w:t>For</w:t>
            </w:r>
            <w:r w:rsidR="00DA3A77" w:rsidRPr="00B2562E">
              <w:t xml:space="preserve"> </w:t>
            </w:r>
            <w:r w:rsidR="009F013A" w:rsidRPr="00B2562E">
              <w:t>the appellant</w:t>
            </w:r>
          </w:p>
        </w:tc>
      </w:tr>
      <w:tr w:rsidR="005A78BF" w:rsidRPr="00B2562E" w14:paraId="35CF6639" w14:textId="77777777" w:rsidTr="00423DF1">
        <w:tc>
          <w:tcPr>
            <w:tcW w:w="9362" w:type="dxa"/>
            <w:gridSpan w:val="3"/>
          </w:tcPr>
          <w:p w14:paraId="3A965F36" w14:textId="77777777" w:rsidR="005A78BF" w:rsidRPr="00B2562E" w:rsidRDefault="005A78BF" w:rsidP="005A78BF"/>
        </w:tc>
      </w:tr>
      <w:tr w:rsidR="005A78BF" w:rsidRPr="00B2562E" w14:paraId="12B9C684" w14:textId="77777777" w:rsidTr="00423DF1">
        <w:tc>
          <w:tcPr>
            <w:tcW w:w="9362" w:type="dxa"/>
            <w:gridSpan w:val="3"/>
          </w:tcPr>
          <w:p w14:paraId="709156BF" w14:textId="3364A4FE" w:rsidR="005A78BF" w:rsidRPr="00B2562E" w:rsidRDefault="00DA3A77" w:rsidP="005A78BF">
            <w:pPr>
              <w:pStyle w:val="zSoquijdatNomProcureurDef"/>
            </w:pPr>
            <w:r w:rsidRPr="00B2562E">
              <w:t>M</w:t>
            </w:r>
            <w:r w:rsidR="005F121A" w:rsidRPr="00B2562E">
              <w:t>tr</w:t>
            </w:r>
            <w:r w:rsidRPr="00B2562E">
              <w:t>e Simon Blais</w:t>
            </w:r>
          </w:p>
        </w:tc>
      </w:tr>
      <w:tr w:rsidR="005A78BF" w:rsidRPr="00B2562E" w14:paraId="5C507CFA" w14:textId="77777777" w:rsidTr="00423DF1">
        <w:tc>
          <w:tcPr>
            <w:tcW w:w="9362" w:type="dxa"/>
            <w:gridSpan w:val="3"/>
          </w:tcPr>
          <w:p w14:paraId="7C01636E" w14:textId="0541EE89" w:rsidR="005A78BF" w:rsidRPr="00B2562E" w:rsidRDefault="00DA3A77" w:rsidP="005A78BF">
            <w:pPr>
              <w:pStyle w:val="zSoquijdatCabinetProcureurDef"/>
            </w:pPr>
            <w:r w:rsidRPr="00B2562E">
              <w:t>DIRECT</w:t>
            </w:r>
            <w:r w:rsidR="005F121A" w:rsidRPr="00B2562E">
              <w:t>OR OF CRIMINAL AND PENAL PROSECUTIONS</w:t>
            </w:r>
          </w:p>
        </w:tc>
      </w:tr>
      <w:tr w:rsidR="005A78BF" w:rsidRPr="00B2562E" w14:paraId="6268EA44" w14:textId="77777777" w:rsidTr="00423DF1">
        <w:tc>
          <w:tcPr>
            <w:tcW w:w="9362" w:type="dxa"/>
            <w:gridSpan w:val="3"/>
          </w:tcPr>
          <w:p w14:paraId="16D77324" w14:textId="0B540064" w:rsidR="005A78BF" w:rsidRPr="00B2562E" w:rsidRDefault="005F121A" w:rsidP="005A78BF">
            <w:pPr>
              <w:pStyle w:val="zSoquijlblProcureurDef"/>
            </w:pPr>
            <w:r w:rsidRPr="00B2562E">
              <w:t>For the respondent</w:t>
            </w:r>
          </w:p>
        </w:tc>
      </w:tr>
      <w:tr w:rsidR="005A78BF" w:rsidRPr="00B2562E" w14:paraId="317F0FBB" w14:textId="77777777" w:rsidTr="00423DF1">
        <w:tc>
          <w:tcPr>
            <w:tcW w:w="9362" w:type="dxa"/>
            <w:gridSpan w:val="3"/>
          </w:tcPr>
          <w:p w14:paraId="6DF029C3" w14:textId="77777777" w:rsidR="005A78BF" w:rsidRPr="00B2562E" w:rsidRDefault="005A78BF" w:rsidP="005A78BF"/>
        </w:tc>
      </w:tr>
      <w:tr w:rsidR="005A78BF" w:rsidRPr="00B2562E" w14:paraId="6E42933C" w14:textId="77777777" w:rsidTr="00423DF1">
        <w:tc>
          <w:tcPr>
            <w:tcW w:w="1997" w:type="dxa"/>
          </w:tcPr>
          <w:p w14:paraId="728B565E" w14:textId="5BF5B3A4" w:rsidR="005A78BF" w:rsidRPr="00B2562E" w:rsidRDefault="005A78BF" w:rsidP="005A78BF">
            <w:pPr>
              <w:pStyle w:val="zSoquijlblDateAudience"/>
            </w:pPr>
            <w:r w:rsidRPr="00B2562E">
              <w:t xml:space="preserve">Date </w:t>
            </w:r>
            <w:r w:rsidR="005F121A" w:rsidRPr="00B2562E">
              <w:t>of hearing</w:t>
            </w:r>
            <w:r w:rsidRPr="00B2562E">
              <w:t>:</w:t>
            </w:r>
          </w:p>
        </w:tc>
        <w:tc>
          <w:tcPr>
            <w:tcW w:w="7365" w:type="dxa"/>
            <w:gridSpan w:val="2"/>
          </w:tcPr>
          <w:p w14:paraId="667D4164" w14:textId="24F36DDF" w:rsidR="005A78BF" w:rsidRPr="00B2562E" w:rsidRDefault="005F121A" w:rsidP="005A78BF">
            <w:pPr>
              <w:pStyle w:val="zSoquijdatDateAudience"/>
            </w:pPr>
            <w:r w:rsidRPr="00B2562E">
              <w:t xml:space="preserve">August </w:t>
            </w:r>
            <w:r w:rsidR="00DA3A77" w:rsidRPr="00B2562E">
              <w:t>31</w:t>
            </w:r>
            <w:r w:rsidRPr="00B2562E">
              <w:t>,</w:t>
            </w:r>
            <w:r w:rsidR="00DA3A77" w:rsidRPr="00B2562E">
              <w:t xml:space="preserve"> 2022</w:t>
            </w:r>
          </w:p>
        </w:tc>
      </w:tr>
      <w:bookmarkEnd w:id="8"/>
    </w:tbl>
    <w:p w14:paraId="0B1752F2" w14:textId="40237371" w:rsidR="00740A17" w:rsidRPr="00B2562E" w:rsidRDefault="00740A17" w:rsidP="00DA3A77"/>
    <w:p w14:paraId="4ACF56C5" w14:textId="6DBCE5E0" w:rsidR="00D25970" w:rsidRPr="00B2562E" w:rsidRDefault="00D25970">
      <w:pPr>
        <w:spacing w:line="240" w:lineRule="auto"/>
      </w:pPr>
      <w:bookmarkStart w:id="12" w:name="Opinion"/>
      <w:r w:rsidRPr="00B2562E">
        <w:br w:type="page"/>
      </w:r>
    </w:p>
    <w:p w14:paraId="02CBBCA9" w14:textId="77777777" w:rsidR="0012455D" w:rsidRPr="00B2562E" w:rsidRDefault="0012455D" w:rsidP="0012455D">
      <w:pPr>
        <w:sectPr w:rsidR="0012455D" w:rsidRPr="00B2562E" w:rsidSect="00F43559">
          <w:headerReference w:type="default" r:id="rId8"/>
          <w:pgSz w:w="12242" w:h="15842" w:code="1"/>
          <w:pgMar w:top="1440" w:right="1008" w:bottom="1440" w:left="1872" w:header="1440" w:footer="792" w:gutter="0"/>
          <w:cols w:space="720"/>
          <w:formProt w:val="0"/>
          <w:titlePg/>
        </w:sectPr>
      </w:pPr>
    </w:p>
    <w:bookmarkEnd w:id="12"/>
    <w:tbl>
      <w:tblPr>
        <w:tblW w:w="0" w:type="auto"/>
        <w:tblLayout w:type="fixed"/>
        <w:tblCellMar>
          <w:left w:w="0" w:type="dxa"/>
          <w:right w:w="0" w:type="dxa"/>
        </w:tblCellMar>
        <w:tblLook w:val="0000" w:firstRow="0" w:lastRow="0" w:firstColumn="0" w:lastColumn="0" w:noHBand="0" w:noVBand="0"/>
      </w:tblPr>
      <w:tblGrid>
        <w:gridCol w:w="9360"/>
      </w:tblGrid>
      <w:tr w:rsidR="0012455D" w:rsidRPr="00B2562E" w14:paraId="2733A2CC" w14:textId="77777777" w:rsidTr="00AF4CB1">
        <w:tc>
          <w:tcPr>
            <w:tcW w:w="9360" w:type="dxa"/>
            <w:tcBorders>
              <w:bottom w:val="single" w:sz="8" w:space="0" w:color="auto"/>
            </w:tcBorders>
          </w:tcPr>
          <w:p w14:paraId="256B79FD" w14:textId="77777777" w:rsidR="0012455D" w:rsidRPr="00B2562E" w:rsidRDefault="0012455D" w:rsidP="00AF4CB1"/>
        </w:tc>
      </w:tr>
      <w:tr w:rsidR="0012455D" w:rsidRPr="00B2562E" w14:paraId="2D7F29A9" w14:textId="77777777" w:rsidTr="00AF4CB1">
        <w:tc>
          <w:tcPr>
            <w:tcW w:w="9360" w:type="dxa"/>
            <w:tcBorders>
              <w:top w:val="single" w:sz="8" w:space="0" w:color="auto"/>
            </w:tcBorders>
          </w:tcPr>
          <w:p w14:paraId="02F93552" w14:textId="77777777" w:rsidR="0012455D" w:rsidRPr="00B2562E" w:rsidRDefault="0012455D" w:rsidP="00AF4CB1"/>
        </w:tc>
      </w:tr>
      <w:tr w:rsidR="0012455D" w:rsidRPr="00B2562E" w14:paraId="52CCFB56" w14:textId="77777777" w:rsidTr="00AF4CB1">
        <w:tc>
          <w:tcPr>
            <w:tcW w:w="9360" w:type="dxa"/>
          </w:tcPr>
          <w:p w14:paraId="026E0BF2" w14:textId="42448780" w:rsidR="0012455D" w:rsidRPr="00B2562E" w:rsidRDefault="005F121A" w:rsidP="00C6787E">
            <w:pPr>
              <w:pStyle w:val="zSoquijlblOpinionJuge"/>
            </w:pPr>
            <w:r w:rsidRPr="00B2562E">
              <w:t xml:space="preserve">REASONS OF </w:t>
            </w:r>
            <w:r w:rsidR="00C6787E" w:rsidRPr="00B2562E">
              <w:t>HEALY</w:t>
            </w:r>
            <w:r w:rsidRPr="00B2562E">
              <w:t xml:space="preserve"> J.A.</w:t>
            </w:r>
          </w:p>
        </w:tc>
      </w:tr>
      <w:tr w:rsidR="0012455D" w:rsidRPr="00B2562E" w14:paraId="616D392D" w14:textId="77777777" w:rsidTr="00AF4CB1">
        <w:tc>
          <w:tcPr>
            <w:tcW w:w="9360" w:type="dxa"/>
            <w:tcBorders>
              <w:bottom w:val="single" w:sz="8" w:space="0" w:color="auto"/>
            </w:tcBorders>
          </w:tcPr>
          <w:p w14:paraId="1CD2E378" w14:textId="77777777" w:rsidR="0012455D" w:rsidRPr="00B2562E" w:rsidRDefault="0012455D" w:rsidP="00AF4CB1"/>
        </w:tc>
      </w:tr>
      <w:tr w:rsidR="0012455D" w:rsidRPr="00B2562E" w14:paraId="03343521" w14:textId="77777777" w:rsidTr="00AF4CB1">
        <w:tc>
          <w:tcPr>
            <w:tcW w:w="9360" w:type="dxa"/>
            <w:tcBorders>
              <w:top w:val="single" w:sz="8" w:space="0" w:color="auto"/>
            </w:tcBorders>
          </w:tcPr>
          <w:p w14:paraId="3637513C" w14:textId="77777777" w:rsidR="0012455D" w:rsidRPr="00B2562E" w:rsidRDefault="0012455D" w:rsidP="00AF4CB1"/>
        </w:tc>
      </w:tr>
    </w:tbl>
    <w:p w14:paraId="04E6EDA9" w14:textId="77777777" w:rsidR="0012455D" w:rsidRPr="00B2562E" w:rsidRDefault="0012455D" w:rsidP="0010369B">
      <w:pPr>
        <w:pStyle w:val="Titre1"/>
        <w:spacing w:line="280" w:lineRule="exact"/>
      </w:pPr>
      <w:r w:rsidRPr="00B2562E">
        <w:t>Introduction</w:t>
      </w:r>
    </w:p>
    <w:p w14:paraId="0B76B328" w14:textId="5DBB775A" w:rsidR="000D27FE" w:rsidRPr="00B2562E" w:rsidRDefault="00DA7142" w:rsidP="000D27FE">
      <w:pPr>
        <w:pStyle w:val="Paragraphe"/>
        <w:spacing w:line="280" w:lineRule="exact"/>
      </w:pPr>
      <w:r w:rsidRPr="00B2562E">
        <w:t xml:space="preserve">The appellant </w:t>
      </w:r>
      <w:r w:rsidR="000D27FE" w:rsidRPr="00B2562E">
        <w:t>appeal</w:t>
      </w:r>
      <w:r w:rsidRPr="00B2562E">
        <w:t>s</w:t>
      </w:r>
      <w:r w:rsidR="000D27FE" w:rsidRPr="00B2562E">
        <w:t xml:space="preserve"> </w:t>
      </w:r>
      <w:r w:rsidRPr="00B2562E">
        <w:t>from</w:t>
      </w:r>
      <w:r w:rsidR="000D27FE" w:rsidRPr="00B2562E">
        <w:t xml:space="preserve"> </w:t>
      </w:r>
      <w:r w:rsidR="001335CE" w:rsidRPr="00B2562E">
        <w:t>a sentencing</w:t>
      </w:r>
      <w:r w:rsidRPr="00B2562E">
        <w:t xml:space="preserve"> judgment </w:t>
      </w:r>
      <w:r w:rsidR="000D27FE" w:rsidRPr="00B2562E">
        <w:t xml:space="preserve">rendered by the Court of </w:t>
      </w:r>
      <w:r w:rsidRPr="00B2562E">
        <w:t>Québec</w:t>
      </w:r>
      <w:r w:rsidR="000D27FE" w:rsidRPr="00B2562E">
        <w:t xml:space="preserve">, Criminal and Penal Division, </w:t>
      </w:r>
      <w:r w:rsidRPr="00B2562E">
        <w:t xml:space="preserve">District </w:t>
      </w:r>
      <w:r w:rsidR="000D27FE" w:rsidRPr="00B2562E">
        <w:t xml:space="preserve">of Laval (the Honourable Serge Cimon), on November 27, 2020, following </w:t>
      </w:r>
      <w:r w:rsidR="00081D2D" w:rsidRPr="00B2562E">
        <w:t>the appellant’s</w:t>
      </w:r>
      <w:r w:rsidR="000D27FE" w:rsidRPr="00B2562E">
        <w:t xml:space="preserve"> plea of guilty on </w:t>
      </w:r>
      <w:r w:rsidR="006E4B01">
        <w:t>one</w:t>
      </w:r>
      <w:r w:rsidR="000D27FE" w:rsidRPr="00B2562E">
        <w:t xml:space="preserve"> count of uttering threat</w:t>
      </w:r>
      <w:r w:rsidR="00F35BE4" w:rsidRPr="00B2562E">
        <w:t>s</w:t>
      </w:r>
      <w:r w:rsidR="000D27FE" w:rsidRPr="00B2562E">
        <w:t xml:space="preserve"> to cause death or bodily harm</w:t>
      </w:r>
      <w:r w:rsidR="000D27FE" w:rsidRPr="00B2562E">
        <w:rPr>
          <w:rStyle w:val="Appelnotedebasdep"/>
          <w:rFonts w:cs="Arial"/>
          <w:szCs w:val="24"/>
          <w:lang w:val="en-CA"/>
        </w:rPr>
        <w:footnoteReference w:id="1"/>
      </w:r>
      <w:r w:rsidR="000D27FE" w:rsidRPr="00B2562E">
        <w:t xml:space="preserve"> and </w:t>
      </w:r>
      <w:r w:rsidR="006E4B01">
        <w:t>one</w:t>
      </w:r>
      <w:r w:rsidR="000D27FE" w:rsidRPr="00B2562E">
        <w:t xml:space="preserve"> count of mischief</w:t>
      </w:r>
      <w:r w:rsidR="000D27FE" w:rsidRPr="00B2562E">
        <w:rPr>
          <w:rStyle w:val="Appelnotedebasdep"/>
          <w:rFonts w:cs="Arial"/>
          <w:szCs w:val="24"/>
          <w:lang w:val="en-CA"/>
        </w:rPr>
        <w:footnoteReference w:id="2"/>
      </w:r>
      <w:r w:rsidR="000D27FE" w:rsidRPr="00B2562E">
        <w:t xml:space="preserve"> of a value of $4,850 committed in a holding cell.</w:t>
      </w:r>
      <w:r w:rsidR="000D27FE" w:rsidRPr="00B2562E">
        <w:rPr>
          <w:rStyle w:val="Appelnotedebasdep"/>
          <w:rFonts w:cs="Arial"/>
          <w:szCs w:val="24"/>
          <w:lang w:val="en-CA"/>
        </w:rPr>
        <w:footnoteReference w:id="3"/>
      </w:r>
      <w:r w:rsidR="000D27FE" w:rsidRPr="00B2562E">
        <w:t xml:space="preserve"> </w:t>
      </w:r>
    </w:p>
    <w:p w14:paraId="477627CE" w14:textId="6B6B951B" w:rsidR="0012455D" w:rsidRPr="00B2562E" w:rsidRDefault="001D39C4" w:rsidP="000E174F">
      <w:pPr>
        <w:pStyle w:val="Paragraphe"/>
        <w:spacing w:line="280" w:lineRule="exact"/>
      </w:pPr>
      <w:r w:rsidRPr="00B2562E">
        <w:t>At trial, the</w:t>
      </w:r>
      <w:r w:rsidR="0012455D" w:rsidRPr="00B2562E">
        <w:t xml:space="preserve"> parties</w:t>
      </w:r>
      <w:r w:rsidR="001B35FE" w:rsidRPr="00B2562E">
        <w:t xml:space="preserve"> </w:t>
      </w:r>
      <w:r w:rsidR="009555D4" w:rsidRPr="00B2562E">
        <w:t>jointly</w:t>
      </w:r>
      <w:r w:rsidR="0082581C" w:rsidRPr="00B2562E">
        <w:t xml:space="preserve"> </w:t>
      </w:r>
      <w:r w:rsidR="0012455D" w:rsidRPr="00B2562E">
        <w:t>propos</w:t>
      </w:r>
      <w:r w:rsidR="0082581C" w:rsidRPr="00B2562E">
        <w:t>ed</w:t>
      </w:r>
      <w:r w:rsidR="001B35FE" w:rsidRPr="00B2562E">
        <w:t xml:space="preserve"> </w:t>
      </w:r>
      <w:r w:rsidR="0082581C" w:rsidRPr="00B2562E">
        <w:t xml:space="preserve">a </w:t>
      </w:r>
      <w:r w:rsidR="0009593C">
        <w:t>three</w:t>
      </w:r>
      <w:r w:rsidR="0082581C" w:rsidRPr="00B2562E">
        <w:t>-month sentence</w:t>
      </w:r>
      <w:r w:rsidR="00F35BE4" w:rsidRPr="00B2562E">
        <w:t xml:space="preserve"> to be served</w:t>
      </w:r>
      <w:r w:rsidR="0082581C" w:rsidRPr="00B2562E">
        <w:t xml:space="preserve"> concurrent</w:t>
      </w:r>
      <w:r w:rsidR="00F35BE4" w:rsidRPr="00B2562E">
        <w:t>ly</w:t>
      </w:r>
      <w:r w:rsidR="0082581C" w:rsidRPr="00B2562E">
        <w:t xml:space="preserve"> on </w:t>
      </w:r>
      <w:r w:rsidR="00F35BE4" w:rsidRPr="00B2562E">
        <w:t>both</w:t>
      </w:r>
      <w:r w:rsidR="0082581C" w:rsidRPr="00B2562E">
        <w:t xml:space="preserve"> counts, </w:t>
      </w:r>
      <w:r w:rsidR="00F35BE4" w:rsidRPr="00B2562E">
        <w:t xml:space="preserve">along </w:t>
      </w:r>
      <w:r w:rsidR="0082581C" w:rsidRPr="00B2562E">
        <w:t xml:space="preserve">with </w:t>
      </w:r>
      <w:r w:rsidR="0009593C">
        <w:t>one</w:t>
      </w:r>
      <w:r w:rsidR="0082581C" w:rsidRPr="00B2562E">
        <w:t xml:space="preserve"> year’s </w:t>
      </w:r>
      <w:r w:rsidR="0012455D" w:rsidRPr="00B2562E">
        <w:t>probation</w:t>
      </w:r>
      <w:r w:rsidR="0082581C" w:rsidRPr="00B2562E">
        <w:t xml:space="preserve">, </w:t>
      </w:r>
      <w:r w:rsidR="0012455D" w:rsidRPr="00B2562E">
        <w:t>concurrent</w:t>
      </w:r>
      <w:r w:rsidR="0082581C" w:rsidRPr="00B2562E">
        <w:t xml:space="preserve"> with all </w:t>
      </w:r>
      <w:r w:rsidR="00F35BE4" w:rsidRPr="00B2562E">
        <w:t>sentences</w:t>
      </w:r>
      <w:r w:rsidR="0082581C" w:rsidRPr="00B2562E">
        <w:t xml:space="preserve"> already </w:t>
      </w:r>
      <w:r w:rsidR="00B016C9">
        <w:t>in effect</w:t>
      </w:r>
      <w:r w:rsidR="006E4B01">
        <w:t xml:space="preserve"> </w:t>
      </w:r>
      <w:r w:rsidR="0082581C" w:rsidRPr="00B2562E">
        <w:t xml:space="preserve">for </w:t>
      </w:r>
      <w:r w:rsidR="006E4B01">
        <w:t xml:space="preserve">the </w:t>
      </w:r>
      <w:r w:rsidR="009769F6" w:rsidRPr="00B2562E">
        <w:t>global sentence</w:t>
      </w:r>
      <w:r w:rsidR="0082581C" w:rsidRPr="00B2562E">
        <w:t xml:space="preserve"> of </w:t>
      </w:r>
      <w:r w:rsidR="0009593C">
        <w:t>two</w:t>
      </w:r>
      <w:r w:rsidR="0082581C" w:rsidRPr="00B2562E">
        <w:t xml:space="preserve"> years’ imprisonment </w:t>
      </w:r>
      <w:r w:rsidR="006E4B01">
        <w:t xml:space="preserve">handed down on </w:t>
      </w:r>
      <w:r w:rsidR="00081D2D" w:rsidRPr="00B2562E">
        <w:t>the appellant</w:t>
      </w:r>
      <w:r w:rsidR="0082581C" w:rsidRPr="00B2562E">
        <w:t xml:space="preserve"> </w:t>
      </w:r>
      <w:r w:rsidR="009555D4" w:rsidRPr="00B2562E">
        <w:t>in</w:t>
      </w:r>
      <w:r w:rsidR="0082581C" w:rsidRPr="00B2562E">
        <w:t xml:space="preserve"> twenty separate files that </w:t>
      </w:r>
      <w:r w:rsidR="009F013A" w:rsidRPr="00B2562E">
        <w:t xml:space="preserve">he </w:t>
      </w:r>
      <w:r w:rsidR="001652FC">
        <w:t>resolve</w:t>
      </w:r>
      <w:r w:rsidR="001652FC" w:rsidRPr="00B2562E">
        <w:t xml:space="preserve">d </w:t>
      </w:r>
      <w:r w:rsidR="0082581C" w:rsidRPr="00B2562E">
        <w:t xml:space="preserve">before three judges in the </w:t>
      </w:r>
      <w:r w:rsidR="0012455D" w:rsidRPr="00B2562E">
        <w:t xml:space="preserve">districts </w:t>
      </w:r>
      <w:r w:rsidR="0082581C" w:rsidRPr="00B2562E">
        <w:t xml:space="preserve">of </w:t>
      </w:r>
      <w:r w:rsidR="0012455D" w:rsidRPr="00B2562E">
        <w:t xml:space="preserve">Laval </w:t>
      </w:r>
      <w:r w:rsidR="0082581C" w:rsidRPr="00B2562E">
        <w:t xml:space="preserve">and </w:t>
      </w:r>
      <w:r w:rsidR="0012455D" w:rsidRPr="00B2562E">
        <w:t>Montr</w:t>
      </w:r>
      <w:r w:rsidR="0082581C" w:rsidRPr="00B2562E">
        <w:t>e</w:t>
      </w:r>
      <w:r w:rsidR="0012455D" w:rsidRPr="00B2562E">
        <w:t>al</w:t>
      </w:r>
      <w:r w:rsidR="009555D4" w:rsidRPr="00B2562E">
        <w:t xml:space="preserve"> in the</w:t>
      </w:r>
      <w:r w:rsidR="006A665C" w:rsidRPr="00B2562E">
        <w:t xml:space="preserve"> spring </w:t>
      </w:r>
      <w:r w:rsidR="009555D4" w:rsidRPr="00B2562E">
        <w:t xml:space="preserve">of </w:t>
      </w:r>
      <w:r w:rsidR="0012455D" w:rsidRPr="00B2562E">
        <w:t xml:space="preserve">2020. </w:t>
      </w:r>
      <w:r w:rsidR="006A665C" w:rsidRPr="00B2562E">
        <w:t xml:space="preserve">The </w:t>
      </w:r>
      <w:r w:rsidR="0012455D" w:rsidRPr="00B2562E">
        <w:t>Cour</w:t>
      </w:r>
      <w:r w:rsidR="006A665C" w:rsidRPr="00B2562E">
        <w:t>t</w:t>
      </w:r>
      <w:r w:rsidR="0012455D" w:rsidRPr="00B2562E">
        <w:t xml:space="preserve"> </w:t>
      </w:r>
      <w:r w:rsidR="006A665C" w:rsidRPr="00B2562E">
        <w:t xml:space="preserve">of </w:t>
      </w:r>
      <w:r w:rsidR="0012455D" w:rsidRPr="00B2562E">
        <w:t>Qu</w:t>
      </w:r>
      <w:r w:rsidR="006A665C" w:rsidRPr="00B2562E">
        <w:t>e</w:t>
      </w:r>
      <w:r w:rsidR="0012455D" w:rsidRPr="00B2562E">
        <w:t>bec</w:t>
      </w:r>
      <w:r w:rsidR="006A665C" w:rsidRPr="00B2562E">
        <w:t xml:space="preserve"> </w:t>
      </w:r>
      <w:r w:rsidR="00F35BE4" w:rsidRPr="00B2562E">
        <w:t>rejected</w:t>
      </w:r>
      <w:r w:rsidR="006A665C" w:rsidRPr="00B2562E">
        <w:t xml:space="preserve"> the </w:t>
      </w:r>
      <w:r w:rsidR="00F768B7" w:rsidRPr="00B2562E">
        <w:t>joint submission</w:t>
      </w:r>
      <w:r w:rsidR="0012455D" w:rsidRPr="00B2562E">
        <w:t xml:space="preserve"> </w:t>
      </w:r>
      <w:r w:rsidR="006A665C" w:rsidRPr="00B2562E">
        <w:t xml:space="preserve">and imposed a total </w:t>
      </w:r>
      <w:r w:rsidR="00F35BE4" w:rsidRPr="00B2562E">
        <w:t>sentence</w:t>
      </w:r>
      <w:r w:rsidR="006A665C" w:rsidRPr="00B2562E">
        <w:t xml:space="preserve"> of six months</w:t>
      </w:r>
      <w:r w:rsidR="00081D2D" w:rsidRPr="00B2562E">
        <w:t>’ imprisonment</w:t>
      </w:r>
      <w:r w:rsidR="006A665C" w:rsidRPr="00B2562E">
        <w:t xml:space="preserve"> to be served concurrently and </w:t>
      </w:r>
      <w:r w:rsidR="0012455D" w:rsidRPr="00B2562E">
        <w:t>cons</w:t>
      </w:r>
      <w:r w:rsidR="006A665C" w:rsidRPr="00B2562E">
        <w:t>e</w:t>
      </w:r>
      <w:r w:rsidR="0012455D" w:rsidRPr="00B2562E">
        <w:t>cutive</w:t>
      </w:r>
      <w:r w:rsidR="006A665C" w:rsidRPr="00B2562E">
        <w:t xml:space="preserve">ly </w:t>
      </w:r>
      <w:r w:rsidR="00F35BE4" w:rsidRPr="00B2562E">
        <w:t>to</w:t>
      </w:r>
      <w:r w:rsidR="006A665C" w:rsidRPr="00B2562E">
        <w:t xml:space="preserve"> any other sentence i</w:t>
      </w:r>
      <w:r w:rsidR="00F35BE4" w:rsidRPr="00B2562E">
        <w:t>mposed,</w:t>
      </w:r>
      <w:r w:rsidR="006A665C" w:rsidRPr="00B2562E">
        <w:t xml:space="preserve"> as well as one year’s </w:t>
      </w:r>
      <w:r w:rsidR="004C715F" w:rsidRPr="00B2562E">
        <w:t xml:space="preserve">unsupervised </w:t>
      </w:r>
      <w:r w:rsidR="0012455D" w:rsidRPr="00B2562E">
        <w:t xml:space="preserve">probation </w:t>
      </w:r>
      <w:r w:rsidR="006A665C" w:rsidRPr="00B2562E">
        <w:t xml:space="preserve">with the usual </w:t>
      </w:r>
      <w:r w:rsidR="0012455D" w:rsidRPr="00B2562E">
        <w:t xml:space="preserve">conditions. </w:t>
      </w:r>
    </w:p>
    <w:p w14:paraId="1AE1E3B7" w14:textId="473B9546" w:rsidR="0012455D" w:rsidRPr="00B2562E" w:rsidRDefault="009F013A" w:rsidP="00F35BE4">
      <w:pPr>
        <w:pStyle w:val="Paragraphe"/>
        <w:keepNext/>
        <w:spacing w:after="0" w:line="280" w:lineRule="exact"/>
      </w:pPr>
      <w:r w:rsidRPr="00B2562E">
        <w:t>The appellant</w:t>
      </w:r>
      <w:r w:rsidR="0012455D" w:rsidRPr="00B2562E">
        <w:t xml:space="preserve"> </w:t>
      </w:r>
      <w:r w:rsidR="004C715F" w:rsidRPr="00B2562E">
        <w:t xml:space="preserve">invokes </w:t>
      </w:r>
      <w:r w:rsidR="006A665C" w:rsidRPr="00B2562E">
        <w:t xml:space="preserve">five grounds </w:t>
      </w:r>
      <w:r w:rsidR="004C715F" w:rsidRPr="00B2562E">
        <w:t xml:space="preserve">of </w:t>
      </w:r>
      <w:r w:rsidR="006A665C" w:rsidRPr="00B2562E">
        <w:t>appeal,</w:t>
      </w:r>
      <w:bookmarkStart w:id="13" w:name="_Ref121312409"/>
      <w:r w:rsidR="0012455D" w:rsidRPr="00B2562E">
        <w:rPr>
          <w:rStyle w:val="Appelnotedebasdep"/>
          <w:rFonts w:cs="Arial"/>
          <w:szCs w:val="24"/>
          <w:lang w:val="en-CA"/>
        </w:rPr>
        <w:footnoteReference w:id="4"/>
      </w:r>
      <w:bookmarkEnd w:id="13"/>
      <w:r w:rsidR="0012455D" w:rsidRPr="00B2562E">
        <w:t xml:space="preserve"> </w:t>
      </w:r>
      <w:r w:rsidR="004C715F" w:rsidRPr="00B2562E">
        <w:t>which</w:t>
      </w:r>
      <w:r w:rsidR="006A665C" w:rsidRPr="00B2562E">
        <w:t xml:space="preserve"> can essentially be summ</w:t>
      </w:r>
      <w:r w:rsidR="004C715F" w:rsidRPr="00B2562E">
        <w:t xml:space="preserve">arized </w:t>
      </w:r>
      <w:r w:rsidR="006A665C" w:rsidRPr="00B2562E">
        <w:t xml:space="preserve">in a single </w:t>
      </w:r>
      <w:r w:rsidR="0012455D" w:rsidRPr="00B2562E">
        <w:t>question:</w:t>
      </w:r>
    </w:p>
    <w:p w14:paraId="09475A04" w14:textId="08A6B418" w:rsidR="00EC218B" w:rsidRPr="00B2562E" w:rsidRDefault="00EC218B" w:rsidP="006E2068">
      <w:pPr>
        <w:pStyle w:val="Paragraphe"/>
        <w:numPr>
          <w:ilvl w:val="0"/>
          <w:numId w:val="0"/>
        </w:numPr>
        <w:spacing w:before="0" w:after="0"/>
        <w:ind w:firstLine="720"/>
      </w:pPr>
      <w:r w:rsidRPr="00B2562E">
        <w:t>[</w:t>
      </w:r>
      <w:r w:rsidRPr="00B2562E">
        <w:rPr>
          <w:smallCaps/>
        </w:rPr>
        <w:t>translation</w:t>
      </w:r>
      <w:r w:rsidRPr="00B2562E">
        <w:t>]</w:t>
      </w:r>
    </w:p>
    <w:p w14:paraId="0545DD62" w14:textId="0E41B761" w:rsidR="005C09FC" w:rsidRPr="00B2562E" w:rsidRDefault="005C09FC" w:rsidP="005C09FC">
      <w:pPr>
        <w:pStyle w:val="Citationenretrait"/>
        <w:keepNext/>
      </w:pPr>
      <w:r w:rsidRPr="00B2562E">
        <w:t xml:space="preserve">Did the Court of Quebec err in principle </w:t>
      </w:r>
      <w:r w:rsidR="004C715F" w:rsidRPr="00B2562E">
        <w:t>in</w:t>
      </w:r>
      <w:r w:rsidRPr="00B2562E">
        <w:t xml:space="preserve"> not apply</w:t>
      </w:r>
      <w:r w:rsidR="004C715F" w:rsidRPr="00B2562E">
        <w:t>ing</w:t>
      </w:r>
      <w:r w:rsidRPr="00B2562E">
        <w:t xml:space="preserve"> the rules established by the Supreme Court in </w:t>
      </w:r>
      <w:r w:rsidRPr="00B2562E">
        <w:rPr>
          <w:i/>
        </w:rPr>
        <w:t>Anthony-Cook</w:t>
      </w:r>
      <w:r w:rsidRPr="00B2562E">
        <w:rPr>
          <w:rStyle w:val="Appelnotedebasdep"/>
          <w:rFonts w:cs="Arial"/>
          <w:sz w:val="24"/>
          <w:szCs w:val="24"/>
          <w:lang w:val="en-CA"/>
        </w:rPr>
        <w:footnoteReference w:id="5"/>
      </w:r>
      <w:r w:rsidRPr="00B2562E">
        <w:t xml:space="preserve"> concerning </w:t>
      </w:r>
      <w:r w:rsidR="0009593C">
        <w:t xml:space="preserve">the </w:t>
      </w:r>
      <w:r w:rsidR="006D6264" w:rsidRPr="00B2562E">
        <w:t>rejection</w:t>
      </w:r>
      <w:r w:rsidRPr="00B2562E">
        <w:t xml:space="preserve"> of a joint submission?</w:t>
      </w:r>
    </w:p>
    <w:p w14:paraId="2C7BCDB8" w14:textId="25FD38FE" w:rsidR="0012455D" w:rsidRPr="00B2562E" w:rsidRDefault="001F4037" w:rsidP="000E174F">
      <w:pPr>
        <w:pStyle w:val="Paragraphe"/>
        <w:spacing w:line="280" w:lineRule="exact"/>
      </w:pPr>
      <w:r w:rsidRPr="00B2562E">
        <w:t xml:space="preserve">To begin with, </w:t>
      </w:r>
      <w:r w:rsidR="0009593C">
        <w:t xml:space="preserve">it must be </w:t>
      </w:r>
      <w:r w:rsidRPr="00B2562E">
        <w:t>stress</w:t>
      </w:r>
      <w:r w:rsidR="0009593C">
        <w:t>ed</w:t>
      </w:r>
      <w:r w:rsidRPr="00B2562E">
        <w:t xml:space="preserve"> that the recital of the relevant facts </w:t>
      </w:r>
      <w:r w:rsidR="0009593C">
        <w:t xml:space="preserve">and </w:t>
      </w:r>
      <w:r w:rsidRPr="00B2562E">
        <w:t xml:space="preserve">the </w:t>
      </w:r>
      <w:r w:rsidR="006E2068" w:rsidRPr="00B2562E">
        <w:t>statement</w:t>
      </w:r>
      <w:r w:rsidRPr="00B2562E">
        <w:t xml:space="preserve"> of law by the </w:t>
      </w:r>
      <w:r w:rsidR="0012455D" w:rsidRPr="00B2562E">
        <w:t>Cour</w:t>
      </w:r>
      <w:r w:rsidRPr="00B2562E">
        <w:t>t</w:t>
      </w:r>
      <w:r w:rsidR="0012455D" w:rsidRPr="00B2562E">
        <w:t xml:space="preserve"> </w:t>
      </w:r>
      <w:r w:rsidRPr="00B2562E">
        <w:t>of</w:t>
      </w:r>
      <w:r w:rsidR="0012455D" w:rsidRPr="00B2562E">
        <w:t xml:space="preserve"> Qu</w:t>
      </w:r>
      <w:r w:rsidRPr="00B2562E">
        <w:t>e</w:t>
      </w:r>
      <w:r w:rsidR="0012455D" w:rsidRPr="00B2562E">
        <w:t xml:space="preserve">bec </w:t>
      </w:r>
      <w:r w:rsidR="0009593C">
        <w:t xml:space="preserve">are </w:t>
      </w:r>
      <w:r w:rsidRPr="00B2562E">
        <w:t xml:space="preserve">without error in </w:t>
      </w:r>
      <w:r w:rsidR="00E76907" w:rsidRPr="00B2562E">
        <w:t>law but</w:t>
      </w:r>
      <w:r w:rsidRPr="00B2562E">
        <w:t xml:space="preserve"> </w:t>
      </w:r>
      <w:r w:rsidR="0009593C">
        <w:t xml:space="preserve">are </w:t>
      </w:r>
      <w:r w:rsidRPr="00B2562E">
        <w:t xml:space="preserve">reviewable </w:t>
      </w:r>
      <w:r w:rsidR="0009593C">
        <w:t>in respect of</w:t>
      </w:r>
      <w:r w:rsidRPr="00B2562E">
        <w:t xml:space="preserve"> the </w:t>
      </w:r>
      <w:r w:rsidR="0012455D" w:rsidRPr="00B2562E">
        <w:t xml:space="preserve">application </w:t>
      </w:r>
      <w:r w:rsidRPr="00B2562E">
        <w:t xml:space="preserve">of </w:t>
      </w:r>
      <w:r w:rsidR="0009593C">
        <w:t xml:space="preserve">the </w:t>
      </w:r>
      <w:r w:rsidR="0012455D" w:rsidRPr="00B2562E">
        <w:t>princip</w:t>
      </w:r>
      <w:r w:rsidRPr="00B2562E">
        <w:t>l</w:t>
      </w:r>
      <w:r w:rsidR="0012455D" w:rsidRPr="00B2562E">
        <w:t xml:space="preserve">es </w:t>
      </w:r>
      <w:r w:rsidRPr="00B2562E">
        <w:t xml:space="preserve">in </w:t>
      </w:r>
      <w:r w:rsidR="0009593C">
        <w:t xml:space="preserve">this </w:t>
      </w:r>
      <w:r w:rsidRPr="00B2562E">
        <w:t>case</w:t>
      </w:r>
      <w:r w:rsidR="0012455D" w:rsidRPr="00B2562E">
        <w:t>.</w:t>
      </w:r>
    </w:p>
    <w:p w14:paraId="248FC923" w14:textId="12054122" w:rsidR="0012455D" w:rsidRPr="00B2562E" w:rsidRDefault="001F4037" w:rsidP="0010369B">
      <w:pPr>
        <w:pStyle w:val="Titre1"/>
        <w:numPr>
          <w:ilvl w:val="0"/>
          <w:numId w:val="22"/>
        </w:numPr>
        <w:tabs>
          <w:tab w:val="num" w:pos="360"/>
        </w:tabs>
        <w:spacing w:line="280" w:lineRule="exact"/>
        <w:ind w:left="360" w:hanging="360"/>
      </w:pPr>
      <w:r w:rsidRPr="00B2562E">
        <w:lastRenderedPageBreak/>
        <w:t>Relevant facts</w:t>
      </w:r>
    </w:p>
    <w:p w14:paraId="3B240D85" w14:textId="761FB37B" w:rsidR="0012455D" w:rsidRPr="00B2562E" w:rsidRDefault="001F4037" w:rsidP="000E174F">
      <w:pPr>
        <w:pStyle w:val="Paragraphe"/>
        <w:spacing w:line="280" w:lineRule="exact"/>
      </w:pPr>
      <w:r w:rsidRPr="00B2562E">
        <w:t xml:space="preserve">In his statement, </w:t>
      </w:r>
      <w:r w:rsidR="009F013A" w:rsidRPr="00B2562E">
        <w:t>the appellant</w:t>
      </w:r>
      <w:r w:rsidR="0012455D" w:rsidRPr="00B2562E">
        <w:t xml:space="preserve"> </w:t>
      </w:r>
      <w:r w:rsidR="00724A2C" w:rsidRPr="00B2562E">
        <w:t>presents</w:t>
      </w:r>
      <w:r w:rsidRPr="00B2562E">
        <w:t xml:space="preserve"> a </w:t>
      </w:r>
      <w:r w:rsidR="0012455D" w:rsidRPr="00B2562E">
        <w:t>chronolog</w:t>
      </w:r>
      <w:r w:rsidRPr="00B2562E">
        <w:t xml:space="preserve">y of his appearances before the </w:t>
      </w:r>
      <w:r w:rsidR="0012455D" w:rsidRPr="00B2562E">
        <w:t>Cour</w:t>
      </w:r>
      <w:r w:rsidRPr="00B2562E">
        <w:t xml:space="preserve">t of </w:t>
      </w:r>
      <w:r w:rsidR="0012455D" w:rsidRPr="00B2562E">
        <w:t>Qu</w:t>
      </w:r>
      <w:r w:rsidRPr="00B2562E">
        <w:t>e</w:t>
      </w:r>
      <w:r w:rsidR="0012455D" w:rsidRPr="00B2562E">
        <w:t xml:space="preserve">bec </w:t>
      </w:r>
      <w:r w:rsidRPr="00B2562E">
        <w:t xml:space="preserve">in </w:t>
      </w:r>
      <w:r w:rsidR="0090657E" w:rsidRPr="00B2562E">
        <w:t xml:space="preserve">the </w:t>
      </w:r>
      <w:r w:rsidRPr="00B2562E">
        <w:t xml:space="preserve">spring </w:t>
      </w:r>
      <w:r w:rsidR="0090657E" w:rsidRPr="00B2562E">
        <w:t xml:space="preserve">of </w:t>
      </w:r>
      <w:r w:rsidR="0012455D" w:rsidRPr="00B2562E">
        <w:t xml:space="preserve">2020 </w:t>
      </w:r>
      <w:r w:rsidRPr="00B2562E">
        <w:t xml:space="preserve">to </w:t>
      </w:r>
      <w:r w:rsidR="00450B69" w:rsidRPr="00B2562E">
        <w:t xml:space="preserve">resolve </w:t>
      </w:r>
      <w:r w:rsidRPr="00B2562E">
        <w:t>some twenty files</w:t>
      </w:r>
      <w:r w:rsidR="0012455D" w:rsidRPr="00B2562E">
        <w:t>:</w:t>
      </w:r>
    </w:p>
    <w:p w14:paraId="39DB17E4" w14:textId="25306A16" w:rsidR="00D70BFB" w:rsidRPr="00B2562E" w:rsidRDefault="00D70BFB" w:rsidP="00D70BFB">
      <w:pPr>
        <w:pStyle w:val="Paragraphe"/>
        <w:numPr>
          <w:ilvl w:val="0"/>
          <w:numId w:val="0"/>
        </w:numPr>
        <w:spacing w:line="280" w:lineRule="exact"/>
        <w:ind w:left="720"/>
      </w:pPr>
      <w:r w:rsidRPr="00B2562E">
        <w:t>[</w:t>
      </w:r>
      <w:r w:rsidRPr="00B2562E">
        <w:rPr>
          <w:smallCaps/>
        </w:rPr>
        <w:t>translation</w:t>
      </w:r>
      <w:r w:rsidRPr="00B2562E">
        <w:t>]</w:t>
      </w:r>
    </w:p>
    <w:p w14:paraId="71277DEE" w14:textId="007F6DEF" w:rsidR="0012455D" w:rsidRPr="00B2562E" w:rsidRDefault="00EE6F15" w:rsidP="000E174F">
      <w:pPr>
        <w:pStyle w:val="Citationenretrait"/>
      </w:pPr>
      <w:r w:rsidRPr="00B2562E">
        <w:t xml:space="preserve">On April 14, </w:t>
      </w:r>
      <w:r w:rsidR="0012455D" w:rsidRPr="00B2562E">
        <w:t xml:space="preserve">2020, </w:t>
      </w:r>
      <w:r w:rsidRPr="00B2562E">
        <w:t xml:space="preserve">in </w:t>
      </w:r>
      <w:r w:rsidR="0012455D" w:rsidRPr="00B2562E">
        <w:t>Montr</w:t>
      </w:r>
      <w:r w:rsidRPr="00B2562E">
        <w:t>e</w:t>
      </w:r>
      <w:r w:rsidR="0012455D" w:rsidRPr="00B2562E">
        <w:t xml:space="preserve">al, </w:t>
      </w:r>
      <w:r w:rsidRPr="00B2562E">
        <w:t xml:space="preserve">the </w:t>
      </w:r>
      <w:r w:rsidR="0012455D" w:rsidRPr="00B2562E">
        <w:t>Hono</w:t>
      </w:r>
      <w:r w:rsidRPr="00B2562E">
        <w:t>u</w:t>
      </w:r>
      <w:r w:rsidR="0012455D" w:rsidRPr="00B2562E">
        <w:t xml:space="preserve">rable Patricia </w:t>
      </w:r>
      <w:proofErr w:type="spellStart"/>
      <w:r w:rsidR="0012455D" w:rsidRPr="00B2562E">
        <w:t>Compagnone</w:t>
      </w:r>
      <w:proofErr w:type="spellEnd"/>
      <w:r w:rsidR="0012455D" w:rsidRPr="00B2562E">
        <w:t xml:space="preserve"> </w:t>
      </w:r>
      <w:r w:rsidRPr="00B2562E">
        <w:t>J.C.Q.</w:t>
      </w:r>
      <w:r w:rsidR="0012455D" w:rsidRPr="00B2562E">
        <w:t xml:space="preserve"> impose</w:t>
      </w:r>
      <w:r w:rsidR="00CB5D45" w:rsidRPr="00B2562E">
        <w:t>d</w:t>
      </w:r>
      <w:r w:rsidRPr="00B2562E">
        <w:t xml:space="preserve"> a </w:t>
      </w:r>
      <w:r w:rsidR="00724A2C" w:rsidRPr="00B2562E">
        <w:t>global</w:t>
      </w:r>
      <w:r w:rsidRPr="00B2562E">
        <w:t xml:space="preserve"> sentence on </w:t>
      </w:r>
      <w:r w:rsidR="009F013A" w:rsidRPr="00B2562E">
        <w:t>the appellant</w:t>
      </w:r>
      <w:r w:rsidR="0012455D" w:rsidRPr="00B2562E">
        <w:t xml:space="preserve"> </w:t>
      </w:r>
      <w:r w:rsidR="00724A2C" w:rsidRPr="00B2562E">
        <w:t xml:space="preserve">of two years’ imprisonment </w:t>
      </w:r>
      <w:r w:rsidR="00450B69" w:rsidRPr="00B2562E">
        <w:t xml:space="preserve">in </w:t>
      </w:r>
      <w:r w:rsidR="00323510">
        <w:t xml:space="preserve">connection with </w:t>
      </w:r>
      <w:r w:rsidRPr="00B2562E">
        <w:t>events that had occurred in S</w:t>
      </w:r>
      <w:r w:rsidR="0012455D" w:rsidRPr="00B2562E">
        <w:t>eptemb</w:t>
      </w:r>
      <w:r w:rsidRPr="00B2562E">
        <w:t>er</w:t>
      </w:r>
      <w:r w:rsidR="0012455D" w:rsidRPr="00B2562E">
        <w:t xml:space="preserve"> 2015, </w:t>
      </w:r>
      <w:r w:rsidRPr="00B2562E">
        <w:t>Nov</w:t>
      </w:r>
      <w:r w:rsidR="0012455D" w:rsidRPr="00B2562E">
        <w:t>emb</w:t>
      </w:r>
      <w:r w:rsidRPr="00B2562E">
        <w:t>er</w:t>
      </w:r>
      <w:r w:rsidR="0012455D" w:rsidRPr="00B2562E">
        <w:t xml:space="preserve"> 2018,</w:t>
      </w:r>
      <w:r w:rsidRPr="00B2562E">
        <w:t xml:space="preserve"> Dec</w:t>
      </w:r>
      <w:r w:rsidR="0012455D" w:rsidRPr="00B2562E">
        <w:t>embe</w:t>
      </w:r>
      <w:r w:rsidRPr="00B2562E">
        <w:t>r</w:t>
      </w:r>
      <w:r w:rsidR="0012455D" w:rsidRPr="00B2562E">
        <w:t xml:space="preserve"> 2018, </w:t>
      </w:r>
      <w:r w:rsidRPr="00B2562E">
        <w:t xml:space="preserve">and July and August </w:t>
      </w:r>
      <w:r w:rsidR="0012455D" w:rsidRPr="00B2562E">
        <w:t xml:space="preserve">2019, </w:t>
      </w:r>
      <w:r w:rsidRPr="00B2562E">
        <w:t xml:space="preserve">thereby allowing the applicant to </w:t>
      </w:r>
      <w:r w:rsidR="006E2068" w:rsidRPr="00B2562E">
        <w:t xml:space="preserve">dispose of </w:t>
      </w:r>
      <w:r w:rsidR="00CB5D45" w:rsidRPr="00B2562E">
        <w:t>thirteen files.</w:t>
      </w:r>
    </w:p>
    <w:p w14:paraId="7910CE47" w14:textId="5F52954C" w:rsidR="00CB5D45" w:rsidRPr="00B2562E" w:rsidRDefault="00CB5D45" w:rsidP="00CB5D45">
      <w:pPr>
        <w:pStyle w:val="Citationenretrait"/>
      </w:pPr>
      <w:r w:rsidRPr="00B2562E">
        <w:t xml:space="preserve">On April 22, </w:t>
      </w:r>
      <w:r w:rsidR="0012455D" w:rsidRPr="00B2562E">
        <w:t xml:space="preserve">2020, </w:t>
      </w:r>
      <w:r w:rsidRPr="00B2562E">
        <w:t>in</w:t>
      </w:r>
      <w:r w:rsidR="0012455D" w:rsidRPr="00B2562E">
        <w:t xml:space="preserve"> Laval, </w:t>
      </w:r>
      <w:r w:rsidRPr="00B2562E">
        <w:t xml:space="preserve">the </w:t>
      </w:r>
      <w:r w:rsidR="0012455D" w:rsidRPr="00B2562E">
        <w:t>Hono</w:t>
      </w:r>
      <w:r w:rsidRPr="00B2562E">
        <w:t>u</w:t>
      </w:r>
      <w:r w:rsidR="0012455D" w:rsidRPr="00B2562E">
        <w:t xml:space="preserve">rable Maria Albanese </w:t>
      </w:r>
      <w:r w:rsidRPr="00B2562E">
        <w:t>J.C.Q.</w:t>
      </w:r>
      <w:r w:rsidR="0012455D" w:rsidRPr="00B2562E">
        <w:t xml:space="preserve"> </w:t>
      </w:r>
      <w:r w:rsidRPr="00B2562E">
        <w:t xml:space="preserve">imposed a </w:t>
      </w:r>
      <w:r w:rsidR="00724A2C" w:rsidRPr="00B2562E">
        <w:t>global</w:t>
      </w:r>
      <w:r w:rsidRPr="00B2562E">
        <w:t xml:space="preserve"> sentence of fifteen (15) months’ imprisonment on the appellant to be served concurrently with any other sentence </w:t>
      </w:r>
      <w:r w:rsidR="00323510">
        <w:t>in connection with</w:t>
      </w:r>
      <w:r w:rsidRPr="00B2562E">
        <w:t xml:space="preserve"> events </w:t>
      </w:r>
      <w:r w:rsidR="00323510">
        <w:t xml:space="preserve">that occurred on </w:t>
      </w:r>
      <w:r w:rsidRPr="00B2562E">
        <w:t>March 21 and 22,</w:t>
      </w:r>
      <w:r w:rsidR="0012455D" w:rsidRPr="00B2562E">
        <w:t xml:space="preserve"> 2019, </w:t>
      </w:r>
      <w:r w:rsidRPr="00B2562E">
        <w:t xml:space="preserve">allowing the applicant to </w:t>
      </w:r>
      <w:r w:rsidR="006E2068" w:rsidRPr="00B2562E">
        <w:t xml:space="preserve">dispose </w:t>
      </w:r>
      <w:r w:rsidRPr="00B2562E">
        <w:t>of six more files.</w:t>
      </w:r>
    </w:p>
    <w:p w14:paraId="7737B40E" w14:textId="184F6532" w:rsidR="0012455D" w:rsidRPr="00B2562E" w:rsidRDefault="00483CD5" w:rsidP="000E174F">
      <w:pPr>
        <w:pStyle w:val="Citationenretrait"/>
      </w:pPr>
      <w:r w:rsidRPr="00B2562E">
        <w:t xml:space="preserve">On June 18, </w:t>
      </w:r>
      <w:r w:rsidR="0012455D" w:rsidRPr="00B2562E">
        <w:t xml:space="preserve">2020, </w:t>
      </w:r>
      <w:r w:rsidRPr="00B2562E">
        <w:t xml:space="preserve">again in </w:t>
      </w:r>
      <w:r w:rsidR="0012455D" w:rsidRPr="00B2562E">
        <w:t>Montr</w:t>
      </w:r>
      <w:r w:rsidRPr="00B2562E">
        <w:t>e</w:t>
      </w:r>
      <w:r w:rsidR="0012455D" w:rsidRPr="00B2562E">
        <w:t xml:space="preserve">al, </w:t>
      </w:r>
      <w:r w:rsidRPr="00B2562E">
        <w:t xml:space="preserve">the Honourable </w:t>
      </w:r>
      <w:proofErr w:type="spellStart"/>
      <w:r w:rsidR="0012455D" w:rsidRPr="00B2562E">
        <w:t>Silvie</w:t>
      </w:r>
      <w:proofErr w:type="spellEnd"/>
      <w:r w:rsidR="0012455D" w:rsidRPr="00B2562E">
        <w:t xml:space="preserve"> </w:t>
      </w:r>
      <w:proofErr w:type="spellStart"/>
      <w:r w:rsidR="0012455D" w:rsidRPr="00B2562E">
        <w:t>Kovacevich</w:t>
      </w:r>
      <w:proofErr w:type="spellEnd"/>
      <w:r w:rsidR="0012455D" w:rsidRPr="00B2562E">
        <w:t xml:space="preserve"> </w:t>
      </w:r>
      <w:r w:rsidRPr="00B2562E">
        <w:t>J.C.Q.</w:t>
      </w:r>
      <w:r w:rsidR="0012455D" w:rsidRPr="00B2562E">
        <w:t xml:space="preserve"> </w:t>
      </w:r>
      <w:r w:rsidRPr="00B2562E">
        <w:t xml:space="preserve">imposed a sentence of two (2) months’ imprisonment on the appellant to be served concurrently with any other sentence </w:t>
      </w:r>
      <w:r w:rsidR="00323510">
        <w:t>in connection with</w:t>
      </w:r>
      <w:r w:rsidR="0012455D" w:rsidRPr="00B2562E">
        <w:t xml:space="preserve"> </w:t>
      </w:r>
      <w:r w:rsidRPr="00B2562E">
        <w:t>an offence</w:t>
      </w:r>
      <w:r w:rsidR="0012455D" w:rsidRPr="00B2562E">
        <w:t xml:space="preserve"> (</w:t>
      </w:r>
      <w:r w:rsidR="00D1414F" w:rsidRPr="00B2562E">
        <w:t xml:space="preserve">breach </w:t>
      </w:r>
      <w:r w:rsidRPr="00B2562E">
        <w:t xml:space="preserve">of </w:t>
      </w:r>
      <w:r w:rsidR="0012455D" w:rsidRPr="00B2562E">
        <w:t>conditions) commi</w:t>
      </w:r>
      <w:r w:rsidRPr="00B2562E">
        <w:t xml:space="preserve">tted on June 7, </w:t>
      </w:r>
      <w:r w:rsidR="0012455D" w:rsidRPr="00B2562E">
        <w:t>2019.</w:t>
      </w:r>
    </w:p>
    <w:p w14:paraId="2F036889" w14:textId="55AB7215" w:rsidR="0012455D" w:rsidRPr="00B2562E" w:rsidRDefault="00204EB4" w:rsidP="000E174F">
      <w:pPr>
        <w:pStyle w:val="Paragraphe"/>
        <w:spacing w:line="280" w:lineRule="exact"/>
      </w:pPr>
      <w:r w:rsidRPr="00B2562E">
        <w:t xml:space="preserve">The events that gave rise to </w:t>
      </w:r>
      <w:r w:rsidR="00FB4111" w:rsidRPr="00B2562E">
        <w:t xml:space="preserve">the two </w:t>
      </w:r>
      <w:r w:rsidRPr="00B2562E">
        <w:t xml:space="preserve">counts in </w:t>
      </w:r>
      <w:r w:rsidR="00FB4111" w:rsidRPr="00B2562E">
        <w:t>this</w:t>
      </w:r>
      <w:r w:rsidRPr="00B2562E">
        <w:t xml:space="preserve"> case occurred on November </w:t>
      </w:r>
      <w:r w:rsidR="0012455D" w:rsidRPr="00B2562E">
        <w:t>29</w:t>
      </w:r>
      <w:r w:rsidRPr="00B2562E">
        <w:t>,</w:t>
      </w:r>
      <w:r w:rsidR="0012455D" w:rsidRPr="00B2562E">
        <w:t xml:space="preserve"> 2019</w:t>
      </w:r>
      <w:r w:rsidR="00146B4D" w:rsidRPr="00B2562E">
        <w:t>,</w:t>
      </w:r>
      <w:r w:rsidR="0012455D" w:rsidRPr="00B2562E">
        <w:t xml:space="preserve"> </w:t>
      </w:r>
      <w:r w:rsidRPr="00B2562E">
        <w:t xml:space="preserve">in the cell block of the </w:t>
      </w:r>
      <w:r w:rsidR="0012455D" w:rsidRPr="00B2562E">
        <w:t>Laval</w:t>
      </w:r>
      <w:r w:rsidR="006E2068" w:rsidRPr="00B2562E">
        <w:t xml:space="preserve"> courthouse</w:t>
      </w:r>
      <w:r w:rsidR="0012455D" w:rsidRPr="00B2562E">
        <w:t xml:space="preserve">, </w:t>
      </w:r>
      <w:r w:rsidRPr="00B2562E">
        <w:t xml:space="preserve">while </w:t>
      </w:r>
      <w:r w:rsidR="009F013A" w:rsidRPr="00B2562E">
        <w:t>the appellant</w:t>
      </w:r>
      <w:r w:rsidR="0012455D" w:rsidRPr="00B2562E">
        <w:t xml:space="preserve"> </w:t>
      </w:r>
      <w:r w:rsidRPr="00B2562E">
        <w:t>was</w:t>
      </w:r>
      <w:r w:rsidR="00323510">
        <w:t xml:space="preserve"> detained</w:t>
      </w:r>
      <w:r w:rsidR="0012455D" w:rsidRPr="00B2562E">
        <w:t xml:space="preserve">. </w:t>
      </w:r>
      <w:r w:rsidRPr="00B2562E">
        <w:t xml:space="preserve">The information for these two </w:t>
      </w:r>
      <w:r w:rsidR="006E2068" w:rsidRPr="00B2562E">
        <w:t>offences</w:t>
      </w:r>
      <w:r w:rsidRPr="00B2562E">
        <w:t xml:space="preserve"> was authorized on May 20, </w:t>
      </w:r>
      <w:r w:rsidR="0012455D" w:rsidRPr="00B2562E">
        <w:t>2020</w:t>
      </w:r>
      <w:r w:rsidR="00146B4D" w:rsidRPr="00B2562E">
        <w:t>,</w:t>
      </w:r>
      <w:r w:rsidR="0012455D" w:rsidRPr="00B2562E">
        <w:t xml:space="preserve"> </w:t>
      </w:r>
      <w:r w:rsidRPr="00B2562E">
        <w:t xml:space="preserve">and </w:t>
      </w:r>
      <w:r w:rsidR="009F013A" w:rsidRPr="00B2562E">
        <w:t>the appellant</w:t>
      </w:r>
      <w:r w:rsidR="0012455D" w:rsidRPr="00B2562E">
        <w:t xml:space="preserve"> </w:t>
      </w:r>
      <w:r w:rsidRPr="00B2562E">
        <w:t xml:space="preserve">pleaded guilty to </w:t>
      </w:r>
      <w:r w:rsidR="006E2068" w:rsidRPr="00B2562E">
        <w:t>both</w:t>
      </w:r>
      <w:r w:rsidRPr="00B2562E">
        <w:t xml:space="preserve"> counts on August 7, </w:t>
      </w:r>
      <w:r w:rsidR="0012455D" w:rsidRPr="00B2562E">
        <w:t xml:space="preserve">2020. </w:t>
      </w:r>
    </w:p>
    <w:p w14:paraId="30CE1587" w14:textId="2D4476A8" w:rsidR="0012455D" w:rsidRPr="00B2562E" w:rsidRDefault="001335CE" w:rsidP="000E174F">
      <w:pPr>
        <w:pStyle w:val="Paragraphe"/>
        <w:spacing w:line="280" w:lineRule="exact"/>
      </w:pPr>
      <w:r w:rsidRPr="00B2562E">
        <w:t>Thus,</w:t>
      </w:r>
      <w:r w:rsidR="0012455D" w:rsidRPr="00B2562E">
        <w:t xml:space="preserve"> </w:t>
      </w:r>
      <w:r w:rsidR="009F013A" w:rsidRPr="00B2562E">
        <w:t>the appellant</w:t>
      </w:r>
      <w:r w:rsidR="0012455D" w:rsidRPr="00B2562E">
        <w:t xml:space="preserve"> </w:t>
      </w:r>
      <w:r w:rsidR="00204EB4" w:rsidRPr="00B2562E">
        <w:t xml:space="preserve">was convicted of </w:t>
      </w:r>
      <w:r w:rsidR="00611850" w:rsidRPr="00B2562E">
        <w:t xml:space="preserve">the two </w:t>
      </w:r>
      <w:r w:rsidR="00204EB4" w:rsidRPr="00B2562E">
        <w:t xml:space="preserve">counts in </w:t>
      </w:r>
      <w:r w:rsidR="00611850" w:rsidRPr="00B2562E">
        <w:t>this</w:t>
      </w:r>
      <w:r w:rsidR="00204EB4" w:rsidRPr="00B2562E">
        <w:t xml:space="preserve"> </w:t>
      </w:r>
      <w:r>
        <w:t>file</w:t>
      </w:r>
      <w:r w:rsidR="00204EB4" w:rsidRPr="00B2562E">
        <w:t xml:space="preserve"> and appeared for his other </w:t>
      </w:r>
      <w:r>
        <w:t>files</w:t>
      </w:r>
      <w:r w:rsidR="00204EB4" w:rsidRPr="00B2562E">
        <w:t xml:space="preserve"> at the </w:t>
      </w:r>
      <w:r w:rsidR="0012455D" w:rsidRPr="00B2562E">
        <w:t>Cour</w:t>
      </w:r>
      <w:r w:rsidR="00204EB4" w:rsidRPr="00B2562E">
        <w:t>t</w:t>
      </w:r>
      <w:r w:rsidR="0012455D" w:rsidRPr="00B2562E">
        <w:t xml:space="preserve"> </w:t>
      </w:r>
      <w:r w:rsidR="00204EB4" w:rsidRPr="00B2562E">
        <w:t xml:space="preserve">of </w:t>
      </w:r>
      <w:r w:rsidR="0012455D" w:rsidRPr="00B2562E">
        <w:t>Qu</w:t>
      </w:r>
      <w:r w:rsidR="00204EB4" w:rsidRPr="00B2562E">
        <w:t>e</w:t>
      </w:r>
      <w:r w:rsidR="0012455D" w:rsidRPr="00B2562E">
        <w:t xml:space="preserve">bec (districts </w:t>
      </w:r>
      <w:r w:rsidR="00204EB4" w:rsidRPr="00B2562E">
        <w:t xml:space="preserve">of </w:t>
      </w:r>
      <w:r w:rsidR="0012455D" w:rsidRPr="00B2562E">
        <w:t xml:space="preserve">Laval </w:t>
      </w:r>
      <w:r w:rsidR="00204EB4" w:rsidRPr="00B2562E">
        <w:t xml:space="preserve">and </w:t>
      </w:r>
      <w:r w:rsidR="0012455D" w:rsidRPr="00B2562E">
        <w:t>Montr</w:t>
      </w:r>
      <w:r w:rsidR="00386087" w:rsidRPr="00B2562E">
        <w:t>e</w:t>
      </w:r>
      <w:r w:rsidR="0012455D" w:rsidRPr="00B2562E">
        <w:t xml:space="preserve">al) </w:t>
      </w:r>
      <w:r w:rsidR="00204EB4" w:rsidRPr="00B2562E">
        <w:t>during the same period.</w:t>
      </w:r>
    </w:p>
    <w:p w14:paraId="6D1CBA00" w14:textId="5C9BBDAF" w:rsidR="0012455D" w:rsidRPr="00B2562E" w:rsidRDefault="0068057B" w:rsidP="0010369B">
      <w:pPr>
        <w:pStyle w:val="Titre1"/>
        <w:numPr>
          <w:ilvl w:val="0"/>
          <w:numId w:val="22"/>
        </w:numPr>
        <w:tabs>
          <w:tab w:val="num" w:pos="360"/>
        </w:tabs>
        <w:spacing w:line="280" w:lineRule="exact"/>
        <w:ind w:left="360" w:hanging="360"/>
      </w:pPr>
      <w:r w:rsidRPr="00B2562E">
        <w:t xml:space="preserve">The </w:t>
      </w:r>
      <w:r w:rsidR="0012455D" w:rsidRPr="00B2562E">
        <w:rPr>
          <w:i/>
          <w:iCs/>
        </w:rPr>
        <w:t>Anthony-Cook</w:t>
      </w:r>
      <w:r w:rsidRPr="00B2562E">
        <w:t xml:space="preserve"> decision</w:t>
      </w:r>
    </w:p>
    <w:p w14:paraId="021889AA" w14:textId="05A3CEC3" w:rsidR="0012455D" w:rsidRPr="00B2562E" w:rsidRDefault="0068057B" w:rsidP="000E174F">
      <w:pPr>
        <w:pStyle w:val="Paragraphe"/>
        <w:spacing w:line="280" w:lineRule="exact"/>
      </w:pPr>
      <w:r w:rsidRPr="00B2562E">
        <w:t xml:space="preserve">In </w:t>
      </w:r>
      <w:r w:rsidR="0012455D" w:rsidRPr="00B2562E">
        <w:rPr>
          <w:i/>
        </w:rPr>
        <w:t>Anthony-Cook</w:t>
      </w:r>
      <w:r w:rsidR="0012455D" w:rsidRPr="00B2562E">
        <w:t xml:space="preserve">, </w:t>
      </w:r>
      <w:r w:rsidRPr="00B2562E">
        <w:t xml:space="preserve">the Supreme </w:t>
      </w:r>
      <w:r w:rsidR="0012455D" w:rsidRPr="00B2562E">
        <w:t>Cour</w:t>
      </w:r>
      <w:r w:rsidRPr="00B2562E">
        <w:t>t</w:t>
      </w:r>
      <w:r w:rsidR="0012455D" w:rsidRPr="00B2562E">
        <w:t xml:space="preserve"> </w:t>
      </w:r>
      <w:r w:rsidR="008A4EC0" w:rsidRPr="00B2562E">
        <w:t xml:space="preserve">firmly </w:t>
      </w:r>
      <w:r w:rsidR="00FA1719" w:rsidRPr="00B2562E">
        <w:t>asserted</w:t>
      </w:r>
      <w:r w:rsidR="0012455D" w:rsidRPr="00B2562E">
        <w:t xml:space="preserve"> </w:t>
      </w:r>
      <w:r w:rsidRPr="00B2562E">
        <w:t xml:space="preserve">that </w:t>
      </w:r>
      <w:r w:rsidR="00F768B7" w:rsidRPr="00B2562E">
        <w:t>joint submission</w:t>
      </w:r>
      <w:r w:rsidR="0012455D" w:rsidRPr="00B2562E">
        <w:t xml:space="preserve">s </w:t>
      </w:r>
      <w:r w:rsidR="008A4EC0" w:rsidRPr="00B2562E">
        <w:t xml:space="preserve">are </w:t>
      </w:r>
      <w:r w:rsidRPr="00B2562E">
        <w:t>an integral and essential part of the sound</w:t>
      </w:r>
      <w:r w:rsidR="0012455D" w:rsidRPr="00B2562E">
        <w:t xml:space="preserve"> administration </w:t>
      </w:r>
      <w:r w:rsidRPr="00B2562E">
        <w:t xml:space="preserve">of criminal </w:t>
      </w:r>
      <w:r w:rsidR="0012455D" w:rsidRPr="00B2562E">
        <w:t xml:space="preserve">justice </w:t>
      </w:r>
      <w:r w:rsidRPr="00B2562E">
        <w:t xml:space="preserve">and even that </w:t>
      </w:r>
      <w:r w:rsidR="00313C4D" w:rsidRPr="00B2562E">
        <w:t xml:space="preserve">the </w:t>
      </w:r>
      <w:r w:rsidR="0012455D" w:rsidRPr="00B2562E">
        <w:t xml:space="preserve">administration </w:t>
      </w:r>
      <w:r w:rsidRPr="00B2562E">
        <w:t xml:space="preserve">of </w:t>
      </w:r>
      <w:r w:rsidR="0012455D" w:rsidRPr="00B2562E">
        <w:t xml:space="preserve">justice </w:t>
      </w:r>
      <w:r w:rsidRPr="00B2562E">
        <w:t>wou</w:t>
      </w:r>
      <w:r w:rsidR="00386087" w:rsidRPr="00B2562E">
        <w:t>l</w:t>
      </w:r>
      <w:r w:rsidRPr="00B2562E">
        <w:t>d collapse</w:t>
      </w:r>
      <w:r w:rsidR="006D5ED9" w:rsidRPr="00B2562E">
        <w:t xml:space="preserve"> under its own weight</w:t>
      </w:r>
      <w:r w:rsidRPr="00B2562E">
        <w:t xml:space="preserve"> without the general benefits provided by this form of resolving </w:t>
      </w:r>
      <w:r w:rsidR="00323510">
        <w:t>prosecutions</w:t>
      </w:r>
      <w:r w:rsidRPr="00B2562E">
        <w:t>.</w:t>
      </w:r>
      <w:r w:rsidR="0012455D" w:rsidRPr="00B2562E">
        <w:t xml:space="preserve"> </w:t>
      </w:r>
      <w:r w:rsidRPr="00B2562E">
        <w:t xml:space="preserve">On this </w:t>
      </w:r>
      <w:r w:rsidR="008A4EC0" w:rsidRPr="00B2562E">
        <w:t>basis</w:t>
      </w:r>
      <w:r w:rsidRPr="00B2562E">
        <w:t xml:space="preserve">, the Court </w:t>
      </w:r>
      <w:r w:rsidR="00D15C99">
        <w:t>formulated</w:t>
      </w:r>
      <w:r w:rsidRPr="00B2562E">
        <w:t xml:space="preserve"> the test </w:t>
      </w:r>
      <w:r w:rsidR="00D15C99">
        <w:t xml:space="preserve">that must be met </w:t>
      </w:r>
      <w:r w:rsidR="008A4EC0" w:rsidRPr="00B2562E">
        <w:t>for</w:t>
      </w:r>
      <w:r w:rsidRPr="00B2562E">
        <w:t xml:space="preserve"> a judge</w:t>
      </w:r>
      <w:r w:rsidR="0012455D" w:rsidRPr="00B2562E">
        <w:t xml:space="preserve"> </w:t>
      </w:r>
      <w:r w:rsidR="008A4EC0" w:rsidRPr="00B2562E">
        <w:t xml:space="preserve">to </w:t>
      </w:r>
      <w:r w:rsidR="006D5ED9" w:rsidRPr="00B2562E">
        <w:t>reject</w:t>
      </w:r>
      <w:r w:rsidR="00E45A50" w:rsidRPr="00B2562E">
        <w:t xml:space="preserve"> a </w:t>
      </w:r>
      <w:r w:rsidR="00F768B7" w:rsidRPr="00B2562E">
        <w:t>joint submission</w:t>
      </w:r>
      <w:r w:rsidR="008F375D" w:rsidRPr="00B2562E">
        <w:t xml:space="preserve">. The judge must accept </w:t>
      </w:r>
      <w:r w:rsidR="006928FE" w:rsidRPr="00B2562E">
        <w:t>the proposed sentence</w:t>
      </w:r>
      <w:r w:rsidR="00E45A50" w:rsidRPr="00B2562E">
        <w:t xml:space="preserve"> </w:t>
      </w:r>
      <w:r w:rsidR="006928FE">
        <w:t xml:space="preserve">unless it </w:t>
      </w:r>
      <w:r w:rsidR="00E45A50" w:rsidRPr="00B2562E">
        <w:t xml:space="preserve">would undermine the public’s confidence in the </w:t>
      </w:r>
      <w:r w:rsidR="0012455D" w:rsidRPr="00B2562E">
        <w:t>administration</w:t>
      </w:r>
      <w:r w:rsidR="00E45A50" w:rsidRPr="00B2562E">
        <w:t xml:space="preserve"> of </w:t>
      </w:r>
      <w:r w:rsidR="0012455D" w:rsidRPr="00B2562E">
        <w:t>justice</w:t>
      </w:r>
      <w:r w:rsidR="00D15C99">
        <w:t xml:space="preserve"> </w:t>
      </w:r>
      <w:r w:rsidR="00E45A50" w:rsidRPr="00B2562E">
        <w:t xml:space="preserve">or </w:t>
      </w:r>
      <w:r w:rsidR="00D15C99">
        <w:t xml:space="preserve">is </w:t>
      </w:r>
      <w:r w:rsidR="00E45A50" w:rsidRPr="00B2562E">
        <w:t xml:space="preserve">otherwise </w:t>
      </w:r>
      <w:r w:rsidR="00D15C99">
        <w:t xml:space="preserve">contrary </w:t>
      </w:r>
      <w:r w:rsidR="00E45A50" w:rsidRPr="00B2562E">
        <w:t xml:space="preserve">to </w:t>
      </w:r>
      <w:r w:rsidR="002E50F6" w:rsidRPr="00B2562E">
        <w:t xml:space="preserve">the </w:t>
      </w:r>
      <w:r w:rsidR="00E45A50" w:rsidRPr="00B2562E">
        <w:t>public interest.</w:t>
      </w:r>
      <w:r w:rsidR="0012455D" w:rsidRPr="00B2562E">
        <w:t xml:space="preserve"> </w:t>
      </w:r>
      <w:r w:rsidR="00E45A50" w:rsidRPr="00B2562E">
        <w:t xml:space="preserve">The </w:t>
      </w:r>
      <w:r w:rsidR="0012455D" w:rsidRPr="00B2562E">
        <w:t>Cour</w:t>
      </w:r>
      <w:r w:rsidR="00E45A50" w:rsidRPr="00B2562E">
        <w:t>t</w:t>
      </w:r>
      <w:r w:rsidR="0012455D" w:rsidRPr="00B2562E">
        <w:t xml:space="preserve"> </w:t>
      </w:r>
      <w:r w:rsidR="00E45A50" w:rsidRPr="00B2562E">
        <w:t xml:space="preserve">points out that even if the final decision </w:t>
      </w:r>
      <w:r w:rsidR="00945009">
        <w:t>falls within</w:t>
      </w:r>
      <w:r w:rsidR="00281253" w:rsidRPr="00B2562E">
        <w:t xml:space="preserve"> </w:t>
      </w:r>
      <w:r w:rsidR="00E45A50" w:rsidRPr="00B2562E">
        <w:t xml:space="preserve">the judge’s </w:t>
      </w:r>
      <w:r w:rsidR="0012455D" w:rsidRPr="00B2562E">
        <w:t>discr</w:t>
      </w:r>
      <w:r w:rsidR="00E45A50" w:rsidRPr="00B2562E">
        <w:t xml:space="preserve">etion, </w:t>
      </w:r>
      <w:r w:rsidR="00D15C99">
        <w:t>the</w:t>
      </w:r>
      <w:r w:rsidR="00E45A50" w:rsidRPr="00B2562E">
        <w:t xml:space="preserve"> test requires that the judge</w:t>
      </w:r>
      <w:r w:rsidR="00913E51" w:rsidRPr="00B2562E">
        <w:t xml:space="preserve"> accord the parties’ submission</w:t>
      </w:r>
      <w:r w:rsidR="00E45A50" w:rsidRPr="00B2562E">
        <w:t xml:space="preserve"> great </w:t>
      </w:r>
      <w:r w:rsidR="0012455D" w:rsidRPr="00B2562E">
        <w:t>d</w:t>
      </w:r>
      <w:r w:rsidR="00E45A50" w:rsidRPr="00B2562E">
        <w:t>e</w:t>
      </w:r>
      <w:r w:rsidR="0012455D" w:rsidRPr="00B2562E">
        <w:t>f</w:t>
      </w:r>
      <w:r w:rsidR="00E45A50" w:rsidRPr="00B2562E">
        <w:t>e</w:t>
      </w:r>
      <w:r w:rsidR="0012455D" w:rsidRPr="00B2562E">
        <w:t>rence.</w:t>
      </w:r>
      <w:r w:rsidR="008652D8">
        <w:t xml:space="preserve"> T</w:t>
      </w:r>
      <w:r w:rsidR="00F34CC3" w:rsidRPr="00B2562E">
        <w:t xml:space="preserve">he </w:t>
      </w:r>
      <w:r w:rsidR="00F768B7" w:rsidRPr="00B2562E">
        <w:t>test</w:t>
      </w:r>
      <w:r w:rsidR="00F34CC3" w:rsidRPr="00B2562E">
        <w:t xml:space="preserve"> is </w:t>
      </w:r>
      <w:r w:rsidR="008652D8">
        <w:t xml:space="preserve">therefore </w:t>
      </w:r>
      <w:r w:rsidR="0012455D" w:rsidRPr="00B2562E">
        <w:t>stri</w:t>
      </w:r>
      <w:r w:rsidR="006E2068" w:rsidRPr="00B2562E">
        <w:t>ngent</w:t>
      </w:r>
      <w:r w:rsidR="0012455D" w:rsidRPr="00B2562E">
        <w:t xml:space="preserve"> </w:t>
      </w:r>
      <w:r w:rsidR="00F34CC3" w:rsidRPr="00B2562E">
        <w:t>and demanding</w:t>
      </w:r>
      <w:r w:rsidR="0012455D" w:rsidRPr="00B2562E">
        <w:t xml:space="preserve">. </w:t>
      </w:r>
      <w:r w:rsidR="00B2562E" w:rsidRPr="00B2562E">
        <w:t xml:space="preserve">The rejection of </w:t>
      </w:r>
      <w:r w:rsidR="00F34CC3" w:rsidRPr="00B2562E">
        <w:t xml:space="preserve">a </w:t>
      </w:r>
      <w:r w:rsidR="00F768B7" w:rsidRPr="00B2562E">
        <w:t>joint submission</w:t>
      </w:r>
      <w:r w:rsidR="0012455D" w:rsidRPr="00B2562E">
        <w:t xml:space="preserve">, </w:t>
      </w:r>
      <w:r w:rsidR="00F34CC3" w:rsidRPr="00B2562E">
        <w:t xml:space="preserve">as </w:t>
      </w:r>
      <w:r w:rsidR="008652D8">
        <w:t>may</w:t>
      </w:r>
      <w:r w:rsidR="00281253" w:rsidRPr="00B2562E">
        <w:t xml:space="preserve"> happen</w:t>
      </w:r>
      <w:r w:rsidR="00F34CC3" w:rsidRPr="00B2562E">
        <w:t xml:space="preserve"> in </w:t>
      </w:r>
      <w:r w:rsidR="00B2562E" w:rsidRPr="00B2562E">
        <w:t>exceptional</w:t>
      </w:r>
      <w:r w:rsidR="00F34CC3" w:rsidRPr="00B2562E">
        <w:t xml:space="preserve"> case</w:t>
      </w:r>
      <w:r w:rsidR="00C65B84" w:rsidRPr="00B2562E">
        <w:t>s</w:t>
      </w:r>
      <w:r w:rsidR="00F34CC3" w:rsidRPr="00B2562E">
        <w:t xml:space="preserve">, </w:t>
      </w:r>
      <w:r w:rsidR="00F34CC3" w:rsidRPr="00B2562E">
        <w:lastRenderedPageBreak/>
        <w:t xml:space="preserve">must </w:t>
      </w:r>
      <w:r w:rsidR="00B2562E" w:rsidRPr="00B2562E">
        <w:t xml:space="preserve">be explained by </w:t>
      </w:r>
      <w:r w:rsidR="00F34CC3" w:rsidRPr="00B2562E">
        <w:t xml:space="preserve">specific reasons why the </w:t>
      </w:r>
      <w:r w:rsidR="00730F2B" w:rsidRPr="00B2562E">
        <w:t>proposed sentence</w:t>
      </w:r>
      <w:r w:rsidR="0012455D" w:rsidRPr="00B2562E">
        <w:t xml:space="preserve"> </w:t>
      </w:r>
      <w:r w:rsidR="00F34CC3" w:rsidRPr="00B2562E">
        <w:t>is not in the public interest.</w:t>
      </w:r>
      <w:r w:rsidR="0012455D" w:rsidRPr="00B2562E">
        <w:rPr>
          <w:rStyle w:val="Appelnotedebasdep"/>
          <w:lang w:val="en-CA"/>
        </w:rPr>
        <w:footnoteReference w:id="6"/>
      </w:r>
    </w:p>
    <w:p w14:paraId="0265F562" w14:textId="78426303" w:rsidR="0012455D" w:rsidRPr="00B2562E" w:rsidRDefault="003C5392" w:rsidP="000E174F">
      <w:pPr>
        <w:pStyle w:val="Titre2"/>
        <w:numPr>
          <w:ilvl w:val="0"/>
          <w:numId w:val="23"/>
        </w:numPr>
        <w:tabs>
          <w:tab w:val="num" w:pos="643"/>
        </w:tabs>
        <w:ind w:left="643" w:hanging="720"/>
      </w:pPr>
      <w:r w:rsidRPr="00B2562E">
        <w:t xml:space="preserve">The </w:t>
      </w:r>
      <w:r w:rsidR="006E2068" w:rsidRPr="00B2562E">
        <w:t>proper</w:t>
      </w:r>
      <w:r w:rsidRPr="00B2562E">
        <w:t xml:space="preserve"> test</w:t>
      </w:r>
    </w:p>
    <w:p w14:paraId="1C83740B" w14:textId="53FE1023" w:rsidR="0012455D" w:rsidRPr="00B2562E" w:rsidRDefault="0012455D" w:rsidP="000E174F">
      <w:pPr>
        <w:pStyle w:val="Paragraphe"/>
        <w:spacing w:line="280" w:lineRule="exact"/>
      </w:pPr>
      <w:proofErr w:type="spellStart"/>
      <w:r w:rsidRPr="00B2562E">
        <w:t>Moldaver</w:t>
      </w:r>
      <w:proofErr w:type="spellEnd"/>
      <w:r w:rsidRPr="00B2562E">
        <w:t xml:space="preserve"> </w:t>
      </w:r>
      <w:r w:rsidR="00F768B7" w:rsidRPr="00B2562E">
        <w:t xml:space="preserve">J. of the Supreme </w:t>
      </w:r>
      <w:r w:rsidRPr="00B2562E">
        <w:t>Cour</w:t>
      </w:r>
      <w:r w:rsidR="00F768B7" w:rsidRPr="00B2562E">
        <w:t xml:space="preserve">t, speaking for the </w:t>
      </w:r>
      <w:r w:rsidRPr="00B2562E">
        <w:t>Cour</w:t>
      </w:r>
      <w:r w:rsidR="00F768B7" w:rsidRPr="00B2562E">
        <w:t>t</w:t>
      </w:r>
      <w:r w:rsidRPr="00B2562E">
        <w:t xml:space="preserve">, </w:t>
      </w:r>
      <w:r w:rsidR="00F768B7" w:rsidRPr="00B2562E">
        <w:t xml:space="preserve">described the </w:t>
      </w:r>
      <w:r w:rsidR="004D2BD0" w:rsidRPr="00B2562E">
        <w:t>proper</w:t>
      </w:r>
      <w:r w:rsidR="00F768B7" w:rsidRPr="00B2562E">
        <w:t xml:space="preserve"> test as follows</w:t>
      </w:r>
      <w:r w:rsidRPr="00B2562E">
        <w:t>:</w:t>
      </w:r>
    </w:p>
    <w:p w14:paraId="7A078063" w14:textId="59C1CE21" w:rsidR="0012455D" w:rsidRPr="001335CE" w:rsidRDefault="0012455D" w:rsidP="000E174F">
      <w:pPr>
        <w:pStyle w:val="Citationenretrait"/>
        <w:rPr>
          <w:rFonts w:ascii="Times New Roman" w:hAnsi="Times New Roman"/>
          <w:lang w:eastAsia="fr-CA"/>
        </w:rPr>
      </w:pPr>
      <w:r w:rsidRPr="001335CE">
        <w:t>[</w:t>
      </w:r>
      <w:bookmarkStart w:id="14" w:name="par32"/>
      <w:r w:rsidRPr="001335CE">
        <w:t>32</w:t>
      </w:r>
      <w:bookmarkEnd w:id="14"/>
      <w:r w:rsidRPr="001335CE">
        <w:t>]</w:t>
      </w:r>
      <w:r w:rsidRPr="001335CE">
        <w:tab/>
      </w:r>
      <w:r w:rsidR="00191388" w:rsidRPr="001335CE">
        <w:t>Under the public interest test, a trial judge should not depart from a joint submission on sentence unless the proposed sentence would bring the administration of justice into disrepute or is otherwise contrary to the public interest.</w:t>
      </w:r>
      <w:r w:rsidR="00742DC5">
        <w:t xml:space="preserve"> </w:t>
      </w:r>
      <w:r w:rsidR="00191388" w:rsidRPr="001335CE">
        <w:t>But, what does this threshold mean?</w:t>
      </w:r>
      <w:r w:rsidR="00742DC5">
        <w:t xml:space="preserve"> </w:t>
      </w:r>
      <w:r w:rsidR="00191388" w:rsidRPr="001335CE">
        <w:t>Two decisions from the Newfoundland and Labrador Court of Appeal are helpful in this regard.</w:t>
      </w:r>
    </w:p>
    <w:p w14:paraId="0CD54995" w14:textId="55620F8C" w:rsidR="0012455D" w:rsidRPr="001335CE" w:rsidRDefault="0012455D" w:rsidP="000E174F">
      <w:pPr>
        <w:pStyle w:val="Citationenretrait"/>
      </w:pPr>
      <w:r w:rsidRPr="001335CE">
        <w:t>[</w:t>
      </w:r>
      <w:bookmarkStart w:id="15" w:name="par33"/>
      <w:r w:rsidRPr="001335CE">
        <w:t>33</w:t>
      </w:r>
      <w:bookmarkEnd w:id="15"/>
      <w:r w:rsidRPr="001335CE">
        <w:t>]</w:t>
      </w:r>
      <w:r w:rsidRPr="001335CE">
        <w:tab/>
      </w:r>
      <w:r w:rsidR="00191388" w:rsidRPr="001335CE">
        <w:t xml:space="preserve">In </w:t>
      </w:r>
      <w:proofErr w:type="spellStart"/>
      <w:r w:rsidR="00191388" w:rsidRPr="00BE382E">
        <w:rPr>
          <w:i/>
          <w:iCs/>
        </w:rPr>
        <w:t>Druken</w:t>
      </w:r>
      <w:proofErr w:type="spellEnd"/>
      <w:r w:rsidR="00191388" w:rsidRPr="001335CE">
        <w:t>, at para. 29, the court held that a joint submission will bring the administration of justice into disrepute or be contrary to the public interest if, despite the public interest considerations that support imposing it, it is so “markedly out of line with the expectations of reasonable persons aware of the circumstances of the case that they would view it as a break down in the proper functioning of the criminal justice system”.</w:t>
      </w:r>
      <w:r w:rsidR="00742DC5">
        <w:t xml:space="preserve"> </w:t>
      </w:r>
      <w:r w:rsidR="00191388" w:rsidRPr="001335CE">
        <w:t xml:space="preserve">And, as stated by the same court in </w:t>
      </w:r>
      <w:r w:rsidR="00191388" w:rsidRPr="001335CE">
        <w:rPr>
          <w:i/>
          <w:iCs/>
        </w:rPr>
        <w:t>R. v. B.O.2</w:t>
      </w:r>
      <w:r w:rsidR="00191388" w:rsidRPr="001335CE">
        <w:t>, 2010 NLCA 19, at para. 56 (CanLII), when assessing a joint submission, trial judges should “avoid rendering a decision that causes an informed and reasonable public to lose confidence in the institution of the courts”.</w:t>
      </w:r>
    </w:p>
    <w:p w14:paraId="6D749718" w14:textId="314B73AF" w:rsidR="0012455D" w:rsidRPr="001335CE" w:rsidRDefault="0012455D" w:rsidP="000E174F">
      <w:pPr>
        <w:pStyle w:val="Citationenretrait"/>
      </w:pPr>
      <w:r w:rsidRPr="001335CE">
        <w:t>[</w:t>
      </w:r>
      <w:bookmarkStart w:id="16" w:name="par34"/>
      <w:r w:rsidRPr="001335CE">
        <w:t>34</w:t>
      </w:r>
      <w:bookmarkEnd w:id="16"/>
      <w:r w:rsidRPr="001335CE">
        <w:t>]</w:t>
      </w:r>
      <w:r w:rsidRPr="001335CE">
        <w:tab/>
      </w:r>
      <w:r w:rsidR="00191388" w:rsidRPr="001335CE">
        <w:t>In my view, these powerful statements capture the essence of the public interest test developed by the Martin Committee. They emphasize that a joint submission should not be rejected lightly, a conclusion with which I agree.</w:t>
      </w:r>
      <w:r w:rsidR="00742DC5">
        <w:t xml:space="preserve"> </w:t>
      </w:r>
      <w:r w:rsidR="00191388" w:rsidRPr="001335CE">
        <w:t>Rejection denotes a submission so unhinged from the circumstances of the offence and the offender that its acceptance would lead reasonable and informed persons, aware of all the relevant circumstances, including the importance of promoting certainty in resolution discussions, to believe that the proper functioning of the justice system had broken down.</w:t>
      </w:r>
      <w:r w:rsidR="00742DC5">
        <w:t xml:space="preserve"> </w:t>
      </w:r>
      <w:r w:rsidR="00191388" w:rsidRPr="001335CE">
        <w:t>This is an undeniably high threshold — and for good reason, as I shall explain.</w:t>
      </w:r>
      <w:r w:rsidRPr="00B2562E">
        <w:rPr>
          <w:rStyle w:val="Appelnotedebasdep"/>
          <w:szCs w:val="22"/>
          <w:lang w:val="en-CA"/>
        </w:rPr>
        <w:footnoteReference w:id="7"/>
      </w:r>
    </w:p>
    <w:p w14:paraId="2CD555E0" w14:textId="6807AC32" w:rsidR="0012455D" w:rsidRPr="00B2562E" w:rsidRDefault="0012455D" w:rsidP="000E174F">
      <w:pPr>
        <w:pStyle w:val="Paragraphe"/>
        <w:spacing w:line="280" w:lineRule="exact"/>
      </w:pPr>
      <w:proofErr w:type="spellStart"/>
      <w:r w:rsidRPr="00B2562E">
        <w:t>Moldaver</w:t>
      </w:r>
      <w:proofErr w:type="spellEnd"/>
      <w:r w:rsidRPr="00B2562E">
        <w:t xml:space="preserve"> </w:t>
      </w:r>
      <w:r w:rsidR="00AD6CD1" w:rsidRPr="00B2562E">
        <w:t>J. repeatedly emphasizes that th</w:t>
      </w:r>
      <w:r w:rsidR="00F3452A" w:rsidRPr="00B2562E">
        <w:t>is</w:t>
      </w:r>
      <w:r w:rsidR="00AD6CD1" w:rsidRPr="00B2562E">
        <w:t xml:space="preserve"> proper te</w:t>
      </w:r>
      <w:r w:rsidR="00F3452A" w:rsidRPr="00B2562E">
        <w:t>s</w:t>
      </w:r>
      <w:r w:rsidR="00AD6CD1" w:rsidRPr="00B2562E">
        <w:t xml:space="preserve">t is also </w:t>
      </w:r>
      <w:r w:rsidR="00B02C38" w:rsidRPr="00B2562E">
        <w:t>“</w:t>
      </w:r>
      <w:r w:rsidR="00AD6CD1" w:rsidRPr="00B2562E">
        <w:t>stringent</w:t>
      </w:r>
      <w:r w:rsidR="00676B95" w:rsidRPr="00B2562E">
        <w:t>”</w:t>
      </w:r>
      <w:r w:rsidR="00AD6CD1" w:rsidRPr="00B2562E">
        <w:t>.</w:t>
      </w:r>
    </w:p>
    <w:p w14:paraId="0F4C4A6B" w14:textId="6B39BF8D" w:rsidR="0012455D" w:rsidRPr="00B2562E" w:rsidRDefault="00B2562E" w:rsidP="000E174F">
      <w:pPr>
        <w:pStyle w:val="Paragraphe"/>
        <w:spacing w:line="280" w:lineRule="exact"/>
      </w:pPr>
      <w:r>
        <w:rPr>
          <w:rFonts w:cs="Arial"/>
          <w:szCs w:val="24"/>
        </w:rPr>
        <w:t>I</w:t>
      </w:r>
      <w:r w:rsidRPr="00B2562E">
        <w:rPr>
          <w:rFonts w:cs="Arial"/>
          <w:szCs w:val="24"/>
        </w:rPr>
        <w:t xml:space="preserve">n </w:t>
      </w:r>
      <w:proofErr w:type="spellStart"/>
      <w:r w:rsidR="00CA3E52" w:rsidRPr="00B2562E">
        <w:rPr>
          <w:rFonts w:cs="Arial"/>
          <w:i/>
          <w:szCs w:val="24"/>
        </w:rPr>
        <w:t>Nahanee</w:t>
      </w:r>
      <w:proofErr w:type="spellEnd"/>
      <w:r w:rsidR="00CA3E52">
        <w:rPr>
          <w:rFonts w:cs="Arial"/>
          <w:szCs w:val="24"/>
        </w:rPr>
        <w:t>, the</w:t>
      </w:r>
      <w:r w:rsidR="00F3452A" w:rsidRPr="00B2562E">
        <w:rPr>
          <w:rFonts w:cs="Arial"/>
          <w:szCs w:val="24"/>
        </w:rPr>
        <w:t xml:space="preserve"> Supreme </w:t>
      </w:r>
      <w:r w:rsidR="0012455D" w:rsidRPr="00B2562E">
        <w:rPr>
          <w:rFonts w:cs="Arial"/>
          <w:szCs w:val="24"/>
        </w:rPr>
        <w:t>Cour</w:t>
      </w:r>
      <w:r w:rsidR="00F3452A" w:rsidRPr="00B2562E">
        <w:rPr>
          <w:rFonts w:cs="Arial"/>
          <w:szCs w:val="24"/>
        </w:rPr>
        <w:t>t</w:t>
      </w:r>
      <w:r w:rsidR="0012455D" w:rsidRPr="00B2562E">
        <w:rPr>
          <w:rFonts w:cs="Arial"/>
          <w:szCs w:val="24"/>
        </w:rPr>
        <w:t xml:space="preserve"> </w:t>
      </w:r>
      <w:r w:rsidR="00F3452A" w:rsidRPr="00B2562E">
        <w:rPr>
          <w:rFonts w:cs="Arial"/>
          <w:szCs w:val="24"/>
        </w:rPr>
        <w:t xml:space="preserve">again emphasizes the stringency of the </w:t>
      </w:r>
      <w:r w:rsidR="0012455D" w:rsidRPr="00B2562E">
        <w:rPr>
          <w:rFonts w:cs="Arial"/>
          <w:szCs w:val="24"/>
        </w:rPr>
        <w:t>test:</w:t>
      </w:r>
    </w:p>
    <w:p w14:paraId="7CCFAEC1" w14:textId="18FDE223" w:rsidR="0012455D" w:rsidRPr="001335CE" w:rsidRDefault="0012455D" w:rsidP="000E174F">
      <w:pPr>
        <w:pStyle w:val="Citationenretrait"/>
      </w:pPr>
      <w:bookmarkStart w:id="17" w:name="par1"/>
      <w:r w:rsidRPr="001335CE">
        <w:t>[1</w:t>
      </w:r>
      <w:bookmarkEnd w:id="17"/>
      <w:r w:rsidRPr="001335CE">
        <w:t>]</w:t>
      </w:r>
      <w:r w:rsidRPr="001335CE">
        <w:tab/>
      </w:r>
      <w:r w:rsidR="00DF46E8" w:rsidRPr="00B2562E">
        <w:t xml:space="preserve">Where the Crown and the defence propose a specific agreed-upon sentence to a judge in exchange for an accused’s guilty plea, a stringent test, </w:t>
      </w:r>
      <w:r w:rsidR="00DF46E8" w:rsidRPr="00B2562E">
        <w:lastRenderedPageBreak/>
        <w:t xml:space="preserve">known as the “public interest” test, exists to protect that submission. The test, adopted by this Court in </w:t>
      </w:r>
      <w:r w:rsidR="00DF46E8" w:rsidRPr="00B2562E">
        <w:rPr>
          <w:i/>
          <w:iCs/>
        </w:rPr>
        <w:t>R. v. Anthony-Cook</w:t>
      </w:r>
      <w:r w:rsidR="00DF46E8" w:rsidRPr="00B2562E">
        <w:t>, 2016 SCC 43, [2016] 2 S.C.R. 204, instructs judges not to depart from a joint submission unless the proposed sentence would bring the administration of justice into disrepute, or is otherwise contrary to the public interest. Sentencing judges must not reject a joint submission lightly. They should only do so where the proposed sentence would be viewed by reasonable and informed persons as a breakdown in the proper functioning of the justice system.</w:t>
      </w:r>
    </w:p>
    <w:p w14:paraId="467011AE" w14:textId="0A801F38" w:rsidR="0012455D" w:rsidRPr="00B2562E" w:rsidRDefault="0012455D" w:rsidP="000E174F">
      <w:pPr>
        <w:pStyle w:val="Citationenretrait"/>
      </w:pPr>
      <w:r w:rsidRPr="001335CE">
        <w:t>[</w:t>
      </w:r>
      <w:bookmarkStart w:id="18" w:name="par2"/>
      <w:r w:rsidRPr="001335CE">
        <w:t>2</w:t>
      </w:r>
      <w:bookmarkEnd w:id="18"/>
      <w:r w:rsidRPr="001335CE">
        <w:t>]</w:t>
      </w:r>
      <w:r w:rsidRPr="001335CE">
        <w:tab/>
      </w:r>
      <w:r w:rsidR="00EC60A4" w:rsidRPr="00B2562E">
        <w:t>The stringency of this test is designed to protect the unique benefits that flow from joint submissions. It provides the parties with a high degree of certainty that the sentence jointly proposed will be the sentence imposed, and it avoids the need for lengthy, costly, and contentious trials. As a rule, joint submission sentencing hearings are expeditious and straightforward. They save precious time, resources, and expenses which can be channeled into other court matters. In short, they enable the justice system to function efficiently and effectively.</w:t>
      </w:r>
    </w:p>
    <w:p w14:paraId="54632BE2" w14:textId="143F1773" w:rsidR="0012455D" w:rsidRPr="00B2562E" w:rsidRDefault="0012455D" w:rsidP="000E174F">
      <w:pPr>
        <w:pStyle w:val="Citationenretrait"/>
      </w:pPr>
      <w:r w:rsidRPr="00B2562E">
        <w:t>…</w:t>
      </w:r>
    </w:p>
    <w:p w14:paraId="7B97579D" w14:textId="7A3C6262" w:rsidR="0012455D" w:rsidRPr="00B2562E" w:rsidRDefault="0012455D" w:rsidP="000E174F">
      <w:pPr>
        <w:pStyle w:val="Citationenretrait"/>
      </w:pPr>
      <w:r w:rsidRPr="00B2562E">
        <w:t>[25]</w:t>
      </w:r>
      <w:r w:rsidRPr="00B2562E">
        <w:tab/>
        <w:t> </w:t>
      </w:r>
      <w:r w:rsidRPr="00B2562E">
        <w:rPr>
          <w:i/>
          <w:iCs/>
        </w:rPr>
        <w:t>Anthony</w:t>
      </w:r>
      <w:r w:rsidRPr="00B2562E">
        <w:rPr>
          <w:i/>
          <w:iCs/>
        </w:rPr>
        <w:noBreakHyphen/>
      </w:r>
      <w:r w:rsidR="00C07F9D" w:rsidRPr="00B2562E">
        <w:rPr>
          <w:i/>
          <w:iCs/>
        </w:rPr>
        <w:t xml:space="preserve">Cook </w:t>
      </w:r>
      <w:r w:rsidR="00C07F9D" w:rsidRPr="00B2562E">
        <w:t>set</w:t>
      </w:r>
      <w:r w:rsidR="00EC60A4" w:rsidRPr="00B2562E">
        <w:t xml:space="preserve"> out a stringent public interest test which must be met before sentencing judges can reject a joint submission following a guilty plea. At para. 34, the Court stated that:</w:t>
      </w:r>
    </w:p>
    <w:p w14:paraId="78090C0E" w14:textId="191ABCD6" w:rsidR="0012455D" w:rsidRPr="00B2562E" w:rsidRDefault="00EC60A4" w:rsidP="00EC60A4">
      <w:pPr>
        <w:pStyle w:val="Citationenretrait"/>
        <w:spacing w:line="240" w:lineRule="auto"/>
        <w:ind w:left="1134"/>
        <w:rPr>
          <w:sz w:val="20"/>
        </w:rPr>
      </w:pPr>
      <w:r w:rsidRPr="00B2562E">
        <w:rPr>
          <w:sz w:val="20"/>
        </w:rPr>
        <w:t>Rejection [of a joint submission] denotes a submission so unhinged from the circumstances of the offence and the offender that its acceptance would lead reasonable and informed persons, aware of all the relevant circumstances, including the importance of promoting certainty in resolution discussions, to believe that the proper functioning of the justice system had broken down.</w:t>
      </w:r>
    </w:p>
    <w:p w14:paraId="0E207631" w14:textId="34934291" w:rsidR="0012455D" w:rsidRPr="00B2562E" w:rsidRDefault="0012455D" w:rsidP="000E174F">
      <w:pPr>
        <w:pStyle w:val="Citationenretrait"/>
      </w:pPr>
      <w:r w:rsidRPr="001335CE">
        <w:t>[26]</w:t>
      </w:r>
      <w:r w:rsidRPr="001335CE">
        <w:tab/>
      </w:r>
      <w:r w:rsidR="00ED57DD" w:rsidRPr="00B2562E">
        <w:t>This test sets a very high bar by design. It is meant to encourage agreement between the parties, which saves court time at sentencing. The test also incentivizes guilty pleas, sparing victims and the justice system the need for costly, time-consuming trials (</w:t>
      </w:r>
      <w:r w:rsidR="00ED57DD" w:rsidRPr="00B2562E">
        <w:rPr>
          <w:i/>
          <w:iCs/>
        </w:rPr>
        <w:t>Anthony-Cook</w:t>
      </w:r>
      <w:r w:rsidR="00ED57DD" w:rsidRPr="00B2562E">
        <w:t>, at paras. 35 and 40). Accused persons benefit because they have a very high degree of certainty that the sentence jointly proposed will be the sentence they receive; and the Crown benefits because it is assured of a guilty plea on terms it is prepared to accept (paras. 36-39). Both parties also benefit by not having to prepare for a trial or a contested sentencing hearing.</w:t>
      </w:r>
      <w:bookmarkStart w:id="19" w:name="_Ref121311964"/>
      <w:r w:rsidRPr="00B2562E">
        <w:rPr>
          <w:rStyle w:val="Appelnotedebasdep"/>
          <w:rFonts w:cs="Arial"/>
          <w:color w:val="000000"/>
          <w:szCs w:val="22"/>
          <w:lang w:val="en-CA"/>
        </w:rPr>
        <w:footnoteReference w:id="8"/>
      </w:r>
      <w:bookmarkEnd w:id="19"/>
    </w:p>
    <w:p w14:paraId="0E62E815" w14:textId="2437614A" w:rsidR="0012455D" w:rsidRPr="00B2562E" w:rsidRDefault="00424D1E" w:rsidP="000E174F">
      <w:pPr>
        <w:jc w:val="both"/>
        <w:rPr>
          <w:rFonts w:cs="Arial"/>
          <w:color w:val="000000"/>
          <w:szCs w:val="24"/>
        </w:rPr>
      </w:pPr>
      <w:r w:rsidRPr="00B2562E">
        <w:rPr>
          <w:rFonts w:cs="Arial"/>
          <w:color w:val="000000"/>
          <w:szCs w:val="24"/>
        </w:rPr>
        <w:t>And further on</w:t>
      </w:r>
      <w:r w:rsidR="0012455D" w:rsidRPr="00B2562E">
        <w:rPr>
          <w:rFonts w:cs="Arial"/>
          <w:color w:val="000000"/>
          <w:szCs w:val="24"/>
        </w:rPr>
        <w:t>:</w:t>
      </w:r>
    </w:p>
    <w:p w14:paraId="036E1C8A" w14:textId="77777777" w:rsidR="0012455D" w:rsidRPr="001335CE" w:rsidRDefault="0012455D" w:rsidP="000E174F">
      <w:pPr>
        <w:jc w:val="both"/>
        <w:rPr>
          <w:rFonts w:cs="Arial"/>
          <w:color w:val="000000"/>
          <w:szCs w:val="24"/>
        </w:rPr>
      </w:pPr>
    </w:p>
    <w:p w14:paraId="3249825F" w14:textId="1718491A" w:rsidR="0012455D" w:rsidRPr="001335CE" w:rsidRDefault="0012455D" w:rsidP="000E174F">
      <w:pPr>
        <w:pStyle w:val="Citationenretrait"/>
      </w:pPr>
      <w:r w:rsidRPr="001335CE">
        <w:t>[41]</w:t>
      </w:r>
      <w:r w:rsidRPr="001335CE">
        <w:tab/>
      </w:r>
      <w:r w:rsidR="00C07F9D" w:rsidRPr="001335CE">
        <w:t>…</w:t>
      </w:r>
      <w:r w:rsidR="005F7613">
        <w:t xml:space="preserve"> </w:t>
      </w:r>
      <w:r w:rsidR="00ED57DD" w:rsidRPr="001335CE">
        <w:t xml:space="preserve">Although judicial discretion is limited by the public interest test in the context of a joint submission, this limitation is justified in order to protect the parties’ </w:t>
      </w:r>
      <w:r w:rsidR="00ED57DD" w:rsidRPr="001335CE">
        <w:lastRenderedPageBreak/>
        <w:t>agreement on a specific sentence — the length of which is not unilaterally decided by the Crown. In contrast, if the public interest test applied to contested sentencings, the upper range would often be unilaterally decided by the Crown.</w:t>
      </w:r>
    </w:p>
    <w:p w14:paraId="491B3EBE" w14:textId="77777777" w:rsidR="0012455D" w:rsidRPr="001335CE" w:rsidRDefault="0012455D" w:rsidP="000E174F">
      <w:pPr>
        <w:jc w:val="both"/>
        <w:rPr>
          <w:rFonts w:cs="Arial"/>
          <w:color w:val="000000"/>
          <w:szCs w:val="24"/>
        </w:rPr>
      </w:pPr>
    </w:p>
    <w:p w14:paraId="3542DCC2" w14:textId="0F9804EA" w:rsidR="0012455D" w:rsidRPr="00B2562E" w:rsidRDefault="00EC4E76" w:rsidP="000E174F">
      <w:pPr>
        <w:jc w:val="both"/>
        <w:rPr>
          <w:rFonts w:cs="Arial"/>
          <w:szCs w:val="24"/>
        </w:rPr>
      </w:pPr>
      <w:r w:rsidRPr="00B2562E">
        <w:rPr>
          <w:rFonts w:cs="Arial"/>
          <w:szCs w:val="24"/>
        </w:rPr>
        <w:t xml:space="preserve">This is how the </w:t>
      </w:r>
      <w:r w:rsidR="0012455D" w:rsidRPr="00B2562E">
        <w:rPr>
          <w:rFonts w:cs="Arial"/>
          <w:szCs w:val="24"/>
        </w:rPr>
        <w:t>Cour</w:t>
      </w:r>
      <w:r w:rsidRPr="00B2562E">
        <w:rPr>
          <w:rFonts w:cs="Arial"/>
          <w:szCs w:val="24"/>
        </w:rPr>
        <w:t>t</w:t>
      </w:r>
      <w:r w:rsidR="0012455D" w:rsidRPr="00B2562E">
        <w:rPr>
          <w:rFonts w:cs="Arial"/>
          <w:szCs w:val="24"/>
        </w:rPr>
        <w:t xml:space="preserve"> </w:t>
      </w:r>
      <w:r w:rsidR="00742DC5">
        <w:rPr>
          <w:rFonts w:cs="Arial"/>
          <w:szCs w:val="24"/>
        </w:rPr>
        <w:t>highlighted</w:t>
      </w:r>
      <w:r w:rsidRPr="00B2562E">
        <w:rPr>
          <w:rFonts w:cs="Arial"/>
          <w:szCs w:val="24"/>
        </w:rPr>
        <w:t xml:space="preserve"> both the stringency of the public interest test and how </w:t>
      </w:r>
      <w:r w:rsidR="006E2068" w:rsidRPr="00B2562E">
        <w:rPr>
          <w:rFonts w:cs="Arial"/>
          <w:szCs w:val="24"/>
        </w:rPr>
        <w:t>strongly</w:t>
      </w:r>
      <w:r w:rsidRPr="00B2562E">
        <w:rPr>
          <w:rFonts w:cs="Arial"/>
          <w:szCs w:val="24"/>
        </w:rPr>
        <w:t xml:space="preserve"> this principle protects the integrity of joint submissions.</w:t>
      </w:r>
    </w:p>
    <w:p w14:paraId="611BE13B" w14:textId="299C5E95" w:rsidR="0012455D" w:rsidRPr="00B2562E" w:rsidRDefault="0012455D" w:rsidP="000E174F">
      <w:pPr>
        <w:pStyle w:val="Titre2"/>
      </w:pPr>
      <w:r w:rsidRPr="00B2562E">
        <w:t>B.</w:t>
      </w:r>
      <w:r w:rsidRPr="00B2562E">
        <w:tab/>
      </w:r>
      <w:r w:rsidR="00EC4E76" w:rsidRPr="00B2562E">
        <w:t>E</w:t>
      </w:r>
      <w:r w:rsidRPr="00B2562E">
        <w:t xml:space="preserve">xclusion </w:t>
      </w:r>
      <w:r w:rsidR="00EC4E76" w:rsidRPr="00B2562E">
        <w:t>of other tests</w:t>
      </w:r>
    </w:p>
    <w:p w14:paraId="059C7DB6" w14:textId="58C0F1E9" w:rsidR="0012455D" w:rsidRPr="00B2562E" w:rsidRDefault="008354D1" w:rsidP="000E174F">
      <w:pPr>
        <w:pStyle w:val="Paragraphe"/>
        <w:spacing w:line="280" w:lineRule="exact"/>
      </w:pPr>
      <w:r w:rsidRPr="00B2562E">
        <w:t xml:space="preserve">In </w:t>
      </w:r>
      <w:r w:rsidR="0012455D" w:rsidRPr="00B2562E">
        <w:rPr>
          <w:i/>
          <w:iCs/>
        </w:rPr>
        <w:t>Anthony-</w:t>
      </w:r>
      <w:r w:rsidR="001335CE" w:rsidRPr="00B2562E">
        <w:rPr>
          <w:i/>
          <w:iCs/>
        </w:rPr>
        <w:t>Cook</w:t>
      </w:r>
      <w:r w:rsidR="001335CE" w:rsidRPr="00B2562E">
        <w:t>, the</w:t>
      </w:r>
      <w:r w:rsidRPr="00B2562E">
        <w:t xml:space="preserve"> </w:t>
      </w:r>
      <w:r w:rsidR="0012455D" w:rsidRPr="00B2562E">
        <w:t>Cour</w:t>
      </w:r>
      <w:r w:rsidRPr="00B2562E">
        <w:t xml:space="preserve">t </w:t>
      </w:r>
      <w:r w:rsidR="00613483" w:rsidRPr="00B2562E">
        <w:t xml:space="preserve">considered </w:t>
      </w:r>
      <w:r w:rsidRPr="00B2562E">
        <w:t xml:space="preserve">three </w:t>
      </w:r>
      <w:r w:rsidR="0012455D" w:rsidRPr="00B2562E">
        <w:t>possibilit</w:t>
      </w:r>
      <w:r w:rsidRPr="00B2562E">
        <w:t>ies</w:t>
      </w:r>
      <w:r w:rsidR="00613483" w:rsidRPr="00B2562E">
        <w:t xml:space="preserve"> before determining the applicable test</w:t>
      </w:r>
      <w:r w:rsidR="0012455D" w:rsidRPr="00B2562E">
        <w:t>:</w:t>
      </w:r>
    </w:p>
    <w:p w14:paraId="5F8F6A75" w14:textId="4070DFFC" w:rsidR="0012455D" w:rsidRPr="001335CE" w:rsidRDefault="0012455D" w:rsidP="000E174F">
      <w:pPr>
        <w:pStyle w:val="Citationenretrait"/>
        <w:rPr>
          <w:szCs w:val="22"/>
          <w:lang w:eastAsia="fr-CA"/>
        </w:rPr>
      </w:pPr>
      <w:r w:rsidRPr="001335CE">
        <w:rPr>
          <w:szCs w:val="22"/>
          <w:lang w:eastAsia="fr-CA"/>
        </w:rPr>
        <w:t>[</w:t>
      </w:r>
      <w:bookmarkStart w:id="20" w:name="par27"/>
      <w:r w:rsidRPr="001335CE">
        <w:rPr>
          <w:szCs w:val="22"/>
          <w:lang w:eastAsia="fr-CA"/>
        </w:rPr>
        <w:t>27</w:t>
      </w:r>
      <w:bookmarkEnd w:id="20"/>
      <w:r w:rsidRPr="001335CE">
        <w:rPr>
          <w:szCs w:val="22"/>
          <w:lang w:eastAsia="fr-CA"/>
        </w:rPr>
        <w:t>]</w:t>
      </w:r>
      <w:r w:rsidRPr="001335CE">
        <w:rPr>
          <w:szCs w:val="22"/>
          <w:lang w:eastAsia="fr-CA"/>
        </w:rPr>
        <w:tab/>
      </w:r>
      <w:r w:rsidR="00744CB2" w:rsidRPr="00B2562E">
        <w:rPr>
          <w:szCs w:val="22"/>
          <w:lang w:eastAsia="fr-CA"/>
        </w:rPr>
        <w:t>The first of these is the “fitness” test.</w:t>
      </w:r>
      <w:r w:rsidR="00742DC5">
        <w:rPr>
          <w:szCs w:val="22"/>
          <w:lang w:eastAsia="fr-CA"/>
        </w:rPr>
        <w:t xml:space="preserve"> </w:t>
      </w:r>
      <w:r w:rsidR="00744CB2" w:rsidRPr="00B2562E">
        <w:rPr>
          <w:szCs w:val="22"/>
          <w:lang w:eastAsia="fr-CA"/>
        </w:rPr>
        <w:t>Under this test, trial judges should give joint submissions serious consideration, but may depart from them if, having regard to the circumstances of the case and the applicable sentencing principles, they conclude that the proposed sentence is not “fit”.</w:t>
      </w:r>
      <w:r w:rsidR="00742DC5">
        <w:rPr>
          <w:szCs w:val="22"/>
          <w:lang w:eastAsia="fr-CA"/>
        </w:rPr>
        <w:t xml:space="preserve"> </w:t>
      </w:r>
      <w:r w:rsidR="00744CB2" w:rsidRPr="00B2562E">
        <w:rPr>
          <w:szCs w:val="22"/>
          <w:lang w:eastAsia="fr-CA"/>
        </w:rPr>
        <w:t xml:space="preserve">Some provincial appellate courts use this test, most commonly in the western provinces (see, for example, </w:t>
      </w:r>
      <w:r w:rsidR="00744CB2" w:rsidRPr="00B2562E">
        <w:rPr>
          <w:i/>
          <w:iCs/>
          <w:szCs w:val="22"/>
          <w:lang w:eastAsia="fr-CA"/>
        </w:rPr>
        <w:t>R. v. G.W.C.</w:t>
      </w:r>
      <w:r w:rsidR="00744CB2" w:rsidRPr="00B2562E">
        <w:rPr>
          <w:szCs w:val="22"/>
          <w:lang w:eastAsia="fr-CA"/>
        </w:rPr>
        <w:t xml:space="preserve">, 2000 ABCA 333, 277 A.R. 20, at paras. 17-18; </w:t>
      </w:r>
      <w:r w:rsidR="00744CB2" w:rsidRPr="00B2562E">
        <w:rPr>
          <w:i/>
          <w:iCs/>
          <w:szCs w:val="22"/>
          <w:lang w:eastAsia="fr-CA"/>
        </w:rPr>
        <w:t xml:space="preserve">R. v. </w:t>
      </w:r>
      <w:proofErr w:type="spellStart"/>
      <w:r w:rsidR="00744CB2" w:rsidRPr="00B2562E">
        <w:rPr>
          <w:i/>
          <w:iCs/>
          <w:szCs w:val="22"/>
          <w:lang w:eastAsia="fr-CA"/>
        </w:rPr>
        <w:t>Bezdan</w:t>
      </w:r>
      <w:proofErr w:type="spellEnd"/>
      <w:r w:rsidR="00744CB2" w:rsidRPr="00B2562E">
        <w:rPr>
          <w:szCs w:val="22"/>
          <w:lang w:eastAsia="fr-CA"/>
        </w:rPr>
        <w:t xml:space="preserve">, 2001 BCCA 215, 154 B.C.A.C. 122, at para. 15; </w:t>
      </w:r>
      <w:r w:rsidR="00744CB2" w:rsidRPr="00B2562E">
        <w:rPr>
          <w:i/>
          <w:iCs/>
          <w:szCs w:val="22"/>
          <w:lang w:eastAsia="fr-CA"/>
        </w:rPr>
        <w:t>R. v. MacIvor</w:t>
      </w:r>
      <w:r w:rsidR="00744CB2" w:rsidRPr="00B2562E">
        <w:rPr>
          <w:szCs w:val="22"/>
          <w:lang w:eastAsia="fr-CA"/>
        </w:rPr>
        <w:t>, 2003 NSCA 60, 215 N.S.R. (2d) 344, at para. 31).</w:t>
      </w:r>
      <w:r w:rsidR="00742DC5">
        <w:rPr>
          <w:szCs w:val="22"/>
          <w:lang w:eastAsia="fr-CA"/>
        </w:rPr>
        <w:t xml:space="preserve"> </w:t>
      </w:r>
      <w:r w:rsidR="00744CB2" w:rsidRPr="00B2562E">
        <w:rPr>
          <w:szCs w:val="22"/>
          <w:lang w:eastAsia="fr-CA"/>
        </w:rPr>
        <w:t>Crown counsel for the respondent urged us to adopt this test, arguing that it best reflects the trial judge’s duty to come to an independent decision regarding the appropriate sentence.</w:t>
      </w:r>
    </w:p>
    <w:p w14:paraId="1BF40550" w14:textId="3E620C61" w:rsidR="0012455D" w:rsidRPr="001335CE" w:rsidRDefault="0012455D" w:rsidP="000E174F">
      <w:pPr>
        <w:pStyle w:val="Citationenretrait"/>
        <w:rPr>
          <w:szCs w:val="22"/>
          <w:lang w:eastAsia="fr-CA"/>
        </w:rPr>
      </w:pPr>
      <w:r w:rsidRPr="001335CE">
        <w:rPr>
          <w:szCs w:val="22"/>
          <w:lang w:eastAsia="fr-CA"/>
        </w:rPr>
        <w:t>[</w:t>
      </w:r>
      <w:bookmarkStart w:id="21" w:name="par28"/>
      <w:r w:rsidRPr="001335CE">
        <w:rPr>
          <w:szCs w:val="22"/>
          <w:lang w:eastAsia="fr-CA"/>
        </w:rPr>
        <w:t>28</w:t>
      </w:r>
      <w:bookmarkEnd w:id="21"/>
      <w:r w:rsidRPr="001335CE">
        <w:rPr>
          <w:szCs w:val="22"/>
          <w:lang w:eastAsia="fr-CA"/>
        </w:rPr>
        <w:t>]</w:t>
      </w:r>
      <w:r w:rsidRPr="001335CE">
        <w:rPr>
          <w:szCs w:val="22"/>
          <w:lang w:eastAsia="fr-CA"/>
        </w:rPr>
        <w:tab/>
      </w:r>
      <w:r w:rsidR="007C3E10" w:rsidRPr="00B2562E">
        <w:rPr>
          <w:szCs w:val="22"/>
          <w:lang w:eastAsia="fr-CA"/>
        </w:rPr>
        <w:t>The second test is also a “fitness” test, although of a different kind.</w:t>
      </w:r>
      <w:r w:rsidR="00742DC5">
        <w:rPr>
          <w:szCs w:val="22"/>
          <w:lang w:eastAsia="fr-CA"/>
        </w:rPr>
        <w:t xml:space="preserve"> </w:t>
      </w:r>
      <w:r w:rsidR="007C3E10" w:rsidRPr="00B2562E">
        <w:rPr>
          <w:szCs w:val="22"/>
          <w:lang w:eastAsia="fr-CA"/>
        </w:rPr>
        <w:t>It resembles the standard of review that appellate courts apply on sentencing appeals in circumstances where the sentence imposed by the trial judge is entitled to deference.</w:t>
      </w:r>
      <w:r w:rsidR="00742DC5">
        <w:rPr>
          <w:szCs w:val="22"/>
          <w:lang w:eastAsia="fr-CA"/>
        </w:rPr>
        <w:t xml:space="preserve"> </w:t>
      </w:r>
      <w:r w:rsidR="007C3E10" w:rsidRPr="00B2562E">
        <w:rPr>
          <w:szCs w:val="22"/>
          <w:lang w:eastAsia="fr-CA"/>
        </w:rPr>
        <w:t>Under this test, trial judges should not depart from a joint submission unless they conclude that the sentence proposed is “demonstrably unfit” (</w:t>
      </w:r>
      <w:r w:rsidR="007C3E10" w:rsidRPr="00B2562E">
        <w:rPr>
          <w:i/>
          <w:iCs/>
          <w:szCs w:val="22"/>
          <w:lang w:eastAsia="fr-CA"/>
        </w:rPr>
        <w:t>R. v. Lacasse</w:t>
      </w:r>
      <w:r w:rsidR="007C3E10" w:rsidRPr="00B2562E">
        <w:rPr>
          <w:szCs w:val="22"/>
          <w:lang w:eastAsia="fr-CA"/>
        </w:rPr>
        <w:t>, 2015 SCC 64, [2015] 3 S.C.R. 1089, at para. 11).</w:t>
      </w:r>
      <w:r w:rsidR="00742DC5">
        <w:rPr>
          <w:szCs w:val="22"/>
          <w:lang w:eastAsia="fr-CA"/>
        </w:rPr>
        <w:t xml:space="preserve"> </w:t>
      </w:r>
      <w:r w:rsidR="007C3E10" w:rsidRPr="00B2562E">
        <w:rPr>
          <w:szCs w:val="22"/>
          <w:lang w:eastAsia="fr-CA"/>
        </w:rPr>
        <w:t>This is clearly a more stringent test than the simple “fitness” test.</w:t>
      </w:r>
      <w:r w:rsidR="00742DC5">
        <w:rPr>
          <w:szCs w:val="22"/>
          <w:lang w:eastAsia="fr-CA"/>
        </w:rPr>
        <w:t xml:space="preserve"> </w:t>
      </w:r>
      <w:r w:rsidR="007C3E10" w:rsidRPr="00B2562E">
        <w:rPr>
          <w:szCs w:val="22"/>
          <w:lang w:eastAsia="fr-CA"/>
        </w:rPr>
        <w:t>However, the parties did not point us to any appellate decisions that have adopted it, and I am aware of none.</w:t>
      </w:r>
    </w:p>
    <w:p w14:paraId="7B7C9CBC" w14:textId="3301277C" w:rsidR="0012455D" w:rsidRPr="001335CE" w:rsidRDefault="0012455D" w:rsidP="000E174F">
      <w:pPr>
        <w:pStyle w:val="Citationenretrait"/>
        <w:rPr>
          <w:szCs w:val="22"/>
          <w:lang w:eastAsia="fr-CA"/>
        </w:rPr>
      </w:pPr>
      <w:r w:rsidRPr="001335CE">
        <w:rPr>
          <w:szCs w:val="22"/>
          <w:lang w:eastAsia="fr-CA"/>
        </w:rPr>
        <w:t>[</w:t>
      </w:r>
      <w:bookmarkStart w:id="22" w:name="par29"/>
      <w:r w:rsidRPr="001335CE">
        <w:rPr>
          <w:szCs w:val="22"/>
          <w:lang w:eastAsia="fr-CA"/>
        </w:rPr>
        <w:t>29</w:t>
      </w:r>
      <w:bookmarkEnd w:id="22"/>
      <w:r w:rsidRPr="001335CE">
        <w:rPr>
          <w:szCs w:val="22"/>
          <w:lang w:eastAsia="fr-CA"/>
        </w:rPr>
        <w:t>]</w:t>
      </w:r>
      <w:r w:rsidRPr="001335CE">
        <w:rPr>
          <w:szCs w:val="22"/>
          <w:lang w:eastAsia="fr-CA"/>
        </w:rPr>
        <w:tab/>
      </w:r>
      <w:r w:rsidR="007C3E10" w:rsidRPr="00B2562E">
        <w:rPr>
          <w:szCs w:val="22"/>
          <w:lang w:eastAsia="fr-CA"/>
        </w:rPr>
        <w:t xml:space="preserve">The third test, commonly referred to as the “public interest” test, was developed in the </w:t>
      </w:r>
      <w:r w:rsidR="007C3E10" w:rsidRPr="00B2562E">
        <w:rPr>
          <w:i/>
          <w:iCs/>
          <w:szCs w:val="22"/>
          <w:lang w:eastAsia="fr-CA"/>
        </w:rPr>
        <w:t>Report of the Attorney General’s Advisory Committee on Charge Screening, Disclosure, and Resolution Discussions</w:t>
      </w:r>
      <w:r w:rsidR="007C3E10" w:rsidRPr="00B2562E">
        <w:rPr>
          <w:szCs w:val="22"/>
          <w:lang w:eastAsia="fr-CA"/>
        </w:rPr>
        <w:t xml:space="preserve"> (1993) (the “Martin Committee Report”).[2]</w:t>
      </w:r>
      <w:r w:rsidR="00742DC5">
        <w:rPr>
          <w:szCs w:val="22"/>
          <w:lang w:eastAsia="fr-CA"/>
        </w:rPr>
        <w:t xml:space="preserve"> </w:t>
      </w:r>
      <w:r w:rsidR="007C3E10" w:rsidRPr="00B2562E">
        <w:rPr>
          <w:szCs w:val="22"/>
          <w:lang w:eastAsia="fr-CA"/>
        </w:rPr>
        <w:t>Under this test, trial judges “should not depart from a joint submission unless the proposed sentence would bring the administration of justice into disrepute, or is otherwise not in the public interest” (p. 327 (emphasis deleted)).</w:t>
      </w:r>
      <w:r w:rsidR="00742DC5">
        <w:rPr>
          <w:szCs w:val="22"/>
          <w:lang w:eastAsia="fr-CA"/>
        </w:rPr>
        <w:t xml:space="preserve"> </w:t>
      </w:r>
      <w:r w:rsidR="007C3E10" w:rsidRPr="00B2562E">
        <w:rPr>
          <w:szCs w:val="22"/>
          <w:lang w:eastAsia="fr-CA"/>
        </w:rPr>
        <w:t xml:space="preserve">This test has also been adopted by a number of provincial appellate courts (see, for example, </w:t>
      </w:r>
      <w:r w:rsidR="007C3E10" w:rsidRPr="00B2562E">
        <w:rPr>
          <w:i/>
          <w:iCs/>
          <w:szCs w:val="22"/>
          <w:lang w:eastAsia="fr-CA"/>
        </w:rPr>
        <w:t>R. v. Dorsey</w:t>
      </w:r>
      <w:r w:rsidR="007C3E10" w:rsidRPr="00B2562E">
        <w:rPr>
          <w:szCs w:val="22"/>
          <w:lang w:eastAsia="fr-CA"/>
        </w:rPr>
        <w:t xml:space="preserve"> (1999), 123 O.A.C. 342, at para. 11; </w:t>
      </w:r>
      <w:r w:rsidR="007C3E10" w:rsidRPr="00B2562E">
        <w:rPr>
          <w:i/>
          <w:iCs/>
          <w:szCs w:val="22"/>
          <w:lang w:eastAsia="fr-CA"/>
        </w:rPr>
        <w:t xml:space="preserve">R. v. </w:t>
      </w:r>
      <w:proofErr w:type="spellStart"/>
      <w:r w:rsidR="007C3E10" w:rsidRPr="00B2562E">
        <w:rPr>
          <w:i/>
          <w:iCs/>
          <w:szCs w:val="22"/>
          <w:lang w:eastAsia="fr-CA"/>
        </w:rPr>
        <w:t>Druken</w:t>
      </w:r>
      <w:proofErr w:type="spellEnd"/>
      <w:r w:rsidR="007C3E10" w:rsidRPr="00B2562E">
        <w:rPr>
          <w:szCs w:val="22"/>
          <w:lang w:eastAsia="fr-CA"/>
        </w:rPr>
        <w:t xml:space="preserve">, 2006 NLCA 67, 261 Nfld. &amp; P.E.I.R. 271, at para. 29; </w:t>
      </w:r>
      <w:r w:rsidR="007C3E10" w:rsidRPr="00B2562E">
        <w:rPr>
          <w:i/>
          <w:iCs/>
          <w:szCs w:val="22"/>
          <w:lang w:eastAsia="fr-CA"/>
        </w:rPr>
        <w:t>R. v. Nome</w:t>
      </w:r>
      <w:r w:rsidR="007C3E10" w:rsidRPr="00B2562E">
        <w:rPr>
          <w:szCs w:val="22"/>
          <w:lang w:eastAsia="fr-CA"/>
        </w:rPr>
        <w:t>, 2002 BCCA 468, 172 B.C.A.C. 183, at paras. 13-14).</w:t>
      </w:r>
      <w:r w:rsidR="00742DC5">
        <w:rPr>
          <w:szCs w:val="22"/>
          <w:lang w:eastAsia="fr-CA"/>
        </w:rPr>
        <w:t xml:space="preserve"> </w:t>
      </w:r>
      <w:r w:rsidR="007C3E10" w:rsidRPr="00B2562E">
        <w:rPr>
          <w:szCs w:val="22"/>
          <w:lang w:eastAsia="fr-CA"/>
        </w:rPr>
        <w:t xml:space="preserve">The appellant supports this test, largely because it provides “a high threshold and is intended to foster confidence in an accused, who has given up his right to a trial, that the joint submission he obtained in return for </w:t>
      </w:r>
      <w:r w:rsidR="007C3E10" w:rsidRPr="00B2562E">
        <w:rPr>
          <w:szCs w:val="22"/>
          <w:lang w:eastAsia="fr-CA"/>
        </w:rPr>
        <w:lastRenderedPageBreak/>
        <w:t>a plea of guilty will be respected by the sentencing judge” (</w:t>
      </w:r>
      <w:r w:rsidR="007C3E10" w:rsidRPr="00B2562E">
        <w:rPr>
          <w:i/>
          <w:iCs/>
          <w:szCs w:val="22"/>
          <w:lang w:eastAsia="fr-CA"/>
        </w:rPr>
        <w:t xml:space="preserve">R. v. </w:t>
      </w:r>
      <w:proofErr w:type="spellStart"/>
      <w:r w:rsidR="007C3E10" w:rsidRPr="00B2562E">
        <w:rPr>
          <w:i/>
          <w:iCs/>
          <w:szCs w:val="22"/>
          <w:lang w:eastAsia="fr-CA"/>
        </w:rPr>
        <w:t>Cerasuolo</w:t>
      </w:r>
      <w:proofErr w:type="spellEnd"/>
      <w:r w:rsidR="007C3E10" w:rsidRPr="00B2562E">
        <w:rPr>
          <w:szCs w:val="22"/>
          <w:lang w:eastAsia="fr-CA"/>
        </w:rPr>
        <w:t xml:space="preserve"> (2001), 151 C.C.C. (3d) 445 (Ont. C.A.), at para. 8).</w:t>
      </w:r>
    </w:p>
    <w:p w14:paraId="7695CDDB" w14:textId="1ECE6912" w:rsidR="0012455D" w:rsidRPr="001335CE" w:rsidRDefault="0012455D" w:rsidP="000E174F">
      <w:pPr>
        <w:pStyle w:val="Citationenretrait"/>
        <w:rPr>
          <w:szCs w:val="22"/>
          <w:lang w:eastAsia="fr-CA"/>
        </w:rPr>
      </w:pPr>
      <w:r w:rsidRPr="001335CE">
        <w:rPr>
          <w:szCs w:val="22"/>
          <w:lang w:eastAsia="fr-CA"/>
        </w:rPr>
        <w:t>[</w:t>
      </w:r>
      <w:bookmarkStart w:id="23" w:name="par30"/>
      <w:r w:rsidRPr="001335CE">
        <w:rPr>
          <w:szCs w:val="22"/>
          <w:lang w:eastAsia="fr-CA"/>
        </w:rPr>
        <w:t>30</w:t>
      </w:r>
      <w:bookmarkEnd w:id="23"/>
      <w:r w:rsidRPr="001335CE">
        <w:rPr>
          <w:szCs w:val="22"/>
          <w:lang w:eastAsia="fr-CA"/>
        </w:rPr>
        <w:t>]</w:t>
      </w:r>
      <w:r w:rsidRPr="001335CE">
        <w:rPr>
          <w:szCs w:val="22"/>
          <w:lang w:eastAsia="fr-CA"/>
        </w:rPr>
        <w:tab/>
      </w:r>
      <w:r w:rsidR="00EC1181" w:rsidRPr="00B2562E">
        <w:rPr>
          <w:szCs w:val="22"/>
          <w:lang w:eastAsia="fr-CA"/>
        </w:rPr>
        <w:t xml:space="preserve">And, finally, some courts, most notably in Quebec, treat the fitness and public interest tests as essentially the same, and use the language of the two tests interchangeably (though in Quebec “reasonableness” is used in place of “fitness”: see, for example, </w:t>
      </w:r>
      <w:r w:rsidR="00EC1181" w:rsidRPr="00742DC5">
        <w:rPr>
          <w:i/>
          <w:iCs/>
          <w:szCs w:val="22"/>
          <w:lang w:eastAsia="fr-CA"/>
        </w:rPr>
        <w:t>R. v. Douglas</w:t>
      </w:r>
      <w:r w:rsidR="00EC1181" w:rsidRPr="00B2562E">
        <w:rPr>
          <w:szCs w:val="22"/>
          <w:lang w:eastAsia="fr-CA"/>
        </w:rPr>
        <w:t xml:space="preserve"> (2002), 162 C.C.C. (3d) 37 (C.A.), at para. </w:t>
      </w:r>
      <w:r w:rsidR="00EC1181" w:rsidRPr="00392FE1">
        <w:rPr>
          <w:szCs w:val="22"/>
          <w:lang w:val="fr-CA" w:eastAsia="fr-CA"/>
        </w:rPr>
        <w:t xml:space="preserve">51; </w:t>
      </w:r>
      <w:r w:rsidR="00EC1181" w:rsidRPr="00742DC5">
        <w:rPr>
          <w:i/>
          <w:iCs/>
          <w:szCs w:val="22"/>
          <w:lang w:val="fr-CA" w:eastAsia="fr-CA"/>
        </w:rPr>
        <w:t>R. v. Dion</w:t>
      </w:r>
      <w:r w:rsidR="00EC1181" w:rsidRPr="00392FE1">
        <w:rPr>
          <w:szCs w:val="22"/>
          <w:lang w:val="fr-CA" w:eastAsia="fr-CA"/>
        </w:rPr>
        <w:t xml:space="preserve">, 2015 QCCA 1826, at para. 14 (CanLII); </w:t>
      </w:r>
      <w:r w:rsidR="00EC1181" w:rsidRPr="00742DC5">
        <w:rPr>
          <w:i/>
          <w:iCs/>
          <w:szCs w:val="22"/>
          <w:lang w:val="fr-CA" w:eastAsia="fr-CA"/>
        </w:rPr>
        <w:t>R. v. Dumont</w:t>
      </w:r>
      <w:r w:rsidR="00EC1181" w:rsidRPr="00392FE1">
        <w:rPr>
          <w:szCs w:val="22"/>
          <w:lang w:val="fr-CA" w:eastAsia="fr-CA"/>
        </w:rPr>
        <w:t xml:space="preserve">, 2013 QCCA 576, at para. 12 (CanLII); </w:t>
      </w:r>
      <w:r w:rsidR="00EC1181" w:rsidRPr="00742DC5">
        <w:rPr>
          <w:i/>
          <w:iCs/>
          <w:szCs w:val="22"/>
          <w:lang w:val="fr-CA" w:eastAsia="fr-CA"/>
        </w:rPr>
        <w:t>R. v. Mailhot</w:t>
      </w:r>
      <w:r w:rsidR="00EC1181" w:rsidRPr="00392FE1">
        <w:rPr>
          <w:szCs w:val="22"/>
          <w:lang w:val="fr-CA" w:eastAsia="fr-CA"/>
        </w:rPr>
        <w:t xml:space="preserve">, 2013 QCCA 870, at para. </w:t>
      </w:r>
      <w:r w:rsidR="00EC1181" w:rsidRPr="00B2562E">
        <w:rPr>
          <w:szCs w:val="22"/>
          <w:lang w:eastAsia="fr-CA"/>
        </w:rPr>
        <w:t>7 (CanLII)).</w:t>
      </w:r>
      <w:r w:rsidR="00742DC5">
        <w:rPr>
          <w:szCs w:val="22"/>
          <w:lang w:eastAsia="fr-CA"/>
        </w:rPr>
        <w:t xml:space="preserve"> </w:t>
      </w:r>
      <w:r w:rsidR="00EC1181" w:rsidRPr="00B2562E">
        <w:rPr>
          <w:szCs w:val="22"/>
          <w:lang w:eastAsia="fr-CA"/>
        </w:rPr>
        <w:t xml:space="preserve">Perhaps the best example of this is found in </w:t>
      </w:r>
      <w:r w:rsidR="00EC1181" w:rsidRPr="00742DC5">
        <w:rPr>
          <w:i/>
          <w:iCs/>
          <w:szCs w:val="22"/>
          <w:lang w:eastAsia="fr-CA"/>
        </w:rPr>
        <w:t>Douglas</w:t>
      </w:r>
      <w:r w:rsidR="00EC1181" w:rsidRPr="00B2562E">
        <w:rPr>
          <w:szCs w:val="22"/>
          <w:lang w:eastAsia="fr-CA"/>
        </w:rPr>
        <w:t xml:space="preserve">, an </w:t>
      </w:r>
      <w:r w:rsidR="00CA3E52" w:rsidRPr="00B2562E">
        <w:rPr>
          <w:szCs w:val="22"/>
          <w:lang w:eastAsia="fr-CA"/>
        </w:rPr>
        <w:t>oft referred</w:t>
      </w:r>
      <w:r w:rsidR="00EC1181" w:rsidRPr="00B2562E">
        <w:rPr>
          <w:szCs w:val="22"/>
          <w:lang w:eastAsia="fr-CA"/>
        </w:rPr>
        <w:t xml:space="preserve"> to decision of the Quebec Court of Appeal in which Fish J.A. (as he then was) said</w:t>
      </w:r>
      <w:r w:rsidRPr="001335CE">
        <w:rPr>
          <w:szCs w:val="22"/>
          <w:lang w:eastAsia="fr-CA"/>
        </w:rPr>
        <w:t>:</w:t>
      </w:r>
    </w:p>
    <w:p w14:paraId="6C074A9C" w14:textId="54235083" w:rsidR="0012455D" w:rsidRPr="001335CE" w:rsidRDefault="00EC1181" w:rsidP="00EC1181">
      <w:pPr>
        <w:pStyle w:val="Citationenretrait"/>
        <w:spacing w:line="240" w:lineRule="auto"/>
        <w:ind w:left="1440"/>
        <w:rPr>
          <w:sz w:val="20"/>
          <w:lang w:eastAsia="fr-CA"/>
        </w:rPr>
      </w:pPr>
      <w:r w:rsidRPr="00B2562E">
        <w:rPr>
          <w:sz w:val="20"/>
          <w:lang w:eastAsia="fr-CA"/>
        </w:rPr>
        <w:t>In my view, a reasonable joint submission cannot be said to “bring the administration of justice into disrepute”. An unreasonable joint submission, on the other hand, is surely “contrary to the public interest”. Accordingly, though it is purposively framed in striking and evocative terms, I do not believe that the [public interest test] departs substantially from the test of reasonableness articulated by other courts, including our own. Their shared conceptual foundation is that the interests of justice are well served by the acceptance of a joint submission on sentence accompanied by a negotiated plea of guilty ― provided, of course, that the sentence jointly proposed falls within the acceptable range and the plea is warranted by the facts admitted.</w:t>
      </w:r>
      <w:r w:rsidR="00742DC5">
        <w:rPr>
          <w:sz w:val="20"/>
          <w:lang w:eastAsia="fr-CA"/>
        </w:rPr>
        <w:t xml:space="preserve"> </w:t>
      </w:r>
      <w:r w:rsidRPr="00B2562E">
        <w:rPr>
          <w:sz w:val="20"/>
          <w:lang w:eastAsia="fr-CA"/>
        </w:rPr>
        <w:t>[Endnote omitted; para. 51.]</w:t>
      </w:r>
    </w:p>
    <w:p w14:paraId="6EC62CD8" w14:textId="0DF76063" w:rsidR="0012455D" w:rsidRPr="00B2562E" w:rsidRDefault="0012455D" w:rsidP="000E174F">
      <w:pPr>
        <w:pStyle w:val="Citationenretrait"/>
        <w:rPr>
          <w:lang w:eastAsia="fr-CA"/>
        </w:rPr>
      </w:pPr>
      <w:r w:rsidRPr="001335CE">
        <w:rPr>
          <w:lang w:eastAsia="fr-CA"/>
        </w:rPr>
        <w:t>[</w:t>
      </w:r>
      <w:bookmarkStart w:id="24" w:name="par31"/>
      <w:r w:rsidRPr="001335CE">
        <w:rPr>
          <w:lang w:eastAsia="fr-CA"/>
        </w:rPr>
        <w:t>31</w:t>
      </w:r>
      <w:bookmarkEnd w:id="24"/>
      <w:r w:rsidRPr="001335CE">
        <w:rPr>
          <w:lang w:eastAsia="fr-CA"/>
        </w:rPr>
        <w:t>]</w:t>
      </w:r>
      <w:r w:rsidRPr="001335CE">
        <w:rPr>
          <w:lang w:eastAsia="fr-CA"/>
        </w:rPr>
        <w:tab/>
      </w:r>
      <w:r w:rsidR="00EC1181" w:rsidRPr="00B2562E">
        <w:rPr>
          <w:lang w:eastAsia="fr-CA"/>
        </w:rPr>
        <w:t xml:space="preserve">Having considered the various options, I believe that the public interest test, as amplified in these reasons, is the proper test. It is more stringent than the other tests proposed and it best reflects the many benefits that joint submissions bring to the criminal justice system and the corresponding need for a high degree of certainty in them. Moreover, it is distinct from the “fitness” tests used by trial judges </w:t>
      </w:r>
      <w:r w:rsidR="00742DC5">
        <w:rPr>
          <w:lang w:eastAsia="fr-CA"/>
        </w:rPr>
        <w:t>a</w:t>
      </w:r>
      <w:r w:rsidR="00EC1181" w:rsidRPr="00B2562E">
        <w:rPr>
          <w:lang w:eastAsia="fr-CA"/>
        </w:rPr>
        <w:t xml:space="preserve">nd appellate courts in conventional sentencing hearings and, in that sense, helps to keep trial judges focused on the unique considerations that apply when assessing the acceptability of a joint submission. To the extent </w:t>
      </w:r>
      <w:r w:rsidR="00EC1181" w:rsidRPr="00742DC5">
        <w:rPr>
          <w:i/>
          <w:iCs/>
          <w:lang w:eastAsia="fr-CA"/>
        </w:rPr>
        <w:t>Douglas</w:t>
      </w:r>
      <w:r w:rsidR="00EC1181" w:rsidRPr="00B2562E">
        <w:rPr>
          <w:lang w:eastAsia="fr-CA"/>
        </w:rPr>
        <w:t xml:space="preserve"> holds otherwise, I am respectfully of the view that it is wrongly decided and should not be followed.</w:t>
      </w:r>
    </w:p>
    <w:p w14:paraId="43B34325" w14:textId="7C7A98F5" w:rsidR="0012455D" w:rsidRPr="00B2562E" w:rsidRDefault="00567285" w:rsidP="000E174F">
      <w:pPr>
        <w:pStyle w:val="Paragraphe"/>
        <w:spacing w:line="280" w:lineRule="exact"/>
      </w:pPr>
      <w:r w:rsidRPr="00B2562E">
        <w:t xml:space="preserve">The Supreme </w:t>
      </w:r>
      <w:r w:rsidR="0012455D" w:rsidRPr="00B2562E">
        <w:t>Cour</w:t>
      </w:r>
      <w:r w:rsidRPr="00B2562E">
        <w:t>t</w:t>
      </w:r>
      <w:r w:rsidR="0012455D" w:rsidRPr="00B2562E">
        <w:t xml:space="preserve"> </w:t>
      </w:r>
      <w:r w:rsidRPr="00B2562E">
        <w:t xml:space="preserve">therefore clearly adopts the third test. It </w:t>
      </w:r>
      <w:r w:rsidR="00742DC5">
        <w:t>emphasizes</w:t>
      </w:r>
      <w:r w:rsidRPr="00B2562E">
        <w:t xml:space="preserve"> that this test is stringent and demanding to the point that it cannot be </w:t>
      </w:r>
      <w:r w:rsidR="0032691E" w:rsidRPr="00B2562E">
        <w:t xml:space="preserve">concealed or </w:t>
      </w:r>
      <w:r w:rsidR="00C017DF">
        <w:t>conflated</w:t>
      </w:r>
      <w:r w:rsidR="0036480B" w:rsidRPr="00B2562E">
        <w:t xml:space="preserve"> </w:t>
      </w:r>
      <w:r w:rsidR="0032691E" w:rsidRPr="00B2562E">
        <w:t>with others the Court</w:t>
      </w:r>
      <w:r w:rsidR="00C017DF">
        <w:t xml:space="preserve"> has set aside</w:t>
      </w:r>
      <w:r w:rsidR="0032691E" w:rsidRPr="00B2562E">
        <w:t>.</w:t>
      </w:r>
      <w:r w:rsidR="0012455D" w:rsidRPr="00B2562E">
        <w:t xml:space="preserve"> I</w:t>
      </w:r>
      <w:r w:rsidR="0032691E" w:rsidRPr="00B2562E">
        <w:t xml:space="preserve">t follows that not respecting this test </w:t>
      </w:r>
      <w:r w:rsidRPr="00B2562E">
        <w:t>is an error in principle</w:t>
      </w:r>
      <w:r w:rsidR="0012455D" w:rsidRPr="00B2562E">
        <w:t>.</w:t>
      </w:r>
    </w:p>
    <w:p w14:paraId="4F23B2D7" w14:textId="5E9CA904" w:rsidR="0012455D" w:rsidRPr="00B2562E" w:rsidRDefault="0012455D" w:rsidP="0010369B">
      <w:pPr>
        <w:pStyle w:val="Titre2"/>
      </w:pPr>
      <w:r w:rsidRPr="00B2562E">
        <w:t>C.</w:t>
      </w:r>
      <w:r w:rsidRPr="00B2562E">
        <w:tab/>
      </w:r>
      <w:r w:rsidR="0032691E" w:rsidRPr="00B2562E">
        <w:t>Why the public interest test</w:t>
      </w:r>
    </w:p>
    <w:p w14:paraId="2790B820" w14:textId="0BEEFD13" w:rsidR="0012455D" w:rsidRPr="00B2562E" w:rsidRDefault="000D7DE5" w:rsidP="000E174F">
      <w:pPr>
        <w:pStyle w:val="Paragraphe"/>
        <w:spacing w:line="280" w:lineRule="exact"/>
      </w:pPr>
      <w:r w:rsidRPr="00B2562E">
        <w:t xml:space="preserve">In the words of </w:t>
      </w:r>
      <w:proofErr w:type="spellStart"/>
      <w:r w:rsidR="0012455D" w:rsidRPr="00B2562E">
        <w:t>Moldaver</w:t>
      </w:r>
      <w:proofErr w:type="spellEnd"/>
      <w:r w:rsidR="0032691E" w:rsidRPr="00B2562E">
        <w:t xml:space="preserve"> J.</w:t>
      </w:r>
      <w:r w:rsidR="0012455D" w:rsidRPr="00B2562E">
        <w:t xml:space="preserve">, </w:t>
      </w:r>
      <w:r w:rsidR="0032691E" w:rsidRPr="00B2562E">
        <w:t xml:space="preserve">the </w:t>
      </w:r>
      <w:r w:rsidR="0012455D" w:rsidRPr="00B2562E">
        <w:t>Cour</w:t>
      </w:r>
      <w:r w:rsidR="0032691E" w:rsidRPr="00B2562E">
        <w:t>t</w:t>
      </w:r>
      <w:r w:rsidR="0012455D" w:rsidRPr="00B2562E">
        <w:t xml:space="preserve"> </w:t>
      </w:r>
      <w:r w:rsidR="0032691E" w:rsidRPr="00B2562E">
        <w:t>also explains why it adopted the public interest test and rejected the other two</w:t>
      </w:r>
      <w:r w:rsidR="0012455D" w:rsidRPr="00B2562E">
        <w:t>:</w:t>
      </w:r>
    </w:p>
    <w:p w14:paraId="75F46B2E" w14:textId="45B0DE4E" w:rsidR="0012455D" w:rsidRPr="00B2562E" w:rsidRDefault="0012455D" w:rsidP="000E174F">
      <w:pPr>
        <w:pStyle w:val="Citationenretrait"/>
        <w:rPr>
          <w:rFonts w:ascii="Times New Roman" w:hAnsi="Times New Roman"/>
          <w:lang w:eastAsia="fr-CA"/>
        </w:rPr>
      </w:pPr>
      <w:r w:rsidRPr="001335CE">
        <w:t>[</w:t>
      </w:r>
      <w:bookmarkStart w:id="25" w:name="par46"/>
      <w:r w:rsidRPr="001335CE">
        <w:t>46</w:t>
      </w:r>
      <w:bookmarkEnd w:id="25"/>
      <w:r w:rsidRPr="001335CE">
        <w:t>]</w:t>
      </w:r>
      <w:r w:rsidRPr="001335CE">
        <w:tab/>
      </w:r>
      <w:r w:rsidR="00C65B84" w:rsidRPr="00B2562E">
        <w:t>As indicated, the position of the respondent is that while trial judges should give serious consideration to joint submissions, such submissions may be rejected on a simple “fitness” test.</w:t>
      </w:r>
      <w:r w:rsidR="00742DC5">
        <w:t xml:space="preserve"> </w:t>
      </w:r>
      <w:r w:rsidR="00C65B84" w:rsidRPr="00B2562E">
        <w:t>With respect, this test is not sufficiently stringent.</w:t>
      </w:r>
      <w:r w:rsidR="00742DC5">
        <w:t xml:space="preserve"> </w:t>
      </w:r>
      <w:r w:rsidR="00C65B84" w:rsidRPr="00B2562E">
        <w:t xml:space="preserve">Under </w:t>
      </w:r>
      <w:r w:rsidR="00C65B84" w:rsidRPr="00B2562E">
        <w:lastRenderedPageBreak/>
        <w:t xml:space="preserve">it, trial judges must ask what a fit or appropriate sentence would be, instead of asking whether </w:t>
      </w:r>
      <w:r w:rsidR="00C65B84" w:rsidRPr="00B2562E">
        <w:rPr>
          <w:i/>
          <w:iCs/>
        </w:rPr>
        <w:t>the sentence proposed</w:t>
      </w:r>
      <w:r w:rsidR="00C65B84" w:rsidRPr="00B2562E">
        <w:t xml:space="preserve"> would be viewed by reasonable and informed persons as a breakdown in the proper functioning of the justice system.</w:t>
      </w:r>
      <w:r w:rsidR="00742DC5">
        <w:t xml:space="preserve"> </w:t>
      </w:r>
      <w:r w:rsidR="00C65B84" w:rsidRPr="00B2562E">
        <w:t>In short, the “fitness” test does not direct trial judges to approach joint submissions from a position of restraint.</w:t>
      </w:r>
      <w:r w:rsidR="00742DC5">
        <w:t xml:space="preserve"> </w:t>
      </w:r>
      <w:r w:rsidR="00C65B84" w:rsidRPr="00B2562E">
        <w:t>Rather, it sends a different, and in my view, a wrong signal: that they may interfere if they have a different view of what a “fit” sentence would be.</w:t>
      </w:r>
      <w:r w:rsidR="00742DC5">
        <w:t xml:space="preserve"> </w:t>
      </w:r>
      <w:r w:rsidR="00C65B84" w:rsidRPr="00B2562E">
        <w:t>If trial judges were free to interfere on this basis, the result would be to “effectively eliminate the use of plea bargaining as part of the criminal prosecution process” (</w:t>
      </w:r>
      <w:r w:rsidR="00C65B84" w:rsidRPr="00B2562E">
        <w:rPr>
          <w:i/>
          <w:iCs/>
        </w:rPr>
        <w:t>R. v. Oxford</w:t>
      </w:r>
      <w:r w:rsidR="00C65B84" w:rsidRPr="00B2562E">
        <w:t>, 2010 NLCA 45, 299 Nfld. &amp; P.E.I.R. 327, at para. 55).</w:t>
      </w:r>
    </w:p>
    <w:p w14:paraId="3CC0AF75" w14:textId="5023810B" w:rsidR="0012455D" w:rsidRPr="001335CE" w:rsidRDefault="0012455D" w:rsidP="000E174F">
      <w:pPr>
        <w:pStyle w:val="Citationenretrait"/>
      </w:pPr>
      <w:r w:rsidRPr="001335CE">
        <w:t>[</w:t>
      </w:r>
      <w:bookmarkStart w:id="26" w:name="par47"/>
      <w:r w:rsidRPr="001335CE">
        <w:t>47</w:t>
      </w:r>
      <w:bookmarkEnd w:id="26"/>
      <w:r w:rsidRPr="001335CE">
        <w:t>]</w:t>
      </w:r>
      <w:r w:rsidRPr="001335CE">
        <w:tab/>
      </w:r>
      <w:r w:rsidR="00C65B84" w:rsidRPr="00B2562E">
        <w:t>While the “demonstrably unfit” test used by appellate courts is undoubtedly a higher threshold than the simple “fitness” test, in rare cases, this threshold may not be sufficiently robust for the joint submission context.</w:t>
      </w:r>
      <w:r w:rsidR="00742DC5">
        <w:t xml:space="preserve"> </w:t>
      </w:r>
      <w:r w:rsidR="00C65B84" w:rsidRPr="00B2562E">
        <w:t>I would not rule out the possibility that a sentence which would otherwise be considered demonstrably unfit absent a joint submission may nonetheless be acceptable in the context of one.</w:t>
      </w:r>
      <w:r w:rsidR="00742DC5">
        <w:t xml:space="preserve"> </w:t>
      </w:r>
      <w:r w:rsidR="00C65B84" w:rsidRPr="00B2562E">
        <w:t>For example, take the case of an accused involved in a very serious crime that the Crown may have difficulty proving because of deficiencies in its case.</w:t>
      </w:r>
      <w:r w:rsidR="00742DC5">
        <w:t xml:space="preserve"> </w:t>
      </w:r>
      <w:r w:rsidR="00C65B84" w:rsidRPr="00B2562E">
        <w:t>The accused agrees to plead guilty, and to assist the Crown in prosecuting his co-conspirators for this and other more serious offences.</w:t>
      </w:r>
      <w:r w:rsidR="00742DC5">
        <w:t xml:space="preserve"> </w:t>
      </w:r>
      <w:r w:rsidR="00C65B84" w:rsidRPr="00B2562E">
        <w:t>The Crown might reasonably conclude that it is in the public interest to agree, by way of a joint submission, to a very lenient sentence in order to obtain the accused’s guilty plea and his assistance.</w:t>
      </w:r>
      <w:r w:rsidR="00742DC5">
        <w:t xml:space="preserve"> </w:t>
      </w:r>
      <w:r w:rsidR="00C65B84" w:rsidRPr="00B2562E">
        <w:t>In short, a very lenient, even “demonstrably unfit” sentence may, in a particular case, serve the greater good.</w:t>
      </w:r>
    </w:p>
    <w:p w14:paraId="4717FD23" w14:textId="02177204" w:rsidR="0012455D" w:rsidRPr="00B2562E" w:rsidRDefault="0012455D" w:rsidP="000E174F">
      <w:pPr>
        <w:pStyle w:val="Citationenretrait"/>
      </w:pPr>
      <w:r w:rsidRPr="001335CE">
        <w:t>[</w:t>
      </w:r>
      <w:bookmarkStart w:id="27" w:name="par48"/>
      <w:r w:rsidRPr="001335CE">
        <w:t>48</w:t>
      </w:r>
      <w:bookmarkEnd w:id="27"/>
      <w:r w:rsidRPr="001335CE">
        <w:t>]</w:t>
      </w:r>
      <w:r w:rsidRPr="001335CE">
        <w:tab/>
      </w:r>
      <w:r w:rsidR="00FC717D" w:rsidRPr="00B2562E">
        <w:t>Further, both the fitness test and the appellate “demonstrably unfit” test suffer from a similar flaw: they are designed for different contexts.</w:t>
      </w:r>
      <w:r w:rsidR="00742DC5">
        <w:t xml:space="preserve"> </w:t>
      </w:r>
      <w:r w:rsidR="00FC717D" w:rsidRPr="00B2562E">
        <w:t>As such, there is an appreciable risk that the approaches which apply to conventional sentencing hearings or sentencing appeals will be conflated with the approach that must be adhered to on a joint submission.</w:t>
      </w:r>
      <w:r w:rsidR="00742DC5">
        <w:t xml:space="preserve"> </w:t>
      </w:r>
      <w:r w:rsidR="00FC717D" w:rsidRPr="00B2562E">
        <w:t>In conventional sentencing hearings, trial judges look at the circumstances of the offender and the offence, and the applicable sentencing principles.</w:t>
      </w:r>
      <w:r w:rsidR="00742DC5">
        <w:t xml:space="preserve"> </w:t>
      </w:r>
      <w:r w:rsidR="00FC717D" w:rsidRPr="00B2562E">
        <w:t>They are not asked to consider the critical systemic benefits that flow from joint submissions, namely, the ability of the justice system to function fairly and efficiently.</w:t>
      </w:r>
      <w:r w:rsidR="00742DC5">
        <w:t xml:space="preserve"> </w:t>
      </w:r>
      <w:r w:rsidR="00FC717D" w:rsidRPr="00B2562E">
        <w:t>Similarly, appellate courts are not bound to consider these systemic benefits on a conventional sentencing appeal.</w:t>
      </w:r>
      <w:r w:rsidR="00742DC5">
        <w:t xml:space="preserve"> </w:t>
      </w:r>
      <w:r w:rsidR="00FC717D" w:rsidRPr="00B2562E">
        <w:t>The public interest test avoids these pitfalls.</w:t>
      </w:r>
    </w:p>
    <w:p w14:paraId="7E56F530" w14:textId="2DA68EDA" w:rsidR="0012455D" w:rsidRPr="00B2562E" w:rsidRDefault="00EE150E" w:rsidP="000E174F">
      <w:pPr>
        <w:pStyle w:val="Paragraphe"/>
        <w:spacing w:line="280" w:lineRule="exact"/>
      </w:pPr>
      <w:r w:rsidRPr="00B2562E">
        <w:t xml:space="preserve">There is a reason for the </w:t>
      </w:r>
      <w:r w:rsidR="0012455D" w:rsidRPr="00B2562E">
        <w:t>intensit</w:t>
      </w:r>
      <w:r w:rsidRPr="00B2562E">
        <w:t xml:space="preserve">y of the </w:t>
      </w:r>
      <w:r w:rsidR="0012455D" w:rsidRPr="00B2562E">
        <w:t xml:space="preserve">test. </w:t>
      </w:r>
      <w:r w:rsidRPr="00B2562E">
        <w:t>For joint submissions to work properly and be accepted as a central and vital element of everyday practice</w:t>
      </w:r>
      <w:r w:rsidR="0012455D" w:rsidRPr="00B2562E">
        <w:t xml:space="preserve">, </w:t>
      </w:r>
      <w:r w:rsidRPr="00B2562E">
        <w:t>the</w:t>
      </w:r>
      <w:r w:rsidR="0012455D" w:rsidRPr="00B2562E">
        <w:t xml:space="preserve"> parties </w:t>
      </w:r>
      <w:r w:rsidRPr="00B2562E">
        <w:t xml:space="preserve">are entitled to expect, with a high degree of confidence if not certainty, that they will be ratified without any undue </w:t>
      </w:r>
      <w:r w:rsidR="0012455D" w:rsidRPr="00B2562E">
        <w:t>obstacle</w:t>
      </w:r>
      <w:r w:rsidRPr="00B2562E">
        <w:t>s</w:t>
      </w:r>
      <w:r w:rsidR="0012455D" w:rsidRPr="00B2562E">
        <w:t xml:space="preserve">. </w:t>
      </w:r>
      <w:r w:rsidRPr="00B2562E">
        <w:t xml:space="preserve">To </w:t>
      </w:r>
      <w:r w:rsidR="0012455D" w:rsidRPr="00B2562E">
        <w:t>re</w:t>
      </w:r>
      <w:r w:rsidRPr="00B2562E">
        <w:t>i</w:t>
      </w:r>
      <w:r w:rsidR="0012455D" w:rsidRPr="00B2562E">
        <w:t>nforce</w:t>
      </w:r>
      <w:r w:rsidRPr="00B2562E">
        <w:t xml:space="preserve"> this expectation, the stringent test for rejection </w:t>
      </w:r>
      <w:r w:rsidR="00FF039E" w:rsidRPr="00B2562E">
        <w:t>requires that judges approach joint submissions with</w:t>
      </w:r>
      <w:r w:rsidRPr="00B2562E">
        <w:t xml:space="preserve"> a high degree of </w:t>
      </w:r>
      <w:r w:rsidR="007708CB" w:rsidRPr="00B2562E">
        <w:t>restraint</w:t>
      </w:r>
      <w:r w:rsidRPr="00B2562E">
        <w:t xml:space="preserve">, which translates into a duty of </w:t>
      </w:r>
      <w:r w:rsidR="00CB6FEA" w:rsidRPr="00B2562E">
        <w:t>deference</w:t>
      </w:r>
      <w:r w:rsidR="0012455D" w:rsidRPr="00B2562E">
        <w:t xml:space="preserve"> </w:t>
      </w:r>
      <w:r w:rsidRPr="00B2562E">
        <w:t xml:space="preserve">toward the </w:t>
      </w:r>
      <w:r w:rsidR="0012455D" w:rsidRPr="00B2562E">
        <w:t xml:space="preserve">parties </w:t>
      </w:r>
      <w:r w:rsidRPr="00B2562E">
        <w:t xml:space="preserve">submitting them. The Supreme Court notes that, on these issues, </w:t>
      </w:r>
      <w:r w:rsidR="007708CB" w:rsidRPr="00B2562E">
        <w:t xml:space="preserve">the parties’ confidence and </w:t>
      </w:r>
      <w:r w:rsidR="006E2068" w:rsidRPr="00B2562E">
        <w:t xml:space="preserve">the </w:t>
      </w:r>
      <w:r w:rsidR="007708CB" w:rsidRPr="00B2562E">
        <w:t>restraint on the judges’ part are complementary and reciprocal principles</w:t>
      </w:r>
      <w:r w:rsidR="0012455D" w:rsidRPr="00B2562E">
        <w:t>:</w:t>
      </w:r>
    </w:p>
    <w:p w14:paraId="69092B98" w14:textId="524A485A" w:rsidR="0012455D" w:rsidRPr="00B2562E" w:rsidRDefault="0012455D" w:rsidP="000E174F">
      <w:pPr>
        <w:pStyle w:val="Citationenretrait"/>
        <w:rPr>
          <w:rFonts w:ascii="Times New Roman" w:hAnsi="Times New Roman"/>
          <w:lang w:eastAsia="fr-CA"/>
        </w:rPr>
      </w:pPr>
      <w:r w:rsidRPr="005313F5">
        <w:lastRenderedPageBreak/>
        <w:t>[</w:t>
      </w:r>
      <w:bookmarkStart w:id="28" w:name="par41"/>
      <w:r w:rsidRPr="005313F5">
        <w:t>41</w:t>
      </w:r>
      <w:bookmarkEnd w:id="28"/>
      <w:r w:rsidRPr="005313F5">
        <w:t>]</w:t>
      </w:r>
      <w:r w:rsidRPr="005313F5">
        <w:tab/>
      </w:r>
      <w:r w:rsidR="00AA17CB" w:rsidRPr="005313F5">
        <w:t>But as I</w:t>
      </w:r>
      <w:r w:rsidR="00AA17CB" w:rsidRPr="00B2562E">
        <w:t xml:space="preserve"> have said, for joint submissions to be possible, the parties must have a high degree of confidence that they will be accepted.</w:t>
      </w:r>
      <w:r w:rsidR="00742DC5">
        <w:t xml:space="preserve"> </w:t>
      </w:r>
      <w:r w:rsidR="00AA17CB" w:rsidRPr="00B2562E">
        <w:t>Too much doubt and the parties may choose instead to accept the risks of a trial or a contested sentencing hearing.</w:t>
      </w:r>
      <w:r w:rsidR="00742DC5">
        <w:t xml:space="preserve"> </w:t>
      </w:r>
      <w:r w:rsidR="00AA17CB" w:rsidRPr="00B2562E">
        <w:t>The accused in particular will be reluctant to forgo a trial with its attendant safeguards, including the crucial ability to test the strength of the Crown’s case, if joint submissions come to be seen as an insufficiently certain alternative.</w:t>
      </w:r>
    </w:p>
    <w:p w14:paraId="1FDA5B7C" w14:textId="490C9497" w:rsidR="0012455D" w:rsidRPr="005313F5" w:rsidRDefault="0012455D" w:rsidP="000E174F">
      <w:pPr>
        <w:pStyle w:val="Citationenretrait"/>
      </w:pPr>
      <w:r w:rsidRPr="001335CE">
        <w:t>[</w:t>
      </w:r>
      <w:bookmarkStart w:id="29" w:name="par42"/>
      <w:r w:rsidRPr="005313F5">
        <w:t>42</w:t>
      </w:r>
      <w:bookmarkEnd w:id="29"/>
      <w:r w:rsidRPr="005313F5">
        <w:t>]</w:t>
      </w:r>
      <w:r w:rsidRPr="005313F5">
        <w:tab/>
      </w:r>
      <w:r w:rsidR="00596AAB" w:rsidRPr="00B2562E">
        <w:t> Hence, the importance of trial judges exhibiting restraint, rejecting joint submissions only where the proposed sentence would be viewed by reasonable and informed persons as a breakdown in the proper functioning of the justice system.</w:t>
      </w:r>
      <w:r w:rsidR="00742DC5">
        <w:t xml:space="preserve"> </w:t>
      </w:r>
      <w:r w:rsidR="00596AAB" w:rsidRPr="00B2562E">
        <w:t>A lower threshold than this would cast the efficacy of resolution agreements into too great a degree of uncertainty.</w:t>
      </w:r>
      <w:r w:rsidR="00742DC5">
        <w:t xml:space="preserve"> </w:t>
      </w:r>
      <w:r w:rsidR="00596AAB" w:rsidRPr="00B2562E">
        <w:t>The public interest test ensures that these resolution agreements are afforded a high degree of certainty.</w:t>
      </w:r>
    </w:p>
    <w:p w14:paraId="16F461CA" w14:textId="5A78E3A4" w:rsidR="0012455D" w:rsidRPr="00B2562E" w:rsidRDefault="00F83AA5" w:rsidP="000E174F">
      <w:pPr>
        <w:pStyle w:val="Paragraphe"/>
        <w:spacing w:line="280" w:lineRule="exact"/>
      </w:pPr>
      <w:r w:rsidRPr="00B2562E">
        <w:t xml:space="preserve">I would like to say a word about the </w:t>
      </w:r>
      <w:r w:rsidR="0012455D" w:rsidRPr="00B2562E">
        <w:t xml:space="preserve">importance </w:t>
      </w:r>
      <w:r w:rsidRPr="00B2562E">
        <w:t xml:space="preserve">of </w:t>
      </w:r>
      <w:r w:rsidR="00CB6FEA" w:rsidRPr="00B2562E">
        <w:t xml:space="preserve">judges’ </w:t>
      </w:r>
      <w:r w:rsidRPr="00B2562E">
        <w:t>restraint in the present context</w:t>
      </w:r>
      <w:r w:rsidR="0012455D" w:rsidRPr="00B2562E">
        <w:t>.</w:t>
      </w:r>
    </w:p>
    <w:p w14:paraId="38584FA2" w14:textId="24220002" w:rsidR="0012455D" w:rsidRPr="00A02FC4" w:rsidRDefault="004D747A" w:rsidP="000E174F">
      <w:pPr>
        <w:pStyle w:val="Paragraphe"/>
        <w:spacing w:line="280" w:lineRule="exact"/>
      </w:pPr>
      <w:r w:rsidRPr="00A02FC4">
        <w:t>In sentencing</w:t>
      </w:r>
      <w:r w:rsidR="0012455D" w:rsidRPr="00A02FC4">
        <w:t xml:space="preserve">, </w:t>
      </w:r>
      <w:r w:rsidRPr="00A02FC4">
        <w:t>a consistent line of authority establishes that a court of appeal inter</w:t>
      </w:r>
      <w:r w:rsidR="00AB3463" w:rsidRPr="00A02FC4">
        <w:t>venes only whe</w:t>
      </w:r>
      <w:r w:rsidR="00152C6C" w:rsidRPr="00A02FC4">
        <w:t>re</w:t>
      </w:r>
      <w:r w:rsidR="00AB3463" w:rsidRPr="00A02FC4">
        <w:t xml:space="preserve"> there is an error of </w:t>
      </w:r>
      <w:r w:rsidR="000A3FD0" w:rsidRPr="00A02FC4">
        <w:t>principle</w:t>
      </w:r>
      <w:r w:rsidR="0012455D" w:rsidRPr="00A02FC4">
        <w:t xml:space="preserve"> </w:t>
      </w:r>
      <w:r w:rsidR="00AB3463" w:rsidRPr="00A02FC4">
        <w:t xml:space="preserve">or an incorrect </w:t>
      </w:r>
      <w:r w:rsidR="0012455D" w:rsidRPr="00A02FC4">
        <w:t>(</w:t>
      </w:r>
      <w:r w:rsidR="00A02FC4">
        <w:t>over</w:t>
      </w:r>
      <w:r w:rsidR="006E6B96">
        <w:t>-</w:t>
      </w:r>
      <w:r w:rsidR="00AB3463" w:rsidRPr="00A02FC4">
        <w:t xml:space="preserve"> or</w:t>
      </w:r>
      <w:r w:rsidR="00A02FC4">
        <w:t xml:space="preserve"> under</w:t>
      </w:r>
      <w:r w:rsidR="006E6B96">
        <w:t>-</w:t>
      </w:r>
      <w:r w:rsidR="0012455D" w:rsidRPr="00A02FC4">
        <w:t xml:space="preserve">) </w:t>
      </w:r>
      <w:r w:rsidR="00A02FC4">
        <w:t xml:space="preserve">weighing </w:t>
      </w:r>
      <w:r w:rsidR="00AB3463" w:rsidRPr="00A02FC4">
        <w:t xml:space="preserve">of a relevant factor that has </w:t>
      </w:r>
      <w:r w:rsidR="006E6B96">
        <w:t>resulted in</w:t>
      </w:r>
      <w:r w:rsidR="00AB3463" w:rsidRPr="00A02FC4">
        <w:t xml:space="preserve"> a demonstrably unfit sentence.</w:t>
      </w:r>
      <w:r w:rsidR="0012455D" w:rsidRPr="00A02FC4">
        <w:t xml:space="preserve"> </w:t>
      </w:r>
      <w:r w:rsidR="00AB3463" w:rsidRPr="00A02FC4">
        <w:t xml:space="preserve">This involves a duty of restraint and </w:t>
      </w:r>
      <w:r w:rsidR="0012455D" w:rsidRPr="00A02FC4">
        <w:t>d</w:t>
      </w:r>
      <w:r w:rsidR="00AB3463" w:rsidRPr="00A02FC4">
        <w:t>e</w:t>
      </w:r>
      <w:r w:rsidR="0012455D" w:rsidRPr="00A02FC4">
        <w:t>f</w:t>
      </w:r>
      <w:r w:rsidR="00AB3463" w:rsidRPr="00A02FC4">
        <w:t>e</w:t>
      </w:r>
      <w:r w:rsidR="0012455D" w:rsidRPr="00A02FC4">
        <w:t xml:space="preserve">rence </w:t>
      </w:r>
      <w:r w:rsidR="00AB3463" w:rsidRPr="00A02FC4">
        <w:t>from one court to another. The stringent test for rejecting a joint submission o</w:t>
      </w:r>
      <w:r w:rsidR="006E2068" w:rsidRPr="00A02FC4">
        <w:t>n</w:t>
      </w:r>
      <w:r w:rsidR="00AB3463" w:rsidRPr="00A02FC4">
        <w:t xml:space="preserve"> sentence involves this as well.</w:t>
      </w:r>
      <w:r w:rsidR="0012455D" w:rsidRPr="00A02FC4">
        <w:t xml:space="preserve"> </w:t>
      </w:r>
      <w:r w:rsidR="00AB3463" w:rsidRPr="00A02FC4">
        <w:t xml:space="preserve">The sentencing </w:t>
      </w:r>
      <w:r w:rsidR="0012455D" w:rsidRPr="00A02FC4">
        <w:t>ju</w:t>
      </w:r>
      <w:r w:rsidR="00AB3463" w:rsidRPr="00A02FC4">
        <w:t>d</w:t>
      </w:r>
      <w:r w:rsidR="0012455D" w:rsidRPr="00A02FC4">
        <w:t xml:space="preserve">ge </w:t>
      </w:r>
      <w:r w:rsidR="00AB3463" w:rsidRPr="00A02FC4">
        <w:t xml:space="preserve">must show restraint and </w:t>
      </w:r>
      <w:r w:rsidR="0012455D" w:rsidRPr="00A02FC4">
        <w:t>d</w:t>
      </w:r>
      <w:r w:rsidR="00AB3463" w:rsidRPr="00A02FC4">
        <w:t>e</w:t>
      </w:r>
      <w:r w:rsidR="0012455D" w:rsidRPr="00A02FC4">
        <w:t>f</w:t>
      </w:r>
      <w:r w:rsidR="00AB3463" w:rsidRPr="00A02FC4">
        <w:t>e</w:t>
      </w:r>
      <w:r w:rsidR="0012455D" w:rsidRPr="00A02FC4">
        <w:t xml:space="preserve">rence </w:t>
      </w:r>
      <w:r w:rsidR="00AB3463" w:rsidRPr="00A02FC4">
        <w:t xml:space="preserve">toward the </w:t>
      </w:r>
      <w:r w:rsidR="0012455D" w:rsidRPr="00A02FC4">
        <w:t xml:space="preserve">parties </w:t>
      </w:r>
      <w:r w:rsidR="00AB3463" w:rsidRPr="00A02FC4">
        <w:t>who have made a joint submission, except if the submission</w:t>
      </w:r>
      <w:r w:rsidR="006E6B96">
        <w:t xml:space="preserve"> would undermine </w:t>
      </w:r>
      <w:r w:rsidR="007F0E82" w:rsidRPr="00A02FC4">
        <w:t>the confidence of a knowledgeable public or would otherwise be contrary to the public interest</w:t>
      </w:r>
      <w:r w:rsidR="007F0E82">
        <w:t>,</w:t>
      </w:r>
      <w:r w:rsidR="0012455D" w:rsidRPr="00A02FC4">
        <w:t xml:space="preserve"> </w:t>
      </w:r>
      <w:r w:rsidR="00AB3463" w:rsidRPr="00A02FC4">
        <w:t xml:space="preserve">not because it seems demonstrably unfit to the judge, but for </w:t>
      </w:r>
      <w:r w:rsidR="001F0D75" w:rsidRPr="00A02FC4">
        <w:t>clearly identifiable reasons</w:t>
      </w:r>
      <w:r w:rsidR="007F0E82">
        <w:t>. In</w:t>
      </w:r>
      <w:r w:rsidR="00D25093" w:rsidRPr="00A02FC4">
        <w:t xml:space="preserve"> short, </w:t>
      </w:r>
      <w:r w:rsidR="007F0E82">
        <w:t xml:space="preserve">the rejection of </w:t>
      </w:r>
      <w:r w:rsidR="00D25093" w:rsidRPr="00A02FC4">
        <w:t xml:space="preserve">a joint submission is an exception to the </w:t>
      </w:r>
      <w:r w:rsidR="007F0E82">
        <w:t xml:space="preserve">norm; </w:t>
      </w:r>
      <w:r w:rsidR="00D25093" w:rsidRPr="00A02FC4">
        <w:t xml:space="preserve">not only </w:t>
      </w:r>
      <w:r w:rsidR="007F0E82">
        <w:t xml:space="preserve">is it </w:t>
      </w:r>
      <w:r w:rsidR="00D25093" w:rsidRPr="00A02FC4">
        <w:t xml:space="preserve">unusual, </w:t>
      </w:r>
      <w:r w:rsidR="007F0E82">
        <w:t xml:space="preserve">it is </w:t>
      </w:r>
      <w:r w:rsidR="00C31E89" w:rsidRPr="00A02FC4">
        <w:t xml:space="preserve">somewhat </w:t>
      </w:r>
      <w:r w:rsidR="00D25093" w:rsidRPr="00A02FC4">
        <w:t>rare.</w:t>
      </w:r>
      <w:r w:rsidR="0012455D" w:rsidRPr="00A02FC4">
        <w:t xml:space="preserve"> </w:t>
      </w:r>
    </w:p>
    <w:p w14:paraId="2EF3DE1B" w14:textId="0398C8D1" w:rsidR="0012455D" w:rsidRPr="00B2562E" w:rsidRDefault="00D25093" w:rsidP="000E174F">
      <w:pPr>
        <w:pStyle w:val="Paragraphe"/>
        <w:spacing w:line="280" w:lineRule="exact"/>
      </w:pPr>
      <w:r w:rsidRPr="00B2562E">
        <w:t>Consequently, judge</w:t>
      </w:r>
      <w:r w:rsidR="009473BB" w:rsidRPr="00B2562E">
        <w:t>s</w:t>
      </w:r>
      <w:r w:rsidRPr="00B2562E">
        <w:t xml:space="preserve"> who do not follow these guidelines</w:t>
      </w:r>
      <w:r w:rsidR="007C1509" w:rsidRPr="00B2562E">
        <w:t xml:space="preserve"> when rejecting a joint submission cannot expect the deference </w:t>
      </w:r>
      <w:r w:rsidR="00F03F2C">
        <w:t>usually</w:t>
      </w:r>
      <w:r w:rsidR="00CA3E52">
        <w:t xml:space="preserve"> </w:t>
      </w:r>
      <w:r w:rsidR="009473BB" w:rsidRPr="00B2562E">
        <w:t xml:space="preserve">accorded </w:t>
      </w:r>
      <w:r w:rsidR="00D55289">
        <w:t>them</w:t>
      </w:r>
      <w:r w:rsidR="009473BB" w:rsidRPr="00B2562E">
        <w:t xml:space="preserve"> by</w:t>
      </w:r>
      <w:r w:rsidR="007C1509" w:rsidRPr="00B2562E">
        <w:t xml:space="preserve"> a</w:t>
      </w:r>
      <w:r w:rsidR="005E7D13" w:rsidRPr="00B2562E">
        <w:t>n appellate</w:t>
      </w:r>
      <w:r w:rsidR="007C1509" w:rsidRPr="00B2562E">
        <w:t xml:space="preserve"> court </w:t>
      </w:r>
      <w:r w:rsidR="00D55289">
        <w:t>in sentencing matters</w:t>
      </w:r>
      <w:r w:rsidR="007C1509" w:rsidRPr="00B2562E">
        <w:t xml:space="preserve">, because </w:t>
      </w:r>
      <w:r w:rsidR="00C70786">
        <w:t xml:space="preserve">a failure to adhere faithfully </w:t>
      </w:r>
      <w:r w:rsidR="007C1509" w:rsidRPr="00B2562E">
        <w:t xml:space="preserve">to the stringent </w:t>
      </w:r>
      <w:r w:rsidR="0012455D" w:rsidRPr="00B2562E">
        <w:rPr>
          <w:i/>
        </w:rPr>
        <w:t>Anthony-Cook</w:t>
      </w:r>
      <w:r w:rsidR="005E7D13" w:rsidRPr="00B2562E">
        <w:rPr>
          <w:i/>
        </w:rPr>
        <w:t xml:space="preserve"> </w:t>
      </w:r>
      <w:r w:rsidR="005E7D13" w:rsidRPr="00B2562E">
        <w:rPr>
          <w:iCs/>
        </w:rPr>
        <w:t>test</w:t>
      </w:r>
      <w:r w:rsidR="0012455D" w:rsidRPr="00B2562E">
        <w:t xml:space="preserve"> </w:t>
      </w:r>
      <w:r w:rsidR="007C1509" w:rsidRPr="00B2562E">
        <w:t>is in itself a reviewable error of principle.</w:t>
      </w:r>
      <w:r w:rsidR="0012455D" w:rsidRPr="00B2562E">
        <w:t xml:space="preserve"> </w:t>
      </w:r>
    </w:p>
    <w:p w14:paraId="5C9C8CFF" w14:textId="6DAAB7F7" w:rsidR="0012455D" w:rsidRPr="00B2562E" w:rsidRDefault="00815A71" w:rsidP="0010369B">
      <w:pPr>
        <w:pStyle w:val="Titre1"/>
        <w:numPr>
          <w:ilvl w:val="0"/>
          <w:numId w:val="22"/>
        </w:numPr>
        <w:tabs>
          <w:tab w:val="num" w:pos="360"/>
        </w:tabs>
        <w:spacing w:line="280" w:lineRule="exact"/>
        <w:ind w:left="360" w:hanging="360"/>
      </w:pPr>
      <w:r w:rsidRPr="00B2562E">
        <w:t xml:space="preserve">Case law of the </w:t>
      </w:r>
      <w:r w:rsidR="0012455D" w:rsidRPr="00B2562E">
        <w:t>Cour</w:t>
      </w:r>
      <w:r w:rsidRPr="00B2562E">
        <w:t>t</w:t>
      </w:r>
    </w:p>
    <w:p w14:paraId="7CD9EEA5" w14:textId="175CAC48" w:rsidR="0012455D" w:rsidRPr="00B2562E" w:rsidRDefault="00815A71" w:rsidP="000E174F">
      <w:pPr>
        <w:pStyle w:val="Paragraphe"/>
        <w:spacing w:line="280" w:lineRule="exact"/>
      </w:pPr>
      <w:r w:rsidRPr="00B2562E">
        <w:t xml:space="preserve">This brief </w:t>
      </w:r>
      <w:r w:rsidR="009473BB" w:rsidRPr="00B2562E">
        <w:t xml:space="preserve">outline </w:t>
      </w:r>
      <w:r w:rsidRPr="00B2562E">
        <w:t xml:space="preserve">of the stringent </w:t>
      </w:r>
      <w:r w:rsidR="0012455D" w:rsidRPr="00B2562E">
        <w:rPr>
          <w:i/>
        </w:rPr>
        <w:t>Anthony-Cook</w:t>
      </w:r>
      <w:r w:rsidR="0012455D" w:rsidRPr="00B2562E">
        <w:t xml:space="preserve"> </w:t>
      </w:r>
      <w:r w:rsidR="009473BB" w:rsidRPr="00B2562E">
        <w:t xml:space="preserve">test </w:t>
      </w:r>
      <w:r w:rsidRPr="00B2562E">
        <w:t>is confirmed by the Court’s case law, but the following example is sufficient to demonstrate.</w:t>
      </w:r>
    </w:p>
    <w:p w14:paraId="4FA5323E" w14:textId="3BB699B3" w:rsidR="0012455D" w:rsidRPr="00B2562E" w:rsidRDefault="0012455D" w:rsidP="000E174F">
      <w:pPr>
        <w:pStyle w:val="Paragraphe"/>
        <w:spacing w:line="280" w:lineRule="exact"/>
      </w:pPr>
      <w:proofErr w:type="spellStart"/>
      <w:r w:rsidRPr="00B2562E">
        <w:rPr>
          <w:i/>
        </w:rPr>
        <w:t>Primeau</w:t>
      </w:r>
      <w:proofErr w:type="spellEnd"/>
      <w:r w:rsidR="00B26CF9" w:rsidRPr="00B2562E">
        <w:t xml:space="preserve"> turned on </w:t>
      </w:r>
      <w:r w:rsidR="00815A71" w:rsidRPr="00B2562E">
        <w:t xml:space="preserve">the issue </w:t>
      </w:r>
      <w:r w:rsidR="00B26CF9" w:rsidRPr="00B2562E">
        <w:t xml:space="preserve">of </w:t>
      </w:r>
      <w:r w:rsidR="00815A71" w:rsidRPr="00B2562E">
        <w:t>the rejection of a joint submission</w:t>
      </w:r>
      <w:r w:rsidRPr="00B2562E">
        <w:t xml:space="preserve">. </w:t>
      </w:r>
      <w:r w:rsidR="00815A71" w:rsidRPr="00B2562E">
        <w:t xml:space="preserve">The </w:t>
      </w:r>
      <w:r w:rsidR="00B26CF9" w:rsidRPr="00B2562E">
        <w:t>argument on</w:t>
      </w:r>
      <w:r w:rsidR="00815A71" w:rsidRPr="00B2562E">
        <w:t xml:space="preserve"> appeal was that </w:t>
      </w:r>
      <w:r w:rsidR="00E021B5">
        <w:t>the</w:t>
      </w:r>
      <w:r w:rsidR="00815A71" w:rsidRPr="00B2562E">
        <w:t xml:space="preserve"> rejection </w:t>
      </w:r>
      <w:r w:rsidR="00E021B5">
        <w:t xml:space="preserve">was </w:t>
      </w:r>
      <w:r w:rsidR="00815A71" w:rsidRPr="00B2562E">
        <w:t xml:space="preserve">an error </w:t>
      </w:r>
      <w:r w:rsidR="00B15625" w:rsidRPr="00B2562E">
        <w:t>of</w:t>
      </w:r>
      <w:r w:rsidR="00815A71" w:rsidRPr="00B2562E">
        <w:t xml:space="preserve"> principle that merited the </w:t>
      </w:r>
      <w:r w:rsidRPr="00B2562E">
        <w:t>Cour</w:t>
      </w:r>
      <w:r w:rsidR="00815A71" w:rsidRPr="00B2562E">
        <w:t>t</w:t>
      </w:r>
      <w:r w:rsidR="00B26CF9" w:rsidRPr="00B2562E">
        <w:t>’s intervention</w:t>
      </w:r>
      <w:r w:rsidRPr="00B2562E">
        <w:t xml:space="preserve">. </w:t>
      </w:r>
      <w:r w:rsidR="00815A71" w:rsidRPr="00B2562E">
        <w:t>Here, in a few</w:t>
      </w:r>
      <w:r w:rsidRPr="00B2562E">
        <w:t xml:space="preserve"> paragraphs, </w:t>
      </w:r>
      <w:r w:rsidR="00815A71" w:rsidRPr="00B2562E">
        <w:t xml:space="preserve">is an </w:t>
      </w:r>
      <w:r w:rsidRPr="00B2562E">
        <w:t xml:space="preserve">illustration </w:t>
      </w:r>
      <w:r w:rsidR="00815A71" w:rsidRPr="00B2562E">
        <w:t xml:space="preserve">of the approach this </w:t>
      </w:r>
      <w:r w:rsidRPr="00B2562E">
        <w:t>Cour</w:t>
      </w:r>
      <w:r w:rsidR="00815A71" w:rsidRPr="00B2562E">
        <w:t>t</w:t>
      </w:r>
      <w:r w:rsidRPr="00B2562E">
        <w:t xml:space="preserve"> </w:t>
      </w:r>
      <w:r w:rsidR="00815A71" w:rsidRPr="00B2562E">
        <w:t xml:space="preserve">has followed since </w:t>
      </w:r>
      <w:r w:rsidRPr="00B2562E">
        <w:rPr>
          <w:i/>
        </w:rPr>
        <w:t>Anthony-Cook</w:t>
      </w:r>
      <w:r w:rsidRPr="00B2562E">
        <w:t>:</w:t>
      </w:r>
    </w:p>
    <w:p w14:paraId="2205211A" w14:textId="47F12A4C" w:rsidR="00DF42C6" w:rsidRPr="00B2562E" w:rsidRDefault="00204873" w:rsidP="00DF42C6">
      <w:pPr>
        <w:pStyle w:val="Paragraphe"/>
        <w:numPr>
          <w:ilvl w:val="0"/>
          <w:numId w:val="0"/>
        </w:numPr>
        <w:spacing w:line="280" w:lineRule="exact"/>
        <w:ind w:left="720"/>
      </w:pPr>
      <w:r w:rsidRPr="00B2562E">
        <w:lastRenderedPageBreak/>
        <w:t>[</w:t>
      </w:r>
      <w:r w:rsidRPr="00B2562E">
        <w:rPr>
          <w:smallCaps/>
        </w:rPr>
        <w:t>translation</w:t>
      </w:r>
      <w:r w:rsidRPr="00B2562E">
        <w:t>]</w:t>
      </w:r>
    </w:p>
    <w:p w14:paraId="0F854992" w14:textId="5EE309CD" w:rsidR="0012455D" w:rsidRPr="00B2562E" w:rsidRDefault="0012455D" w:rsidP="000E174F">
      <w:pPr>
        <w:pStyle w:val="Citationenretrait"/>
        <w:rPr>
          <w:lang w:eastAsia="fr-CA"/>
        </w:rPr>
      </w:pPr>
      <w:r w:rsidRPr="00B2562E">
        <w:rPr>
          <w:lang w:eastAsia="fr-CA"/>
        </w:rPr>
        <w:t>[</w:t>
      </w:r>
      <w:bookmarkStart w:id="30" w:name="par23"/>
      <w:r w:rsidRPr="00B2562E">
        <w:rPr>
          <w:lang w:eastAsia="fr-CA"/>
        </w:rPr>
        <w:t>23</w:t>
      </w:r>
      <w:bookmarkEnd w:id="30"/>
      <w:r w:rsidRPr="00B2562E">
        <w:rPr>
          <w:lang w:eastAsia="fr-CA"/>
        </w:rPr>
        <w:t>]</w:t>
      </w:r>
      <w:r w:rsidRPr="00B2562E">
        <w:rPr>
          <w:lang w:eastAsia="fr-CA"/>
        </w:rPr>
        <w:tab/>
      </w:r>
      <w:r w:rsidR="005A6714" w:rsidRPr="00B2562E">
        <w:rPr>
          <w:lang w:eastAsia="fr-CA"/>
        </w:rPr>
        <w:t xml:space="preserve">Basing itself on the public interest test, the Supreme Court </w:t>
      </w:r>
      <w:r w:rsidR="000A43BE">
        <w:rPr>
          <w:lang w:eastAsia="fr-CA"/>
        </w:rPr>
        <w:t>confirmed</w:t>
      </w:r>
      <w:r w:rsidR="000A43BE" w:rsidRPr="00B2562E">
        <w:rPr>
          <w:lang w:eastAsia="fr-CA"/>
        </w:rPr>
        <w:t xml:space="preserve"> </w:t>
      </w:r>
      <w:r w:rsidR="005A6714" w:rsidRPr="00B2562E">
        <w:rPr>
          <w:lang w:eastAsia="fr-CA"/>
        </w:rPr>
        <w:t xml:space="preserve">that other tests are to be rejected, such as the </w:t>
      </w:r>
      <w:r w:rsidR="006E2068" w:rsidRPr="00B2562E">
        <w:rPr>
          <w:lang w:eastAsia="fr-CA"/>
        </w:rPr>
        <w:t>“</w:t>
      </w:r>
      <w:r w:rsidR="005A6714" w:rsidRPr="00B2562E">
        <w:rPr>
          <w:lang w:eastAsia="fr-CA"/>
        </w:rPr>
        <w:t>fitness</w:t>
      </w:r>
      <w:r w:rsidR="000A43BE">
        <w:rPr>
          <w:lang w:eastAsia="fr-CA"/>
        </w:rPr>
        <w:t xml:space="preserve"> of sentence</w:t>
      </w:r>
      <w:r w:rsidR="006E2068" w:rsidRPr="00B2562E">
        <w:rPr>
          <w:lang w:eastAsia="fr-CA"/>
        </w:rPr>
        <w:t>”</w:t>
      </w:r>
      <w:r w:rsidR="005A6714" w:rsidRPr="00B2562E">
        <w:rPr>
          <w:lang w:eastAsia="fr-CA"/>
        </w:rPr>
        <w:t xml:space="preserve"> test and the </w:t>
      </w:r>
      <w:r w:rsidR="006E2068" w:rsidRPr="00B2562E">
        <w:rPr>
          <w:lang w:eastAsia="fr-CA"/>
        </w:rPr>
        <w:t>“</w:t>
      </w:r>
      <w:r w:rsidR="005A6714" w:rsidRPr="00B2562E">
        <w:rPr>
          <w:lang w:eastAsia="fr-CA"/>
        </w:rPr>
        <w:t xml:space="preserve">demonstrably </w:t>
      </w:r>
      <w:r w:rsidR="000A43BE" w:rsidRPr="00B2562E">
        <w:rPr>
          <w:lang w:eastAsia="fr-CA"/>
        </w:rPr>
        <w:t>unfit</w:t>
      </w:r>
      <w:r w:rsidR="00EB2332">
        <w:rPr>
          <w:lang w:eastAsia="fr-CA"/>
        </w:rPr>
        <w:t>”</w:t>
      </w:r>
      <w:r w:rsidR="005A6714" w:rsidRPr="00B2562E">
        <w:rPr>
          <w:lang w:eastAsia="fr-CA"/>
        </w:rPr>
        <w:t xml:space="preserve"> test. </w:t>
      </w:r>
      <w:r w:rsidR="00EB2332">
        <w:rPr>
          <w:lang w:eastAsia="fr-CA"/>
        </w:rPr>
        <w:t>T</w:t>
      </w:r>
      <w:r w:rsidR="005A6714" w:rsidRPr="00B2562E">
        <w:rPr>
          <w:lang w:eastAsia="fr-CA"/>
        </w:rPr>
        <w:t>he fitness</w:t>
      </w:r>
      <w:r w:rsidR="000A43BE">
        <w:rPr>
          <w:lang w:eastAsia="fr-CA"/>
        </w:rPr>
        <w:t xml:space="preserve"> </w:t>
      </w:r>
      <w:r w:rsidR="005A6714" w:rsidRPr="00B2562E">
        <w:rPr>
          <w:lang w:eastAsia="fr-CA"/>
        </w:rPr>
        <w:t xml:space="preserve">test should not be followed because </w:t>
      </w:r>
      <w:r w:rsidR="00B02C38" w:rsidRPr="00B2562E">
        <w:rPr>
          <w:lang w:eastAsia="fr-CA"/>
        </w:rPr>
        <w:t>“</w:t>
      </w:r>
      <w:r w:rsidR="005A6714" w:rsidRPr="00B2562E">
        <w:rPr>
          <w:color w:val="000000"/>
        </w:rPr>
        <w:t xml:space="preserve">the result would be to </w:t>
      </w:r>
      <w:r w:rsidR="00CA3E52">
        <w:rPr>
          <w:color w:val="000000"/>
        </w:rPr>
        <w:t>“</w:t>
      </w:r>
      <w:r w:rsidR="005A6714" w:rsidRPr="00B2562E">
        <w:rPr>
          <w:color w:val="000000"/>
        </w:rPr>
        <w:t>effectively eliminate the use of plea bargaining as part of the criminal prosecution process</w:t>
      </w:r>
      <w:r w:rsidR="002D14EF">
        <w:rPr>
          <w:color w:val="000000"/>
        </w:rPr>
        <w:t>”</w:t>
      </w:r>
      <w:r w:rsidR="00676B95" w:rsidRPr="00B2562E">
        <w:rPr>
          <w:color w:val="000000"/>
        </w:rPr>
        <w:t>”</w:t>
      </w:r>
      <w:r w:rsidRPr="00B2562E">
        <w:rPr>
          <w:lang w:eastAsia="fr-CA"/>
        </w:rPr>
        <w:t xml:space="preserve">. </w:t>
      </w:r>
      <w:r w:rsidR="00662EA6" w:rsidRPr="00B2562E">
        <w:rPr>
          <w:lang w:eastAsia="fr-CA"/>
        </w:rPr>
        <w:t xml:space="preserve">The Court also rejects the demonstrably unfit test because its threshold </w:t>
      </w:r>
      <w:r w:rsidR="00B02C38" w:rsidRPr="00B2562E">
        <w:rPr>
          <w:lang w:eastAsia="fr-CA"/>
        </w:rPr>
        <w:t>“</w:t>
      </w:r>
      <w:r w:rsidR="008778F8" w:rsidRPr="00B2562E">
        <w:rPr>
          <w:color w:val="000000"/>
        </w:rPr>
        <w:t>may not be sufficiently robust for the joint submission context</w:t>
      </w:r>
      <w:r w:rsidR="00676B95" w:rsidRPr="00B2562E">
        <w:rPr>
          <w:lang w:eastAsia="fr-CA"/>
        </w:rPr>
        <w:t>”</w:t>
      </w:r>
      <w:r w:rsidRPr="00B2562E">
        <w:rPr>
          <w:lang w:eastAsia="fr-CA"/>
        </w:rPr>
        <w:t>.</w:t>
      </w:r>
    </w:p>
    <w:p w14:paraId="07641FBD" w14:textId="59F0AAA2" w:rsidR="0012455D" w:rsidRPr="00B2562E" w:rsidRDefault="0012455D" w:rsidP="000E174F">
      <w:pPr>
        <w:pStyle w:val="Citationenretrait"/>
        <w:rPr>
          <w:lang w:eastAsia="fr-CA"/>
        </w:rPr>
      </w:pPr>
      <w:r w:rsidRPr="00B2562E">
        <w:rPr>
          <w:lang w:eastAsia="fr-CA"/>
        </w:rPr>
        <w:t>[</w:t>
      </w:r>
      <w:bookmarkStart w:id="31" w:name="par24"/>
      <w:r w:rsidRPr="00B2562E">
        <w:rPr>
          <w:lang w:eastAsia="fr-CA"/>
        </w:rPr>
        <w:t>24</w:t>
      </w:r>
      <w:bookmarkEnd w:id="31"/>
      <w:r w:rsidRPr="00B2562E">
        <w:rPr>
          <w:lang w:eastAsia="fr-CA"/>
        </w:rPr>
        <w:t>]</w:t>
      </w:r>
      <w:r w:rsidRPr="00B2562E">
        <w:rPr>
          <w:lang w:eastAsia="fr-CA"/>
        </w:rPr>
        <w:tab/>
      </w:r>
      <w:r w:rsidR="00C56E35" w:rsidRPr="00B2562E">
        <w:rPr>
          <w:lang w:eastAsia="fr-CA"/>
        </w:rPr>
        <w:t xml:space="preserve">The public interest test is the proper one because it is </w:t>
      </w:r>
      <w:r w:rsidR="00B02C38" w:rsidRPr="00B2562E">
        <w:rPr>
          <w:lang w:eastAsia="fr-CA"/>
        </w:rPr>
        <w:t>“</w:t>
      </w:r>
      <w:r w:rsidR="00D92358" w:rsidRPr="00B2562E">
        <w:rPr>
          <w:color w:val="000000"/>
        </w:rPr>
        <w:t xml:space="preserve">more stringent than the other tests proposed and it best reflects the many benefits that joint submissions bring to the criminal justice system and the corresponding need for a high degree of </w:t>
      </w:r>
      <w:r w:rsidR="00D92358" w:rsidRPr="00B2562E">
        <w:rPr>
          <w:i/>
          <w:iCs/>
          <w:color w:val="000000"/>
        </w:rPr>
        <w:t>certainty</w:t>
      </w:r>
      <w:r w:rsidR="00D92358" w:rsidRPr="00B2562E">
        <w:rPr>
          <w:color w:val="000000"/>
        </w:rPr>
        <w:t xml:space="preserve"> in them</w:t>
      </w:r>
      <w:r w:rsidR="00676B95" w:rsidRPr="00B2562E">
        <w:rPr>
          <w:lang w:eastAsia="fr-CA"/>
        </w:rPr>
        <w:t>”</w:t>
      </w:r>
      <w:r w:rsidRPr="00B2562E">
        <w:rPr>
          <w:lang w:eastAsia="fr-CA"/>
        </w:rPr>
        <w:t xml:space="preserve">. </w:t>
      </w:r>
      <w:r w:rsidR="002D14EF" w:rsidRPr="00B2562E">
        <w:rPr>
          <w:lang w:eastAsia="fr-CA"/>
        </w:rPr>
        <w:t>Thus,</w:t>
      </w:r>
      <w:r w:rsidR="00D92358" w:rsidRPr="00B2562E">
        <w:rPr>
          <w:lang w:eastAsia="fr-CA"/>
        </w:rPr>
        <w:t xml:space="preserve"> the threshold is very high </w:t>
      </w:r>
      <w:r w:rsidR="0029727E">
        <w:rPr>
          <w:lang w:eastAsia="fr-CA"/>
        </w:rPr>
        <w:t xml:space="preserve">if a judge wishes </w:t>
      </w:r>
      <w:r w:rsidR="00D92358" w:rsidRPr="00B2562E">
        <w:rPr>
          <w:lang w:eastAsia="fr-CA"/>
        </w:rPr>
        <w:t xml:space="preserve">to </w:t>
      </w:r>
      <w:r w:rsidR="006722F5" w:rsidRPr="00B2562E">
        <w:rPr>
          <w:lang w:eastAsia="fr-CA"/>
        </w:rPr>
        <w:t xml:space="preserve">depart from </w:t>
      </w:r>
      <w:r w:rsidR="00D92358" w:rsidRPr="00B2562E">
        <w:rPr>
          <w:lang w:eastAsia="fr-CA"/>
        </w:rPr>
        <w:t xml:space="preserve">a </w:t>
      </w:r>
      <w:r w:rsidR="00815A71" w:rsidRPr="00B2562E">
        <w:rPr>
          <w:lang w:eastAsia="fr-CA"/>
        </w:rPr>
        <w:t>joint submission</w:t>
      </w:r>
      <w:r w:rsidRPr="00B2562E">
        <w:rPr>
          <w:lang w:eastAsia="fr-CA"/>
        </w:rPr>
        <w:t xml:space="preserve">. </w:t>
      </w:r>
      <w:r w:rsidR="00D92358" w:rsidRPr="00B2562E">
        <w:rPr>
          <w:lang w:eastAsia="fr-CA"/>
        </w:rPr>
        <w:t xml:space="preserve">Otherwise, </w:t>
      </w:r>
      <w:r w:rsidR="00B83313">
        <w:rPr>
          <w:lang w:eastAsia="fr-CA"/>
        </w:rPr>
        <w:t>doing so</w:t>
      </w:r>
      <w:r w:rsidR="00D92358" w:rsidRPr="00B2562E">
        <w:rPr>
          <w:lang w:eastAsia="fr-CA"/>
        </w:rPr>
        <w:t xml:space="preserve"> </w:t>
      </w:r>
      <w:r w:rsidR="00B02C38" w:rsidRPr="00B2562E">
        <w:rPr>
          <w:lang w:eastAsia="fr-CA"/>
        </w:rPr>
        <w:t>“</w:t>
      </w:r>
      <w:r w:rsidR="00C87044" w:rsidRPr="00B2562E">
        <w:rPr>
          <w:color w:val="000000"/>
        </w:rPr>
        <w:t>would cast the efficacy of resolution agreements into too great a degree of uncertainty</w:t>
      </w:r>
      <w:r w:rsidR="00676B95" w:rsidRPr="00B2562E">
        <w:rPr>
          <w:lang w:eastAsia="fr-CA"/>
        </w:rPr>
        <w:t>”</w:t>
      </w:r>
      <w:r w:rsidRPr="00B2562E">
        <w:rPr>
          <w:lang w:eastAsia="fr-CA"/>
        </w:rPr>
        <w:t>.</w:t>
      </w:r>
    </w:p>
    <w:p w14:paraId="272243E5" w14:textId="750FA2E2" w:rsidR="0012455D" w:rsidRPr="00B2562E" w:rsidRDefault="0012455D" w:rsidP="000E174F">
      <w:pPr>
        <w:pStyle w:val="Citationenretrait"/>
        <w:rPr>
          <w:lang w:eastAsia="fr-CA"/>
        </w:rPr>
      </w:pPr>
      <w:r w:rsidRPr="00B2562E">
        <w:rPr>
          <w:lang w:eastAsia="fr-CA"/>
        </w:rPr>
        <w:t>[</w:t>
      </w:r>
      <w:bookmarkStart w:id="32" w:name="par25"/>
      <w:r w:rsidRPr="00B2562E">
        <w:rPr>
          <w:lang w:eastAsia="fr-CA"/>
        </w:rPr>
        <w:t>25</w:t>
      </w:r>
      <w:bookmarkEnd w:id="32"/>
      <w:r w:rsidRPr="00B2562E">
        <w:rPr>
          <w:lang w:eastAsia="fr-CA"/>
        </w:rPr>
        <w:t>]</w:t>
      </w:r>
      <w:r w:rsidRPr="00B2562E">
        <w:rPr>
          <w:lang w:eastAsia="fr-CA"/>
        </w:rPr>
        <w:tab/>
      </w:r>
      <w:r w:rsidR="0050044A" w:rsidRPr="00B2562E">
        <w:rPr>
          <w:lang w:eastAsia="fr-CA"/>
        </w:rPr>
        <w:t xml:space="preserve">Having set </w:t>
      </w:r>
      <w:r w:rsidR="005313F5">
        <w:rPr>
          <w:lang w:eastAsia="fr-CA"/>
        </w:rPr>
        <w:t xml:space="preserve">out </w:t>
      </w:r>
      <w:r w:rsidR="0050044A" w:rsidRPr="00B2562E">
        <w:rPr>
          <w:lang w:eastAsia="fr-CA"/>
        </w:rPr>
        <w:t xml:space="preserve">the proper test, the Court </w:t>
      </w:r>
      <w:r w:rsidR="005313F5">
        <w:rPr>
          <w:lang w:eastAsia="fr-CA"/>
        </w:rPr>
        <w:t>identified</w:t>
      </w:r>
      <w:r w:rsidR="0050044A" w:rsidRPr="00B2562E">
        <w:rPr>
          <w:lang w:eastAsia="fr-CA"/>
        </w:rPr>
        <w:t xml:space="preserve"> six elements that judges must take into </w:t>
      </w:r>
      <w:r w:rsidRPr="00B2562E">
        <w:rPr>
          <w:lang w:eastAsia="fr-CA"/>
        </w:rPr>
        <w:t>consid</w:t>
      </w:r>
      <w:r w:rsidR="0050044A" w:rsidRPr="00B2562E">
        <w:rPr>
          <w:lang w:eastAsia="fr-CA"/>
        </w:rPr>
        <w:t>e</w:t>
      </w:r>
      <w:r w:rsidRPr="00B2562E">
        <w:rPr>
          <w:lang w:eastAsia="fr-CA"/>
        </w:rPr>
        <w:t xml:space="preserve">ration </w:t>
      </w:r>
      <w:r w:rsidR="00B02C38" w:rsidRPr="00B2562E">
        <w:rPr>
          <w:lang w:eastAsia="fr-CA"/>
        </w:rPr>
        <w:t>“</w:t>
      </w:r>
      <w:r w:rsidR="0050044A" w:rsidRPr="00B2562E">
        <w:rPr>
          <w:color w:val="000000"/>
        </w:rPr>
        <w:t>when they are troubled by a joint submission on sentence</w:t>
      </w:r>
      <w:r w:rsidR="00676B95" w:rsidRPr="00B2562E">
        <w:rPr>
          <w:lang w:eastAsia="fr-CA"/>
        </w:rPr>
        <w:t>”</w:t>
      </w:r>
      <w:r w:rsidR="00B83313">
        <w:rPr>
          <w:lang w:eastAsia="fr-CA"/>
        </w:rPr>
        <w:t>. T</w:t>
      </w:r>
      <w:r w:rsidR="0093148F" w:rsidRPr="00B2562E">
        <w:rPr>
          <w:lang w:eastAsia="fr-CA"/>
        </w:rPr>
        <w:t xml:space="preserve">he second is of particular </w:t>
      </w:r>
      <w:r w:rsidRPr="00B2562E">
        <w:rPr>
          <w:lang w:eastAsia="fr-CA"/>
        </w:rPr>
        <w:t xml:space="preserve">importance </w:t>
      </w:r>
      <w:r w:rsidR="0093148F" w:rsidRPr="00B2562E">
        <w:rPr>
          <w:lang w:eastAsia="fr-CA"/>
        </w:rPr>
        <w:t xml:space="preserve">in the circumstances of the </w:t>
      </w:r>
      <w:r w:rsidR="00D10D8C" w:rsidRPr="00B2562E">
        <w:rPr>
          <w:lang w:eastAsia="fr-CA"/>
        </w:rPr>
        <w:t xml:space="preserve">present </w:t>
      </w:r>
      <w:r w:rsidR="0093148F" w:rsidRPr="00B2562E">
        <w:rPr>
          <w:lang w:eastAsia="fr-CA"/>
        </w:rPr>
        <w:t>case</w:t>
      </w:r>
      <w:r w:rsidRPr="00B2562E">
        <w:rPr>
          <w:lang w:eastAsia="fr-CA"/>
        </w:rPr>
        <w:t>:</w:t>
      </w:r>
    </w:p>
    <w:p w14:paraId="68935E70" w14:textId="1C7A78F7" w:rsidR="0012455D" w:rsidRPr="005313F5" w:rsidRDefault="0012455D" w:rsidP="000E174F">
      <w:pPr>
        <w:pStyle w:val="Citationenretrait"/>
        <w:ind w:left="1440"/>
        <w:rPr>
          <w:sz w:val="20"/>
          <w:lang w:eastAsia="fr-CA"/>
        </w:rPr>
      </w:pPr>
      <w:r w:rsidRPr="001335CE">
        <w:rPr>
          <w:sz w:val="20"/>
          <w:lang w:eastAsia="fr-CA"/>
        </w:rPr>
        <w:t>[52]</w:t>
      </w:r>
      <w:r w:rsidRPr="001335CE">
        <w:rPr>
          <w:sz w:val="20"/>
          <w:lang w:eastAsia="fr-CA"/>
        </w:rPr>
        <w:tab/>
      </w:r>
      <w:r w:rsidR="005313F5" w:rsidRPr="001335CE">
        <w:rPr>
          <w:sz w:val="20"/>
          <w:lang w:eastAsia="fr-CA"/>
        </w:rPr>
        <w:t>Second, trial judges should apply the public interest test when they are considering “jumping” or “undercutting” a joint submission (</w:t>
      </w:r>
      <w:r w:rsidR="005313F5" w:rsidRPr="001335CE">
        <w:rPr>
          <w:i/>
          <w:iCs/>
          <w:sz w:val="20"/>
          <w:lang w:eastAsia="fr-CA"/>
        </w:rPr>
        <w:t>DeSousa</w:t>
      </w:r>
      <w:r w:rsidR="005313F5" w:rsidRPr="001335CE">
        <w:rPr>
          <w:sz w:val="20"/>
          <w:lang w:eastAsia="fr-CA"/>
        </w:rPr>
        <w:t>, per Doherty J.A.). That is not to say that the analysis will be the same in either case. On the contrary, from the accused’s perspective, “undercutting” does not engage concerns about fair trial rights or undermine confidence in the certainty of plea negotiations. In addition, in assessing whether the severity of a joint submission would offend the public interest, trial judges should be mindful of the power imbalance that may exist between the Crown and defence, particularly where the accused is self-represented or in custody at the time of sentencing. These factors may temper the public interest in certainty and justify “undercutting” in limited circumstances. At the same time, where the trial judge is considering “undercutting”, he or she should bear in mind that the community’s confidence in the administration of justice may suffer if an accused enjoys the benefits of a joint submission without having to serve the agreed-upon sentence</w:t>
      </w:r>
      <w:r w:rsidRPr="001335CE">
        <w:rPr>
          <w:sz w:val="20"/>
          <w:lang w:eastAsia="fr-CA"/>
        </w:rPr>
        <w:t>.</w:t>
      </w:r>
    </w:p>
    <w:p w14:paraId="789ADC01" w14:textId="3144C4CC" w:rsidR="0012455D" w:rsidRPr="00B2562E" w:rsidRDefault="0012455D" w:rsidP="000E174F">
      <w:pPr>
        <w:spacing w:before="120" w:after="120"/>
        <w:ind w:left="720" w:right="720"/>
        <w:jc w:val="right"/>
        <w:rPr>
          <w:rFonts w:cs="Arial"/>
          <w:color w:val="000000"/>
          <w:sz w:val="22"/>
          <w:szCs w:val="22"/>
          <w:lang w:eastAsia="fr-CA"/>
        </w:rPr>
      </w:pPr>
      <w:r w:rsidRPr="00B2562E">
        <w:rPr>
          <w:rFonts w:cs="Arial"/>
          <w:color w:val="000000"/>
          <w:sz w:val="22"/>
          <w:szCs w:val="22"/>
          <w:lang w:eastAsia="fr-CA"/>
        </w:rPr>
        <w:t>[</w:t>
      </w:r>
      <w:r w:rsidR="006949D1" w:rsidRPr="00B2562E">
        <w:rPr>
          <w:rFonts w:cs="Arial"/>
          <w:color w:val="000000"/>
          <w:sz w:val="22"/>
          <w:szCs w:val="22"/>
          <w:lang w:eastAsia="fr-CA"/>
        </w:rPr>
        <w:t>References</w:t>
      </w:r>
      <w:r w:rsidR="00C33B26" w:rsidRPr="00B2562E">
        <w:rPr>
          <w:rFonts w:cs="Arial"/>
          <w:color w:val="000000"/>
          <w:sz w:val="22"/>
          <w:szCs w:val="22"/>
          <w:lang w:eastAsia="fr-CA"/>
        </w:rPr>
        <w:t xml:space="preserve"> omitted</w:t>
      </w:r>
      <w:r w:rsidRPr="00B2562E">
        <w:rPr>
          <w:rFonts w:cs="Arial"/>
          <w:color w:val="000000"/>
          <w:sz w:val="22"/>
          <w:szCs w:val="22"/>
          <w:lang w:eastAsia="fr-CA"/>
        </w:rPr>
        <w:t>]</w:t>
      </w:r>
    </w:p>
    <w:p w14:paraId="67F71317" w14:textId="58180825" w:rsidR="0012455D" w:rsidRPr="00B2562E" w:rsidRDefault="0012455D" w:rsidP="000E174F">
      <w:pPr>
        <w:pStyle w:val="Citationenretrait"/>
        <w:rPr>
          <w:lang w:eastAsia="fr-CA"/>
        </w:rPr>
      </w:pPr>
      <w:r w:rsidRPr="00B2562E">
        <w:rPr>
          <w:lang w:eastAsia="fr-CA"/>
        </w:rPr>
        <w:t>[</w:t>
      </w:r>
      <w:bookmarkStart w:id="33" w:name="par26"/>
      <w:r w:rsidRPr="00B2562E">
        <w:rPr>
          <w:lang w:eastAsia="fr-CA"/>
        </w:rPr>
        <w:t>26</w:t>
      </w:r>
      <w:bookmarkEnd w:id="33"/>
      <w:r w:rsidRPr="00B2562E">
        <w:rPr>
          <w:lang w:eastAsia="fr-CA"/>
        </w:rPr>
        <w:t>]</w:t>
      </w:r>
      <w:r w:rsidRPr="00B2562E">
        <w:rPr>
          <w:lang w:eastAsia="fr-CA"/>
        </w:rPr>
        <w:tab/>
      </w:r>
      <w:r w:rsidR="0021325E" w:rsidRPr="00B2562E">
        <w:rPr>
          <w:lang w:eastAsia="fr-CA"/>
        </w:rPr>
        <w:t>In th</w:t>
      </w:r>
      <w:r w:rsidR="006E2068" w:rsidRPr="00B2562E">
        <w:rPr>
          <w:lang w:eastAsia="fr-CA"/>
        </w:rPr>
        <w:t xml:space="preserve">is </w:t>
      </w:r>
      <w:r w:rsidR="0021325E" w:rsidRPr="00B2562E">
        <w:rPr>
          <w:lang w:eastAsia="fr-CA"/>
        </w:rPr>
        <w:t xml:space="preserve">case, the other important element </w:t>
      </w:r>
      <w:r w:rsidR="00C744F8">
        <w:rPr>
          <w:lang w:eastAsia="fr-CA"/>
        </w:rPr>
        <w:t>identified</w:t>
      </w:r>
      <w:r w:rsidR="0021325E" w:rsidRPr="00B2562E">
        <w:rPr>
          <w:lang w:eastAsia="fr-CA"/>
        </w:rPr>
        <w:t xml:space="preserve"> by the Supreme Court is that</w:t>
      </w:r>
      <w:r w:rsidR="00D36C34">
        <w:rPr>
          <w:lang w:eastAsia="fr-CA"/>
        </w:rPr>
        <w:t xml:space="preserve"> a</w:t>
      </w:r>
      <w:r w:rsidR="0021325E" w:rsidRPr="00B2562E">
        <w:rPr>
          <w:lang w:eastAsia="fr-CA"/>
        </w:rPr>
        <w:t xml:space="preserve"> trial judge </w:t>
      </w:r>
      <w:r w:rsidR="00D36C34">
        <w:rPr>
          <w:lang w:eastAsia="fr-CA"/>
        </w:rPr>
        <w:t xml:space="preserve">who </w:t>
      </w:r>
      <w:r w:rsidR="0021325E" w:rsidRPr="00B2562E">
        <w:rPr>
          <w:lang w:eastAsia="fr-CA"/>
        </w:rPr>
        <w:t>does not accept the joint submissions of the parties</w:t>
      </w:r>
      <w:r w:rsidR="00D36C34">
        <w:rPr>
          <w:lang w:eastAsia="fr-CA"/>
        </w:rPr>
        <w:t xml:space="preserve"> must</w:t>
      </w:r>
      <w:r w:rsidR="0021325E" w:rsidRPr="00B2562E">
        <w:rPr>
          <w:color w:val="000000"/>
        </w:rPr>
        <w:t xml:space="preserve"> </w:t>
      </w:r>
      <w:r w:rsidR="00F03F2C" w:rsidRPr="00B2562E">
        <w:rPr>
          <w:lang w:eastAsia="fr-CA"/>
        </w:rPr>
        <w:t>“</w:t>
      </w:r>
      <w:r w:rsidR="0021325E" w:rsidRPr="00B2562E">
        <w:rPr>
          <w:color w:val="000000"/>
        </w:rPr>
        <w:t>provide clear and cogent reasons for departing from the joint submission</w:t>
      </w:r>
      <w:r w:rsidR="00676B95" w:rsidRPr="00B2562E">
        <w:rPr>
          <w:lang w:eastAsia="fr-CA"/>
        </w:rPr>
        <w:t>”</w:t>
      </w:r>
      <w:r w:rsidRPr="00B2562E">
        <w:rPr>
          <w:lang w:eastAsia="fr-CA"/>
        </w:rPr>
        <w:t xml:space="preserve">. </w:t>
      </w:r>
      <w:r w:rsidR="0021325E" w:rsidRPr="00B2562E">
        <w:rPr>
          <w:lang w:eastAsia="fr-CA"/>
        </w:rPr>
        <w:t xml:space="preserve">In all judgments rendered by the </w:t>
      </w:r>
      <w:r w:rsidR="00890AB0" w:rsidRPr="00B2562E">
        <w:rPr>
          <w:lang w:eastAsia="fr-CA"/>
        </w:rPr>
        <w:t>Court applying</w:t>
      </w:r>
      <w:r w:rsidR="0021325E" w:rsidRPr="00B2562E">
        <w:rPr>
          <w:lang w:eastAsia="fr-CA"/>
        </w:rPr>
        <w:t xml:space="preserve"> </w:t>
      </w:r>
      <w:r w:rsidRPr="00B2562E">
        <w:rPr>
          <w:i/>
          <w:lang w:eastAsia="fr-CA"/>
        </w:rPr>
        <w:t>Anthony-Cook</w:t>
      </w:r>
      <w:r w:rsidRPr="00B2562E">
        <w:rPr>
          <w:lang w:eastAsia="fr-CA"/>
        </w:rPr>
        <w:t xml:space="preserve">, </w:t>
      </w:r>
      <w:r w:rsidR="0021325E" w:rsidRPr="00B2562E">
        <w:rPr>
          <w:lang w:eastAsia="fr-CA"/>
        </w:rPr>
        <w:t xml:space="preserve">the trial judges had </w:t>
      </w:r>
      <w:r w:rsidR="00B02C38" w:rsidRPr="00B2562E">
        <w:rPr>
          <w:lang w:eastAsia="fr-CA"/>
        </w:rPr>
        <w:t>“</w:t>
      </w:r>
      <w:r w:rsidR="00580DDA" w:rsidRPr="00B2562E">
        <w:rPr>
          <w:lang w:eastAsia="fr-CA"/>
        </w:rPr>
        <w:t>jumped</w:t>
      </w:r>
      <w:r w:rsidR="00676B95" w:rsidRPr="00B2562E">
        <w:rPr>
          <w:lang w:eastAsia="fr-CA"/>
        </w:rPr>
        <w:t>”</w:t>
      </w:r>
      <w:r w:rsidR="00580DDA" w:rsidRPr="00B2562E">
        <w:rPr>
          <w:lang w:eastAsia="fr-CA"/>
        </w:rPr>
        <w:t xml:space="preserve"> a joint submission</w:t>
      </w:r>
      <w:r w:rsidRPr="00B2562E">
        <w:rPr>
          <w:lang w:eastAsia="fr-CA"/>
        </w:rPr>
        <w:t xml:space="preserve">, </w:t>
      </w:r>
      <w:r w:rsidR="00D36C34">
        <w:rPr>
          <w:lang w:eastAsia="fr-CA"/>
        </w:rPr>
        <w:t>unlike in</w:t>
      </w:r>
      <w:r w:rsidR="0021325E" w:rsidRPr="00B2562E">
        <w:rPr>
          <w:lang w:eastAsia="fr-CA"/>
        </w:rPr>
        <w:t xml:space="preserve"> the present case</w:t>
      </w:r>
      <w:r w:rsidRPr="00B2562E">
        <w:rPr>
          <w:lang w:eastAsia="fr-CA"/>
        </w:rPr>
        <w:t xml:space="preserve">. </w:t>
      </w:r>
      <w:r w:rsidR="0021325E" w:rsidRPr="00B2562E">
        <w:rPr>
          <w:lang w:eastAsia="fr-CA"/>
        </w:rPr>
        <w:t>However, the Supreme</w:t>
      </w:r>
      <w:r w:rsidRPr="00B2562E">
        <w:rPr>
          <w:lang w:eastAsia="fr-CA"/>
        </w:rPr>
        <w:t xml:space="preserve"> </w:t>
      </w:r>
      <w:r w:rsidRPr="00B2562E">
        <w:rPr>
          <w:lang w:eastAsia="fr-CA"/>
        </w:rPr>
        <w:lastRenderedPageBreak/>
        <w:t>Cour</w:t>
      </w:r>
      <w:r w:rsidR="0021325E" w:rsidRPr="00B2562E">
        <w:rPr>
          <w:lang w:eastAsia="fr-CA"/>
        </w:rPr>
        <w:t>t</w:t>
      </w:r>
      <w:r w:rsidRPr="00B2562E">
        <w:rPr>
          <w:lang w:eastAsia="fr-CA"/>
        </w:rPr>
        <w:t xml:space="preserve"> </w:t>
      </w:r>
      <w:r w:rsidR="006C7289" w:rsidRPr="00B2562E">
        <w:rPr>
          <w:lang w:eastAsia="fr-CA"/>
        </w:rPr>
        <w:t xml:space="preserve">clearly considered the case of </w:t>
      </w:r>
      <w:r w:rsidR="00B02C38" w:rsidRPr="00B2562E">
        <w:rPr>
          <w:lang w:eastAsia="fr-CA"/>
        </w:rPr>
        <w:t>“</w:t>
      </w:r>
      <w:r w:rsidR="00580DDA" w:rsidRPr="00B2562E">
        <w:rPr>
          <w:lang w:eastAsia="fr-CA"/>
        </w:rPr>
        <w:t>undercutting</w:t>
      </w:r>
      <w:r w:rsidR="00676B95" w:rsidRPr="00B2562E">
        <w:rPr>
          <w:lang w:eastAsia="fr-CA"/>
        </w:rPr>
        <w:t>”</w:t>
      </w:r>
      <w:r w:rsidR="00580DDA" w:rsidRPr="00B2562E">
        <w:rPr>
          <w:lang w:eastAsia="fr-CA"/>
        </w:rPr>
        <w:t xml:space="preserve"> a joint submission</w:t>
      </w:r>
      <w:r w:rsidR="006C7289" w:rsidRPr="00B2562E">
        <w:rPr>
          <w:lang w:eastAsia="fr-CA"/>
        </w:rPr>
        <w:t xml:space="preserve">, as demonstrated </w:t>
      </w:r>
      <w:r w:rsidR="00C10694">
        <w:rPr>
          <w:lang w:eastAsia="fr-CA"/>
        </w:rPr>
        <w:t>by</w:t>
      </w:r>
      <w:r w:rsidR="00C10694" w:rsidRPr="00B2562E">
        <w:rPr>
          <w:lang w:eastAsia="fr-CA"/>
        </w:rPr>
        <w:t xml:space="preserve"> </w:t>
      </w:r>
      <w:r w:rsidR="006C7289" w:rsidRPr="00B2562E">
        <w:rPr>
          <w:lang w:eastAsia="fr-CA"/>
        </w:rPr>
        <w:t xml:space="preserve">the above paragraph, even </w:t>
      </w:r>
      <w:r w:rsidR="00C10694">
        <w:rPr>
          <w:lang w:eastAsia="fr-CA"/>
        </w:rPr>
        <w:t>though</w:t>
      </w:r>
      <w:r w:rsidR="006C7289" w:rsidRPr="00B2562E">
        <w:rPr>
          <w:lang w:eastAsia="fr-CA"/>
        </w:rPr>
        <w:t xml:space="preserve"> </w:t>
      </w:r>
      <w:r w:rsidR="00580DDA" w:rsidRPr="00B2562E">
        <w:rPr>
          <w:lang w:eastAsia="fr-CA"/>
        </w:rPr>
        <w:t>undercutting the joint submission</w:t>
      </w:r>
      <w:r w:rsidR="00C10694">
        <w:rPr>
          <w:lang w:eastAsia="fr-CA"/>
        </w:rPr>
        <w:t xml:space="preserve"> may lead to a different</w:t>
      </w:r>
      <w:r w:rsidR="006C7289" w:rsidRPr="00B2562E">
        <w:rPr>
          <w:lang w:eastAsia="fr-CA"/>
        </w:rPr>
        <w:t xml:space="preserve"> analysis.</w:t>
      </w:r>
      <w:r w:rsidRPr="00B2562E">
        <w:rPr>
          <w:lang w:eastAsia="fr-CA"/>
        </w:rPr>
        <w:t xml:space="preserve"> </w:t>
      </w:r>
      <w:r w:rsidR="006C7289" w:rsidRPr="00B2562E">
        <w:rPr>
          <w:lang w:eastAsia="fr-CA"/>
        </w:rPr>
        <w:t xml:space="preserve">The test </w:t>
      </w:r>
      <w:r w:rsidR="00C10694">
        <w:rPr>
          <w:lang w:eastAsia="fr-CA"/>
        </w:rPr>
        <w:t xml:space="preserve">for </w:t>
      </w:r>
      <w:r w:rsidR="00890AB0">
        <w:rPr>
          <w:lang w:eastAsia="fr-CA"/>
        </w:rPr>
        <w:t xml:space="preserve">departing </w:t>
      </w:r>
      <w:r w:rsidR="00890AB0" w:rsidRPr="00B2562E">
        <w:rPr>
          <w:lang w:eastAsia="fr-CA"/>
        </w:rPr>
        <w:t>from</w:t>
      </w:r>
      <w:r w:rsidR="006C7289" w:rsidRPr="00B2562E">
        <w:rPr>
          <w:lang w:eastAsia="fr-CA"/>
        </w:rPr>
        <w:t xml:space="preserve"> a joint submission remains the same</w:t>
      </w:r>
      <w:r w:rsidRPr="00B2562E">
        <w:rPr>
          <w:lang w:eastAsia="fr-CA"/>
        </w:rPr>
        <w:t>.</w:t>
      </w:r>
    </w:p>
    <w:p w14:paraId="0CA43598" w14:textId="7BCDB024" w:rsidR="0012455D" w:rsidRPr="00B2562E" w:rsidRDefault="0012455D" w:rsidP="000E174F">
      <w:pPr>
        <w:pStyle w:val="Citationenretrait"/>
        <w:rPr>
          <w:lang w:eastAsia="fr-CA"/>
        </w:rPr>
      </w:pPr>
      <w:r w:rsidRPr="00B2562E">
        <w:rPr>
          <w:lang w:eastAsia="fr-CA"/>
        </w:rPr>
        <w:t>[27]</w:t>
      </w:r>
      <w:r w:rsidRPr="00B2562E">
        <w:rPr>
          <w:lang w:eastAsia="fr-CA"/>
        </w:rPr>
        <w:tab/>
      </w:r>
      <w:r w:rsidR="008B7C5C" w:rsidRPr="00B2562E">
        <w:rPr>
          <w:lang w:eastAsia="fr-CA"/>
        </w:rPr>
        <w:t xml:space="preserve">In </w:t>
      </w:r>
      <w:r w:rsidRPr="00B2562E">
        <w:rPr>
          <w:i/>
          <w:iCs/>
          <w:lang w:eastAsia="fr-CA"/>
        </w:rPr>
        <w:t>Séguin </w:t>
      </w:r>
      <w:r w:rsidR="008B7C5C" w:rsidRPr="00B2562E">
        <w:rPr>
          <w:lang w:eastAsia="fr-CA"/>
        </w:rPr>
        <w:t>and</w:t>
      </w:r>
      <w:r w:rsidRPr="00B2562E">
        <w:rPr>
          <w:lang w:eastAsia="fr-CA"/>
        </w:rPr>
        <w:t> </w:t>
      </w:r>
      <w:r w:rsidRPr="00B2562E">
        <w:rPr>
          <w:i/>
          <w:iCs/>
          <w:lang w:eastAsia="fr-CA"/>
        </w:rPr>
        <w:t>Binet,</w:t>
      </w:r>
      <w:r w:rsidRPr="00B2562E">
        <w:rPr>
          <w:lang w:eastAsia="fr-CA"/>
        </w:rPr>
        <w:t> </w:t>
      </w:r>
      <w:r w:rsidR="008B7C5C" w:rsidRPr="00B2562E">
        <w:rPr>
          <w:lang w:eastAsia="fr-CA"/>
        </w:rPr>
        <w:t xml:space="preserve">the Court of Appeal </w:t>
      </w:r>
      <w:r w:rsidR="00C10694" w:rsidRPr="00B2562E">
        <w:rPr>
          <w:lang w:eastAsia="fr-CA"/>
        </w:rPr>
        <w:t>caution</w:t>
      </w:r>
      <w:r w:rsidR="00C10694">
        <w:rPr>
          <w:lang w:eastAsia="fr-CA"/>
        </w:rPr>
        <w:t>ed</w:t>
      </w:r>
      <w:r w:rsidR="00C10694" w:rsidRPr="00B2562E">
        <w:rPr>
          <w:lang w:eastAsia="fr-CA"/>
        </w:rPr>
        <w:t xml:space="preserve"> </w:t>
      </w:r>
      <w:r w:rsidR="008B7C5C" w:rsidRPr="00B2562E">
        <w:rPr>
          <w:lang w:eastAsia="fr-CA"/>
        </w:rPr>
        <w:t xml:space="preserve">trial judges not to </w:t>
      </w:r>
      <w:r w:rsidR="00456331" w:rsidRPr="00B2562E">
        <w:t>[</w:t>
      </w:r>
      <w:r w:rsidR="00456331" w:rsidRPr="00B2562E">
        <w:rPr>
          <w:smallCaps/>
        </w:rPr>
        <w:t>translation</w:t>
      </w:r>
      <w:r w:rsidR="00456331" w:rsidRPr="00B2562E">
        <w:t>]</w:t>
      </w:r>
      <w:r w:rsidR="00456331" w:rsidRPr="00B2562E">
        <w:rPr>
          <w:lang w:eastAsia="fr-CA"/>
        </w:rPr>
        <w:t xml:space="preserve"> </w:t>
      </w:r>
      <w:r w:rsidR="00B02C38" w:rsidRPr="00B2562E">
        <w:rPr>
          <w:lang w:eastAsia="fr-CA"/>
        </w:rPr>
        <w:t>“</w:t>
      </w:r>
      <w:r w:rsidR="00456331" w:rsidRPr="00B2562E">
        <w:rPr>
          <w:lang w:eastAsia="fr-CA"/>
        </w:rPr>
        <w:t>use the public interest test simply to impose the sentence they consider appropriate</w:t>
      </w:r>
      <w:r w:rsidR="00676B95" w:rsidRPr="00B2562E">
        <w:rPr>
          <w:lang w:eastAsia="fr-CA"/>
        </w:rPr>
        <w:t>”</w:t>
      </w:r>
      <w:r w:rsidRPr="00B2562E">
        <w:rPr>
          <w:lang w:eastAsia="fr-CA"/>
        </w:rPr>
        <w:t xml:space="preserve">. </w:t>
      </w:r>
      <w:r w:rsidR="00456331" w:rsidRPr="00B2562E">
        <w:rPr>
          <w:lang w:eastAsia="fr-CA"/>
        </w:rPr>
        <w:t xml:space="preserve">To this end, these two cases cite </w:t>
      </w:r>
      <w:r w:rsidRPr="00B2562E">
        <w:rPr>
          <w:lang w:eastAsia="fr-CA"/>
        </w:rPr>
        <w:t xml:space="preserve">passages </w:t>
      </w:r>
      <w:r w:rsidR="00456331" w:rsidRPr="00B2562E">
        <w:rPr>
          <w:lang w:eastAsia="fr-CA"/>
        </w:rPr>
        <w:t xml:space="preserve">from the Court of Appeal of Alberta which illustrate this interpretation of </w:t>
      </w:r>
      <w:r w:rsidRPr="00B2562E">
        <w:rPr>
          <w:i/>
          <w:lang w:eastAsia="fr-CA"/>
        </w:rPr>
        <w:t>Anthony-Cook</w:t>
      </w:r>
      <w:r w:rsidRPr="00B2562E">
        <w:rPr>
          <w:lang w:eastAsia="fr-CA"/>
        </w:rPr>
        <w:t>:</w:t>
      </w:r>
    </w:p>
    <w:p w14:paraId="2173510A" w14:textId="5FF8C280" w:rsidR="00456331" w:rsidRPr="00B2562E" w:rsidRDefault="00456331" w:rsidP="00227211">
      <w:pPr>
        <w:pStyle w:val="Citationenretrait"/>
        <w:ind w:left="1440"/>
        <w:rPr>
          <w:sz w:val="20"/>
          <w:lang w:eastAsia="fr-CA"/>
        </w:rPr>
      </w:pPr>
      <w:r w:rsidRPr="00B2562E">
        <w:t>[</w:t>
      </w:r>
      <w:r w:rsidRPr="00B2562E">
        <w:rPr>
          <w:smallCaps/>
        </w:rPr>
        <w:t>translation</w:t>
      </w:r>
      <w:r w:rsidRPr="00B2562E">
        <w:t>]</w:t>
      </w:r>
    </w:p>
    <w:p w14:paraId="12A8D2B3" w14:textId="1B05AB7E" w:rsidR="0012455D" w:rsidRPr="00B2562E" w:rsidRDefault="0012455D" w:rsidP="00227211">
      <w:pPr>
        <w:pStyle w:val="Citationenretrait"/>
        <w:ind w:left="1440"/>
        <w:rPr>
          <w:sz w:val="20"/>
          <w:lang w:eastAsia="fr-CA"/>
        </w:rPr>
      </w:pPr>
      <w:r w:rsidRPr="00B2562E">
        <w:rPr>
          <w:sz w:val="20"/>
          <w:lang w:eastAsia="fr-CA"/>
        </w:rPr>
        <w:t>[19]</w:t>
      </w:r>
      <w:r w:rsidRPr="00B2562E">
        <w:rPr>
          <w:sz w:val="20"/>
          <w:lang w:eastAsia="fr-CA"/>
        </w:rPr>
        <w:tab/>
      </w:r>
      <w:r w:rsidR="002969D5">
        <w:rPr>
          <w:sz w:val="20"/>
          <w:lang w:eastAsia="fr-CA"/>
        </w:rPr>
        <w:t>In a recent case, t</w:t>
      </w:r>
      <w:r w:rsidR="00456331" w:rsidRPr="00B2562E">
        <w:rPr>
          <w:sz w:val="20"/>
          <w:lang w:eastAsia="fr-CA"/>
        </w:rPr>
        <w:t xml:space="preserve">he </w:t>
      </w:r>
      <w:r w:rsidRPr="00B2562E">
        <w:rPr>
          <w:sz w:val="20"/>
          <w:lang w:eastAsia="fr-CA"/>
        </w:rPr>
        <w:t>Cour</w:t>
      </w:r>
      <w:r w:rsidR="00456331" w:rsidRPr="00B2562E">
        <w:rPr>
          <w:sz w:val="20"/>
          <w:lang w:eastAsia="fr-CA"/>
        </w:rPr>
        <w:t>t</w:t>
      </w:r>
      <w:r w:rsidRPr="00B2562E">
        <w:rPr>
          <w:sz w:val="20"/>
          <w:lang w:eastAsia="fr-CA"/>
        </w:rPr>
        <w:t xml:space="preserve"> </w:t>
      </w:r>
      <w:r w:rsidR="00456331" w:rsidRPr="00B2562E">
        <w:rPr>
          <w:sz w:val="20"/>
          <w:lang w:eastAsia="fr-CA"/>
        </w:rPr>
        <w:t xml:space="preserve">of Appeal of </w:t>
      </w:r>
      <w:r w:rsidRPr="00B2562E">
        <w:rPr>
          <w:sz w:val="20"/>
          <w:lang w:eastAsia="fr-CA"/>
        </w:rPr>
        <w:t>Alberta</w:t>
      </w:r>
      <w:r w:rsidR="00456331" w:rsidRPr="00B2562E">
        <w:rPr>
          <w:sz w:val="20"/>
          <w:lang w:eastAsia="fr-CA"/>
        </w:rPr>
        <w:t xml:space="preserve"> </w:t>
      </w:r>
      <w:r w:rsidR="000945F6">
        <w:rPr>
          <w:sz w:val="20"/>
          <w:lang w:eastAsia="fr-CA"/>
        </w:rPr>
        <w:t>draws a clear</w:t>
      </w:r>
      <w:r w:rsidR="00456331" w:rsidRPr="00B2562E">
        <w:rPr>
          <w:sz w:val="20"/>
          <w:lang w:eastAsia="fr-CA"/>
        </w:rPr>
        <w:t xml:space="preserve"> </w:t>
      </w:r>
      <w:r w:rsidRPr="00B2562E">
        <w:rPr>
          <w:sz w:val="20"/>
          <w:lang w:eastAsia="fr-CA"/>
        </w:rPr>
        <w:t xml:space="preserve">distinction </w:t>
      </w:r>
      <w:r w:rsidR="00456331" w:rsidRPr="00B2562E">
        <w:rPr>
          <w:sz w:val="20"/>
          <w:lang w:eastAsia="fr-CA"/>
        </w:rPr>
        <w:t xml:space="preserve">between the </w:t>
      </w:r>
      <w:r w:rsidRPr="00B2562E">
        <w:rPr>
          <w:sz w:val="20"/>
          <w:lang w:eastAsia="fr-CA"/>
        </w:rPr>
        <w:t>princip</w:t>
      </w:r>
      <w:r w:rsidR="00456331" w:rsidRPr="00B2562E">
        <w:rPr>
          <w:sz w:val="20"/>
          <w:lang w:eastAsia="fr-CA"/>
        </w:rPr>
        <w:t>l</w:t>
      </w:r>
      <w:r w:rsidRPr="00B2562E">
        <w:rPr>
          <w:sz w:val="20"/>
          <w:lang w:eastAsia="fr-CA"/>
        </w:rPr>
        <w:t xml:space="preserve">es </w:t>
      </w:r>
      <w:r w:rsidR="00456331" w:rsidRPr="00B2562E">
        <w:rPr>
          <w:sz w:val="20"/>
          <w:lang w:eastAsia="fr-CA"/>
        </w:rPr>
        <w:t xml:space="preserve">that should </w:t>
      </w:r>
      <w:r w:rsidRPr="00B2562E">
        <w:rPr>
          <w:sz w:val="20"/>
          <w:lang w:eastAsia="fr-CA"/>
        </w:rPr>
        <w:t>guide</w:t>
      </w:r>
      <w:r w:rsidR="00456331" w:rsidRPr="00B2562E">
        <w:rPr>
          <w:sz w:val="20"/>
          <w:lang w:eastAsia="fr-CA"/>
        </w:rPr>
        <w:t xml:space="preserve"> a </w:t>
      </w:r>
      <w:r w:rsidRPr="00B2562E">
        <w:rPr>
          <w:sz w:val="20"/>
          <w:lang w:eastAsia="fr-CA"/>
        </w:rPr>
        <w:t>ju</w:t>
      </w:r>
      <w:r w:rsidR="00456331" w:rsidRPr="00B2562E">
        <w:rPr>
          <w:sz w:val="20"/>
          <w:lang w:eastAsia="fr-CA"/>
        </w:rPr>
        <w:t>d</w:t>
      </w:r>
      <w:r w:rsidRPr="00B2562E">
        <w:rPr>
          <w:sz w:val="20"/>
          <w:lang w:eastAsia="fr-CA"/>
        </w:rPr>
        <w:t xml:space="preserve">ge </w:t>
      </w:r>
      <w:r w:rsidR="00456331" w:rsidRPr="00B2562E">
        <w:rPr>
          <w:sz w:val="20"/>
          <w:lang w:eastAsia="fr-CA"/>
        </w:rPr>
        <w:t>in accepting or rejecting a joint submission and those applicable to sentencing</w:t>
      </w:r>
      <w:r w:rsidRPr="00B2562E">
        <w:rPr>
          <w:sz w:val="20"/>
          <w:lang w:eastAsia="fr-CA"/>
        </w:rPr>
        <w:t>. </w:t>
      </w:r>
      <w:r w:rsidR="00456331" w:rsidRPr="00B2562E">
        <w:rPr>
          <w:sz w:val="20"/>
          <w:lang w:eastAsia="fr-CA"/>
        </w:rPr>
        <w:t>It states the following</w:t>
      </w:r>
      <w:r w:rsidRPr="00B2562E">
        <w:rPr>
          <w:sz w:val="20"/>
          <w:lang w:eastAsia="fr-CA"/>
        </w:rPr>
        <w:t>:</w:t>
      </w:r>
    </w:p>
    <w:p w14:paraId="71A7E5A1" w14:textId="77777777" w:rsidR="0012455D" w:rsidRPr="001335CE" w:rsidRDefault="0012455D" w:rsidP="00227211">
      <w:pPr>
        <w:pStyle w:val="Citationenretrait"/>
        <w:ind w:left="1985"/>
        <w:rPr>
          <w:sz w:val="18"/>
          <w:szCs w:val="18"/>
          <w:lang w:eastAsia="fr-CA"/>
        </w:rPr>
      </w:pPr>
      <w:r w:rsidRPr="000945F6">
        <w:rPr>
          <w:sz w:val="18"/>
          <w:szCs w:val="18"/>
          <w:lang w:eastAsia="fr-CA"/>
        </w:rPr>
        <w:t>[</w:t>
      </w:r>
      <w:r w:rsidRPr="001335CE">
        <w:rPr>
          <w:sz w:val="18"/>
          <w:szCs w:val="18"/>
          <w:lang w:eastAsia="fr-CA"/>
        </w:rPr>
        <w:t>17]</w:t>
      </w:r>
      <w:r w:rsidRPr="001335CE">
        <w:rPr>
          <w:sz w:val="18"/>
          <w:szCs w:val="18"/>
          <w:lang w:eastAsia="fr-CA"/>
        </w:rPr>
        <w:tab/>
        <w:t>After a review of the case law, the sentencing judge summed up the test as follows:</w:t>
      </w:r>
    </w:p>
    <w:p w14:paraId="51215211" w14:textId="77777777" w:rsidR="0012455D" w:rsidRPr="001335CE" w:rsidRDefault="0012455D" w:rsidP="00227211">
      <w:pPr>
        <w:pStyle w:val="Citationenretrait"/>
        <w:ind w:left="2880"/>
        <w:rPr>
          <w:sz w:val="16"/>
          <w:szCs w:val="16"/>
          <w:lang w:eastAsia="fr-CA"/>
        </w:rPr>
      </w:pPr>
      <w:r w:rsidRPr="001335CE">
        <w:rPr>
          <w:sz w:val="16"/>
          <w:szCs w:val="16"/>
          <w:lang w:eastAsia="fr-CA"/>
        </w:rPr>
        <w:t>[51]</w:t>
      </w:r>
      <w:r w:rsidRPr="001335CE">
        <w:rPr>
          <w:sz w:val="16"/>
          <w:szCs w:val="16"/>
          <w:lang w:eastAsia="fr-CA"/>
        </w:rPr>
        <w:tab/>
        <w:t>The principles to be drawn from these cases suggest that a joint submission will bring the administration of justice into disrepute or otherwise be contrary to the public interest when </w:t>
      </w:r>
      <w:r w:rsidRPr="001335CE">
        <w:rPr>
          <w:sz w:val="16"/>
          <w:szCs w:val="16"/>
          <w:u w:val="single"/>
          <w:lang w:eastAsia="fr-CA"/>
        </w:rPr>
        <w:t>it does not adequately reflect the general principles of sentencing identified in the </w:t>
      </w:r>
      <w:r w:rsidRPr="001335CE">
        <w:rPr>
          <w:sz w:val="16"/>
          <w:szCs w:val="16"/>
          <w:lang w:eastAsia="fr-CA"/>
        </w:rPr>
        <w:t>Criminal Code and where the benefits of accepting the joint submission do not </w:t>
      </w:r>
      <w:r w:rsidRPr="001335CE">
        <w:rPr>
          <w:sz w:val="16"/>
          <w:szCs w:val="16"/>
          <w:u w:val="single"/>
          <w:lang w:eastAsia="fr-CA"/>
        </w:rPr>
        <w:t>outweigh these concerns</w:t>
      </w:r>
      <w:r w:rsidRPr="001335CE">
        <w:rPr>
          <w:sz w:val="16"/>
          <w:szCs w:val="16"/>
          <w:lang w:eastAsia="fr-CA"/>
        </w:rPr>
        <w:t>. (Emphasis added)</w:t>
      </w:r>
    </w:p>
    <w:p w14:paraId="06562454" w14:textId="77777777" w:rsidR="0012455D" w:rsidRPr="001335CE" w:rsidRDefault="0012455D" w:rsidP="000E174F">
      <w:pPr>
        <w:pStyle w:val="Citationenretrait"/>
        <w:ind w:left="1985"/>
        <w:rPr>
          <w:sz w:val="18"/>
          <w:szCs w:val="18"/>
          <w:lang w:eastAsia="fr-CA"/>
        </w:rPr>
      </w:pPr>
      <w:r w:rsidRPr="001335CE">
        <w:rPr>
          <w:sz w:val="18"/>
          <w:szCs w:val="18"/>
          <w:lang w:eastAsia="fr-CA"/>
        </w:rPr>
        <w:t>This, however, is not the test for accepting a joint submission set in Anthony-Cook. It echoes the “fitness” or “demonstrable unfitness” tests that were specifically rejected in that case.</w:t>
      </w:r>
    </w:p>
    <w:p w14:paraId="31BC6F4D" w14:textId="77777777" w:rsidR="0012455D" w:rsidRPr="00B2562E" w:rsidRDefault="0012455D" w:rsidP="00227211">
      <w:pPr>
        <w:pStyle w:val="Citationenretrait"/>
        <w:ind w:left="1985"/>
        <w:rPr>
          <w:sz w:val="18"/>
          <w:szCs w:val="18"/>
          <w:lang w:eastAsia="fr-CA"/>
        </w:rPr>
      </w:pPr>
      <w:r w:rsidRPr="001335CE">
        <w:rPr>
          <w:sz w:val="18"/>
          <w:szCs w:val="18"/>
          <w:lang w:eastAsia="fr-CA"/>
        </w:rPr>
        <w:t>[18]</w:t>
      </w:r>
      <w:r w:rsidRPr="001335CE">
        <w:rPr>
          <w:sz w:val="18"/>
          <w:szCs w:val="18"/>
          <w:lang w:eastAsia="fr-CA"/>
        </w:rPr>
        <w:tab/>
        <w:t>While the sentence that might have resulted after trial is relevant, it is an unhelpful approach to start the analysis by reverse engineering the joint submission. In other words, it is inappropriate to first determine what sentence would have been imposed after a trial, and then compare it to the joint submission. This inevitably invites a conclusion that the joint submission would bring the administration of justice into disrepute merely or primarily because it departs from the conventional sentence. Rather, the analysis should start with the basis for the joint submission, including the important benefits to the administration of justice, to see if there is something apart from the length of the sentence that engages the broader public interest or the repute of the administration of justice</w:t>
      </w:r>
      <w:r w:rsidRPr="00B2562E">
        <w:rPr>
          <w:i/>
          <w:sz w:val="18"/>
          <w:szCs w:val="18"/>
          <w:lang w:eastAsia="fr-CA"/>
        </w:rPr>
        <w:t>.</w:t>
      </w:r>
    </w:p>
    <w:p w14:paraId="2506AD13" w14:textId="72870BB9" w:rsidR="0012455D" w:rsidRPr="00B2562E" w:rsidRDefault="0012455D" w:rsidP="00BD3DB2">
      <w:pPr>
        <w:pStyle w:val="Citationenretrait"/>
        <w:ind w:left="1440"/>
        <w:rPr>
          <w:sz w:val="20"/>
          <w:lang w:eastAsia="fr-CA"/>
        </w:rPr>
      </w:pPr>
      <w:r w:rsidRPr="00B2562E">
        <w:rPr>
          <w:sz w:val="20"/>
          <w:lang w:eastAsia="fr-CA"/>
        </w:rPr>
        <w:t>[20]</w:t>
      </w:r>
      <w:r w:rsidRPr="00B2562E">
        <w:rPr>
          <w:sz w:val="20"/>
          <w:lang w:eastAsia="fr-CA"/>
        </w:rPr>
        <w:tab/>
      </w:r>
      <w:r w:rsidR="004154FF" w:rsidRPr="00B2562E">
        <w:rPr>
          <w:sz w:val="20"/>
          <w:u w:val="single"/>
          <w:lang w:eastAsia="fr-CA"/>
        </w:rPr>
        <w:t>The</w:t>
      </w:r>
      <w:r w:rsidRPr="00B2562E">
        <w:rPr>
          <w:sz w:val="20"/>
          <w:u w:val="single"/>
          <w:lang w:eastAsia="fr-CA"/>
        </w:rPr>
        <w:t xml:space="preserve"> Cour</w:t>
      </w:r>
      <w:r w:rsidR="004154FF" w:rsidRPr="00B2562E">
        <w:rPr>
          <w:sz w:val="20"/>
          <w:u w:val="single"/>
          <w:lang w:eastAsia="fr-CA"/>
        </w:rPr>
        <w:t>t</w:t>
      </w:r>
      <w:r w:rsidRPr="00B2562E">
        <w:rPr>
          <w:sz w:val="20"/>
          <w:u w:val="single"/>
          <w:lang w:eastAsia="fr-CA"/>
        </w:rPr>
        <w:t xml:space="preserve"> </w:t>
      </w:r>
      <w:r w:rsidR="000945F6">
        <w:rPr>
          <w:sz w:val="20"/>
          <w:u w:val="single"/>
          <w:lang w:eastAsia="fr-CA"/>
        </w:rPr>
        <w:t>agrees</w:t>
      </w:r>
      <w:r w:rsidRPr="00B2562E">
        <w:rPr>
          <w:sz w:val="20"/>
          <w:lang w:eastAsia="fr-CA"/>
        </w:rPr>
        <w:t xml:space="preserve">. </w:t>
      </w:r>
      <w:r w:rsidR="004154FF" w:rsidRPr="00B2562E">
        <w:rPr>
          <w:sz w:val="20"/>
          <w:lang w:eastAsia="fr-CA"/>
        </w:rPr>
        <w:t xml:space="preserve">The judge </w:t>
      </w:r>
      <w:r w:rsidR="000945F6">
        <w:rPr>
          <w:sz w:val="20"/>
          <w:lang w:eastAsia="fr-CA"/>
        </w:rPr>
        <w:t>erred in</w:t>
      </w:r>
      <w:r w:rsidR="004154FF" w:rsidRPr="00B2562E">
        <w:rPr>
          <w:sz w:val="20"/>
          <w:lang w:eastAsia="fr-CA"/>
        </w:rPr>
        <w:t xml:space="preserve"> </w:t>
      </w:r>
      <w:r w:rsidRPr="00B2562E">
        <w:rPr>
          <w:sz w:val="20"/>
          <w:lang w:eastAsia="fr-CA"/>
        </w:rPr>
        <w:t>princip</w:t>
      </w:r>
      <w:r w:rsidR="004154FF" w:rsidRPr="00B2562E">
        <w:rPr>
          <w:sz w:val="20"/>
          <w:lang w:eastAsia="fr-CA"/>
        </w:rPr>
        <w:t>l</w:t>
      </w:r>
      <w:r w:rsidRPr="00B2562E">
        <w:rPr>
          <w:sz w:val="20"/>
          <w:lang w:eastAsia="fr-CA"/>
        </w:rPr>
        <w:t xml:space="preserve">e </w:t>
      </w:r>
      <w:r w:rsidR="000945F6">
        <w:rPr>
          <w:sz w:val="20"/>
          <w:lang w:eastAsia="fr-CA"/>
        </w:rPr>
        <w:t>in</w:t>
      </w:r>
      <w:r w:rsidR="000945F6" w:rsidRPr="00B2562E">
        <w:rPr>
          <w:sz w:val="20"/>
          <w:lang w:eastAsia="fr-CA"/>
        </w:rPr>
        <w:t xml:space="preserve"> </w:t>
      </w:r>
      <w:r w:rsidR="004154FF" w:rsidRPr="00B2562E">
        <w:rPr>
          <w:sz w:val="20"/>
          <w:lang w:eastAsia="fr-CA"/>
        </w:rPr>
        <w:t xml:space="preserve">rejecting the joint submission from the </w:t>
      </w:r>
      <w:r w:rsidRPr="00B2562E">
        <w:rPr>
          <w:sz w:val="20"/>
          <w:lang w:eastAsia="fr-CA"/>
        </w:rPr>
        <w:t>parties. </w:t>
      </w:r>
      <w:r w:rsidR="004154FF" w:rsidRPr="00B2562E">
        <w:rPr>
          <w:sz w:val="20"/>
          <w:u w:val="single"/>
          <w:lang w:eastAsia="fr-CA"/>
        </w:rPr>
        <w:t xml:space="preserve">Under the guise of public interest, he instead imposed a sentence he found more appropriate in the </w:t>
      </w:r>
      <w:r w:rsidRPr="00B2562E">
        <w:rPr>
          <w:sz w:val="20"/>
          <w:u w:val="single"/>
          <w:lang w:eastAsia="fr-CA"/>
        </w:rPr>
        <w:t>circ</w:t>
      </w:r>
      <w:r w:rsidR="004154FF" w:rsidRPr="00B2562E">
        <w:rPr>
          <w:sz w:val="20"/>
          <w:u w:val="single"/>
          <w:lang w:eastAsia="fr-CA"/>
        </w:rPr>
        <w:t>um</w:t>
      </w:r>
      <w:r w:rsidRPr="00B2562E">
        <w:rPr>
          <w:sz w:val="20"/>
          <w:u w:val="single"/>
          <w:lang w:eastAsia="fr-CA"/>
        </w:rPr>
        <w:t>stances</w:t>
      </w:r>
      <w:r w:rsidRPr="00B2562E">
        <w:rPr>
          <w:sz w:val="20"/>
          <w:lang w:eastAsia="fr-CA"/>
        </w:rPr>
        <w:t>.</w:t>
      </w:r>
    </w:p>
    <w:p w14:paraId="0C2A6C0D" w14:textId="1DE01719" w:rsidR="0012455D" w:rsidRPr="00B2562E" w:rsidRDefault="0012455D" w:rsidP="000E174F">
      <w:pPr>
        <w:spacing w:before="120" w:after="120"/>
        <w:ind w:left="720" w:right="856"/>
        <w:jc w:val="right"/>
        <w:rPr>
          <w:rFonts w:cs="Arial"/>
          <w:color w:val="000000"/>
          <w:sz w:val="20"/>
          <w:lang w:eastAsia="fr-CA"/>
        </w:rPr>
      </w:pPr>
      <w:r w:rsidRPr="00B2562E">
        <w:rPr>
          <w:rFonts w:cs="Arial"/>
          <w:color w:val="000000"/>
          <w:sz w:val="20"/>
          <w:lang w:eastAsia="fr-CA"/>
        </w:rPr>
        <w:t>[</w:t>
      </w:r>
      <w:r w:rsidR="004154FF" w:rsidRPr="00B2562E">
        <w:rPr>
          <w:rFonts w:cs="Arial"/>
          <w:color w:val="000000"/>
          <w:sz w:val="20"/>
          <w:lang w:eastAsia="fr-CA"/>
        </w:rPr>
        <w:t xml:space="preserve">Emphasis in the </w:t>
      </w:r>
      <w:r w:rsidRPr="00B2562E">
        <w:rPr>
          <w:rFonts w:cs="Arial"/>
          <w:color w:val="000000"/>
          <w:sz w:val="20"/>
          <w:lang w:eastAsia="fr-CA"/>
        </w:rPr>
        <w:t>original]</w:t>
      </w:r>
    </w:p>
    <w:p w14:paraId="527FE066" w14:textId="473B03E1" w:rsidR="0012455D" w:rsidRPr="00B2562E" w:rsidRDefault="0012455D" w:rsidP="000E174F">
      <w:pPr>
        <w:spacing w:before="120" w:after="120"/>
        <w:ind w:left="720" w:right="856"/>
        <w:rPr>
          <w:rFonts w:cs="Arial"/>
          <w:color w:val="000000"/>
          <w:sz w:val="22"/>
          <w:szCs w:val="22"/>
          <w:lang w:eastAsia="fr-CA"/>
        </w:rPr>
      </w:pPr>
      <w:r w:rsidRPr="00B2562E">
        <w:rPr>
          <w:rFonts w:cs="Arial"/>
          <w:color w:val="000000"/>
          <w:sz w:val="22"/>
          <w:szCs w:val="22"/>
          <w:lang w:eastAsia="fr-CA"/>
        </w:rPr>
        <w:lastRenderedPageBreak/>
        <w:t>…</w:t>
      </w:r>
    </w:p>
    <w:p w14:paraId="0ED0934E" w14:textId="70DA776B" w:rsidR="0012455D" w:rsidRPr="00B2562E" w:rsidRDefault="0012455D" w:rsidP="000E174F">
      <w:pPr>
        <w:pStyle w:val="Citationenretrait"/>
        <w:rPr>
          <w:lang w:eastAsia="fr-CA"/>
        </w:rPr>
      </w:pPr>
      <w:r w:rsidRPr="00B2562E">
        <w:rPr>
          <w:lang w:eastAsia="fr-CA"/>
        </w:rPr>
        <w:t>[28]</w:t>
      </w:r>
      <w:r w:rsidRPr="00B2562E">
        <w:rPr>
          <w:lang w:eastAsia="fr-CA"/>
        </w:rPr>
        <w:tab/>
      </w:r>
      <w:r w:rsidR="00684911" w:rsidRPr="00B2562E">
        <w:rPr>
          <w:lang w:eastAsia="fr-CA"/>
        </w:rPr>
        <w:t xml:space="preserve">We agree with </w:t>
      </w:r>
      <w:r w:rsidR="009F013A" w:rsidRPr="00B2562E">
        <w:rPr>
          <w:lang w:eastAsia="fr-CA"/>
        </w:rPr>
        <w:t>the appellant</w:t>
      </w:r>
      <w:r w:rsidR="00684911" w:rsidRPr="00B2562E">
        <w:rPr>
          <w:lang w:eastAsia="fr-CA"/>
        </w:rPr>
        <w:t xml:space="preserve"> that the </w:t>
      </w:r>
      <w:r w:rsidRPr="00B2562E">
        <w:rPr>
          <w:lang w:eastAsia="fr-CA"/>
        </w:rPr>
        <w:t>circ</w:t>
      </w:r>
      <w:r w:rsidR="00684911" w:rsidRPr="00B2562E">
        <w:rPr>
          <w:lang w:eastAsia="fr-CA"/>
        </w:rPr>
        <w:t>um</w:t>
      </w:r>
      <w:r w:rsidRPr="00B2562E">
        <w:rPr>
          <w:lang w:eastAsia="fr-CA"/>
        </w:rPr>
        <w:t xml:space="preserve">stances </w:t>
      </w:r>
      <w:r w:rsidR="00684911" w:rsidRPr="00B2562E">
        <w:rPr>
          <w:lang w:eastAsia="fr-CA"/>
        </w:rPr>
        <w:t xml:space="preserve">of </w:t>
      </w:r>
      <w:r w:rsidR="000945F6">
        <w:rPr>
          <w:lang w:eastAsia="fr-CA"/>
        </w:rPr>
        <w:t>this</w:t>
      </w:r>
      <w:r w:rsidR="00FE470B" w:rsidRPr="00B2562E">
        <w:rPr>
          <w:lang w:eastAsia="fr-CA"/>
        </w:rPr>
        <w:t xml:space="preserve"> </w:t>
      </w:r>
      <w:r w:rsidR="00684911" w:rsidRPr="00B2562E">
        <w:rPr>
          <w:lang w:eastAsia="fr-CA"/>
        </w:rPr>
        <w:t xml:space="preserve">case are similar to the </w:t>
      </w:r>
      <w:r w:rsidRPr="00B2562E">
        <w:rPr>
          <w:lang w:eastAsia="fr-CA"/>
        </w:rPr>
        <w:t>circ</w:t>
      </w:r>
      <w:r w:rsidR="00684911" w:rsidRPr="00B2562E">
        <w:rPr>
          <w:lang w:eastAsia="fr-CA"/>
        </w:rPr>
        <w:t>um</w:t>
      </w:r>
      <w:r w:rsidRPr="00B2562E">
        <w:rPr>
          <w:lang w:eastAsia="fr-CA"/>
        </w:rPr>
        <w:t xml:space="preserve">stances </w:t>
      </w:r>
      <w:r w:rsidR="008C7392">
        <w:rPr>
          <w:lang w:eastAsia="fr-CA"/>
        </w:rPr>
        <w:t>in</w:t>
      </w:r>
      <w:r w:rsidR="00684911" w:rsidRPr="00B2562E">
        <w:rPr>
          <w:lang w:eastAsia="fr-CA"/>
        </w:rPr>
        <w:t xml:space="preserve"> </w:t>
      </w:r>
      <w:proofErr w:type="spellStart"/>
      <w:r w:rsidRPr="00B2562E">
        <w:rPr>
          <w:i/>
          <w:iCs/>
          <w:lang w:eastAsia="fr-CA"/>
        </w:rPr>
        <w:t>Séguin</w:t>
      </w:r>
      <w:proofErr w:type="spellEnd"/>
      <w:r w:rsidRPr="00B2562E">
        <w:rPr>
          <w:lang w:eastAsia="fr-CA"/>
        </w:rPr>
        <w:t> </w:t>
      </w:r>
      <w:r w:rsidR="00684911" w:rsidRPr="00B2562E">
        <w:rPr>
          <w:lang w:eastAsia="fr-CA"/>
        </w:rPr>
        <w:t>and</w:t>
      </w:r>
      <w:r w:rsidRPr="00B2562E">
        <w:rPr>
          <w:lang w:eastAsia="fr-CA"/>
        </w:rPr>
        <w:t> </w:t>
      </w:r>
      <w:r w:rsidRPr="00B2562E">
        <w:rPr>
          <w:i/>
          <w:iCs/>
          <w:lang w:eastAsia="fr-CA"/>
        </w:rPr>
        <w:t>Binet</w:t>
      </w:r>
      <w:r w:rsidR="008C7392">
        <w:rPr>
          <w:lang w:eastAsia="fr-CA"/>
        </w:rPr>
        <w:t>,</w:t>
      </w:r>
      <w:r w:rsidRPr="00B2562E">
        <w:rPr>
          <w:lang w:eastAsia="fr-CA"/>
        </w:rPr>
        <w:t> </w:t>
      </w:r>
      <w:r w:rsidR="00684911" w:rsidRPr="00B2562E">
        <w:rPr>
          <w:lang w:eastAsia="fr-CA"/>
        </w:rPr>
        <w:t xml:space="preserve">and that the judge has, under the guise of </w:t>
      </w:r>
      <w:r w:rsidR="008C7392">
        <w:rPr>
          <w:lang w:eastAsia="fr-CA"/>
        </w:rPr>
        <w:t xml:space="preserve">the </w:t>
      </w:r>
      <w:r w:rsidR="00684911" w:rsidRPr="00B2562E">
        <w:rPr>
          <w:lang w:eastAsia="fr-CA"/>
        </w:rPr>
        <w:t xml:space="preserve">public interest test, imposed the sentence she considered the most appropriate in the </w:t>
      </w:r>
      <w:r w:rsidRPr="00B2562E">
        <w:rPr>
          <w:lang w:eastAsia="fr-CA"/>
        </w:rPr>
        <w:t>circ</w:t>
      </w:r>
      <w:r w:rsidR="00684911" w:rsidRPr="00B2562E">
        <w:rPr>
          <w:lang w:eastAsia="fr-CA"/>
        </w:rPr>
        <w:t>um</w:t>
      </w:r>
      <w:r w:rsidRPr="00B2562E">
        <w:rPr>
          <w:lang w:eastAsia="fr-CA"/>
        </w:rPr>
        <w:t>stances. Essenti</w:t>
      </w:r>
      <w:r w:rsidR="00684911" w:rsidRPr="00B2562E">
        <w:rPr>
          <w:lang w:eastAsia="fr-CA"/>
        </w:rPr>
        <w:t>ally, with</w:t>
      </w:r>
      <w:r w:rsidRPr="00B2562E">
        <w:rPr>
          <w:lang w:eastAsia="fr-CA"/>
        </w:rPr>
        <w:t xml:space="preserve"> regard </w:t>
      </w:r>
      <w:r w:rsidR="00684911" w:rsidRPr="00B2562E">
        <w:rPr>
          <w:lang w:eastAsia="fr-CA"/>
        </w:rPr>
        <w:t xml:space="preserve">to the </w:t>
      </w:r>
      <w:r w:rsidRPr="00B2562E">
        <w:rPr>
          <w:lang w:eastAsia="fr-CA"/>
        </w:rPr>
        <w:t>aggrava</w:t>
      </w:r>
      <w:r w:rsidR="00684911" w:rsidRPr="00B2562E">
        <w:rPr>
          <w:lang w:eastAsia="fr-CA"/>
        </w:rPr>
        <w:t xml:space="preserve">ting and mitigating factors, the judge </w:t>
      </w:r>
      <w:r w:rsidR="006E2068" w:rsidRPr="00B2562E">
        <w:rPr>
          <w:lang w:eastAsia="fr-CA"/>
        </w:rPr>
        <w:t xml:space="preserve">departed from </w:t>
      </w:r>
      <w:r w:rsidR="00684911" w:rsidRPr="00B2562E">
        <w:rPr>
          <w:lang w:eastAsia="fr-CA"/>
        </w:rPr>
        <w:t xml:space="preserve">the </w:t>
      </w:r>
      <w:r w:rsidR="006E2068" w:rsidRPr="00B2562E">
        <w:rPr>
          <w:lang w:eastAsia="fr-CA"/>
        </w:rPr>
        <w:t>proposed</w:t>
      </w:r>
      <w:r w:rsidR="00684911" w:rsidRPr="00B2562E">
        <w:rPr>
          <w:lang w:eastAsia="fr-CA"/>
        </w:rPr>
        <w:t xml:space="preserve"> sentence because she considered that </w:t>
      </w:r>
      <w:r w:rsidR="008574CD" w:rsidRPr="00B2562E">
        <w:rPr>
          <w:lang w:eastAsia="fr-CA"/>
        </w:rPr>
        <w:t xml:space="preserve">a custodial sentence </w:t>
      </w:r>
      <w:r w:rsidR="00684911" w:rsidRPr="00B2562E">
        <w:rPr>
          <w:lang w:eastAsia="fr-CA"/>
        </w:rPr>
        <w:t>was not appropr</w:t>
      </w:r>
      <w:r w:rsidR="00282FDD" w:rsidRPr="00B2562E">
        <w:rPr>
          <w:lang w:eastAsia="fr-CA"/>
        </w:rPr>
        <w:t>i</w:t>
      </w:r>
      <w:r w:rsidR="00684911" w:rsidRPr="00B2562E">
        <w:rPr>
          <w:lang w:eastAsia="fr-CA"/>
        </w:rPr>
        <w:t xml:space="preserve">ate in the </w:t>
      </w:r>
      <w:r w:rsidRPr="00B2562E">
        <w:rPr>
          <w:lang w:eastAsia="fr-CA"/>
        </w:rPr>
        <w:t>circ</w:t>
      </w:r>
      <w:r w:rsidR="00684911" w:rsidRPr="00B2562E">
        <w:rPr>
          <w:lang w:eastAsia="fr-CA"/>
        </w:rPr>
        <w:t>um</w:t>
      </w:r>
      <w:r w:rsidRPr="00B2562E">
        <w:rPr>
          <w:lang w:eastAsia="fr-CA"/>
        </w:rPr>
        <w:t>stances.</w:t>
      </w:r>
      <w:r w:rsidRPr="00B2562E">
        <w:rPr>
          <w:rStyle w:val="Appelnotedebasdep"/>
          <w:rFonts w:cs="Arial"/>
          <w:color w:val="000000"/>
          <w:szCs w:val="22"/>
          <w:lang w:val="en-CA" w:eastAsia="fr-CA"/>
        </w:rPr>
        <w:footnoteReference w:id="9"/>
      </w:r>
    </w:p>
    <w:p w14:paraId="72AFE08A" w14:textId="6D6DFF79" w:rsidR="0012455D" w:rsidRPr="00B2562E" w:rsidRDefault="0012455D" w:rsidP="000E174F">
      <w:pPr>
        <w:pStyle w:val="Paragraphe"/>
        <w:numPr>
          <w:ilvl w:val="0"/>
          <w:numId w:val="0"/>
        </w:numPr>
        <w:spacing w:line="280" w:lineRule="exact"/>
        <w:ind w:left="567" w:right="431"/>
        <w:jc w:val="right"/>
        <w:rPr>
          <w:rFonts w:cs="Arial"/>
          <w:szCs w:val="24"/>
        </w:rPr>
      </w:pPr>
      <w:r w:rsidRPr="00B2562E">
        <w:rPr>
          <w:rFonts w:cs="Arial"/>
          <w:color w:val="000000"/>
          <w:szCs w:val="24"/>
          <w:lang w:eastAsia="fr-CA"/>
        </w:rPr>
        <w:t>[</w:t>
      </w:r>
      <w:r w:rsidR="00D1049A" w:rsidRPr="00B2562E">
        <w:rPr>
          <w:rFonts w:cs="Arial"/>
          <w:color w:val="000000"/>
          <w:szCs w:val="24"/>
          <w:lang w:eastAsia="fr-CA"/>
        </w:rPr>
        <w:t>References</w:t>
      </w:r>
      <w:r w:rsidR="00684911" w:rsidRPr="00B2562E">
        <w:rPr>
          <w:rFonts w:cs="Arial"/>
          <w:color w:val="000000"/>
          <w:szCs w:val="24"/>
          <w:lang w:eastAsia="fr-CA"/>
        </w:rPr>
        <w:t xml:space="preserve"> omitted</w:t>
      </w:r>
      <w:r w:rsidRPr="00B2562E">
        <w:rPr>
          <w:rFonts w:cs="Arial"/>
          <w:color w:val="000000"/>
          <w:szCs w:val="24"/>
          <w:lang w:eastAsia="fr-CA"/>
        </w:rPr>
        <w:t>]</w:t>
      </w:r>
    </w:p>
    <w:p w14:paraId="6045F9BA" w14:textId="22D3A99E" w:rsidR="0012455D" w:rsidRPr="00B2562E" w:rsidRDefault="00DB560C" w:rsidP="000E174F">
      <w:pPr>
        <w:pStyle w:val="Paragraphe"/>
        <w:spacing w:line="280" w:lineRule="exact"/>
      </w:pPr>
      <w:r w:rsidRPr="00B2562E">
        <w:t>The Court f</w:t>
      </w:r>
      <w:r w:rsidR="00282FDD" w:rsidRPr="00B2562E">
        <w:t>ound</w:t>
      </w:r>
      <w:r w:rsidRPr="00B2562E">
        <w:t xml:space="preserve"> that the trial judge had </w:t>
      </w:r>
      <w:r w:rsidR="00C16293" w:rsidRPr="00B2562E">
        <w:t xml:space="preserve">departed from </w:t>
      </w:r>
      <w:r w:rsidRPr="00B2562E">
        <w:t xml:space="preserve">the </w:t>
      </w:r>
      <w:r w:rsidR="00815A71" w:rsidRPr="00B2562E">
        <w:t>joint submission</w:t>
      </w:r>
      <w:r w:rsidR="0012455D" w:rsidRPr="00B2562E">
        <w:t xml:space="preserve"> </w:t>
      </w:r>
      <w:r w:rsidRPr="00B2562E">
        <w:t>not by applying the public interest test</w:t>
      </w:r>
      <w:r w:rsidR="0012455D" w:rsidRPr="00B2562E">
        <w:t xml:space="preserve"> </w:t>
      </w:r>
      <w:r w:rsidRPr="00B2562E">
        <w:t xml:space="preserve">as required, but by substituting </w:t>
      </w:r>
      <w:r w:rsidR="00282FDD" w:rsidRPr="00B2562E">
        <w:t xml:space="preserve">for the </w:t>
      </w:r>
      <w:r w:rsidR="00815A71" w:rsidRPr="00B2562E">
        <w:t>joint submission</w:t>
      </w:r>
      <w:r w:rsidR="0012455D" w:rsidRPr="00B2562E">
        <w:t xml:space="preserve"> </w:t>
      </w:r>
      <w:r w:rsidR="00282FDD" w:rsidRPr="00B2562E">
        <w:t>a sentence she consider</w:t>
      </w:r>
      <w:r w:rsidR="001B5E89" w:rsidRPr="00B2562E">
        <w:t>ed</w:t>
      </w:r>
      <w:r w:rsidR="00282FDD" w:rsidRPr="00B2562E">
        <w:t xml:space="preserve"> fit according to general </w:t>
      </w:r>
      <w:r w:rsidR="00C16293" w:rsidRPr="00B2562E">
        <w:t xml:space="preserve">sentencing </w:t>
      </w:r>
      <w:r w:rsidR="00282FDD" w:rsidRPr="00B2562E">
        <w:t>principles</w:t>
      </w:r>
      <w:r w:rsidR="0012455D" w:rsidRPr="00B2562E">
        <w:t xml:space="preserve">. </w:t>
      </w:r>
      <w:r w:rsidR="00282FDD" w:rsidRPr="00B2562E">
        <w:t xml:space="preserve">The </w:t>
      </w:r>
      <w:r w:rsidR="0012455D" w:rsidRPr="00B2562E">
        <w:t>Cour</w:t>
      </w:r>
      <w:r w:rsidR="00282FDD" w:rsidRPr="00B2562E">
        <w:t xml:space="preserve">t again </w:t>
      </w:r>
      <w:r w:rsidR="008C7392">
        <w:t>describes</w:t>
      </w:r>
      <w:r w:rsidR="0012455D" w:rsidRPr="00B2562E">
        <w:t xml:space="preserve"> </w:t>
      </w:r>
      <w:r w:rsidR="00282FDD" w:rsidRPr="00B2562E">
        <w:t xml:space="preserve">this action as an error </w:t>
      </w:r>
      <w:r w:rsidR="009D05CF">
        <w:t xml:space="preserve">in </w:t>
      </w:r>
      <w:r w:rsidR="0012455D" w:rsidRPr="00B2562E">
        <w:t>princip</w:t>
      </w:r>
      <w:r w:rsidR="00282FDD" w:rsidRPr="00B2562E">
        <w:t>l</w:t>
      </w:r>
      <w:r w:rsidR="0012455D" w:rsidRPr="00B2562E">
        <w:t xml:space="preserve">e, </w:t>
      </w:r>
      <w:r w:rsidR="008C7392">
        <w:t xml:space="preserve">just </w:t>
      </w:r>
      <w:r w:rsidR="00282FDD" w:rsidRPr="00B2562E">
        <w:t xml:space="preserve">as it did in </w:t>
      </w:r>
      <w:proofErr w:type="spellStart"/>
      <w:r w:rsidR="0012455D" w:rsidRPr="00B2562E">
        <w:rPr>
          <w:i/>
        </w:rPr>
        <w:t>Séguin</w:t>
      </w:r>
      <w:proofErr w:type="spellEnd"/>
      <w:r w:rsidR="0012455D" w:rsidRPr="00B2562E">
        <w:t xml:space="preserve"> </w:t>
      </w:r>
      <w:r w:rsidR="00282FDD" w:rsidRPr="00B2562E">
        <w:t>and</w:t>
      </w:r>
      <w:r w:rsidR="0012455D" w:rsidRPr="00B2562E">
        <w:t xml:space="preserve"> </w:t>
      </w:r>
      <w:r w:rsidR="0012455D" w:rsidRPr="00B2562E">
        <w:rPr>
          <w:i/>
        </w:rPr>
        <w:t>Binet</w:t>
      </w:r>
      <w:r w:rsidR="00282FDD" w:rsidRPr="00B2562E">
        <w:rPr>
          <w:iCs/>
        </w:rPr>
        <w:t>.</w:t>
      </w:r>
      <w:r w:rsidR="0012455D" w:rsidRPr="00B2562E">
        <w:rPr>
          <w:rStyle w:val="Appelnotedebasdep"/>
          <w:lang w:val="en-CA"/>
        </w:rPr>
        <w:footnoteReference w:id="10"/>
      </w:r>
    </w:p>
    <w:p w14:paraId="778A4E7A" w14:textId="020ACF95" w:rsidR="0012455D" w:rsidRPr="00B2562E" w:rsidRDefault="00D1049A" w:rsidP="008D7E48">
      <w:pPr>
        <w:pStyle w:val="Titre1"/>
        <w:numPr>
          <w:ilvl w:val="0"/>
          <w:numId w:val="22"/>
        </w:numPr>
        <w:tabs>
          <w:tab w:val="num" w:pos="360"/>
        </w:tabs>
        <w:spacing w:line="280" w:lineRule="exact"/>
        <w:ind w:left="360" w:hanging="360"/>
      </w:pPr>
      <w:r w:rsidRPr="00B2562E">
        <w:t xml:space="preserve"> </w:t>
      </w:r>
      <w:r w:rsidR="0012455D" w:rsidRPr="00B2562E">
        <w:t xml:space="preserve">Application </w:t>
      </w:r>
      <w:r w:rsidR="00710FBA">
        <w:t>to this</w:t>
      </w:r>
      <w:r w:rsidR="00282FDD" w:rsidRPr="00B2562E">
        <w:t xml:space="preserve"> case </w:t>
      </w:r>
    </w:p>
    <w:p w14:paraId="0FF18C78" w14:textId="4B7451EB" w:rsidR="0012455D" w:rsidRPr="00B2562E" w:rsidRDefault="0012455D" w:rsidP="000E174F">
      <w:pPr>
        <w:pStyle w:val="Titre2"/>
      </w:pPr>
      <w:r w:rsidRPr="00B2562E">
        <w:t>A.</w:t>
      </w:r>
      <w:r w:rsidRPr="00B2562E">
        <w:tab/>
      </w:r>
      <w:r w:rsidR="00D64F15" w:rsidRPr="00B2562E">
        <w:t>The next steps</w:t>
      </w:r>
    </w:p>
    <w:p w14:paraId="40A68BAB" w14:textId="7C3F1423" w:rsidR="0012455D" w:rsidRPr="00B2562E" w:rsidRDefault="00AF4CB1" w:rsidP="000E174F">
      <w:pPr>
        <w:pStyle w:val="Paragraphe"/>
        <w:spacing w:line="280" w:lineRule="exact"/>
      </w:pPr>
      <w:r w:rsidRPr="00B2562E">
        <w:t xml:space="preserve">In </w:t>
      </w:r>
      <w:r w:rsidR="00710FBA">
        <w:t>this</w:t>
      </w:r>
      <w:r w:rsidRPr="00B2562E">
        <w:t xml:space="preserve"> case, the</w:t>
      </w:r>
      <w:r w:rsidR="0012455D" w:rsidRPr="00B2562E">
        <w:t xml:space="preserve"> parties </w:t>
      </w:r>
      <w:r w:rsidRPr="00B2562E">
        <w:t xml:space="preserve">suggested a sentence of three months </w:t>
      </w:r>
      <w:r w:rsidR="006E2068" w:rsidRPr="00B2562E">
        <w:t xml:space="preserve">to be served </w:t>
      </w:r>
      <w:r w:rsidR="0012455D" w:rsidRPr="00B2562E">
        <w:t>concurrent</w:t>
      </w:r>
      <w:r w:rsidR="006E2068" w:rsidRPr="00B2562E">
        <w:t>ly</w:t>
      </w:r>
      <w:r w:rsidR="0012455D" w:rsidRPr="00B2562E">
        <w:t xml:space="preserve"> </w:t>
      </w:r>
      <w:r w:rsidRPr="00B2562E">
        <w:t xml:space="preserve">with any other sentence on </w:t>
      </w:r>
      <w:r w:rsidR="006E2068" w:rsidRPr="00B2562E">
        <w:t xml:space="preserve">both </w:t>
      </w:r>
      <w:r w:rsidRPr="00B2562E">
        <w:t>counts.</w:t>
      </w:r>
      <w:r w:rsidR="0012455D" w:rsidRPr="00B2562E">
        <w:t xml:space="preserve"> </w:t>
      </w:r>
      <w:r w:rsidRPr="00B2562E">
        <w:t>Th</w:t>
      </w:r>
      <w:r w:rsidR="00661081" w:rsidRPr="00B2562E">
        <w:t>e submission</w:t>
      </w:r>
      <w:r w:rsidR="0012455D" w:rsidRPr="00B2562E">
        <w:t xml:space="preserve"> </w:t>
      </w:r>
      <w:r w:rsidRPr="00B2562E">
        <w:t xml:space="preserve">was basically motivated by the particular context of this </w:t>
      </w:r>
      <w:r w:rsidR="00710FBA">
        <w:t>case</w:t>
      </w:r>
      <w:r w:rsidR="0012455D" w:rsidRPr="00B2562E">
        <w:t xml:space="preserve">. </w:t>
      </w:r>
      <w:r w:rsidRPr="00B2562E">
        <w:t>On April</w:t>
      </w:r>
      <w:r w:rsidR="0012455D" w:rsidRPr="00B2562E">
        <w:t xml:space="preserve"> 14</w:t>
      </w:r>
      <w:r w:rsidRPr="00B2562E">
        <w:t>,</w:t>
      </w:r>
      <w:r w:rsidR="0012455D" w:rsidRPr="00B2562E">
        <w:t xml:space="preserve"> 2020, </w:t>
      </w:r>
      <w:r w:rsidRPr="00B2562E">
        <w:t xml:space="preserve">in </w:t>
      </w:r>
      <w:r w:rsidR="0012455D" w:rsidRPr="00B2562E">
        <w:t>Montr</w:t>
      </w:r>
      <w:r w:rsidRPr="00B2562E">
        <w:t>e</w:t>
      </w:r>
      <w:r w:rsidR="0012455D" w:rsidRPr="00B2562E">
        <w:t xml:space="preserve">al, </w:t>
      </w:r>
      <w:r w:rsidR="009F013A" w:rsidRPr="00B2562E">
        <w:t>the appellant</w:t>
      </w:r>
      <w:r w:rsidR="0012455D" w:rsidRPr="00B2562E">
        <w:t xml:space="preserve"> pl</w:t>
      </w:r>
      <w:r w:rsidRPr="00B2562E">
        <w:t>eaded</w:t>
      </w:r>
      <w:r w:rsidR="0012455D" w:rsidRPr="00B2562E">
        <w:t xml:space="preserve"> </w:t>
      </w:r>
      <w:r w:rsidRPr="00B2562E">
        <w:t xml:space="preserve">guilty </w:t>
      </w:r>
      <w:r w:rsidR="006E2068" w:rsidRPr="00B2562E">
        <w:t xml:space="preserve">to the </w:t>
      </w:r>
      <w:r w:rsidRPr="00B2562E">
        <w:t>offences committed between September</w:t>
      </w:r>
      <w:r w:rsidR="0012455D" w:rsidRPr="00B2562E">
        <w:t xml:space="preserve"> 2015 </w:t>
      </w:r>
      <w:r w:rsidRPr="00B2562E">
        <w:t xml:space="preserve">and August </w:t>
      </w:r>
      <w:r w:rsidR="0012455D" w:rsidRPr="00B2562E">
        <w:t xml:space="preserve">2019. </w:t>
      </w:r>
      <w:r w:rsidRPr="00B2562E">
        <w:t xml:space="preserve">These offences </w:t>
      </w:r>
      <w:r w:rsidR="00710FBA">
        <w:t>are</w:t>
      </w:r>
      <w:r w:rsidR="00710FBA" w:rsidRPr="00B2562E">
        <w:t xml:space="preserve"> </w:t>
      </w:r>
      <w:r w:rsidR="00710FBA">
        <w:t>unrelated</w:t>
      </w:r>
      <w:r w:rsidR="00710FBA" w:rsidRPr="00B2562E">
        <w:t xml:space="preserve"> </w:t>
      </w:r>
      <w:r w:rsidR="00661081" w:rsidRPr="00B2562E">
        <w:t>and were committed over the course of several years.</w:t>
      </w:r>
      <w:r w:rsidR="0012455D" w:rsidRPr="00B2562E">
        <w:t xml:space="preserve"> </w:t>
      </w:r>
      <w:r w:rsidR="009F013A" w:rsidRPr="00B2562E">
        <w:t>The appellant</w:t>
      </w:r>
      <w:r w:rsidR="0012455D" w:rsidRPr="00B2562E">
        <w:t xml:space="preserve"> a</w:t>
      </w:r>
      <w:r w:rsidR="00661081" w:rsidRPr="00B2562E">
        <w:t xml:space="preserve">greed to plead guilty in exchange for a </w:t>
      </w:r>
      <w:r w:rsidR="0020311E" w:rsidRPr="00B2562E">
        <w:t>global</w:t>
      </w:r>
      <w:r w:rsidR="00661081" w:rsidRPr="00B2562E">
        <w:t xml:space="preserve"> sentence of </w:t>
      </w:r>
      <w:r w:rsidR="0012455D" w:rsidRPr="00B2562E">
        <w:t>24 mo</w:t>
      </w:r>
      <w:r w:rsidR="00661081" w:rsidRPr="00B2562E">
        <w:t xml:space="preserve">nths’ imprisonment for </w:t>
      </w:r>
      <w:r w:rsidR="006E2068" w:rsidRPr="00B2562E">
        <w:t xml:space="preserve">all </w:t>
      </w:r>
      <w:r w:rsidR="00661081" w:rsidRPr="00B2562E">
        <w:t xml:space="preserve">the </w:t>
      </w:r>
      <w:r w:rsidR="00442FC3">
        <w:t>offences</w:t>
      </w:r>
      <w:r w:rsidR="00661081" w:rsidRPr="00B2562E">
        <w:t>.</w:t>
      </w:r>
      <w:r w:rsidR="0012455D" w:rsidRPr="00B2562E">
        <w:t xml:space="preserve"> </w:t>
      </w:r>
      <w:r w:rsidR="00442FC3">
        <w:t>A</w:t>
      </w:r>
      <w:r w:rsidR="00442FC3" w:rsidRPr="00B2562E">
        <w:t xml:space="preserve">t </w:t>
      </w:r>
      <w:r w:rsidR="0054134F">
        <w:t>the</w:t>
      </w:r>
      <w:r w:rsidR="00442FC3" w:rsidRPr="00B2562E">
        <w:t xml:space="preserve"> time, </w:t>
      </w:r>
      <w:r w:rsidR="00442FC3">
        <w:t>h</w:t>
      </w:r>
      <w:r w:rsidR="00442FC3" w:rsidRPr="00B2562E">
        <w:t>owever</w:t>
      </w:r>
      <w:r w:rsidR="00ED34F3" w:rsidRPr="00B2562E">
        <w:t xml:space="preserve">, the information for the charges in this </w:t>
      </w:r>
      <w:r w:rsidR="00442FC3">
        <w:t>case</w:t>
      </w:r>
      <w:r w:rsidR="00442FC3" w:rsidRPr="00B2562E">
        <w:t xml:space="preserve"> </w:t>
      </w:r>
      <w:r w:rsidR="00ED34F3" w:rsidRPr="00B2562E">
        <w:t>had not yet been sworn because of an administrative problem.</w:t>
      </w:r>
      <w:r w:rsidR="0012455D" w:rsidRPr="00B2562E">
        <w:t xml:space="preserve"> </w:t>
      </w:r>
      <w:r w:rsidR="00ED34F3" w:rsidRPr="00B2562E">
        <w:t xml:space="preserve">It was finally sworn on May 20, </w:t>
      </w:r>
      <w:r w:rsidR="0012455D" w:rsidRPr="00B2562E">
        <w:t xml:space="preserve">2020, </w:t>
      </w:r>
      <w:r w:rsidR="00ED34F3" w:rsidRPr="00B2562E">
        <w:t xml:space="preserve">after the </w:t>
      </w:r>
      <w:r w:rsidR="00B0098C">
        <w:t>comprehensive</w:t>
      </w:r>
      <w:r w:rsidR="00B0098C" w:rsidRPr="00B2562E">
        <w:t xml:space="preserve"> </w:t>
      </w:r>
      <w:r w:rsidR="001652FC">
        <w:t>resolution</w:t>
      </w:r>
      <w:r w:rsidR="001652FC" w:rsidRPr="00B2562E">
        <w:t xml:space="preserve"> </w:t>
      </w:r>
      <w:r w:rsidR="00ED34F3" w:rsidRPr="00B2562E">
        <w:t xml:space="preserve">of the other </w:t>
      </w:r>
      <w:r w:rsidR="001335CE">
        <w:t>files</w:t>
      </w:r>
      <w:r w:rsidR="00ED34F3" w:rsidRPr="00B2562E">
        <w:t>.</w:t>
      </w:r>
      <w:r w:rsidR="0012455D" w:rsidRPr="00B2562E">
        <w:t xml:space="preserve"> </w:t>
      </w:r>
      <w:r w:rsidR="00ED34F3" w:rsidRPr="00B2562E">
        <w:t xml:space="preserve">Nevertheless, counsel </w:t>
      </w:r>
      <w:r w:rsidR="00B0098C">
        <w:t>at</w:t>
      </w:r>
      <w:r w:rsidR="00D96987" w:rsidRPr="00B2562E">
        <w:t xml:space="preserve"> </w:t>
      </w:r>
      <w:r w:rsidR="00ED34F3" w:rsidRPr="00B2562E">
        <w:t xml:space="preserve">trial were of the </w:t>
      </w:r>
      <w:r w:rsidR="0020161E">
        <w:t>view</w:t>
      </w:r>
      <w:r w:rsidR="00ED34F3" w:rsidRPr="00B2562E">
        <w:t xml:space="preserve"> that</w:t>
      </w:r>
      <w:r w:rsidR="0054134F">
        <w:t>,</w:t>
      </w:r>
      <w:r w:rsidR="00ED34F3" w:rsidRPr="00B2562E">
        <w:t xml:space="preserve"> had</w:t>
      </w:r>
      <w:r w:rsidR="00B0098C">
        <w:t xml:space="preserve"> it</w:t>
      </w:r>
      <w:r w:rsidR="00ED34F3" w:rsidRPr="00B2562E">
        <w:t xml:space="preserve"> been otherwise, </w:t>
      </w:r>
      <w:r w:rsidR="00B0098C">
        <w:t xml:space="preserve">the </w:t>
      </w:r>
      <w:r w:rsidR="00B0098C" w:rsidRPr="00B2562E">
        <w:t>addi</w:t>
      </w:r>
      <w:r w:rsidR="00B0098C">
        <w:t>tion of</w:t>
      </w:r>
      <w:r w:rsidR="00B0098C" w:rsidRPr="00B2562E">
        <w:t xml:space="preserve"> </w:t>
      </w:r>
      <w:r w:rsidR="00ED34F3" w:rsidRPr="00B2562E">
        <w:t xml:space="preserve">these two offences would not have changed the </w:t>
      </w:r>
      <w:r w:rsidR="00815A71" w:rsidRPr="00B2562E">
        <w:t>joint submission</w:t>
      </w:r>
      <w:r w:rsidR="0012455D" w:rsidRPr="00B2562E">
        <w:t xml:space="preserve"> </w:t>
      </w:r>
      <w:r w:rsidR="00ED2C12" w:rsidRPr="00B2562E">
        <w:t>and the sentence imposed would have been the same, because the acts were committed before the plea.</w:t>
      </w:r>
      <w:r w:rsidR="0012455D" w:rsidRPr="00B2562E">
        <w:t xml:space="preserve"> </w:t>
      </w:r>
    </w:p>
    <w:p w14:paraId="5049022D" w14:textId="4557594F" w:rsidR="0012455D" w:rsidRPr="00B2562E" w:rsidRDefault="0054134F" w:rsidP="000E174F">
      <w:pPr>
        <w:pStyle w:val="Paragraphe"/>
        <w:spacing w:line="280" w:lineRule="exact"/>
      </w:pPr>
      <w:r>
        <w:t>T</w:t>
      </w:r>
      <w:r w:rsidR="00184542" w:rsidRPr="00B2562E">
        <w:t xml:space="preserve">his reason, </w:t>
      </w:r>
      <w:r>
        <w:t xml:space="preserve">in addition to a </w:t>
      </w:r>
      <w:r w:rsidR="00184542" w:rsidRPr="00B2562E">
        <w:t xml:space="preserve">consideration </w:t>
      </w:r>
      <w:r w:rsidR="00A4050F">
        <w:t>of</w:t>
      </w:r>
      <w:r w:rsidR="00A4050F" w:rsidRPr="00B2562E">
        <w:t xml:space="preserve"> </w:t>
      </w:r>
      <w:r w:rsidR="00184542" w:rsidRPr="00B2562E">
        <w:t xml:space="preserve">detention conditions during the pandemic, the administrative </w:t>
      </w:r>
      <w:r w:rsidR="006D47E4" w:rsidRPr="00B2562E">
        <w:t>penalty</w:t>
      </w:r>
      <w:r w:rsidR="0012455D" w:rsidRPr="00B2562E">
        <w:t xml:space="preserve"> </w:t>
      </w:r>
      <w:r w:rsidR="00184542" w:rsidRPr="00B2562E">
        <w:t>imposed</w:t>
      </w:r>
      <w:r>
        <w:t>,</w:t>
      </w:r>
      <w:r w:rsidR="00184542" w:rsidRPr="00B2562E">
        <w:t xml:space="preserve"> and the </w:t>
      </w:r>
      <w:r w:rsidR="0012455D" w:rsidRPr="00B2562E">
        <w:t>psychiatri</w:t>
      </w:r>
      <w:r w:rsidR="00184542" w:rsidRPr="00B2562E">
        <w:t xml:space="preserve">c reports on the </w:t>
      </w:r>
      <w:r w:rsidR="009F013A" w:rsidRPr="00B2562E">
        <w:t>appellant</w:t>
      </w:r>
      <w:r w:rsidR="0012455D" w:rsidRPr="00B2562E">
        <w:t>,</w:t>
      </w:r>
      <w:r>
        <w:t xml:space="preserve"> led the</w:t>
      </w:r>
      <w:r w:rsidR="0012455D" w:rsidRPr="00B2562E">
        <w:t xml:space="preserve"> parties </w:t>
      </w:r>
      <w:r>
        <w:t xml:space="preserve">to </w:t>
      </w:r>
      <w:r w:rsidR="0012455D" w:rsidRPr="00B2562E">
        <w:t>propose</w:t>
      </w:r>
      <w:r w:rsidR="00184542" w:rsidRPr="00B2562E">
        <w:t xml:space="preserve"> a concurrent sentence of three months’ imprisonment.</w:t>
      </w:r>
      <w:r w:rsidR="0012455D" w:rsidRPr="00B2562E">
        <w:t xml:space="preserve"> </w:t>
      </w:r>
    </w:p>
    <w:p w14:paraId="1BE55722" w14:textId="3BF95D50" w:rsidR="0012455D" w:rsidRPr="00B2562E" w:rsidRDefault="006F1F52" w:rsidP="000E174F">
      <w:pPr>
        <w:pStyle w:val="Paragraphe"/>
        <w:spacing w:line="280" w:lineRule="exact"/>
      </w:pPr>
      <w:r>
        <w:lastRenderedPageBreak/>
        <w:t>O</w:t>
      </w:r>
      <w:r w:rsidR="00184542" w:rsidRPr="00B2562E">
        <w:t xml:space="preserve">n August 7, </w:t>
      </w:r>
      <w:r w:rsidR="0012455D" w:rsidRPr="00B2562E">
        <w:t xml:space="preserve">2020, </w:t>
      </w:r>
      <w:r w:rsidR="00184542" w:rsidRPr="00B2562E">
        <w:t xml:space="preserve">the day of the guilty plea, the judge </w:t>
      </w:r>
      <w:r>
        <w:t xml:space="preserve">for his part </w:t>
      </w:r>
      <w:r w:rsidR="00A4050F">
        <w:t>had</w:t>
      </w:r>
      <w:r w:rsidR="00184542" w:rsidRPr="00B2562E">
        <w:t xml:space="preserve"> reservations about the proposal.</w:t>
      </w:r>
      <w:r w:rsidR="0012455D" w:rsidRPr="00B2562E">
        <w:t xml:space="preserve"> </w:t>
      </w:r>
      <w:r w:rsidR="00DB38DF" w:rsidRPr="00B2562E">
        <w:t>He considered</w:t>
      </w:r>
      <w:r w:rsidR="00184542" w:rsidRPr="00B2562E">
        <w:t xml:space="preserve"> these offences </w:t>
      </w:r>
      <w:r w:rsidR="00DB38DF" w:rsidRPr="00B2562E">
        <w:t>un</w:t>
      </w:r>
      <w:r w:rsidR="00184542" w:rsidRPr="00B2562E">
        <w:t xml:space="preserve">related to the ones covered by the </w:t>
      </w:r>
      <w:r w:rsidR="009769F6" w:rsidRPr="00B2562E">
        <w:t>global sentence</w:t>
      </w:r>
      <w:r w:rsidR="00184542" w:rsidRPr="00B2562E">
        <w:t xml:space="preserve"> of April </w:t>
      </w:r>
      <w:r w:rsidR="0012455D" w:rsidRPr="00B2562E">
        <w:t>2020</w:t>
      </w:r>
      <w:r w:rsidR="00824727">
        <w:t>, which</w:t>
      </w:r>
      <w:r w:rsidR="00184542" w:rsidRPr="00B2562E">
        <w:t xml:space="preserve"> included </w:t>
      </w:r>
      <w:r w:rsidR="00824727">
        <w:t xml:space="preserve">offences of </w:t>
      </w:r>
      <w:r w:rsidR="00184542" w:rsidRPr="00B2562E">
        <w:t xml:space="preserve">theft and </w:t>
      </w:r>
      <w:r w:rsidR="00824727">
        <w:t>breach</w:t>
      </w:r>
      <w:r w:rsidR="00824727" w:rsidRPr="00B2562E">
        <w:t xml:space="preserve"> </w:t>
      </w:r>
      <w:r w:rsidR="00184542" w:rsidRPr="00B2562E">
        <w:t xml:space="preserve">of </w:t>
      </w:r>
      <w:r w:rsidR="0012455D" w:rsidRPr="00B2562E">
        <w:t>condition</w:t>
      </w:r>
      <w:r w:rsidR="00184542" w:rsidRPr="00B2562E">
        <w:t>s</w:t>
      </w:r>
      <w:r w:rsidR="0012455D" w:rsidRPr="00B2562E">
        <w:t xml:space="preserve">, </w:t>
      </w:r>
      <w:r w:rsidR="00184542" w:rsidRPr="00B2562E">
        <w:t>whereas the offences</w:t>
      </w:r>
      <w:r w:rsidR="00D260CC" w:rsidRPr="00B2562E">
        <w:t xml:space="preserve"> in question</w:t>
      </w:r>
      <w:r w:rsidR="00184542" w:rsidRPr="00B2562E">
        <w:t xml:space="preserve"> were mischief</w:t>
      </w:r>
      <w:r w:rsidR="00D260CC" w:rsidRPr="00B2562E">
        <w:t xml:space="preserve"> and </w:t>
      </w:r>
      <w:r w:rsidR="00824727">
        <w:t xml:space="preserve">uttering </w:t>
      </w:r>
      <w:r w:rsidR="00D260CC" w:rsidRPr="00B2562E">
        <w:t>death threats.</w:t>
      </w:r>
      <w:r>
        <w:t xml:space="preserve"> Accordingly</w:t>
      </w:r>
      <w:r w:rsidR="00D260CC" w:rsidRPr="00B2562E">
        <w:t>, the</w:t>
      </w:r>
      <w:r w:rsidR="0012455D" w:rsidRPr="00B2562E">
        <w:t xml:space="preserve"> </w:t>
      </w:r>
      <w:r w:rsidR="00A254E0" w:rsidRPr="00B2562E">
        <w:t>principle</w:t>
      </w:r>
      <w:r w:rsidR="0012455D" w:rsidRPr="00B2562E">
        <w:t xml:space="preserve"> </w:t>
      </w:r>
      <w:r w:rsidR="00D14C5F">
        <w:t>is</w:t>
      </w:r>
      <w:r w:rsidR="00D14C5F" w:rsidRPr="00B2562E">
        <w:t xml:space="preserve"> </w:t>
      </w:r>
      <w:r w:rsidR="00D260CC" w:rsidRPr="00B2562E">
        <w:t xml:space="preserve">that sentences </w:t>
      </w:r>
      <w:r w:rsidR="00D14C5F">
        <w:t>are</w:t>
      </w:r>
      <w:r w:rsidR="00D14C5F" w:rsidRPr="00B2562E">
        <w:t xml:space="preserve"> </w:t>
      </w:r>
      <w:r w:rsidR="0012455D" w:rsidRPr="00B2562E">
        <w:t>cons</w:t>
      </w:r>
      <w:r w:rsidR="00D260CC" w:rsidRPr="00B2562E">
        <w:t>e</w:t>
      </w:r>
      <w:r w:rsidR="0012455D" w:rsidRPr="00B2562E">
        <w:t>cutive</w:t>
      </w:r>
      <w:r w:rsidR="00D260CC" w:rsidRPr="00B2562E">
        <w:t xml:space="preserve"> and not </w:t>
      </w:r>
      <w:r w:rsidR="0012455D" w:rsidRPr="00B2562E">
        <w:t xml:space="preserve">concurrent. </w:t>
      </w:r>
      <w:r w:rsidR="00D260CC" w:rsidRPr="00B2562E">
        <w:t xml:space="preserve">He added that the </w:t>
      </w:r>
      <w:r w:rsidR="0070556D" w:rsidRPr="00B2562E">
        <w:t xml:space="preserve">appellant’s </w:t>
      </w:r>
      <w:r w:rsidR="00EB2006">
        <w:t>numerous prior convictions for</w:t>
      </w:r>
      <w:r w:rsidR="0016245D">
        <w:t xml:space="preserve"> such matters</w:t>
      </w:r>
      <w:r w:rsidR="0070556D" w:rsidRPr="00B2562E">
        <w:t xml:space="preserve"> was </w:t>
      </w:r>
      <w:r w:rsidR="0020161E">
        <w:t xml:space="preserve">of </w:t>
      </w:r>
      <w:r w:rsidR="0020161E" w:rsidRPr="00B2562E">
        <w:t>concern</w:t>
      </w:r>
      <w:r w:rsidR="0070556D" w:rsidRPr="00B2562E">
        <w:t xml:space="preserve"> and that the offences were even more serious </w:t>
      </w:r>
      <w:r w:rsidR="0016245D">
        <w:t>because they were</w:t>
      </w:r>
      <w:r w:rsidR="0070556D" w:rsidRPr="00B2562E">
        <w:t xml:space="preserve"> committed in a </w:t>
      </w:r>
      <w:r w:rsidR="0012455D" w:rsidRPr="00B2562E">
        <w:t>d</w:t>
      </w:r>
      <w:r w:rsidR="0070556D" w:rsidRPr="00B2562E">
        <w:t>e</w:t>
      </w:r>
      <w:r w:rsidR="0012455D" w:rsidRPr="00B2562E">
        <w:t>tention</w:t>
      </w:r>
      <w:r w:rsidR="0070556D" w:rsidRPr="00B2562E">
        <w:t xml:space="preserve"> centre</w:t>
      </w:r>
      <w:r w:rsidR="0012455D" w:rsidRPr="00B2562E">
        <w:t xml:space="preserve"> </w:t>
      </w:r>
      <w:r w:rsidR="0070556D" w:rsidRPr="00B2562E">
        <w:t xml:space="preserve">against </w:t>
      </w:r>
      <w:r w:rsidR="00CF7293" w:rsidRPr="00B2562E">
        <w:t xml:space="preserve">actors in the </w:t>
      </w:r>
      <w:r w:rsidR="0012455D" w:rsidRPr="00B2562E">
        <w:t>justice</w:t>
      </w:r>
      <w:r w:rsidR="00CF7293" w:rsidRPr="00B2562E">
        <w:t xml:space="preserve"> system</w:t>
      </w:r>
      <w:r>
        <w:t>,</w:t>
      </w:r>
      <w:r w:rsidR="00CF7293" w:rsidRPr="00B2562E">
        <w:t xml:space="preserve"> while </w:t>
      </w:r>
      <w:r w:rsidR="009F013A" w:rsidRPr="00B2562E">
        <w:t>the appellant</w:t>
      </w:r>
      <w:r w:rsidR="0012455D" w:rsidRPr="00B2562E">
        <w:t xml:space="preserve"> </w:t>
      </w:r>
      <w:r w:rsidR="00CF7293" w:rsidRPr="00B2562E">
        <w:t xml:space="preserve">was on </w:t>
      </w:r>
      <w:r w:rsidR="0012455D" w:rsidRPr="00B2562E">
        <w:t xml:space="preserve">probation </w:t>
      </w:r>
      <w:r w:rsidR="00CF7293" w:rsidRPr="00B2562E">
        <w:t xml:space="preserve">for similar acts. For these reasons, the judge considered the proposed sentence to be contrary to </w:t>
      </w:r>
      <w:r w:rsidR="00DB38DF" w:rsidRPr="00B2562E">
        <w:t xml:space="preserve">the </w:t>
      </w:r>
      <w:r w:rsidR="00CF7293" w:rsidRPr="00B2562E">
        <w:t>public interest.</w:t>
      </w:r>
      <w:r w:rsidR="0012455D" w:rsidRPr="00B2562E">
        <w:t xml:space="preserve"> </w:t>
      </w:r>
    </w:p>
    <w:p w14:paraId="484C8493" w14:textId="4A15A966" w:rsidR="0012455D" w:rsidRPr="00B2562E" w:rsidRDefault="0012455D" w:rsidP="000E174F">
      <w:pPr>
        <w:pStyle w:val="Paragraphe"/>
        <w:spacing w:line="280" w:lineRule="exact"/>
      </w:pPr>
      <w:r w:rsidRPr="00B2562E">
        <w:t>A</w:t>
      </w:r>
      <w:r w:rsidR="00CE0F5D" w:rsidRPr="00B2562E">
        <w:t xml:space="preserve">fter the guilty plea, the judge </w:t>
      </w:r>
      <w:r w:rsidR="0016245D">
        <w:t>told</w:t>
      </w:r>
      <w:r w:rsidR="00CE0F5D" w:rsidRPr="00B2562E">
        <w:t xml:space="preserve"> the </w:t>
      </w:r>
      <w:r w:rsidRPr="00B2562E">
        <w:t xml:space="preserve">parties </w:t>
      </w:r>
      <w:r w:rsidR="00CE0F5D" w:rsidRPr="00B2562E">
        <w:t xml:space="preserve">that the </w:t>
      </w:r>
      <w:r w:rsidR="00815A71" w:rsidRPr="00B2562E">
        <w:t>joint submission</w:t>
      </w:r>
      <w:r w:rsidRPr="00B2562E">
        <w:t xml:space="preserve"> </w:t>
      </w:r>
      <w:r w:rsidR="00CE0F5D" w:rsidRPr="00B2562E">
        <w:t xml:space="preserve">was too </w:t>
      </w:r>
      <w:r w:rsidR="00A17266" w:rsidRPr="00B2562E">
        <w:t>lenient</w:t>
      </w:r>
      <w:r w:rsidR="00CE0F5D" w:rsidRPr="00B2562E">
        <w:t xml:space="preserve">, especially because of the number and </w:t>
      </w:r>
      <w:r w:rsidRPr="00B2562E">
        <w:t xml:space="preserve">nature </w:t>
      </w:r>
      <w:r w:rsidR="00CE0F5D" w:rsidRPr="00B2562E">
        <w:t xml:space="preserve">of the appellant’s </w:t>
      </w:r>
      <w:r w:rsidR="00EB2006">
        <w:t>prior</w:t>
      </w:r>
      <w:r w:rsidR="00EB2006" w:rsidRPr="00B2562E">
        <w:t xml:space="preserve"> </w:t>
      </w:r>
      <w:r w:rsidR="00EB2006">
        <w:t>convictions</w:t>
      </w:r>
      <w:r w:rsidR="00CE0F5D" w:rsidRPr="00B2562E">
        <w:t>.</w:t>
      </w:r>
      <w:r w:rsidRPr="00B2562E">
        <w:t xml:space="preserve"> </w:t>
      </w:r>
      <w:r w:rsidR="00CE0F5D" w:rsidRPr="00B2562E">
        <w:t xml:space="preserve">Following the proper procedure indicated by the Supreme Court in </w:t>
      </w:r>
      <w:r w:rsidRPr="00B2562E">
        <w:rPr>
          <w:i/>
        </w:rPr>
        <w:t>Anthony-Cook</w:t>
      </w:r>
      <w:r w:rsidRPr="00B2562E">
        <w:t xml:space="preserve">, </w:t>
      </w:r>
      <w:r w:rsidR="00CE0F5D" w:rsidRPr="00B2562E">
        <w:t xml:space="preserve">he continued the hearing on a later date to hear the parties’ </w:t>
      </w:r>
      <w:r w:rsidR="008E5A7C">
        <w:t>submissions</w:t>
      </w:r>
      <w:r w:rsidR="008E5A7C" w:rsidRPr="00B2562E">
        <w:t xml:space="preserve"> </w:t>
      </w:r>
      <w:r w:rsidR="00CE0F5D" w:rsidRPr="00B2562E">
        <w:t xml:space="preserve">on a longer sentence </w:t>
      </w:r>
      <w:r w:rsidRPr="00B2562E">
        <w:t>cons</w:t>
      </w:r>
      <w:r w:rsidR="00CE0F5D" w:rsidRPr="00B2562E">
        <w:t>e</w:t>
      </w:r>
      <w:r w:rsidRPr="00B2562E">
        <w:t xml:space="preserve">cutive </w:t>
      </w:r>
      <w:r w:rsidR="00CE0F5D" w:rsidRPr="00B2562E">
        <w:t>to all the sentences already i</w:t>
      </w:r>
      <w:r w:rsidR="00A254E0" w:rsidRPr="00B2562E">
        <w:t>mposed</w:t>
      </w:r>
      <w:r w:rsidR="00CE0F5D" w:rsidRPr="00B2562E">
        <w:t>.</w:t>
      </w:r>
      <w:r w:rsidRPr="00B2562E">
        <w:t xml:space="preserve"> </w:t>
      </w:r>
    </w:p>
    <w:p w14:paraId="3A86D159" w14:textId="710F7372" w:rsidR="0012455D" w:rsidRPr="00B2562E" w:rsidRDefault="007F69CA" w:rsidP="000E174F">
      <w:pPr>
        <w:pStyle w:val="Paragraphe"/>
        <w:spacing w:line="280" w:lineRule="exact"/>
      </w:pPr>
      <w:r w:rsidRPr="00B2562E">
        <w:t xml:space="preserve">Counsel for </w:t>
      </w:r>
      <w:r w:rsidR="009F013A" w:rsidRPr="00B2562E">
        <w:t>the appellant</w:t>
      </w:r>
      <w:r w:rsidR="0012455D" w:rsidRPr="00B2562E">
        <w:t xml:space="preserve"> </w:t>
      </w:r>
      <w:r w:rsidRPr="00B2562E">
        <w:t xml:space="preserve">argued that the </w:t>
      </w:r>
      <w:r w:rsidR="00815A71" w:rsidRPr="00B2562E">
        <w:t>joint submission</w:t>
      </w:r>
      <w:r w:rsidR="0012455D" w:rsidRPr="00B2562E">
        <w:t xml:space="preserve"> </w:t>
      </w:r>
      <w:r w:rsidRPr="00B2562E">
        <w:t xml:space="preserve">was negotiated by two experienced </w:t>
      </w:r>
      <w:r w:rsidR="0012455D" w:rsidRPr="00B2562E">
        <w:t>crimin</w:t>
      </w:r>
      <w:r w:rsidR="008402DB" w:rsidRPr="00B2562E">
        <w:t xml:space="preserve">al law experts and that, moreover, the </w:t>
      </w:r>
      <w:r w:rsidR="0012455D" w:rsidRPr="00B2562E">
        <w:t xml:space="preserve">parties </w:t>
      </w:r>
      <w:r w:rsidR="008402DB" w:rsidRPr="00B2562E">
        <w:t>had agreed that</w:t>
      </w:r>
      <w:r w:rsidR="006F1F52">
        <w:t>,</w:t>
      </w:r>
      <w:r w:rsidR="008402DB" w:rsidRPr="00B2562E">
        <w:t xml:space="preserve"> according to the</w:t>
      </w:r>
      <w:r w:rsidR="009D5C80" w:rsidRPr="00B2562E">
        <w:t xml:space="preserve"> totality principle</w:t>
      </w:r>
      <w:r w:rsidR="0012455D" w:rsidRPr="00B2562E">
        <w:t xml:space="preserve">, </w:t>
      </w:r>
      <w:r w:rsidR="008402DB" w:rsidRPr="00B2562E">
        <w:t xml:space="preserve">the </w:t>
      </w:r>
      <w:r w:rsidR="009769F6" w:rsidRPr="00B2562E">
        <w:t>global sentence</w:t>
      </w:r>
      <w:r w:rsidR="008402DB" w:rsidRPr="00B2562E">
        <w:t xml:space="preserve"> would have remained the </w:t>
      </w:r>
      <w:r w:rsidR="009D5C80" w:rsidRPr="00B2562E">
        <w:t>s</w:t>
      </w:r>
      <w:r w:rsidR="008402DB" w:rsidRPr="00B2562E">
        <w:t xml:space="preserve">ame if </w:t>
      </w:r>
      <w:r w:rsidR="006F1F52">
        <w:t>the two</w:t>
      </w:r>
      <w:r w:rsidR="00A254E0" w:rsidRPr="00B2562E">
        <w:t xml:space="preserve"> </w:t>
      </w:r>
      <w:r w:rsidR="008402DB" w:rsidRPr="00B2562E">
        <w:t xml:space="preserve">counts had been taken into </w:t>
      </w:r>
      <w:r w:rsidR="0012455D" w:rsidRPr="00B2562E">
        <w:t>consid</w:t>
      </w:r>
      <w:r w:rsidR="008402DB" w:rsidRPr="00B2562E">
        <w:t>e</w:t>
      </w:r>
      <w:r w:rsidR="0012455D" w:rsidRPr="00B2562E">
        <w:t xml:space="preserve">ration </w:t>
      </w:r>
      <w:r w:rsidR="006F1F52">
        <w:t>when resolving</w:t>
      </w:r>
      <w:r w:rsidR="008402DB" w:rsidRPr="00B2562E">
        <w:t xml:space="preserve"> the other files.</w:t>
      </w:r>
      <w:r w:rsidR="0012455D" w:rsidRPr="00B2562E">
        <w:t xml:space="preserve"> </w:t>
      </w:r>
      <w:r w:rsidR="008402DB" w:rsidRPr="00B2562E">
        <w:t xml:space="preserve">During these </w:t>
      </w:r>
      <w:r w:rsidR="008E5A7C">
        <w:t>submissions</w:t>
      </w:r>
      <w:r w:rsidR="0012455D" w:rsidRPr="00B2562E">
        <w:t xml:space="preserve">, </w:t>
      </w:r>
      <w:r w:rsidR="008402DB" w:rsidRPr="00B2562E">
        <w:t xml:space="preserve">the respondent never </w:t>
      </w:r>
      <w:r w:rsidR="00110356" w:rsidRPr="00B2562E">
        <w:t>departed</w:t>
      </w:r>
      <w:r w:rsidR="008402DB" w:rsidRPr="00B2562E">
        <w:t xml:space="preserve"> from the </w:t>
      </w:r>
      <w:r w:rsidR="00815A71" w:rsidRPr="00B2562E">
        <w:t>joint submission</w:t>
      </w:r>
      <w:r w:rsidR="0012455D" w:rsidRPr="00B2562E">
        <w:t xml:space="preserve">. </w:t>
      </w:r>
      <w:r w:rsidR="008402DB" w:rsidRPr="00B2562E">
        <w:t xml:space="preserve">In short, the respondent maintained throughout that the </w:t>
      </w:r>
      <w:r w:rsidR="00815A71" w:rsidRPr="00B2562E">
        <w:t>joint submission</w:t>
      </w:r>
      <w:r w:rsidR="0012455D" w:rsidRPr="00B2562E">
        <w:t xml:space="preserve"> </w:t>
      </w:r>
      <w:r w:rsidR="008402DB" w:rsidRPr="00B2562E">
        <w:t>was in the public interest.</w:t>
      </w:r>
      <w:r w:rsidR="0012455D" w:rsidRPr="00B2562E">
        <w:t xml:space="preserve"> </w:t>
      </w:r>
    </w:p>
    <w:p w14:paraId="611A03EB" w14:textId="0330DD89" w:rsidR="0012455D" w:rsidRPr="00B2562E" w:rsidRDefault="00E32941" w:rsidP="000E174F">
      <w:pPr>
        <w:pStyle w:val="Paragraphe"/>
        <w:spacing w:line="280" w:lineRule="exact"/>
      </w:pPr>
      <w:r w:rsidRPr="00B2562E">
        <w:t xml:space="preserve">As mentioned previously, the judge identified the </w:t>
      </w:r>
      <w:r w:rsidR="0012455D" w:rsidRPr="00B2562E">
        <w:t>princip</w:t>
      </w:r>
      <w:r w:rsidRPr="00B2562E">
        <w:t>l</w:t>
      </w:r>
      <w:r w:rsidR="0012455D" w:rsidRPr="00B2562E">
        <w:t>es applicable</w:t>
      </w:r>
      <w:r w:rsidRPr="00B2562E">
        <w:t xml:space="preserve"> in </w:t>
      </w:r>
      <w:r w:rsidR="008E5A7C">
        <w:t>this</w:t>
      </w:r>
      <w:r w:rsidRPr="00B2562E">
        <w:t xml:space="preserve"> case so as to closely follow the Supreme Court’s teaching</w:t>
      </w:r>
      <w:r w:rsidR="008E5A7C">
        <w:t>s</w:t>
      </w:r>
      <w:r w:rsidRPr="00B2562E">
        <w:t xml:space="preserve"> in </w:t>
      </w:r>
      <w:r w:rsidR="0012455D" w:rsidRPr="00B2562E">
        <w:rPr>
          <w:i/>
        </w:rPr>
        <w:t>Anthony-Cook</w:t>
      </w:r>
      <w:r w:rsidR="0012455D" w:rsidRPr="00B2562E">
        <w:t xml:space="preserve">. </w:t>
      </w:r>
      <w:r w:rsidRPr="00B2562E">
        <w:t xml:space="preserve">He </w:t>
      </w:r>
      <w:r w:rsidR="008E5A7C" w:rsidRPr="00B2562E">
        <w:t>acknowledge</w:t>
      </w:r>
      <w:r w:rsidR="008E5A7C">
        <w:t>d</w:t>
      </w:r>
      <w:r w:rsidR="008E5A7C" w:rsidRPr="00B2562E">
        <w:t xml:space="preserve"> </w:t>
      </w:r>
      <w:r w:rsidRPr="00B2562E">
        <w:t xml:space="preserve">that the </w:t>
      </w:r>
      <w:r w:rsidR="00815A71" w:rsidRPr="00B2562E">
        <w:t>joint submission</w:t>
      </w:r>
      <w:r w:rsidR="0012455D" w:rsidRPr="00B2562E">
        <w:t xml:space="preserve"> </w:t>
      </w:r>
      <w:r w:rsidRPr="00B2562E">
        <w:t xml:space="preserve">is an essential element in the sound </w:t>
      </w:r>
      <w:r w:rsidR="0012455D" w:rsidRPr="00B2562E">
        <w:t xml:space="preserve">administration </w:t>
      </w:r>
      <w:r w:rsidRPr="00B2562E">
        <w:t xml:space="preserve">of criminal and penal </w:t>
      </w:r>
      <w:r w:rsidR="0012455D" w:rsidRPr="00B2562E">
        <w:t xml:space="preserve">justice. </w:t>
      </w:r>
      <w:r w:rsidRPr="00B2562E">
        <w:t xml:space="preserve">He also followed the </w:t>
      </w:r>
      <w:r w:rsidR="0012455D" w:rsidRPr="00B2562E">
        <w:t>proc</w:t>
      </w:r>
      <w:r w:rsidRPr="00B2562E">
        <w:t>e</w:t>
      </w:r>
      <w:r w:rsidR="0012455D" w:rsidRPr="00B2562E">
        <w:t xml:space="preserve">dure </w:t>
      </w:r>
      <w:r w:rsidRPr="00B2562E">
        <w:t xml:space="preserve">recommended by the </w:t>
      </w:r>
      <w:r w:rsidR="0012455D" w:rsidRPr="00B2562E">
        <w:t>Cour</w:t>
      </w:r>
      <w:r w:rsidRPr="00B2562E">
        <w:t>t</w:t>
      </w:r>
      <w:r w:rsidR="0012455D" w:rsidRPr="00B2562E">
        <w:t xml:space="preserve"> </w:t>
      </w:r>
      <w:r w:rsidRPr="00B2562E">
        <w:t xml:space="preserve">in a </w:t>
      </w:r>
      <w:r w:rsidR="00630219">
        <w:t>case where</w:t>
      </w:r>
      <w:r w:rsidRPr="00B2562E">
        <w:t xml:space="preserve"> the judge </w:t>
      </w:r>
      <w:r w:rsidR="00630219">
        <w:t>considers</w:t>
      </w:r>
      <w:r w:rsidR="00C147C2" w:rsidRPr="00B2562E">
        <w:t xml:space="preserve"> </w:t>
      </w:r>
      <w:r w:rsidRPr="00B2562E">
        <w:t xml:space="preserve">rejecting the </w:t>
      </w:r>
      <w:r w:rsidR="00815A71" w:rsidRPr="00B2562E">
        <w:t>joint submission</w:t>
      </w:r>
      <w:r w:rsidR="0012455D" w:rsidRPr="00B2562E">
        <w:t xml:space="preserve">. </w:t>
      </w:r>
      <w:r w:rsidRPr="00B2562E">
        <w:t xml:space="preserve">Only the </w:t>
      </w:r>
      <w:r w:rsidR="0012455D" w:rsidRPr="00B2562E">
        <w:t xml:space="preserve">application </w:t>
      </w:r>
      <w:r w:rsidRPr="00B2562E">
        <w:t xml:space="preserve">of these </w:t>
      </w:r>
      <w:r w:rsidR="0012455D" w:rsidRPr="00B2562E">
        <w:t xml:space="preserve">concepts </w:t>
      </w:r>
      <w:r w:rsidRPr="00B2562E">
        <w:t xml:space="preserve">is </w:t>
      </w:r>
      <w:r w:rsidR="008E5A7C">
        <w:t>at issue</w:t>
      </w:r>
      <w:r w:rsidRPr="00B2562E">
        <w:t xml:space="preserve"> before this </w:t>
      </w:r>
      <w:r w:rsidR="0012455D" w:rsidRPr="00B2562E">
        <w:t>Cour</w:t>
      </w:r>
      <w:r w:rsidRPr="00B2562E">
        <w:t>t</w:t>
      </w:r>
      <w:r w:rsidR="0012455D" w:rsidRPr="00B2562E">
        <w:t>.</w:t>
      </w:r>
    </w:p>
    <w:p w14:paraId="3E153E3D" w14:textId="40AC780E" w:rsidR="0012455D" w:rsidRPr="00B2562E" w:rsidRDefault="0012455D" w:rsidP="000E174F">
      <w:pPr>
        <w:pStyle w:val="Titre2"/>
      </w:pPr>
      <w:r w:rsidRPr="00B2562E">
        <w:t>B.</w:t>
      </w:r>
      <w:r w:rsidRPr="00B2562E">
        <w:tab/>
      </w:r>
      <w:r w:rsidR="00963295" w:rsidRPr="00B2562E">
        <w:t>C</w:t>
      </w:r>
      <w:r w:rsidRPr="00B2562E">
        <w:t xml:space="preserve">ontradiction </w:t>
      </w:r>
      <w:r w:rsidR="00963295" w:rsidRPr="00B2562E">
        <w:t>of the respondent</w:t>
      </w:r>
    </w:p>
    <w:p w14:paraId="50018B44" w14:textId="37F831A7" w:rsidR="0012455D" w:rsidRPr="00B2562E" w:rsidRDefault="00511BBB" w:rsidP="000E174F">
      <w:pPr>
        <w:pStyle w:val="Paragraphe"/>
        <w:spacing w:line="280" w:lineRule="exact"/>
      </w:pPr>
      <w:r w:rsidRPr="00B2562E">
        <w:t>Before I comment on the judge’s reasons,</w:t>
      </w:r>
      <w:r w:rsidR="0012455D" w:rsidRPr="00B2562E">
        <w:t xml:space="preserve"> i</w:t>
      </w:r>
      <w:r w:rsidRPr="00B2562E">
        <w:t xml:space="preserve">t must be noted that the respondent </w:t>
      </w:r>
      <w:r w:rsidR="00A7251A" w:rsidRPr="00B2562E">
        <w:t xml:space="preserve">claims before this </w:t>
      </w:r>
      <w:r w:rsidR="008E5A7C">
        <w:t>C</w:t>
      </w:r>
      <w:r w:rsidR="008E5A7C" w:rsidRPr="00B2562E">
        <w:t xml:space="preserve">ourt </w:t>
      </w:r>
      <w:r w:rsidR="00A7251A" w:rsidRPr="00B2562E">
        <w:t>that his position</w:t>
      </w:r>
      <w:r w:rsidR="0012455D" w:rsidRPr="00B2562E">
        <w:t xml:space="preserve"> </w:t>
      </w:r>
      <w:r w:rsidR="00A7251A" w:rsidRPr="00B2562E">
        <w:t>[</w:t>
      </w:r>
      <w:r w:rsidR="00A7251A" w:rsidRPr="00B2562E">
        <w:rPr>
          <w:smallCaps/>
        </w:rPr>
        <w:t>translation</w:t>
      </w:r>
      <w:r w:rsidR="00A7251A" w:rsidRPr="00B2562E">
        <w:t xml:space="preserve">] </w:t>
      </w:r>
      <w:r w:rsidR="00B02C38" w:rsidRPr="00B2562E">
        <w:t>“</w:t>
      </w:r>
      <w:r w:rsidR="00630219">
        <w:t xml:space="preserve">does not </w:t>
      </w:r>
      <w:r w:rsidR="00A7251A" w:rsidRPr="00B2562E">
        <w:t>repudiate the joint submission presented to the trial judge</w:t>
      </w:r>
      <w:r w:rsidR="0012455D" w:rsidRPr="00B2562E">
        <w:t>.</w:t>
      </w:r>
      <w:r w:rsidR="00676B95" w:rsidRPr="00B2562E">
        <w:t>”</w:t>
      </w:r>
      <w:r w:rsidR="0012455D" w:rsidRPr="00B2562E">
        <w:t xml:space="preserve"> </w:t>
      </w:r>
      <w:r w:rsidR="00630219">
        <w:t xml:space="preserve">Rather, it holds that </w:t>
      </w:r>
      <w:r w:rsidR="00A7251A" w:rsidRPr="00B2562E">
        <w:t>the judge [</w:t>
      </w:r>
      <w:r w:rsidR="00A7251A" w:rsidRPr="00B2562E">
        <w:rPr>
          <w:smallCaps/>
        </w:rPr>
        <w:t>translation</w:t>
      </w:r>
      <w:r w:rsidR="00A7251A" w:rsidRPr="00B2562E">
        <w:t xml:space="preserve">] </w:t>
      </w:r>
      <w:r w:rsidR="00B02C38" w:rsidRPr="00B2562E">
        <w:t>“</w:t>
      </w:r>
      <w:r w:rsidR="00A7251A" w:rsidRPr="00B2562E">
        <w:t xml:space="preserve">did not commit a reviewable error </w:t>
      </w:r>
      <w:r w:rsidR="008E5A7C">
        <w:t>in</w:t>
      </w:r>
      <w:r w:rsidR="008E5A7C" w:rsidRPr="00B2562E">
        <w:t xml:space="preserve"> </w:t>
      </w:r>
      <w:r w:rsidR="00A7251A" w:rsidRPr="00B2562E">
        <w:t xml:space="preserve">rejecting the joint submission of the </w:t>
      </w:r>
      <w:r w:rsidR="0012455D" w:rsidRPr="00B2562E">
        <w:t>parties.</w:t>
      </w:r>
      <w:r w:rsidR="00676B95" w:rsidRPr="00B2562E">
        <w:t>”</w:t>
      </w:r>
      <w:r w:rsidR="0012455D" w:rsidRPr="00B2562E">
        <w:t xml:space="preserve"> </w:t>
      </w:r>
      <w:r w:rsidR="00A7251A" w:rsidRPr="00B2562E">
        <w:t xml:space="preserve">At the hearing, the respondent maintained this </w:t>
      </w:r>
      <w:r w:rsidR="0012455D" w:rsidRPr="00B2562E">
        <w:t xml:space="preserve">position. </w:t>
      </w:r>
      <w:r w:rsidR="00630219">
        <w:t>It is clear that these</w:t>
      </w:r>
      <w:r w:rsidR="00A7251A" w:rsidRPr="00B2562E">
        <w:t xml:space="preserve"> two statements are </w:t>
      </w:r>
      <w:r w:rsidR="0012455D" w:rsidRPr="00B2562E">
        <w:t>irr</w:t>
      </w:r>
      <w:r w:rsidR="00A7251A" w:rsidRPr="00B2562E">
        <w:t>e</w:t>
      </w:r>
      <w:r w:rsidR="0012455D" w:rsidRPr="00B2562E">
        <w:t>concilable</w:t>
      </w:r>
      <w:r w:rsidR="00630219">
        <w:t>,</w:t>
      </w:r>
      <w:r w:rsidR="00A7251A" w:rsidRPr="00B2562E">
        <w:t xml:space="preserve"> </w:t>
      </w:r>
      <w:r w:rsidR="00630219">
        <w:t xml:space="preserve">unless we are to say that the </w:t>
      </w:r>
      <w:r w:rsidR="00A7251A" w:rsidRPr="00B2562E">
        <w:t>respondent’s position at trial was without merit.</w:t>
      </w:r>
      <w:r w:rsidR="0012455D" w:rsidRPr="00B2562E">
        <w:t xml:space="preserve"> </w:t>
      </w:r>
      <w:r w:rsidR="00A7251A" w:rsidRPr="00B2562E">
        <w:t xml:space="preserve">They are </w:t>
      </w:r>
      <w:r w:rsidR="0012455D" w:rsidRPr="00B2562E">
        <w:t>irr</w:t>
      </w:r>
      <w:r w:rsidR="00A7251A" w:rsidRPr="00B2562E">
        <w:t>e</w:t>
      </w:r>
      <w:r w:rsidR="0012455D" w:rsidRPr="00B2562E">
        <w:t>concilable</w:t>
      </w:r>
      <w:r w:rsidR="00A7251A" w:rsidRPr="00B2562E">
        <w:t xml:space="preserve"> because the respondent cannot maintain his </w:t>
      </w:r>
      <w:r w:rsidR="0012455D" w:rsidRPr="00B2562E">
        <w:t xml:space="preserve">position </w:t>
      </w:r>
      <w:r w:rsidR="00A7251A" w:rsidRPr="00B2562E">
        <w:t>on appeal without stating that</w:t>
      </w:r>
      <w:r w:rsidR="00F819EB">
        <w:t>,</w:t>
      </w:r>
      <w:r w:rsidR="00A7251A" w:rsidRPr="00B2562E">
        <w:t xml:space="preserve"> if the judge was not wrong in re</w:t>
      </w:r>
      <w:r w:rsidR="00A254E0" w:rsidRPr="00B2562E">
        <w:t>jecting</w:t>
      </w:r>
      <w:r w:rsidR="00A7251A" w:rsidRPr="00B2562E">
        <w:t xml:space="preserve"> the </w:t>
      </w:r>
      <w:r w:rsidR="00815A71" w:rsidRPr="00B2562E">
        <w:t>joint submission</w:t>
      </w:r>
      <w:r w:rsidR="0012455D" w:rsidRPr="00B2562E">
        <w:t xml:space="preserve">, </w:t>
      </w:r>
      <w:r w:rsidR="00A7251A" w:rsidRPr="00B2562E">
        <w:t xml:space="preserve">this submission was </w:t>
      </w:r>
      <w:r w:rsidR="00F819EB">
        <w:t xml:space="preserve">by definition </w:t>
      </w:r>
      <w:r w:rsidR="00A7251A" w:rsidRPr="00B2562E">
        <w:t>likely to under</w:t>
      </w:r>
      <w:r w:rsidR="0012455D" w:rsidRPr="00B2562E">
        <w:t>mine</w:t>
      </w:r>
      <w:r w:rsidR="00A7251A" w:rsidRPr="00B2562E">
        <w:t xml:space="preserve"> public confidence in the </w:t>
      </w:r>
      <w:r w:rsidR="0012455D" w:rsidRPr="00B2562E">
        <w:t xml:space="preserve">administration </w:t>
      </w:r>
      <w:r w:rsidR="00A7251A" w:rsidRPr="00B2562E">
        <w:t xml:space="preserve">of </w:t>
      </w:r>
      <w:r w:rsidR="0012455D" w:rsidRPr="00B2562E">
        <w:t xml:space="preserve">justice </w:t>
      </w:r>
      <w:r w:rsidR="00702B90" w:rsidRPr="00B2562E">
        <w:t>and was contrary to the public interest.</w:t>
      </w:r>
      <w:r w:rsidR="0012455D" w:rsidRPr="00B2562E">
        <w:t xml:space="preserve"> </w:t>
      </w:r>
      <w:r w:rsidR="00702B90" w:rsidRPr="00B2562E">
        <w:t xml:space="preserve">The respondent’s </w:t>
      </w:r>
      <w:r w:rsidR="00702B90" w:rsidRPr="00B2562E">
        <w:lastRenderedPageBreak/>
        <w:t xml:space="preserve">compromising </w:t>
      </w:r>
      <w:r w:rsidR="0012455D" w:rsidRPr="00B2562E">
        <w:t xml:space="preserve">position </w:t>
      </w:r>
      <w:r w:rsidR="00702B90" w:rsidRPr="00B2562E">
        <w:t xml:space="preserve">has already been the subject of comments by the Court in </w:t>
      </w:r>
      <w:r w:rsidR="0012455D" w:rsidRPr="00B2562E">
        <w:rPr>
          <w:i/>
        </w:rPr>
        <w:t>Baptiste</w:t>
      </w:r>
      <w:r w:rsidR="0012455D" w:rsidRPr="00B2562E">
        <w:t>:</w:t>
      </w:r>
    </w:p>
    <w:p w14:paraId="66489920" w14:textId="77777777" w:rsidR="0012455D" w:rsidRPr="001335CE" w:rsidRDefault="0012455D" w:rsidP="000E174F">
      <w:pPr>
        <w:pStyle w:val="Citationenretrait"/>
        <w:rPr>
          <w:lang w:eastAsia="fr-CA"/>
        </w:rPr>
      </w:pPr>
      <w:r w:rsidRPr="0039763F">
        <w:rPr>
          <w:lang w:eastAsia="fr-CA"/>
        </w:rPr>
        <w:t>[</w:t>
      </w:r>
      <w:bookmarkStart w:id="34" w:name="par84"/>
      <w:r w:rsidRPr="001335CE">
        <w:rPr>
          <w:lang w:eastAsia="fr-CA"/>
        </w:rPr>
        <w:t>84</w:t>
      </w:r>
      <w:bookmarkEnd w:id="34"/>
      <w:r w:rsidRPr="001335CE">
        <w:rPr>
          <w:lang w:eastAsia="fr-CA"/>
        </w:rPr>
        <w:t>]</w:t>
      </w:r>
      <w:r w:rsidRPr="001335CE">
        <w:rPr>
          <w:lang w:eastAsia="fr-CA"/>
        </w:rPr>
        <w:tab/>
        <w:t xml:space="preserve">For the past 50 years, our Court has consistently held that the Crown may only repudiate its position on a sentence appeal in exceptional circumstances. </w:t>
      </w:r>
    </w:p>
    <w:p w14:paraId="0A275046" w14:textId="77777777" w:rsidR="0012455D" w:rsidRPr="001335CE" w:rsidRDefault="0012455D" w:rsidP="000E174F">
      <w:pPr>
        <w:pStyle w:val="Citationenretrait"/>
        <w:rPr>
          <w:lang w:eastAsia="fr-CA"/>
        </w:rPr>
      </w:pPr>
      <w:r w:rsidRPr="001335CE">
        <w:rPr>
          <w:lang w:eastAsia="fr-CA"/>
        </w:rPr>
        <w:t>[</w:t>
      </w:r>
      <w:bookmarkStart w:id="35" w:name="par85"/>
      <w:r w:rsidRPr="001335CE">
        <w:rPr>
          <w:lang w:eastAsia="fr-CA"/>
        </w:rPr>
        <w:t>85</w:t>
      </w:r>
      <w:bookmarkEnd w:id="35"/>
      <w:r w:rsidRPr="001335CE">
        <w:rPr>
          <w:lang w:eastAsia="fr-CA"/>
        </w:rPr>
        <w:t>]</w:t>
      </w:r>
      <w:r w:rsidRPr="001335CE">
        <w:rPr>
          <w:lang w:eastAsia="fr-CA"/>
        </w:rPr>
        <w:tab/>
        <w:t>This area of the law was handily summarized in </w:t>
      </w:r>
      <w:r w:rsidRPr="001335CE">
        <w:rPr>
          <w:i/>
          <w:iCs/>
          <w:lang w:eastAsia="fr-CA"/>
        </w:rPr>
        <w:t>R. v. S.(H.)</w:t>
      </w:r>
      <w:r w:rsidRPr="001335CE">
        <w:rPr>
          <w:lang w:eastAsia="fr-CA"/>
        </w:rPr>
        <w:t xml:space="preserve">: </w:t>
      </w:r>
    </w:p>
    <w:p w14:paraId="213F3345" w14:textId="150B9055" w:rsidR="0012455D" w:rsidRPr="001335CE" w:rsidRDefault="0012455D" w:rsidP="000E174F">
      <w:pPr>
        <w:pStyle w:val="Citationenretrait"/>
        <w:ind w:left="1440"/>
        <w:rPr>
          <w:sz w:val="20"/>
          <w:lang w:eastAsia="fr-CA"/>
        </w:rPr>
      </w:pPr>
      <w:r w:rsidRPr="001335CE">
        <w:rPr>
          <w:sz w:val="20"/>
          <w:lang w:eastAsia="fr-CA"/>
        </w:rPr>
        <w:t>[59]</w:t>
      </w:r>
      <w:r w:rsidRPr="001335CE">
        <w:rPr>
          <w:sz w:val="20"/>
          <w:lang w:eastAsia="fr-CA"/>
        </w:rPr>
        <w:tab/>
        <w:t>… While there is no rule or principle that precludes the Crown from repudiating its position taken at trial, jurisprudence has established that it may only be done in exceptional circumstances - where it can be shown that the public interest in the orderly administration of justice is outweighed by the gravity of the crime and the gross insufficiency of the sentence: See </w:t>
      </w:r>
      <w:r w:rsidRPr="001335CE">
        <w:rPr>
          <w:i/>
          <w:iCs/>
          <w:sz w:val="20"/>
          <w:lang w:eastAsia="fr-CA"/>
        </w:rPr>
        <w:t>R. v. P.J.B.</w:t>
      </w:r>
      <w:r w:rsidRPr="001335CE">
        <w:rPr>
          <w:sz w:val="20"/>
          <w:lang w:eastAsia="fr-CA"/>
        </w:rPr>
        <w:t> (1999), 1999 CanLII 18938 (NL CA), 141 C.C.C. (3d) 290 (Nfld. C. A.); </w:t>
      </w:r>
      <w:r w:rsidRPr="001335CE">
        <w:rPr>
          <w:i/>
          <w:iCs/>
          <w:sz w:val="20"/>
          <w:lang w:eastAsia="fr-CA"/>
        </w:rPr>
        <w:t>R. v. Marks</w:t>
      </w:r>
      <w:r w:rsidRPr="001335CE">
        <w:rPr>
          <w:sz w:val="20"/>
          <w:lang w:eastAsia="fr-CA"/>
        </w:rPr>
        <w:t> (1994), 1994 CanLII 9742 (NL CA), 91 C.C.C. (3d) 421 (Nfld. C.A.); </w:t>
      </w:r>
      <w:r w:rsidRPr="001335CE">
        <w:rPr>
          <w:i/>
          <w:iCs/>
          <w:sz w:val="20"/>
          <w:lang w:eastAsia="fr-CA"/>
        </w:rPr>
        <w:t>Attorney General of Canada v. Roy (</w:t>
      </w:r>
      <w:r w:rsidRPr="001335CE">
        <w:rPr>
          <w:sz w:val="20"/>
          <w:lang w:eastAsia="fr-CA"/>
        </w:rPr>
        <w:t>1972), 18 C.R.N.S. 89 (Que. Q.B.).</w:t>
      </w:r>
    </w:p>
    <w:p w14:paraId="109EAD7E" w14:textId="77777777" w:rsidR="0012455D" w:rsidRPr="001335CE" w:rsidRDefault="0012455D" w:rsidP="000E174F">
      <w:pPr>
        <w:pStyle w:val="Citationenretrait"/>
        <w:ind w:left="1440"/>
        <w:rPr>
          <w:sz w:val="20"/>
          <w:lang w:eastAsia="fr-CA"/>
        </w:rPr>
      </w:pPr>
      <w:r w:rsidRPr="001335CE">
        <w:rPr>
          <w:sz w:val="20"/>
          <w:lang w:eastAsia="fr-CA"/>
        </w:rPr>
        <w:t>[60]</w:t>
      </w:r>
      <w:r w:rsidRPr="001335CE">
        <w:rPr>
          <w:sz w:val="20"/>
          <w:lang w:eastAsia="fr-CA"/>
        </w:rPr>
        <w:tab/>
        <w:t>The public’s interest in the orderly administration of justice requires a consideration of any potential unfairness to the offender resulting from the Crown’s change of position as to sentence on appeal.</w:t>
      </w:r>
    </w:p>
    <w:p w14:paraId="327282EE" w14:textId="77777777" w:rsidR="0012455D" w:rsidRPr="001335CE" w:rsidRDefault="0012455D" w:rsidP="000E174F">
      <w:pPr>
        <w:pStyle w:val="Citationenretrait"/>
        <w:ind w:left="1440"/>
        <w:rPr>
          <w:sz w:val="20"/>
          <w:lang w:eastAsia="fr-CA"/>
        </w:rPr>
      </w:pPr>
      <w:r w:rsidRPr="001335CE">
        <w:rPr>
          <w:sz w:val="20"/>
          <w:lang w:eastAsia="fr-CA"/>
        </w:rPr>
        <w:t>[61]</w:t>
      </w:r>
      <w:r w:rsidRPr="001335CE">
        <w:rPr>
          <w:sz w:val="20"/>
          <w:lang w:eastAsia="fr-CA"/>
        </w:rPr>
        <w:tab/>
        <w:t>Appellate courts have refused to intervene in a sentence where the record demonstrated that the offender acted in reliance upon the Crown’s position below. Courts have been particularly reticent to give effect to increased Crown submissions on appeal where offenders have pleaded guilty after receiving sentencing assurances from the Crown, or where the parties have made a joint submission on sentence: See </w:t>
      </w:r>
      <w:r w:rsidRPr="001335CE">
        <w:rPr>
          <w:i/>
          <w:iCs/>
          <w:sz w:val="20"/>
          <w:lang w:eastAsia="fr-CA"/>
        </w:rPr>
        <w:t xml:space="preserve">R. v. </w:t>
      </w:r>
      <w:proofErr w:type="spellStart"/>
      <w:r w:rsidRPr="001335CE">
        <w:rPr>
          <w:i/>
          <w:iCs/>
          <w:sz w:val="20"/>
          <w:lang w:eastAsia="fr-CA"/>
        </w:rPr>
        <w:t>Agozzino</w:t>
      </w:r>
      <w:proofErr w:type="spellEnd"/>
      <w:r w:rsidRPr="001335CE">
        <w:rPr>
          <w:sz w:val="20"/>
          <w:lang w:eastAsia="fr-CA"/>
        </w:rPr>
        <w:t> (1969) 6 C.R.N.S. 147 (Ont. C.A.); </w:t>
      </w:r>
      <w:r w:rsidRPr="001335CE">
        <w:rPr>
          <w:i/>
          <w:iCs/>
          <w:sz w:val="20"/>
          <w:lang w:eastAsia="fr-CA"/>
        </w:rPr>
        <w:t>R. v. Wood </w:t>
      </w:r>
      <w:r w:rsidRPr="001335CE">
        <w:rPr>
          <w:sz w:val="20"/>
          <w:lang w:eastAsia="fr-CA"/>
        </w:rPr>
        <w:t>(1988), 1988 CanLII 7095 (ON CA), 43 C.C.C. (3d) 570, 29 O.A.C. 99 (Ont. C.A.); </w:t>
      </w:r>
      <w:r w:rsidRPr="001335CE">
        <w:rPr>
          <w:i/>
          <w:iCs/>
          <w:sz w:val="20"/>
          <w:lang w:eastAsia="fr-CA"/>
        </w:rPr>
        <w:t xml:space="preserve">R. v. </w:t>
      </w:r>
      <w:proofErr w:type="spellStart"/>
      <w:r w:rsidRPr="001335CE">
        <w:rPr>
          <w:i/>
          <w:iCs/>
          <w:sz w:val="20"/>
          <w:lang w:eastAsia="fr-CA"/>
        </w:rPr>
        <w:t>Simoneau</w:t>
      </w:r>
      <w:proofErr w:type="spellEnd"/>
      <w:r w:rsidRPr="001335CE">
        <w:rPr>
          <w:sz w:val="20"/>
          <w:lang w:eastAsia="fr-CA"/>
        </w:rPr>
        <w:t> (1978), 1978 CanLII 2650 (MB CA), 40 C.C.C. (2d) 307 (Man. C.A); </w:t>
      </w:r>
      <w:r w:rsidRPr="001335CE">
        <w:rPr>
          <w:i/>
          <w:iCs/>
          <w:sz w:val="20"/>
          <w:lang w:eastAsia="fr-CA"/>
        </w:rPr>
        <w:t xml:space="preserve">R. v. </w:t>
      </w:r>
      <w:proofErr w:type="spellStart"/>
      <w:r w:rsidRPr="001335CE">
        <w:rPr>
          <w:i/>
          <w:iCs/>
          <w:sz w:val="20"/>
          <w:lang w:eastAsia="fr-CA"/>
        </w:rPr>
        <w:t>Dubien</w:t>
      </w:r>
      <w:proofErr w:type="spellEnd"/>
      <w:r w:rsidRPr="001335CE">
        <w:rPr>
          <w:sz w:val="20"/>
          <w:lang w:eastAsia="fr-CA"/>
        </w:rPr>
        <w:t> (1982), 1982 CanLII 3901 (ON CA), 67 C.C.C. (2d) 341 (Ont. C.A.); </w:t>
      </w:r>
      <w:r w:rsidRPr="001335CE">
        <w:rPr>
          <w:i/>
          <w:iCs/>
          <w:sz w:val="20"/>
          <w:lang w:eastAsia="fr-CA"/>
        </w:rPr>
        <w:t>Attorney General of Canada v. Roy</w:t>
      </w:r>
      <w:r w:rsidRPr="001335CE">
        <w:rPr>
          <w:sz w:val="20"/>
          <w:lang w:eastAsia="fr-CA"/>
        </w:rPr>
        <w:t> (1972) 18 C.R.N.S. 89 (Que. Q.B.); </w:t>
      </w:r>
      <w:r w:rsidRPr="001335CE">
        <w:rPr>
          <w:i/>
          <w:iCs/>
          <w:sz w:val="20"/>
          <w:lang w:eastAsia="fr-CA"/>
        </w:rPr>
        <w:t>R. v. Edwards</w:t>
      </w:r>
      <w:r w:rsidRPr="001335CE">
        <w:rPr>
          <w:sz w:val="20"/>
          <w:lang w:eastAsia="fr-CA"/>
        </w:rPr>
        <w:t> (2001), 2001 CanLII 24105 (ON CA), 54 O.R. (3d) 737. In such cases, appellate courts have found that it would prejudice the offender to allow the Crown to repudiate its position on appeal. See also: </w:t>
      </w:r>
      <w:r w:rsidRPr="001335CE">
        <w:rPr>
          <w:i/>
          <w:iCs/>
          <w:sz w:val="20"/>
          <w:lang w:eastAsia="fr-CA"/>
        </w:rPr>
        <w:t>R. v. Fleury</w:t>
      </w:r>
      <w:r w:rsidRPr="001335CE">
        <w:rPr>
          <w:sz w:val="20"/>
          <w:lang w:eastAsia="fr-CA"/>
        </w:rPr>
        <w:t> (1971), 23 C.R.N.S. 164 (Que. C.A.); </w:t>
      </w:r>
      <w:r w:rsidRPr="001335CE">
        <w:rPr>
          <w:i/>
          <w:iCs/>
          <w:sz w:val="20"/>
          <w:lang w:eastAsia="fr-CA"/>
        </w:rPr>
        <w:t>R. v. Wood</w:t>
      </w:r>
      <w:r w:rsidRPr="001335CE">
        <w:rPr>
          <w:sz w:val="20"/>
          <w:lang w:eastAsia="fr-CA"/>
        </w:rPr>
        <w:t> (1975), 1975 ALTASCAD 33 (CanLII), 26 C.C.C. (2d) 100 (Alta. C.A.).</w:t>
      </w:r>
    </w:p>
    <w:p w14:paraId="6E15BB3A" w14:textId="4A8D4CDF" w:rsidR="0012455D" w:rsidRPr="0039763F" w:rsidRDefault="0012455D" w:rsidP="000E174F">
      <w:pPr>
        <w:pStyle w:val="Citationenretrait"/>
        <w:rPr>
          <w:lang w:eastAsia="fr-CA"/>
        </w:rPr>
      </w:pPr>
      <w:r w:rsidRPr="001335CE">
        <w:rPr>
          <w:lang w:eastAsia="fr-CA"/>
        </w:rPr>
        <w:t>[</w:t>
      </w:r>
      <w:bookmarkStart w:id="36" w:name="par86"/>
      <w:r w:rsidRPr="001335CE">
        <w:rPr>
          <w:lang w:eastAsia="fr-CA"/>
        </w:rPr>
        <w:t>86</w:t>
      </w:r>
      <w:bookmarkEnd w:id="36"/>
      <w:r w:rsidRPr="001335CE">
        <w:rPr>
          <w:lang w:eastAsia="fr-CA"/>
        </w:rPr>
        <w:t>]</w:t>
      </w:r>
      <w:r w:rsidRPr="001335CE">
        <w:rPr>
          <w:lang w:eastAsia="fr-CA"/>
        </w:rPr>
        <w:tab/>
        <w:t>It is crucial to remember that “[t]he Crown is not an ordinary litigant.</w:t>
      </w:r>
      <w:r w:rsidR="00742DC5">
        <w:rPr>
          <w:lang w:eastAsia="fr-CA"/>
        </w:rPr>
        <w:t xml:space="preserve"> </w:t>
      </w:r>
      <w:r w:rsidRPr="001335CE">
        <w:rPr>
          <w:lang w:eastAsia="fr-CA"/>
        </w:rPr>
        <w:t>As a minister of justice, the Crown’s undivided loyalty is to the proper administration of justice”. The Crown is expected to act accordingly.</w:t>
      </w:r>
      <w:r w:rsidRPr="001335CE">
        <w:rPr>
          <w:rStyle w:val="Appelnotedebasdep"/>
          <w:szCs w:val="22"/>
          <w:lang w:val="en-CA" w:eastAsia="fr-CA"/>
        </w:rPr>
        <w:footnoteReference w:id="11"/>
      </w:r>
    </w:p>
    <w:p w14:paraId="52BC86F2" w14:textId="39240532" w:rsidR="0012455D" w:rsidRPr="00B2562E" w:rsidRDefault="0012455D" w:rsidP="000E174F">
      <w:pPr>
        <w:pStyle w:val="Paragraphe"/>
        <w:numPr>
          <w:ilvl w:val="0"/>
          <w:numId w:val="0"/>
        </w:numPr>
        <w:spacing w:line="280" w:lineRule="exact"/>
        <w:ind w:left="709" w:right="857"/>
        <w:jc w:val="right"/>
        <w:rPr>
          <w:szCs w:val="24"/>
          <w:lang w:eastAsia="fr-CA"/>
        </w:rPr>
      </w:pPr>
      <w:r w:rsidRPr="00B2562E">
        <w:rPr>
          <w:szCs w:val="24"/>
          <w:lang w:eastAsia="fr-CA"/>
        </w:rPr>
        <w:t>[</w:t>
      </w:r>
      <w:r w:rsidR="009A2FDD" w:rsidRPr="00B2562E">
        <w:rPr>
          <w:rFonts w:cs="Arial"/>
          <w:color w:val="000000"/>
          <w:szCs w:val="24"/>
          <w:lang w:eastAsia="fr-CA"/>
        </w:rPr>
        <w:t>References</w:t>
      </w:r>
      <w:r w:rsidR="00F0061F" w:rsidRPr="00B2562E">
        <w:rPr>
          <w:szCs w:val="24"/>
          <w:lang w:eastAsia="fr-CA"/>
        </w:rPr>
        <w:t xml:space="preserve"> omitted</w:t>
      </w:r>
      <w:r w:rsidRPr="00B2562E">
        <w:rPr>
          <w:szCs w:val="24"/>
          <w:lang w:eastAsia="fr-CA"/>
        </w:rPr>
        <w:t>]</w:t>
      </w:r>
    </w:p>
    <w:p w14:paraId="2591DAE4" w14:textId="409D03E9" w:rsidR="0012455D" w:rsidRPr="00B2562E" w:rsidRDefault="00230EBD" w:rsidP="000E174F">
      <w:pPr>
        <w:pStyle w:val="Paragraphe"/>
        <w:spacing w:line="280" w:lineRule="exact"/>
        <w:rPr>
          <w:rFonts w:cs="Arial"/>
          <w:szCs w:val="24"/>
        </w:rPr>
      </w:pPr>
      <w:r w:rsidRPr="00B2562E">
        <w:lastRenderedPageBreak/>
        <w:t xml:space="preserve">I am not suggesting that the prosecution is </w:t>
      </w:r>
      <w:r w:rsidR="0039763F">
        <w:t>lawfully precluded</w:t>
      </w:r>
      <w:r w:rsidRPr="00B2562E">
        <w:t xml:space="preserve"> </w:t>
      </w:r>
      <w:r w:rsidR="00884BC2" w:rsidRPr="00B2562E">
        <w:t xml:space="preserve">on appeal </w:t>
      </w:r>
      <w:r w:rsidRPr="00B2562E">
        <w:t xml:space="preserve">from repudiating </w:t>
      </w:r>
      <w:r w:rsidR="00A920E8">
        <w:t>its</w:t>
      </w:r>
      <w:r w:rsidRPr="00B2562E">
        <w:t xml:space="preserve"> </w:t>
      </w:r>
      <w:r w:rsidR="0012455D" w:rsidRPr="00B2562E">
        <w:t xml:space="preserve">position </w:t>
      </w:r>
      <w:r w:rsidR="00A920E8">
        <w:t>taken</w:t>
      </w:r>
      <w:r w:rsidRPr="00B2562E">
        <w:t xml:space="preserve"> at trial.</w:t>
      </w:r>
      <w:r w:rsidR="0012455D" w:rsidRPr="00B2562E">
        <w:t xml:space="preserve"> </w:t>
      </w:r>
      <w:r w:rsidRPr="00B2562E">
        <w:t xml:space="preserve">I find that </w:t>
      </w:r>
      <w:r w:rsidR="005167AF" w:rsidRPr="00B2562E">
        <w:t xml:space="preserve">it </w:t>
      </w:r>
      <w:r w:rsidR="00884BC2">
        <w:t>clearly appears</w:t>
      </w:r>
      <w:r w:rsidR="005167AF" w:rsidRPr="00B2562E">
        <w:t xml:space="preserve"> to be making </w:t>
      </w:r>
      <w:r w:rsidRPr="00B2562E">
        <w:t xml:space="preserve">an about-face and, in a manner entirely consistent with </w:t>
      </w:r>
      <w:r w:rsidR="0012455D" w:rsidRPr="00B2562E">
        <w:rPr>
          <w:i/>
          <w:iCs/>
        </w:rPr>
        <w:t>Anthony-Cook</w:t>
      </w:r>
      <w:r w:rsidR="0012455D" w:rsidRPr="00B2562E">
        <w:t xml:space="preserve"> </w:t>
      </w:r>
      <w:r w:rsidRPr="00B2562E">
        <w:t>and</w:t>
      </w:r>
      <w:r w:rsidR="0012455D" w:rsidRPr="00B2562E">
        <w:t xml:space="preserve"> </w:t>
      </w:r>
      <w:proofErr w:type="spellStart"/>
      <w:r w:rsidR="0012455D" w:rsidRPr="00B2562E">
        <w:rPr>
          <w:i/>
          <w:iCs/>
        </w:rPr>
        <w:t>Nahanee</w:t>
      </w:r>
      <w:proofErr w:type="spellEnd"/>
      <w:r w:rsidR="0012455D" w:rsidRPr="00B2562E">
        <w:t xml:space="preserve">, </w:t>
      </w:r>
      <w:r w:rsidRPr="00B2562E">
        <w:t xml:space="preserve">such a reversal of </w:t>
      </w:r>
      <w:r w:rsidR="0012455D" w:rsidRPr="00B2562E">
        <w:t xml:space="preserve">position </w:t>
      </w:r>
      <w:r w:rsidRPr="00B2562E">
        <w:t xml:space="preserve">on appeal </w:t>
      </w:r>
      <w:r w:rsidR="00884BC2">
        <w:t xml:space="preserve">can </w:t>
      </w:r>
      <w:r w:rsidRPr="00B2562E">
        <w:t xml:space="preserve">be justified </w:t>
      </w:r>
      <w:r w:rsidR="00C41594">
        <w:t xml:space="preserve">only </w:t>
      </w:r>
      <w:r w:rsidR="00884BC2">
        <w:t>by</w:t>
      </w:r>
      <w:r w:rsidR="00884BC2" w:rsidRPr="00B2562E">
        <w:t xml:space="preserve"> </w:t>
      </w:r>
      <w:r w:rsidRPr="00B2562E">
        <w:t>the greater</w:t>
      </w:r>
      <w:r w:rsidR="00884BC2">
        <w:t xml:space="preserve"> public</w:t>
      </w:r>
      <w:r w:rsidRPr="00B2562E">
        <w:t xml:space="preserve"> interest.</w:t>
      </w:r>
    </w:p>
    <w:p w14:paraId="678722A9" w14:textId="4E9CFAC4" w:rsidR="0012455D" w:rsidRPr="00B2562E" w:rsidRDefault="0012455D" w:rsidP="008D7E48">
      <w:pPr>
        <w:pStyle w:val="Titre2"/>
      </w:pPr>
      <w:r w:rsidRPr="00B2562E">
        <w:t>C.</w:t>
      </w:r>
      <w:r w:rsidRPr="00B2562E">
        <w:tab/>
      </w:r>
      <w:r w:rsidR="00230EBD" w:rsidRPr="00B2562E">
        <w:t>Reason</w:t>
      </w:r>
      <w:r w:rsidR="00695897" w:rsidRPr="00B2562E">
        <w:t>s</w:t>
      </w:r>
    </w:p>
    <w:p w14:paraId="46499253" w14:textId="3EDDC63F" w:rsidR="0012455D" w:rsidRPr="00B2562E" w:rsidRDefault="00D45C40" w:rsidP="000E174F">
      <w:pPr>
        <w:pStyle w:val="Paragraphe"/>
        <w:spacing w:line="280" w:lineRule="exact"/>
      </w:pPr>
      <w:r w:rsidRPr="00B2562E">
        <w:t xml:space="preserve">The need to present reasons </w:t>
      </w:r>
      <w:r w:rsidR="00884BC2">
        <w:t>in</w:t>
      </w:r>
      <w:r w:rsidR="00884BC2" w:rsidRPr="00B2562E">
        <w:t xml:space="preserve"> </w:t>
      </w:r>
      <w:r w:rsidRPr="00B2562E">
        <w:t xml:space="preserve">support </w:t>
      </w:r>
      <w:r w:rsidR="00884BC2">
        <w:t xml:space="preserve">of </w:t>
      </w:r>
      <w:r w:rsidRPr="00B2562E">
        <w:t xml:space="preserve">the rejection of a </w:t>
      </w:r>
      <w:r w:rsidR="00815A71" w:rsidRPr="00B2562E">
        <w:t>joint submission</w:t>
      </w:r>
      <w:r w:rsidR="0012455D" w:rsidRPr="00B2562E">
        <w:t xml:space="preserve"> </w:t>
      </w:r>
      <w:r w:rsidRPr="00B2562E">
        <w:t xml:space="preserve">is not an exercise in </w:t>
      </w:r>
      <w:r w:rsidR="006D6072">
        <w:t xml:space="preserve">complacency </w:t>
      </w:r>
      <w:r w:rsidRPr="00B2562E">
        <w:t>or form</w:t>
      </w:r>
      <w:r w:rsidR="004F5D84">
        <w:t>alit</w:t>
      </w:r>
      <w:r w:rsidR="006D6072">
        <w:t>y</w:t>
      </w:r>
      <w:r w:rsidR="0012455D" w:rsidRPr="00B2562E">
        <w:t xml:space="preserve">. </w:t>
      </w:r>
      <w:r w:rsidRPr="00B2562E">
        <w:t xml:space="preserve">In this </w:t>
      </w:r>
      <w:r w:rsidR="0012455D" w:rsidRPr="00B2562E">
        <w:t xml:space="preserve">context, </w:t>
      </w:r>
      <w:r w:rsidRPr="00B2562E">
        <w:t xml:space="preserve">it is a requirement through which the judge must make a </w:t>
      </w:r>
      <w:r w:rsidR="003C0D31">
        <w:t>focused</w:t>
      </w:r>
      <w:r w:rsidR="003C0D31" w:rsidRPr="00B2562E">
        <w:t xml:space="preserve"> </w:t>
      </w:r>
      <w:r w:rsidR="0012455D" w:rsidRPr="00B2562E">
        <w:t>d</w:t>
      </w:r>
      <w:r w:rsidRPr="00B2562E">
        <w:t>e</w:t>
      </w:r>
      <w:r w:rsidR="0012455D" w:rsidRPr="00B2562E">
        <w:t xml:space="preserve">monstration </w:t>
      </w:r>
      <w:r w:rsidRPr="00B2562E">
        <w:t xml:space="preserve">of the specific reasons that go beyond </w:t>
      </w:r>
      <w:r w:rsidR="003C0D31">
        <w:t>mere disagreement</w:t>
      </w:r>
      <w:r w:rsidRPr="00B2562E">
        <w:t xml:space="preserve"> with the fitness of the proposed sentence or a </w:t>
      </w:r>
      <w:r w:rsidR="0012455D" w:rsidRPr="00B2562E">
        <w:t xml:space="preserve">vague </w:t>
      </w:r>
      <w:r w:rsidR="003218FC">
        <w:t>sense of foreboding</w:t>
      </w:r>
      <w:r w:rsidR="003218FC" w:rsidRPr="00B2562E">
        <w:t xml:space="preserve"> </w:t>
      </w:r>
      <w:r w:rsidRPr="00B2562E">
        <w:t xml:space="preserve">about </w:t>
      </w:r>
      <w:r w:rsidR="00456A4E" w:rsidRPr="00B2562E">
        <w:t xml:space="preserve">a </w:t>
      </w:r>
      <w:r w:rsidRPr="00B2562E">
        <w:t>negative feeling in an unknown and undefined public.</w:t>
      </w:r>
      <w:r w:rsidR="0012455D" w:rsidRPr="00B2562E">
        <w:t xml:space="preserve"> A</w:t>
      </w:r>
      <w:r w:rsidRPr="00B2562E">
        <w:t xml:space="preserve">fter taking note of the judge’s reasons, this same public must be able to identify why </w:t>
      </w:r>
      <w:r w:rsidR="00B02C38" w:rsidRPr="00B2562E">
        <w:t>“</w:t>
      </w:r>
      <w:r w:rsidRPr="00B2562E">
        <w:t>the proposed sentence would be … a breakdown in the proper functioning of the justice system.</w:t>
      </w:r>
      <w:r w:rsidR="00676B95" w:rsidRPr="00B2562E">
        <w:t>”</w:t>
      </w:r>
      <w:r w:rsidR="0012455D" w:rsidRPr="00B2562E">
        <w:rPr>
          <w:rStyle w:val="Appelnotedebasdep"/>
          <w:lang w:val="en-CA"/>
        </w:rPr>
        <w:footnoteReference w:id="12"/>
      </w:r>
      <w:r w:rsidR="0012455D" w:rsidRPr="00B2562E">
        <w:t xml:space="preserve"> </w:t>
      </w:r>
      <w:r w:rsidRPr="00B2562E">
        <w:t xml:space="preserve">As </w:t>
      </w:r>
      <w:proofErr w:type="spellStart"/>
      <w:r w:rsidR="0012455D" w:rsidRPr="00B2562E">
        <w:t>Moldaver</w:t>
      </w:r>
      <w:proofErr w:type="spellEnd"/>
      <w:r w:rsidR="0012455D" w:rsidRPr="00B2562E">
        <w:t xml:space="preserve"> </w:t>
      </w:r>
      <w:r w:rsidRPr="00B2562E">
        <w:t xml:space="preserve">J. noted in </w:t>
      </w:r>
      <w:r w:rsidR="0012455D" w:rsidRPr="00B2562E">
        <w:rPr>
          <w:i/>
        </w:rPr>
        <w:t>Anthony-Cook</w:t>
      </w:r>
      <w:r w:rsidR="0012455D" w:rsidRPr="00B2562E">
        <w:t xml:space="preserve">, </w:t>
      </w:r>
      <w:r w:rsidR="00B02C38" w:rsidRPr="00B2562E">
        <w:t>“</w:t>
      </w:r>
      <w:r w:rsidRPr="00B2562E">
        <w:rPr>
          <w:color w:val="000000"/>
        </w:rPr>
        <w:t>a very lenient, even “demonstrably unfit” sentence may, in a particular case, serve the greater good.</w:t>
      </w:r>
      <w:r w:rsidR="00676B95" w:rsidRPr="00B2562E">
        <w:rPr>
          <w:color w:val="000000"/>
        </w:rPr>
        <w:t>”</w:t>
      </w:r>
      <w:r w:rsidR="0012455D" w:rsidRPr="00B2562E">
        <w:rPr>
          <w:rStyle w:val="Appelnotedebasdep"/>
          <w:color w:val="000000"/>
          <w:lang w:val="en-CA"/>
        </w:rPr>
        <w:footnoteReference w:id="13"/>
      </w:r>
      <w:r w:rsidR="0012455D" w:rsidRPr="00B2562E">
        <w:rPr>
          <w:color w:val="000000"/>
        </w:rPr>
        <w:t xml:space="preserve"> I</w:t>
      </w:r>
      <w:r w:rsidR="00AC125C" w:rsidRPr="00B2562E">
        <w:rPr>
          <w:color w:val="000000"/>
        </w:rPr>
        <w:t xml:space="preserve">t follows that in a case in which a </w:t>
      </w:r>
      <w:r w:rsidR="00815A71" w:rsidRPr="00B2562E">
        <w:rPr>
          <w:color w:val="000000"/>
        </w:rPr>
        <w:t>joint submission</w:t>
      </w:r>
      <w:r w:rsidR="003305D1">
        <w:rPr>
          <w:color w:val="000000"/>
        </w:rPr>
        <w:t xml:space="preserve"> is rejected</w:t>
      </w:r>
      <w:r w:rsidR="0012455D" w:rsidRPr="00B2562E">
        <w:rPr>
          <w:color w:val="000000"/>
        </w:rPr>
        <w:t xml:space="preserve">, </w:t>
      </w:r>
      <w:r w:rsidR="003305D1">
        <w:rPr>
          <w:color w:val="000000"/>
        </w:rPr>
        <w:t xml:space="preserve">the judge’s </w:t>
      </w:r>
      <w:r w:rsidR="00AC125C" w:rsidRPr="00B2562E">
        <w:rPr>
          <w:color w:val="000000"/>
        </w:rPr>
        <w:t>reasons must convincing</w:t>
      </w:r>
      <w:r w:rsidR="00456A4E" w:rsidRPr="00B2562E">
        <w:rPr>
          <w:color w:val="000000"/>
        </w:rPr>
        <w:t>ly</w:t>
      </w:r>
      <w:r w:rsidR="00AC125C" w:rsidRPr="00B2562E">
        <w:rPr>
          <w:color w:val="000000"/>
        </w:rPr>
        <w:t xml:space="preserve"> </w:t>
      </w:r>
      <w:r w:rsidR="00456A4E" w:rsidRPr="00B2562E">
        <w:rPr>
          <w:color w:val="000000"/>
        </w:rPr>
        <w:t xml:space="preserve">show </w:t>
      </w:r>
      <w:r w:rsidR="003305D1">
        <w:rPr>
          <w:color w:val="000000"/>
        </w:rPr>
        <w:t xml:space="preserve">not only </w:t>
      </w:r>
      <w:r w:rsidR="00AC125C" w:rsidRPr="00B2562E">
        <w:rPr>
          <w:color w:val="000000"/>
        </w:rPr>
        <w:t xml:space="preserve">why the parties’ submission is too lenient, but also why it cannot serve the </w:t>
      </w:r>
      <w:r w:rsidR="00A254E0" w:rsidRPr="00B2562E">
        <w:rPr>
          <w:color w:val="000000"/>
        </w:rPr>
        <w:t>greater</w:t>
      </w:r>
      <w:r w:rsidR="00AC125C" w:rsidRPr="00B2562E">
        <w:rPr>
          <w:color w:val="000000"/>
        </w:rPr>
        <w:t xml:space="preserve"> good.</w:t>
      </w:r>
      <w:r w:rsidR="0012455D" w:rsidRPr="00B2562E">
        <w:rPr>
          <w:color w:val="000000"/>
        </w:rPr>
        <w:t xml:space="preserve"> </w:t>
      </w:r>
    </w:p>
    <w:p w14:paraId="4BCA4B49" w14:textId="5D0B3AD3" w:rsidR="00AC125C" w:rsidRPr="002613E6" w:rsidRDefault="00AC125C" w:rsidP="002613E6">
      <w:pPr>
        <w:pStyle w:val="Paragraphe"/>
        <w:spacing w:line="240" w:lineRule="auto"/>
        <w:rPr>
          <w:color w:val="000000"/>
        </w:rPr>
      </w:pPr>
      <w:r w:rsidRPr="002613E6">
        <w:rPr>
          <w:color w:val="000000"/>
        </w:rPr>
        <w:t>This case marks</w:t>
      </w:r>
      <w:r w:rsidR="00AD6E4E" w:rsidRPr="002613E6">
        <w:rPr>
          <w:color w:val="000000"/>
        </w:rPr>
        <w:t xml:space="preserve"> at least</w:t>
      </w:r>
      <w:r w:rsidRPr="002613E6">
        <w:rPr>
          <w:color w:val="000000"/>
        </w:rPr>
        <w:t xml:space="preserve"> the fourth time</w:t>
      </w:r>
      <w:r w:rsidR="00B03F00">
        <w:rPr>
          <w:color w:val="000000"/>
        </w:rPr>
        <w:t xml:space="preserve"> </w:t>
      </w:r>
      <w:r w:rsidRPr="002613E6">
        <w:rPr>
          <w:color w:val="000000"/>
        </w:rPr>
        <w:t xml:space="preserve">that this same issue has been presented to the </w:t>
      </w:r>
      <w:r w:rsidR="0012455D" w:rsidRPr="002613E6">
        <w:rPr>
          <w:color w:val="000000"/>
        </w:rPr>
        <w:t>Cour</w:t>
      </w:r>
      <w:r w:rsidRPr="002613E6">
        <w:rPr>
          <w:color w:val="000000"/>
        </w:rPr>
        <w:t>t</w:t>
      </w:r>
      <w:r w:rsidR="003305D1">
        <w:rPr>
          <w:color w:val="000000"/>
        </w:rPr>
        <w:t>,</w:t>
      </w:r>
      <w:r w:rsidR="0012455D" w:rsidRPr="002613E6">
        <w:rPr>
          <w:color w:val="000000"/>
        </w:rPr>
        <w:t xml:space="preserve"> </w:t>
      </w:r>
      <w:r w:rsidRPr="002613E6">
        <w:rPr>
          <w:color w:val="000000"/>
        </w:rPr>
        <w:t>and each time, the same answer has been given</w:t>
      </w:r>
      <w:r w:rsidR="0012455D" w:rsidRPr="002613E6">
        <w:rPr>
          <w:color w:val="000000"/>
        </w:rPr>
        <w:t xml:space="preserve">: </w:t>
      </w:r>
      <w:r w:rsidRPr="002613E6">
        <w:rPr>
          <w:color w:val="000000"/>
        </w:rPr>
        <w:t>the fit</w:t>
      </w:r>
      <w:r w:rsidR="00AD6E4E" w:rsidRPr="002613E6">
        <w:rPr>
          <w:color w:val="000000"/>
        </w:rPr>
        <w:t>ness of the</w:t>
      </w:r>
      <w:r w:rsidRPr="002613E6">
        <w:rPr>
          <w:color w:val="000000"/>
        </w:rPr>
        <w:t xml:space="preserve"> sentence test cannot </w:t>
      </w:r>
      <w:r w:rsidR="00355ADF" w:rsidRPr="002613E6">
        <w:rPr>
          <w:color w:val="000000"/>
        </w:rPr>
        <w:t xml:space="preserve">be used </w:t>
      </w:r>
      <w:r w:rsidRPr="002613E6">
        <w:rPr>
          <w:color w:val="000000"/>
        </w:rPr>
        <w:t>under the guise of the public interest.</w:t>
      </w:r>
      <w:r w:rsidR="0012455D" w:rsidRPr="00B2562E">
        <w:rPr>
          <w:rStyle w:val="Appelnotedebasdep"/>
          <w:color w:val="000000"/>
          <w:lang w:val="en-CA"/>
        </w:rPr>
        <w:footnoteReference w:id="14"/>
      </w:r>
    </w:p>
    <w:p w14:paraId="20E03ECE" w14:textId="0DA068AA" w:rsidR="0012455D" w:rsidRPr="00B2562E" w:rsidRDefault="00AD0B65" w:rsidP="000E174F">
      <w:pPr>
        <w:pStyle w:val="Paragraphe"/>
        <w:spacing w:line="280" w:lineRule="exact"/>
      </w:pPr>
      <w:r w:rsidRPr="00B2562E">
        <w:t xml:space="preserve">In his reasons, the judge drew up a list of </w:t>
      </w:r>
      <w:r w:rsidR="00277202">
        <w:t xml:space="preserve">eleven </w:t>
      </w:r>
      <w:r w:rsidR="005D6B61">
        <w:t>reasons</w:t>
      </w:r>
      <w:r w:rsidR="005D6B61" w:rsidRPr="00B2562E">
        <w:t xml:space="preserve"> </w:t>
      </w:r>
      <w:r w:rsidR="003746EE">
        <w:t>in</w:t>
      </w:r>
      <w:r w:rsidR="003746EE" w:rsidRPr="00B2562E">
        <w:t xml:space="preserve"> </w:t>
      </w:r>
      <w:r w:rsidRPr="00B2562E">
        <w:t xml:space="preserve">support </w:t>
      </w:r>
      <w:r w:rsidR="003746EE">
        <w:t xml:space="preserve">of </w:t>
      </w:r>
      <w:r w:rsidRPr="00B2562E">
        <w:t xml:space="preserve">his </w:t>
      </w:r>
      <w:r w:rsidR="0012455D" w:rsidRPr="00B2562E">
        <w:t>d</w:t>
      </w:r>
      <w:r w:rsidRPr="00B2562E">
        <w:t>e</w:t>
      </w:r>
      <w:r w:rsidR="0012455D" w:rsidRPr="00B2562E">
        <w:t>cision</w:t>
      </w:r>
      <w:r w:rsidRPr="00B2562E">
        <w:t xml:space="preserve">, </w:t>
      </w:r>
      <w:r w:rsidR="003746EE" w:rsidRPr="00B2562E">
        <w:t xml:space="preserve">only one </w:t>
      </w:r>
      <w:r w:rsidRPr="00B2562E">
        <w:t xml:space="preserve">of which </w:t>
      </w:r>
      <w:r w:rsidR="003746EE">
        <w:t>might</w:t>
      </w:r>
      <w:r w:rsidRPr="00B2562E">
        <w:t xml:space="preserve"> have had sufficient weight to justify rejecti</w:t>
      </w:r>
      <w:r w:rsidR="00DE2822">
        <w:t xml:space="preserve">ng </w:t>
      </w:r>
      <w:r w:rsidRPr="00B2562E">
        <w:t xml:space="preserve">the </w:t>
      </w:r>
      <w:r w:rsidR="00815A71" w:rsidRPr="00B2562E">
        <w:t>joint submission</w:t>
      </w:r>
      <w:r w:rsidR="0012455D" w:rsidRPr="00B2562E">
        <w:t xml:space="preserve">. </w:t>
      </w:r>
      <w:r w:rsidRPr="00B2562E">
        <w:t xml:space="preserve">This reason </w:t>
      </w:r>
      <w:r w:rsidR="00EB5793">
        <w:t>is</w:t>
      </w:r>
      <w:r w:rsidR="00EB5793" w:rsidRPr="00B2562E">
        <w:t xml:space="preserve"> </w:t>
      </w:r>
      <w:r w:rsidRPr="00B2562E">
        <w:t xml:space="preserve">that the proposed </w:t>
      </w:r>
      <w:r w:rsidR="00A254E0" w:rsidRPr="00B2562E">
        <w:t xml:space="preserve">concurrent </w:t>
      </w:r>
      <w:r w:rsidRPr="00B2562E">
        <w:t xml:space="preserve">sentence of three months gives an informed </w:t>
      </w:r>
      <w:r w:rsidR="00A254E0" w:rsidRPr="00B2562E">
        <w:t xml:space="preserve">and knowledgeable </w:t>
      </w:r>
      <w:r w:rsidRPr="00B2562E">
        <w:t>public</w:t>
      </w:r>
      <w:r w:rsidR="000F3B1A" w:rsidRPr="00B2562E">
        <w:t xml:space="preserve"> the impression</w:t>
      </w:r>
      <w:r w:rsidRPr="00B2562E">
        <w:t xml:space="preserve"> </w:t>
      </w:r>
      <w:r w:rsidR="00EB5793">
        <w:t>that no</w:t>
      </w:r>
      <w:r w:rsidRPr="00B2562E">
        <w:t xml:space="preserve"> real or visible </w:t>
      </w:r>
      <w:r w:rsidR="0012455D" w:rsidRPr="00B2562E">
        <w:t>cons</w:t>
      </w:r>
      <w:r w:rsidRPr="00B2562E">
        <w:t>e</w:t>
      </w:r>
      <w:r w:rsidR="0012455D" w:rsidRPr="00B2562E">
        <w:t>quence</w:t>
      </w:r>
      <w:r w:rsidR="00EB5793">
        <w:t>s result from the a</w:t>
      </w:r>
      <w:r w:rsidR="00EB5793" w:rsidRPr="00B2562E">
        <w:t xml:space="preserve">ppellant’s </w:t>
      </w:r>
      <w:r w:rsidR="00A750B2">
        <w:t>culpability</w:t>
      </w:r>
      <w:r w:rsidR="0012455D" w:rsidRPr="00B2562E">
        <w:t xml:space="preserve">. </w:t>
      </w:r>
      <w:r w:rsidRPr="00B2562E">
        <w:t xml:space="preserve">The submission would therefore </w:t>
      </w:r>
      <w:r w:rsidR="000F3B1A" w:rsidRPr="00B2562E">
        <w:t xml:space="preserve">be contrary to the </w:t>
      </w:r>
      <w:r w:rsidRPr="00B2562E">
        <w:t xml:space="preserve">public interest and undermine </w:t>
      </w:r>
      <w:r w:rsidR="000F3B1A" w:rsidRPr="00B2562E">
        <w:t xml:space="preserve">public </w:t>
      </w:r>
      <w:r w:rsidRPr="00B2562E">
        <w:t xml:space="preserve">confidence in the </w:t>
      </w:r>
      <w:r w:rsidR="0012455D" w:rsidRPr="00B2562E">
        <w:t xml:space="preserve">administration </w:t>
      </w:r>
      <w:r w:rsidRPr="00B2562E">
        <w:t xml:space="preserve">of </w:t>
      </w:r>
      <w:r w:rsidR="0012455D" w:rsidRPr="00B2562E">
        <w:t xml:space="preserve">justice. </w:t>
      </w:r>
    </w:p>
    <w:p w14:paraId="55D61DC8" w14:textId="41BBDCD3" w:rsidR="0012455D" w:rsidRPr="00B2562E" w:rsidRDefault="00376DE2" w:rsidP="000E174F">
      <w:pPr>
        <w:pStyle w:val="Paragraphe"/>
        <w:spacing w:line="280" w:lineRule="exact"/>
      </w:pPr>
      <w:r w:rsidRPr="00B2562E">
        <w:t>Here is the list</w:t>
      </w:r>
      <w:r w:rsidR="0012455D" w:rsidRPr="00B2562E">
        <w:t>:</w:t>
      </w:r>
    </w:p>
    <w:p w14:paraId="5F135607" w14:textId="03D84069" w:rsidR="00706BC0" w:rsidRPr="00B2562E" w:rsidRDefault="00706BC0" w:rsidP="00706BC0">
      <w:pPr>
        <w:pStyle w:val="Paragraphe"/>
        <w:numPr>
          <w:ilvl w:val="0"/>
          <w:numId w:val="0"/>
        </w:numPr>
        <w:spacing w:line="280" w:lineRule="exact"/>
        <w:ind w:left="720"/>
      </w:pPr>
      <w:r w:rsidRPr="00B2562E">
        <w:t>[</w:t>
      </w:r>
      <w:r w:rsidRPr="00B2562E">
        <w:rPr>
          <w:smallCaps/>
        </w:rPr>
        <w:t>translation</w:t>
      </w:r>
      <w:r w:rsidRPr="00B2562E">
        <w:t>]</w:t>
      </w:r>
    </w:p>
    <w:p w14:paraId="12415D4C" w14:textId="032202D5" w:rsidR="0012455D" w:rsidRPr="00B2562E" w:rsidRDefault="0012455D" w:rsidP="000E174F">
      <w:pPr>
        <w:pStyle w:val="Citationenretrait"/>
        <w:rPr>
          <w:lang w:eastAsia="fr-CA"/>
        </w:rPr>
      </w:pPr>
      <w:r w:rsidRPr="00B2562E">
        <w:rPr>
          <w:lang w:eastAsia="fr-CA"/>
        </w:rPr>
        <w:t>[</w:t>
      </w:r>
      <w:bookmarkStart w:id="38" w:name="par82"/>
      <w:r w:rsidRPr="00B2562E">
        <w:rPr>
          <w:lang w:eastAsia="fr-CA"/>
        </w:rPr>
        <w:t>82</w:t>
      </w:r>
      <w:bookmarkEnd w:id="38"/>
      <w:r w:rsidRPr="00B2562E">
        <w:rPr>
          <w:lang w:eastAsia="fr-CA"/>
        </w:rPr>
        <w:t>]</w:t>
      </w:r>
      <w:r w:rsidRPr="00B2562E">
        <w:rPr>
          <w:lang w:eastAsia="fr-CA"/>
        </w:rPr>
        <w:tab/>
      </w:r>
      <w:r w:rsidR="00DA0C61" w:rsidRPr="00B2562E">
        <w:rPr>
          <w:b/>
          <w:bCs/>
          <w:lang w:eastAsia="fr-CA"/>
        </w:rPr>
        <w:t>First</w:t>
      </w:r>
      <w:r w:rsidRPr="00B2562E">
        <w:rPr>
          <w:lang w:eastAsia="fr-CA"/>
        </w:rPr>
        <w:t xml:space="preserve">, </w:t>
      </w:r>
      <w:r w:rsidR="00DA0C61" w:rsidRPr="00B2562E">
        <w:rPr>
          <w:lang w:eastAsia="fr-CA"/>
        </w:rPr>
        <w:t xml:space="preserve">this submission does not take into account the accused’s </w:t>
      </w:r>
      <w:r w:rsidR="00597D4F">
        <w:rPr>
          <w:lang w:eastAsia="fr-CA"/>
        </w:rPr>
        <w:t>numerous</w:t>
      </w:r>
      <w:r w:rsidR="00597D4F" w:rsidRPr="00B2562E">
        <w:rPr>
          <w:lang w:eastAsia="fr-CA"/>
        </w:rPr>
        <w:t xml:space="preserve"> </w:t>
      </w:r>
      <w:r w:rsidR="00597D4F">
        <w:rPr>
          <w:lang w:eastAsia="fr-CA"/>
        </w:rPr>
        <w:t>prior convictions</w:t>
      </w:r>
      <w:r w:rsidR="00DA0C61" w:rsidRPr="00B2562E">
        <w:rPr>
          <w:lang w:eastAsia="fr-CA"/>
        </w:rPr>
        <w:t>.</w:t>
      </w:r>
      <w:r w:rsidRPr="00B2562E">
        <w:rPr>
          <w:lang w:eastAsia="fr-CA"/>
        </w:rPr>
        <w:t xml:space="preserve"> </w:t>
      </w:r>
      <w:r w:rsidR="00DA0C61" w:rsidRPr="00B2562E">
        <w:rPr>
          <w:lang w:eastAsia="fr-CA"/>
        </w:rPr>
        <w:t>Indeed, the accused has</w:t>
      </w:r>
      <w:r w:rsidRPr="00B2562E">
        <w:rPr>
          <w:lang w:eastAsia="fr-CA"/>
        </w:rPr>
        <w:t xml:space="preserve"> 330 </w:t>
      </w:r>
      <w:r w:rsidR="00DA0C61" w:rsidRPr="00B2562E">
        <w:rPr>
          <w:lang w:eastAsia="fr-CA"/>
        </w:rPr>
        <w:t xml:space="preserve">previous offences, including </w:t>
      </w:r>
      <w:r w:rsidRPr="00B2562E">
        <w:rPr>
          <w:lang w:eastAsia="fr-CA"/>
        </w:rPr>
        <w:t xml:space="preserve">12 </w:t>
      </w:r>
      <w:r w:rsidR="00DA0C61" w:rsidRPr="00B2562E">
        <w:rPr>
          <w:lang w:eastAsia="fr-CA"/>
        </w:rPr>
        <w:t xml:space="preserve">for </w:t>
      </w:r>
      <w:r w:rsidR="00597D4F" w:rsidRPr="00B2562E">
        <w:rPr>
          <w:lang w:eastAsia="fr-CA"/>
        </w:rPr>
        <w:t>utter</w:t>
      </w:r>
      <w:r w:rsidR="00277202">
        <w:rPr>
          <w:lang w:eastAsia="fr-CA"/>
        </w:rPr>
        <w:t>ing</w:t>
      </w:r>
      <w:r w:rsidR="00597D4F" w:rsidRPr="00B2562E">
        <w:rPr>
          <w:lang w:eastAsia="fr-CA"/>
        </w:rPr>
        <w:t xml:space="preserve"> </w:t>
      </w:r>
      <w:r w:rsidR="00DA0C61" w:rsidRPr="00B2562E">
        <w:rPr>
          <w:lang w:eastAsia="fr-CA"/>
        </w:rPr>
        <w:t xml:space="preserve">threats </w:t>
      </w:r>
      <w:r w:rsidR="00277202">
        <w:rPr>
          <w:lang w:eastAsia="fr-CA"/>
        </w:rPr>
        <w:t xml:space="preserve">to cause death </w:t>
      </w:r>
      <w:r w:rsidR="00DA0C61" w:rsidRPr="00B2562E">
        <w:rPr>
          <w:lang w:eastAsia="fr-CA"/>
        </w:rPr>
        <w:t xml:space="preserve">or </w:t>
      </w:r>
      <w:r w:rsidR="00277202">
        <w:rPr>
          <w:lang w:eastAsia="fr-CA"/>
        </w:rPr>
        <w:t xml:space="preserve">to </w:t>
      </w:r>
      <w:r w:rsidR="002B363B" w:rsidRPr="00B2562E">
        <w:rPr>
          <w:lang w:eastAsia="fr-CA"/>
        </w:rPr>
        <w:t>cause</w:t>
      </w:r>
      <w:r w:rsidR="00DA0C61" w:rsidRPr="00B2562E">
        <w:rPr>
          <w:lang w:eastAsia="fr-CA"/>
        </w:rPr>
        <w:t xml:space="preserve"> bodily harm. In</w:t>
      </w:r>
      <w:r w:rsidR="00E576A1">
        <w:rPr>
          <w:lang w:eastAsia="fr-CA"/>
        </w:rPr>
        <w:t>deed</w:t>
      </w:r>
      <w:r w:rsidR="00DA0C61" w:rsidRPr="00B2562E">
        <w:rPr>
          <w:lang w:eastAsia="fr-CA"/>
        </w:rPr>
        <w:t xml:space="preserve">, on April 20, </w:t>
      </w:r>
      <w:r w:rsidRPr="00B2562E">
        <w:rPr>
          <w:lang w:eastAsia="fr-CA"/>
        </w:rPr>
        <w:t xml:space="preserve">2017, </w:t>
      </w:r>
      <w:r w:rsidR="00DA0C61" w:rsidRPr="00B2562E">
        <w:rPr>
          <w:lang w:eastAsia="fr-CA"/>
        </w:rPr>
        <w:t xml:space="preserve">he received a </w:t>
      </w:r>
      <w:r w:rsidR="00BF6E44">
        <w:rPr>
          <w:lang w:eastAsia="fr-CA"/>
        </w:rPr>
        <w:t>3</w:t>
      </w:r>
      <w:r w:rsidR="00DA0C61" w:rsidRPr="00B2562E">
        <w:rPr>
          <w:lang w:eastAsia="fr-CA"/>
        </w:rPr>
        <w:t>-month term of imprisonment consecutive to any other sentence for a</w:t>
      </w:r>
      <w:r w:rsidR="0083645A">
        <w:rPr>
          <w:lang w:eastAsia="fr-CA"/>
        </w:rPr>
        <w:t>n offence of uttering a</w:t>
      </w:r>
      <w:r w:rsidR="00DA0C61" w:rsidRPr="00B2562E">
        <w:rPr>
          <w:lang w:eastAsia="fr-CA"/>
        </w:rPr>
        <w:t xml:space="preserve"> </w:t>
      </w:r>
      <w:r w:rsidR="0083645A">
        <w:rPr>
          <w:lang w:eastAsia="fr-CA"/>
        </w:rPr>
        <w:t>threat</w:t>
      </w:r>
      <w:r w:rsidR="00277202">
        <w:rPr>
          <w:lang w:eastAsia="fr-CA"/>
        </w:rPr>
        <w:t xml:space="preserve"> to cause death</w:t>
      </w:r>
      <w:r w:rsidR="00DA0C61" w:rsidRPr="00B2562E">
        <w:rPr>
          <w:lang w:eastAsia="fr-CA"/>
        </w:rPr>
        <w:t xml:space="preserve">. Furthermore, he has </w:t>
      </w:r>
      <w:r w:rsidR="00BF6E44">
        <w:rPr>
          <w:lang w:eastAsia="fr-CA"/>
        </w:rPr>
        <w:t>3</w:t>
      </w:r>
      <w:r w:rsidR="00DA0C61" w:rsidRPr="00B2562E">
        <w:rPr>
          <w:lang w:eastAsia="fr-CA"/>
        </w:rPr>
        <w:t xml:space="preserve"> </w:t>
      </w:r>
      <w:r w:rsidR="00780275" w:rsidRPr="00B2562E">
        <w:rPr>
          <w:lang w:eastAsia="fr-CA"/>
        </w:rPr>
        <w:t>previous offences</w:t>
      </w:r>
      <w:r w:rsidR="00DA0C61" w:rsidRPr="00B2562E">
        <w:rPr>
          <w:lang w:eastAsia="fr-CA"/>
        </w:rPr>
        <w:t xml:space="preserve"> for committing mischief.</w:t>
      </w:r>
    </w:p>
    <w:p w14:paraId="70A4E5B4" w14:textId="32CECF46" w:rsidR="0012455D" w:rsidRPr="00B2562E" w:rsidRDefault="0012455D" w:rsidP="000E174F">
      <w:pPr>
        <w:pStyle w:val="Citationenretrait"/>
        <w:rPr>
          <w:lang w:eastAsia="fr-CA"/>
        </w:rPr>
      </w:pPr>
      <w:r w:rsidRPr="00B2562E">
        <w:rPr>
          <w:lang w:eastAsia="fr-CA"/>
        </w:rPr>
        <w:lastRenderedPageBreak/>
        <w:t>[</w:t>
      </w:r>
      <w:bookmarkStart w:id="39" w:name="par83"/>
      <w:r w:rsidRPr="00B2562E">
        <w:rPr>
          <w:lang w:eastAsia="fr-CA"/>
        </w:rPr>
        <w:t>83</w:t>
      </w:r>
      <w:bookmarkEnd w:id="39"/>
      <w:r w:rsidRPr="00B2562E">
        <w:rPr>
          <w:lang w:eastAsia="fr-CA"/>
        </w:rPr>
        <w:t>]</w:t>
      </w:r>
      <w:r w:rsidRPr="00B2562E">
        <w:rPr>
          <w:lang w:eastAsia="fr-CA"/>
        </w:rPr>
        <w:tab/>
      </w:r>
      <w:r w:rsidR="00DA0C61" w:rsidRPr="00B2562E">
        <w:rPr>
          <w:b/>
          <w:bCs/>
          <w:lang w:eastAsia="fr-CA"/>
        </w:rPr>
        <w:t>Second,</w:t>
      </w:r>
      <w:r w:rsidRPr="00B2562E">
        <w:rPr>
          <w:lang w:eastAsia="fr-CA"/>
        </w:rPr>
        <w:t xml:space="preserve"> </w:t>
      </w:r>
      <w:r w:rsidR="00DA0C61" w:rsidRPr="00B2562E">
        <w:rPr>
          <w:lang w:eastAsia="fr-CA"/>
        </w:rPr>
        <w:t>on November</w:t>
      </w:r>
      <w:r w:rsidRPr="00B2562E">
        <w:rPr>
          <w:lang w:eastAsia="fr-CA"/>
        </w:rPr>
        <w:t xml:space="preserve"> 29</w:t>
      </w:r>
      <w:r w:rsidR="00DA0C61" w:rsidRPr="00B2562E">
        <w:rPr>
          <w:lang w:eastAsia="fr-CA"/>
        </w:rPr>
        <w:t>,</w:t>
      </w:r>
      <w:r w:rsidRPr="00B2562E">
        <w:rPr>
          <w:lang w:eastAsia="fr-CA"/>
        </w:rPr>
        <w:t xml:space="preserve"> 2019, </w:t>
      </w:r>
      <w:r w:rsidR="00DA0C61" w:rsidRPr="00B2562E">
        <w:rPr>
          <w:lang w:eastAsia="fr-CA"/>
        </w:rPr>
        <w:t>the accused</w:t>
      </w:r>
      <w:r w:rsidRPr="00B2562E">
        <w:rPr>
          <w:lang w:eastAsia="fr-CA"/>
        </w:rPr>
        <w:t xml:space="preserve"> </w:t>
      </w:r>
      <w:r w:rsidR="00DA0C61" w:rsidRPr="00B2562E">
        <w:rPr>
          <w:lang w:eastAsia="fr-CA"/>
        </w:rPr>
        <w:t xml:space="preserve">was </w:t>
      </w:r>
      <w:r w:rsidR="0083645A">
        <w:rPr>
          <w:lang w:eastAsia="fr-CA"/>
        </w:rPr>
        <w:t>bound by</w:t>
      </w:r>
      <w:r w:rsidR="00DA0C61" w:rsidRPr="00B2562E">
        <w:rPr>
          <w:lang w:eastAsia="fr-CA"/>
        </w:rPr>
        <w:t xml:space="preserve"> a </w:t>
      </w:r>
      <w:r w:rsidR="00BF6E44">
        <w:rPr>
          <w:lang w:eastAsia="fr-CA"/>
        </w:rPr>
        <w:t>2</w:t>
      </w:r>
      <w:r w:rsidR="00DA0C61" w:rsidRPr="00B2562E">
        <w:rPr>
          <w:lang w:eastAsia="fr-CA"/>
        </w:rPr>
        <w:t>-year probation order imposed on July 10,</w:t>
      </w:r>
      <w:r w:rsidRPr="00B2562E">
        <w:rPr>
          <w:lang w:eastAsia="fr-CA"/>
        </w:rPr>
        <w:t xml:space="preserve"> 2018, </w:t>
      </w:r>
      <w:r w:rsidR="00DA0C61" w:rsidRPr="00B2562E">
        <w:rPr>
          <w:lang w:eastAsia="fr-CA"/>
        </w:rPr>
        <w:t>in another case</w:t>
      </w:r>
      <w:r w:rsidR="0083645A">
        <w:rPr>
          <w:lang w:eastAsia="fr-CA"/>
        </w:rPr>
        <w:t xml:space="preserve"> of mischief</w:t>
      </w:r>
      <w:r w:rsidR="00DA0C61" w:rsidRPr="00B2562E">
        <w:rPr>
          <w:lang w:eastAsia="fr-CA"/>
        </w:rPr>
        <w:t>. Moreover, the Court notes that the accused</w:t>
      </w:r>
      <w:r w:rsidRPr="00B2562E">
        <w:rPr>
          <w:lang w:eastAsia="fr-CA"/>
        </w:rPr>
        <w:t xml:space="preserve"> </w:t>
      </w:r>
      <w:r w:rsidR="00DA0C61" w:rsidRPr="00B2562E">
        <w:rPr>
          <w:lang w:eastAsia="fr-CA"/>
        </w:rPr>
        <w:t xml:space="preserve">has </w:t>
      </w:r>
      <w:r w:rsidRPr="00B2562E">
        <w:rPr>
          <w:lang w:eastAsia="fr-CA"/>
        </w:rPr>
        <w:t xml:space="preserve">203 </w:t>
      </w:r>
      <w:r w:rsidR="00A13B2C">
        <w:rPr>
          <w:lang w:eastAsia="fr-CA"/>
        </w:rPr>
        <w:t>prior convictions</w:t>
      </w:r>
      <w:r w:rsidR="00DA0C61" w:rsidRPr="00B2562E">
        <w:rPr>
          <w:lang w:eastAsia="fr-CA"/>
        </w:rPr>
        <w:t xml:space="preserve"> for </w:t>
      </w:r>
      <w:r w:rsidR="00A13B2C">
        <w:rPr>
          <w:lang w:eastAsia="fr-CA"/>
        </w:rPr>
        <w:t>breach of</w:t>
      </w:r>
      <w:r w:rsidR="00A13B2C" w:rsidRPr="00B2562E">
        <w:rPr>
          <w:lang w:eastAsia="fr-CA"/>
        </w:rPr>
        <w:t xml:space="preserve"> </w:t>
      </w:r>
      <w:r w:rsidRPr="00B2562E">
        <w:rPr>
          <w:lang w:eastAsia="fr-CA"/>
        </w:rPr>
        <w:t xml:space="preserve">probation </w:t>
      </w:r>
      <w:r w:rsidR="00DA0C61" w:rsidRPr="00B2562E">
        <w:rPr>
          <w:lang w:eastAsia="fr-CA"/>
        </w:rPr>
        <w:t xml:space="preserve">and </w:t>
      </w:r>
      <w:r w:rsidRPr="00B2562E">
        <w:rPr>
          <w:lang w:eastAsia="fr-CA"/>
        </w:rPr>
        <w:t xml:space="preserve">24 </w:t>
      </w:r>
      <w:r w:rsidR="00A13B2C">
        <w:rPr>
          <w:lang w:eastAsia="fr-CA"/>
        </w:rPr>
        <w:t>prior convictions</w:t>
      </w:r>
      <w:r w:rsidR="00A13B2C" w:rsidRPr="00B2562E">
        <w:rPr>
          <w:lang w:eastAsia="fr-CA"/>
        </w:rPr>
        <w:t xml:space="preserve"> </w:t>
      </w:r>
      <w:r w:rsidR="00DA0C61" w:rsidRPr="00B2562E">
        <w:rPr>
          <w:lang w:eastAsia="fr-CA"/>
        </w:rPr>
        <w:t xml:space="preserve">for </w:t>
      </w:r>
      <w:r w:rsidR="00A13B2C" w:rsidRPr="00B2562E">
        <w:rPr>
          <w:lang w:eastAsia="fr-CA"/>
        </w:rPr>
        <w:t>fai</w:t>
      </w:r>
      <w:r w:rsidR="00A13B2C">
        <w:rPr>
          <w:lang w:eastAsia="fr-CA"/>
        </w:rPr>
        <w:t>lure</w:t>
      </w:r>
      <w:r w:rsidR="00A13B2C" w:rsidRPr="00B2562E">
        <w:rPr>
          <w:lang w:eastAsia="fr-CA"/>
        </w:rPr>
        <w:t xml:space="preserve"> </w:t>
      </w:r>
      <w:r w:rsidR="00DA0C61" w:rsidRPr="00B2562E">
        <w:rPr>
          <w:lang w:eastAsia="fr-CA"/>
        </w:rPr>
        <w:t xml:space="preserve">to comply with a </w:t>
      </w:r>
      <w:r w:rsidR="00A13B2C">
        <w:rPr>
          <w:lang w:eastAsia="fr-CA"/>
        </w:rPr>
        <w:t>recognizance</w:t>
      </w:r>
      <w:r w:rsidR="00DA0C61" w:rsidRPr="00B2562E">
        <w:rPr>
          <w:lang w:eastAsia="fr-CA"/>
        </w:rPr>
        <w:t>.</w:t>
      </w:r>
      <w:r w:rsidRPr="00B2562E">
        <w:rPr>
          <w:lang w:eastAsia="fr-CA"/>
        </w:rPr>
        <w:t xml:space="preserve"> </w:t>
      </w:r>
      <w:r w:rsidR="00BF6E44">
        <w:rPr>
          <w:lang w:eastAsia="fr-CA"/>
        </w:rPr>
        <w:t xml:space="preserve">It must be noted </w:t>
      </w:r>
      <w:r w:rsidR="00DA0C61" w:rsidRPr="00B2562E">
        <w:rPr>
          <w:lang w:eastAsia="fr-CA"/>
        </w:rPr>
        <w:t xml:space="preserve">that the accused’s behaviour </w:t>
      </w:r>
      <w:r w:rsidR="00C66947" w:rsidRPr="00B2562E">
        <w:rPr>
          <w:lang w:eastAsia="fr-CA"/>
        </w:rPr>
        <w:t>directly calls into question the authority of the courts.</w:t>
      </w:r>
    </w:p>
    <w:p w14:paraId="010D13F8" w14:textId="42F27BCF" w:rsidR="0012455D" w:rsidRPr="00B2562E" w:rsidRDefault="0012455D" w:rsidP="000E174F">
      <w:pPr>
        <w:pStyle w:val="Citationenretrait"/>
        <w:rPr>
          <w:lang w:eastAsia="fr-CA"/>
        </w:rPr>
      </w:pPr>
      <w:r w:rsidRPr="00B2562E">
        <w:rPr>
          <w:lang w:eastAsia="fr-CA"/>
        </w:rPr>
        <w:t>[84]</w:t>
      </w:r>
      <w:r w:rsidRPr="00B2562E">
        <w:rPr>
          <w:lang w:eastAsia="fr-CA"/>
        </w:rPr>
        <w:tab/>
      </w:r>
      <w:r w:rsidRPr="00B2562E">
        <w:rPr>
          <w:b/>
          <w:bCs/>
          <w:lang w:eastAsia="fr-CA"/>
        </w:rPr>
        <w:t>T</w:t>
      </w:r>
      <w:r w:rsidR="00C66947" w:rsidRPr="00B2562E">
        <w:rPr>
          <w:b/>
          <w:bCs/>
          <w:lang w:eastAsia="fr-CA"/>
        </w:rPr>
        <w:t>hird</w:t>
      </w:r>
      <w:r w:rsidRPr="00B2562E">
        <w:rPr>
          <w:lang w:eastAsia="fr-CA"/>
        </w:rPr>
        <w:t xml:space="preserve">, </w:t>
      </w:r>
      <w:r w:rsidR="00C66947" w:rsidRPr="00B2562E">
        <w:rPr>
          <w:lang w:eastAsia="fr-CA"/>
        </w:rPr>
        <w:t xml:space="preserve">the offences were committed in a </w:t>
      </w:r>
      <w:r w:rsidR="00622FB4" w:rsidRPr="00B2562E">
        <w:rPr>
          <w:lang w:eastAsia="fr-CA"/>
        </w:rPr>
        <w:t>holding</w:t>
      </w:r>
      <w:r w:rsidR="00C66947" w:rsidRPr="00B2562E">
        <w:rPr>
          <w:lang w:eastAsia="fr-CA"/>
        </w:rPr>
        <w:t xml:space="preserve"> cell at a courthouse.</w:t>
      </w:r>
      <w:r w:rsidRPr="00B2562E">
        <w:rPr>
          <w:lang w:eastAsia="fr-CA"/>
        </w:rPr>
        <w:t xml:space="preserve"> </w:t>
      </w:r>
      <w:r w:rsidR="00C66947" w:rsidRPr="00B2562E">
        <w:rPr>
          <w:lang w:eastAsia="fr-CA"/>
        </w:rPr>
        <w:t xml:space="preserve">In addition to being a gesture of </w:t>
      </w:r>
      <w:r w:rsidRPr="00B2562E">
        <w:rPr>
          <w:lang w:eastAsia="fr-CA"/>
        </w:rPr>
        <w:t>d</w:t>
      </w:r>
      <w:r w:rsidR="00C66947" w:rsidRPr="00B2562E">
        <w:rPr>
          <w:lang w:eastAsia="fr-CA"/>
        </w:rPr>
        <w:t>e</w:t>
      </w:r>
      <w:r w:rsidRPr="00B2562E">
        <w:rPr>
          <w:lang w:eastAsia="fr-CA"/>
        </w:rPr>
        <w:t xml:space="preserve">fiance </w:t>
      </w:r>
      <w:r w:rsidR="00C66947" w:rsidRPr="00B2562E">
        <w:rPr>
          <w:lang w:eastAsia="fr-CA"/>
        </w:rPr>
        <w:t>toward</w:t>
      </w:r>
      <w:r w:rsidR="00CA4815">
        <w:rPr>
          <w:lang w:eastAsia="fr-CA"/>
        </w:rPr>
        <w:t>s</w:t>
      </w:r>
      <w:r w:rsidR="00C66947" w:rsidRPr="00B2562E">
        <w:rPr>
          <w:lang w:eastAsia="fr-CA"/>
        </w:rPr>
        <w:t xml:space="preserve"> prison and justice system authorities, </w:t>
      </w:r>
      <w:r w:rsidR="00CA4815">
        <w:rPr>
          <w:lang w:eastAsia="fr-CA"/>
        </w:rPr>
        <w:t>it is common ground</w:t>
      </w:r>
      <w:r w:rsidR="00C66947" w:rsidRPr="00B2562E">
        <w:rPr>
          <w:lang w:eastAsia="fr-CA"/>
        </w:rPr>
        <w:t xml:space="preserve"> that </w:t>
      </w:r>
      <w:r w:rsidR="00CC531C">
        <w:rPr>
          <w:lang w:eastAsia="fr-CA"/>
        </w:rPr>
        <w:t>when</w:t>
      </w:r>
      <w:r w:rsidR="00CA4815">
        <w:rPr>
          <w:lang w:eastAsia="fr-CA"/>
        </w:rPr>
        <w:t xml:space="preserve"> an offender becomes disorganized in such an </w:t>
      </w:r>
      <w:r w:rsidR="00355ADF" w:rsidRPr="00B2562E">
        <w:rPr>
          <w:lang w:eastAsia="fr-CA"/>
        </w:rPr>
        <w:t>environment</w:t>
      </w:r>
      <w:r w:rsidR="00BF6E44">
        <w:rPr>
          <w:lang w:eastAsia="fr-CA"/>
        </w:rPr>
        <w:t>,</w:t>
      </w:r>
      <w:r w:rsidR="00355ADF" w:rsidRPr="00B2562E">
        <w:rPr>
          <w:lang w:eastAsia="fr-CA"/>
        </w:rPr>
        <w:t xml:space="preserve"> </w:t>
      </w:r>
      <w:r w:rsidR="00CC531C">
        <w:rPr>
          <w:lang w:eastAsia="fr-CA"/>
        </w:rPr>
        <w:t>it is likely to</w:t>
      </w:r>
      <w:r w:rsidR="00C66947" w:rsidRPr="00B2562E">
        <w:rPr>
          <w:lang w:eastAsia="fr-CA"/>
        </w:rPr>
        <w:t xml:space="preserve"> </w:t>
      </w:r>
      <w:r w:rsidR="00A254E0" w:rsidRPr="00B2562E">
        <w:rPr>
          <w:lang w:eastAsia="fr-CA"/>
        </w:rPr>
        <w:t>[</w:t>
      </w:r>
      <w:r w:rsidR="00A254E0" w:rsidRPr="00B2562E">
        <w:rPr>
          <w:smallCaps/>
          <w:lang w:eastAsia="fr-CA"/>
        </w:rPr>
        <w:t xml:space="preserve">translation] </w:t>
      </w:r>
      <w:r w:rsidR="00A254E0" w:rsidRPr="00B2562E">
        <w:rPr>
          <w:lang w:eastAsia="fr-CA"/>
        </w:rPr>
        <w:t>“</w:t>
      </w:r>
      <w:r w:rsidR="00CC531C" w:rsidRPr="00B2562E">
        <w:rPr>
          <w:lang w:eastAsia="fr-CA"/>
        </w:rPr>
        <w:t>complicat</w:t>
      </w:r>
      <w:r w:rsidR="00CC531C">
        <w:rPr>
          <w:lang w:eastAsia="fr-CA"/>
        </w:rPr>
        <w:t>e</w:t>
      </w:r>
      <w:r w:rsidR="00A254E0" w:rsidRPr="00B2562E">
        <w:rPr>
          <w:lang w:eastAsia="fr-CA"/>
        </w:rPr>
        <w:t>”</w:t>
      </w:r>
      <w:r w:rsidRPr="00B2562E">
        <w:rPr>
          <w:lang w:eastAsia="fr-CA"/>
        </w:rPr>
        <w:t xml:space="preserve"> </w:t>
      </w:r>
      <w:r w:rsidR="00C66947" w:rsidRPr="00B2562E">
        <w:rPr>
          <w:lang w:eastAsia="fr-CA"/>
        </w:rPr>
        <w:t xml:space="preserve">the </w:t>
      </w:r>
      <w:r w:rsidR="00CC531C">
        <w:rPr>
          <w:lang w:eastAsia="fr-CA"/>
        </w:rPr>
        <w:t>task</w:t>
      </w:r>
      <w:r w:rsidR="00CC531C" w:rsidRPr="00B2562E">
        <w:rPr>
          <w:lang w:eastAsia="fr-CA"/>
        </w:rPr>
        <w:t xml:space="preserve"> </w:t>
      </w:r>
      <w:r w:rsidR="00C66947" w:rsidRPr="00B2562E">
        <w:rPr>
          <w:lang w:eastAsia="fr-CA"/>
        </w:rPr>
        <w:t xml:space="preserve">of the </w:t>
      </w:r>
      <w:r w:rsidR="00CC531C" w:rsidRPr="00B2562E">
        <w:rPr>
          <w:lang w:eastAsia="fr-CA"/>
        </w:rPr>
        <w:t>correction</w:t>
      </w:r>
      <w:r w:rsidR="00CC531C">
        <w:rPr>
          <w:lang w:eastAsia="fr-CA"/>
        </w:rPr>
        <w:t>al</w:t>
      </w:r>
      <w:r w:rsidR="00CC531C" w:rsidRPr="00B2562E">
        <w:rPr>
          <w:lang w:eastAsia="fr-CA"/>
        </w:rPr>
        <w:t xml:space="preserve"> </w:t>
      </w:r>
      <w:r w:rsidR="00C66947" w:rsidRPr="00B2562E">
        <w:rPr>
          <w:lang w:eastAsia="fr-CA"/>
        </w:rPr>
        <w:t xml:space="preserve">officers in charge of maintaining order and the safety of the </w:t>
      </w:r>
      <w:r w:rsidRPr="00B2562E">
        <w:rPr>
          <w:lang w:eastAsia="fr-CA"/>
        </w:rPr>
        <w:t>individu</w:t>
      </w:r>
      <w:r w:rsidR="00C66947" w:rsidRPr="00B2562E">
        <w:rPr>
          <w:lang w:eastAsia="fr-CA"/>
        </w:rPr>
        <w:t>al</w:t>
      </w:r>
      <w:r w:rsidRPr="00B2562E">
        <w:rPr>
          <w:lang w:eastAsia="fr-CA"/>
        </w:rPr>
        <w:t xml:space="preserve">s </w:t>
      </w:r>
      <w:r w:rsidR="00C66947" w:rsidRPr="00B2562E">
        <w:rPr>
          <w:lang w:eastAsia="fr-CA"/>
        </w:rPr>
        <w:t>under their responsibility.</w:t>
      </w:r>
    </w:p>
    <w:p w14:paraId="6DC3C205" w14:textId="6B8483B2" w:rsidR="0012455D" w:rsidRPr="00B2562E" w:rsidRDefault="0012455D" w:rsidP="000E174F">
      <w:pPr>
        <w:pStyle w:val="Citationenretrait"/>
        <w:rPr>
          <w:lang w:eastAsia="fr-CA"/>
        </w:rPr>
      </w:pPr>
      <w:r w:rsidRPr="00B2562E">
        <w:rPr>
          <w:lang w:eastAsia="fr-CA"/>
        </w:rPr>
        <w:t>[85]</w:t>
      </w:r>
      <w:r w:rsidRPr="00B2562E">
        <w:rPr>
          <w:rFonts w:ascii="Times New Roman" w:hAnsi="Times New Roman"/>
          <w:lang w:eastAsia="fr-CA"/>
        </w:rPr>
        <w:tab/>
      </w:r>
      <w:r w:rsidR="00C66947" w:rsidRPr="00B2562E">
        <w:rPr>
          <w:b/>
          <w:bCs/>
          <w:lang w:eastAsia="fr-CA"/>
        </w:rPr>
        <w:t>Fourth</w:t>
      </w:r>
      <w:r w:rsidRPr="00B2562E">
        <w:rPr>
          <w:lang w:eastAsia="fr-CA"/>
        </w:rPr>
        <w:t xml:space="preserve">, </w:t>
      </w:r>
      <w:r w:rsidR="00DA0C61" w:rsidRPr="00B2562E">
        <w:rPr>
          <w:lang w:eastAsia="fr-CA"/>
        </w:rPr>
        <w:t>the accused</w:t>
      </w:r>
      <w:r w:rsidRPr="00B2562E">
        <w:rPr>
          <w:lang w:eastAsia="fr-CA"/>
        </w:rPr>
        <w:t xml:space="preserve"> </w:t>
      </w:r>
      <w:r w:rsidR="00C66947" w:rsidRPr="00B2562E">
        <w:rPr>
          <w:lang w:eastAsia="fr-CA"/>
        </w:rPr>
        <w:t xml:space="preserve">caused </w:t>
      </w:r>
      <w:r w:rsidR="00650AAC">
        <w:rPr>
          <w:lang w:eastAsia="fr-CA"/>
        </w:rPr>
        <w:t>over</w:t>
      </w:r>
      <w:r w:rsidR="00C66947" w:rsidRPr="00B2562E">
        <w:rPr>
          <w:lang w:eastAsia="fr-CA"/>
        </w:rPr>
        <w:t xml:space="preserve"> $4,800 in damage</w:t>
      </w:r>
      <w:r w:rsidR="00A254E0" w:rsidRPr="00B2562E">
        <w:rPr>
          <w:lang w:eastAsia="fr-CA"/>
        </w:rPr>
        <w:t>s</w:t>
      </w:r>
      <w:r w:rsidR="00C66947" w:rsidRPr="00B2562E">
        <w:rPr>
          <w:lang w:eastAsia="fr-CA"/>
        </w:rPr>
        <w:t xml:space="preserve">. The Court </w:t>
      </w:r>
      <w:r w:rsidR="00831976">
        <w:rPr>
          <w:lang w:eastAsia="fr-CA"/>
        </w:rPr>
        <w:t>notes</w:t>
      </w:r>
      <w:r w:rsidR="00C66947" w:rsidRPr="00B2562E">
        <w:rPr>
          <w:lang w:eastAsia="fr-CA"/>
        </w:rPr>
        <w:t xml:space="preserve"> here that all citizens, through their income taxes, </w:t>
      </w:r>
      <w:r w:rsidR="00831976">
        <w:rPr>
          <w:lang w:eastAsia="fr-CA"/>
        </w:rPr>
        <w:t>must</w:t>
      </w:r>
      <w:r w:rsidR="00C66947" w:rsidRPr="00B2562E">
        <w:rPr>
          <w:lang w:eastAsia="fr-CA"/>
        </w:rPr>
        <w:t xml:space="preserve"> pay </w:t>
      </w:r>
      <w:r w:rsidR="003B27A6" w:rsidRPr="00B2562E">
        <w:rPr>
          <w:lang w:eastAsia="fr-CA"/>
        </w:rPr>
        <w:t xml:space="preserve">for </w:t>
      </w:r>
      <w:r w:rsidR="00C66947" w:rsidRPr="00B2562E">
        <w:rPr>
          <w:lang w:eastAsia="fr-CA"/>
        </w:rPr>
        <w:t xml:space="preserve">the damage caused by </w:t>
      </w:r>
      <w:r w:rsidR="0056471E" w:rsidRPr="00B2562E">
        <w:rPr>
          <w:lang w:eastAsia="fr-CA"/>
        </w:rPr>
        <w:t xml:space="preserve">the </w:t>
      </w:r>
      <w:r w:rsidR="00831976">
        <w:rPr>
          <w:lang w:eastAsia="fr-CA"/>
        </w:rPr>
        <w:t>mood swing</w:t>
      </w:r>
      <w:r w:rsidR="00831976" w:rsidRPr="00B2562E">
        <w:rPr>
          <w:lang w:eastAsia="fr-CA"/>
        </w:rPr>
        <w:t xml:space="preserve"> </w:t>
      </w:r>
      <w:r w:rsidR="0056471E" w:rsidRPr="00B2562E">
        <w:rPr>
          <w:lang w:eastAsia="fr-CA"/>
        </w:rPr>
        <w:t xml:space="preserve">of </w:t>
      </w:r>
      <w:r w:rsidR="00DA0C61" w:rsidRPr="00B2562E">
        <w:rPr>
          <w:lang w:eastAsia="fr-CA"/>
        </w:rPr>
        <w:t>the accused</w:t>
      </w:r>
      <w:r w:rsidR="00831976">
        <w:rPr>
          <w:lang w:eastAsia="fr-CA"/>
        </w:rPr>
        <w:t>,</w:t>
      </w:r>
      <w:r w:rsidRPr="00B2562E">
        <w:rPr>
          <w:lang w:eastAsia="fr-CA"/>
        </w:rPr>
        <w:t xml:space="preserve"> </w:t>
      </w:r>
      <w:r w:rsidR="0056471E" w:rsidRPr="00B2562E">
        <w:rPr>
          <w:lang w:eastAsia="fr-CA"/>
        </w:rPr>
        <w:t xml:space="preserve">who wanted to have what the </w:t>
      </w:r>
      <w:r w:rsidR="00CC531C" w:rsidRPr="00B2562E">
        <w:rPr>
          <w:lang w:eastAsia="fr-CA"/>
        </w:rPr>
        <w:t>correction</w:t>
      </w:r>
      <w:r w:rsidR="00CC531C">
        <w:rPr>
          <w:lang w:eastAsia="fr-CA"/>
        </w:rPr>
        <w:t>al</w:t>
      </w:r>
      <w:r w:rsidR="00CC531C" w:rsidRPr="00B2562E">
        <w:rPr>
          <w:lang w:eastAsia="fr-CA"/>
        </w:rPr>
        <w:t xml:space="preserve"> </w:t>
      </w:r>
      <w:r w:rsidR="0056471E" w:rsidRPr="00B2562E">
        <w:rPr>
          <w:lang w:eastAsia="fr-CA"/>
        </w:rPr>
        <w:t>officers were eating.</w:t>
      </w:r>
    </w:p>
    <w:p w14:paraId="09F72B1D" w14:textId="4D22DED1" w:rsidR="0012455D" w:rsidRPr="00B2562E" w:rsidRDefault="0012455D" w:rsidP="000E174F">
      <w:pPr>
        <w:pStyle w:val="Citationenretrait"/>
        <w:rPr>
          <w:lang w:eastAsia="fr-CA"/>
        </w:rPr>
      </w:pPr>
      <w:r w:rsidRPr="00B2562E">
        <w:rPr>
          <w:lang w:eastAsia="fr-CA"/>
        </w:rPr>
        <w:t>[86]</w:t>
      </w:r>
      <w:r w:rsidRPr="00B2562E">
        <w:rPr>
          <w:rFonts w:ascii="Times New Roman" w:hAnsi="Times New Roman"/>
          <w:lang w:eastAsia="fr-CA"/>
        </w:rPr>
        <w:tab/>
      </w:r>
      <w:r w:rsidR="0056471E" w:rsidRPr="00B2562E">
        <w:rPr>
          <w:b/>
          <w:bCs/>
          <w:lang w:eastAsia="fr-CA"/>
        </w:rPr>
        <w:t>Fifth</w:t>
      </w:r>
      <w:r w:rsidRPr="00B2562E">
        <w:rPr>
          <w:lang w:eastAsia="fr-CA"/>
        </w:rPr>
        <w:t xml:space="preserve">, </w:t>
      </w:r>
      <w:r w:rsidR="0056471E" w:rsidRPr="00B2562E">
        <w:rPr>
          <w:lang w:eastAsia="fr-CA"/>
        </w:rPr>
        <w:t xml:space="preserve">the offences of November 29, </w:t>
      </w:r>
      <w:r w:rsidRPr="00B2562E">
        <w:rPr>
          <w:lang w:eastAsia="fr-CA"/>
        </w:rPr>
        <w:t>2019</w:t>
      </w:r>
      <w:r w:rsidR="00450C44">
        <w:rPr>
          <w:lang w:eastAsia="fr-CA"/>
        </w:rPr>
        <w:t>,</w:t>
      </w:r>
      <w:r w:rsidRPr="00B2562E">
        <w:rPr>
          <w:lang w:eastAsia="fr-CA"/>
        </w:rPr>
        <w:t xml:space="preserve"> </w:t>
      </w:r>
      <w:r w:rsidR="00860A7C" w:rsidRPr="00B2562E">
        <w:rPr>
          <w:lang w:eastAsia="fr-CA"/>
        </w:rPr>
        <w:t xml:space="preserve">are </w:t>
      </w:r>
      <w:r w:rsidR="00450C44">
        <w:rPr>
          <w:lang w:eastAsia="fr-CA"/>
        </w:rPr>
        <w:t>un</w:t>
      </w:r>
      <w:r w:rsidR="00860A7C" w:rsidRPr="00B2562E">
        <w:rPr>
          <w:lang w:eastAsia="fr-CA"/>
        </w:rPr>
        <w:t xml:space="preserve">related to the offences for which </w:t>
      </w:r>
      <w:r w:rsidR="00DA0C61" w:rsidRPr="00B2562E">
        <w:rPr>
          <w:lang w:eastAsia="fr-CA"/>
        </w:rPr>
        <w:t>the accused</w:t>
      </w:r>
      <w:r w:rsidRPr="00B2562E">
        <w:rPr>
          <w:lang w:eastAsia="fr-CA"/>
        </w:rPr>
        <w:t xml:space="preserve"> </w:t>
      </w:r>
      <w:r w:rsidR="00860A7C" w:rsidRPr="00B2562E">
        <w:rPr>
          <w:lang w:eastAsia="fr-CA"/>
        </w:rPr>
        <w:t xml:space="preserve">received a </w:t>
      </w:r>
      <w:r w:rsidR="009769F6" w:rsidRPr="00B2562E">
        <w:rPr>
          <w:lang w:eastAsia="fr-CA"/>
        </w:rPr>
        <w:t>global sentence</w:t>
      </w:r>
      <w:r w:rsidR="00860A7C" w:rsidRPr="00B2562E">
        <w:rPr>
          <w:lang w:eastAsia="fr-CA"/>
        </w:rPr>
        <w:t xml:space="preserve"> in April </w:t>
      </w:r>
      <w:r w:rsidRPr="00B2562E">
        <w:rPr>
          <w:lang w:eastAsia="fr-CA"/>
        </w:rPr>
        <w:t xml:space="preserve">2020 </w:t>
      </w:r>
      <w:r w:rsidR="00860A7C" w:rsidRPr="00B2562E">
        <w:rPr>
          <w:lang w:eastAsia="fr-CA"/>
        </w:rPr>
        <w:t xml:space="preserve">in </w:t>
      </w:r>
      <w:r w:rsidRPr="00B2562E">
        <w:rPr>
          <w:lang w:eastAsia="fr-CA"/>
        </w:rPr>
        <w:t>Montr</w:t>
      </w:r>
      <w:r w:rsidR="00860A7C" w:rsidRPr="00B2562E">
        <w:rPr>
          <w:lang w:eastAsia="fr-CA"/>
        </w:rPr>
        <w:t>e</w:t>
      </w:r>
      <w:r w:rsidRPr="00B2562E">
        <w:rPr>
          <w:lang w:eastAsia="fr-CA"/>
        </w:rPr>
        <w:t xml:space="preserve">al </w:t>
      </w:r>
      <w:r w:rsidR="00860A7C" w:rsidRPr="00B2562E">
        <w:rPr>
          <w:lang w:eastAsia="fr-CA"/>
        </w:rPr>
        <w:t xml:space="preserve">and </w:t>
      </w:r>
      <w:r w:rsidRPr="00B2562E">
        <w:rPr>
          <w:lang w:eastAsia="fr-CA"/>
        </w:rPr>
        <w:t xml:space="preserve">Laval. </w:t>
      </w:r>
      <w:r w:rsidR="00860A7C" w:rsidRPr="00B2562E">
        <w:rPr>
          <w:lang w:eastAsia="fr-CA"/>
        </w:rPr>
        <w:t xml:space="preserve">Indeed, according to the </w:t>
      </w:r>
      <w:r w:rsidR="00450C44">
        <w:rPr>
          <w:lang w:eastAsia="fr-CA"/>
        </w:rPr>
        <w:t>prior convictions</w:t>
      </w:r>
      <w:r w:rsidR="00AD4BBF" w:rsidRPr="00B2562E">
        <w:rPr>
          <w:lang w:eastAsia="fr-CA"/>
        </w:rPr>
        <w:t xml:space="preserve"> </w:t>
      </w:r>
      <w:r w:rsidR="00860A7C" w:rsidRPr="00B2562E">
        <w:rPr>
          <w:lang w:eastAsia="fr-CA"/>
        </w:rPr>
        <w:t xml:space="preserve">and the pre-sentencing report, </w:t>
      </w:r>
      <w:r w:rsidR="00450C44">
        <w:rPr>
          <w:lang w:eastAsia="fr-CA"/>
        </w:rPr>
        <w:t xml:space="preserve">most of </w:t>
      </w:r>
      <w:r w:rsidR="00860A7C" w:rsidRPr="00B2562E">
        <w:rPr>
          <w:lang w:eastAsia="fr-CA"/>
        </w:rPr>
        <w:t>these sentence</w:t>
      </w:r>
      <w:r w:rsidR="00AD4BBF" w:rsidRPr="00B2562E">
        <w:rPr>
          <w:lang w:eastAsia="fr-CA"/>
        </w:rPr>
        <w:t>s were for shoplifting</w:t>
      </w:r>
      <w:r w:rsidR="00860A7C" w:rsidRPr="00B2562E">
        <w:rPr>
          <w:lang w:eastAsia="fr-CA"/>
        </w:rPr>
        <w:t>, credit card fraud</w:t>
      </w:r>
      <w:r w:rsidR="00587C35">
        <w:rPr>
          <w:lang w:eastAsia="fr-CA"/>
        </w:rPr>
        <w:t>,</w:t>
      </w:r>
      <w:r w:rsidR="00860A7C" w:rsidRPr="00B2562E">
        <w:rPr>
          <w:lang w:eastAsia="fr-CA"/>
        </w:rPr>
        <w:t xml:space="preserve"> and </w:t>
      </w:r>
      <w:r w:rsidR="00587C35">
        <w:rPr>
          <w:lang w:eastAsia="fr-CA"/>
        </w:rPr>
        <w:t>breach of</w:t>
      </w:r>
      <w:r w:rsidR="00587C35" w:rsidRPr="00B2562E">
        <w:rPr>
          <w:lang w:eastAsia="fr-CA"/>
        </w:rPr>
        <w:t xml:space="preserve"> </w:t>
      </w:r>
      <w:r w:rsidRPr="00B2562E">
        <w:rPr>
          <w:lang w:eastAsia="fr-CA"/>
        </w:rPr>
        <w:t xml:space="preserve">probation. </w:t>
      </w:r>
      <w:r w:rsidR="00860A7C" w:rsidRPr="00B2562E">
        <w:rPr>
          <w:lang w:eastAsia="fr-CA"/>
        </w:rPr>
        <w:t xml:space="preserve">In addition, these offences dated </w:t>
      </w:r>
      <w:r w:rsidR="00932CBC" w:rsidRPr="00B2562E">
        <w:rPr>
          <w:lang w:eastAsia="fr-CA"/>
        </w:rPr>
        <w:t xml:space="preserve">back to </w:t>
      </w:r>
      <w:r w:rsidR="00860A7C" w:rsidRPr="00B2562E">
        <w:rPr>
          <w:lang w:eastAsia="fr-CA"/>
        </w:rPr>
        <w:t xml:space="preserve">September </w:t>
      </w:r>
      <w:r w:rsidRPr="00B2562E">
        <w:rPr>
          <w:lang w:eastAsia="fr-CA"/>
        </w:rPr>
        <w:t xml:space="preserve">2015, </w:t>
      </w:r>
      <w:r w:rsidR="00860A7C" w:rsidRPr="00B2562E">
        <w:rPr>
          <w:lang w:eastAsia="fr-CA"/>
        </w:rPr>
        <w:t xml:space="preserve">or took place during a continuous period from October </w:t>
      </w:r>
      <w:r w:rsidRPr="00B2562E">
        <w:rPr>
          <w:lang w:eastAsia="fr-CA"/>
        </w:rPr>
        <w:t xml:space="preserve">2018 </w:t>
      </w:r>
      <w:r w:rsidR="00860A7C" w:rsidRPr="00B2562E">
        <w:rPr>
          <w:lang w:eastAsia="fr-CA"/>
        </w:rPr>
        <w:t>to August</w:t>
      </w:r>
      <w:r w:rsidRPr="00B2562E">
        <w:rPr>
          <w:lang w:eastAsia="fr-CA"/>
        </w:rPr>
        <w:t xml:space="preserve"> 2019. </w:t>
      </w:r>
      <w:r w:rsidR="00860A7C" w:rsidRPr="00B2562E">
        <w:rPr>
          <w:lang w:eastAsia="fr-CA"/>
        </w:rPr>
        <w:t xml:space="preserve">In other words, the offences committed on November 29, </w:t>
      </w:r>
      <w:r w:rsidRPr="00B2562E">
        <w:rPr>
          <w:lang w:eastAsia="fr-CA"/>
        </w:rPr>
        <w:t>2019</w:t>
      </w:r>
      <w:r w:rsidR="00587C35">
        <w:rPr>
          <w:lang w:eastAsia="fr-CA"/>
        </w:rPr>
        <w:t>,</w:t>
      </w:r>
      <w:r w:rsidRPr="00B2562E">
        <w:rPr>
          <w:lang w:eastAsia="fr-CA"/>
        </w:rPr>
        <w:t xml:space="preserve"> </w:t>
      </w:r>
      <w:r w:rsidR="00860A7C" w:rsidRPr="00B2562E">
        <w:rPr>
          <w:lang w:eastAsia="fr-CA"/>
        </w:rPr>
        <w:t xml:space="preserve">are completely separate from those for which the </w:t>
      </w:r>
      <w:r w:rsidR="00DA0C61" w:rsidRPr="00B2562E">
        <w:rPr>
          <w:lang w:eastAsia="fr-CA"/>
        </w:rPr>
        <w:t>accused</w:t>
      </w:r>
      <w:r w:rsidRPr="00B2562E">
        <w:rPr>
          <w:lang w:eastAsia="fr-CA"/>
        </w:rPr>
        <w:t xml:space="preserve"> </w:t>
      </w:r>
      <w:r w:rsidR="00860A7C" w:rsidRPr="00B2562E">
        <w:rPr>
          <w:lang w:eastAsia="fr-CA"/>
        </w:rPr>
        <w:t xml:space="preserve">received a </w:t>
      </w:r>
      <w:r w:rsidR="00587C35">
        <w:rPr>
          <w:lang w:eastAsia="fr-CA"/>
        </w:rPr>
        <w:t xml:space="preserve">comprehensive </w:t>
      </w:r>
      <w:r w:rsidR="000E492E">
        <w:rPr>
          <w:lang w:eastAsia="fr-CA"/>
        </w:rPr>
        <w:t>resolution</w:t>
      </w:r>
      <w:r w:rsidRPr="00B2562E">
        <w:rPr>
          <w:lang w:eastAsia="fr-CA"/>
        </w:rPr>
        <w:t>. Cl</w:t>
      </w:r>
      <w:r w:rsidR="004F16DB" w:rsidRPr="00B2562E">
        <w:rPr>
          <w:lang w:eastAsia="fr-CA"/>
        </w:rPr>
        <w:t>e</w:t>
      </w:r>
      <w:r w:rsidRPr="00B2562E">
        <w:rPr>
          <w:lang w:eastAsia="fr-CA"/>
        </w:rPr>
        <w:t>a</w:t>
      </w:r>
      <w:r w:rsidR="004F16DB" w:rsidRPr="00B2562E">
        <w:rPr>
          <w:lang w:eastAsia="fr-CA"/>
        </w:rPr>
        <w:t xml:space="preserve">rly, they are not </w:t>
      </w:r>
      <w:r w:rsidR="000E492E">
        <w:rPr>
          <w:lang w:eastAsia="fr-CA"/>
        </w:rPr>
        <w:t xml:space="preserve">on the same </w:t>
      </w:r>
      <w:r w:rsidR="00587C35">
        <w:rPr>
          <w:lang w:eastAsia="fr-CA"/>
        </w:rPr>
        <w:t xml:space="preserve">time </w:t>
      </w:r>
      <w:r w:rsidRPr="00B2562E">
        <w:rPr>
          <w:lang w:eastAsia="fr-CA"/>
        </w:rPr>
        <w:t xml:space="preserve">continuum </w:t>
      </w:r>
      <w:r w:rsidR="004F16DB" w:rsidRPr="00B2562E">
        <w:rPr>
          <w:lang w:eastAsia="fr-CA"/>
        </w:rPr>
        <w:t>or</w:t>
      </w:r>
      <w:r w:rsidR="000E492E">
        <w:rPr>
          <w:lang w:eastAsia="fr-CA"/>
        </w:rPr>
        <w:t xml:space="preserve"> part</w:t>
      </w:r>
      <w:r w:rsidR="004F16DB" w:rsidRPr="00B2562E">
        <w:rPr>
          <w:lang w:eastAsia="fr-CA"/>
        </w:rPr>
        <w:t xml:space="preserve"> of the same criminal </w:t>
      </w:r>
      <w:r w:rsidR="00CE61DA" w:rsidRPr="00B2562E">
        <w:rPr>
          <w:lang w:eastAsia="fr-CA"/>
        </w:rPr>
        <w:t>venture</w:t>
      </w:r>
      <w:r w:rsidR="004F16DB" w:rsidRPr="00B2562E">
        <w:rPr>
          <w:lang w:eastAsia="fr-CA"/>
        </w:rPr>
        <w:t>.</w:t>
      </w:r>
      <w:r w:rsidRPr="00B2562E">
        <w:rPr>
          <w:lang w:eastAsia="fr-CA"/>
        </w:rPr>
        <w:t xml:space="preserve"> </w:t>
      </w:r>
      <w:r w:rsidR="004F16DB" w:rsidRPr="00B2562E">
        <w:rPr>
          <w:lang w:eastAsia="fr-CA"/>
        </w:rPr>
        <w:t>Furthermore, the</w:t>
      </w:r>
      <w:r w:rsidRPr="00B2562E">
        <w:rPr>
          <w:lang w:eastAsia="fr-CA"/>
        </w:rPr>
        <w:t xml:space="preserve"> </w:t>
      </w:r>
      <w:r w:rsidR="009326F2" w:rsidRPr="00B2562E">
        <w:rPr>
          <w:lang w:eastAsia="fr-CA"/>
        </w:rPr>
        <w:t>Court finds</w:t>
      </w:r>
      <w:r w:rsidR="004F16DB" w:rsidRPr="00B2562E">
        <w:rPr>
          <w:lang w:eastAsia="fr-CA"/>
        </w:rPr>
        <w:t xml:space="preserve"> that in </w:t>
      </w:r>
      <w:r w:rsidR="009326F2">
        <w:rPr>
          <w:lang w:eastAsia="fr-CA"/>
        </w:rPr>
        <w:t>this</w:t>
      </w:r>
      <w:r w:rsidR="004F16DB" w:rsidRPr="00B2562E">
        <w:rPr>
          <w:lang w:eastAsia="fr-CA"/>
        </w:rPr>
        <w:t xml:space="preserve"> case, a consecutive sentence does not at all infringe on the </w:t>
      </w:r>
      <w:r w:rsidR="00D76B03" w:rsidRPr="00B2562E">
        <w:rPr>
          <w:lang w:eastAsia="fr-CA"/>
        </w:rPr>
        <w:t xml:space="preserve">totality </w:t>
      </w:r>
      <w:r w:rsidR="004F16DB" w:rsidRPr="00B2562E">
        <w:rPr>
          <w:lang w:eastAsia="fr-CA"/>
        </w:rPr>
        <w:t>principle.</w:t>
      </w:r>
    </w:p>
    <w:p w14:paraId="6A3DA8C3" w14:textId="393B4903" w:rsidR="0012455D" w:rsidRPr="00B2562E" w:rsidRDefault="0012455D" w:rsidP="000E174F">
      <w:pPr>
        <w:pStyle w:val="Citationenretrait"/>
        <w:rPr>
          <w:lang w:eastAsia="fr-CA"/>
        </w:rPr>
      </w:pPr>
      <w:r w:rsidRPr="00B2562E">
        <w:rPr>
          <w:lang w:eastAsia="fr-CA"/>
        </w:rPr>
        <w:t>[</w:t>
      </w:r>
      <w:bookmarkStart w:id="40" w:name="par87"/>
      <w:r w:rsidRPr="00B2562E">
        <w:rPr>
          <w:lang w:eastAsia="fr-CA"/>
        </w:rPr>
        <w:t>87</w:t>
      </w:r>
      <w:bookmarkEnd w:id="40"/>
      <w:r w:rsidRPr="00B2562E">
        <w:rPr>
          <w:lang w:eastAsia="fr-CA"/>
        </w:rPr>
        <w:t>]</w:t>
      </w:r>
      <w:r w:rsidRPr="00B2562E">
        <w:rPr>
          <w:rFonts w:ascii="Times New Roman" w:hAnsi="Times New Roman"/>
          <w:lang w:eastAsia="fr-CA"/>
        </w:rPr>
        <w:tab/>
      </w:r>
      <w:r w:rsidRPr="00B2562E">
        <w:rPr>
          <w:b/>
          <w:bCs/>
          <w:lang w:eastAsia="fr-CA"/>
        </w:rPr>
        <w:t>Six</w:t>
      </w:r>
      <w:r w:rsidR="008E1FBE" w:rsidRPr="00B2562E">
        <w:rPr>
          <w:b/>
          <w:bCs/>
          <w:lang w:eastAsia="fr-CA"/>
        </w:rPr>
        <w:t>th</w:t>
      </w:r>
      <w:r w:rsidRPr="00B2562E">
        <w:rPr>
          <w:lang w:eastAsia="fr-CA"/>
        </w:rPr>
        <w:t xml:space="preserve">, </w:t>
      </w:r>
      <w:r w:rsidR="008E1FBE" w:rsidRPr="00B2562E">
        <w:rPr>
          <w:lang w:eastAsia="fr-CA"/>
        </w:rPr>
        <w:t xml:space="preserve">the </w:t>
      </w:r>
      <w:bookmarkStart w:id="41" w:name="_Hlk132383259"/>
      <w:r w:rsidR="008E1FBE" w:rsidRPr="00B2562E">
        <w:rPr>
          <w:lang w:eastAsia="fr-CA"/>
        </w:rPr>
        <w:t xml:space="preserve">expert </w:t>
      </w:r>
      <w:r w:rsidR="009326F2" w:rsidRPr="00B2562E">
        <w:rPr>
          <w:lang w:eastAsia="fr-CA"/>
        </w:rPr>
        <w:t xml:space="preserve">psychiatric </w:t>
      </w:r>
      <w:bookmarkEnd w:id="41"/>
      <w:r w:rsidR="009326F2">
        <w:rPr>
          <w:lang w:eastAsia="fr-CA"/>
        </w:rPr>
        <w:t xml:space="preserve">report </w:t>
      </w:r>
      <w:r w:rsidR="00867B9B" w:rsidRPr="00867B9B">
        <w:rPr>
          <w:lang w:eastAsia="fr-CA"/>
        </w:rPr>
        <w:t>dated March 17, 2020</w:t>
      </w:r>
      <w:r w:rsidR="00867B9B">
        <w:rPr>
          <w:lang w:eastAsia="fr-CA"/>
        </w:rPr>
        <w:t xml:space="preserve">, </w:t>
      </w:r>
      <w:r w:rsidRPr="00B2562E">
        <w:rPr>
          <w:lang w:eastAsia="fr-CA"/>
        </w:rPr>
        <w:t>pr</w:t>
      </w:r>
      <w:r w:rsidR="008E1FBE" w:rsidRPr="00B2562E">
        <w:rPr>
          <w:lang w:eastAsia="fr-CA"/>
        </w:rPr>
        <w:t xml:space="preserve">epared for the Montreal </w:t>
      </w:r>
      <w:r w:rsidR="00631D9F">
        <w:rPr>
          <w:lang w:eastAsia="fr-CA"/>
        </w:rPr>
        <w:t>files</w:t>
      </w:r>
      <w:r w:rsidR="00867B9B">
        <w:rPr>
          <w:lang w:eastAsia="fr-CA"/>
        </w:rPr>
        <w:t xml:space="preserve"> indicates</w:t>
      </w:r>
      <w:r w:rsidR="008E1FBE" w:rsidRPr="00B2562E">
        <w:rPr>
          <w:lang w:eastAsia="fr-CA"/>
        </w:rPr>
        <w:t xml:space="preserve"> that </w:t>
      </w:r>
      <w:r w:rsidR="00DA0C61" w:rsidRPr="00B2562E">
        <w:rPr>
          <w:lang w:eastAsia="fr-CA"/>
        </w:rPr>
        <w:t>the accused</w:t>
      </w:r>
      <w:r w:rsidRPr="00B2562E">
        <w:rPr>
          <w:lang w:eastAsia="fr-CA"/>
        </w:rPr>
        <w:t xml:space="preserve"> </w:t>
      </w:r>
      <w:r w:rsidR="008E1FBE" w:rsidRPr="00B2562E">
        <w:rPr>
          <w:lang w:eastAsia="fr-CA"/>
        </w:rPr>
        <w:t xml:space="preserve">does not </w:t>
      </w:r>
      <w:r w:rsidR="009326F2">
        <w:rPr>
          <w:lang w:eastAsia="fr-CA"/>
        </w:rPr>
        <w:t>appear to suffer</w:t>
      </w:r>
      <w:r w:rsidR="008E1FBE" w:rsidRPr="00B2562E">
        <w:rPr>
          <w:lang w:eastAsia="fr-CA"/>
        </w:rPr>
        <w:t xml:space="preserve"> from </w:t>
      </w:r>
      <w:r w:rsidR="00D91A3F">
        <w:rPr>
          <w:lang w:eastAsia="fr-CA"/>
        </w:rPr>
        <w:t>a known</w:t>
      </w:r>
      <w:r w:rsidR="00CC0353" w:rsidRPr="00B2562E">
        <w:rPr>
          <w:lang w:eastAsia="fr-CA"/>
        </w:rPr>
        <w:t xml:space="preserve"> anxiety disorder. </w:t>
      </w:r>
      <w:r w:rsidR="009326F2">
        <w:rPr>
          <w:lang w:eastAsia="fr-CA"/>
        </w:rPr>
        <w:t>P</w:t>
      </w:r>
      <w:r w:rsidRPr="00B2562E">
        <w:rPr>
          <w:lang w:eastAsia="fr-CA"/>
        </w:rPr>
        <w:t>sychiatr</w:t>
      </w:r>
      <w:r w:rsidR="00CC0353" w:rsidRPr="00B2562E">
        <w:rPr>
          <w:lang w:eastAsia="fr-CA"/>
        </w:rPr>
        <w:t>ist</w:t>
      </w:r>
      <w:r w:rsidRPr="00B2562E">
        <w:rPr>
          <w:lang w:eastAsia="fr-CA"/>
        </w:rPr>
        <w:t xml:space="preserve"> Marion Pastor </w:t>
      </w:r>
      <w:r w:rsidR="009326F2" w:rsidRPr="00B2562E">
        <w:rPr>
          <w:lang w:eastAsia="fr-CA"/>
        </w:rPr>
        <w:t>state</w:t>
      </w:r>
      <w:r w:rsidR="009326F2">
        <w:rPr>
          <w:lang w:eastAsia="fr-CA"/>
        </w:rPr>
        <w:t>d</w:t>
      </w:r>
      <w:r w:rsidR="009326F2" w:rsidRPr="00B2562E">
        <w:rPr>
          <w:lang w:eastAsia="fr-CA"/>
        </w:rPr>
        <w:t xml:space="preserve"> </w:t>
      </w:r>
      <w:r w:rsidR="00CC0353" w:rsidRPr="00B2562E">
        <w:rPr>
          <w:lang w:eastAsia="fr-CA"/>
        </w:rPr>
        <w:t xml:space="preserve">that </w:t>
      </w:r>
      <w:r w:rsidR="00DA0C61" w:rsidRPr="00B2562E">
        <w:rPr>
          <w:lang w:eastAsia="fr-CA"/>
        </w:rPr>
        <w:t>the accused</w:t>
      </w:r>
      <w:r w:rsidRPr="00B2562E">
        <w:rPr>
          <w:lang w:eastAsia="fr-CA"/>
        </w:rPr>
        <w:t xml:space="preserve"> </w:t>
      </w:r>
      <w:r w:rsidR="009326F2">
        <w:rPr>
          <w:lang w:eastAsia="fr-CA"/>
        </w:rPr>
        <w:t>appears</w:t>
      </w:r>
      <w:r w:rsidR="009326F2" w:rsidRPr="00B2562E">
        <w:rPr>
          <w:lang w:eastAsia="fr-CA"/>
        </w:rPr>
        <w:t xml:space="preserve"> </w:t>
      </w:r>
      <w:r w:rsidR="00CC0353" w:rsidRPr="00B2562E">
        <w:rPr>
          <w:lang w:eastAsia="fr-CA"/>
        </w:rPr>
        <w:t xml:space="preserve">to present </w:t>
      </w:r>
      <w:r w:rsidR="009326F2">
        <w:rPr>
          <w:lang w:eastAsia="fr-CA"/>
        </w:rPr>
        <w:t xml:space="preserve">with </w:t>
      </w:r>
      <w:r w:rsidR="00CC0353" w:rsidRPr="00B2562E">
        <w:rPr>
          <w:lang w:eastAsia="fr-CA"/>
        </w:rPr>
        <w:t xml:space="preserve">antisocial personality disorder. However, </w:t>
      </w:r>
      <w:r w:rsidR="00D91A3F" w:rsidRPr="00B2562E">
        <w:rPr>
          <w:lang w:eastAsia="fr-CA"/>
        </w:rPr>
        <w:t>th</w:t>
      </w:r>
      <w:r w:rsidR="00D91A3F">
        <w:rPr>
          <w:lang w:eastAsia="fr-CA"/>
        </w:rPr>
        <w:t>e</w:t>
      </w:r>
      <w:r w:rsidR="00D91A3F" w:rsidRPr="00B2562E">
        <w:rPr>
          <w:lang w:eastAsia="fr-CA"/>
        </w:rPr>
        <w:t xml:space="preserve"> </w:t>
      </w:r>
      <w:r w:rsidR="00CC0353" w:rsidRPr="00B2562E">
        <w:rPr>
          <w:lang w:eastAsia="fr-CA"/>
        </w:rPr>
        <w:t xml:space="preserve">disorder </w:t>
      </w:r>
      <w:r w:rsidR="00D91A3F">
        <w:rPr>
          <w:lang w:eastAsia="fr-CA"/>
        </w:rPr>
        <w:t>appears</w:t>
      </w:r>
      <w:r w:rsidR="00D91A3F" w:rsidRPr="00B2562E">
        <w:rPr>
          <w:lang w:eastAsia="fr-CA"/>
        </w:rPr>
        <w:t xml:space="preserve"> </w:t>
      </w:r>
      <w:r w:rsidR="00CC0353" w:rsidRPr="00B2562E">
        <w:rPr>
          <w:lang w:eastAsia="fr-CA"/>
        </w:rPr>
        <w:t>to have stabilized in the past few years.</w:t>
      </w:r>
      <w:r w:rsidRPr="00B2562E">
        <w:rPr>
          <w:lang w:eastAsia="fr-CA"/>
        </w:rPr>
        <w:t xml:space="preserve"> </w:t>
      </w:r>
      <w:r w:rsidR="00CC0353" w:rsidRPr="00B2562E">
        <w:rPr>
          <w:lang w:eastAsia="fr-CA"/>
        </w:rPr>
        <w:t>Th</w:t>
      </w:r>
      <w:r w:rsidR="0024093B">
        <w:rPr>
          <w:lang w:eastAsia="fr-CA"/>
        </w:rPr>
        <w:t>e</w:t>
      </w:r>
      <w:r w:rsidR="00CC0353" w:rsidRPr="00B2562E">
        <w:rPr>
          <w:lang w:eastAsia="fr-CA"/>
        </w:rPr>
        <w:t xml:space="preserve"> expert </w:t>
      </w:r>
      <w:r w:rsidR="009326F2">
        <w:rPr>
          <w:lang w:eastAsia="fr-CA"/>
        </w:rPr>
        <w:t>report</w:t>
      </w:r>
      <w:r w:rsidR="009326F2" w:rsidRPr="00B2562E">
        <w:rPr>
          <w:lang w:eastAsia="fr-CA"/>
        </w:rPr>
        <w:t xml:space="preserve"> </w:t>
      </w:r>
      <w:r w:rsidR="00CC0353" w:rsidRPr="00B2562E">
        <w:rPr>
          <w:lang w:eastAsia="fr-CA"/>
        </w:rPr>
        <w:t xml:space="preserve">also indicates that </w:t>
      </w:r>
      <w:r w:rsidR="00DA0C61" w:rsidRPr="00B2562E">
        <w:rPr>
          <w:lang w:eastAsia="fr-CA"/>
        </w:rPr>
        <w:t>the accused</w:t>
      </w:r>
      <w:r w:rsidRPr="00B2562E">
        <w:rPr>
          <w:lang w:eastAsia="fr-CA"/>
        </w:rPr>
        <w:t xml:space="preserve"> </w:t>
      </w:r>
      <w:r w:rsidR="00CC0353" w:rsidRPr="00B2562E">
        <w:rPr>
          <w:lang w:eastAsia="fr-CA"/>
        </w:rPr>
        <w:t>displays resentment toward the justice system.</w:t>
      </w:r>
      <w:r w:rsidRPr="00B2562E">
        <w:rPr>
          <w:lang w:eastAsia="fr-CA"/>
        </w:rPr>
        <w:t xml:space="preserve"> </w:t>
      </w:r>
      <w:r w:rsidR="00CC0353" w:rsidRPr="00B2562E">
        <w:rPr>
          <w:lang w:eastAsia="fr-CA"/>
        </w:rPr>
        <w:t>In addition, the</w:t>
      </w:r>
      <w:r w:rsidR="00DA0C61" w:rsidRPr="00B2562E">
        <w:rPr>
          <w:lang w:eastAsia="fr-CA"/>
        </w:rPr>
        <w:t xml:space="preserve"> accused</w:t>
      </w:r>
      <w:r w:rsidRPr="00B2562E">
        <w:rPr>
          <w:lang w:eastAsia="fr-CA"/>
        </w:rPr>
        <w:t xml:space="preserve"> </w:t>
      </w:r>
      <w:r w:rsidR="00CC0353" w:rsidRPr="00B2562E">
        <w:rPr>
          <w:lang w:eastAsia="fr-CA"/>
        </w:rPr>
        <w:t xml:space="preserve">seems to </w:t>
      </w:r>
      <w:r w:rsidR="009326F2">
        <w:rPr>
          <w:lang w:eastAsia="fr-CA"/>
        </w:rPr>
        <w:t>acknowledge</w:t>
      </w:r>
      <w:r w:rsidR="009326F2" w:rsidRPr="00B2562E">
        <w:rPr>
          <w:lang w:eastAsia="fr-CA"/>
        </w:rPr>
        <w:t xml:space="preserve"> </w:t>
      </w:r>
      <w:r w:rsidR="00CC0353" w:rsidRPr="00B2562E">
        <w:rPr>
          <w:lang w:eastAsia="fr-CA"/>
        </w:rPr>
        <w:t>that he may need help to manage his</w:t>
      </w:r>
      <w:r w:rsidR="00F82E82" w:rsidRPr="00B2562E">
        <w:rPr>
          <w:lang w:eastAsia="fr-CA"/>
        </w:rPr>
        <w:t xml:space="preserve"> </w:t>
      </w:r>
      <w:r w:rsidR="00CC0353" w:rsidRPr="00B2562E">
        <w:rPr>
          <w:lang w:eastAsia="fr-CA"/>
        </w:rPr>
        <w:t>anger and e</w:t>
      </w:r>
      <w:r w:rsidRPr="00B2562E">
        <w:rPr>
          <w:lang w:eastAsia="fr-CA"/>
        </w:rPr>
        <w:t>motions.</w:t>
      </w:r>
    </w:p>
    <w:p w14:paraId="5A8027A4" w14:textId="79401F61" w:rsidR="0012455D" w:rsidRPr="00B2562E" w:rsidRDefault="0012455D" w:rsidP="000E174F">
      <w:pPr>
        <w:pStyle w:val="Citationenretrait"/>
        <w:rPr>
          <w:lang w:eastAsia="fr-CA"/>
        </w:rPr>
      </w:pPr>
      <w:r w:rsidRPr="00B2562E">
        <w:rPr>
          <w:lang w:eastAsia="fr-CA"/>
        </w:rPr>
        <w:t>[</w:t>
      </w:r>
      <w:bookmarkStart w:id="42" w:name="par88"/>
      <w:r w:rsidRPr="00B2562E">
        <w:rPr>
          <w:lang w:eastAsia="fr-CA"/>
        </w:rPr>
        <w:t>88</w:t>
      </w:r>
      <w:bookmarkEnd w:id="42"/>
      <w:r w:rsidRPr="00B2562E">
        <w:rPr>
          <w:lang w:eastAsia="fr-CA"/>
        </w:rPr>
        <w:t>]</w:t>
      </w:r>
      <w:r w:rsidRPr="00B2562E">
        <w:rPr>
          <w:rFonts w:ascii="Times New Roman" w:hAnsi="Times New Roman"/>
          <w:lang w:eastAsia="fr-CA"/>
        </w:rPr>
        <w:tab/>
      </w:r>
      <w:r w:rsidRPr="00B2562E">
        <w:rPr>
          <w:b/>
          <w:bCs/>
          <w:lang w:eastAsia="fr-CA"/>
        </w:rPr>
        <w:t>Se</w:t>
      </w:r>
      <w:r w:rsidR="00CC0353" w:rsidRPr="00B2562E">
        <w:rPr>
          <w:b/>
          <w:bCs/>
          <w:lang w:eastAsia="fr-CA"/>
        </w:rPr>
        <w:t>venth</w:t>
      </w:r>
      <w:r w:rsidRPr="00B2562E">
        <w:rPr>
          <w:lang w:eastAsia="fr-CA"/>
        </w:rPr>
        <w:t xml:space="preserve">, </w:t>
      </w:r>
      <w:r w:rsidR="00B15DF5" w:rsidRPr="00B2562E">
        <w:rPr>
          <w:lang w:eastAsia="fr-CA"/>
        </w:rPr>
        <w:t>in h</w:t>
      </w:r>
      <w:r w:rsidR="009F63BC" w:rsidRPr="00B2562E">
        <w:rPr>
          <w:lang w:eastAsia="fr-CA"/>
        </w:rPr>
        <w:t>er</w:t>
      </w:r>
      <w:r w:rsidR="00B15DF5" w:rsidRPr="00B2562E">
        <w:rPr>
          <w:lang w:eastAsia="fr-CA"/>
        </w:rPr>
        <w:t xml:space="preserve"> pre-sentencing report, probation officer</w:t>
      </w:r>
      <w:r w:rsidRPr="00B2562E">
        <w:rPr>
          <w:lang w:eastAsia="fr-CA"/>
        </w:rPr>
        <w:t xml:space="preserve"> </w:t>
      </w:r>
      <w:r w:rsidR="0024093B">
        <w:rPr>
          <w:lang w:eastAsia="fr-CA"/>
        </w:rPr>
        <w:t xml:space="preserve">Lafontaine </w:t>
      </w:r>
      <w:r w:rsidR="00D91A3F">
        <w:rPr>
          <w:lang w:eastAsia="fr-CA"/>
        </w:rPr>
        <w:t>questions</w:t>
      </w:r>
      <w:r w:rsidR="00B15DF5" w:rsidRPr="00B2562E">
        <w:rPr>
          <w:lang w:eastAsia="fr-CA"/>
        </w:rPr>
        <w:t xml:space="preserve"> the </w:t>
      </w:r>
      <w:r w:rsidR="00DA0C61" w:rsidRPr="00B2562E">
        <w:rPr>
          <w:lang w:eastAsia="fr-CA"/>
        </w:rPr>
        <w:t>accused</w:t>
      </w:r>
      <w:r w:rsidR="00B15DF5" w:rsidRPr="00B2562E">
        <w:rPr>
          <w:lang w:eastAsia="fr-CA"/>
        </w:rPr>
        <w:t>’s transparency in relation to various spheres of life, including consum</w:t>
      </w:r>
      <w:r w:rsidR="009F63BC" w:rsidRPr="00B2562E">
        <w:rPr>
          <w:lang w:eastAsia="fr-CA"/>
        </w:rPr>
        <w:t>ption</w:t>
      </w:r>
      <w:r w:rsidR="00B15DF5" w:rsidRPr="00B2562E">
        <w:rPr>
          <w:lang w:eastAsia="fr-CA"/>
        </w:rPr>
        <w:t xml:space="preserve"> and the use of </w:t>
      </w:r>
      <w:r w:rsidRPr="00B2562E">
        <w:rPr>
          <w:lang w:eastAsia="fr-CA"/>
        </w:rPr>
        <w:t xml:space="preserve">violence. </w:t>
      </w:r>
      <w:r w:rsidR="00B15DF5" w:rsidRPr="00B2562E">
        <w:rPr>
          <w:lang w:eastAsia="fr-CA"/>
        </w:rPr>
        <w:t xml:space="preserve">The probation officer also points out that </w:t>
      </w:r>
      <w:r w:rsidR="00DA0C61" w:rsidRPr="00B2562E">
        <w:rPr>
          <w:lang w:eastAsia="fr-CA"/>
        </w:rPr>
        <w:t>the accused</w:t>
      </w:r>
      <w:r w:rsidRPr="00B2562E">
        <w:rPr>
          <w:lang w:eastAsia="fr-CA"/>
        </w:rPr>
        <w:t xml:space="preserve"> </w:t>
      </w:r>
      <w:r w:rsidR="00B15DF5" w:rsidRPr="00B2562E">
        <w:rPr>
          <w:lang w:eastAsia="fr-CA"/>
        </w:rPr>
        <w:t xml:space="preserve">may </w:t>
      </w:r>
      <w:r w:rsidR="009326F2">
        <w:rPr>
          <w:lang w:eastAsia="fr-CA"/>
        </w:rPr>
        <w:t>have a tendency</w:t>
      </w:r>
      <w:r w:rsidR="009326F2" w:rsidRPr="00B2562E">
        <w:rPr>
          <w:lang w:eastAsia="fr-CA"/>
        </w:rPr>
        <w:t xml:space="preserve"> </w:t>
      </w:r>
      <w:r w:rsidR="00B15DF5" w:rsidRPr="00B2562E">
        <w:rPr>
          <w:lang w:eastAsia="fr-CA"/>
        </w:rPr>
        <w:t>to manipulate the truth in order to present a positive image of himself and thereby avoid being negatively judged.</w:t>
      </w:r>
      <w:r w:rsidRPr="00B2562E">
        <w:rPr>
          <w:lang w:eastAsia="fr-CA"/>
        </w:rPr>
        <w:t xml:space="preserve"> </w:t>
      </w:r>
      <w:r w:rsidR="00B15DF5" w:rsidRPr="00B2562E">
        <w:rPr>
          <w:lang w:eastAsia="fr-CA"/>
        </w:rPr>
        <w:t xml:space="preserve">She also adds that </w:t>
      </w:r>
      <w:r w:rsidR="00DA0C61" w:rsidRPr="00B2562E">
        <w:rPr>
          <w:lang w:eastAsia="fr-CA"/>
        </w:rPr>
        <w:t>the accused</w:t>
      </w:r>
      <w:r w:rsidRPr="00B2562E">
        <w:rPr>
          <w:lang w:eastAsia="fr-CA"/>
        </w:rPr>
        <w:t xml:space="preserve"> </w:t>
      </w:r>
      <w:r w:rsidR="00370294">
        <w:rPr>
          <w:lang w:eastAsia="fr-CA"/>
        </w:rPr>
        <w:t>displays</w:t>
      </w:r>
      <w:r w:rsidR="00370294" w:rsidRPr="00B2562E">
        <w:rPr>
          <w:lang w:eastAsia="fr-CA"/>
        </w:rPr>
        <w:t xml:space="preserve"> </w:t>
      </w:r>
      <w:r w:rsidR="00B15DF5" w:rsidRPr="00B2562E">
        <w:rPr>
          <w:lang w:eastAsia="fr-CA"/>
        </w:rPr>
        <w:t xml:space="preserve">a low tolerance </w:t>
      </w:r>
      <w:r w:rsidR="003B27A6" w:rsidRPr="00B2562E">
        <w:rPr>
          <w:lang w:eastAsia="fr-CA"/>
        </w:rPr>
        <w:t>for</w:t>
      </w:r>
      <w:r w:rsidR="00B15DF5" w:rsidRPr="00B2562E">
        <w:rPr>
          <w:lang w:eastAsia="fr-CA"/>
        </w:rPr>
        <w:t xml:space="preserve"> </w:t>
      </w:r>
      <w:r w:rsidR="009F63BC" w:rsidRPr="00B2562E">
        <w:rPr>
          <w:lang w:eastAsia="fr-CA"/>
        </w:rPr>
        <w:t>rejection</w:t>
      </w:r>
      <w:r w:rsidR="00B15DF5" w:rsidRPr="00B2562E">
        <w:rPr>
          <w:lang w:eastAsia="fr-CA"/>
        </w:rPr>
        <w:t xml:space="preserve"> and may </w:t>
      </w:r>
      <w:r w:rsidR="00B15DF5" w:rsidRPr="00B2562E">
        <w:rPr>
          <w:lang w:eastAsia="fr-CA"/>
        </w:rPr>
        <w:lastRenderedPageBreak/>
        <w:t>react negatively to authority.</w:t>
      </w:r>
      <w:r w:rsidRPr="00B2562E">
        <w:rPr>
          <w:lang w:eastAsia="fr-CA"/>
        </w:rPr>
        <w:t xml:space="preserve"> </w:t>
      </w:r>
      <w:r w:rsidR="00B15DF5" w:rsidRPr="00B2562E">
        <w:rPr>
          <w:lang w:eastAsia="fr-CA"/>
        </w:rPr>
        <w:t xml:space="preserve">She </w:t>
      </w:r>
      <w:r w:rsidR="00370294">
        <w:rPr>
          <w:lang w:eastAsia="fr-CA"/>
        </w:rPr>
        <w:t>conclude</w:t>
      </w:r>
      <w:r w:rsidR="0024093B">
        <w:rPr>
          <w:lang w:eastAsia="fr-CA"/>
        </w:rPr>
        <w:t>s</w:t>
      </w:r>
      <w:r w:rsidR="00370294">
        <w:rPr>
          <w:lang w:eastAsia="fr-CA"/>
        </w:rPr>
        <w:t xml:space="preserve"> </w:t>
      </w:r>
      <w:r w:rsidR="00B15DF5" w:rsidRPr="00B2562E">
        <w:rPr>
          <w:lang w:eastAsia="fr-CA"/>
        </w:rPr>
        <w:t>by pointing out that</w:t>
      </w:r>
      <w:r w:rsidR="009F63BC" w:rsidRPr="00B2562E">
        <w:rPr>
          <w:lang w:eastAsia="fr-CA"/>
        </w:rPr>
        <w:t>,</w:t>
      </w:r>
      <w:r w:rsidR="00B15DF5" w:rsidRPr="00B2562E">
        <w:rPr>
          <w:lang w:eastAsia="fr-CA"/>
        </w:rPr>
        <w:t xml:space="preserve"> in her opinion, </w:t>
      </w:r>
      <w:r w:rsidR="00DA0C61" w:rsidRPr="00B2562E">
        <w:rPr>
          <w:lang w:eastAsia="fr-CA"/>
        </w:rPr>
        <w:t>the accused</w:t>
      </w:r>
      <w:r w:rsidRPr="00B2562E">
        <w:rPr>
          <w:lang w:eastAsia="fr-CA"/>
        </w:rPr>
        <w:t xml:space="preserve"> </w:t>
      </w:r>
      <w:r w:rsidR="0024093B">
        <w:rPr>
          <w:lang w:eastAsia="fr-CA"/>
        </w:rPr>
        <w:t xml:space="preserve">must </w:t>
      </w:r>
      <w:r w:rsidR="00D91A3F">
        <w:rPr>
          <w:lang w:eastAsia="fr-CA"/>
        </w:rPr>
        <w:t>be held accountable</w:t>
      </w:r>
      <w:r w:rsidR="00B15DF5" w:rsidRPr="00B2562E">
        <w:rPr>
          <w:lang w:eastAsia="fr-CA"/>
        </w:rPr>
        <w:t xml:space="preserve"> for his actions</w:t>
      </w:r>
      <w:r w:rsidR="00D91A3F">
        <w:rPr>
          <w:lang w:eastAsia="fr-CA"/>
        </w:rPr>
        <w:t xml:space="preserve"> so that he </w:t>
      </w:r>
      <w:r w:rsidR="0024093B">
        <w:rPr>
          <w:lang w:eastAsia="fr-CA"/>
        </w:rPr>
        <w:t xml:space="preserve">can </w:t>
      </w:r>
      <w:r w:rsidR="00B15DF5" w:rsidRPr="00B2562E">
        <w:rPr>
          <w:lang w:eastAsia="fr-CA"/>
        </w:rPr>
        <w:t xml:space="preserve">continue to reflect on his </w:t>
      </w:r>
      <w:r w:rsidR="00D91A3F">
        <w:rPr>
          <w:lang w:eastAsia="fr-CA"/>
        </w:rPr>
        <w:t>lifestyle</w:t>
      </w:r>
      <w:r w:rsidR="00B15DF5" w:rsidRPr="00B2562E">
        <w:rPr>
          <w:lang w:eastAsia="fr-CA"/>
        </w:rPr>
        <w:t xml:space="preserve"> and </w:t>
      </w:r>
      <w:r w:rsidR="00FE4AD3" w:rsidRPr="00B2562E">
        <w:rPr>
          <w:lang w:eastAsia="fr-CA"/>
        </w:rPr>
        <w:t>delinquent values.</w:t>
      </w:r>
    </w:p>
    <w:p w14:paraId="017DA083" w14:textId="07D71D92" w:rsidR="0012455D" w:rsidRPr="00B2562E" w:rsidRDefault="0012455D" w:rsidP="000E174F">
      <w:pPr>
        <w:pStyle w:val="Citationenretrait"/>
        <w:rPr>
          <w:lang w:eastAsia="fr-CA"/>
        </w:rPr>
      </w:pPr>
      <w:r w:rsidRPr="00B2562E">
        <w:rPr>
          <w:lang w:eastAsia="fr-CA"/>
        </w:rPr>
        <w:t>[</w:t>
      </w:r>
      <w:bookmarkStart w:id="43" w:name="par89"/>
      <w:r w:rsidRPr="00B2562E">
        <w:rPr>
          <w:lang w:eastAsia="fr-CA"/>
        </w:rPr>
        <w:t>89</w:t>
      </w:r>
      <w:bookmarkEnd w:id="43"/>
      <w:r w:rsidRPr="00B2562E">
        <w:rPr>
          <w:lang w:eastAsia="fr-CA"/>
        </w:rPr>
        <w:t>]</w:t>
      </w:r>
      <w:r w:rsidRPr="00B2562E">
        <w:rPr>
          <w:rFonts w:ascii="Times New Roman" w:hAnsi="Times New Roman"/>
          <w:lang w:eastAsia="fr-CA"/>
        </w:rPr>
        <w:tab/>
      </w:r>
      <w:r w:rsidR="00FE4AD3" w:rsidRPr="00B2562E">
        <w:rPr>
          <w:b/>
          <w:bCs/>
          <w:lang w:eastAsia="fr-CA"/>
        </w:rPr>
        <w:t xml:space="preserve">Eighth, </w:t>
      </w:r>
      <w:r w:rsidR="00FE4AD3" w:rsidRPr="00B2562E">
        <w:rPr>
          <w:lang w:eastAsia="fr-CA"/>
        </w:rPr>
        <w:t xml:space="preserve">the </w:t>
      </w:r>
      <w:r w:rsidR="00DA0C61" w:rsidRPr="00B2562E">
        <w:rPr>
          <w:lang w:eastAsia="fr-CA"/>
        </w:rPr>
        <w:t>accused</w:t>
      </w:r>
      <w:r w:rsidR="00370294">
        <w:rPr>
          <w:lang w:eastAsia="fr-CA"/>
        </w:rPr>
        <w:t xml:space="preserve">’s </w:t>
      </w:r>
      <w:r w:rsidR="00370294" w:rsidRPr="00B2562E">
        <w:rPr>
          <w:lang w:eastAsia="fr-CA"/>
        </w:rPr>
        <w:t xml:space="preserve">guilty pleas </w:t>
      </w:r>
      <w:r w:rsidR="00FE4AD3" w:rsidRPr="00B2562E">
        <w:rPr>
          <w:lang w:eastAsia="fr-CA"/>
        </w:rPr>
        <w:t xml:space="preserve">are not worth much. Indeed, in </w:t>
      </w:r>
      <w:r w:rsidR="00370294">
        <w:rPr>
          <w:lang w:eastAsia="fr-CA"/>
        </w:rPr>
        <w:t>this</w:t>
      </w:r>
      <w:r w:rsidR="00FE4AD3" w:rsidRPr="00B2562E">
        <w:rPr>
          <w:lang w:eastAsia="fr-CA"/>
        </w:rPr>
        <w:t xml:space="preserve"> case</w:t>
      </w:r>
      <w:r w:rsidRPr="00B2562E">
        <w:rPr>
          <w:lang w:eastAsia="fr-CA"/>
        </w:rPr>
        <w:t>:</w:t>
      </w:r>
    </w:p>
    <w:p w14:paraId="4B838493" w14:textId="6B936FDB" w:rsidR="0012455D" w:rsidRPr="00B2562E" w:rsidRDefault="0012455D" w:rsidP="000E174F">
      <w:pPr>
        <w:pStyle w:val="Citationenretrait"/>
        <w:ind w:left="1843" w:hanging="425"/>
        <w:rPr>
          <w:lang w:eastAsia="fr-CA"/>
        </w:rPr>
      </w:pPr>
      <w:r w:rsidRPr="00B2562E">
        <w:rPr>
          <w:lang w:eastAsia="fr-CA"/>
        </w:rPr>
        <w:t>•</w:t>
      </w:r>
      <w:r w:rsidRPr="00B2562E">
        <w:rPr>
          <w:rFonts w:ascii="Times New Roman" w:hAnsi="Times New Roman"/>
          <w:lang w:eastAsia="fr-CA"/>
        </w:rPr>
        <w:tab/>
      </w:r>
      <w:r w:rsidR="006C2BD8">
        <w:rPr>
          <w:lang w:eastAsia="fr-CA"/>
        </w:rPr>
        <w:t>t</w:t>
      </w:r>
      <w:r w:rsidR="00AC080C" w:rsidRPr="00B2562E">
        <w:rPr>
          <w:lang w:eastAsia="fr-CA"/>
        </w:rPr>
        <w:t xml:space="preserve">here is no particular </w:t>
      </w:r>
      <w:r w:rsidR="00631D9F">
        <w:rPr>
          <w:lang w:eastAsia="fr-CA"/>
        </w:rPr>
        <w:t>issue</w:t>
      </w:r>
      <w:r w:rsidR="00631D9F" w:rsidRPr="00B2562E">
        <w:rPr>
          <w:lang w:eastAsia="fr-CA"/>
        </w:rPr>
        <w:t xml:space="preserve"> </w:t>
      </w:r>
      <w:r w:rsidR="00370294">
        <w:rPr>
          <w:lang w:eastAsia="fr-CA"/>
        </w:rPr>
        <w:t>concerning</w:t>
      </w:r>
      <w:r w:rsidR="00AC080C" w:rsidRPr="00B2562E">
        <w:rPr>
          <w:lang w:eastAsia="fr-CA"/>
        </w:rPr>
        <w:t xml:space="preserve"> </w:t>
      </w:r>
      <w:r w:rsidR="00DA0C61" w:rsidRPr="00B2562E">
        <w:rPr>
          <w:lang w:eastAsia="fr-CA"/>
        </w:rPr>
        <w:t>the accused</w:t>
      </w:r>
      <w:r w:rsidR="00370294">
        <w:rPr>
          <w:lang w:eastAsia="fr-CA"/>
        </w:rPr>
        <w:t>’s identification</w:t>
      </w:r>
      <w:r w:rsidRPr="00B2562E">
        <w:rPr>
          <w:lang w:eastAsia="fr-CA"/>
        </w:rPr>
        <w:t>;</w:t>
      </w:r>
    </w:p>
    <w:p w14:paraId="0F81E415" w14:textId="3628A90D" w:rsidR="0012455D" w:rsidRPr="00B2562E" w:rsidRDefault="006C2BD8" w:rsidP="000E174F">
      <w:pPr>
        <w:pStyle w:val="Citationenretrait"/>
        <w:numPr>
          <w:ilvl w:val="0"/>
          <w:numId w:val="21"/>
        </w:numPr>
        <w:ind w:left="1843" w:hanging="425"/>
        <w:rPr>
          <w:lang w:eastAsia="fr-CA"/>
        </w:rPr>
      </w:pPr>
      <w:r>
        <w:rPr>
          <w:lang w:eastAsia="fr-CA"/>
        </w:rPr>
        <w:t>t</w:t>
      </w:r>
      <w:r w:rsidR="00AC080C" w:rsidRPr="00B2562E">
        <w:rPr>
          <w:lang w:eastAsia="fr-CA"/>
        </w:rPr>
        <w:t xml:space="preserve">he witnesses to the event are </w:t>
      </w:r>
      <w:r w:rsidR="00CC531C" w:rsidRPr="00B2562E">
        <w:rPr>
          <w:lang w:eastAsia="fr-CA"/>
        </w:rPr>
        <w:t>correction</w:t>
      </w:r>
      <w:r w:rsidR="00CC531C">
        <w:rPr>
          <w:lang w:eastAsia="fr-CA"/>
        </w:rPr>
        <w:t>al</w:t>
      </w:r>
      <w:r w:rsidR="00CC531C" w:rsidRPr="00B2562E">
        <w:rPr>
          <w:lang w:eastAsia="fr-CA"/>
        </w:rPr>
        <w:t xml:space="preserve"> </w:t>
      </w:r>
      <w:r w:rsidR="00AC080C" w:rsidRPr="00B2562E">
        <w:rPr>
          <w:lang w:eastAsia="fr-CA"/>
        </w:rPr>
        <w:t xml:space="preserve">officers already working at the </w:t>
      </w:r>
      <w:r w:rsidR="0012455D" w:rsidRPr="00B2562E">
        <w:rPr>
          <w:lang w:eastAsia="fr-CA"/>
        </w:rPr>
        <w:t>Laval</w:t>
      </w:r>
      <w:r w:rsidR="00AC080C" w:rsidRPr="00B2562E">
        <w:rPr>
          <w:lang w:eastAsia="fr-CA"/>
        </w:rPr>
        <w:t xml:space="preserve"> courthouse</w:t>
      </w:r>
      <w:r w:rsidR="0012455D" w:rsidRPr="00B2562E">
        <w:rPr>
          <w:lang w:eastAsia="fr-CA"/>
        </w:rPr>
        <w:t xml:space="preserve">, </w:t>
      </w:r>
      <w:r w:rsidR="00AC080C" w:rsidRPr="00B2562E">
        <w:rPr>
          <w:lang w:eastAsia="fr-CA"/>
        </w:rPr>
        <w:t>not civil</w:t>
      </w:r>
      <w:r w:rsidR="00370294">
        <w:rPr>
          <w:lang w:eastAsia="fr-CA"/>
        </w:rPr>
        <w:t>ian</w:t>
      </w:r>
      <w:r w:rsidR="00AC080C" w:rsidRPr="00B2562E">
        <w:rPr>
          <w:lang w:eastAsia="fr-CA"/>
        </w:rPr>
        <w:t xml:space="preserve"> witnesses who</w:t>
      </w:r>
      <w:r>
        <w:rPr>
          <w:lang w:eastAsia="fr-CA"/>
        </w:rPr>
        <w:t xml:space="preserve"> might not be present at the trial</w:t>
      </w:r>
      <w:r w:rsidR="0012455D" w:rsidRPr="00B2562E">
        <w:rPr>
          <w:lang w:eastAsia="fr-CA"/>
        </w:rPr>
        <w:t>;</w:t>
      </w:r>
    </w:p>
    <w:p w14:paraId="0517AF0F" w14:textId="0E7877AC" w:rsidR="0012455D" w:rsidRPr="00B2562E" w:rsidRDefault="006C2BD8" w:rsidP="000E174F">
      <w:pPr>
        <w:pStyle w:val="Citationenretrait"/>
        <w:numPr>
          <w:ilvl w:val="0"/>
          <w:numId w:val="21"/>
        </w:numPr>
        <w:ind w:left="1843" w:hanging="425"/>
        <w:rPr>
          <w:lang w:eastAsia="fr-CA"/>
        </w:rPr>
      </w:pPr>
      <w:r>
        <w:rPr>
          <w:lang w:eastAsia="fr-CA"/>
        </w:rPr>
        <w:t xml:space="preserve">the trial </w:t>
      </w:r>
      <w:r w:rsidR="00AC080C" w:rsidRPr="00B2562E">
        <w:rPr>
          <w:lang w:eastAsia="fr-CA"/>
        </w:rPr>
        <w:t>is not long and complicated</w:t>
      </w:r>
      <w:r>
        <w:rPr>
          <w:lang w:eastAsia="fr-CA"/>
        </w:rPr>
        <w:t xml:space="preserve"> and does not require </w:t>
      </w:r>
      <w:r w:rsidR="00AC080C" w:rsidRPr="00B2562E">
        <w:rPr>
          <w:lang w:eastAsia="fr-CA"/>
        </w:rPr>
        <w:t xml:space="preserve">the </w:t>
      </w:r>
      <w:r w:rsidR="0012455D" w:rsidRPr="00B2562E">
        <w:rPr>
          <w:lang w:eastAsia="fr-CA"/>
        </w:rPr>
        <w:t>r</w:t>
      </w:r>
      <w:r w:rsidR="00AC080C" w:rsidRPr="00B2562E">
        <w:rPr>
          <w:lang w:eastAsia="fr-CA"/>
        </w:rPr>
        <w:t>e</w:t>
      </w:r>
      <w:r w:rsidR="0012455D" w:rsidRPr="00B2562E">
        <w:rPr>
          <w:lang w:eastAsia="fr-CA"/>
        </w:rPr>
        <w:t xml:space="preserve">solution </w:t>
      </w:r>
      <w:r w:rsidR="00AC080C" w:rsidRPr="00B2562E">
        <w:rPr>
          <w:lang w:eastAsia="fr-CA"/>
        </w:rPr>
        <w:t xml:space="preserve">of complex legal </w:t>
      </w:r>
      <w:r w:rsidR="00AF53F6">
        <w:rPr>
          <w:lang w:eastAsia="fr-CA"/>
        </w:rPr>
        <w:t>issues</w:t>
      </w:r>
      <w:r w:rsidR="00AF53F6" w:rsidRPr="00B2562E">
        <w:rPr>
          <w:lang w:eastAsia="fr-CA"/>
        </w:rPr>
        <w:t xml:space="preserve"> </w:t>
      </w:r>
      <w:r w:rsidR="00AC080C" w:rsidRPr="00B2562E">
        <w:rPr>
          <w:lang w:eastAsia="fr-CA"/>
        </w:rPr>
        <w:t xml:space="preserve">or </w:t>
      </w:r>
      <w:r w:rsidR="00AF53F6">
        <w:rPr>
          <w:lang w:eastAsia="fr-CA"/>
        </w:rPr>
        <w:t xml:space="preserve">the </w:t>
      </w:r>
      <w:r w:rsidR="00AC080C" w:rsidRPr="00B2562E">
        <w:rPr>
          <w:lang w:eastAsia="fr-CA"/>
        </w:rPr>
        <w:t xml:space="preserve">management of a large </w:t>
      </w:r>
      <w:r w:rsidR="00AF53F6">
        <w:rPr>
          <w:lang w:eastAsia="fr-CA"/>
        </w:rPr>
        <w:t>body</w:t>
      </w:r>
      <w:r w:rsidR="00AF53F6" w:rsidRPr="00B2562E">
        <w:rPr>
          <w:lang w:eastAsia="fr-CA"/>
        </w:rPr>
        <w:t xml:space="preserve"> </w:t>
      </w:r>
      <w:r w:rsidR="00AC080C" w:rsidRPr="00B2562E">
        <w:rPr>
          <w:lang w:eastAsia="fr-CA"/>
        </w:rPr>
        <w:t>of evidence</w:t>
      </w:r>
      <w:r w:rsidR="0012455D" w:rsidRPr="00B2562E">
        <w:rPr>
          <w:lang w:eastAsia="fr-CA"/>
        </w:rPr>
        <w:t>;</w:t>
      </w:r>
    </w:p>
    <w:p w14:paraId="78A3731D" w14:textId="5CA66067" w:rsidR="0012455D" w:rsidRPr="00B2562E" w:rsidRDefault="0012455D" w:rsidP="000E174F">
      <w:pPr>
        <w:pStyle w:val="Citationenretrait"/>
        <w:ind w:left="1843" w:hanging="403"/>
        <w:rPr>
          <w:lang w:eastAsia="fr-CA"/>
        </w:rPr>
      </w:pPr>
      <w:r w:rsidRPr="00B2562E">
        <w:rPr>
          <w:lang w:eastAsia="fr-CA"/>
        </w:rPr>
        <w:t>•</w:t>
      </w:r>
      <w:r w:rsidRPr="00B2562E">
        <w:rPr>
          <w:lang w:eastAsia="fr-CA"/>
        </w:rPr>
        <w:tab/>
      </w:r>
      <w:r w:rsidR="006C2BD8">
        <w:rPr>
          <w:lang w:eastAsia="fr-CA"/>
        </w:rPr>
        <w:t>t</w:t>
      </w:r>
      <w:r w:rsidR="00AC080C" w:rsidRPr="00B2562E">
        <w:rPr>
          <w:lang w:eastAsia="fr-CA"/>
        </w:rPr>
        <w:t xml:space="preserve">here is no </w:t>
      </w:r>
      <w:r w:rsidRPr="00B2562E">
        <w:rPr>
          <w:lang w:eastAsia="fr-CA"/>
        </w:rPr>
        <w:t xml:space="preserve">indication </w:t>
      </w:r>
      <w:r w:rsidR="00AC080C" w:rsidRPr="00B2562E">
        <w:rPr>
          <w:lang w:eastAsia="fr-CA"/>
        </w:rPr>
        <w:t xml:space="preserve">that </w:t>
      </w:r>
      <w:r w:rsidR="00DA0C61" w:rsidRPr="00B2562E">
        <w:rPr>
          <w:lang w:eastAsia="fr-CA"/>
        </w:rPr>
        <w:t>the accused</w:t>
      </w:r>
      <w:r w:rsidRPr="00B2562E">
        <w:rPr>
          <w:lang w:eastAsia="fr-CA"/>
        </w:rPr>
        <w:t xml:space="preserve"> coop</w:t>
      </w:r>
      <w:r w:rsidR="00AC080C" w:rsidRPr="00B2562E">
        <w:rPr>
          <w:lang w:eastAsia="fr-CA"/>
        </w:rPr>
        <w:t xml:space="preserve">erated with </w:t>
      </w:r>
      <w:r w:rsidR="00AD3A9D" w:rsidRPr="00B2562E">
        <w:rPr>
          <w:lang w:eastAsia="fr-CA"/>
        </w:rPr>
        <w:t xml:space="preserve">law enforcement </w:t>
      </w:r>
      <w:r w:rsidR="00AC080C" w:rsidRPr="00B2562E">
        <w:rPr>
          <w:lang w:eastAsia="fr-CA"/>
        </w:rPr>
        <w:t>to resolve specific investigations or that the prosecution</w:t>
      </w:r>
      <w:r w:rsidR="00AF53F6">
        <w:rPr>
          <w:lang w:eastAsia="fr-CA"/>
        </w:rPr>
        <w:t>’s evidence</w:t>
      </w:r>
      <w:r w:rsidR="00AC080C" w:rsidRPr="00B2562E">
        <w:rPr>
          <w:lang w:eastAsia="fr-CA"/>
        </w:rPr>
        <w:t xml:space="preserve"> was at risk in any way</w:t>
      </w:r>
      <w:r w:rsidRPr="00B2562E">
        <w:rPr>
          <w:lang w:eastAsia="fr-CA"/>
        </w:rPr>
        <w:t>.</w:t>
      </w:r>
    </w:p>
    <w:p w14:paraId="074B0E3E" w14:textId="17167037" w:rsidR="00044701" w:rsidRDefault="0012455D" w:rsidP="0054148F">
      <w:pPr>
        <w:pStyle w:val="Citationenretrait"/>
        <w:rPr>
          <w:lang w:eastAsia="fr-CA"/>
        </w:rPr>
      </w:pPr>
      <w:r w:rsidRPr="00B2562E">
        <w:rPr>
          <w:lang w:eastAsia="fr-CA"/>
        </w:rPr>
        <w:t>[</w:t>
      </w:r>
      <w:bookmarkStart w:id="44" w:name="par90"/>
      <w:r w:rsidRPr="00B2562E">
        <w:rPr>
          <w:lang w:eastAsia="fr-CA"/>
        </w:rPr>
        <w:t>90</w:t>
      </w:r>
      <w:bookmarkEnd w:id="44"/>
      <w:r w:rsidRPr="00B2562E">
        <w:rPr>
          <w:lang w:eastAsia="fr-CA"/>
        </w:rPr>
        <w:t>]</w:t>
      </w:r>
      <w:r w:rsidRPr="00B2562E">
        <w:rPr>
          <w:lang w:eastAsia="fr-CA"/>
        </w:rPr>
        <w:tab/>
      </w:r>
      <w:r w:rsidR="00AC080C" w:rsidRPr="00B2562E">
        <w:rPr>
          <w:lang w:eastAsia="fr-CA"/>
        </w:rPr>
        <w:t>I</w:t>
      </w:r>
      <w:r w:rsidRPr="00B2562E">
        <w:rPr>
          <w:lang w:eastAsia="fr-CA"/>
        </w:rPr>
        <w:t>n fa</w:t>
      </w:r>
      <w:r w:rsidR="00AC080C" w:rsidRPr="00B2562E">
        <w:rPr>
          <w:lang w:eastAsia="fr-CA"/>
        </w:rPr>
        <w:t>c</w:t>
      </w:r>
      <w:r w:rsidRPr="00B2562E">
        <w:rPr>
          <w:lang w:eastAsia="fr-CA"/>
        </w:rPr>
        <w:t xml:space="preserve">t, </w:t>
      </w:r>
      <w:r w:rsidR="00DA0C61" w:rsidRPr="00B2562E">
        <w:rPr>
          <w:lang w:eastAsia="fr-CA"/>
        </w:rPr>
        <w:t>the accused</w:t>
      </w:r>
      <w:r w:rsidRPr="00B2562E">
        <w:rPr>
          <w:lang w:eastAsia="fr-CA"/>
        </w:rPr>
        <w:t xml:space="preserve"> </w:t>
      </w:r>
      <w:r w:rsidR="00BC5440">
        <w:rPr>
          <w:lang w:eastAsia="fr-CA"/>
        </w:rPr>
        <w:t xml:space="preserve">merely </w:t>
      </w:r>
      <w:r w:rsidR="00AC080C" w:rsidRPr="00B2562E">
        <w:rPr>
          <w:lang w:eastAsia="fr-CA"/>
        </w:rPr>
        <w:t xml:space="preserve">pleaded guilty in </w:t>
      </w:r>
      <w:r w:rsidR="00BC5440">
        <w:rPr>
          <w:lang w:eastAsia="fr-CA"/>
        </w:rPr>
        <w:t>a</w:t>
      </w:r>
      <w:r w:rsidR="00AC080C" w:rsidRPr="00B2562E">
        <w:rPr>
          <w:lang w:eastAsia="fr-CA"/>
        </w:rPr>
        <w:t xml:space="preserve"> </w:t>
      </w:r>
      <w:r w:rsidR="006C2BD8">
        <w:rPr>
          <w:lang w:eastAsia="fr-CA"/>
        </w:rPr>
        <w:t>case</w:t>
      </w:r>
      <w:r w:rsidR="0054148F" w:rsidRPr="00B2562E">
        <w:rPr>
          <w:lang w:eastAsia="fr-CA"/>
        </w:rPr>
        <w:t xml:space="preserve"> </w:t>
      </w:r>
      <w:r w:rsidR="00BC5440">
        <w:rPr>
          <w:lang w:eastAsia="fr-CA"/>
        </w:rPr>
        <w:t>where</w:t>
      </w:r>
      <w:r w:rsidR="00AC080C" w:rsidRPr="00B2562E">
        <w:rPr>
          <w:lang w:eastAsia="fr-CA"/>
        </w:rPr>
        <w:t xml:space="preserve"> the outcome </w:t>
      </w:r>
      <w:r w:rsidR="00BC5440">
        <w:rPr>
          <w:lang w:eastAsia="fr-CA"/>
        </w:rPr>
        <w:t>appeared</w:t>
      </w:r>
      <w:r w:rsidR="00BC5440" w:rsidRPr="00B2562E">
        <w:rPr>
          <w:lang w:eastAsia="fr-CA"/>
        </w:rPr>
        <w:t xml:space="preserve"> </w:t>
      </w:r>
      <w:r w:rsidRPr="00B2562E">
        <w:rPr>
          <w:lang w:eastAsia="fr-CA"/>
        </w:rPr>
        <w:t>certain.</w:t>
      </w:r>
    </w:p>
    <w:p w14:paraId="35E1DA7A" w14:textId="7C7F5356" w:rsidR="0012455D" w:rsidRPr="00B2562E" w:rsidRDefault="0012455D" w:rsidP="0054148F">
      <w:pPr>
        <w:pStyle w:val="Citationenretrait"/>
        <w:rPr>
          <w:lang w:eastAsia="fr-CA"/>
        </w:rPr>
      </w:pPr>
      <w:r w:rsidRPr="00B2562E">
        <w:rPr>
          <w:lang w:eastAsia="fr-CA"/>
        </w:rPr>
        <w:t>[</w:t>
      </w:r>
      <w:bookmarkStart w:id="45" w:name="par91"/>
      <w:r w:rsidRPr="00B2562E">
        <w:rPr>
          <w:lang w:eastAsia="fr-CA"/>
        </w:rPr>
        <w:t>91</w:t>
      </w:r>
      <w:bookmarkEnd w:id="45"/>
      <w:r w:rsidRPr="00B2562E">
        <w:rPr>
          <w:lang w:eastAsia="fr-CA"/>
        </w:rPr>
        <w:t>]</w:t>
      </w:r>
      <w:r w:rsidRPr="00B2562E">
        <w:rPr>
          <w:lang w:eastAsia="fr-CA"/>
        </w:rPr>
        <w:tab/>
      </w:r>
      <w:r w:rsidRPr="00044701">
        <w:rPr>
          <w:b/>
          <w:bCs/>
          <w:lang w:eastAsia="fr-CA"/>
        </w:rPr>
        <w:t>N</w:t>
      </w:r>
      <w:r w:rsidR="00506373" w:rsidRPr="00044701">
        <w:rPr>
          <w:b/>
          <w:bCs/>
          <w:lang w:eastAsia="fr-CA"/>
        </w:rPr>
        <w:t>inth</w:t>
      </w:r>
      <w:r w:rsidRPr="00B2562E">
        <w:rPr>
          <w:lang w:eastAsia="fr-CA"/>
        </w:rPr>
        <w:t xml:space="preserve">, </w:t>
      </w:r>
      <w:r w:rsidR="00506373" w:rsidRPr="00B2562E">
        <w:rPr>
          <w:lang w:eastAsia="fr-CA"/>
        </w:rPr>
        <w:t xml:space="preserve">the </w:t>
      </w:r>
      <w:r w:rsidRPr="00B2562E">
        <w:rPr>
          <w:lang w:eastAsia="fr-CA"/>
        </w:rPr>
        <w:t>document pr</w:t>
      </w:r>
      <w:r w:rsidR="00506373" w:rsidRPr="00B2562E">
        <w:rPr>
          <w:lang w:eastAsia="fr-CA"/>
        </w:rPr>
        <w:t xml:space="preserve">epared by </w:t>
      </w:r>
      <w:r w:rsidRPr="00B2562E">
        <w:rPr>
          <w:lang w:eastAsia="fr-CA"/>
        </w:rPr>
        <w:t>Patricia Chartrand dat</w:t>
      </w:r>
      <w:r w:rsidR="00506373" w:rsidRPr="00B2562E">
        <w:rPr>
          <w:lang w:eastAsia="fr-CA"/>
        </w:rPr>
        <w:t xml:space="preserve">ed June 24, </w:t>
      </w:r>
      <w:r w:rsidRPr="00B2562E">
        <w:rPr>
          <w:lang w:eastAsia="fr-CA"/>
        </w:rPr>
        <w:t>2019</w:t>
      </w:r>
      <w:r w:rsidR="00BC5440">
        <w:rPr>
          <w:lang w:eastAsia="fr-CA"/>
        </w:rPr>
        <w:t>,</w:t>
      </w:r>
      <w:r w:rsidRPr="00B2562E">
        <w:rPr>
          <w:lang w:eastAsia="fr-CA"/>
        </w:rPr>
        <w:t xml:space="preserve"> </w:t>
      </w:r>
      <w:r w:rsidR="00506373" w:rsidRPr="00B2562E">
        <w:rPr>
          <w:lang w:eastAsia="fr-CA"/>
        </w:rPr>
        <w:t xml:space="preserve">has very </w:t>
      </w:r>
      <w:r w:rsidR="00BC5440">
        <w:rPr>
          <w:lang w:eastAsia="fr-CA"/>
        </w:rPr>
        <w:t>little</w:t>
      </w:r>
      <w:r w:rsidR="00BC5440" w:rsidRPr="00B2562E">
        <w:rPr>
          <w:lang w:eastAsia="fr-CA"/>
        </w:rPr>
        <w:t xml:space="preserve"> </w:t>
      </w:r>
      <w:r w:rsidR="00506373" w:rsidRPr="00B2562E">
        <w:rPr>
          <w:lang w:eastAsia="fr-CA"/>
        </w:rPr>
        <w:t>probative value and relevan</w:t>
      </w:r>
      <w:r w:rsidR="00624AA8">
        <w:rPr>
          <w:lang w:eastAsia="fr-CA"/>
        </w:rPr>
        <w:t>ce</w:t>
      </w:r>
      <w:r w:rsidR="00506373" w:rsidRPr="00B2562E">
        <w:rPr>
          <w:lang w:eastAsia="fr-CA"/>
        </w:rPr>
        <w:t>.</w:t>
      </w:r>
      <w:r w:rsidR="00624AA8">
        <w:rPr>
          <w:lang w:eastAsia="fr-CA"/>
        </w:rPr>
        <w:t xml:space="preserve"> T</w:t>
      </w:r>
      <w:r w:rsidR="00506373" w:rsidRPr="00B2562E">
        <w:rPr>
          <w:lang w:eastAsia="fr-CA"/>
        </w:rPr>
        <w:t xml:space="preserve">he evidence </w:t>
      </w:r>
      <w:r w:rsidR="00BC5440">
        <w:rPr>
          <w:lang w:eastAsia="fr-CA"/>
        </w:rPr>
        <w:t>establishes</w:t>
      </w:r>
      <w:r w:rsidR="00BC5440" w:rsidRPr="00B2562E">
        <w:rPr>
          <w:lang w:eastAsia="fr-CA"/>
        </w:rPr>
        <w:t xml:space="preserve"> </w:t>
      </w:r>
      <w:r w:rsidR="00506373" w:rsidRPr="00B2562E">
        <w:rPr>
          <w:lang w:eastAsia="fr-CA"/>
        </w:rPr>
        <w:t xml:space="preserve">that after this </w:t>
      </w:r>
      <w:r w:rsidRPr="00B2562E">
        <w:rPr>
          <w:lang w:eastAsia="fr-CA"/>
        </w:rPr>
        <w:t xml:space="preserve">date, </w:t>
      </w:r>
      <w:r w:rsidR="00DA0C61" w:rsidRPr="00B2562E">
        <w:rPr>
          <w:lang w:eastAsia="fr-CA"/>
        </w:rPr>
        <w:t>the accused</w:t>
      </w:r>
      <w:r w:rsidRPr="00B2562E">
        <w:rPr>
          <w:lang w:eastAsia="fr-CA"/>
        </w:rPr>
        <w:t xml:space="preserve"> </w:t>
      </w:r>
      <w:r w:rsidR="00506373" w:rsidRPr="00B2562E">
        <w:rPr>
          <w:lang w:eastAsia="fr-CA"/>
        </w:rPr>
        <w:t>continued to commit criminal offences, namely</w:t>
      </w:r>
      <w:r w:rsidR="000C1218">
        <w:rPr>
          <w:lang w:eastAsia="fr-CA"/>
        </w:rPr>
        <w:t>,</w:t>
      </w:r>
      <w:r w:rsidR="00506373" w:rsidRPr="00B2562E">
        <w:rPr>
          <w:lang w:eastAsia="fr-CA"/>
        </w:rPr>
        <w:t xml:space="preserve"> on July </w:t>
      </w:r>
      <w:r w:rsidRPr="00B2562E">
        <w:rPr>
          <w:lang w:eastAsia="fr-CA"/>
        </w:rPr>
        <w:t xml:space="preserve">11, </w:t>
      </w:r>
      <w:r w:rsidR="00506373" w:rsidRPr="00B2562E">
        <w:rPr>
          <w:lang w:eastAsia="fr-CA"/>
        </w:rPr>
        <w:t xml:space="preserve">August </w:t>
      </w:r>
      <w:r w:rsidRPr="00B2562E">
        <w:rPr>
          <w:lang w:eastAsia="fr-CA"/>
        </w:rPr>
        <w:t>20</w:t>
      </w:r>
      <w:r w:rsidR="000C1218">
        <w:rPr>
          <w:lang w:eastAsia="fr-CA"/>
        </w:rPr>
        <w:t>,</w:t>
      </w:r>
      <w:r w:rsidRPr="00B2562E">
        <w:rPr>
          <w:lang w:eastAsia="fr-CA"/>
        </w:rPr>
        <w:t xml:space="preserve"> </w:t>
      </w:r>
      <w:r w:rsidR="00506373" w:rsidRPr="00B2562E">
        <w:rPr>
          <w:lang w:eastAsia="fr-CA"/>
        </w:rPr>
        <w:t>and November</w:t>
      </w:r>
      <w:r w:rsidRPr="00B2562E">
        <w:rPr>
          <w:lang w:eastAsia="fr-CA"/>
        </w:rPr>
        <w:t xml:space="preserve"> 20</w:t>
      </w:r>
      <w:r w:rsidR="00506373" w:rsidRPr="00B2562E">
        <w:rPr>
          <w:lang w:eastAsia="fr-CA"/>
        </w:rPr>
        <w:t>,</w:t>
      </w:r>
      <w:r w:rsidRPr="00B2562E">
        <w:rPr>
          <w:lang w:eastAsia="fr-CA"/>
        </w:rPr>
        <w:t xml:space="preserve"> 2019. </w:t>
      </w:r>
      <w:r w:rsidR="00081093" w:rsidRPr="00B2562E">
        <w:rPr>
          <w:lang w:eastAsia="fr-CA"/>
        </w:rPr>
        <w:t>In short</w:t>
      </w:r>
      <w:r w:rsidR="000C1218">
        <w:rPr>
          <w:lang w:eastAsia="fr-CA"/>
        </w:rPr>
        <w:t>,</w:t>
      </w:r>
      <w:r w:rsidR="00081093" w:rsidRPr="00B2562E">
        <w:rPr>
          <w:lang w:eastAsia="fr-CA"/>
        </w:rPr>
        <w:t xml:space="preserve"> and with respect, there is not the slightest hint </w:t>
      </w:r>
      <w:r w:rsidR="00C75355">
        <w:rPr>
          <w:lang w:eastAsia="fr-CA"/>
        </w:rPr>
        <w:t>that the accused has begun to rehabilitate.</w:t>
      </w:r>
      <w:r w:rsidRPr="00B2562E">
        <w:rPr>
          <w:lang w:eastAsia="fr-CA"/>
        </w:rPr>
        <w:t xml:space="preserve"> </w:t>
      </w:r>
    </w:p>
    <w:p w14:paraId="34873E35" w14:textId="62764AC7" w:rsidR="0012455D" w:rsidRPr="00B2562E" w:rsidRDefault="0012455D" w:rsidP="000E174F">
      <w:pPr>
        <w:pStyle w:val="Citationenretrait"/>
        <w:rPr>
          <w:lang w:eastAsia="fr-CA"/>
        </w:rPr>
      </w:pPr>
      <w:r w:rsidRPr="00B2562E">
        <w:rPr>
          <w:lang w:eastAsia="fr-CA"/>
        </w:rPr>
        <w:t>[</w:t>
      </w:r>
      <w:bookmarkStart w:id="46" w:name="par92"/>
      <w:r w:rsidRPr="00B2562E">
        <w:rPr>
          <w:lang w:eastAsia="fr-CA"/>
        </w:rPr>
        <w:t>92</w:t>
      </w:r>
      <w:bookmarkEnd w:id="46"/>
      <w:r w:rsidRPr="00B2562E">
        <w:rPr>
          <w:lang w:eastAsia="fr-CA"/>
        </w:rPr>
        <w:t>]</w:t>
      </w:r>
      <w:r w:rsidRPr="00B2562E">
        <w:rPr>
          <w:lang w:eastAsia="fr-CA"/>
        </w:rPr>
        <w:tab/>
      </w:r>
      <w:r w:rsidR="00081093" w:rsidRPr="00B2562E">
        <w:rPr>
          <w:b/>
          <w:bCs/>
          <w:lang w:eastAsia="fr-CA"/>
        </w:rPr>
        <w:t>Tenth</w:t>
      </w:r>
      <w:r w:rsidRPr="00B2562E">
        <w:rPr>
          <w:lang w:eastAsia="fr-CA"/>
        </w:rPr>
        <w:t xml:space="preserve">, </w:t>
      </w:r>
      <w:r w:rsidR="00081093" w:rsidRPr="00B2562E">
        <w:rPr>
          <w:lang w:eastAsia="fr-CA"/>
        </w:rPr>
        <w:t xml:space="preserve">nothing suggests that the joint submission presented is the result of a </w:t>
      </w:r>
      <w:r w:rsidR="0054148F" w:rsidRPr="00B2562E">
        <w:rPr>
          <w:lang w:eastAsia="fr-CA"/>
        </w:rPr>
        <w:t>l</w:t>
      </w:r>
      <w:r w:rsidR="0054148F">
        <w:rPr>
          <w:lang w:eastAsia="fr-CA"/>
        </w:rPr>
        <w:t>engthy</w:t>
      </w:r>
      <w:r w:rsidR="0054148F" w:rsidRPr="00B2562E">
        <w:rPr>
          <w:lang w:eastAsia="fr-CA"/>
        </w:rPr>
        <w:t xml:space="preserve"> </w:t>
      </w:r>
      <w:r w:rsidR="00081093" w:rsidRPr="00B2562E">
        <w:rPr>
          <w:lang w:eastAsia="fr-CA"/>
        </w:rPr>
        <w:t xml:space="preserve">and well-thought-out prior </w:t>
      </w:r>
      <w:r w:rsidRPr="00B2562E">
        <w:rPr>
          <w:lang w:eastAsia="fr-CA"/>
        </w:rPr>
        <w:t>n</w:t>
      </w:r>
      <w:r w:rsidR="00081093" w:rsidRPr="00B2562E">
        <w:rPr>
          <w:lang w:eastAsia="fr-CA"/>
        </w:rPr>
        <w:t>e</w:t>
      </w:r>
      <w:r w:rsidRPr="00B2562E">
        <w:rPr>
          <w:lang w:eastAsia="fr-CA"/>
        </w:rPr>
        <w:t>go</w:t>
      </w:r>
      <w:r w:rsidR="00081093" w:rsidRPr="00B2562E">
        <w:rPr>
          <w:lang w:eastAsia="fr-CA"/>
        </w:rPr>
        <w:t>t</w:t>
      </w:r>
      <w:r w:rsidRPr="00B2562E">
        <w:rPr>
          <w:lang w:eastAsia="fr-CA"/>
        </w:rPr>
        <w:t xml:space="preserve">iation. </w:t>
      </w:r>
      <w:r w:rsidR="00081093" w:rsidRPr="00B2562E">
        <w:rPr>
          <w:lang w:eastAsia="fr-CA"/>
        </w:rPr>
        <w:t xml:space="preserve">In fact, the Court </w:t>
      </w:r>
      <w:r w:rsidR="00C75355">
        <w:rPr>
          <w:lang w:eastAsia="fr-CA"/>
        </w:rPr>
        <w:t>notes</w:t>
      </w:r>
      <w:r w:rsidR="00081093" w:rsidRPr="00B2562E">
        <w:rPr>
          <w:lang w:eastAsia="fr-CA"/>
        </w:rPr>
        <w:t xml:space="preserve"> that on August 7, </w:t>
      </w:r>
      <w:r w:rsidRPr="00B2562E">
        <w:rPr>
          <w:lang w:eastAsia="fr-CA"/>
        </w:rPr>
        <w:t xml:space="preserve">2020, </w:t>
      </w:r>
      <w:r w:rsidR="0001027F" w:rsidRPr="00B2562E">
        <w:rPr>
          <w:lang w:eastAsia="fr-CA"/>
        </w:rPr>
        <w:t xml:space="preserve">the </w:t>
      </w:r>
      <w:r w:rsidR="00F55459" w:rsidRPr="00B2562E">
        <w:rPr>
          <w:lang w:eastAsia="fr-CA"/>
        </w:rPr>
        <w:t>prosecution</w:t>
      </w:r>
      <w:r w:rsidR="0001027F" w:rsidRPr="00B2562E">
        <w:rPr>
          <w:lang w:eastAsia="fr-CA"/>
        </w:rPr>
        <w:t xml:space="preserve"> did not have on hand the </w:t>
      </w:r>
      <w:r w:rsidR="00C75355">
        <w:rPr>
          <w:lang w:eastAsia="fr-CA"/>
        </w:rPr>
        <w:t xml:space="preserve">accused’s </w:t>
      </w:r>
      <w:r w:rsidR="0001027F" w:rsidRPr="00B2562E">
        <w:rPr>
          <w:lang w:eastAsia="fr-CA"/>
        </w:rPr>
        <w:t>complete and up-to-date criminal record</w:t>
      </w:r>
      <w:r w:rsidRPr="00B2562E">
        <w:rPr>
          <w:lang w:eastAsia="fr-CA"/>
        </w:rPr>
        <w:t xml:space="preserve">. </w:t>
      </w:r>
      <w:r w:rsidR="0001027F" w:rsidRPr="00B2562E">
        <w:rPr>
          <w:lang w:eastAsia="fr-CA"/>
        </w:rPr>
        <w:t xml:space="preserve">This was not obtained until August 10, </w:t>
      </w:r>
      <w:r w:rsidRPr="00B2562E">
        <w:rPr>
          <w:lang w:eastAsia="fr-CA"/>
        </w:rPr>
        <w:t>2020</w:t>
      </w:r>
      <w:r w:rsidR="00C75355">
        <w:rPr>
          <w:lang w:eastAsia="fr-CA"/>
        </w:rPr>
        <w:t>,</w:t>
      </w:r>
      <w:r w:rsidRPr="00B2562E">
        <w:rPr>
          <w:lang w:eastAsia="fr-CA"/>
        </w:rPr>
        <w:t xml:space="preserve"> </w:t>
      </w:r>
      <w:r w:rsidR="0001027F" w:rsidRPr="00B2562E">
        <w:rPr>
          <w:lang w:eastAsia="fr-CA"/>
        </w:rPr>
        <w:t xml:space="preserve">and </w:t>
      </w:r>
      <w:r w:rsidR="000C1218">
        <w:rPr>
          <w:lang w:eastAsia="fr-CA"/>
        </w:rPr>
        <w:t xml:space="preserve">it </w:t>
      </w:r>
      <w:r w:rsidR="004D684A">
        <w:rPr>
          <w:lang w:eastAsia="fr-CA"/>
        </w:rPr>
        <w:t xml:space="preserve">was </w:t>
      </w:r>
      <w:r w:rsidR="0001027F" w:rsidRPr="00B2562E">
        <w:rPr>
          <w:lang w:eastAsia="fr-CA"/>
        </w:rPr>
        <w:t xml:space="preserve">sent to the Court by email on August 11, </w:t>
      </w:r>
      <w:r w:rsidRPr="00B2562E">
        <w:rPr>
          <w:lang w:eastAsia="fr-CA"/>
        </w:rPr>
        <w:t>2020.</w:t>
      </w:r>
    </w:p>
    <w:p w14:paraId="436A4075" w14:textId="1C5293C5" w:rsidR="0012455D" w:rsidRPr="00B2562E" w:rsidRDefault="0012455D" w:rsidP="000E174F">
      <w:pPr>
        <w:pStyle w:val="Citationenretrait"/>
        <w:rPr>
          <w:lang w:eastAsia="fr-CA"/>
        </w:rPr>
      </w:pPr>
      <w:r w:rsidRPr="00B2562E">
        <w:rPr>
          <w:lang w:eastAsia="fr-CA"/>
        </w:rPr>
        <w:t>[</w:t>
      </w:r>
      <w:bookmarkStart w:id="47" w:name="par93"/>
      <w:r w:rsidRPr="00B2562E">
        <w:rPr>
          <w:lang w:eastAsia="fr-CA"/>
        </w:rPr>
        <w:t>93</w:t>
      </w:r>
      <w:bookmarkEnd w:id="47"/>
      <w:r w:rsidRPr="00B2562E">
        <w:rPr>
          <w:lang w:eastAsia="fr-CA"/>
        </w:rPr>
        <w:t>]</w:t>
      </w:r>
      <w:r w:rsidRPr="00B2562E">
        <w:rPr>
          <w:lang w:eastAsia="fr-CA"/>
        </w:rPr>
        <w:tab/>
      </w:r>
      <w:r w:rsidR="0001027F" w:rsidRPr="00B2562E">
        <w:rPr>
          <w:b/>
          <w:bCs/>
          <w:lang w:eastAsia="fr-CA"/>
        </w:rPr>
        <w:t>Eleventh</w:t>
      </w:r>
      <w:r w:rsidRPr="00B2562E">
        <w:rPr>
          <w:lang w:eastAsia="fr-CA"/>
        </w:rPr>
        <w:t xml:space="preserve">, </w:t>
      </w:r>
      <w:r w:rsidR="00DA0C61" w:rsidRPr="00B2562E">
        <w:rPr>
          <w:lang w:eastAsia="fr-CA"/>
        </w:rPr>
        <w:t>the accused</w:t>
      </w:r>
      <w:r w:rsidRPr="00B2562E">
        <w:rPr>
          <w:lang w:eastAsia="fr-CA"/>
        </w:rPr>
        <w:t xml:space="preserve"> </w:t>
      </w:r>
      <w:r w:rsidR="0001027F" w:rsidRPr="00B2562E">
        <w:rPr>
          <w:lang w:eastAsia="fr-CA"/>
        </w:rPr>
        <w:t xml:space="preserve">chose not to be heard during the sentencing </w:t>
      </w:r>
      <w:r w:rsidR="004D684A">
        <w:rPr>
          <w:lang w:eastAsia="fr-CA"/>
        </w:rPr>
        <w:t>submissions</w:t>
      </w:r>
      <w:r w:rsidRPr="00B2562E">
        <w:rPr>
          <w:lang w:eastAsia="fr-CA"/>
        </w:rPr>
        <w:t xml:space="preserve">. </w:t>
      </w:r>
      <w:r w:rsidR="0001027F" w:rsidRPr="00B2562E">
        <w:rPr>
          <w:lang w:eastAsia="fr-CA"/>
        </w:rPr>
        <w:t xml:space="preserve">No specific evidence was presented </w:t>
      </w:r>
      <w:r w:rsidRPr="00B2562E">
        <w:rPr>
          <w:lang w:eastAsia="fr-CA"/>
        </w:rPr>
        <w:t>concern</w:t>
      </w:r>
      <w:r w:rsidR="0001027F" w:rsidRPr="00B2562E">
        <w:rPr>
          <w:lang w:eastAsia="fr-CA"/>
        </w:rPr>
        <w:t xml:space="preserve">ing his personal </w:t>
      </w:r>
      <w:r w:rsidR="000C1218">
        <w:rPr>
          <w:lang w:eastAsia="fr-CA"/>
        </w:rPr>
        <w:t>characteristics</w:t>
      </w:r>
      <w:r w:rsidR="0001027F" w:rsidRPr="00B2562E">
        <w:rPr>
          <w:lang w:eastAsia="fr-CA"/>
        </w:rPr>
        <w:t xml:space="preserve"> and the risks the </w:t>
      </w:r>
      <w:r w:rsidRPr="00B2562E">
        <w:rPr>
          <w:lang w:eastAsia="fr-CA"/>
        </w:rPr>
        <w:t xml:space="preserve">COVID-19 </w:t>
      </w:r>
      <w:r w:rsidR="0001027F" w:rsidRPr="00B2562E">
        <w:rPr>
          <w:lang w:eastAsia="fr-CA"/>
        </w:rPr>
        <w:t>pandemic represented for him in the prison environment</w:t>
      </w:r>
      <w:r w:rsidRPr="00B2562E">
        <w:rPr>
          <w:lang w:eastAsia="fr-CA"/>
        </w:rPr>
        <w:t>.</w:t>
      </w:r>
    </w:p>
    <w:p w14:paraId="5E37B419" w14:textId="2F3C45A3" w:rsidR="0012455D" w:rsidRPr="00B2562E" w:rsidRDefault="0012455D" w:rsidP="000E174F">
      <w:pPr>
        <w:pStyle w:val="Paragraphe"/>
        <w:numPr>
          <w:ilvl w:val="0"/>
          <w:numId w:val="0"/>
        </w:numPr>
        <w:spacing w:line="280" w:lineRule="exact"/>
        <w:ind w:left="567" w:right="715"/>
        <w:jc w:val="right"/>
        <w:rPr>
          <w:szCs w:val="24"/>
          <w:lang w:eastAsia="fr-CA"/>
        </w:rPr>
      </w:pPr>
      <w:r w:rsidRPr="00B2562E">
        <w:rPr>
          <w:szCs w:val="24"/>
          <w:lang w:eastAsia="fr-CA"/>
        </w:rPr>
        <w:t>[</w:t>
      </w:r>
      <w:r w:rsidR="00EB3E8B" w:rsidRPr="00B2562E">
        <w:rPr>
          <w:rFonts w:cs="Arial"/>
          <w:color w:val="000000"/>
          <w:szCs w:val="24"/>
          <w:lang w:eastAsia="fr-CA"/>
        </w:rPr>
        <w:t>References</w:t>
      </w:r>
      <w:r w:rsidR="0001027F" w:rsidRPr="00B2562E">
        <w:rPr>
          <w:szCs w:val="24"/>
          <w:lang w:eastAsia="fr-CA"/>
        </w:rPr>
        <w:t xml:space="preserve"> omitted</w:t>
      </w:r>
      <w:r w:rsidRPr="00B2562E">
        <w:rPr>
          <w:szCs w:val="24"/>
          <w:lang w:eastAsia="fr-CA"/>
        </w:rPr>
        <w:t>]</w:t>
      </w:r>
    </w:p>
    <w:p w14:paraId="1A051CFE" w14:textId="3D566070" w:rsidR="0012455D" w:rsidRPr="00B2562E" w:rsidRDefault="009C7F81" w:rsidP="000E174F">
      <w:pPr>
        <w:pStyle w:val="Paragraphe"/>
        <w:spacing w:line="280" w:lineRule="exact"/>
      </w:pPr>
      <w:r w:rsidRPr="00B2562E">
        <w:t xml:space="preserve">The only </w:t>
      </w:r>
      <w:r w:rsidR="000C1218">
        <w:t>reason</w:t>
      </w:r>
      <w:r w:rsidRPr="00B2562E">
        <w:t xml:space="preserve"> for imposing a consecutive sentence would be that the events are not </w:t>
      </w:r>
      <w:r w:rsidR="006E09B9">
        <w:t xml:space="preserve">linked </w:t>
      </w:r>
      <w:r w:rsidRPr="00B2562E">
        <w:t xml:space="preserve">in any way </w:t>
      </w:r>
      <w:r w:rsidR="006E09B9">
        <w:t>to</w:t>
      </w:r>
      <w:r w:rsidR="006E09B9" w:rsidRPr="00B2562E">
        <w:t xml:space="preserve"> </w:t>
      </w:r>
      <w:r w:rsidRPr="00B2562E">
        <w:t xml:space="preserve">the other offences for which he received concurrent sentences in the </w:t>
      </w:r>
      <w:r w:rsidR="00CB6F21">
        <w:t>files</w:t>
      </w:r>
      <w:r w:rsidR="00CB6F21" w:rsidRPr="00B2562E">
        <w:t xml:space="preserve"> </w:t>
      </w:r>
      <w:r w:rsidR="001652FC">
        <w:t>resolved</w:t>
      </w:r>
      <w:r w:rsidR="004C10F8" w:rsidRPr="00B2562E">
        <w:t xml:space="preserve"> </w:t>
      </w:r>
      <w:r w:rsidRPr="00B2562E">
        <w:t xml:space="preserve">in </w:t>
      </w:r>
      <w:r w:rsidR="0012455D" w:rsidRPr="00B2562E">
        <w:t>Montr</w:t>
      </w:r>
      <w:r w:rsidRPr="00B2562E">
        <w:t>e</w:t>
      </w:r>
      <w:r w:rsidR="0012455D" w:rsidRPr="00B2562E">
        <w:t xml:space="preserve">al </w:t>
      </w:r>
      <w:r w:rsidRPr="00B2562E">
        <w:t xml:space="preserve">and </w:t>
      </w:r>
      <w:r w:rsidR="0012455D" w:rsidRPr="00B2562E">
        <w:t xml:space="preserve">Laval </w:t>
      </w:r>
      <w:r w:rsidRPr="00B2562E">
        <w:t xml:space="preserve">in </w:t>
      </w:r>
      <w:r w:rsidR="00CB6F21">
        <w:t xml:space="preserve">the </w:t>
      </w:r>
      <w:r w:rsidRPr="00B2562E">
        <w:t>spring</w:t>
      </w:r>
      <w:r w:rsidR="00CB6F21">
        <w:t xml:space="preserve"> of</w:t>
      </w:r>
      <w:r w:rsidR="0012455D" w:rsidRPr="00B2562E">
        <w:t xml:space="preserve"> 2020.</w:t>
      </w:r>
    </w:p>
    <w:p w14:paraId="3C129346" w14:textId="248D16F3" w:rsidR="00BF73B9" w:rsidRPr="00B2562E" w:rsidRDefault="008158F9" w:rsidP="00BF73B9">
      <w:pPr>
        <w:pStyle w:val="Paragraphe"/>
        <w:spacing w:line="280" w:lineRule="exact"/>
      </w:pPr>
      <w:r w:rsidRPr="00B2562E">
        <w:lastRenderedPageBreak/>
        <w:t>This ob</w:t>
      </w:r>
      <w:r w:rsidR="0012455D" w:rsidRPr="00B2562E">
        <w:t xml:space="preserve">servation </w:t>
      </w:r>
      <w:r w:rsidR="004C10F8">
        <w:t>overlooks</w:t>
      </w:r>
      <w:r w:rsidR="00836E68" w:rsidRPr="00B2562E">
        <w:t xml:space="preserve"> the fact that </w:t>
      </w:r>
      <w:r w:rsidR="009F013A" w:rsidRPr="00B2562E">
        <w:t>the appellant</w:t>
      </w:r>
      <w:r w:rsidR="0012455D" w:rsidRPr="00B2562E">
        <w:t xml:space="preserve"> </w:t>
      </w:r>
      <w:r w:rsidR="00836E68" w:rsidRPr="00B2562E">
        <w:t xml:space="preserve">received a disciplinary </w:t>
      </w:r>
      <w:r w:rsidR="00042BAF" w:rsidRPr="00B2562E">
        <w:t>sanction</w:t>
      </w:r>
      <w:r w:rsidR="00836E68" w:rsidRPr="00B2562E">
        <w:t xml:space="preserve"> of four days in </w:t>
      </w:r>
      <w:r w:rsidR="00042BAF" w:rsidRPr="00B2562E">
        <w:t>solitary confinement</w:t>
      </w:r>
      <w:r w:rsidR="0012455D" w:rsidRPr="00B2562E">
        <w:t xml:space="preserve"> </w:t>
      </w:r>
      <w:r w:rsidR="00836E68" w:rsidRPr="00B2562E">
        <w:t xml:space="preserve">following the events </w:t>
      </w:r>
      <w:r w:rsidR="004C10F8">
        <w:t>on</w:t>
      </w:r>
      <w:r w:rsidR="004C10F8" w:rsidRPr="00B2562E">
        <w:t xml:space="preserve"> </w:t>
      </w:r>
      <w:r w:rsidR="00836E68" w:rsidRPr="00B2562E">
        <w:t xml:space="preserve">November 29, </w:t>
      </w:r>
      <w:r w:rsidR="0012455D" w:rsidRPr="00B2562E">
        <w:t>2019.</w:t>
      </w:r>
      <w:r w:rsidR="00836E68" w:rsidRPr="00B2562E">
        <w:t xml:space="preserve"> It also minimizes the </w:t>
      </w:r>
      <w:r w:rsidR="004C10F8">
        <w:t>vast</w:t>
      </w:r>
      <w:r w:rsidR="00836E68" w:rsidRPr="00B2562E">
        <w:t xml:space="preserve"> experience of </w:t>
      </w:r>
      <w:r w:rsidR="00042BAF" w:rsidRPr="00B2562E">
        <w:t>counsel</w:t>
      </w:r>
      <w:r w:rsidR="00836E68" w:rsidRPr="00B2562E">
        <w:t xml:space="preserve"> who presented the </w:t>
      </w:r>
      <w:r w:rsidR="00815A71" w:rsidRPr="00B2562E">
        <w:t>joint submission</w:t>
      </w:r>
      <w:r w:rsidR="00836E68" w:rsidRPr="00B2562E">
        <w:t xml:space="preserve"> and </w:t>
      </w:r>
      <w:r w:rsidR="004C10F8">
        <w:t>negates</w:t>
      </w:r>
      <w:r w:rsidR="00836E68" w:rsidRPr="00B2562E">
        <w:t xml:space="preserve"> the need to explain why he </w:t>
      </w:r>
      <w:r w:rsidR="004C10F8">
        <w:t>shows</w:t>
      </w:r>
      <w:r w:rsidR="004C10F8" w:rsidRPr="00B2562E">
        <w:t xml:space="preserve"> </w:t>
      </w:r>
      <w:r w:rsidR="00836E68" w:rsidRPr="00B2562E">
        <w:t xml:space="preserve">no </w:t>
      </w:r>
      <w:r w:rsidR="0012455D" w:rsidRPr="00B2562E">
        <w:t>d</w:t>
      </w:r>
      <w:r w:rsidR="00836E68" w:rsidRPr="00B2562E">
        <w:t>e</w:t>
      </w:r>
      <w:r w:rsidR="0012455D" w:rsidRPr="00B2562E">
        <w:t>f</w:t>
      </w:r>
      <w:r w:rsidR="00836E68" w:rsidRPr="00B2562E">
        <w:t>e</w:t>
      </w:r>
      <w:r w:rsidR="0012455D" w:rsidRPr="00B2562E">
        <w:t xml:space="preserve">rence </w:t>
      </w:r>
      <w:r w:rsidR="004C10F8">
        <w:t>for</w:t>
      </w:r>
      <w:r w:rsidR="004C10F8" w:rsidRPr="00B2562E">
        <w:t xml:space="preserve"> </w:t>
      </w:r>
      <w:r w:rsidR="00836E68" w:rsidRPr="00B2562E">
        <w:t xml:space="preserve">their assessment of the case. </w:t>
      </w:r>
      <w:r w:rsidR="004C10F8">
        <w:t>Nor does it mention</w:t>
      </w:r>
      <w:r w:rsidR="00836E68" w:rsidRPr="00B2562E">
        <w:t xml:space="preserve"> the benefits </w:t>
      </w:r>
      <w:r w:rsidR="004C10F8">
        <w:t xml:space="preserve">that </w:t>
      </w:r>
      <w:r w:rsidR="00836E68" w:rsidRPr="00B2562E">
        <w:t xml:space="preserve">the </w:t>
      </w:r>
      <w:r w:rsidR="0012455D" w:rsidRPr="00B2562E">
        <w:t xml:space="preserve">parties </w:t>
      </w:r>
      <w:r w:rsidR="00836E68" w:rsidRPr="00B2562E">
        <w:t xml:space="preserve">surely </w:t>
      </w:r>
      <w:r w:rsidR="004C10F8">
        <w:t>considered</w:t>
      </w:r>
      <w:r w:rsidR="00FC7016" w:rsidRPr="00B2562E">
        <w:t xml:space="preserve"> </w:t>
      </w:r>
      <w:r w:rsidR="00836E68" w:rsidRPr="00B2562E">
        <w:t xml:space="preserve">before presenting the </w:t>
      </w:r>
      <w:r w:rsidR="00815A71" w:rsidRPr="00B2562E">
        <w:t>joint submission</w:t>
      </w:r>
      <w:r w:rsidR="0012455D" w:rsidRPr="00B2562E">
        <w:t xml:space="preserve">. </w:t>
      </w:r>
    </w:p>
    <w:p w14:paraId="2FA8C22B" w14:textId="25C057BB" w:rsidR="00BF73B9" w:rsidRPr="00B2562E" w:rsidRDefault="00324A11" w:rsidP="00BF73B9">
      <w:pPr>
        <w:pStyle w:val="Paragraphe"/>
        <w:spacing w:line="280" w:lineRule="exact"/>
      </w:pPr>
      <w:r w:rsidRPr="00B2562E">
        <w:t>In addition</w:t>
      </w:r>
      <w:r w:rsidR="00BF73B9" w:rsidRPr="00B2562E">
        <w:t xml:space="preserve">, this </w:t>
      </w:r>
      <w:r w:rsidRPr="00B2562E">
        <w:t>finding</w:t>
      </w:r>
      <w:r w:rsidR="00BF73B9" w:rsidRPr="00B2562E">
        <w:t xml:space="preserve"> is based on the fact that the offences in this case are </w:t>
      </w:r>
      <w:r w:rsidR="00F502AE" w:rsidRPr="00B2562E">
        <w:t>un</w:t>
      </w:r>
      <w:r w:rsidR="00BF73B9" w:rsidRPr="00B2562E">
        <w:t xml:space="preserve">related to the multiple offences that the appellant had </w:t>
      </w:r>
      <w:r w:rsidR="00EC4813">
        <w:t>resolved</w:t>
      </w:r>
      <w:r w:rsidR="00EC4813" w:rsidRPr="00B2562E">
        <w:t xml:space="preserve"> </w:t>
      </w:r>
      <w:r w:rsidR="00BF73B9" w:rsidRPr="00B2562E">
        <w:t xml:space="preserve">earlier in Laval and Montreal, which were not </w:t>
      </w:r>
      <w:r w:rsidR="00EC4813" w:rsidRPr="00B2562E">
        <w:t>inter</w:t>
      </w:r>
      <w:r w:rsidR="00EC4813">
        <w:t>relat</w:t>
      </w:r>
      <w:r w:rsidR="00EC4813" w:rsidRPr="00B2562E">
        <w:t>ed</w:t>
      </w:r>
      <w:r w:rsidR="00BF73B9" w:rsidRPr="00B2562E">
        <w:t xml:space="preserve">. Therefore, the rejection of the joint submission in </w:t>
      </w:r>
      <w:r w:rsidR="00EC4813">
        <w:t>this</w:t>
      </w:r>
      <w:r w:rsidR="00BF73B9" w:rsidRPr="00B2562E">
        <w:t xml:space="preserve"> case implies that the judge </w:t>
      </w:r>
      <w:r w:rsidR="00EC4813">
        <w:t>likely</w:t>
      </w:r>
      <w:r w:rsidR="00EC4813" w:rsidRPr="00B2562E">
        <w:t xml:space="preserve"> </w:t>
      </w:r>
      <w:r w:rsidR="00EC4813">
        <w:t>concluded</w:t>
      </w:r>
      <w:r w:rsidR="00EC4813" w:rsidRPr="00B2562E">
        <w:t xml:space="preserve"> </w:t>
      </w:r>
      <w:r w:rsidR="00BF73B9" w:rsidRPr="00B2562E">
        <w:t xml:space="preserve">that the </w:t>
      </w:r>
      <w:r w:rsidRPr="00B2562E">
        <w:t>global</w:t>
      </w:r>
      <w:r w:rsidR="00BF73B9" w:rsidRPr="00B2562E">
        <w:t xml:space="preserve"> sentence imposed in the other </w:t>
      </w:r>
      <w:r w:rsidR="00CA3E52">
        <w:t>files</w:t>
      </w:r>
      <w:r w:rsidR="00BF73B9" w:rsidRPr="00B2562E">
        <w:t xml:space="preserve"> was contrary to the public interest. This aspect of the issue is not before the Court, of course, but it implies at the very least a </w:t>
      </w:r>
      <w:r w:rsidR="00EC4813">
        <w:t>marked</w:t>
      </w:r>
      <w:r w:rsidR="00BF73B9" w:rsidRPr="00B2562E">
        <w:t xml:space="preserve">, if not contradictory, difference between the approach </w:t>
      </w:r>
      <w:r w:rsidR="00EC4813">
        <w:t>shown</w:t>
      </w:r>
      <w:r w:rsidR="00EC4813" w:rsidRPr="00B2562E">
        <w:t xml:space="preserve"> </w:t>
      </w:r>
      <w:r w:rsidR="00BF73B9" w:rsidRPr="00B2562E">
        <w:t xml:space="preserve">in the </w:t>
      </w:r>
      <w:r w:rsidR="00EC4813">
        <w:t>resolution</w:t>
      </w:r>
      <w:r w:rsidR="00EC4813" w:rsidRPr="00B2562E">
        <w:t xml:space="preserve"> </w:t>
      </w:r>
      <w:r w:rsidR="00BF73B9" w:rsidRPr="00B2562E">
        <w:t xml:space="preserve">of the appellant’s other </w:t>
      </w:r>
      <w:r w:rsidR="00CB6F21">
        <w:t>files</w:t>
      </w:r>
      <w:r w:rsidR="00CB6F21" w:rsidRPr="00B2562E">
        <w:t xml:space="preserve"> </w:t>
      </w:r>
      <w:r w:rsidR="00BF73B9" w:rsidRPr="00B2562E">
        <w:t xml:space="preserve">and this particular case. </w:t>
      </w:r>
    </w:p>
    <w:p w14:paraId="0A93645E" w14:textId="1BF98BA3" w:rsidR="00BF73B9" w:rsidRPr="00B2562E" w:rsidRDefault="00BF73B9" w:rsidP="00BF73B9">
      <w:pPr>
        <w:pStyle w:val="Paragraphe"/>
        <w:spacing w:line="240" w:lineRule="auto"/>
      </w:pPr>
      <w:r w:rsidRPr="00B2562E">
        <w:t>It is important to mention the two salient features of the judge’s conclusion. The first concerns the decision to double the quantum of the proposed sentence, increasing it from three to six months’ imprisonment. The second is to order that this six-month sentence be served consecutive</w:t>
      </w:r>
      <w:r w:rsidR="00F502AE" w:rsidRPr="00B2562E">
        <w:t>ly</w:t>
      </w:r>
      <w:r w:rsidRPr="00B2562E">
        <w:t xml:space="preserve"> to any other sentence</w:t>
      </w:r>
      <w:r w:rsidR="00B016C9">
        <w:t xml:space="preserve"> in effect</w:t>
      </w:r>
      <w:r w:rsidRPr="00B2562E">
        <w:t xml:space="preserve">. </w:t>
      </w:r>
    </w:p>
    <w:p w14:paraId="537E2591" w14:textId="6793EEB2" w:rsidR="00BF73B9" w:rsidRPr="00B2562E" w:rsidRDefault="00BF73B9" w:rsidP="00BF73B9">
      <w:pPr>
        <w:pStyle w:val="Paragraphe"/>
        <w:spacing w:line="280" w:lineRule="exact"/>
      </w:pPr>
      <w:r w:rsidRPr="00B2562E">
        <w:t xml:space="preserve">Despite the insistence in </w:t>
      </w:r>
      <w:r w:rsidRPr="00B2562E">
        <w:rPr>
          <w:i/>
        </w:rPr>
        <w:t>Anthony-Cook</w:t>
      </w:r>
      <w:r w:rsidRPr="00B2562E">
        <w:t xml:space="preserve"> and </w:t>
      </w:r>
      <w:proofErr w:type="spellStart"/>
      <w:r w:rsidRPr="00B2562E">
        <w:rPr>
          <w:i/>
          <w:iCs/>
        </w:rPr>
        <w:t>Nahanee</w:t>
      </w:r>
      <w:proofErr w:type="spellEnd"/>
      <w:r w:rsidRPr="00B2562E">
        <w:t xml:space="preserve"> that clear and cogent reasons </w:t>
      </w:r>
      <w:r w:rsidR="00324A11" w:rsidRPr="00B2562E">
        <w:t>must</w:t>
      </w:r>
      <w:r w:rsidRPr="00B2562E">
        <w:t xml:space="preserve"> be provided </w:t>
      </w:r>
      <w:r w:rsidR="00324A11" w:rsidRPr="00B2562E">
        <w:t xml:space="preserve">for making </w:t>
      </w:r>
      <w:r w:rsidRPr="00B2562E">
        <w:t>such a change, there is no explanation in the judge’s reasons justify</w:t>
      </w:r>
      <w:r w:rsidR="008F55F3">
        <w:t>ing</w:t>
      </w:r>
      <w:r w:rsidRPr="00B2562E">
        <w:t xml:space="preserve"> such an increase in the proposed sentence or any reason why this quantum </w:t>
      </w:r>
      <w:r w:rsidR="00324A11" w:rsidRPr="00B2562E">
        <w:t>must</w:t>
      </w:r>
      <w:r w:rsidRPr="00B2562E">
        <w:t xml:space="preserve"> replace the one proposed in the joint submission </w:t>
      </w:r>
      <w:r w:rsidR="00031B28">
        <w:t>for</w:t>
      </w:r>
      <w:r w:rsidR="00742DC5">
        <w:t xml:space="preserve"> </w:t>
      </w:r>
      <w:r w:rsidRPr="00B2562E">
        <w:t xml:space="preserve">the sentence </w:t>
      </w:r>
      <w:r w:rsidR="00031B28">
        <w:t xml:space="preserve">to </w:t>
      </w:r>
      <w:r w:rsidR="008F55F3">
        <w:t>respect</w:t>
      </w:r>
      <w:r w:rsidR="00324A11" w:rsidRPr="00B2562E">
        <w:t xml:space="preserve"> </w:t>
      </w:r>
      <w:r w:rsidRPr="00B2562E">
        <w:t xml:space="preserve">the public interest. Moreover, the judge’s reasons do not </w:t>
      </w:r>
      <w:r w:rsidR="00031B28">
        <w:t xml:space="preserve">indicate </w:t>
      </w:r>
      <w:r w:rsidRPr="00B2562E">
        <w:t xml:space="preserve">how the result ordered is to be </w:t>
      </w:r>
      <w:r w:rsidR="00031B28">
        <w:t>allocated</w:t>
      </w:r>
      <w:r w:rsidRPr="00B2562E">
        <w:t xml:space="preserve"> </w:t>
      </w:r>
      <w:r w:rsidR="00324A11" w:rsidRPr="00B2562E">
        <w:t>between</w:t>
      </w:r>
      <w:r w:rsidRPr="00B2562E">
        <w:t xml:space="preserve"> the two counts before him. </w:t>
      </w:r>
    </w:p>
    <w:p w14:paraId="29740717" w14:textId="2092F54A" w:rsidR="00BF73B9" w:rsidRPr="00B2562E" w:rsidRDefault="00BF73B9" w:rsidP="00BF73B9">
      <w:pPr>
        <w:pStyle w:val="Paragraphe"/>
        <w:spacing w:line="280" w:lineRule="exact"/>
      </w:pPr>
      <w:r w:rsidRPr="00B2562E">
        <w:t xml:space="preserve">Notwithstanding his comprehensive and solid </w:t>
      </w:r>
      <w:r w:rsidR="00E1241B">
        <w:t>articulation</w:t>
      </w:r>
      <w:r w:rsidR="00D142D8" w:rsidRPr="00B2562E">
        <w:t xml:space="preserve"> </w:t>
      </w:r>
      <w:r w:rsidRPr="00B2562E">
        <w:t xml:space="preserve">of the applicable principles </w:t>
      </w:r>
      <w:r w:rsidR="00D142D8">
        <w:t>according to</w:t>
      </w:r>
      <w:r w:rsidR="00D142D8" w:rsidRPr="00B2562E">
        <w:t xml:space="preserve"> </w:t>
      </w:r>
      <w:r w:rsidRPr="00B2562E">
        <w:rPr>
          <w:i/>
        </w:rPr>
        <w:t>Anthony-Cook</w:t>
      </w:r>
      <w:r w:rsidRPr="00B2562E">
        <w:t>, the only expl</w:t>
      </w:r>
      <w:r w:rsidR="00324A11" w:rsidRPr="00B2562E">
        <w:t>anation</w:t>
      </w:r>
      <w:r w:rsidRPr="00B2562E">
        <w:t xml:space="preserve"> that seems to justify the conclusion in this particular case is that [</w:t>
      </w:r>
      <w:r w:rsidRPr="00B2562E">
        <w:rPr>
          <w:smallCaps/>
        </w:rPr>
        <w:t>translation] “</w:t>
      </w:r>
      <w:r w:rsidRPr="00B2562E">
        <w:t>it’s worth more”. In short, although it is difficult to define what constitutes the opinion of an informed and knowledgeable public, the judge</w:t>
      </w:r>
      <w:r w:rsidR="00324A11" w:rsidRPr="00B2562E">
        <w:t>’</w:t>
      </w:r>
      <w:r w:rsidRPr="00B2562E">
        <w:t>s opinion is largely devoid of content, except to express a retributive purpose. However, th</w:t>
      </w:r>
      <w:r w:rsidR="00324A11" w:rsidRPr="00B2562E">
        <w:t>at</w:t>
      </w:r>
      <w:r w:rsidRPr="00B2562E">
        <w:t xml:space="preserve"> is not the purpose of the task when a judge receives a joint submission. As this Court has stated</w:t>
      </w:r>
      <w:r w:rsidR="00031B28">
        <w:t xml:space="preserve"> several times</w:t>
      </w:r>
      <w:r w:rsidRPr="00B2562E">
        <w:t xml:space="preserve">, </w:t>
      </w:r>
      <w:r w:rsidR="0099128E">
        <w:t>the judge’s</w:t>
      </w:r>
      <w:r w:rsidR="00E1241B">
        <w:t xml:space="preserve"> </w:t>
      </w:r>
      <w:r w:rsidRPr="00B2562E">
        <w:t xml:space="preserve">obligation is to identify and explain how the joint submission is contrary to the public interest. What the judge did in </w:t>
      </w:r>
      <w:r w:rsidR="00E1241B">
        <w:t>this</w:t>
      </w:r>
      <w:r w:rsidRPr="00B2562E">
        <w:t xml:space="preserve"> case </w:t>
      </w:r>
      <w:r w:rsidR="00E1241B">
        <w:t>was</w:t>
      </w:r>
      <w:r w:rsidR="00E1241B" w:rsidRPr="00B2562E">
        <w:t xml:space="preserve"> </w:t>
      </w:r>
      <w:r w:rsidRPr="00B2562E">
        <w:t xml:space="preserve">to </w:t>
      </w:r>
      <w:r w:rsidR="0099128E">
        <w:t>repeat</w:t>
      </w:r>
      <w:r w:rsidR="00E1241B" w:rsidRPr="00B2562E">
        <w:t xml:space="preserve"> </w:t>
      </w:r>
      <w:r w:rsidRPr="00B2562E">
        <w:t>the exercise of determining a f</w:t>
      </w:r>
      <w:r w:rsidR="00324A11" w:rsidRPr="00B2562E">
        <w:t>it</w:t>
      </w:r>
      <w:r w:rsidRPr="00B2562E">
        <w:t xml:space="preserve"> sentence in the circumstances. As the Court has </w:t>
      </w:r>
      <w:r w:rsidR="00324A11" w:rsidRPr="00B2562E">
        <w:t xml:space="preserve">already </w:t>
      </w:r>
      <w:r w:rsidRPr="00B2562E">
        <w:t xml:space="preserve">said, this exercise </w:t>
      </w:r>
      <w:r w:rsidRPr="00B2562E">
        <w:rPr>
          <w:color w:val="000000"/>
        </w:rPr>
        <w:t xml:space="preserve">cannot </w:t>
      </w:r>
      <w:r w:rsidR="00E1241B">
        <w:rPr>
          <w:color w:val="000000"/>
        </w:rPr>
        <w:t>be done</w:t>
      </w:r>
      <w:r w:rsidR="00E1241B" w:rsidRPr="00B2562E">
        <w:rPr>
          <w:color w:val="000000"/>
        </w:rPr>
        <w:t xml:space="preserve"> </w:t>
      </w:r>
      <w:r w:rsidRPr="00B2562E">
        <w:rPr>
          <w:color w:val="000000"/>
        </w:rPr>
        <w:t>under the guise of public interest</w:t>
      </w:r>
      <w:r w:rsidRPr="00B2562E">
        <w:t>.</w:t>
      </w:r>
    </w:p>
    <w:p w14:paraId="6340C7E8" w14:textId="68BD7C62" w:rsidR="00BF73B9" w:rsidRPr="00B2562E" w:rsidRDefault="00BF73B9" w:rsidP="00BF73B9">
      <w:pPr>
        <w:pStyle w:val="Paragraphe"/>
        <w:spacing w:after="0" w:line="280" w:lineRule="exact"/>
      </w:pPr>
      <w:r w:rsidRPr="00B2562E">
        <w:t xml:space="preserve">The </w:t>
      </w:r>
      <w:r w:rsidR="00E1241B">
        <w:t>eleven</w:t>
      </w:r>
      <w:r w:rsidR="00E1241B" w:rsidRPr="00B2562E">
        <w:t xml:space="preserve"> </w:t>
      </w:r>
      <w:r w:rsidRPr="00B2562E">
        <w:t xml:space="preserve">considerations listed are introduced by the judge in the following way: </w:t>
      </w:r>
    </w:p>
    <w:p w14:paraId="47420538" w14:textId="77777777" w:rsidR="00BF73B9" w:rsidRPr="00B2562E" w:rsidRDefault="00BF73B9" w:rsidP="0099128E">
      <w:pPr>
        <w:pStyle w:val="Citationenretrait"/>
        <w:keepNext/>
        <w:spacing w:after="0"/>
        <w:rPr>
          <w:smallCaps/>
        </w:rPr>
      </w:pPr>
      <w:r w:rsidRPr="00B2562E">
        <w:lastRenderedPageBreak/>
        <w:t>[</w:t>
      </w:r>
      <w:r w:rsidRPr="00B2562E">
        <w:rPr>
          <w:smallCaps/>
        </w:rPr>
        <w:t>translation]</w:t>
      </w:r>
    </w:p>
    <w:p w14:paraId="4ACF0B70" w14:textId="1899C16F" w:rsidR="00BF73B9" w:rsidRPr="00B2562E" w:rsidRDefault="00BF73B9" w:rsidP="0099128E">
      <w:pPr>
        <w:pStyle w:val="Citationenretrait"/>
        <w:keepNext/>
      </w:pPr>
      <w:r w:rsidRPr="00B2562E">
        <w:rPr>
          <w:smallCaps/>
        </w:rPr>
        <w:t>[</w:t>
      </w:r>
      <w:r w:rsidRPr="00B2562E">
        <w:t>81]</w:t>
      </w:r>
      <w:r w:rsidRPr="00B2562E">
        <w:tab/>
        <w:t xml:space="preserve">The Court considers that a reasonable person, </w:t>
      </w:r>
      <w:r w:rsidR="00B22762">
        <w:t>apprised</w:t>
      </w:r>
      <w:r w:rsidR="00F44D5E" w:rsidRPr="00B2562E">
        <w:t xml:space="preserve"> </w:t>
      </w:r>
      <w:r w:rsidRPr="00B2562E">
        <w:t xml:space="preserve">of the circumstances of the case, would </w:t>
      </w:r>
      <w:r w:rsidR="00F44D5E">
        <w:t>feel that</w:t>
      </w:r>
      <w:r w:rsidR="00F44D5E" w:rsidRPr="00B2562E">
        <w:t xml:space="preserve"> </w:t>
      </w:r>
      <w:r w:rsidRPr="00B2562E">
        <w:t xml:space="preserve">this submission </w:t>
      </w:r>
      <w:r w:rsidR="00F44D5E">
        <w:t>undermine</w:t>
      </w:r>
      <w:r w:rsidR="0099128E">
        <w:t>s</w:t>
      </w:r>
      <w:r w:rsidR="00F44D5E">
        <w:t xml:space="preserve"> the</w:t>
      </w:r>
      <w:r w:rsidRPr="00B2562E">
        <w:t xml:space="preserve"> proper functioning of the justice system and </w:t>
      </w:r>
      <w:r w:rsidR="00F44D5E">
        <w:t xml:space="preserve">would </w:t>
      </w:r>
      <w:r w:rsidRPr="00B2562E">
        <w:t xml:space="preserve">cause the person to lose confidence in the institution of the courts. It is worth recalling that the credibility of the </w:t>
      </w:r>
      <w:r w:rsidR="00664F47" w:rsidRPr="00B2562E">
        <w:t xml:space="preserve">penal and </w:t>
      </w:r>
      <w:r w:rsidRPr="00B2562E">
        <w:t xml:space="preserve">criminal justice system in the eyes of </w:t>
      </w:r>
      <w:r w:rsidR="00332A9B">
        <w:t xml:space="preserve">the public </w:t>
      </w:r>
      <w:r w:rsidRPr="00B2562E">
        <w:t xml:space="preserve">depends on the fitness of sentences imposed on offenders. </w:t>
      </w:r>
    </w:p>
    <w:p w14:paraId="03F69637" w14:textId="059CF571" w:rsidR="00BF73B9" w:rsidRPr="00B2562E" w:rsidRDefault="00BF73B9" w:rsidP="00BF73B9">
      <w:pPr>
        <w:pStyle w:val="Paragraphe"/>
        <w:numPr>
          <w:ilvl w:val="0"/>
          <w:numId w:val="0"/>
        </w:numPr>
        <w:spacing w:line="280" w:lineRule="exact"/>
        <w:ind w:left="720" w:right="720"/>
        <w:jc w:val="right"/>
        <w:rPr>
          <w:sz w:val="22"/>
          <w:szCs w:val="22"/>
        </w:rPr>
      </w:pPr>
      <w:r w:rsidRPr="00B2562E">
        <w:rPr>
          <w:sz w:val="22"/>
          <w:szCs w:val="22"/>
        </w:rPr>
        <w:t>[</w:t>
      </w:r>
      <w:r w:rsidR="00664F47" w:rsidRPr="00B2562E">
        <w:rPr>
          <w:sz w:val="22"/>
          <w:szCs w:val="22"/>
        </w:rPr>
        <w:t>Reference</w:t>
      </w:r>
      <w:r w:rsidR="00324A11" w:rsidRPr="00B2562E">
        <w:rPr>
          <w:sz w:val="22"/>
          <w:szCs w:val="22"/>
        </w:rPr>
        <w:t>s</w:t>
      </w:r>
      <w:r w:rsidRPr="00B2562E">
        <w:rPr>
          <w:sz w:val="22"/>
          <w:szCs w:val="22"/>
        </w:rPr>
        <w:t xml:space="preserve"> omitted]</w:t>
      </w:r>
    </w:p>
    <w:p w14:paraId="17814EAD" w14:textId="57BCC414" w:rsidR="00EA70C4" w:rsidRPr="00044701" w:rsidRDefault="00BF73B9" w:rsidP="00044701">
      <w:pPr>
        <w:pStyle w:val="Paragraphe"/>
        <w:spacing w:line="240" w:lineRule="auto"/>
      </w:pPr>
      <w:r w:rsidRPr="00B2562E">
        <w:t>Regarding the first sentence</w:t>
      </w:r>
      <w:r w:rsidR="008E06C3">
        <w:t xml:space="preserve"> </w:t>
      </w:r>
      <w:r w:rsidR="006E7E4D">
        <w:t>of</w:t>
      </w:r>
      <w:r w:rsidRPr="00B2562E">
        <w:t xml:space="preserve"> this quotation, it is true that the point of comparison must be a “reasonable person, </w:t>
      </w:r>
      <w:r w:rsidR="00B22762">
        <w:t>apprised</w:t>
      </w:r>
      <w:r w:rsidR="00B22762" w:rsidRPr="00B2562E">
        <w:t xml:space="preserve"> </w:t>
      </w:r>
      <w:r w:rsidRPr="00B2562E">
        <w:t xml:space="preserve">of the circumstances of the case”. However, these </w:t>
      </w:r>
      <w:r w:rsidR="0099128E">
        <w:t>minimum</w:t>
      </w:r>
      <w:r w:rsidRPr="00B2562E">
        <w:t xml:space="preserve"> qualities are not enough. Such a person cannot only </w:t>
      </w:r>
      <w:r w:rsidR="000B49F5" w:rsidRPr="00B2562E">
        <w:t xml:space="preserve">be </w:t>
      </w:r>
      <w:r w:rsidRPr="00B2562E">
        <w:t xml:space="preserve">reasonable and </w:t>
      </w:r>
      <w:r w:rsidR="00B22762" w:rsidRPr="00B2562E">
        <w:t>a</w:t>
      </w:r>
      <w:r w:rsidR="00B22762">
        <w:t>pprised</w:t>
      </w:r>
      <w:r w:rsidR="00B22762" w:rsidRPr="00B2562E">
        <w:t xml:space="preserve"> </w:t>
      </w:r>
      <w:r w:rsidRPr="00B2562E">
        <w:t>of the circumstances of the case</w:t>
      </w:r>
      <w:r w:rsidR="00EA70C4" w:rsidRPr="00B2562E">
        <w:t>.</w:t>
      </w:r>
      <w:r w:rsidRPr="00B2562E">
        <w:t xml:space="preserve"> </w:t>
      </w:r>
      <w:r w:rsidR="00EA70C4" w:rsidRPr="00B2562E">
        <w:t>T</w:t>
      </w:r>
      <w:r w:rsidRPr="00B2562E">
        <w:t>his same</w:t>
      </w:r>
      <w:r w:rsidR="00332A9B">
        <w:t xml:space="preserve"> fictitious</w:t>
      </w:r>
      <w:r w:rsidRPr="00B2562E">
        <w:t xml:space="preserve"> and idealized person must also be familiar with the </w:t>
      </w:r>
      <w:r w:rsidR="000B49F5" w:rsidRPr="00B2562E">
        <w:t>everyday</w:t>
      </w:r>
      <w:r w:rsidRPr="00B2562E">
        <w:t xml:space="preserve"> practice in the courts of proceeding by way of joint submissions on </w:t>
      </w:r>
      <w:r w:rsidR="00B22762" w:rsidRPr="00B2562E">
        <w:t>sentenc</w:t>
      </w:r>
      <w:r w:rsidR="00B22762">
        <w:t>ing</w:t>
      </w:r>
      <w:r w:rsidR="00B22762" w:rsidRPr="00B2562E">
        <w:t xml:space="preserve"> </w:t>
      </w:r>
      <w:r w:rsidRPr="00B2562E">
        <w:t xml:space="preserve">and with the imperatives that </w:t>
      </w:r>
      <w:r w:rsidR="00B22762">
        <w:t>govern</w:t>
      </w:r>
      <w:r w:rsidR="00B22762" w:rsidRPr="00B2562E">
        <w:t xml:space="preserve"> </w:t>
      </w:r>
      <w:r w:rsidRPr="00B2562E">
        <w:t xml:space="preserve">this essential practice. </w:t>
      </w:r>
    </w:p>
    <w:p w14:paraId="22EA9562" w14:textId="6DCF56C3" w:rsidR="00BF73B9" w:rsidRPr="00B2562E" w:rsidRDefault="00BF73B9" w:rsidP="00BF73B9">
      <w:pPr>
        <w:pStyle w:val="Paragraphe"/>
        <w:spacing w:line="280" w:lineRule="exact"/>
      </w:pPr>
      <w:r w:rsidRPr="00B2562E">
        <w:t xml:space="preserve">At the end of the second sentence of the </w:t>
      </w:r>
      <w:r w:rsidR="00B22762">
        <w:t>excerpt</w:t>
      </w:r>
      <w:r w:rsidR="00B22762" w:rsidRPr="00B2562E">
        <w:t xml:space="preserve"> </w:t>
      </w:r>
      <w:r w:rsidR="00EA70C4" w:rsidRPr="00B2562E">
        <w:t xml:space="preserve">cited </w:t>
      </w:r>
      <w:r w:rsidRPr="00B2562E">
        <w:t xml:space="preserve">above, the judge </w:t>
      </w:r>
      <w:r w:rsidR="00F95CA5">
        <w:t>cites</w:t>
      </w:r>
      <w:r w:rsidRPr="00B2562E">
        <w:t xml:space="preserve"> </w:t>
      </w:r>
      <w:r w:rsidR="00B22762">
        <w:t>an excerpt</w:t>
      </w:r>
      <w:r w:rsidRPr="00B2562E">
        <w:t xml:space="preserve"> from </w:t>
      </w:r>
      <w:r w:rsidRPr="00B2562E">
        <w:rPr>
          <w:i/>
        </w:rPr>
        <w:t>Lacasse</w:t>
      </w:r>
      <w:r w:rsidR="000B49F5" w:rsidRPr="00B2562E">
        <w:rPr>
          <w:iCs/>
        </w:rPr>
        <w:t>,</w:t>
      </w:r>
      <w:r w:rsidRPr="00B2562E">
        <w:rPr>
          <w:rStyle w:val="Appelnotedebasdep"/>
          <w:lang w:val="en-CA"/>
        </w:rPr>
        <w:footnoteReference w:id="15"/>
      </w:r>
      <w:r w:rsidRPr="00B2562E">
        <w:t xml:space="preserve"> </w:t>
      </w:r>
      <w:r w:rsidR="00996BB1">
        <w:t>a case dealing</w:t>
      </w:r>
      <w:r w:rsidRPr="00B2562E">
        <w:t xml:space="preserve"> with sentencing at trial and not the test for rejecting a joint submission. These two concepts cannot be s</w:t>
      </w:r>
      <w:r w:rsidR="00EA70C4" w:rsidRPr="00B2562E">
        <w:t>uperimposed without risk</w:t>
      </w:r>
      <w:r w:rsidRPr="00B2562E">
        <w:t xml:space="preserve">. Making a direct link between the </w:t>
      </w:r>
      <w:r w:rsidRPr="00B2562E">
        <w:rPr>
          <w:rFonts w:cs="Arial"/>
        </w:rPr>
        <w:t xml:space="preserve">fitness of </w:t>
      </w:r>
      <w:r w:rsidR="00077669">
        <w:rPr>
          <w:rFonts w:cs="Arial"/>
        </w:rPr>
        <w:t>the</w:t>
      </w:r>
      <w:r w:rsidR="00077669" w:rsidRPr="00B2562E">
        <w:rPr>
          <w:rFonts w:cs="Arial"/>
        </w:rPr>
        <w:t xml:space="preserve"> </w:t>
      </w:r>
      <w:r w:rsidRPr="00B2562E">
        <w:rPr>
          <w:rFonts w:cs="Arial"/>
        </w:rPr>
        <w:t xml:space="preserve">sentence and </w:t>
      </w:r>
      <w:r w:rsidR="00077669">
        <w:rPr>
          <w:rFonts w:cs="Arial"/>
        </w:rPr>
        <w:t>public confidence in</w:t>
      </w:r>
      <w:r w:rsidRPr="00B2562E">
        <w:rPr>
          <w:rFonts w:cs="Arial"/>
        </w:rPr>
        <w:t xml:space="preserve"> the </w:t>
      </w:r>
      <w:r w:rsidR="00D573A0">
        <w:rPr>
          <w:rFonts w:cs="Arial"/>
        </w:rPr>
        <w:t xml:space="preserve">justice </w:t>
      </w:r>
      <w:r w:rsidRPr="00B2562E">
        <w:rPr>
          <w:rFonts w:cs="Arial"/>
        </w:rPr>
        <w:t>system</w:t>
      </w:r>
      <w:r w:rsidR="00742DC5">
        <w:rPr>
          <w:rFonts w:cs="Arial"/>
        </w:rPr>
        <w:t xml:space="preserve"> </w:t>
      </w:r>
      <w:r w:rsidRPr="00B2562E">
        <w:t xml:space="preserve">in order </w:t>
      </w:r>
      <w:r w:rsidR="00077669">
        <w:t xml:space="preserve">to provide reasons for </w:t>
      </w:r>
      <w:r w:rsidR="00D573A0">
        <w:t>refusing to accept</w:t>
      </w:r>
      <w:r w:rsidRPr="00B2562E">
        <w:t xml:space="preserve"> a joint submission is an indication of the error </w:t>
      </w:r>
      <w:r w:rsidR="00D573A0">
        <w:t>in</w:t>
      </w:r>
      <w:r w:rsidR="00D573A0" w:rsidRPr="00B2562E">
        <w:t xml:space="preserve"> </w:t>
      </w:r>
      <w:r w:rsidRPr="00B2562E">
        <w:t xml:space="preserve">principle that the Supreme Court </w:t>
      </w:r>
      <w:r w:rsidR="00996BB1">
        <w:t xml:space="preserve">referred to </w:t>
      </w:r>
      <w:r w:rsidRPr="00B2562E">
        <w:t xml:space="preserve">in </w:t>
      </w:r>
      <w:r w:rsidRPr="00B2562E">
        <w:rPr>
          <w:i/>
        </w:rPr>
        <w:t>Anthony-Cook</w:t>
      </w:r>
      <w:r w:rsidRPr="00B2562E">
        <w:t xml:space="preserve">. </w:t>
      </w:r>
      <w:r w:rsidR="00A55DC7">
        <w:t>Moreover</w:t>
      </w:r>
      <w:r w:rsidRPr="00B2562E">
        <w:t xml:space="preserve">, </w:t>
      </w:r>
      <w:r w:rsidR="00996BB1">
        <w:t>the</w:t>
      </w:r>
      <w:r w:rsidRPr="00B2562E">
        <w:t xml:space="preserve"> apparent </w:t>
      </w:r>
      <w:r w:rsidR="00A55DC7">
        <w:t>link drawn</w:t>
      </w:r>
      <w:r w:rsidRPr="00B2562E">
        <w:t xml:space="preserve"> by the judge does not allow an informed public to identify specifically how </w:t>
      </w:r>
      <w:r w:rsidR="00A55DC7">
        <w:t>the</w:t>
      </w:r>
      <w:r w:rsidR="00A55DC7" w:rsidRPr="00B2562E">
        <w:t xml:space="preserve"> </w:t>
      </w:r>
      <w:r w:rsidRPr="00B2562E">
        <w:t xml:space="preserve">joint submission </w:t>
      </w:r>
      <w:r w:rsidR="00996BB1">
        <w:t>might</w:t>
      </w:r>
      <w:r w:rsidRPr="00B2562E">
        <w:t xml:space="preserve"> </w:t>
      </w:r>
      <w:r w:rsidR="00A55DC7">
        <w:t>cause</w:t>
      </w:r>
      <w:r w:rsidR="00A55DC7" w:rsidRPr="00B2562E">
        <w:t xml:space="preserve"> </w:t>
      </w:r>
      <w:r w:rsidRPr="00B2562E">
        <w:t xml:space="preserve">it </w:t>
      </w:r>
      <w:r w:rsidR="00A55DC7">
        <w:t xml:space="preserve">to </w:t>
      </w:r>
      <w:r w:rsidRPr="00B2562E">
        <w:t>lose confidence in the administration of justice</w:t>
      </w:r>
      <w:r w:rsidR="00A55DC7">
        <w:t>,</w:t>
      </w:r>
      <w:r w:rsidRPr="00B2562E">
        <w:t xml:space="preserve"> and </w:t>
      </w:r>
      <w:r w:rsidR="00A55DC7" w:rsidRPr="00B2562E">
        <w:t>undermin</w:t>
      </w:r>
      <w:r w:rsidR="00A55DC7">
        <w:t>ing</w:t>
      </w:r>
      <w:r w:rsidR="00A55DC7" w:rsidRPr="00B2562E">
        <w:t xml:space="preserve"> </w:t>
      </w:r>
      <w:r w:rsidRPr="00B2562E">
        <w:t>the use of joint submissions</w:t>
      </w:r>
      <w:r w:rsidR="00A55DC7">
        <w:t xml:space="preserve"> runs</w:t>
      </w:r>
      <w:r w:rsidRPr="00B2562E">
        <w:t xml:space="preserve"> a </w:t>
      </w:r>
      <w:r w:rsidR="00A55DC7" w:rsidRPr="00B2562E">
        <w:t>s</w:t>
      </w:r>
      <w:r w:rsidR="00A55DC7">
        <w:t>erious</w:t>
      </w:r>
      <w:r w:rsidR="00A55DC7" w:rsidRPr="00B2562E">
        <w:t xml:space="preserve"> </w:t>
      </w:r>
      <w:r w:rsidRPr="00B2562E">
        <w:t xml:space="preserve">risk of paralyzing the criminal justice system. </w:t>
      </w:r>
    </w:p>
    <w:p w14:paraId="1C718C9F" w14:textId="218D076E" w:rsidR="00BF73B9" w:rsidRPr="00B2562E" w:rsidRDefault="00996BB1" w:rsidP="00BF73B9">
      <w:pPr>
        <w:pStyle w:val="Paragraphe"/>
        <w:spacing w:line="280" w:lineRule="exact"/>
      </w:pPr>
      <w:r>
        <w:t xml:space="preserve">It </w:t>
      </w:r>
      <w:r w:rsidR="00A55DC7">
        <w:t>is hardly an approach marked by</w:t>
      </w:r>
      <w:r w:rsidR="00BF73B9" w:rsidRPr="00B2562E">
        <w:t xml:space="preserve"> moderation, restraint and deference, as </w:t>
      </w:r>
      <w:r w:rsidR="00A55DC7">
        <w:t>recommended</w:t>
      </w:r>
      <w:r w:rsidR="00A55DC7" w:rsidRPr="00B2562E">
        <w:t xml:space="preserve"> </w:t>
      </w:r>
      <w:r w:rsidR="00BF73B9" w:rsidRPr="00B2562E">
        <w:t xml:space="preserve">in </w:t>
      </w:r>
      <w:r w:rsidR="00BF73B9" w:rsidRPr="00B2562E">
        <w:rPr>
          <w:i/>
        </w:rPr>
        <w:t>Anthony-Cook</w:t>
      </w:r>
      <w:r w:rsidR="00BF73B9" w:rsidRPr="00B2562E">
        <w:t xml:space="preserve">, or </w:t>
      </w:r>
      <w:r w:rsidR="008E06C3">
        <w:t>by respect for</w:t>
      </w:r>
      <w:r w:rsidR="00BF73B9" w:rsidRPr="00B2562E">
        <w:t xml:space="preserve"> a high threshold for intervention. This </w:t>
      </w:r>
      <w:r w:rsidR="00EA70C4" w:rsidRPr="00B2562E">
        <w:t xml:space="preserve">result </w:t>
      </w:r>
      <w:r w:rsidR="00BF73B9" w:rsidRPr="00B2562E">
        <w:t xml:space="preserve">must be </w:t>
      </w:r>
      <w:r w:rsidR="008E06C3">
        <w:t>set aside</w:t>
      </w:r>
      <w:r w:rsidR="008E06C3" w:rsidRPr="00B2562E">
        <w:t xml:space="preserve"> </w:t>
      </w:r>
      <w:r w:rsidR="00BF73B9" w:rsidRPr="00B2562E">
        <w:t>for at least three reasons. First, it is opaque. Second, it does not meet the test</w:t>
      </w:r>
      <w:r w:rsidR="00EA70C4" w:rsidRPr="00B2562E">
        <w:t>s</w:t>
      </w:r>
      <w:r w:rsidR="00BF73B9" w:rsidRPr="00B2562E">
        <w:t xml:space="preserve"> for rejection identified by the Supreme Court in </w:t>
      </w:r>
      <w:r w:rsidR="00BF73B9" w:rsidRPr="00B2562E">
        <w:rPr>
          <w:i/>
        </w:rPr>
        <w:t>Anthony-Cook</w:t>
      </w:r>
      <w:r w:rsidR="00BF73B9" w:rsidRPr="00B2562E">
        <w:t xml:space="preserve"> and </w:t>
      </w:r>
      <w:proofErr w:type="spellStart"/>
      <w:r w:rsidR="00BF73B9" w:rsidRPr="00B2562E">
        <w:rPr>
          <w:i/>
          <w:iCs/>
        </w:rPr>
        <w:t>Nahanee</w:t>
      </w:r>
      <w:proofErr w:type="spellEnd"/>
      <w:r w:rsidR="00BF73B9" w:rsidRPr="00B2562E">
        <w:t>.</w:t>
      </w:r>
      <w:r>
        <w:t xml:space="preserve"> Instead</w:t>
      </w:r>
      <w:r w:rsidR="008C1E02">
        <w:t>, t</w:t>
      </w:r>
      <w:r w:rsidR="008C1E02" w:rsidRPr="00B2562E">
        <w:t xml:space="preserve">he </w:t>
      </w:r>
      <w:r w:rsidR="00BF73B9" w:rsidRPr="00B2562E">
        <w:t xml:space="preserve">judge </w:t>
      </w:r>
      <w:r w:rsidR="008C1E02">
        <w:t>applied</w:t>
      </w:r>
      <w:r w:rsidR="008C1E02" w:rsidRPr="00B2562E">
        <w:t xml:space="preserve"> </w:t>
      </w:r>
      <w:r w:rsidR="00BF73B9" w:rsidRPr="00B2562E">
        <w:t xml:space="preserve">the fitness test </w:t>
      </w:r>
      <w:r w:rsidR="008C1E02">
        <w:t>to</w:t>
      </w:r>
      <w:r w:rsidR="008C1E02" w:rsidRPr="00B2562E">
        <w:t xml:space="preserve"> </w:t>
      </w:r>
      <w:r w:rsidR="00BF73B9" w:rsidRPr="00B2562E">
        <w:t xml:space="preserve">the submission </w:t>
      </w:r>
      <w:r>
        <w:t xml:space="preserve">of the </w:t>
      </w:r>
      <w:r w:rsidR="00BF73B9" w:rsidRPr="00B2562E">
        <w:t xml:space="preserve">parties, which the test established by the Supreme Court and reinforced by the case law of </w:t>
      </w:r>
      <w:r w:rsidR="008E06C3">
        <w:t>this Court</w:t>
      </w:r>
      <w:r w:rsidR="006C2415" w:rsidRPr="006C2415">
        <w:t xml:space="preserve"> </w:t>
      </w:r>
      <w:r>
        <w:t xml:space="preserve">has </w:t>
      </w:r>
      <w:r w:rsidR="006C2415" w:rsidRPr="00B2562E">
        <w:t>expressly exclude</w:t>
      </w:r>
      <w:r>
        <w:t>d</w:t>
      </w:r>
      <w:r w:rsidR="006C2415" w:rsidRPr="00B2562E">
        <w:t xml:space="preserve"> from the analysis</w:t>
      </w:r>
      <w:r w:rsidR="00BF73B9" w:rsidRPr="00B2562E">
        <w:t xml:space="preserve">. Finally, the judge </w:t>
      </w:r>
      <w:r>
        <w:t xml:space="preserve">simply </w:t>
      </w:r>
      <w:r w:rsidR="006E7E99" w:rsidRPr="00B2562E">
        <w:t>substitut</w:t>
      </w:r>
      <w:r w:rsidR="006E7E99">
        <w:t xml:space="preserve">ed </w:t>
      </w:r>
      <w:r w:rsidR="00BF73B9" w:rsidRPr="00B2562E">
        <w:t xml:space="preserve">his </w:t>
      </w:r>
      <w:r>
        <w:t xml:space="preserve">own </w:t>
      </w:r>
      <w:r w:rsidR="006E7E99">
        <w:t>opinion</w:t>
      </w:r>
      <w:r w:rsidR="006E7E99" w:rsidRPr="00B2562E">
        <w:t xml:space="preserve"> </w:t>
      </w:r>
      <w:r w:rsidR="00BF73B9" w:rsidRPr="00B2562E">
        <w:t xml:space="preserve">and discretion for </w:t>
      </w:r>
      <w:r w:rsidR="00B142E2">
        <w:t xml:space="preserve">that </w:t>
      </w:r>
      <w:r>
        <w:t xml:space="preserve">which was given </w:t>
      </w:r>
      <w:r w:rsidR="003D0190">
        <w:t>to</w:t>
      </w:r>
      <w:r w:rsidR="00BF73B9" w:rsidRPr="00B2562E">
        <w:t xml:space="preserve"> the parties, </w:t>
      </w:r>
      <w:r>
        <w:t xml:space="preserve">which </w:t>
      </w:r>
      <w:r w:rsidR="00BF73B9" w:rsidRPr="00B2562E">
        <w:t xml:space="preserve">once again </w:t>
      </w:r>
      <w:r>
        <w:t xml:space="preserve">runs contrary </w:t>
      </w:r>
      <w:r w:rsidR="00BF73B9" w:rsidRPr="00B2562E">
        <w:t xml:space="preserve">to the teachings of </w:t>
      </w:r>
      <w:r w:rsidR="00BF73B9" w:rsidRPr="00B2562E">
        <w:rPr>
          <w:i/>
        </w:rPr>
        <w:t>Anthony-Cook</w:t>
      </w:r>
      <w:r w:rsidR="00BF73B9" w:rsidRPr="00B2562E">
        <w:t xml:space="preserve"> and subsequent case law. </w:t>
      </w:r>
    </w:p>
    <w:p w14:paraId="4B2C7632" w14:textId="77777777" w:rsidR="00BF73B9" w:rsidRPr="00B2562E" w:rsidRDefault="00BF73B9" w:rsidP="00BF73B9">
      <w:pPr>
        <w:pStyle w:val="Titre1"/>
        <w:spacing w:line="280" w:lineRule="exact"/>
      </w:pPr>
      <w:r w:rsidRPr="00B2562E">
        <w:lastRenderedPageBreak/>
        <w:t>Conclusion</w:t>
      </w:r>
    </w:p>
    <w:p w14:paraId="03BF2C1E" w14:textId="4FCF6930" w:rsidR="00BF73B9" w:rsidRPr="00B2562E" w:rsidRDefault="00BF73B9" w:rsidP="00BF73B9">
      <w:pPr>
        <w:pStyle w:val="Paragraphe"/>
        <w:spacing w:line="280" w:lineRule="exact"/>
      </w:pPr>
      <w:r w:rsidRPr="00B2562E">
        <w:t xml:space="preserve">In closing, I emphasize that trial judges always have </w:t>
      </w:r>
      <w:r w:rsidR="00172EE6">
        <w:t>a</w:t>
      </w:r>
      <w:r w:rsidRPr="00B2562E">
        <w:t xml:space="preserve"> duty to ensure that sentences are in the public interest, but the Supreme Court’s case law obliges all courts to respect joint submissions, except in clearly </w:t>
      </w:r>
      <w:r w:rsidR="00EA70C4" w:rsidRPr="00B2562E">
        <w:t>exceptional</w:t>
      </w:r>
      <w:r w:rsidRPr="00B2562E">
        <w:t xml:space="preserve"> circumstances.</w:t>
      </w:r>
    </w:p>
    <w:p w14:paraId="580C271B" w14:textId="04CA3BE4" w:rsidR="00BF73B9" w:rsidRPr="00B2562E" w:rsidRDefault="00BF73B9" w:rsidP="00BF73B9">
      <w:pPr>
        <w:pStyle w:val="Paragraphe"/>
        <w:spacing w:line="280" w:lineRule="exact"/>
      </w:pPr>
      <w:r w:rsidRPr="00B2562E">
        <w:t xml:space="preserve">I </w:t>
      </w:r>
      <w:r w:rsidR="00172EE6">
        <w:t xml:space="preserve">would therefore allow </w:t>
      </w:r>
      <w:r w:rsidRPr="00B2562E">
        <w:t xml:space="preserve">the appeal, </w:t>
      </w:r>
      <w:r w:rsidR="00172EE6">
        <w:t xml:space="preserve">quash </w:t>
      </w:r>
      <w:r w:rsidRPr="00B2562E">
        <w:t>the sentence imposed on November 27, 2020</w:t>
      </w:r>
      <w:r w:rsidR="006C2415">
        <w:t>,</w:t>
      </w:r>
      <w:r w:rsidRPr="00B2562E">
        <w:t xml:space="preserve"> and </w:t>
      </w:r>
      <w:r w:rsidR="00172EE6">
        <w:t xml:space="preserve">impose </w:t>
      </w:r>
      <w:r w:rsidRPr="00B2562E">
        <w:t xml:space="preserve">a three-month sentence on each count to be served concurrently with any other sentence in </w:t>
      </w:r>
      <w:r w:rsidR="00B95607">
        <w:t>effect</w:t>
      </w:r>
      <w:r w:rsidR="008E06C3">
        <w:t xml:space="preserve">, </w:t>
      </w:r>
      <w:r w:rsidR="00172EE6">
        <w:t xml:space="preserve">along with </w:t>
      </w:r>
      <w:r w:rsidR="004D6B38">
        <w:t>one year’s</w:t>
      </w:r>
      <w:r w:rsidRPr="00B2562E">
        <w:t xml:space="preserve"> probation on the conditions </w:t>
      </w:r>
      <w:r w:rsidR="004D6B38">
        <w:t xml:space="preserve">contained </w:t>
      </w:r>
      <w:r w:rsidRPr="00B2562E">
        <w:t>in the joint submission.</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BF73B9" w:rsidRPr="00B2562E" w14:paraId="2693B6DB" w14:textId="77777777" w:rsidTr="00F426EA">
        <w:trPr>
          <w:cantSplit/>
          <w:trHeight w:val="513"/>
        </w:trPr>
        <w:tc>
          <w:tcPr>
            <w:tcW w:w="9360" w:type="dxa"/>
            <w:gridSpan w:val="2"/>
          </w:tcPr>
          <w:p w14:paraId="65451717" w14:textId="77777777" w:rsidR="00BF73B9" w:rsidRPr="00B2562E" w:rsidRDefault="00BF73B9" w:rsidP="00F426EA">
            <w:pPr>
              <w:pStyle w:val="Paragraphe"/>
              <w:numPr>
                <w:ilvl w:val="0"/>
                <w:numId w:val="0"/>
              </w:numPr>
            </w:pPr>
          </w:p>
        </w:tc>
      </w:tr>
      <w:tr w:rsidR="00BF73B9" w:rsidRPr="00B2562E" w14:paraId="493209F4" w14:textId="77777777" w:rsidTr="00F426EA">
        <w:trPr>
          <w:cantSplit/>
          <w:trHeight w:val="277"/>
        </w:trPr>
        <w:tc>
          <w:tcPr>
            <w:tcW w:w="4735" w:type="dxa"/>
            <w:vMerge w:val="restart"/>
          </w:tcPr>
          <w:p w14:paraId="0BDABFCF" w14:textId="77777777" w:rsidR="00BF73B9" w:rsidRPr="00B2562E" w:rsidRDefault="00BF73B9" w:rsidP="00F426EA"/>
        </w:tc>
        <w:tc>
          <w:tcPr>
            <w:tcW w:w="4625" w:type="dxa"/>
            <w:tcBorders>
              <w:bottom w:val="single" w:sz="8" w:space="0" w:color="auto"/>
            </w:tcBorders>
          </w:tcPr>
          <w:p w14:paraId="61FD3047" w14:textId="77777777" w:rsidR="00BF73B9" w:rsidRPr="00B2562E" w:rsidRDefault="00BF73B9" w:rsidP="00F426EA"/>
        </w:tc>
      </w:tr>
      <w:tr w:rsidR="00BF73B9" w:rsidRPr="00B2562E" w14:paraId="1901DC6A" w14:textId="77777777" w:rsidTr="00F426EA">
        <w:trPr>
          <w:cantSplit/>
          <w:trHeight w:val="276"/>
        </w:trPr>
        <w:tc>
          <w:tcPr>
            <w:tcW w:w="4735" w:type="dxa"/>
            <w:vMerge/>
          </w:tcPr>
          <w:p w14:paraId="1FB4C0A4" w14:textId="77777777" w:rsidR="00BF73B9" w:rsidRPr="00B2562E" w:rsidRDefault="00BF73B9" w:rsidP="00F426EA"/>
        </w:tc>
        <w:tc>
          <w:tcPr>
            <w:tcW w:w="4625" w:type="dxa"/>
          </w:tcPr>
          <w:p w14:paraId="744F15BD" w14:textId="77777777" w:rsidR="00BF73B9" w:rsidRPr="00B2562E" w:rsidRDefault="00BF73B9" w:rsidP="00F426EA">
            <w:r w:rsidRPr="00B2562E">
              <w:t>PATRICK HEALY, J.A.</w:t>
            </w:r>
          </w:p>
        </w:tc>
      </w:tr>
    </w:tbl>
    <w:p w14:paraId="77717F95" w14:textId="77777777" w:rsidR="00BF73B9" w:rsidRPr="00B2562E" w:rsidRDefault="00BF73B9" w:rsidP="00BF73B9">
      <w:r w:rsidRPr="00B2562E">
        <w:br w:type="page"/>
      </w:r>
    </w:p>
    <w:tbl>
      <w:tblPr>
        <w:tblW w:w="0" w:type="auto"/>
        <w:tblLayout w:type="fixed"/>
        <w:tblCellMar>
          <w:left w:w="0" w:type="dxa"/>
          <w:right w:w="0" w:type="dxa"/>
        </w:tblCellMar>
        <w:tblLook w:val="0000" w:firstRow="0" w:lastRow="0" w:firstColumn="0" w:lastColumn="0" w:noHBand="0" w:noVBand="0"/>
      </w:tblPr>
      <w:tblGrid>
        <w:gridCol w:w="9360"/>
      </w:tblGrid>
      <w:tr w:rsidR="00BF73B9" w:rsidRPr="00B2562E" w14:paraId="09216B63" w14:textId="77777777" w:rsidTr="00F426EA">
        <w:tc>
          <w:tcPr>
            <w:tcW w:w="9360" w:type="dxa"/>
            <w:tcBorders>
              <w:bottom w:val="single" w:sz="8" w:space="0" w:color="auto"/>
            </w:tcBorders>
          </w:tcPr>
          <w:p w14:paraId="5838765B" w14:textId="77777777" w:rsidR="00BF73B9" w:rsidRPr="00B2562E" w:rsidRDefault="00BF73B9" w:rsidP="00F426EA">
            <w:r w:rsidRPr="00B2562E">
              <w:lastRenderedPageBreak/>
              <w:br w:type="page"/>
            </w:r>
          </w:p>
        </w:tc>
      </w:tr>
      <w:tr w:rsidR="00BF73B9" w:rsidRPr="00B2562E" w14:paraId="353DB968" w14:textId="77777777" w:rsidTr="00F426EA">
        <w:tc>
          <w:tcPr>
            <w:tcW w:w="9360" w:type="dxa"/>
            <w:tcBorders>
              <w:top w:val="single" w:sz="8" w:space="0" w:color="auto"/>
            </w:tcBorders>
          </w:tcPr>
          <w:p w14:paraId="62215EC6" w14:textId="77777777" w:rsidR="00BF73B9" w:rsidRPr="00B2562E" w:rsidRDefault="00BF73B9" w:rsidP="00F426EA"/>
        </w:tc>
      </w:tr>
      <w:tr w:rsidR="00BF73B9" w:rsidRPr="00B2562E" w14:paraId="121B23A7" w14:textId="77777777" w:rsidTr="00F426EA">
        <w:tc>
          <w:tcPr>
            <w:tcW w:w="9360" w:type="dxa"/>
          </w:tcPr>
          <w:p w14:paraId="1BFE9EB4" w14:textId="76CE64D7" w:rsidR="00BF73B9" w:rsidRPr="00B2562E" w:rsidRDefault="00BF73B9" w:rsidP="00F426EA">
            <w:pPr>
              <w:pStyle w:val="zSoquijlblOpinionJuge"/>
            </w:pPr>
            <w:r w:rsidRPr="00B2562E">
              <w:t>REASONS OF GAGNON J.</w:t>
            </w:r>
            <w:r w:rsidR="000B49F5" w:rsidRPr="00B2562E">
              <w:t>A.</w:t>
            </w:r>
          </w:p>
        </w:tc>
      </w:tr>
      <w:tr w:rsidR="00BF73B9" w:rsidRPr="00B2562E" w14:paraId="7142EAAF" w14:textId="77777777" w:rsidTr="00F426EA">
        <w:tc>
          <w:tcPr>
            <w:tcW w:w="9360" w:type="dxa"/>
            <w:tcBorders>
              <w:bottom w:val="single" w:sz="8" w:space="0" w:color="auto"/>
            </w:tcBorders>
          </w:tcPr>
          <w:p w14:paraId="3633835A" w14:textId="77777777" w:rsidR="00BF73B9" w:rsidRPr="00B2562E" w:rsidRDefault="00BF73B9" w:rsidP="00F426EA"/>
        </w:tc>
      </w:tr>
      <w:tr w:rsidR="00BF73B9" w:rsidRPr="00B2562E" w14:paraId="34827A99" w14:textId="77777777" w:rsidTr="00F426EA">
        <w:tc>
          <w:tcPr>
            <w:tcW w:w="9360" w:type="dxa"/>
            <w:tcBorders>
              <w:top w:val="single" w:sz="8" w:space="0" w:color="auto"/>
            </w:tcBorders>
          </w:tcPr>
          <w:p w14:paraId="2F32375B" w14:textId="77777777" w:rsidR="00BF73B9" w:rsidRPr="00B2562E" w:rsidRDefault="00BF73B9" w:rsidP="00F426EA"/>
        </w:tc>
      </w:tr>
    </w:tbl>
    <w:p w14:paraId="0CA5FF93" w14:textId="50DCCBD0" w:rsidR="00BF73B9" w:rsidRPr="00B2562E" w:rsidRDefault="00BF73B9" w:rsidP="00BF73B9">
      <w:pPr>
        <w:pStyle w:val="Paragraphe"/>
        <w:spacing w:line="280" w:lineRule="exact"/>
      </w:pPr>
      <w:r w:rsidRPr="00B2562E">
        <w:t xml:space="preserve">Essentially, I </w:t>
      </w:r>
      <w:r w:rsidR="00E02C6D">
        <w:t xml:space="preserve">concur </w:t>
      </w:r>
      <w:r w:rsidRPr="00B2562E">
        <w:t>with the reasons of my colleague Healy</w:t>
      </w:r>
      <w:r w:rsidR="00EA70C4" w:rsidRPr="00B2562E">
        <w:t xml:space="preserve"> J.</w:t>
      </w:r>
      <w:r w:rsidR="000B49F5" w:rsidRPr="00B2562E">
        <w:t>A.</w:t>
      </w:r>
      <w:r w:rsidRPr="00B2562E">
        <w:t xml:space="preserve"> and with his conclusions. </w:t>
      </w:r>
    </w:p>
    <w:p w14:paraId="574A6286" w14:textId="0F5BFD21" w:rsidR="00BF73B9" w:rsidRPr="00B2562E" w:rsidRDefault="00BF73B9" w:rsidP="00BF73B9">
      <w:pPr>
        <w:pStyle w:val="Paragraphe"/>
        <w:spacing w:line="280" w:lineRule="exact"/>
      </w:pPr>
      <w:r w:rsidRPr="00B2562E">
        <w:t xml:space="preserve">The public interest test adopted in </w:t>
      </w:r>
      <w:r w:rsidRPr="00B2562E">
        <w:rPr>
          <w:i/>
        </w:rPr>
        <w:t>Anthony-Cook</w:t>
      </w:r>
      <w:r w:rsidRPr="00B2562E">
        <w:rPr>
          <w:rStyle w:val="Appelnotedebasdep"/>
          <w:iCs/>
          <w:lang w:val="en-CA"/>
        </w:rPr>
        <w:footnoteReference w:id="16"/>
      </w:r>
      <w:r w:rsidRPr="00B2562E">
        <w:rPr>
          <w:iCs/>
        </w:rPr>
        <w:t xml:space="preserve"> is particularly stringent and requires </w:t>
      </w:r>
      <w:r w:rsidR="00461105">
        <w:rPr>
          <w:iCs/>
        </w:rPr>
        <w:t xml:space="preserve">that </w:t>
      </w:r>
      <w:r w:rsidRPr="00B2562E">
        <w:rPr>
          <w:iCs/>
        </w:rPr>
        <w:t xml:space="preserve">trial judges not depart from joint submissions unless </w:t>
      </w:r>
      <w:r w:rsidR="00785C12">
        <w:rPr>
          <w:iCs/>
        </w:rPr>
        <w:t xml:space="preserve">they find </w:t>
      </w:r>
      <w:r w:rsidR="00EA70C4" w:rsidRPr="00B2562E">
        <w:rPr>
          <w:iCs/>
        </w:rPr>
        <w:t xml:space="preserve">that </w:t>
      </w:r>
      <w:r w:rsidRPr="00B2562E">
        <w:rPr>
          <w:iCs/>
        </w:rPr>
        <w:t>the proposed sentence “would bring the administration of justice into disrepute or is otherwise contrary to the public interest”.</w:t>
      </w:r>
      <w:r w:rsidRPr="00B2562E">
        <w:rPr>
          <w:rStyle w:val="Appelnotedebasdep"/>
          <w:lang w:val="en-CA"/>
        </w:rPr>
        <w:footnoteReference w:id="17"/>
      </w:r>
    </w:p>
    <w:p w14:paraId="5BB28A64" w14:textId="6EB94E22" w:rsidR="00BF73B9" w:rsidRPr="00B2562E" w:rsidRDefault="00BF73B9" w:rsidP="00BF73B9">
      <w:pPr>
        <w:pStyle w:val="Paragraphe"/>
        <w:spacing w:line="280" w:lineRule="exact"/>
      </w:pPr>
      <w:r w:rsidRPr="00B2562E">
        <w:t xml:space="preserve">The sound application of this test aims to provide accused with reasonable certainty that the result of </w:t>
      </w:r>
      <w:r w:rsidR="0082174F">
        <w:t xml:space="preserve">their </w:t>
      </w:r>
      <w:r w:rsidR="00E02C6D">
        <w:t>dealings</w:t>
      </w:r>
      <w:r w:rsidR="00E02C6D" w:rsidRPr="00B2562E">
        <w:t xml:space="preserve"> </w:t>
      </w:r>
      <w:r w:rsidRPr="00B2562E">
        <w:t xml:space="preserve">with the Crown will be </w:t>
      </w:r>
      <w:r w:rsidR="00A058BF">
        <w:t>accepted</w:t>
      </w:r>
      <w:r w:rsidR="00A058BF" w:rsidRPr="00B2562E">
        <w:t xml:space="preserve"> </w:t>
      </w:r>
      <w:r w:rsidR="00EA70C4" w:rsidRPr="00B2562E">
        <w:t xml:space="preserve">by </w:t>
      </w:r>
      <w:r w:rsidRPr="00B2562E">
        <w:t xml:space="preserve">the sentencing judge. </w:t>
      </w:r>
      <w:r w:rsidR="007566E7">
        <w:t>This confidence</w:t>
      </w:r>
      <w:r w:rsidRPr="00B2562E">
        <w:t xml:space="preserve"> is based, </w:t>
      </w:r>
      <w:r w:rsidRPr="001335CE">
        <w:rPr>
          <w:i/>
          <w:iCs/>
        </w:rPr>
        <w:t>in</w:t>
      </w:r>
      <w:r w:rsidR="007566E7" w:rsidRPr="001335CE">
        <w:rPr>
          <w:i/>
          <w:iCs/>
        </w:rPr>
        <w:t>ter</w:t>
      </w:r>
      <w:r w:rsidRPr="001335CE">
        <w:rPr>
          <w:i/>
          <w:iCs/>
        </w:rPr>
        <w:t xml:space="preserve"> </w:t>
      </w:r>
      <w:r w:rsidR="007566E7" w:rsidRPr="001335CE">
        <w:rPr>
          <w:i/>
          <w:iCs/>
        </w:rPr>
        <w:t>alia</w:t>
      </w:r>
      <w:r w:rsidRPr="00B2562E">
        <w:t xml:space="preserve">, on the </w:t>
      </w:r>
      <w:r w:rsidR="00EA70C4" w:rsidRPr="00B2562E">
        <w:t>assumption</w:t>
      </w:r>
      <w:r w:rsidRPr="00B2562E">
        <w:t xml:space="preserve"> that joint submissions are the result of rigorous discussions conducted with </w:t>
      </w:r>
      <w:r w:rsidR="00A058BF">
        <w:t>due regard</w:t>
      </w:r>
      <w:r w:rsidR="00A058BF" w:rsidRPr="00B2562E">
        <w:t xml:space="preserve"> </w:t>
      </w:r>
      <w:r w:rsidRPr="00B2562E">
        <w:t>for the public interest by officers of the court.</w:t>
      </w:r>
      <w:r w:rsidRPr="00B2562E">
        <w:rPr>
          <w:rStyle w:val="Appelnotedebasdep"/>
          <w:lang w:val="en-CA"/>
        </w:rPr>
        <w:footnoteReference w:id="18"/>
      </w:r>
      <w:r w:rsidRPr="00B2562E">
        <w:t xml:space="preserve"> </w:t>
      </w:r>
    </w:p>
    <w:p w14:paraId="6B7404C1" w14:textId="3C9A33B8" w:rsidR="00BF73B9" w:rsidRPr="00B2562E" w:rsidRDefault="00BF73B9" w:rsidP="00BF73B9">
      <w:pPr>
        <w:pStyle w:val="Paragraphe"/>
        <w:spacing w:line="280" w:lineRule="exact"/>
      </w:pPr>
      <w:r w:rsidRPr="00B2562E">
        <w:t xml:space="preserve">The need for a high </w:t>
      </w:r>
      <w:r w:rsidR="009B0C59">
        <w:t xml:space="preserve">standard of </w:t>
      </w:r>
      <w:r w:rsidRPr="00B2562E">
        <w:t xml:space="preserve">intervention </w:t>
      </w:r>
      <w:r w:rsidR="009B0C59">
        <w:t>in</w:t>
      </w:r>
      <w:r w:rsidRPr="00B2562E">
        <w:t xml:space="preserve"> joint submissions is also concerned with </w:t>
      </w:r>
      <w:r w:rsidR="009B0C59">
        <w:t xml:space="preserve">maintaining </w:t>
      </w:r>
      <w:r w:rsidRPr="00B2562E">
        <w:t>the justice system</w:t>
      </w:r>
      <w:r w:rsidR="009B0C59">
        <w:t>‘s efficiency</w:t>
      </w:r>
      <w:r w:rsidRPr="00B2562E">
        <w:t>.</w:t>
      </w:r>
      <w:r w:rsidRPr="00B2562E">
        <w:rPr>
          <w:rStyle w:val="Appelnotedebasdep"/>
          <w:lang w:val="en-CA"/>
        </w:rPr>
        <w:footnoteReference w:id="19"/>
      </w:r>
      <w:r w:rsidRPr="00B2562E">
        <w:t xml:space="preserve"> This process </w:t>
      </w:r>
      <w:r w:rsidRPr="00B2562E">
        <w:rPr>
          <w:iCs/>
        </w:rPr>
        <w:t>“saves court time at sentencing”</w:t>
      </w:r>
      <w:r w:rsidRPr="00B2562E">
        <w:t>, it spares </w:t>
      </w:r>
      <w:r w:rsidRPr="00B2562E">
        <w:rPr>
          <w:iCs/>
        </w:rPr>
        <w:t>“</w:t>
      </w:r>
      <w:r w:rsidRPr="00B2562E">
        <w:t>victims and the justice system the need for costly, time-consuming trials</w:t>
      </w:r>
      <w:r w:rsidRPr="00B2562E">
        <w:rPr>
          <w:iCs/>
        </w:rPr>
        <w:t>”,</w:t>
      </w:r>
      <w:r w:rsidRPr="00B2562E">
        <w:t xml:space="preserve"> and </w:t>
      </w:r>
      <w:r w:rsidRPr="00B2562E">
        <w:rPr>
          <w:iCs/>
        </w:rPr>
        <w:t xml:space="preserve">“both </w:t>
      </w:r>
      <w:r w:rsidRPr="00B2562E">
        <w:t>parties also benefit by not having to prepare for a trial or a contested sentencing hearing.</w:t>
      </w:r>
      <w:r w:rsidRPr="00B2562E">
        <w:rPr>
          <w:iCs/>
        </w:rPr>
        <w:t>”</w:t>
      </w:r>
      <w:r w:rsidRPr="00B2562E">
        <w:rPr>
          <w:rStyle w:val="Appelnotedebasdep"/>
          <w:lang w:val="en-CA"/>
        </w:rPr>
        <w:footnoteReference w:id="20"/>
      </w:r>
    </w:p>
    <w:p w14:paraId="353E4D6E" w14:textId="77777777" w:rsidR="00B95F03" w:rsidRDefault="00BF73B9" w:rsidP="00B95F03">
      <w:pPr>
        <w:pStyle w:val="Paragraphe"/>
        <w:spacing w:line="280" w:lineRule="exact"/>
      </w:pPr>
      <w:r w:rsidRPr="00B2562E">
        <w:t xml:space="preserve">In </w:t>
      </w:r>
      <w:proofErr w:type="spellStart"/>
      <w:r w:rsidRPr="00B95F03">
        <w:rPr>
          <w:i/>
        </w:rPr>
        <w:t>Nahanee</w:t>
      </w:r>
      <w:proofErr w:type="spellEnd"/>
      <w:r w:rsidRPr="00B95F03">
        <w:rPr>
          <w:i/>
        </w:rPr>
        <w:t xml:space="preserve">, </w:t>
      </w:r>
      <w:r w:rsidRPr="00B2562E">
        <w:t>the Supreme Court summarizes these benefits for the accused and the justice system in two words: certainty and efficiency.</w:t>
      </w:r>
      <w:r w:rsidRPr="00B2562E">
        <w:rPr>
          <w:rStyle w:val="Appelnotedebasdep"/>
          <w:lang w:val="en-CA"/>
        </w:rPr>
        <w:footnoteReference w:id="21"/>
      </w:r>
    </w:p>
    <w:p w14:paraId="5BD56093" w14:textId="7AAC0B66" w:rsidR="00BF73B9" w:rsidRDefault="00BF73B9" w:rsidP="00B95F03">
      <w:pPr>
        <w:pStyle w:val="Paragraphe"/>
        <w:spacing w:line="280" w:lineRule="exact"/>
      </w:pPr>
      <w:r w:rsidRPr="00B2562E">
        <w:t xml:space="preserve">I do not </w:t>
      </w:r>
      <w:r w:rsidR="00B95F03">
        <w:t>believe</w:t>
      </w:r>
      <w:r w:rsidRPr="00B2562E">
        <w:t xml:space="preserve">, however, that the case law of the Supreme Court or of </w:t>
      </w:r>
      <w:r w:rsidR="00EA70C4" w:rsidRPr="00B2562E">
        <w:t xml:space="preserve">our </w:t>
      </w:r>
      <w:r w:rsidRPr="00B2562E">
        <w:t>Court</w:t>
      </w:r>
      <w:r w:rsidRPr="00B2562E">
        <w:rPr>
          <w:rStyle w:val="Appelnotedebasdep"/>
          <w:lang w:val="en-CA"/>
        </w:rPr>
        <w:footnoteReference w:id="22"/>
      </w:r>
      <w:r w:rsidRPr="00B2562E">
        <w:t xml:space="preserve"> should be understood to mean that a judge’s task with regard to joint submissions is now limited to merely </w:t>
      </w:r>
      <w:r w:rsidRPr="00B95F03">
        <w:rPr>
          <w:iCs/>
        </w:rPr>
        <w:t>“rubber-stamping”</w:t>
      </w:r>
      <w:r w:rsidRPr="00B2562E">
        <w:t>. It is true that a judge’s discretionary power in this area is tenuous because it is one of the most limited standards of intervention</w:t>
      </w:r>
      <w:r w:rsidR="00B95F03">
        <w:t xml:space="preserve"> that exists</w:t>
      </w:r>
      <w:r w:rsidRPr="00B2562E">
        <w:t>,</w:t>
      </w:r>
      <w:r w:rsidR="00B95F03">
        <w:t xml:space="preserve"> </w:t>
      </w:r>
      <w:r w:rsidR="0020161E">
        <w:t>b</w:t>
      </w:r>
      <w:r w:rsidR="00B53C55" w:rsidRPr="00B2562E">
        <w:t xml:space="preserve">ut it </w:t>
      </w:r>
      <w:r w:rsidR="00B95F03">
        <w:t xml:space="preserve">should also be recalled </w:t>
      </w:r>
      <w:r w:rsidRPr="00B2562E">
        <w:t xml:space="preserve">that the judge is still </w:t>
      </w:r>
      <w:r w:rsidR="00A623D6" w:rsidRPr="00B2562E">
        <w:t xml:space="preserve">ultimately </w:t>
      </w:r>
      <w:r w:rsidRPr="00B2562E">
        <w:t xml:space="preserve">the protector of the public interest. That is why </w:t>
      </w:r>
      <w:r w:rsidR="00B95F03">
        <w:t xml:space="preserve">the Supreme Court wrote </w:t>
      </w:r>
      <w:r w:rsidRPr="00B2562E">
        <w:t xml:space="preserve">in </w:t>
      </w:r>
      <w:r w:rsidRPr="00B95F03">
        <w:rPr>
          <w:i/>
        </w:rPr>
        <w:t>Anthony-Cook</w:t>
      </w:r>
      <w:r w:rsidRPr="00B2562E">
        <w:t>:</w:t>
      </w:r>
    </w:p>
    <w:p w14:paraId="23E6D181" w14:textId="13E2EA90" w:rsidR="00BF73B9" w:rsidRPr="00B14EC9" w:rsidRDefault="00BF73B9" w:rsidP="00BF73B9">
      <w:pPr>
        <w:pStyle w:val="Citationenretrait"/>
      </w:pPr>
      <w:r w:rsidRPr="001335CE">
        <w:lastRenderedPageBreak/>
        <w:t>[3]</w:t>
      </w:r>
      <w:r w:rsidRPr="001335CE">
        <w:tab/>
      </w:r>
      <w:r w:rsidR="00D4347B" w:rsidRPr="001335CE">
        <w:t>But joint submissions on sentence are not sacrosanct. Trial judges may depart from them.</w:t>
      </w:r>
      <w:r w:rsidRPr="001335CE">
        <w:rPr>
          <w:rStyle w:val="Appelnotedebasdep"/>
          <w:lang w:val="en-CA"/>
        </w:rPr>
        <w:footnoteReference w:id="23"/>
      </w:r>
    </w:p>
    <w:p w14:paraId="68FFFD21" w14:textId="1DA6EDF7" w:rsidR="00BF73B9" w:rsidRPr="00B2562E" w:rsidRDefault="00BF73B9" w:rsidP="00BF73B9">
      <w:pPr>
        <w:pStyle w:val="Paragraphe"/>
        <w:spacing w:line="280" w:lineRule="exact"/>
      </w:pPr>
      <w:r w:rsidRPr="00B2562E">
        <w:t xml:space="preserve">That said, the relevant factors </w:t>
      </w:r>
      <w:r w:rsidR="00A05F23">
        <w:t>when</w:t>
      </w:r>
      <w:r w:rsidRPr="00B2562E">
        <w:t xml:space="preserve"> deciding whether intervention is required regarding a joint submission must be </w:t>
      </w:r>
      <w:r w:rsidR="00A05F23">
        <w:t>significant</w:t>
      </w:r>
      <w:r w:rsidRPr="00B2562E">
        <w:t xml:space="preserve"> enough to </w:t>
      </w:r>
      <w:r w:rsidR="00A05F23">
        <w:t>cause</w:t>
      </w:r>
      <w:r w:rsidRPr="00B2562E">
        <w:t xml:space="preserve"> a judge to firmly believe that the proposed sentence </w:t>
      </w:r>
      <w:r w:rsidRPr="00B2562E">
        <w:rPr>
          <w:iCs/>
        </w:rPr>
        <w:t>would bring the administration of justice into disrepute or is otherwise contrary to the public interest</w:t>
      </w:r>
      <w:r w:rsidRPr="00B2562E">
        <w:t xml:space="preserve">. </w:t>
      </w:r>
      <w:r w:rsidR="00B61C2A" w:rsidRPr="00B2562E">
        <w:t>To</w:t>
      </w:r>
      <w:r w:rsidRPr="00B2562E">
        <w:t xml:space="preserve"> decide such a</w:t>
      </w:r>
      <w:r w:rsidR="00A623D6" w:rsidRPr="00B2562E">
        <w:t>n issue</w:t>
      </w:r>
      <w:r w:rsidRPr="00B2562E">
        <w:t>, the judge must defer to the objective test of a reasonable and inform</w:t>
      </w:r>
      <w:r w:rsidR="00A623D6" w:rsidRPr="00B2562E">
        <w:t>ed</w:t>
      </w:r>
      <w:r w:rsidRPr="00B2562E">
        <w:t xml:space="preserve"> person who could only view “the proposed sentence</w:t>
      </w:r>
      <w:r w:rsidR="00C95FF5">
        <w:t xml:space="preserve"> </w:t>
      </w:r>
      <w:r w:rsidRPr="00B2562E">
        <w:t>… as a breakdown in the proper functioning of the justice system.”</w:t>
      </w:r>
      <w:r w:rsidRPr="00B2562E">
        <w:rPr>
          <w:rStyle w:val="Appelnotedebasdep"/>
          <w:lang w:val="en-CA"/>
        </w:rPr>
        <w:footnoteReference w:id="24"/>
      </w:r>
    </w:p>
    <w:p w14:paraId="3F9ECED4" w14:textId="28A0AB48" w:rsidR="00BF73B9" w:rsidRPr="00B2562E" w:rsidRDefault="00BF73B9" w:rsidP="00BF73B9">
      <w:pPr>
        <w:pStyle w:val="Paragraphe"/>
        <w:spacing w:line="280" w:lineRule="exact"/>
      </w:pPr>
      <w:r w:rsidRPr="00B2562E">
        <w:t>An important point to bear in mind</w:t>
      </w:r>
      <w:r w:rsidR="00A623D6" w:rsidRPr="00B2562E">
        <w:t xml:space="preserve"> </w:t>
      </w:r>
      <w:r w:rsidRPr="00B2562E">
        <w:t>is that a reasonable person is sensitive to the concepts of “certainty and efficiency”</w:t>
      </w:r>
      <w:r w:rsidRPr="00B2562E">
        <w:rPr>
          <w:rStyle w:val="Appelnotedebasdep"/>
          <w:lang w:val="en-CA"/>
        </w:rPr>
        <w:footnoteReference w:id="25"/>
      </w:r>
      <w:r w:rsidRPr="00B2562E">
        <w:t xml:space="preserve"> underlying the application of the public order test </w:t>
      </w:r>
      <w:r w:rsidR="00E26844">
        <w:t>for</w:t>
      </w:r>
      <w:r w:rsidRPr="00B2562E">
        <w:t xml:space="preserve"> joint submission</w:t>
      </w:r>
      <w:r w:rsidR="000B49F5" w:rsidRPr="00B2562E">
        <w:t>s</w:t>
      </w:r>
      <w:r w:rsidRPr="00B2562E">
        <w:t>.</w:t>
      </w:r>
    </w:p>
    <w:p w14:paraId="4A716DD0" w14:textId="394B3DE5" w:rsidR="00BF73B9" w:rsidRPr="00B2562E" w:rsidRDefault="00BF73B9" w:rsidP="00BF73B9">
      <w:pPr>
        <w:pStyle w:val="Paragraphe"/>
        <w:spacing w:line="280" w:lineRule="exact"/>
      </w:pPr>
      <w:r w:rsidRPr="00B2562E">
        <w:t xml:space="preserve">In this </w:t>
      </w:r>
      <w:r w:rsidR="00FB7C0C" w:rsidRPr="00B2562E">
        <w:t>case</w:t>
      </w:r>
      <w:r w:rsidRPr="00B2562E">
        <w:t xml:space="preserve">, the judge’s reasons undoubtedly </w:t>
      </w:r>
      <w:r w:rsidR="00DD01A0">
        <w:t>demonstrate</w:t>
      </w:r>
      <w:r w:rsidRPr="00B2562E">
        <w:t xml:space="preserve"> his in-depth knowledge of the applicable law.</w:t>
      </w:r>
      <w:r w:rsidR="000A5FA1">
        <w:t xml:space="preserve"> T</w:t>
      </w:r>
      <w:r w:rsidRPr="00B2562E">
        <w:t xml:space="preserve">he thoroughness with which he sets it out in his judgment is </w:t>
      </w:r>
      <w:r w:rsidR="000A5FA1">
        <w:t xml:space="preserve">also </w:t>
      </w:r>
      <w:r w:rsidRPr="00B2562E">
        <w:t xml:space="preserve">to be commended. </w:t>
      </w:r>
    </w:p>
    <w:p w14:paraId="7C8E9362" w14:textId="19D33657" w:rsidR="00BF73B9" w:rsidRPr="00B2562E" w:rsidRDefault="00BF73B9" w:rsidP="00BF73B9">
      <w:pPr>
        <w:pStyle w:val="Paragraphe"/>
        <w:spacing w:line="280" w:lineRule="exact"/>
      </w:pPr>
      <w:r w:rsidRPr="00B2562E">
        <w:t xml:space="preserve">Nonetheless, and with </w:t>
      </w:r>
      <w:r w:rsidR="00B53C55" w:rsidRPr="00B2562E">
        <w:t>great</w:t>
      </w:r>
      <w:r w:rsidRPr="00B2562E">
        <w:t xml:space="preserve"> respect, I </w:t>
      </w:r>
      <w:r w:rsidR="000A5FA1">
        <w:t>believe</w:t>
      </w:r>
      <w:r w:rsidRPr="00B2562E">
        <w:t xml:space="preserve"> that he </w:t>
      </w:r>
      <w:r w:rsidR="00B53C55" w:rsidRPr="00B2562E">
        <w:t xml:space="preserve">errs in </w:t>
      </w:r>
      <w:r w:rsidRPr="00B2562E">
        <w:t xml:space="preserve">principle </w:t>
      </w:r>
      <w:r w:rsidR="00B53C55" w:rsidRPr="00B2562E">
        <w:t>in</w:t>
      </w:r>
      <w:r w:rsidRPr="00B2562E">
        <w:t xml:space="preserve"> justifying his intervention </w:t>
      </w:r>
      <w:r w:rsidR="00D14662">
        <w:t xml:space="preserve">by </w:t>
      </w:r>
      <w:r w:rsidR="00B53C55" w:rsidRPr="00B2562E">
        <w:t>implicit</w:t>
      </w:r>
      <w:r w:rsidR="00D14662">
        <w:t xml:space="preserve">ly using the </w:t>
      </w:r>
      <w:r w:rsidRPr="00B2562E">
        <w:rPr>
          <w:color w:val="000000"/>
        </w:rPr>
        <w:t xml:space="preserve">“demonstrably unfit” </w:t>
      </w:r>
      <w:r w:rsidR="00D14662">
        <w:rPr>
          <w:color w:val="000000"/>
        </w:rPr>
        <w:t xml:space="preserve">on for the </w:t>
      </w:r>
      <w:r w:rsidRPr="00B2562E">
        <w:t xml:space="preserve">joint submission. I further </w:t>
      </w:r>
      <w:r w:rsidR="000A5FA1">
        <w:t>find</w:t>
      </w:r>
      <w:r w:rsidRPr="00B2562E">
        <w:t xml:space="preserve"> that </w:t>
      </w:r>
      <w:r w:rsidR="00B53C55" w:rsidRPr="00B2562E">
        <w:t>his</w:t>
      </w:r>
      <w:r w:rsidRPr="00B2562E">
        <w:t xml:space="preserve"> analysis is based on two unreasonable </w:t>
      </w:r>
      <w:r w:rsidR="00B53C55" w:rsidRPr="00B2562E">
        <w:t xml:space="preserve">misapplications of </w:t>
      </w:r>
      <w:r w:rsidRPr="00B2562E">
        <w:t>the</w:t>
      </w:r>
      <w:r w:rsidR="00B53C55" w:rsidRPr="00B2562E">
        <w:t xml:space="preserve"> test in </w:t>
      </w:r>
      <w:r w:rsidRPr="00B2562E">
        <w:rPr>
          <w:i/>
        </w:rPr>
        <w:t>Anthony-Cook</w:t>
      </w:r>
      <w:r w:rsidRPr="00B2562E">
        <w:t xml:space="preserve">, without which </w:t>
      </w:r>
      <w:r w:rsidR="000B49F5" w:rsidRPr="00B2562E">
        <w:t>his</w:t>
      </w:r>
      <w:r w:rsidRPr="00B2562E">
        <w:t xml:space="preserve"> decision would have been different. </w:t>
      </w:r>
    </w:p>
    <w:p w14:paraId="04B91A1B" w14:textId="77777777" w:rsidR="00BF73B9" w:rsidRPr="00B2562E" w:rsidRDefault="00BF73B9" w:rsidP="00BF73B9">
      <w:pPr>
        <w:pStyle w:val="Paragraphe"/>
        <w:numPr>
          <w:ilvl w:val="0"/>
          <w:numId w:val="19"/>
        </w:numPr>
        <w:spacing w:line="280" w:lineRule="exact"/>
        <w:ind w:left="1077" w:hanging="357"/>
        <w:rPr>
          <w:i/>
        </w:rPr>
      </w:pPr>
      <w:r w:rsidRPr="00B2562E">
        <w:rPr>
          <w:i/>
        </w:rPr>
        <w:t>The proper test</w:t>
      </w:r>
    </w:p>
    <w:p w14:paraId="4C2B28E4" w14:textId="7BD23EC1" w:rsidR="00BF73B9" w:rsidRPr="00B2562E" w:rsidRDefault="000A5FA1" w:rsidP="00BF73B9">
      <w:pPr>
        <w:pStyle w:val="Paragraphe"/>
        <w:spacing w:line="280" w:lineRule="exact"/>
      </w:pPr>
      <w:r>
        <w:t xml:space="preserve">Although </w:t>
      </w:r>
      <w:r w:rsidR="00BF73B9" w:rsidRPr="00B2562E">
        <w:t xml:space="preserve">the judge </w:t>
      </w:r>
      <w:r w:rsidR="00BF4815">
        <w:t>was</w:t>
      </w:r>
      <w:r w:rsidR="00BF4815" w:rsidRPr="00B2562E">
        <w:t xml:space="preserve"> </w:t>
      </w:r>
      <w:r w:rsidR="00D14662">
        <w:t xml:space="preserve">wary of </w:t>
      </w:r>
      <w:r w:rsidR="00BF73B9" w:rsidRPr="00B2562E">
        <w:t>analyz</w:t>
      </w:r>
      <w:r w:rsidR="00D14662">
        <w:t>ing</w:t>
      </w:r>
      <w:r w:rsidR="00BF73B9" w:rsidRPr="00B2562E">
        <w:t xml:space="preserve"> the joint submission of counsel </w:t>
      </w:r>
      <w:r w:rsidR="00D14662">
        <w:t xml:space="preserve">in the basis of the test to determine </w:t>
      </w:r>
      <w:r w:rsidR="00BF73B9" w:rsidRPr="00B2562E">
        <w:t xml:space="preserve">a </w:t>
      </w:r>
      <w:r w:rsidR="00B53C55" w:rsidRPr="00B2562E">
        <w:t>fit</w:t>
      </w:r>
      <w:r w:rsidR="00BF73B9" w:rsidRPr="00B2562E">
        <w:t xml:space="preserve"> sentence,</w:t>
      </w:r>
      <w:r w:rsidR="00BF73B9" w:rsidRPr="00B2562E">
        <w:rPr>
          <w:rStyle w:val="Appelnotedebasdep"/>
          <w:lang w:val="en-CA"/>
        </w:rPr>
        <w:footnoteReference w:id="26"/>
      </w:r>
      <w:r w:rsidR="00742DC5">
        <w:t xml:space="preserve"> </w:t>
      </w:r>
      <w:r w:rsidR="00BF73B9" w:rsidRPr="00B2562E">
        <w:t xml:space="preserve">he </w:t>
      </w:r>
      <w:r w:rsidR="008E48F6">
        <w:t xml:space="preserve">seems to have fallen into </w:t>
      </w:r>
      <w:r w:rsidR="00BF73B9" w:rsidRPr="00B2562E">
        <w:t xml:space="preserve">this trap. </w:t>
      </w:r>
    </w:p>
    <w:p w14:paraId="2ECC9DAD" w14:textId="5126CB7F" w:rsidR="00BF73B9" w:rsidRPr="00B2562E" w:rsidRDefault="00D14662" w:rsidP="00BF73B9">
      <w:pPr>
        <w:pStyle w:val="Paragraphe"/>
        <w:keepNext/>
        <w:keepLines/>
        <w:spacing w:line="280" w:lineRule="exact"/>
      </w:pPr>
      <w:r>
        <w:t>We will recall that</w:t>
      </w:r>
      <w:r w:rsidR="00BF73B9" w:rsidRPr="00B2562E">
        <w:t xml:space="preserve"> the judge found that the </w:t>
      </w:r>
      <w:r>
        <w:t xml:space="preserve">parties’ </w:t>
      </w:r>
      <w:r w:rsidR="00BF73B9" w:rsidRPr="00B2562E">
        <w:t xml:space="preserve">joint submission </w:t>
      </w:r>
      <w:r>
        <w:t xml:space="preserve">meant that the appellant did not face </w:t>
      </w:r>
      <w:r w:rsidR="0014750D" w:rsidRPr="00B2562E">
        <w:t xml:space="preserve">any </w:t>
      </w:r>
      <w:r w:rsidR="00BF73B9" w:rsidRPr="00B2562E">
        <w:t>consequences for his actions on November </w:t>
      </w:r>
      <w:r w:rsidR="000B49F5" w:rsidRPr="00B2562E">
        <w:t>2</w:t>
      </w:r>
      <w:r w:rsidR="00BF73B9" w:rsidRPr="00B2562E">
        <w:t xml:space="preserve">9, 2019. He reached this conclusion because of the </w:t>
      </w:r>
      <w:r>
        <w:t xml:space="preserve">submission by the parties of a </w:t>
      </w:r>
      <w:r w:rsidR="00BF73B9" w:rsidRPr="00B2562E">
        <w:t xml:space="preserve">concurrent </w:t>
      </w:r>
      <w:r>
        <w:t xml:space="preserve">sentence </w:t>
      </w:r>
      <w:r w:rsidR="00BF73B9" w:rsidRPr="00B2562E">
        <w:t>of three</w:t>
      </w:r>
      <w:r>
        <w:t xml:space="preserve"> </w:t>
      </w:r>
      <w:r w:rsidR="00BF73B9" w:rsidRPr="00B2562E">
        <w:t>month</w:t>
      </w:r>
      <w:r>
        <w:t>s</w:t>
      </w:r>
      <w:r w:rsidR="00BF73B9" w:rsidRPr="00B2562E">
        <w:t>. The judge discusses this issue as follows:</w:t>
      </w:r>
    </w:p>
    <w:p w14:paraId="7AC9D06F" w14:textId="77777777" w:rsidR="00BF73B9" w:rsidRPr="00B2562E" w:rsidRDefault="00BF73B9" w:rsidP="00BF73B9">
      <w:pPr>
        <w:pStyle w:val="Citationenretrait"/>
        <w:spacing w:after="0"/>
        <w:rPr>
          <w:rFonts w:cs="Arial"/>
        </w:rPr>
      </w:pPr>
      <w:r w:rsidRPr="00B2562E">
        <w:t>[</w:t>
      </w:r>
      <w:r w:rsidRPr="00B2562E">
        <w:rPr>
          <w:smallCaps/>
        </w:rPr>
        <w:t>translation]</w:t>
      </w:r>
      <w:r w:rsidRPr="00B2562E">
        <w:rPr>
          <w:rFonts w:cs="Arial"/>
        </w:rPr>
        <w:t xml:space="preserve"> </w:t>
      </w:r>
    </w:p>
    <w:p w14:paraId="2B4E2351" w14:textId="249E485F" w:rsidR="00BF73B9" w:rsidRPr="00B2562E" w:rsidRDefault="00BF73B9" w:rsidP="00BF73B9">
      <w:pPr>
        <w:pStyle w:val="Citationenretrait"/>
      </w:pPr>
      <w:r w:rsidRPr="00B2562E">
        <w:rPr>
          <w:rFonts w:cs="Arial"/>
        </w:rPr>
        <w:t>[</w:t>
      </w:r>
      <w:r w:rsidRPr="00B2562E">
        <w:t>72</w:t>
      </w:r>
      <w:r w:rsidRPr="00B2562E">
        <w:rPr>
          <w:rFonts w:cs="Arial"/>
        </w:rPr>
        <w:t>]</w:t>
      </w:r>
      <w:r w:rsidRPr="00B2562E">
        <w:tab/>
        <w:t xml:space="preserve">Similarly, subject to the </w:t>
      </w:r>
      <w:r w:rsidR="00F35BE4" w:rsidRPr="00B2562E">
        <w:t xml:space="preserve">totality </w:t>
      </w:r>
      <w:r w:rsidRPr="00B2562E">
        <w:t xml:space="preserve">principle, the general principle is that a sentence must be served consecutively when it involves offences that are not part of a single criminal </w:t>
      </w:r>
      <w:r w:rsidR="006E09B9">
        <w:t>ad</w:t>
      </w:r>
      <w:r w:rsidRPr="00B2562E">
        <w:t xml:space="preserve">venture. In other words, sentences may be consecutive when they involve separate and distinct criminal transactions, or if there is an aggravating factor that justifies a consecutive sentence. Furthermore, an offender </w:t>
      </w:r>
      <w:r w:rsidRPr="00B2562E">
        <w:lastRenderedPageBreak/>
        <w:t>may be sentenced consecutively for offences committed on the same day if the offences involve separate legal interests.</w:t>
      </w:r>
      <w:r w:rsidRPr="00B2562E">
        <w:rPr>
          <w:rStyle w:val="Appelnotedebasdep"/>
          <w:lang w:val="en-CA"/>
        </w:rPr>
        <w:footnoteReference w:id="27"/>
      </w:r>
    </w:p>
    <w:p w14:paraId="6FADB0F7" w14:textId="2025499B" w:rsidR="00BF73B9" w:rsidRPr="00B2562E" w:rsidRDefault="00BF73B9" w:rsidP="00BF73B9">
      <w:pPr>
        <w:pStyle w:val="Citationenretrait"/>
        <w:spacing w:before="0"/>
        <w:jc w:val="right"/>
        <w:rPr>
          <w:rStyle w:val="Citationintgre"/>
          <w:lang w:val="en-CA"/>
        </w:rPr>
      </w:pPr>
      <w:r w:rsidRPr="00B2562E">
        <w:rPr>
          <w:rFonts w:cs="Arial"/>
        </w:rPr>
        <w:t>[</w:t>
      </w:r>
      <w:r w:rsidR="005A0EF2" w:rsidRPr="00B2562E">
        <w:rPr>
          <w:rFonts w:cs="Arial"/>
        </w:rPr>
        <w:t>Footnotes</w:t>
      </w:r>
      <w:r w:rsidRPr="00B2562E">
        <w:t xml:space="preserve"> omitted</w:t>
      </w:r>
      <w:r w:rsidRPr="00B2562E">
        <w:rPr>
          <w:rFonts w:cs="Arial"/>
        </w:rPr>
        <w:t>]</w:t>
      </w:r>
    </w:p>
    <w:p w14:paraId="756AEC10" w14:textId="77777777" w:rsidR="00BF73B9" w:rsidRPr="00B2562E" w:rsidRDefault="00BF73B9" w:rsidP="00BF73B9">
      <w:pPr>
        <w:pStyle w:val="Paragraphe"/>
        <w:spacing w:before="0" w:after="0" w:line="280" w:lineRule="exact"/>
      </w:pPr>
      <w:r w:rsidRPr="00B2562E">
        <w:t>Later on, he adds:</w:t>
      </w:r>
    </w:p>
    <w:p w14:paraId="21EF173A" w14:textId="77777777" w:rsidR="00BF73B9" w:rsidRPr="00B2562E" w:rsidRDefault="00BF73B9" w:rsidP="00BF73B9">
      <w:pPr>
        <w:pStyle w:val="Citationenretrait"/>
        <w:spacing w:after="0"/>
        <w:rPr>
          <w:rFonts w:cs="Arial"/>
        </w:rPr>
      </w:pPr>
      <w:r w:rsidRPr="00B2562E">
        <w:t>[</w:t>
      </w:r>
      <w:r w:rsidRPr="00B2562E">
        <w:rPr>
          <w:smallCaps/>
        </w:rPr>
        <w:t>translation]</w:t>
      </w:r>
      <w:r w:rsidRPr="00B2562E">
        <w:rPr>
          <w:rFonts w:cs="Arial"/>
        </w:rPr>
        <w:t xml:space="preserve"> </w:t>
      </w:r>
    </w:p>
    <w:p w14:paraId="6C5AD7D2" w14:textId="583C90A6" w:rsidR="00BF73B9" w:rsidRPr="00B2562E" w:rsidRDefault="00BF73B9" w:rsidP="00BF73B9">
      <w:pPr>
        <w:pStyle w:val="Citationenretrait"/>
        <w:spacing w:after="0"/>
      </w:pPr>
      <w:r w:rsidRPr="00B2562E">
        <w:rPr>
          <w:rFonts w:cs="Arial"/>
        </w:rPr>
        <w:t>[</w:t>
      </w:r>
      <w:r w:rsidRPr="00B2562E">
        <w:t>80</w:t>
      </w:r>
      <w:r w:rsidRPr="00B2562E">
        <w:rPr>
          <w:rFonts w:cs="Arial"/>
        </w:rPr>
        <w:t>]</w:t>
      </w:r>
      <w:r w:rsidRPr="00B2562E">
        <w:tab/>
        <w:t>In reality, this su</w:t>
      </w:r>
      <w:r w:rsidR="005A0EF2" w:rsidRPr="00B2562E">
        <w:t xml:space="preserve">bmission </w:t>
      </w:r>
      <w:r w:rsidRPr="00B2562E">
        <w:t xml:space="preserve">means that the accused </w:t>
      </w:r>
      <w:r w:rsidR="0014750D" w:rsidRPr="00B2562E">
        <w:t xml:space="preserve">faces no </w:t>
      </w:r>
      <w:r w:rsidRPr="00B2562E">
        <w:t>consequence</w:t>
      </w:r>
      <w:r w:rsidR="005A0EF2" w:rsidRPr="00B2562E">
        <w:t>s</w:t>
      </w:r>
      <w:r w:rsidRPr="00B2562E">
        <w:t xml:space="preserve"> </w:t>
      </w:r>
      <w:r w:rsidR="0014750D" w:rsidRPr="00B2562E">
        <w:t>for</w:t>
      </w:r>
      <w:r w:rsidRPr="00B2562E">
        <w:t xml:space="preserve"> his actions in November 2019.</w:t>
      </w:r>
      <w:r w:rsidRPr="00B2562E">
        <w:rPr>
          <w:rStyle w:val="Appelnotedebasdep"/>
          <w:lang w:val="en-CA"/>
        </w:rPr>
        <w:footnoteReference w:id="28"/>
      </w:r>
    </w:p>
    <w:p w14:paraId="741685A0" w14:textId="5A2C3238" w:rsidR="00BF73B9" w:rsidRPr="00B2562E" w:rsidRDefault="00BF73B9" w:rsidP="00BF73B9">
      <w:pPr>
        <w:pStyle w:val="Citationenretrait"/>
        <w:jc w:val="right"/>
      </w:pPr>
      <w:r w:rsidRPr="00B2562E">
        <w:rPr>
          <w:rFonts w:cs="Arial"/>
        </w:rPr>
        <w:t>[</w:t>
      </w:r>
      <w:r w:rsidR="005A0EF2" w:rsidRPr="00B2562E">
        <w:rPr>
          <w:rFonts w:cs="Arial"/>
        </w:rPr>
        <w:t>Footnotes</w:t>
      </w:r>
      <w:r w:rsidRPr="00B2562E">
        <w:t xml:space="preserve"> omitted</w:t>
      </w:r>
      <w:r w:rsidRPr="00B2562E">
        <w:rPr>
          <w:rFonts w:cs="Arial"/>
        </w:rPr>
        <w:t>]</w:t>
      </w:r>
    </w:p>
    <w:p w14:paraId="1F115286" w14:textId="6BE555ED" w:rsidR="00BF73B9" w:rsidRPr="00B2562E" w:rsidRDefault="00BF73B9" w:rsidP="00BF73B9">
      <w:pPr>
        <w:pStyle w:val="Paragraphe"/>
        <w:spacing w:line="280" w:lineRule="exact"/>
      </w:pPr>
      <w:r w:rsidRPr="00B2562E">
        <w:t xml:space="preserve">The considerations referred to in the judge’s reasons for departing from </w:t>
      </w:r>
      <w:r w:rsidR="005A0EF2" w:rsidRPr="00B2562E">
        <w:t>the</w:t>
      </w:r>
      <w:r w:rsidRPr="00B2562E">
        <w:t xml:space="preserve"> joint submission, which are </w:t>
      </w:r>
      <w:r w:rsidR="00D14662">
        <w:t>reproduced</w:t>
      </w:r>
      <w:r w:rsidRPr="00B2562E">
        <w:t xml:space="preserve"> in full by my colleague Healy J.</w:t>
      </w:r>
      <w:r w:rsidR="00E67C79" w:rsidRPr="00B2562E">
        <w:t>A.</w:t>
      </w:r>
      <w:r w:rsidRPr="00B2562E">
        <w:t xml:space="preserve"> in paragraph 39 of his reasons, show that</w:t>
      </w:r>
      <w:r w:rsidR="00334A51">
        <w:t xml:space="preserve"> he relied on the fitness test,</w:t>
      </w:r>
      <w:r w:rsidRPr="00B2562E">
        <w:t xml:space="preserve"> under the guise of </w:t>
      </w:r>
      <w:r w:rsidR="00334A51">
        <w:t xml:space="preserve">the </w:t>
      </w:r>
      <w:r w:rsidRPr="00B2562E">
        <w:t>public interest,</w:t>
      </w:r>
      <w:r w:rsidRPr="00B2562E">
        <w:rPr>
          <w:rStyle w:val="Appelnotedebasdep"/>
          <w:lang w:val="en-CA"/>
        </w:rPr>
        <w:footnoteReference w:id="29"/>
      </w:r>
      <w:r w:rsidR="00334A51">
        <w:t xml:space="preserve"> stating</w:t>
      </w:r>
      <w:r w:rsidRPr="00B2562E">
        <w:t xml:space="preserve">, </w:t>
      </w:r>
      <w:r w:rsidRPr="00B2562E">
        <w:rPr>
          <w:i/>
          <w:iCs/>
        </w:rPr>
        <w:t>inter alia</w:t>
      </w:r>
      <w:r w:rsidRPr="00B2562E">
        <w:t>, [</w:t>
      </w:r>
      <w:r w:rsidRPr="00B2562E">
        <w:rPr>
          <w:smallCaps/>
        </w:rPr>
        <w:t>translation] “</w:t>
      </w:r>
      <w:r w:rsidRPr="00B2562E">
        <w:t xml:space="preserve">that the credibility of the </w:t>
      </w:r>
      <w:r w:rsidR="007B011A" w:rsidRPr="00B2562E">
        <w:t xml:space="preserve">penal and </w:t>
      </w:r>
      <w:r w:rsidRPr="00B2562E">
        <w:t xml:space="preserve">criminal justice system in the eyes of </w:t>
      </w:r>
      <w:r w:rsidR="00334A51">
        <w:t>the public</w:t>
      </w:r>
      <w:r w:rsidRPr="00B2562E">
        <w:t xml:space="preserve"> depends on the fitness of sentences imposed on offenders”</w:t>
      </w:r>
      <w:r w:rsidR="00334A51">
        <w:t>.</w:t>
      </w:r>
      <w:r w:rsidRPr="00B2562E">
        <w:rPr>
          <w:rStyle w:val="Appelnotedebasdep"/>
          <w:lang w:val="en-CA"/>
        </w:rPr>
        <w:footnoteReference w:id="30"/>
      </w:r>
    </w:p>
    <w:p w14:paraId="76979AD8" w14:textId="2EF5099C" w:rsidR="00BF73B9" w:rsidRPr="00B2562E" w:rsidRDefault="00BF73B9" w:rsidP="00BF73B9">
      <w:pPr>
        <w:pStyle w:val="Paragraphe"/>
        <w:spacing w:line="280" w:lineRule="exact"/>
      </w:pPr>
      <w:r w:rsidRPr="00B2562E">
        <w:t>This error manifest</w:t>
      </w:r>
      <w:r w:rsidR="003F47F7">
        <w:t>s</w:t>
      </w:r>
      <w:r w:rsidRPr="00B2562E">
        <w:t xml:space="preserve"> </w:t>
      </w:r>
      <w:r w:rsidR="003F47F7">
        <w:t xml:space="preserve">itself </w:t>
      </w:r>
      <w:r w:rsidRPr="00B2562E">
        <w:t xml:space="preserve">concretely when he intervenes to increase the term of sentence from three to six months. This increase </w:t>
      </w:r>
      <w:r w:rsidR="003A5E16">
        <w:t>reveals</w:t>
      </w:r>
      <w:r w:rsidR="003A5E16" w:rsidRPr="00B2562E">
        <w:t xml:space="preserve"> </w:t>
      </w:r>
      <w:r w:rsidRPr="00B2562E">
        <w:t xml:space="preserve">the true test applied to achieve </w:t>
      </w:r>
      <w:r w:rsidR="003F47F7">
        <w:t>the</w:t>
      </w:r>
      <w:r w:rsidRPr="00B2562E">
        <w:t xml:space="preserve"> result. </w:t>
      </w:r>
    </w:p>
    <w:p w14:paraId="311C4B34" w14:textId="2A5D98AD" w:rsidR="00BF73B9" w:rsidRPr="00B2562E" w:rsidRDefault="00BF73B9" w:rsidP="00BF73B9">
      <w:pPr>
        <w:pStyle w:val="Paragraphe"/>
        <w:spacing w:line="280" w:lineRule="exact"/>
      </w:pPr>
      <w:r w:rsidRPr="00B2562E">
        <w:t>Even if it had been specifically held that a three-month sentence w</w:t>
      </w:r>
      <w:r w:rsidR="005A0EF2" w:rsidRPr="00B2562E">
        <w:t xml:space="preserve">as contrary to </w:t>
      </w:r>
      <w:r w:rsidRPr="00B2562E">
        <w:t xml:space="preserve">the public interest, it is not clear from the judge’s reasons why this sentence, even if served consecutively, </w:t>
      </w:r>
      <w:r w:rsidRPr="00B2562E">
        <w:rPr>
          <w:iCs/>
        </w:rPr>
        <w:t xml:space="preserve">would bring the administration of justice into disrepute to the point </w:t>
      </w:r>
      <w:r w:rsidR="003F47F7">
        <w:rPr>
          <w:iCs/>
        </w:rPr>
        <w:t xml:space="preserve">that </w:t>
      </w:r>
      <w:r w:rsidRPr="00B2562E">
        <w:rPr>
          <w:iCs/>
        </w:rPr>
        <w:t xml:space="preserve">it </w:t>
      </w:r>
      <w:r w:rsidR="003F47F7">
        <w:rPr>
          <w:iCs/>
        </w:rPr>
        <w:t xml:space="preserve">was </w:t>
      </w:r>
      <w:r w:rsidRPr="00B2562E">
        <w:rPr>
          <w:iCs/>
        </w:rPr>
        <w:t xml:space="preserve">necessary to </w:t>
      </w:r>
      <w:r w:rsidR="00B338A6">
        <w:rPr>
          <w:iCs/>
        </w:rPr>
        <w:t>double the length of the sentence</w:t>
      </w:r>
      <w:r w:rsidRPr="00B2562E">
        <w:rPr>
          <w:iCs/>
        </w:rPr>
        <w:t>.</w:t>
      </w:r>
      <w:r w:rsidRPr="00B2562E">
        <w:t xml:space="preserve"> </w:t>
      </w:r>
    </w:p>
    <w:p w14:paraId="257DD1C0" w14:textId="2127C0C0" w:rsidR="00BF73B9" w:rsidRPr="00B2562E" w:rsidRDefault="003F47F7" w:rsidP="00BF73B9">
      <w:pPr>
        <w:pStyle w:val="Paragraphe"/>
        <w:spacing w:line="280" w:lineRule="exact"/>
      </w:pPr>
      <w:r>
        <w:t>I</w:t>
      </w:r>
      <w:r w:rsidR="00D8362C" w:rsidRPr="00B2562E">
        <w:t xml:space="preserve"> can see nothing determinative in the public interest between a </w:t>
      </w:r>
      <w:r w:rsidR="00462172">
        <w:t>sentence of six months’ imprisonment</w:t>
      </w:r>
      <w:r w:rsidR="00D8362C" w:rsidRPr="00B2562E">
        <w:t xml:space="preserve">, as </w:t>
      </w:r>
      <w:r>
        <w:t>the one imposed</w:t>
      </w:r>
      <w:r w:rsidR="00B338A6" w:rsidRPr="00B2562E">
        <w:t xml:space="preserve"> </w:t>
      </w:r>
      <w:r w:rsidR="00D8362C" w:rsidRPr="00B2562E">
        <w:t xml:space="preserve">by the judge, and the sentence </w:t>
      </w:r>
      <w:r>
        <w:t xml:space="preserve">of </w:t>
      </w:r>
      <w:r w:rsidR="00462172" w:rsidRPr="00B2562E">
        <w:t>three</w:t>
      </w:r>
      <w:r w:rsidR="00462172">
        <w:t xml:space="preserve"> </w:t>
      </w:r>
      <w:r w:rsidR="00462172" w:rsidRPr="00B2562E">
        <w:t>month</w:t>
      </w:r>
      <w:r w:rsidR="00462172">
        <w:t>s’ imprisonment</w:t>
      </w:r>
      <w:r>
        <w:t>,</w:t>
      </w:r>
      <w:r w:rsidR="00462172" w:rsidRPr="00B2562E">
        <w:t xml:space="preserve"> </w:t>
      </w:r>
      <w:r>
        <w:t xml:space="preserve">as </w:t>
      </w:r>
      <w:r w:rsidR="00C77A95">
        <w:t>recommended</w:t>
      </w:r>
      <w:r w:rsidR="00C77A95" w:rsidRPr="00B2562E">
        <w:t xml:space="preserve"> </w:t>
      </w:r>
      <w:r w:rsidR="00D8362C" w:rsidRPr="00B2562E">
        <w:t>by the parties. Even</w:t>
      </w:r>
      <w:r>
        <w:t xml:space="preserve"> it were accepted for</w:t>
      </w:r>
      <w:r w:rsidR="00D8362C" w:rsidRPr="00B2562E">
        <w:t xml:space="preserve"> a moment that the three</w:t>
      </w:r>
      <w:r w:rsidR="00DE6351">
        <w:t xml:space="preserve"> </w:t>
      </w:r>
      <w:r w:rsidR="00D8362C" w:rsidRPr="00B2562E">
        <w:t>month</w:t>
      </w:r>
      <w:r w:rsidR="00462172">
        <w:t>s</w:t>
      </w:r>
      <w:r>
        <w:t>’</w:t>
      </w:r>
      <w:r w:rsidR="00DE6351">
        <w:t xml:space="preserve"> </w:t>
      </w:r>
      <w:r w:rsidR="00D8362C" w:rsidRPr="00B2562E">
        <w:t xml:space="preserve">imprisonment </w:t>
      </w:r>
      <w:r w:rsidR="00FA30B4">
        <w:t>was</w:t>
      </w:r>
      <w:r w:rsidR="00C77A95" w:rsidRPr="00B2562E">
        <w:t xml:space="preserve"> </w:t>
      </w:r>
      <w:r w:rsidR="00D8362C" w:rsidRPr="00B2562E">
        <w:t xml:space="preserve">unfit, </w:t>
      </w:r>
      <w:r>
        <w:t>the</w:t>
      </w:r>
      <w:r w:rsidR="00D8362C" w:rsidRPr="00B2562E">
        <w:t xml:space="preserve"> term could not be changed </w:t>
      </w:r>
      <w:r>
        <w:t>once</w:t>
      </w:r>
      <w:r w:rsidR="00D8362C" w:rsidRPr="00B2562E">
        <w:t xml:space="preserve"> it became acceptable </w:t>
      </w:r>
      <w:r w:rsidR="00FA30B4">
        <w:t>as part</w:t>
      </w:r>
      <w:r w:rsidR="00D8362C" w:rsidRPr="00B2562E">
        <w:t xml:space="preserve"> of a </w:t>
      </w:r>
      <w:r w:rsidR="00BF73B9" w:rsidRPr="00B2562E">
        <w:t>joint submission</w:t>
      </w:r>
      <w:r>
        <w:t xml:space="preserve"> and</w:t>
      </w:r>
      <w:r w:rsidR="00D8362C" w:rsidRPr="00B2562E">
        <w:t xml:space="preserve"> analyzed </w:t>
      </w:r>
      <w:r w:rsidR="00462172">
        <w:t>from the</w:t>
      </w:r>
      <w:r w:rsidR="005A0EF2" w:rsidRPr="00B2562E">
        <w:t xml:space="preserve"> </w:t>
      </w:r>
      <w:r w:rsidR="00462172">
        <w:t xml:space="preserve">perspective </w:t>
      </w:r>
      <w:r w:rsidR="005A0EF2" w:rsidRPr="00B2562E">
        <w:t xml:space="preserve">of </w:t>
      </w:r>
      <w:r>
        <w:t xml:space="preserve">the notions of </w:t>
      </w:r>
      <w:r w:rsidR="00D8362C" w:rsidRPr="00B2562E">
        <w:t>certainty and efficiency</w:t>
      </w:r>
      <w:r w:rsidR="004A112E" w:rsidRPr="00B2562E">
        <w:t xml:space="preserve"> inherent in the </w:t>
      </w:r>
      <w:r w:rsidR="00BF73B9" w:rsidRPr="00B2562E">
        <w:t>public interest test</w:t>
      </w:r>
      <w:r w:rsidR="004A112E" w:rsidRPr="00B2562E">
        <w:t>.</w:t>
      </w:r>
      <w:r w:rsidR="00BF73B9" w:rsidRPr="00B2562E">
        <w:rPr>
          <w:rStyle w:val="Appelnotedebasdep"/>
          <w:lang w:val="en-CA"/>
        </w:rPr>
        <w:footnoteReference w:id="31"/>
      </w:r>
    </w:p>
    <w:p w14:paraId="66E46DA4" w14:textId="6C926160" w:rsidR="00BF73B9" w:rsidRPr="00B2562E" w:rsidRDefault="00BF73B9" w:rsidP="00BF73B9">
      <w:pPr>
        <w:pStyle w:val="Paragraphe"/>
        <w:spacing w:line="280" w:lineRule="exact"/>
      </w:pPr>
      <w:r w:rsidRPr="00B2562E">
        <w:t xml:space="preserve">In short, </w:t>
      </w:r>
      <w:r w:rsidR="004A112E" w:rsidRPr="00B2562E">
        <w:t xml:space="preserve">the judge’s choice to double the </w:t>
      </w:r>
      <w:r w:rsidR="006C4C84">
        <w:t>length of time in detention</w:t>
      </w:r>
      <w:r w:rsidR="00AE7E14" w:rsidRPr="00B2562E">
        <w:t xml:space="preserve"> </w:t>
      </w:r>
      <w:r w:rsidR="00462172">
        <w:t>recommended</w:t>
      </w:r>
      <w:r w:rsidR="00462172" w:rsidRPr="00B2562E">
        <w:t xml:space="preserve"> </w:t>
      </w:r>
      <w:r w:rsidR="00AE7E14" w:rsidRPr="00B2562E">
        <w:t xml:space="preserve">by the parties is clearly based on the </w:t>
      </w:r>
      <w:r w:rsidRPr="00B2562E">
        <w:t xml:space="preserve">application </w:t>
      </w:r>
      <w:r w:rsidR="00AE7E14" w:rsidRPr="00B2562E">
        <w:t xml:space="preserve">of a test </w:t>
      </w:r>
      <w:r w:rsidR="00F80ACD">
        <w:t xml:space="preserve">to determine </w:t>
      </w:r>
      <w:r w:rsidR="00AE7E14" w:rsidRPr="00B2562E">
        <w:t>a fit sentence</w:t>
      </w:r>
      <w:r w:rsidR="009F78BD">
        <w:t>,</w:t>
      </w:r>
      <w:r w:rsidR="00AE7E14" w:rsidRPr="00B2562E">
        <w:t xml:space="preserve"> not the </w:t>
      </w:r>
      <w:r w:rsidRPr="00B2562E">
        <w:t xml:space="preserve">public interest test </w:t>
      </w:r>
      <w:r w:rsidR="00C644C0">
        <w:t xml:space="preserve">set out </w:t>
      </w:r>
      <w:r w:rsidR="00AE7E14" w:rsidRPr="00B2562E">
        <w:t xml:space="preserve">in </w:t>
      </w:r>
      <w:r w:rsidRPr="00B2562E">
        <w:rPr>
          <w:i/>
        </w:rPr>
        <w:t>Anthony-Cook</w:t>
      </w:r>
      <w:r w:rsidR="00AE7E14" w:rsidRPr="00B2562E">
        <w:rPr>
          <w:i/>
        </w:rPr>
        <w:t>.</w:t>
      </w:r>
      <w:r w:rsidRPr="00B2562E">
        <w:rPr>
          <w:rStyle w:val="Appelnotedebasdep"/>
          <w:iCs/>
          <w:lang w:val="en-CA"/>
        </w:rPr>
        <w:footnoteReference w:id="32"/>
      </w:r>
      <w:r w:rsidRPr="00B2562E">
        <w:rPr>
          <w:i/>
        </w:rPr>
        <w:t xml:space="preserve"> </w:t>
      </w:r>
    </w:p>
    <w:p w14:paraId="644F23F0" w14:textId="24E31908" w:rsidR="00BF73B9" w:rsidRPr="00B2562E" w:rsidRDefault="00BF73B9" w:rsidP="00BF73B9">
      <w:pPr>
        <w:pStyle w:val="Paragraphe"/>
        <w:spacing w:line="280" w:lineRule="exact"/>
      </w:pPr>
      <w:r w:rsidRPr="00B2562E">
        <w:lastRenderedPageBreak/>
        <w:t xml:space="preserve">In addition, </w:t>
      </w:r>
      <w:r w:rsidR="00C507C2" w:rsidRPr="00B2562E">
        <w:t xml:space="preserve">and as I am about to explain, the judge’s </w:t>
      </w:r>
      <w:r w:rsidR="005A0EF2" w:rsidRPr="00B2562E">
        <w:t xml:space="preserve">opinion regarding </w:t>
      </w:r>
      <w:r w:rsidR="00C507C2" w:rsidRPr="00B2562E">
        <w:t xml:space="preserve">the need for a consecutive sentence to meet the expectations of a reasonable person </w:t>
      </w:r>
      <w:r w:rsidR="00DF23C2" w:rsidRPr="00B2562E">
        <w:t xml:space="preserve">is based </w:t>
      </w:r>
      <w:r w:rsidR="00C507C2" w:rsidRPr="00B2562E">
        <w:t>on tw</w:t>
      </w:r>
      <w:r w:rsidR="00DF23C2" w:rsidRPr="00B2562E">
        <w:t xml:space="preserve">o </w:t>
      </w:r>
      <w:r w:rsidR="00E67C79" w:rsidRPr="00B2562E">
        <w:t>misapplications of</w:t>
      </w:r>
      <w:r w:rsidR="00DF23C2" w:rsidRPr="00B2562E">
        <w:t xml:space="preserve"> the test in </w:t>
      </w:r>
      <w:r w:rsidRPr="00B2562E">
        <w:rPr>
          <w:i/>
        </w:rPr>
        <w:t>Anthony-Cook</w:t>
      </w:r>
      <w:r w:rsidRPr="00B2562E">
        <w:t>.</w:t>
      </w:r>
    </w:p>
    <w:p w14:paraId="4B229597" w14:textId="77777777" w:rsidR="00BF73B9" w:rsidRPr="00B2562E" w:rsidRDefault="00BF73B9" w:rsidP="00BF73B9">
      <w:pPr>
        <w:pStyle w:val="Paragraphe"/>
        <w:numPr>
          <w:ilvl w:val="0"/>
          <w:numId w:val="19"/>
        </w:numPr>
        <w:spacing w:line="280" w:lineRule="exact"/>
        <w:ind w:left="1077" w:hanging="357"/>
        <w:rPr>
          <w:i/>
        </w:rPr>
      </w:pPr>
      <w:r w:rsidRPr="00B2562E">
        <w:rPr>
          <w:i/>
        </w:rPr>
        <w:t>Procedural background</w:t>
      </w:r>
    </w:p>
    <w:p w14:paraId="08D18ECF" w14:textId="29693817" w:rsidR="00BF73B9" w:rsidRPr="00B2562E" w:rsidRDefault="00BF73B9" w:rsidP="00BF73B9">
      <w:pPr>
        <w:pStyle w:val="Paragraphe"/>
        <w:spacing w:line="280" w:lineRule="exact"/>
      </w:pPr>
      <w:r w:rsidRPr="00B2562E">
        <w:t xml:space="preserve">In my </w:t>
      </w:r>
      <w:r w:rsidR="005A0EF2" w:rsidRPr="00B2562E">
        <w:t>view</w:t>
      </w:r>
      <w:r w:rsidRPr="00B2562E">
        <w:t xml:space="preserve">, the judge should have paid </w:t>
      </w:r>
      <w:r w:rsidR="005A0EF2" w:rsidRPr="00B2562E">
        <w:t xml:space="preserve">very </w:t>
      </w:r>
      <w:r w:rsidRPr="00B2562E">
        <w:t>special attention to the procedural background</w:t>
      </w:r>
      <w:r w:rsidR="004C6CF5">
        <w:t xml:space="preserve"> of</w:t>
      </w:r>
      <w:r w:rsidRPr="00B2562E">
        <w:t xml:space="preserve"> the appellant’s guilty plea.</w:t>
      </w:r>
    </w:p>
    <w:p w14:paraId="6A606394" w14:textId="798CB416" w:rsidR="00BF73B9" w:rsidRPr="00B2562E" w:rsidRDefault="00DF23C2" w:rsidP="00BF73B9">
      <w:pPr>
        <w:pStyle w:val="Paragraphe"/>
        <w:spacing w:line="280" w:lineRule="exact"/>
      </w:pPr>
      <w:r w:rsidRPr="00B2562E">
        <w:t xml:space="preserve">The events giving rise to this plea occurred on November 29, </w:t>
      </w:r>
      <w:r w:rsidR="00BF73B9" w:rsidRPr="00B2562E">
        <w:t xml:space="preserve">2019. </w:t>
      </w:r>
      <w:r w:rsidRPr="00B2562E">
        <w:t xml:space="preserve">Long after these events, </w:t>
      </w:r>
      <w:r w:rsidR="00BF73B9" w:rsidRPr="00B2562E">
        <w:t xml:space="preserve">the appellant </w:t>
      </w:r>
      <w:r w:rsidR="00AE237D">
        <w:t>resolved</w:t>
      </w:r>
      <w:r w:rsidR="00AE237D" w:rsidRPr="00B2562E">
        <w:t xml:space="preserve"> </w:t>
      </w:r>
      <w:r w:rsidRPr="00B2562E">
        <w:t xml:space="preserve">a large number of </w:t>
      </w:r>
      <w:r w:rsidR="00CA3E52">
        <w:t>files</w:t>
      </w:r>
      <w:r w:rsidRPr="00B2562E">
        <w:t xml:space="preserve"> before the Court of </w:t>
      </w:r>
      <w:r w:rsidR="00AE237D" w:rsidRPr="00B2562E">
        <w:t>Qu</w:t>
      </w:r>
      <w:r w:rsidR="00AE237D">
        <w:t>é</w:t>
      </w:r>
      <w:r w:rsidR="00AE237D" w:rsidRPr="00B2562E">
        <w:t>bec</w:t>
      </w:r>
      <w:r w:rsidRPr="00B2562E">
        <w:t>. On April </w:t>
      </w:r>
      <w:r w:rsidR="00BF73B9" w:rsidRPr="00B2562E">
        <w:t>14</w:t>
      </w:r>
      <w:r w:rsidRPr="00B2562E">
        <w:t>,</w:t>
      </w:r>
      <w:r w:rsidR="00BF73B9" w:rsidRPr="00B2562E">
        <w:t xml:space="preserve"> 2020, Patricia </w:t>
      </w:r>
      <w:proofErr w:type="spellStart"/>
      <w:r w:rsidR="00BF73B9" w:rsidRPr="00B2562E">
        <w:t>Compagnone</w:t>
      </w:r>
      <w:proofErr w:type="spellEnd"/>
      <w:r w:rsidR="00D213FD">
        <w:t>, J.C.Q.</w:t>
      </w:r>
      <w:r w:rsidR="00BF73B9" w:rsidRPr="00B2562E">
        <w:t xml:space="preserve"> </w:t>
      </w:r>
      <w:r w:rsidRPr="00B2562E">
        <w:t>imposed a total sentence of two years’ imprisonment for a series of criminal offences committed between S</w:t>
      </w:r>
      <w:r w:rsidR="00BF73B9" w:rsidRPr="00B2562E">
        <w:t>eptemb</w:t>
      </w:r>
      <w:r w:rsidRPr="00B2562E">
        <w:t>e</w:t>
      </w:r>
      <w:r w:rsidR="00BF73B9" w:rsidRPr="00B2562E">
        <w:t>r</w:t>
      </w:r>
      <w:r w:rsidRPr="00B2562E">
        <w:t> </w:t>
      </w:r>
      <w:r w:rsidR="00BF73B9" w:rsidRPr="00B2562E">
        <w:t xml:space="preserve">2015 </w:t>
      </w:r>
      <w:r w:rsidRPr="00B2562E">
        <w:t xml:space="preserve">and August </w:t>
      </w:r>
      <w:r w:rsidR="00BF73B9" w:rsidRPr="00B2562E">
        <w:t xml:space="preserve">2019. </w:t>
      </w:r>
      <w:r w:rsidRPr="00B2562E">
        <w:t>On April </w:t>
      </w:r>
      <w:r w:rsidR="00BF73B9" w:rsidRPr="00B2562E">
        <w:t>22</w:t>
      </w:r>
      <w:r w:rsidRPr="00B2562E">
        <w:t>,</w:t>
      </w:r>
      <w:r w:rsidR="00BF73B9" w:rsidRPr="00B2562E">
        <w:t xml:space="preserve"> 2020, the appellant </w:t>
      </w:r>
      <w:r w:rsidRPr="00B2562E">
        <w:t xml:space="preserve">pleaded guilty again before </w:t>
      </w:r>
      <w:r w:rsidR="00BF73B9" w:rsidRPr="00B2562E">
        <w:t>Maria Albanese</w:t>
      </w:r>
      <w:r w:rsidR="00D213FD">
        <w:t>, J.C.Q.</w:t>
      </w:r>
      <w:r w:rsidR="00BF73B9" w:rsidRPr="00B2562E">
        <w:t xml:space="preserve"> </w:t>
      </w:r>
      <w:r w:rsidR="00273E0B" w:rsidRPr="00B2562E">
        <w:t xml:space="preserve">for </w:t>
      </w:r>
      <w:r w:rsidR="00AE237D">
        <w:t xml:space="preserve">offences </w:t>
      </w:r>
      <w:r w:rsidR="00273E0B" w:rsidRPr="00B2562E">
        <w:t xml:space="preserve">committed on March 21 and 22, 2019, for which he was sentenced to 15 months’ imprisonment to be served </w:t>
      </w:r>
      <w:r w:rsidR="00BF73B9" w:rsidRPr="00B2562E">
        <w:rPr>
          <w:u w:val="single"/>
        </w:rPr>
        <w:t>concurre</w:t>
      </w:r>
      <w:r w:rsidR="00273E0B" w:rsidRPr="00B2562E">
        <w:rPr>
          <w:u w:val="single"/>
        </w:rPr>
        <w:t>ntly</w:t>
      </w:r>
      <w:r w:rsidR="00BF73B9" w:rsidRPr="00B2562E">
        <w:t xml:space="preserve"> </w:t>
      </w:r>
      <w:r w:rsidR="00273E0B" w:rsidRPr="00B2562E">
        <w:t xml:space="preserve">with the sentences received eight days earlier, despite the fact that there was no legal or temporal </w:t>
      </w:r>
      <w:r w:rsidR="004C6CF5">
        <w:t>nexus</w:t>
      </w:r>
      <w:r w:rsidR="00273E0B" w:rsidRPr="00B2562E">
        <w:t xml:space="preserve"> between the two sets of charges</w:t>
      </w:r>
      <w:r w:rsidR="00BF73B9" w:rsidRPr="00B2562E">
        <w:t>. Final</w:t>
      </w:r>
      <w:r w:rsidR="00273E0B" w:rsidRPr="00B2562E">
        <w:t xml:space="preserve">ly, on June 18, </w:t>
      </w:r>
      <w:r w:rsidR="00BF73B9" w:rsidRPr="00B2562E">
        <w:t>2020</w:t>
      </w:r>
      <w:r w:rsidR="00273E0B" w:rsidRPr="00B2562E">
        <w:t>,</w:t>
      </w:r>
      <w:r w:rsidR="00BF73B9" w:rsidRPr="00B2562E">
        <w:t xml:space="preserve"> the appellant pl</w:t>
      </w:r>
      <w:r w:rsidR="00273E0B" w:rsidRPr="00B2562E">
        <w:t xml:space="preserve">eaded guilty </w:t>
      </w:r>
      <w:r w:rsidR="00E67C79" w:rsidRPr="00B2562E">
        <w:t>to</w:t>
      </w:r>
      <w:r w:rsidR="00273E0B" w:rsidRPr="00B2562E">
        <w:t xml:space="preserve"> </w:t>
      </w:r>
      <w:r w:rsidR="004C6CF5">
        <w:t xml:space="preserve">a </w:t>
      </w:r>
      <w:r w:rsidR="00D213FD">
        <w:t>breach of</w:t>
      </w:r>
      <w:r w:rsidR="00273E0B" w:rsidRPr="00B2562E">
        <w:t xml:space="preserve"> </w:t>
      </w:r>
      <w:r w:rsidR="00BF73B9" w:rsidRPr="00B2562E">
        <w:t xml:space="preserve">conditions </w:t>
      </w:r>
      <w:r w:rsidR="004C6CF5" w:rsidRPr="004C6CF5">
        <w:t xml:space="preserve">before </w:t>
      </w:r>
      <w:proofErr w:type="spellStart"/>
      <w:r w:rsidR="004C6CF5" w:rsidRPr="004C6CF5">
        <w:t>Kovacevich</w:t>
      </w:r>
      <w:proofErr w:type="spellEnd"/>
      <w:r w:rsidR="004C6CF5" w:rsidRPr="004C6CF5">
        <w:t xml:space="preserve"> J.C.Q. </w:t>
      </w:r>
      <w:r w:rsidR="00E92CEC" w:rsidRPr="00B2562E">
        <w:t xml:space="preserve">on June 7, </w:t>
      </w:r>
      <w:r w:rsidR="00BF73B9" w:rsidRPr="00B2562E">
        <w:t>2019</w:t>
      </w:r>
      <w:r w:rsidR="004C6CF5">
        <w:t>, and</w:t>
      </w:r>
      <w:r w:rsidR="00E92CEC" w:rsidRPr="00B2562E">
        <w:t xml:space="preserve"> was sentenced to two months’ imprisonment to be served concurrently with the other sentences already imposed</w:t>
      </w:r>
      <w:r w:rsidR="00BF73B9" w:rsidRPr="00B2562E">
        <w:t>.</w:t>
      </w:r>
    </w:p>
    <w:p w14:paraId="0ED91071" w14:textId="3C26E42B" w:rsidR="00BF73B9" w:rsidRPr="00B2562E" w:rsidRDefault="004C6CF5" w:rsidP="00BF73B9">
      <w:pPr>
        <w:pStyle w:val="Paragraphe"/>
        <w:spacing w:line="280" w:lineRule="exact"/>
      </w:pPr>
      <w:r>
        <w:t>Regarding the criminal acts of November 29, 2019, t</w:t>
      </w:r>
      <w:r w:rsidR="00E92CEC" w:rsidRPr="00B2562E">
        <w:t>he</w:t>
      </w:r>
      <w:r w:rsidR="007C6ABC">
        <w:t xml:space="preserve"> Crown </w:t>
      </w:r>
      <w:r>
        <w:t xml:space="preserve">did not </w:t>
      </w:r>
      <w:r w:rsidR="007C6ABC">
        <w:t>issue an information</w:t>
      </w:r>
      <w:r w:rsidR="00BF73B9" w:rsidRPr="00B2562E">
        <w:t xml:space="preserve"> </w:t>
      </w:r>
      <w:r>
        <w:t xml:space="preserve">until </w:t>
      </w:r>
      <w:r w:rsidR="00AC064C" w:rsidRPr="00B2562E">
        <w:t xml:space="preserve">May 20, </w:t>
      </w:r>
      <w:r w:rsidR="00BF73B9" w:rsidRPr="00B2562E">
        <w:t xml:space="preserve">2020, </w:t>
      </w:r>
      <w:r w:rsidR="00AC064C" w:rsidRPr="00B2562E">
        <w:t>due to administrative problems.</w:t>
      </w:r>
      <w:r w:rsidR="00BF73B9" w:rsidRPr="00B2562E">
        <w:t xml:space="preserve"> The appellant pl</w:t>
      </w:r>
      <w:r w:rsidR="00AC064C" w:rsidRPr="00B2562E">
        <w:t xml:space="preserve">eaded guilty to these new charges on August 7, </w:t>
      </w:r>
      <w:r w:rsidR="00BF73B9" w:rsidRPr="00B2562E">
        <w:t xml:space="preserve">2020. </w:t>
      </w:r>
      <w:r w:rsidR="00AC064C" w:rsidRPr="00B2562E">
        <w:t xml:space="preserve">Had it not been for this administrative delay, </w:t>
      </w:r>
      <w:r w:rsidR="00BF73B9" w:rsidRPr="00B2562E">
        <w:t xml:space="preserve">the appellant </w:t>
      </w:r>
      <w:r w:rsidR="00AC064C" w:rsidRPr="00B2562E">
        <w:t>could have pleaded guilty to the events of November 2019</w:t>
      </w:r>
      <w:r w:rsidR="00BF73B9" w:rsidRPr="00B2562E">
        <w:t xml:space="preserve"> </w:t>
      </w:r>
      <w:r w:rsidR="00D213FD" w:rsidRPr="00B2562E">
        <w:t>before Compagnone</w:t>
      </w:r>
      <w:r w:rsidR="009E0516">
        <w:t>,</w:t>
      </w:r>
      <w:r w:rsidR="00D213FD" w:rsidRPr="00B2562E">
        <w:t xml:space="preserve"> J.</w:t>
      </w:r>
      <w:r w:rsidR="00D213FD">
        <w:t>C.Q.</w:t>
      </w:r>
      <w:r w:rsidR="00D213FD" w:rsidRPr="00B2562E">
        <w:t xml:space="preserve"> or Albanese</w:t>
      </w:r>
      <w:r w:rsidR="009E0516">
        <w:t>,</w:t>
      </w:r>
      <w:r w:rsidR="00D213FD" w:rsidRPr="00B2562E">
        <w:t> J.</w:t>
      </w:r>
      <w:r w:rsidR="00D213FD">
        <w:t>C.Q.</w:t>
      </w:r>
      <w:r w:rsidR="00BF73B9" w:rsidRPr="00B2562E">
        <w:t>a</w:t>
      </w:r>
      <w:r w:rsidR="00AC064C" w:rsidRPr="00B2562E">
        <w:t>s early as April </w:t>
      </w:r>
      <w:r w:rsidR="00BF73B9" w:rsidRPr="00B2562E">
        <w:t>2020</w:t>
      </w:r>
      <w:r w:rsidR="00D213FD">
        <w:t>.</w:t>
      </w:r>
      <w:r w:rsidR="00BF73B9" w:rsidRPr="00B2562E">
        <w:t xml:space="preserve"> </w:t>
      </w:r>
    </w:p>
    <w:p w14:paraId="410FABAE" w14:textId="3C96E880" w:rsidR="00B90201" w:rsidRPr="00B2562E" w:rsidRDefault="00764961" w:rsidP="00B90201">
      <w:pPr>
        <w:pStyle w:val="Paragraphe"/>
        <w:spacing w:line="280" w:lineRule="exact"/>
      </w:pPr>
      <w:r>
        <w:t>Had th</w:t>
      </w:r>
      <w:r w:rsidR="009E0516">
        <w:t>is</w:t>
      </w:r>
      <w:r w:rsidR="00B90201" w:rsidRPr="00B2562E">
        <w:t xml:space="preserve"> been the case, the appellant </w:t>
      </w:r>
      <w:r w:rsidR="00B65ABF" w:rsidRPr="00B2562E">
        <w:t>c</w:t>
      </w:r>
      <w:r w:rsidR="00B90201" w:rsidRPr="00B2562E">
        <w:t>ould have benefit</w:t>
      </w:r>
      <w:r w:rsidR="00B65ABF" w:rsidRPr="00B2562E">
        <w:t>ed</w:t>
      </w:r>
      <w:r w:rsidR="00B90201" w:rsidRPr="00B2562E">
        <w:t xml:space="preserve"> from the </w:t>
      </w:r>
      <w:r w:rsidR="00F35BE4" w:rsidRPr="00B2562E">
        <w:t>principle</w:t>
      </w:r>
      <w:r w:rsidR="009E0516">
        <w:t xml:space="preserve"> of totality</w:t>
      </w:r>
      <w:r w:rsidR="00F35BE4" w:rsidRPr="00B2562E">
        <w:t xml:space="preserve"> in </w:t>
      </w:r>
      <w:r w:rsidR="000B72EE" w:rsidRPr="00B2562E">
        <w:t xml:space="preserve">sentencing </w:t>
      </w:r>
      <w:r w:rsidR="006B4441" w:rsidRPr="00B2562E">
        <w:t xml:space="preserve">regardless of the issue of the </w:t>
      </w:r>
      <w:r w:rsidR="00B65ABF" w:rsidRPr="00B2562E">
        <w:t>connectedness of</w:t>
      </w:r>
      <w:r w:rsidR="006B4441" w:rsidRPr="00B2562E">
        <w:t xml:space="preserve"> the </w:t>
      </w:r>
      <w:r w:rsidR="0005216A">
        <w:t>offences</w:t>
      </w:r>
      <w:r w:rsidR="0005216A" w:rsidRPr="00B2562E">
        <w:t xml:space="preserve"> </w:t>
      </w:r>
      <w:r w:rsidR="006B4441" w:rsidRPr="00B2562E">
        <w:t>involved.</w:t>
      </w:r>
      <w:r w:rsidR="00B90201" w:rsidRPr="00B2562E">
        <w:rPr>
          <w:rStyle w:val="Appelnotedebasdep"/>
          <w:lang w:val="en-CA"/>
        </w:rPr>
        <w:footnoteReference w:id="33"/>
      </w:r>
      <w:r w:rsidR="00B90201" w:rsidRPr="00B2562E">
        <w:t xml:space="preserve"> </w:t>
      </w:r>
      <w:r>
        <w:t>Indeed, o</w:t>
      </w:r>
      <w:r w:rsidRPr="00B2562E">
        <w:t xml:space="preserve">n </w:t>
      </w:r>
      <w:r w:rsidR="00E90407" w:rsidRPr="00B2562E">
        <w:t>April 2</w:t>
      </w:r>
      <w:r w:rsidR="00B90201" w:rsidRPr="00B2562E">
        <w:t>2</w:t>
      </w:r>
      <w:r w:rsidR="00E90407" w:rsidRPr="00B2562E">
        <w:t>,</w:t>
      </w:r>
      <w:r w:rsidR="00B90201" w:rsidRPr="00B2562E">
        <w:t xml:space="preserve"> 2020, Albanese </w:t>
      </w:r>
      <w:r w:rsidR="00E90407" w:rsidRPr="00B2562E">
        <w:t>J.</w:t>
      </w:r>
      <w:r>
        <w:t>C.Q.</w:t>
      </w:r>
      <w:r w:rsidR="00E90407" w:rsidRPr="00B2562E">
        <w:t xml:space="preserve"> reached the same conclusion</w:t>
      </w:r>
      <w:r w:rsidR="00B90201" w:rsidRPr="00B2562E">
        <w:t xml:space="preserve"> </w:t>
      </w:r>
      <w:r w:rsidR="00E90407" w:rsidRPr="00B2562E">
        <w:t xml:space="preserve">by imposing </w:t>
      </w:r>
      <w:r w:rsidR="000B72EE" w:rsidRPr="00B2562E">
        <w:t xml:space="preserve">sentences </w:t>
      </w:r>
      <w:r w:rsidR="00E90407" w:rsidRPr="00B2562E">
        <w:t xml:space="preserve">on the appellant to be served concurrently with those already imposed by her colleague, </w:t>
      </w:r>
      <w:r w:rsidR="00B90201" w:rsidRPr="00B2562E">
        <w:t xml:space="preserve">Compagnone </w:t>
      </w:r>
      <w:r w:rsidR="00E90407" w:rsidRPr="00B2562E">
        <w:t>J.</w:t>
      </w:r>
      <w:r>
        <w:t>C.Q.</w:t>
      </w:r>
      <w:r w:rsidR="00E90407" w:rsidRPr="00B2562E">
        <w:t>, on April 14,</w:t>
      </w:r>
      <w:r w:rsidR="00B90201" w:rsidRPr="00B2562E">
        <w:t xml:space="preserve"> 2020. </w:t>
      </w:r>
    </w:p>
    <w:p w14:paraId="113A0C47" w14:textId="056A38C8" w:rsidR="00B90201" w:rsidRPr="00B2562E" w:rsidRDefault="00B65ABF" w:rsidP="00B90201">
      <w:pPr>
        <w:pStyle w:val="Paragraphe"/>
        <w:spacing w:line="280" w:lineRule="exact"/>
      </w:pPr>
      <w:r w:rsidRPr="00B2562E">
        <w:t xml:space="preserve">The Crown argued before the judge that if the charges for which the appellant </w:t>
      </w:r>
      <w:r w:rsidR="007205D7">
        <w:t>was appearing</w:t>
      </w:r>
      <w:r w:rsidRPr="00B2562E">
        <w:t xml:space="preserve"> had been laid in a timely manner, </w:t>
      </w:r>
      <w:r w:rsidR="00ED4A5D">
        <w:t xml:space="preserve">he </w:t>
      </w:r>
      <w:r w:rsidRPr="00B2562E">
        <w:t xml:space="preserve">could have </w:t>
      </w:r>
      <w:r w:rsidR="007E1BFD">
        <w:t>ruled on</w:t>
      </w:r>
      <w:r w:rsidRPr="00B2562E">
        <w:t xml:space="preserve"> </w:t>
      </w:r>
      <w:r w:rsidR="00ED4A5D">
        <w:t xml:space="preserve">them </w:t>
      </w:r>
      <w:r w:rsidRPr="00B2562E">
        <w:t>as early as April </w:t>
      </w:r>
      <w:r w:rsidR="00B90201" w:rsidRPr="00B2562E">
        <w:t xml:space="preserve">2020. </w:t>
      </w:r>
      <w:r w:rsidR="00EB4D7F" w:rsidRPr="00B2562E">
        <w:t xml:space="preserve">The Crown added that a concurrent term of imprisonment would have been requested, as was done for the cases </w:t>
      </w:r>
      <w:r w:rsidR="00ED4A5D">
        <w:t>resolved</w:t>
      </w:r>
      <w:r w:rsidR="00EB4D7F" w:rsidRPr="00B2562E">
        <w:t xml:space="preserve"> before </w:t>
      </w:r>
      <w:r w:rsidR="00B90201" w:rsidRPr="00B2562E">
        <w:t>Albanese</w:t>
      </w:r>
      <w:r w:rsidR="00EB4D7F" w:rsidRPr="00B2562E">
        <w:t xml:space="preserve"> J</w:t>
      </w:r>
      <w:r w:rsidR="00B90201" w:rsidRPr="00B2562E">
        <w:t>.</w:t>
      </w:r>
      <w:r w:rsidR="00ED4A5D">
        <w:t>C.Q.</w:t>
      </w:r>
      <w:r w:rsidR="007205D7">
        <w:t xml:space="preserve"> T</w:t>
      </w:r>
      <w:r w:rsidR="00B90201" w:rsidRPr="00B2562E">
        <w:t xml:space="preserve">he judge </w:t>
      </w:r>
      <w:r w:rsidR="00ED4A5D">
        <w:t>rejected</w:t>
      </w:r>
      <w:r w:rsidR="00ED4A5D" w:rsidRPr="00B2562E">
        <w:t xml:space="preserve"> </w:t>
      </w:r>
      <w:r w:rsidR="00B90201" w:rsidRPr="00B2562E">
        <w:t>this argument</w:t>
      </w:r>
      <w:r w:rsidR="007205D7">
        <w:t>, however,</w:t>
      </w:r>
      <w:r w:rsidR="00B90201" w:rsidRPr="00B2562E">
        <w:t xml:space="preserve"> as follows:</w:t>
      </w:r>
    </w:p>
    <w:p w14:paraId="7AF5C001" w14:textId="77777777" w:rsidR="00B90201" w:rsidRPr="00B2562E" w:rsidRDefault="00B90201" w:rsidP="007205D7">
      <w:pPr>
        <w:pStyle w:val="Citationenretrait"/>
        <w:keepNext/>
        <w:rPr>
          <w:smallCaps/>
        </w:rPr>
      </w:pPr>
      <w:r w:rsidRPr="00B2562E">
        <w:lastRenderedPageBreak/>
        <w:t>[</w:t>
      </w:r>
      <w:r w:rsidRPr="00B2562E">
        <w:rPr>
          <w:smallCaps/>
        </w:rPr>
        <w:t xml:space="preserve">translation] </w:t>
      </w:r>
    </w:p>
    <w:p w14:paraId="40D3D9C1" w14:textId="1DC2DC1A" w:rsidR="00B90201" w:rsidRPr="00B2562E" w:rsidRDefault="00B90201" w:rsidP="007205D7">
      <w:pPr>
        <w:pStyle w:val="Citationenretrait"/>
        <w:keepNext/>
        <w:spacing w:before="0" w:after="0"/>
      </w:pPr>
      <w:r w:rsidRPr="00B2562E">
        <w:rPr>
          <w:smallCaps/>
        </w:rPr>
        <w:t>[</w:t>
      </w:r>
      <w:r w:rsidRPr="00B2562E">
        <w:t>80]</w:t>
      </w:r>
      <w:r w:rsidRPr="00B2562E">
        <w:tab/>
      </w:r>
      <w:r w:rsidR="000B72EE" w:rsidRPr="00B2562E">
        <w:t xml:space="preserve">… </w:t>
      </w:r>
      <w:r w:rsidRPr="00B2562E">
        <w:t xml:space="preserve">Furthermore, the </w:t>
      </w:r>
      <w:r w:rsidR="00E67C79" w:rsidRPr="00B2562E">
        <w:t>Court</w:t>
      </w:r>
      <w:r w:rsidRPr="00B2562E">
        <w:t xml:space="preserve"> does not share </w:t>
      </w:r>
      <w:r w:rsidRPr="00B2562E">
        <w:rPr>
          <w:u w:val="single"/>
        </w:rPr>
        <w:t>the opinion of the parties</w:t>
      </w:r>
      <w:r w:rsidRPr="00B2562E">
        <w:t xml:space="preserve"> to the effect that this case did not vary the global sentence received by the accused at the Montreal Courthouse.</w:t>
      </w:r>
      <w:r w:rsidRPr="00B2562E">
        <w:rPr>
          <w:rStyle w:val="Appelnotedebasdep"/>
          <w:lang w:val="en-CA"/>
        </w:rPr>
        <w:footnoteReference w:id="34"/>
      </w:r>
    </w:p>
    <w:p w14:paraId="1A559077" w14:textId="77777777" w:rsidR="00B90201" w:rsidRPr="00B2562E" w:rsidRDefault="00B90201" w:rsidP="00B90201">
      <w:pPr>
        <w:pStyle w:val="Citationenretrait"/>
        <w:spacing w:after="0"/>
        <w:jc w:val="right"/>
      </w:pPr>
      <w:r w:rsidRPr="00B2562E">
        <w:t>[Emphasis added]</w:t>
      </w:r>
    </w:p>
    <w:p w14:paraId="5F93E66B" w14:textId="7421DCF6" w:rsidR="00B90201" w:rsidRPr="00B2562E" w:rsidRDefault="00B90201" w:rsidP="00B90201">
      <w:pPr>
        <w:pStyle w:val="Paragraphe"/>
        <w:spacing w:line="280" w:lineRule="exact"/>
      </w:pPr>
      <w:r w:rsidRPr="00B2562E">
        <w:t>Contra</w:t>
      </w:r>
      <w:r w:rsidR="00EB4D7F" w:rsidRPr="00B2562E">
        <w:t xml:space="preserve">ry to what the judge wrote, this is not a </w:t>
      </w:r>
      <w:r w:rsidR="00B842B2">
        <w:t>matter</w:t>
      </w:r>
      <w:r w:rsidR="00B842B2" w:rsidRPr="00B2562E">
        <w:t xml:space="preserve"> </w:t>
      </w:r>
      <w:r w:rsidR="00EB4D7F" w:rsidRPr="00B2562E">
        <w:t xml:space="preserve">of opinion, but </w:t>
      </w:r>
      <w:r w:rsidR="00B842B2">
        <w:t>a matter</w:t>
      </w:r>
      <w:r w:rsidR="00B842B2" w:rsidRPr="00B2562E">
        <w:t xml:space="preserve"> </w:t>
      </w:r>
      <w:r w:rsidR="00EB4D7F" w:rsidRPr="00B2562E">
        <w:t xml:space="preserve">of bilateral commitment </w:t>
      </w:r>
      <w:r w:rsidRPr="00B2562E">
        <w:t xml:space="preserve">– </w:t>
      </w:r>
      <w:r w:rsidR="00EB4D7F" w:rsidRPr="00B2562E">
        <w:t xml:space="preserve">you plead guilty, I </w:t>
      </w:r>
      <w:r w:rsidR="00E06D56" w:rsidRPr="00B2562E">
        <w:t xml:space="preserve">agree to a </w:t>
      </w:r>
      <w:r w:rsidRPr="00B2562E">
        <w:t xml:space="preserve">joint submission </w:t>
      </w:r>
      <w:r w:rsidR="00E06D56" w:rsidRPr="00B2562E">
        <w:t xml:space="preserve">on </w:t>
      </w:r>
      <w:r w:rsidR="00B842B2" w:rsidRPr="00B2562E">
        <w:t>sentenc</w:t>
      </w:r>
      <w:r w:rsidR="00B842B2">
        <w:t>ing</w:t>
      </w:r>
      <w:r w:rsidR="00E06D56" w:rsidRPr="00B2562E">
        <w:t>.</w:t>
      </w:r>
      <w:r w:rsidRPr="00B2562E">
        <w:t xml:space="preserve"> </w:t>
      </w:r>
      <w:r w:rsidR="00D31EFE" w:rsidRPr="00B2562E">
        <w:t xml:space="preserve">Since </w:t>
      </w:r>
      <w:r w:rsidR="001D77BA" w:rsidRPr="00B2562E">
        <w:t xml:space="preserve">the Crown argued at trial that the </w:t>
      </w:r>
      <w:r w:rsidRPr="00B2562E">
        <w:t xml:space="preserve">joint submission </w:t>
      </w:r>
      <w:r w:rsidR="001D77BA" w:rsidRPr="00B2562E">
        <w:t xml:space="preserve">would have been </w:t>
      </w:r>
      <w:r w:rsidR="00B842B2">
        <w:t>presented</w:t>
      </w:r>
      <w:r w:rsidR="00B842B2" w:rsidRPr="00B2562E">
        <w:t xml:space="preserve"> </w:t>
      </w:r>
      <w:r w:rsidR="001D77BA" w:rsidRPr="00B2562E">
        <w:t>in April </w:t>
      </w:r>
      <w:r w:rsidRPr="00B2562E">
        <w:t>2020</w:t>
      </w:r>
      <w:r w:rsidR="00B842B2">
        <w:t xml:space="preserve"> in any event,</w:t>
      </w:r>
      <w:r w:rsidR="00742DC5">
        <w:t xml:space="preserve"> </w:t>
      </w:r>
      <w:r w:rsidR="007E1BFD">
        <w:t>had</w:t>
      </w:r>
      <w:r w:rsidR="007E1BFD" w:rsidRPr="00B2562E">
        <w:t xml:space="preserve"> </w:t>
      </w:r>
      <w:r w:rsidRPr="00B2562E">
        <w:t>the appellant</w:t>
      </w:r>
      <w:r w:rsidR="00742DC5">
        <w:t xml:space="preserve"> </w:t>
      </w:r>
      <w:r w:rsidR="00B842B2">
        <w:t>been able to appear</w:t>
      </w:r>
      <w:r w:rsidR="00B44C64" w:rsidRPr="00B2562E">
        <w:t xml:space="preserve"> at that time for the </w:t>
      </w:r>
      <w:r w:rsidR="00B842B2">
        <w:t>offences</w:t>
      </w:r>
      <w:r w:rsidR="00B842B2" w:rsidRPr="00B2562E">
        <w:t xml:space="preserve"> </w:t>
      </w:r>
      <w:r w:rsidR="00C76AEF">
        <w:t>perpetrated</w:t>
      </w:r>
      <w:r w:rsidR="00C76AEF" w:rsidRPr="00B2562E">
        <w:t xml:space="preserve"> </w:t>
      </w:r>
      <w:r w:rsidR="00B44C64" w:rsidRPr="00B2562E">
        <w:t>in November </w:t>
      </w:r>
      <w:r w:rsidRPr="00B2562E">
        <w:t>2019</w:t>
      </w:r>
      <w:r w:rsidR="00B44C64" w:rsidRPr="00B2562E">
        <w:t>,</w:t>
      </w:r>
      <w:r w:rsidRPr="00B2562E">
        <w:rPr>
          <w:rStyle w:val="Appelnotedebasdep"/>
          <w:lang w:val="en-CA"/>
        </w:rPr>
        <w:footnoteReference w:id="35"/>
      </w:r>
      <w:r w:rsidRPr="00B2562E">
        <w:t xml:space="preserve"> </w:t>
      </w:r>
      <w:r w:rsidR="00B44C64" w:rsidRPr="00B2562E">
        <w:t xml:space="preserve">I see </w:t>
      </w:r>
      <w:r w:rsidR="00B842B2">
        <w:t>no</w:t>
      </w:r>
      <w:r w:rsidR="00B842B2" w:rsidRPr="00B2562E">
        <w:t xml:space="preserve"> </w:t>
      </w:r>
      <w:r w:rsidR="00B44C64" w:rsidRPr="00B2562E">
        <w:t xml:space="preserve">reason to doubt that this </w:t>
      </w:r>
      <w:r w:rsidR="00D31EFE" w:rsidRPr="00B2562E">
        <w:t xml:space="preserve">commitment </w:t>
      </w:r>
      <w:r w:rsidR="00B44C64" w:rsidRPr="00B2562E">
        <w:t xml:space="preserve">would have </w:t>
      </w:r>
      <w:r w:rsidR="00D31EFE" w:rsidRPr="00B2562E">
        <w:t>been fulfilled</w:t>
      </w:r>
      <w:r w:rsidR="00B44C64" w:rsidRPr="00B2562E">
        <w:t xml:space="preserve"> if</w:t>
      </w:r>
      <w:r w:rsidR="00D31EFE" w:rsidRPr="00B2562E">
        <w:t xml:space="preserve"> the joint submission of August 7, 2020</w:t>
      </w:r>
      <w:r w:rsidR="005247A3">
        <w:t>,</w:t>
      </w:r>
      <w:r w:rsidR="00D31EFE" w:rsidRPr="00B2562E">
        <w:t xml:space="preserve"> had been </w:t>
      </w:r>
      <w:r w:rsidR="00B842B2">
        <w:t>brought</w:t>
      </w:r>
      <w:r w:rsidR="00D31EFE" w:rsidRPr="00B2562E">
        <w:t xml:space="preserve"> to </w:t>
      </w:r>
      <w:r w:rsidR="00B44C64" w:rsidRPr="00B2562E">
        <w:t xml:space="preserve">the </w:t>
      </w:r>
      <w:r w:rsidR="00B842B2">
        <w:t xml:space="preserve">attention of the </w:t>
      </w:r>
      <w:r w:rsidR="00B44C64" w:rsidRPr="00B2562E">
        <w:t xml:space="preserve">judges </w:t>
      </w:r>
      <w:r w:rsidR="00D31EFE" w:rsidRPr="00B2562E">
        <w:t xml:space="preserve">hearing </w:t>
      </w:r>
      <w:r w:rsidR="00B44C64" w:rsidRPr="00B2562E">
        <w:t xml:space="preserve">the April 2020 </w:t>
      </w:r>
      <w:r w:rsidR="00D31EFE" w:rsidRPr="00B2562E">
        <w:t>cases</w:t>
      </w:r>
      <w:r w:rsidRPr="00B2562E">
        <w:t xml:space="preserve">. </w:t>
      </w:r>
    </w:p>
    <w:p w14:paraId="47FB71C2" w14:textId="012D4B89" w:rsidR="00B90201" w:rsidRPr="00B2562E" w:rsidRDefault="00E06D56" w:rsidP="00B90201">
      <w:pPr>
        <w:pStyle w:val="Paragraphe"/>
        <w:spacing w:line="280" w:lineRule="exact"/>
      </w:pPr>
      <w:r w:rsidRPr="00B2562E">
        <w:t xml:space="preserve">In view of the foregoing, </w:t>
      </w:r>
      <w:r w:rsidR="00B90201" w:rsidRPr="00B2562E">
        <w:t>i</w:t>
      </w:r>
      <w:r w:rsidRPr="00B2562E">
        <w:t xml:space="preserve">t would be fundamentally unfair </w:t>
      </w:r>
      <w:r w:rsidR="00D31EFE" w:rsidRPr="00B2562E">
        <w:t xml:space="preserve">to the appellant to be given </w:t>
      </w:r>
      <w:r w:rsidR="001D77BA" w:rsidRPr="00B2562E">
        <w:t xml:space="preserve">a consecutive sentence </w:t>
      </w:r>
      <w:r w:rsidRPr="00B2562E">
        <w:t xml:space="preserve">solely because he </w:t>
      </w:r>
      <w:r w:rsidR="00D31EFE" w:rsidRPr="00B2562E">
        <w:t>was</w:t>
      </w:r>
      <w:r w:rsidRPr="00B2562E">
        <w:t xml:space="preserve"> unable to plead guilty earlier, thereby being prevented from benefiting from the </w:t>
      </w:r>
      <w:r w:rsidR="00F35BE4" w:rsidRPr="00B2562E">
        <w:t xml:space="preserve">totality </w:t>
      </w:r>
      <w:r w:rsidRPr="00B2562E">
        <w:t xml:space="preserve">principle </w:t>
      </w:r>
      <w:r w:rsidR="000B72EE" w:rsidRPr="00B2562E">
        <w:t xml:space="preserve">on account of </w:t>
      </w:r>
      <w:r w:rsidR="00974BA1">
        <w:t xml:space="preserve">systemic </w:t>
      </w:r>
      <w:r w:rsidRPr="00B2562E">
        <w:t xml:space="preserve">administrative delays. This </w:t>
      </w:r>
      <w:r w:rsidR="000B72EE" w:rsidRPr="00B2562E">
        <w:t xml:space="preserve">fact </w:t>
      </w:r>
      <w:r w:rsidRPr="00B2562E">
        <w:t xml:space="preserve">was implicitly </w:t>
      </w:r>
      <w:r w:rsidR="00D31EFE" w:rsidRPr="00B2562E">
        <w:t>acknowledged</w:t>
      </w:r>
      <w:r w:rsidRPr="00B2562E">
        <w:t xml:space="preserve"> by the Crown</w:t>
      </w:r>
      <w:r w:rsidR="00B90201" w:rsidRPr="00B2562E">
        <w:t xml:space="preserve">, </w:t>
      </w:r>
      <w:r w:rsidR="001D77BA" w:rsidRPr="00B2562E">
        <w:t xml:space="preserve">which </w:t>
      </w:r>
      <w:r w:rsidR="000B72EE" w:rsidRPr="00B2562E">
        <w:t xml:space="preserve">joined the appellant’s submissions </w:t>
      </w:r>
      <w:r w:rsidR="001D77BA" w:rsidRPr="00B2562E">
        <w:t xml:space="preserve">at trial </w:t>
      </w:r>
      <w:r w:rsidR="000B72EE" w:rsidRPr="00B2562E">
        <w:t>to argue</w:t>
      </w:r>
      <w:r w:rsidR="001D77BA" w:rsidRPr="00B2562E">
        <w:t xml:space="preserve"> that the events of November </w:t>
      </w:r>
      <w:r w:rsidR="00B90201" w:rsidRPr="00B2562E">
        <w:t xml:space="preserve">2019 </w:t>
      </w:r>
      <w:r w:rsidR="001D77BA" w:rsidRPr="00B2562E">
        <w:t xml:space="preserve">would necessarily </w:t>
      </w:r>
      <w:r w:rsidR="00D31EFE" w:rsidRPr="00B2562E">
        <w:t xml:space="preserve">have </w:t>
      </w:r>
      <w:r w:rsidR="001D77BA" w:rsidRPr="00B2562E">
        <w:t xml:space="preserve">been included in a global </w:t>
      </w:r>
      <w:r w:rsidR="00854A97">
        <w:t>resolution</w:t>
      </w:r>
      <w:r w:rsidR="001D77BA" w:rsidRPr="00B2562E">
        <w:t xml:space="preserve"> in April 2</w:t>
      </w:r>
      <w:r w:rsidR="00B90201" w:rsidRPr="00B2562E">
        <w:t>020. </w:t>
      </w:r>
    </w:p>
    <w:p w14:paraId="19BF2B43" w14:textId="578E0B7D" w:rsidR="00806062" w:rsidRPr="00B2562E" w:rsidRDefault="00B90201" w:rsidP="00B90201">
      <w:pPr>
        <w:pStyle w:val="Paragraphe"/>
        <w:spacing w:line="280" w:lineRule="exact"/>
      </w:pPr>
      <w:r w:rsidRPr="00B2562E">
        <w:t xml:space="preserve">The judge therefore </w:t>
      </w:r>
      <w:r w:rsidR="006B4441" w:rsidRPr="00B2562E">
        <w:t>erred</w:t>
      </w:r>
      <w:r w:rsidRPr="00B2562E">
        <w:t xml:space="preserve"> </w:t>
      </w:r>
      <w:r w:rsidR="00EA0259">
        <w:t>in failing to</w:t>
      </w:r>
      <w:r w:rsidR="00EA0259" w:rsidRPr="00B2562E">
        <w:t xml:space="preserve"> </w:t>
      </w:r>
      <w:r w:rsidR="00EA0259">
        <w:t>attribute</w:t>
      </w:r>
      <w:r w:rsidRPr="00B2562E">
        <w:t xml:space="preserve"> any weight to the common position defended by counsel for the parties. </w:t>
      </w:r>
      <w:r w:rsidR="00325618" w:rsidRPr="00B2562E">
        <w:t xml:space="preserve">The rejection of their </w:t>
      </w:r>
      <w:r w:rsidR="002348AE" w:rsidRPr="00B2562E">
        <w:t xml:space="preserve">joint </w:t>
      </w:r>
      <w:r w:rsidR="00325618" w:rsidRPr="00B2562E">
        <w:t>submission had the effect of neutralizing the high degree of certainty normally associated with joint submission</w:t>
      </w:r>
      <w:r w:rsidR="002348AE" w:rsidRPr="00B2562E">
        <w:t>s</w:t>
      </w:r>
      <w:r w:rsidR="00325618" w:rsidRPr="00B2562E">
        <w:t>.</w:t>
      </w:r>
      <w:r w:rsidR="00742DC5">
        <w:t xml:space="preserve"> </w:t>
      </w:r>
      <w:r w:rsidR="006B4441" w:rsidRPr="00B2562E">
        <w:t xml:space="preserve">This is a misapplication </w:t>
      </w:r>
      <w:r w:rsidR="00854A97">
        <w:t xml:space="preserve">that is </w:t>
      </w:r>
      <w:r w:rsidR="00EA0259">
        <w:t xml:space="preserve">subject to </w:t>
      </w:r>
      <w:r w:rsidR="006B4441" w:rsidRPr="00B2562E">
        <w:t>review by the Court.</w:t>
      </w:r>
      <w:r w:rsidR="00806062" w:rsidRPr="00B2562E">
        <w:t xml:space="preserve"> </w:t>
      </w:r>
    </w:p>
    <w:p w14:paraId="4CD5CA54" w14:textId="5222202C" w:rsidR="00806062" w:rsidRPr="00B2562E" w:rsidRDefault="00B90201" w:rsidP="00796770">
      <w:pPr>
        <w:pStyle w:val="Paragraphe"/>
        <w:numPr>
          <w:ilvl w:val="0"/>
          <w:numId w:val="19"/>
        </w:numPr>
        <w:spacing w:line="280" w:lineRule="exact"/>
        <w:ind w:left="1077" w:hanging="357"/>
        <w:rPr>
          <w:i/>
        </w:rPr>
      </w:pPr>
      <w:r w:rsidRPr="00B2562E">
        <w:rPr>
          <w:i/>
        </w:rPr>
        <w:t xml:space="preserve">Disciplinary </w:t>
      </w:r>
      <w:r w:rsidR="000A2885">
        <w:rPr>
          <w:i/>
        </w:rPr>
        <w:t>punishment</w:t>
      </w:r>
      <w:r w:rsidR="00806062" w:rsidRPr="00B2562E">
        <w:rPr>
          <w:i/>
        </w:rPr>
        <w:t xml:space="preserve"> </w:t>
      </w:r>
    </w:p>
    <w:p w14:paraId="40BFD607" w14:textId="47A364A0" w:rsidR="00806062" w:rsidRPr="00B2562E" w:rsidRDefault="00386D43" w:rsidP="00806062">
      <w:pPr>
        <w:pStyle w:val="Paragraphe"/>
        <w:spacing w:line="280" w:lineRule="exact"/>
      </w:pPr>
      <w:r w:rsidRPr="00B2562E">
        <w:t xml:space="preserve">Furthermore, the judge </w:t>
      </w:r>
      <w:r w:rsidR="00BA15AB">
        <w:t>accorded no consideration to</w:t>
      </w:r>
      <w:r w:rsidR="00BA15AB" w:rsidRPr="00B2562E">
        <w:t xml:space="preserve"> </w:t>
      </w:r>
      <w:r w:rsidRPr="00B2562E">
        <w:t xml:space="preserve">the disciplinary </w:t>
      </w:r>
      <w:r w:rsidR="000A2885">
        <w:t>punishment</w:t>
      </w:r>
      <w:r w:rsidRPr="00B2562E">
        <w:t xml:space="preserve"> </w:t>
      </w:r>
      <w:r w:rsidR="00BA15AB">
        <w:t xml:space="preserve">imposed on </w:t>
      </w:r>
      <w:r w:rsidR="009F013A" w:rsidRPr="00B2562E">
        <w:t>the appellant</w:t>
      </w:r>
      <w:r w:rsidR="00806062" w:rsidRPr="00B2562E">
        <w:t xml:space="preserve"> </w:t>
      </w:r>
      <w:r w:rsidRPr="00B2562E">
        <w:t xml:space="preserve">by the </w:t>
      </w:r>
      <w:r w:rsidR="000A2885">
        <w:t>c</w:t>
      </w:r>
      <w:r w:rsidR="00BA15AB">
        <w:t>orrectional</w:t>
      </w:r>
      <w:r w:rsidR="00BA15AB" w:rsidRPr="00B2562E">
        <w:t xml:space="preserve"> </w:t>
      </w:r>
      <w:r w:rsidRPr="00B2562E">
        <w:t xml:space="preserve">facility, which </w:t>
      </w:r>
      <w:r w:rsidR="000A2885">
        <w:t>placed</w:t>
      </w:r>
      <w:r w:rsidRPr="00B2562E">
        <w:t xml:space="preserve"> him in solitary confinement for three days following the events o</w:t>
      </w:r>
      <w:r w:rsidR="00C85895" w:rsidRPr="00B2562E">
        <w:t>n</w:t>
      </w:r>
      <w:r w:rsidRPr="00B2562E">
        <w:t xml:space="preserve"> November </w:t>
      </w:r>
      <w:r w:rsidR="00806062" w:rsidRPr="00B2562E">
        <w:t>29.</w:t>
      </w:r>
    </w:p>
    <w:p w14:paraId="1A829865" w14:textId="3FCA13F1" w:rsidR="00806062" w:rsidRPr="00B2562E" w:rsidRDefault="00C85895" w:rsidP="00806062">
      <w:pPr>
        <w:pStyle w:val="Paragraphe"/>
        <w:spacing w:line="280" w:lineRule="exact"/>
      </w:pPr>
      <w:r w:rsidRPr="00B2562E">
        <w:t>The</w:t>
      </w:r>
      <w:r w:rsidR="000A2885">
        <w:t xml:space="preserve"> experience of counsel involved in the case is not in question</w:t>
      </w:r>
      <w:r w:rsidRPr="00B2562E">
        <w:t>.</w:t>
      </w:r>
      <w:r w:rsidR="000A2885">
        <w:t xml:space="preserve"> It justified the assumption that </w:t>
      </w:r>
      <w:r w:rsidR="007509E0" w:rsidRPr="00B2562E">
        <w:t xml:space="preserve">they took the appellant’s period of confinement into account when </w:t>
      </w:r>
      <w:r w:rsidR="002A0CBE">
        <w:t>they made the</w:t>
      </w:r>
      <w:r w:rsidR="007509E0" w:rsidRPr="00B2562E">
        <w:t xml:space="preserve"> </w:t>
      </w:r>
      <w:r w:rsidR="00815A71" w:rsidRPr="00B2562E">
        <w:t>joint submission</w:t>
      </w:r>
      <w:r w:rsidR="00AC4F59" w:rsidRPr="00B2562E">
        <w:t xml:space="preserve"> to the judge</w:t>
      </w:r>
      <w:r w:rsidR="00806062" w:rsidRPr="00B2562E">
        <w:t xml:space="preserve">. </w:t>
      </w:r>
      <w:r w:rsidR="007509E0" w:rsidRPr="00B2562E">
        <w:t xml:space="preserve">In fact, </w:t>
      </w:r>
      <w:r w:rsidRPr="00B2562E">
        <w:t xml:space="preserve">the issue of the disciplinary </w:t>
      </w:r>
      <w:proofErr w:type="spellStart"/>
      <w:r w:rsidR="000A2885">
        <w:t>punishement</w:t>
      </w:r>
      <w:proofErr w:type="spellEnd"/>
      <w:r w:rsidRPr="00B2562E">
        <w:t xml:space="preserve"> was raised by </w:t>
      </w:r>
      <w:r w:rsidR="009F013A" w:rsidRPr="00B2562E">
        <w:t>the appellant</w:t>
      </w:r>
      <w:r w:rsidR="00806062" w:rsidRPr="00B2562E">
        <w:t xml:space="preserve"> </w:t>
      </w:r>
      <w:r w:rsidRPr="00B2562E">
        <w:t>during his submissions at trial and was also addressed by the judge at that time.</w:t>
      </w:r>
      <w:r w:rsidR="00806062" w:rsidRPr="00B2562E">
        <w:rPr>
          <w:rStyle w:val="Appelnotedebasdep"/>
          <w:lang w:val="en-CA"/>
        </w:rPr>
        <w:footnoteReference w:id="36"/>
      </w:r>
    </w:p>
    <w:p w14:paraId="1F1D29F8" w14:textId="649859B9" w:rsidR="00806062" w:rsidRPr="00B2562E" w:rsidRDefault="007509E0" w:rsidP="00806062">
      <w:pPr>
        <w:pStyle w:val="Paragraphe"/>
        <w:spacing w:line="280" w:lineRule="exact"/>
      </w:pPr>
      <w:r w:rsidRPr="00B2562E">
        <w:t>From a strictly factual viewpoint, it was incorrect to conclude [</w:t>
      </w:r>
      <w:r w:rsidRPr="00B2562E">
        <w:rPr>
          <w:smallCaps/>
        </w:rPr>
        <w:t>translation] “</w:t>
      </w:r>
      <w:r w:rsidRPr="00B2562E">
        <w:t xml:space="preserve">that </w:t>
      </w:r>
      <w:r w:rsidR="00DA0C61" w:rsidRPr="00B2562E">
        <w:t>the accused</w:t>
      </w:r>
      <w:r w:rsidR="00806062" w:rsidRPr="00B2562E">
        <w:t xml:space="preserve"> </w:t>
      </w:r>
      <w:r w:rsidR="00AC4F59" w:rsidRPr="00B2562E">
        <w:t>face</w:t>
      </w:r>
      <w:r w:rsidR="0014750D" w:rsidRPr="00B2562E">
        <w:t>s</w:t>
      </w:r>
      <w:r w:rsidR="00AC4F59" w:rsidRPr="00B2562E">
        <w:t xml:space="preserve"> no consequences for his actions in November </w:t>
      </w:r>
      <w:r w:rsidR="00806062" w:rsidRPr="00B2562E">
        <w:t>2019</w:t>
      </w:r>
      <w:r w:rsidRPr="00B2562E">
        <w:t>”.</w:t>
      </w:r>
      <w:r w:rsidR="00806062" w:rsidRPr="00B2562E">
        <w:rPr>
          <w:rStyle w:val="Appelnotedebasdep"/>
          <w:lang w:val="en-CA"/>
        </w:rPr>
        <w:footnoteReference w:id="37"/>
      </w:r>
      <w:r w:rsidR="00806062" w:rsidRPr="00B2562E">
        <w:t xml:space="preserve"> </w:t>
      </w:r>
      <w:r w:rsidR="00AC4F59" w:rsidRPr="00B2562E">
        <w:t xml:space="preserve">The disciplinary </w:t>
      </w:r>
      <w:r w:rsidR="000A2885">
        <w:lastRenderedPageBreak/>
        <w:t>punishment</w:t>
      </w:r>
      <w:r w:rsidR="00806062" w:rsidRPr="00B2562E">
        <w:t xml:space="preserve"> </w:t>
      </w:r>
      <w:r w:rsidR="00AC4F59" w:rsidRPr="00B2562E">
        <w:t xml:space="preserve">could only </w:t>
      </w:r>
      <w:r w:rsidR="000A2885">
        <w:t xml:space="preserve">have been </w:t>
      </w:r>
      <w:r w:rsidR="00AC4F59" w:rsidRPr="00B2562E">
        <w:t xml:space="preserve">a direct consequence of the appellant’s actions on November 29, </w:t>
      </w:r>
      <w:r w:rsidR="00806062" w:rsidRPr="00B2562E">
        <w:t xml:space="preserve">2019. </w:t>
      </w:r>
    </w:p>
    <w:p w14:paraId="3CDFC950" w14:textId="1E27427E" w:rsidR="00806062" w:rsidRPr="00B2562E" w:rsidRDefault="00806062" w:rsidP="00806062">
      <w:pPr>
        <w:pStyle w:val="Paragraphe"/>
        <w:spacing w:line="280" w:lineRule="exact"/>
      </w:pPr>
      <w:r w:rsidRPr="00B2562E">
        <w:t>I</w:t>
      </w:r>
      <w:r w:rsidR="00386D43" w:rsidRPr="00B2562E">
        <w:t xml:space="preserve">t </w:t>
      </w:r>
      <w:r w:rsidR="001D73FF">
        <w:t xml:space="preserve">is </w:t>
      </w:r>
      <w:r w:rsidR="00F90558" w:rsidRPr="00B2562E">
        <w:t>equally</w:t>
      </w:r>
      <w:r w:rsidR="00386D43" w:rsidRPr="00B2562E">
        <w:t xml:space="preserve"> clear that this </w:t>
      </w:r>
      <w:r w:rsidRPr="00B2562E">
        <w:t xml:space="preserve">sanction </w:t>
      </w:r>
      <w:r w:rsidR="00824D83">
        <w:t>must have been</w:t>
      </w:r>
      <w:r w:rsidR="004B19ED" w:rsidRPr="00B2562E">
        <w:t xml:space="preserve"> a</w:t>
      </w:r>
      <w:r w:rsidR="00DC5544" w:rsidRPr="00B2562E">
        <w:t xml:space="preserve"> significant </w:t>
      </w:r>
      <w:r w:rsidR="004B19ED" w:rsidRPr="00B2562E">
        <w:t>factor duly consid</w:t>
      </w:r>
      <w:r w:rsidR="007509E0" w:rsidRPr="00B2562E">
        <w:t>e</w:t>
      </w:r>
      <w:r w:rsidR="004B19ED" w:rsidRPr="00B2562E">
        <w:t xml:space="preserve">red by the parties </w:t>
      </w:r>
      <w:r w:rsidR="00824D83">
        <w:t>when they made</w:t>
      </w:r>
      <w:r w:rsidR="004B19ED" w:rsidRPr="00B2562E">
        <w:t xml:space="preserve"> the </w:t>
      </w:r>
      <w:r w:rsidR="00815A71" w:rsidRPr="00B2562E">
        <w:t>joint submission</w:t>
      </w:r>
      <w:r w:rsidR="004B19ED" w:rsidRPr="00B2562E">
        <w:t xml:space="preserve"> to the judge</w:t>
      </w:r>
      <w:r w:rsidRPr="00B2562E">
        <w:t xml:space="preserve">. </w:t>
      </w:r>
      <w:r w:rsidR="00AC4F59" w:rsidRPr="00B2562E">
        <w:t xml:space="preserve">To ignore </w:t>
      </w:r>
      <w:r w:rsidR="004B19ED" w:rsidRPr="00B2562E">
        <w:t xml:space="preserve">this factor </w:t>
      </w:r>
      <w:r w:rsidR="00AC4F59" w:rsidRPr="00B2562E">
        <w:t>is</w:t>
      </w:r>
      <w:r w:rsidR="004B19ED" w:rsidRPr="00B2562E">
        <w:t xml:space="preserve"> </w:t>
      </w:r>
      <w:r w:rsidR="00664F47" w:rsidRPr="00B2562E">
        <w:t>a reviewable error</w:t>
      </w:r>
      <w:r w:rsidRPr="00B2562E">
        <w:t>.</w:t>
      </w:r>
    </w:p>
    <w:p w14:paraId="703AE112" w14:textId="77777777" w:rsidR="00806062" w:rsidRPr="00B2562E" w:rsidRDefault="00806062" w:rsidP="00806062">
      <w:pPr>
        <w:pStyle w:val="Paragraphe"/>
        <w:numPr>
          <w:ilvl w:val="0"/>
          <w:numId w:val="0"/>
        </w:numPr>
        <w:spacing w:line="280" w:lineRule="exact"/>
        <w:jc w:val="center"/>
      </w:pPr>
      <w:r w:rsidRPr="00B2562E">
        <w:t>***</w:t>
      </w:r>
    </w:p>
    <w:p w14:paraId="29CDDB7A" w14:textId="29D89214" w:rsidR="00044701" w:rsidRDefault="00824D83" w:rsidP="00DE6351">
      <w:pPr>
        <w:pStyle w:val="Paragraphe"/>
        <w:spacing w:after="0" w:line="280" w:lineRule="exact"/>
      </w:pPr>
      <w:r>
        <w:t>Ultimately</w:t>
      </w:r>
      <w:r w:rsidR="00DC5544" w:rsidRPr="00B2562E">
        <w:t xml:space="preserve">, I </w:t>
      </w:r>
      <w:r w:rsidR="00941C9F" w:rsidRPr="00B2562E">
        <w:t>find</w:t>
      </w:r>
      <w:r w:rsidR="00DC5544" w:rsidRPr="00B2562E">
        <w:t xml:space="preserve"> that a reasonable person could not </w:t>
      </w:r>
      <w:r>
        <w:t xml:space="preserve">have </w:t>
      </w:r>
      <w:r w:rsidR="00DC5544" w:rsidRPr="00B2562E">
        <w:t>conclude</w:t>
      </w:r>
      <w:r>
        <w:t>d</w:t>
      </w:r>
      <w:r w:rsidR="00DC5544" w:rsidRPr="00B2562E">
        <w:t xml:space="preserve"> </w:t>
      </w:r>
      <w:r w:rsidR="001B5E89" w:rsidRPr="00B2562E">
        <w:t xml:space="preserve">that the justice </w:t>
      </w:r>
      <w:r w:rsidR="00941C9F" w:rsidRPr="00B2562E">
        <w:t>system had been</w:t>
      </w:r>
      <w:r w:rsidR="001B5E89" w:rsidRPr="00B2562E">
        <w:t xml:space="preserve"> brought into disrepute if </w:t>
      </w:r>
      <w:r w:rsidR="00E27C72">
        <w:t xml:space="preserve">the person </w:t>
      </w:r>
      <w:r w:rsidR="00941C9F" w:rsidRPr="00B2562E">
        <w:t xml:space="preserve">had </w:t>
      </w:r>
      <w:r w:rsidR="008A4BB7" w:rsidRPr="00B2562E">
        <w:t xml:space="preserve">duly inquired </w:t>
      </w:r>
      <w:r w:rsidR="001B5E89" w:rsidRPr="00B2562E">
        <w:t xml:space="preserve">about the </w:t>
      </w:r>
      <w:r w:rsidR="00815A71" w:rsidRPr="00B2562E">
        <w:t>joint submission</w:t>
      </w:r>
      <w:r w:rsidR="00806062" w:rsidRPr="00B2562E">
        <w:t xml:space="preserve"> </w:t>
      </w:r>
      <w:r w:rsidR="001B5E89" w:rsidRPr="00B2562E">
        <w:t>made at trial.</w:t>
      </w:r>
      <w:r w:rsidR="00806062" w:rsidRPr="00B2562E">
        <w:t xml:space="preserve"> </w:t>
      </w:r>
      <w:r w:rsidR="001B5E89" w:rsidRPr="00B2562E">
        <w:t>This</w:t>
      </w:r>
      <w:r w:rsidR="00806062" w:rsidRPr="00B2562E">
        <w:t xml:space="preserve"> conclusion </w:t>
      </w:r>
      <w:r w:rsidR="0091620A">
        <w:t>is based</w:t>
      </w:r>
      <w:r w:rsidR="00941C9F" w:rsidRPr="00B2562E">
        <w:t xml:space="preserve"> in particular</w:t>
      </w:r>
      <w:r w:rsidR="008A4BB7" w:rsidRPr="00B2562E">
        <w:t xml:space="preserve"> </w:t>
      </w:r>
      <w:r w:rsidR="0091620A">
        <w:t xml:space="preserve">on </w:t>
      </w:r>
      <w:r w:rsidR="00E27C72">
        <w:t>the</w:t>
      </w:r>
      <w:r w:rsidR="00004495" w:rsidRPr="00B2562E">
        <w:t xml:space="preserve"> person’s presumed knowledge of the test </w:t>
      </w:r>
      <w:r w:rsidR="008A4BB7" w:rsidRPr="00B2562E">
        <w:t xml:space="preserve">for the admissibility of </w:t>
      </w:r>
      <w:r w:rsidR="00004495" w:rsidRPr="00B2562E">
        <w:t xml:space="preserve">joint submissions, </w:t>
      </w:r>
      <w:r w:rsidR="00E27C72">
        <w:t>their</w:t>
      </w:r>
      <w:r w:rsidR="00004495" w:rsidRPr="00B2562E">
        <w:t xml:space="preserve"> interest in the crucial role </w:t>
      </w:r>
      <w:r w:rsidR="008A4BB7" w:rsidRPr="00B2562E">
        <w:t xml:space="preserve">of such </w:t>
      </w:r>
      <w:r w:rsidR="00004495" w:rsidRPr="00B2562E">
        <w:t xml:space="preserve">agreements in </w:t>
      </w:r>
      <w:r w:rsidR="008A4BB7" w:rsidRPr="00B2562E">
        <w:t xml:space="preserve">the functioning of </w:t>
      </w:r>
      <w:r w:rsidR="00004495" w:rsidRPr="00B2562E">
        <w:t xml:space="preserve">the justice system, and </w:t>
      </w:r>
      <w:r w:rsidR="00E27C72">
        <w:t>their</w:t>
      </w:r>
      <w:r w:rsidR="00004495" w:rsidRPr="00B2562E">
        <w:t xml:space="preserve"> concern</w:t>
      </w:r>
      <w:r w:rsidR="00E27C72">
        <w:t>, in the interests of a</w:t>
      </w:r>
      <w:r w:rsidR="00004495" w:rsidRPr="00B2562E">
        <w:t xml:space="preserve"> greater good</w:t>
      </w:r>
      <w:r w:rsidR="00E27C72">
        <w:t>,</w:t>
      </w:r>
      <w:r w:rsidR="00004495" w:rsidRPr="00B2562E">
        <w:t xml:space="preserve"> that a sentence be ratified by the court even </w:t>
      </w:r>
      <w:r w:rsidR="008A4BB7" w:rsidRPr="00B2562E">
        <w:t>though</w:t>
      </w:r>
      <w:r w:rsidR="00240366">
        <w:t>, at first glance,</w:t>
      </w:r>
      <w:r w:rsidR="00004495" w:rsidRPr="00B2562E">
        <w:t xml:space="preserve"> it </w:t>
      </w:r>
      <w:r w:rsidR="00240366">
        <w:t>appears unfit</w:t>
      </w:r>
      <w:r w:rsidR="00004495" w:rsidRPr="00B2562E">
        <w:t xml:space="preserve">. </w:t>
      </w:r>
    </w:p>
    <w:p w14:paraId="35B84AC7" w14:textId="42AB7B45" w:rsidR="00806062" w:rsidRDefault="00004495" w:rsidP="00DE6351">
      <w:pPr>
        <w:pStyle w:val="Paragraphe"/>
        <w:spacing w:after="0" w:line="280" w:lineRule="exact"/>
      </w:pPr>
      <w:r w:rsidRPr="00B2562E">
        <w:t xml:space="preserve">I also </w:t>
      </w:r>
      <w:r w:rsidR="008A4BB7" w:rsidRPr="00B2562E">
        <w:t>find</w:t>
      </w:r>
      <w:r w:rsidRPr="00B2562E">
        <w:t xml:space="preserve"> that such a reasonable person, </w:t>
      </w:r>
      <w:r w:rsidR="00F90558" w:rsidRPr="00B2562E">
        <w:t xml:space="preserve">being </w:t>
      </w:r>
      <w:r w:rsidR="008A4BB7" w:rsidRPr="00B2562E">
        <w:t xml:space="preserve">familiar with </w:t>
      </w:r>
      <w:r w:rsidRPr="00B2562E">
        <w:t xml:space="preserve">the procedural background </w:t>
      </w:r>
      <w:r w:rsidR="007C0EC3" w:rsidRPr="00B2562E">
        <w:t>of the appellant’s guilty pleas on August 7, 2020, and the disciplinary consequences of his actions in November </w:t>
      </w:r>
      <w:r w:rsidR="00806062" w:rsidRPr="00B2562E">
        <w:t xml:space="preserve">2019, </w:t>
      </w:r>
      <w:r w:rsidR="007C0EC3" w:rsidRPr="00B2562E">
        <w:t xml:space="preserve">would have concluded that the </w:t>
      </w:r>
      <w:r w:rsidR="00815A71" w:rsidRPr="00B2562E">
        <w:t>joint submission</w:t>
      </w:r>
      <w:r w:rsidR="00806062" w:rsidRPr="00B2562E">
        <w:t xml:space="preserve"> </w:t>
      </w:r>
      <w:r w:rsidR="000912A7" w:rsidRPr="00B2562E">
        <w:t xml:space="preserve">was not prejudicial to </w:t>
      </w:r>
      <w:r w:rsidR="007C0EC3" w:rsidRPr="00B2562E">
        <w:t>the public interest</w:t>
      </w:r>
      <w:r w:rsidR="00806062" w:rsidRPr="00B2562E">
        <w:t xml:space="preserve">. </w:t>
      </w:r>
    </w:p>
    <w:p w14:paraId="47A4DB1C" w14:textId="6387CE78" w:rsidR="00543FB7" w:rsidRDefault="00543FB7" w:rsidP="00480D2A">
      <w:pPr>
        <w:pStyle w:val="Paragraphe"/>
        <w:spacing w:line="280" w:lineRule="exact"/>
      </w:pPr>
      <w:r>
        <w:t>That is why I agree with my colleague Healy, J.A. that the appeal should be decided as he proposes.</w:t>
      </w:r>
    </w:p>
    <w:p w14:paraId="3227853D" w14:textId="77777777" w:rsidR="00480D2A" w:rsidRDefault="00480D2A" w:rsidP="00480D2A">
      <w:pPr>
        <w:pStyle w:val="Paragraphe"/>
        <w:numPr>
          <w:ilvl w:val="0"/>
          <w:numId w:val="0"/>
        </w:numPr>
        <w:spacing w:after="0" w:line="280" w:lineRule="exact"/>
      </w:pPr>
    </w:p>
    <w:tbl>
      <w:tblPr>
        <w:tblW w:w="9781" w:type="dxa"/>
        <w:tblLayout w:type="fixed"/>
        <w:tblCellMar>
          <w:left w:w="0" w:type="dxa"/>
          <w:right w:w="0" w:type="dxa"/>
        </w:tblCellMar>
        <w:tblLook w:val="0000" w:firstRow="0" w:lastRow="0" w:firstColumn="0" w:lastColumn="0" w:noHBand="0" w:noVBand="0"/>
      </w:tblPr>
      <w:tblGrid>
        <w:gridCol w:w="4695"/>
        <w:gridCol w:w="5086"/>
      </w:tblGrid>
      <w:tr w:rsidR="00480D2A" w:rsidRPr="00B2562E" w14:paraId="6DE5F59F" w14:textId="77777777" w:rsidTr="00480D2A">
        <w:trPr>
          <w:cantSplit/>
          <w:trHeight w:val="560"/>
        </w:trPr>
        <w:tc>
          <w:tcPr>
            <w:tcW w:w="9781" w:type="dxa"/>
            <w:gridSpan w:val="2"/>
          </w:tcPr>
          <w:p w14:paraId="7EC886BD" w14:textId="77777777" w:rsidR="00480D2A" w:rsidRPr="00B2562E" w:rsidRDefault="00480D2A" w:rsidP="00543FB7">
            <w:pPr>
              <w:jc w:val="right"/>
            </w:pPr>
          </w:p>
        </w:tc>
      </w:tr>
      <w:tr w:rsidR="00480D2A" w:rsidRPr="00B2562E" w14:paraId="394DE6E8" w14:textId="77777777" w:rsidTr="00480D2A">
        <w:trPr>
          <w:cantSplit/>
          <w:trHeight w:val="560"/>
        </w:trPr>
        <w:tc>
          <w:tcPr>
            <w:tcW w:w="9781" w:type="dxa"/>
            <w:gridSpan w:val="2"/>
          </w:tcPr>
          <w:p w14:paraId="4895E3B8" w14:textId="77777777" w:rsidR="00480D2A" w:rsidRPr="00B2562E" w:rsidRDefault="00480D2A" w:rsidP="00543FB7">
            <w:pPr>
              <w:jc w:val="right"/>
            </w:pPr>
          </w:p>
        </w:tc>
      </w:tr>
      <w:tr w:rsidR="00480D2A" w:rsidRPr="00B2562E" w14:paraId="7A0D0587" w14:textId="77777777" w:rsidTr="00480D2A">
        <w:trPr>
          <w:cantSplit/>
          <w:trHeight w:val="245"/>
        </w:trPr>
        <w:tc>
          <w:tcPr>
            <w:tcW w:w="4695" w:type="dxa"/>
            <w:vMerge w:val="restart"/>
          </w:tcPr>
          <w:p w14:paraId="3AC8A81B" w14:textId="77777777" w:rsidR="00480D2A" w:rsidRPr="00B2562E" w:rsidRDefault="00480D2A" w:rsidP="00543FB7">
            <w:pPr>
              <w:jc w:val="right"/>
            </w:pPr>
          </w:p>
        </w:tc>
        <w:tc>
          <w:tcPr>
            <w:tcW w:w="5086" w:type="dxa"/>
            <w:tcBorders>
              <w:bottom w:val="single" w:sz="8" w:space="0" w:color="auto"/>
            </w:tcBorders>
          </w:tcPr>
          <w:p w14:paraId="0FC7AB8D" w14:textId="56D4BFA3" w:rsidR="00480D2A" w:rsidRPr="00B2562E" w:rsidRDefault="00480D2A" w:rsidP="00543FB7">
            <w:pPr>
              <w:jc w:val="right"/>
            </w:pPr>
          </w:p>
        </w:tc>
      </w:tr>
      <w:tr w:rsidR="00480D2A" w:rsidRPr="00B2562E" w14:paraId="10EE7D66" w14:textId="77777777" w:rsidTr="002C4F67">
        <w:trPr>
          <w:cantSplit/>
          <w:trHeight w:val="244"/>
        </w:trPr>
        <w:tc>
          <w:tcPr>
            <w:tcW w:w="4695" w:type="dxa"/>
            <w:vMerge/>
          </w:tcPr>
          <w:p w14:paraId="1639A6B6" w14:textId="77777777" w:rsidR="00480D2A" w:rsidRPr="00B2562E" w:rsidRDefault="00480D2A" w:rsidP="00543FB7">
            <w:pPr>
              <w:jc w:val="right"/>
            </w:pPr>
          </w:p>
        </w:tc>
        <w:tc>
          <w:tcPr>
            <w:tcW w:w="5086" w:type="dxa"/>
          </w:tcPr>
          <w:p w14:paraId="609A0CEB" w14:textId="60E3E4EE" w:rsidR="00480D2A" w:rsidRPr="00B2562E" w:rsidRDefault="00480D2A" w:rsidP="00480D2A">
            <w:r w:rsidRPr="00B2562E">
              <w:t>GUY GAGNON, J.A.</w:t>
            </w:r>
          </w:p>
        </w:tc>
      </w:tr>
    </w:tbl>
    <w:p w14:paraId="60393297" w14:textId="77777777" w:rsidR="00543FB7" w:rsidRDefault="00543FB7" w:rsidP="00543FB7">
      <w:pPr>
        <w:pStyle w:val="Paragraphe"/>
        <w:numPr>
          <w:ilvl w:val="0"/>
          <w:numId w:val="0"/>
        </w:numPr>
        <w:spacing w:after="0" w:line="280" w:lineRule="exact"/>
      </w:pPr>
    </w:p>
    <w:p w14:paraId="1CC12383" w14:textId="77777777" w:rsidR="0012455D" w:rsidRPr="00B2562E" w:rsidRDefault="0012455D" w:rsidP="00DA3A77"/>
    <w:sectPr w:rsidR="0012455D" w:rsidRPr="00B2562E" w:rsidSect="0012455D">
      <w:headerReference w:type="default" r:id="rId9"/>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5CDA" w14:textId="77777777" w:rsidR="00A53469" w:rsidRDefault="00A53469">
      <w:r>
        <w:separator/>
      </w:r>
    </w:p>
  </w:endnote>
  <w:endnote w:type="continuationSeparator" w:id="0">
    <w:p w14:paraId="66BD20A9" w14:textId="77777777" w:rsidR="00A53469" w:rsidRDefault="00A5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E687" w14:textId="77777777" w:rsidR="00A53469" w:rsidRDefault="00A53469">
      <w:r>
        <w:separator/>
      </w:r>
    </w:p>
  </w:footnote>
  <w:footnote w:type="continuationSeparator" w:id="0">
    <w:p w14:paraId="5820C7F6" w14:textId="77777777" w:rsidR="00A53469" w:rsidRDefault="00A53469">
      <w:r>
        <w:continuationSeparator/>
      </w:r>
    </w:p>
  </w:footnote>
  <w:footnote w:id="1">
    <w:p w14:paraId="35375A74" w14:textId="17962CF6" w:rsidR="008E1FBE" w:rsidRPr="00392FE1" w:rsidRDefault="008E1FBE" w:rsidP="000D27FE">
      <w:pPr>
        <w:pStyle w:val="Notedebasdepage"/>
        <w:rPr>
          <w:rFonts w:cs="Arial"/>
          <w:lang w:val="fr-CA"/>
        </w:rPr>
      </w:pPr>
      <w:r w:rsidRPr="00D06C37">
        <w:rPr>
          <w:rStyle w:val="Appelnotedebasdep"/>
          <w:rFonts w:cs="Arial"/>
          <w:lang w:val="en-CA"/>
        </w:rPr>
        <w:footnoteRef/>
      </w:r>
      <w:r w:rsidRPr="00392FE1">
        <w:rPr>
          <w:rFonts w:cs="Arial"/>
          <w:lang w:val="fr-CA"/>
        </w:rPr>
        <w:t xml:space="preserve"> </w:t>
      </w:r>
      <w:r w:rsidRPr="00392FE1">
        <w:rPr>
          <w:rFonts w:cs="Arial"/>
          <w:lang w:val="fr-CA"/>
        </w:rPr>
        <w:tab/>
      </w:r>
      <w:r w:rsidRPr="00392FE1">
        <w:rPr>
          <w:rFonts w:cs="Arial"/>
          <w:i/>
          <w:lang w:val="fr-CA"/>
        </w:rPr>
        <w:t>Criminal Code</w:t>
      </w:r>
      <w:r w:rsidRPr="00392FE1">
        <w:rPr>
          <w:rFonts w:cs="Arial"/>
          <w:lang w:val="fr-CA"/>
        </w:rPr>
        <w:t>, R.S.C. 1985, c. C-46, s. 264.1(1)(</w:t>
      </w:r>
      <w:r w:rsidRPr="00392FE1">
        <w:rPr>
          <w:rFonts w:cs="Arial"/>
          <w:i/>
          <w:lang w:val="fr-CA"/>
        </w:rPr>
        <w:t>a</w:t>
      </w:r>
      <w:r w:rsidRPr="00392FE1">
        <w:rPr>
          <w:rFonts w:cs="Arial"/>
          <w:lang w:val="fr-CA"/>
        </w:rPr>
        <w:t>).</w:t>
      </w:r>
    </w:p>
  </w:footnote>
  <w:footnote w:id="2">
    <w:p w14:paraId="7E93D7FF" w14:textId="09FE3065" w:rsidR="008E1FBE" w:rsidRPr="00392FE1" w:rsidRDefault="008E1FBE" w:rsidP="000D27FE">
      <w:pPr>
        <w:pStyle w:val="Notedebasdepage"/>
        <w:rPr>
          <w:rFonts w:cs="Arial"/>
          <w:lang w:val="fr-CA"/>
        </w:rPr>
      </w:pPr>
      <w:r w:rsidRPr="00D06C37">
        <w:rPr>
          <w:rStyle w:val="Appelnotedebasdep"/>
          <w:rFonts w:cs="Arial"/>
          <w:lang w:val="en-CA"/>
        </w:rPr>
        <w:footnoteRef/>
      </w:r>
      <w:r w:rsidRPr="00392FE1">
        <w:rPr>
          <w:rFonts w:cs="Arial"/>
          <w:lang w:val="fr-CA"/>
        </w:rPr>
        <w:t xml:space="preserve"> </w:t>
      </w:r>
      <w:r w:rsidRPr="00392FE1">
        <w:rPr>
          <w:rFonts w:cs="Arial"/>
          <w:lang w:val="fr-CA"/>
        </w:rPr>
        <w:tab/>
      </w:r>
      <w:r w:rsidRPr="00392FE1">
        <w:rPr>
          <w:rFonts w:cs="Arial"/>
          <w:i/>
          <w:lang w:val="fr-CA"/>
        </w:rPr>
        <w:t>Criminal Code</w:t>
      </w:r>
      <w:r w:rsidRPr="00392FE1">
        <w:rPr>
          <w:rFonts w:cs="Arial"/>
          <w:lang w:val="fr-CA"/>
        </w:rPr>
        <w:t xml:space="preserve">, R.S.C. 1985, c. C-46, </w:t>
      </w:r>
      <w:r w:rsidR="006E2068" w:rsidRPr="00392FE1">
        <w:rPr>
          <w:rFonts w:cs="Arial"/>
          <w:lang w:val="fr-CA"/>
        </w:rPr>
        <w:t>s</w:t>
      </w:r>
      <w:r w:rsidRPr="00392FE1">
        <w:rPr>
          <w:rFonts w:cs="Arial"/>
          <w:lang w:val="fr-CA"/>
        </w:rPr>
        <w:t>. 430(1)(</w:t>
      </w:r>
      <w:r w:rsidRPr="00392FE1">
        <w:rPr>
          <w:rFonts w:cs="Arial"/>
          <w:i/>
          <w:lang w:val="fr-CA"/>
        </w:rPr>
        <w:t>a</w:t>
      </w:r>
      <w:r w:rsidRPr="00392FE1">
        <w:rPr>
          <w:rFonts w:cs="Arial"/>
          <w:lang w:val="fr-CA"/>
        </w:rPr>
        <w:t>).</w:t>
      </w:r>
    </w:p>
  </w:footnote>
  <w:footnote w:id="3">
    <w:p w14:paraId="63A65CE5" w14:textId="25C164AE" w:rsidR="008E1FBE" w:rsidRPr="00D06C37" w:rsidRDefault="008E1FBE" w:rsidP="000D27FE">
      <w:pPr>
        <w:pStyle w:val="Notedebasdepage"/>
        <w:ind w:left="357" w:hanging="357"/>
        <w:rPr>
          <w:rFonts w:cs="Arial"/>
        </w:rPr>
      </w:pPr>
      <w:r w:rsidRPr="00D06C37">
        <w:rPr>
          <w:rStyle w:val="Appelnotedebasdep"/>
          <w:rFonts w:cs="Arial"/>
          <w:lang w:val="en-CA"/>
        </w:rPr>
        <w:footnoteRef/>
      </w:r>
      <w:r w:rsidRPr="00D06C37">
        <w:rPr>
          <w:rFonts w:cs="Arial"/>
        </w:rPr>
        <w:t xml:space="preserve"> </w:t>
      </w:r>
      <w:r w:rsidRPr="00D06C37">
        <w:rPr>
          <w:rFonts w:cs="Arial"/>
        </w:rPr>
        <w:tab/>
      </w:r>
      <w:r w:rsidRPr="004C715F">
        <w:rPr>
          <w:rFonts w:cs="Arial"/>
          <w:i/>
          <w:iCs/>
        </w:rPr>
        <w:t xml:space="preserve">R. c. </w:t>
      </w:r>
      <w:r w:rsidRPr="001335CE">
        <w:rPr>
          <w:rFonts w:cs="Arial"/>
          <w:i/>
          <w:iCs/>
        </w:rPr>
        <w:t>Reyes</w:t>
      </w:r>
      <w:r w:rsidRPr="00D06C37">
        <w:rPr>
          <w:rFonts w:cs="Arial"/>
        </w:rPr>
        <w:t>, 2020 QCCQ 7784 [</w:t>
      </w:r>
      <w:r w:rsidR="00926DC2">
        <w:rPr>
          <w:rFonts w:cs="Arial"/>
        </w:rPr>
        <w:t>Judgment under appeal</w:t>
      </w:r>
      <w:r w:rsidRPr="00D06C37">
        <w:rPr>
          <w:rFonts w:cs="Arial"/>
          <w:iCs/>
        </w:rPr>
        <w:t>]</w:t>
      </w:r>
      <w:r w:rsidRPr="00D06C37">
        <w:rPr>
          <w:rFonts w:cs="Arial"/>
        </w:rPr>
        <w:t>.</w:t>
      </w:r>
    </w:p>
  </w:footnote>
  <w:footnote w:id="4">
    <w:p w14:paraId="3043D9A9" w14:textId="77777777" w:rsidR="00713E8D" w:rsidRDefault="008E1FBE" w:rsidP="0012455D">
      <w:pPr>
        <w:pStyle w:val="Partie2Question"/>
        <w:numPr>
          <w:ilvl w:val="0"/>
          <w:numId w:val="0"/>
        </w:numPr>
        <w:tabs>
          <w:tab w:val="clear" w:pos="1134"/>
        </w:tabs>
        <w:spacing w:before="0" w:line="240" w:lineRule="auto"/>
        <w:ind w:left="357" w:hanging="357"/>
        <w:rPr>
          <w:sz w:val="20"/>
          <w:szCs w:val="20"/>
        </w:rPr>
      </w:pPr>
      <w:r w:rsidRPr="00D06C37">
        <w:rPr>
          <w:rStyle w:val="Appelnotedebasdep"/>
          <w:rFonts w:cs="Arial"/>
          <w:sz w:val="20"/>
          <w:szCs w:val="20"/>
          <w:lang w:val="en-CA"/>
        </w:rPr>
        <w:footnoteRef/>
      </w:r>
      <w:r w:rsidRPr="00D06C37">
        <w:rPr>
          <w:rFonts w:cs="Arial"/>
          <w:sz w:val="20"/>
          <w:szCs w:val="20"/>
        </w:rPr>
        <w:t xml:space="preserve"> </w:t>
      </w:r>
      <w:r w:rsidRPr="00D06C37">
        <w:rPr>
          <w:rFonts w:cs="Arial"/>
          <w:sz w:val="20"/>
          <w:szCs w:val="20"/>
        </w:rPr>
        <w:tab/>
      </w:r>
      <w:r w:rsidRPr="00D06C37">
        <w:rPr>
          <w:sz w:val="20"/>
          <w:szCs w:val="20"/>
        </w:rPr>
        <w:t>[</w:t>
      </w:r>
      <w:r w:rsidRPr="00D06C37">
        <w:rPr>
          <w:smallCaps/>
          <w:sz w:val="20"/>
          <w:szCs w:val="20"/>
        </w:rPr>
        <w:t>translation</w:t>
      </w:r>
      <w:r w:rsidRPr="00D06C37">
        <w:rPr>
          <w:sz w:val="20"/>
          <w:szCs w:val="20"/>
        </w:rPr>
        <w:t>]</w:t>
      </w:r>
    </w:p>
    <w:p w14:paraId="25C9CB29" w14:textId="7D3DBBEC" w:rsidR="008E1FBE" w:rsidRPr="00D06C37" w:rsidRDefault="00742DC5" w:rsidP="0012455D">
      <w:pPr>
        <w:pStyle w:val="Partie2Question"/>
        <w:numPr>
          <w:ilvl w:val="0"/>
          <w:numId w:val="0"/>
        </w:numPr>
        <w:tabs>
          <w:tab w:val="clear" w:pos="1134"/>
        </w:tabs>
        <w:spacing w:before="0" w:line="240" w:lineRule="auto"/>
        <w:ind w:left="357" w:hanging="357"/>
        <w:rPr>
          <w:rFonts w:cs="Arial"/>
          <w:sz w:val="20"/>
          <w:szCs w:val="20"/>
        </w:rPr>
      </w:pPr>
      <w:r>
        <w:rPr>
          <w:sz w:val="20"/>
          <w:szCs w:val="20"/>
        </w:rPr>
        <w:t xml:space="preserve"> </w:t>
      </w:r>
      <w:r w:rsidR="00713E8D">
        <w:rPr>
          <w:sz w:val="20"/>
          <w:szCs w:val="20"/>
        </w:rPr>
        <w:t xml:space="preserve">   </w:t>
      </w:r>
      <w:r w:rsidR="008E1FBE" w:rsidRPr="00D06C37">
        <w:t xml:space="preserve"> </w:t>
      </w:r>
      <w:r>
        <w:t xml:space="preserve"> </w:t>
      </w:r>
      <w:r w:rsidR="008E1FBE" w:rsidRPr="00D06C37">
        <w:rPr>
          <w:rFonts w:cs="Arial"/>
          <w:sz w:val="20"/>
          <w:szCs w:val="20"/>
        </w:rPr>
        <w:t>A. Did the trial</w:t>
      </w:r>
      <w:r w:rsidR="0009593C">
        <w:rPr>
          <w:rFonts w:cs="Arial"/>
          <w:sz w:val="20"/>
          <w:szCs w:val="20"/>
        </w:rPr>
        <w:t xml:space="preserve"> judge examine</w:t>
      </w:r>
      <w:r w:rsidR="008E1FBE" w:rsidRPr="00D06C37">
        <w:rPr>
          <w:rFonts w:cs="Arial"/>
          <w:sz w:val="20"/>
          <w:szCs w:val="20"/>
        </w:rPr>
        <w:t xml:space="preserve"> the joint submission </w:t>
      </w:r>
      <w:r w:rsidR="00B00B95" w:rsidRPr="00D06C37">
        <w:rPr>
          <w:rFonts w:cs="Arial"/>
          <w:sz w:val="20"/>
          <w:szCs w:val="20"/>
        </w:rPr>
        <w:t>of</w:t>
      </w:r>
      <w:r w:rsidR="008E1FBE" w:rsidRPr="00D06C37">
        <w:rPr>
          <w:rFonts w:cs="Arial"/>
          <w:sz w:val="20"/>
          <w:szCs w:val="20"/>
        </w:rPr>
        <w:t xml:space="preserve"> the parties in light of the </w:t>
      </w:r>
      <w:r w:rsidR="00C13FFC">
        <w:rPr>
          <w:rFonts w:cs="Arial"/>
          <w:sz w:val="20"/>
          <w:szCs w:val="20"/>
        </w:rPr>
        <w:t xml:space="preserve">correct </w:t>
      </w:r>
      <w:r w:rsidR="008E1FBE" w:rsidRPr="00D06C37">
        <w:rPr>
          <w:rFonts w:cs="Arial"/>
          <w:sz w:val="20"/>
          <w:szCs w:val="20"/>
        </w:rPr>
        <w:t>test?</w:t>
      </w:r>
    </w:p>
    <w:p w14:paraId="49839F03" w14:textId="19D5359F" w:rsidR="008E1FBE" w:rsidRPr="00D06C37" w:rsidRDefault="008E1FBE" w:rsidP="0012455D">
      <w:pPr>
        <w:pStyle w:val="Partie2Question"/>
        <w:numPr>
          <w:ilvl w:val="0"/>
          <w:numId w:val="0"/>
        </w:numPr>
        <w:tabs>
          <w:tab w:val="clear" w:pos="1134"/>
          <w:tab w:val="left" w:pos="709"/>
        </w:tabs>
        <w:spacing w:before="0" w:line="240" w:lineRule="auto"/>
        <w:ind w:left="714" w:hanging="357"/>
        <w:rPr>
          <w:rFonts w:cs="Arial"/>
          <w:sz w:val="20"/>
          <w:szCs w:val="20"/>
        </w:rPr>
      </w:pPr>
      <w:r w:rsidRPr="00D06C37">
        <w:rPr>
          <w:rFonts w:cs="Arial"/>
          <w:sz w:val="20"/>
          <w:szCs w:val="20"/>
        </w:rPr>
        <w:t xml:space="preserve">B. Did the trial judge take </w:t>
      </w:r>
      <w:r w:rsidR="00C13FFC" w:rsidRPr="00D06C37">
        <w:rPr>
          <w:rFonts w:cs="Arial"/>
          <w:sz w:val="20"/>
          <w:szCs w:val="20"/>
        </w:rPr>
        <w:t>all</w:t>
      </w:r>
      <w:r w:rsidRPr="00D06C37">
        <w:rPr>
          <w:rFonts w:cs="Arial"/>
          <w:sz w:val="20"/>
          <w:szCs w:val="20"/>
        </w:rPr>
        <w:t xml:space="preserve"> the essential aspects of the </w:t>
      </w:r>
      <w:r w:rsidR="00B00B95" w:rsidRPr="00D06C37">
        <w:rPr>
          <w:rFonts w:cs="Arial"/>
          <w:sz w:val="20"/>
          <w:szCs w:val="20"/>
        </w:rPr>
        <w:t>case</w:t>
      </w:r>
      <w:r w:rsidRPr="00D06C37">
        <w:rPr>
          <w:rFonts w:cs="Arial"/>
          <w:sz w:val="20"/>
          <w:szCs w:val="20"/>
        </w:rPr>
        <w:t xml:space="preserve"> into consideration?</w:t>
      </w:r>
    </w:p>
    <w:p w14:paraId="59781BFE" w14:textId="1B6F0DF3" w:rsidR="008E1FBE" w:rsidRPr="00D06C37" w:rsidRDefault="008E1FBE" w:rsidP="0012455D">
      <w:pPr>
        <w:pStyle w:val="Partie2Question"/>
        <w:numPr>
          <w:ilvl w:val="0"/>
          <w:numId w:val="0"/>
        </w:numPr>
        <w:tabs>
          <w:tab w:val="clear" w:pos="1134"/>
          <w:tab w:val="left" w:pos="709"/>
        </w:tabs>
        <w:spacing w:before="0" w:line="240" w:lineRule="auto"/>
        <w:ind w:left="714" w:hanging="357"/>
        <w:rPr>
          <w:rFonts w:cs="Arial"/>
          <w:sz w:val="20"/>
          <w:szCs w:val="20"/>
        </w:rPr>
      </w:pPr>
      <w:r w:rsidRPr="00D06C37">
        <w:rPr>
          <w:rFonts w:cs="Arial"/>
          <w:sz w:val="20"/>
          <w:szCs w:val="20"/>
        </w:rPr>
        <w:t xml:space="preserve">C. Did the trial judge’s decision have the effect of </w:t>
      </w:r>
      <w:r w:rsidR="00CE61DA">
        <w:rPr>
          <w:rFonts w:cs="Arial"/>
          <w:sz w:val="20"/>
          <w:szCs w:val="20"/>
        </w:rPr>
        <w:t xml:space="preserve">doubly </w:t>
      </w:r>
      <w:r w:rsidRPr="00D06C37">
        <w:rPr>
          <w:rFonts w:cs="Arial"/>
          <w:sz w:val="20"/>
          <w:szCs w:val="20"/>
        </w:rPr>
        <w:t>punishing the appellant?</w:t>
      </w:r>
    </w:p>
    <w:p w14:paraId="6FD6BA4F" w14:textId="46909E14" w:rsidR="008E1FBE" w:rsidRPr="00D06C37" w:rsidRDefault="008E1FBE" w:rsidP="0012455D">
      <w:pPr>
        <w:pStyle w:val="Partie2Question"/>
        <w:numPr>
          <w:ilvl w:val="0"/>
          <w:numId w:val="0"/>
        </w:numPr>
        <w:tabs>
          <w:tab w:val="clear" w:pos="1134"/>
          <w:tab w:val="left" w:pos="709"/>
        </w:tabs>
        <w:spacing w:before="0" w:line="240" w:lineRule="auto"/>
        <w:ind w:left="714" w:hanging="357"/>
        <w:rPr>
          <w:rFonts w:cs="Arial"/>
          <w:sz w:val="20"/>
          <w:szCs w:val="20"/>
        </w:rPr>
      </w:pPr>
      <w:r w:rsidRPr="00D06C37">
        <w:rPr>
          <w:rFonts w:cs="Arial"/>
          <w:sz w:val="20"/>
          <w:szCs w:val="20"/>
        </w:rPr>
        <w:t>D. Is the joint submission of the parties contrary to the public interest?</w:t>
      </w:r>
    </w:p>
    <w:p w14:paraId="1BB65D24" w14:textId="6DF41241" w:rsidR="008E1FBE" w:rsidRPr="00D06C37" w:rsidRDefault="008E1FBE" w:rsidP="0012455D">
      <w:pPr>
        <w:pStyle w:val="Partie2Question"/>
        <w:numPr>
          <w:ilvl w:val="0"/>
          <w:numId w:val="0"/>
        </w:numPr>
        <w:tabs>
          <w:tab w:val="clear" w:pos="1134"/>
        </w:tabs>
        <w:spacing w:before="0" w:line="240" w:lineRule="auto"/>
        <w:ind w:left="357"/>
        <w:rPr>
          <w:rFonts w:cs="Arial"/>
          <w:sz w:val="20"/>
          <w:szCs w:val="20"/>
        </w:rPr>
      </w:pPr>
      <w:r w:rsidRPr="00D06C37">
        <w:rPr>
          <w:rFonts w:cs="Arial"/>
          <w:sz w:val="20"/>
          <w:szCs w:val="20"/>
        </w:rPr>
        <w:t>E. Is the trial judge’s decision likely to bring the administration of justice into disrepute?</w:t>
      </w:r>
    </w:p>
  </w:footnote>
  <w:footnote w:id="5">
    <w:p w14:paraId="644AAA21" w14:textId="77777777" w:rsidR="005C09FC" w:rsidRPr="00D06C37" w:rsidRDefault="005C09FC" w:rsidP="005C09FC">
      <w:pPr>
        <w:pStyle w:val="Notedebasdepage"/>
        <w:rPr>
          <w:rFonts w:cs="Arial"/>
        </w:rPr>
      </w:pPr>
      <w:r w:rsidRPr="00D06C37">
        <w:rPr>
          <w:rStyle w:val="Appelnotedebasdep"/>
          <w:rFonts w:cs="Arial"/>
          <w:lang w:val="en-CA"/>
        </w:rPr>
        <w:footnoteRef/>
      </w:r>
      <w:r w:rsidRPr="00D06C37">
        <w:rPr>
          <w:rFonts w:cs="Arial"/>
        </w:rPr>
        <w:t xml:space="preserve"> </w:t>
      </w:r>
      <w:r w:rsidRPr="00D06C37">
        <w:rPr>
          <w:rFonts w:cs="Arial"/>
        </w:rPr>
        <w:tab/>
      </w:r>
      <w:r w:rsidRPr="005406A0">
        <w:rPr>
          <w:rFonts w:cs="Arial"/>
          <w:i/>
        </w:rPr>
        <w:t>R.</w:t>
      </w:r>
      <w:r w:rsidRPr="001335CE">
        <w:rPr>
          <w:rFonts w:cs="Arial"/>
          <w:i/>
        </w:rPr>
        <w:t xml:space="preserve"> v. </w:t>
      </w:r>
      <w:r w:rsidRPr="005406A0">
        <w:rPr>
          <w:rFonts w:cs="Arial"/>
          <w:i/>
        </w:rPr>
        <w:t>Ant</w:t>
      </w:r>
      <w:r w:rsidRPr="00D06C37">
        <w:rPr>
          <w:rFonts w:cs="Arial"/>
          <w:i/>
        </w:rPr>
        <w:t>hony-Cook</w:t>
      </w:r>
      <w:r w:rsidRPr="00D06C37">
        <w:rPr>
          <w:rFonts w:cs="Arial"/>
        </w:rPr>
        <w:t>, 2016 SCC 43.</w:t>
      </w:r>
    </w:p>
  </w:footnote>
  <w:footnote w:id="6">
    <w:p w14:paraId="69AF4426" w14:textId="2376C432" w:rsidR="008E1FBE" w:rsidRPr="00D06C37" w:rsidRDefault="008E1FBE" w:rsidP="0012455D">
      <w:pPr>
        <w:pStyle w:val="Notedebasdepage"/>
      </w:pPr>
      <w:r w:rsidRPr="00D06C37">
        <w:rPr>
          <w:rStyle w:val="Appelnotedebasdep"/>
          <w:lang w:val="en-CA"/>
        </w:rPr>
        <w:footnoteRef/>
      </w:r>
      <w:r w:rsidRPr="00D06C37">
        <w:t xml:space="preserve"> </w:t>
      </w:r>
      <w:r w:rsidRPr="00D06C37">
        <w:tab/>
      </w:r>
      <w:r w:rsidRPr="00D06C37">
        <w:rPr>
          <w:i/>
          <w:iCs/>
        </w:rPr>
        <w:t xml:space="preserve">R. v. </w:t>
      </w:r>
      <w:r w:rsidRPr="00D06C37">
        <w:rPr>
          <w:rFonts w:cs="Arial"/>
          <w:i/>
        </w:rPr>
        <w:t>Anthony-Cook</w:t>
      </w:r>
      <w:r w:rsidRPr="00D06C37">
        <w:rPr>
          <w:rFonts w:cs="Arial"/>
        </w:rPr>
        <w:t>, 2016 SCC 43 at para. 60.</w:t>
      </w:r>
    </w:p>
  </w:footnote>
  <w:footnote w:id="7">
    <w:p w14:paraId="03D66410" w14:textId="39721C0B" w:rsidR="008E1FBE" w:rsidRPr="001B5AF0" w:rsidRDefault="008E1FBE" w:rsidP="0012455D">
      <w:pPr>
        <w:pStyle w:val="Notedebasdepage"/>
        <w:rPr>
          <w:iCs/>
        </w:rPr>
      </w:pPr>
      <w:r w:rsidRPr="00B73D48">
        <w:rPr>
          <w:rStyle w:val="Appelnotedebasdep"/>
          <w:lang w:val="en-CA"/>
        </w:rPr>
        <w:footnoteRef/>
      </w:r>
      <w:r w:rsidRPr="00B73D48">
        <w:t xml:space="preserve"> </w:t>
      </w:r>
      <w:r w:rsidRPr="00B73D48">
        <w:tab/>
        <w:t xml:space="preserve">The </w:t>
      </w:r>
      <w:r w:rsidR="00C31E89" w:rsidRPr="00B73D48">
        <w:t>particular significance of the</w:t>
      </w:r>
      <w:r w:rsidR="00B73D48">
        <w:t xml:space="preserve"> second-to-</w:t>
      </w:r>
      <w:r w:rsidRPr="00B73D48">
        <w:t xml:space="preserve">last sentence of paragraph [34] </w:t>
      </w:r>
      <w:r w:rsidR="006866F5" w:rsidRPr="00B73D48">
        <w:t xml:space="preserve">is </w:t>
      </w:r>
      <w:r w:rsidRPr="00B73D48">
        <w:t xml:space="preserve">anchored in the word </w:t>
      </w:r>
      <w:r w:rsidR="002A7E5F" w:rsidRPr="00B73D48">
        <w:t>“</w:t>
      </w:r>
      <w:r w:rsidRPr="00B73D48">
        <w:rPr>
          <w:iCs/>
        </w:rPr>
        <w:t>unhinged</w:t>
      </w:r>
      <w:r w:rsidR="002A7E5F" w:rsidRPr="00B73D48">
        <w:rPr>
          <w:iCs/>
        </w:rPr>
        <w:t>”</w:t>
      </w:r>
      <w:r w:rsidR="001B5AF0" w:rsidRPr="00B73D48">
        <w:rPr>
          <w:iCs/>
        </w:rPr>
        <w:t>.</w:t>
      </w:r>
    </w:p>
    <w:p w14:paraId="52C96FC3" w14:textId="3E9B6E13" w:rsidR="008E1FBE" w:rsidRPr="00B14EC9" w:rsidRDefault="008E1FBE" w:rsidP="0012455D">
      <w:pPr>
        <w:pStyle w:val="Notedebasdepage"/>
        <w:ind w:left="1134" w:right="857"/>
        <w:rPr>
          <w:iCs/>
          <w:sz w:val="18"/>
          <w:szCs w:val="18"/>
        </w:rPr>
      </w:pPr>
      <w:r w:rsidRPr="00D06C37">
        <w:t xml:space="preserve"> </w:t>
      </w:r>
      <w:r w:rsidRPr="00D06C37">
        <w:tab/>
      </w:r>
    </w:p>
  </w:footnote>
  <w:footnote w:id="8">
    <w:p w14:paraId="14D15D4A" w14:textId="4685F4CA" w:rsidR="008E1FBE" w:rsidRPr="00D06C37" w:rsidRDefault="008E1FBE" w:rsidP="0012455D">
      <w:pPr>
        <w:pStyle w:val="Notedebasdepage"/>
      </w:pPr>
      <w:r w:rsidRPr="00D06C37">
        <w:rPr>
          <w:rStyle w:val="Appelnotedebasdep"/>
          <w:lang w:val="en-CA"/>
        </w:rPr>
        <w:footnoteRef/>
      </w:r>
      <w:r w:rsidRPr="00D06C37">
        <w:t xml:space="preserve"> </w:t>
      </w:r>
      <w:r w:rsidRPr="00D06C37">
        <w:tab/>
      </w:r>
      <w:r w:rsidRPr="00D06C37">
        <w:rPr>
          <w:i/>
          <w:iCs/>
        </w:rPr>
        <w:t xml:space="preserve">R. v. </w:t>
      </w:r>
      <w:proofErr w:type="spellStart"/>
      <w:r w:rsidRPr="00D06C37">
        <w:rPr>
          <w:i/>
          <w:iCs/>
        </w:rPr>
        <w:t>Nahanee</w:t>
      </w:r>
      <w:proofErr w:type="spellEnd"/>
      <w:r w:rsidRPr="00D06C37">
        <w:t>, 2022 SCC 37.</w:t>
      </w:r>
    </w:p>
  </w:footnote>
  <w:footnote w:id="9">
    <w:p w14:paraId="3EF4A45E" w14:textId="77777777" w:rsidR="008E1FBE" w:rsidRPr="00D06C37" w:rsidRDefault="008E1FBE" w:rsidP="0012455D">
      <w:pPr>
        <w:pStyle w:val="Notedebasdepage"/>
      </w:pPr>
      <w:r w:rsidRPr="00D06C37">
        <w:rPr>
          <w:rStyle w:val="Appelnotedebasdep"/>
          <w:lang w:val="en-CA"/>
        </w:rPr>
        <w:footnoteRef/>
      </w:r>
      <w:r w:rsidRPr="00D06C37">
        <w:t xml:space="preserve"> </w:t>
      </w:r>
      <w:r w:rsidRPr="00D06C37">
        <w:tab/>
      </w:r>
      <w:r w:rsidRPr="00D06C37">
        <w:rPr>
          <w:i/>
        </w:rPr>
        <w:t xml:space="preserve">R. c. </w:t>
      </w:r>
      <w:proofErr w:type="spellStart"/>
      <w:r w:rsidRPr="00D06C37">
        <w:rPr>
          <w:i/>
        </w:rPr>
        <w:t>Primeau</w:t>
      </w:r>
      <w:proofErr w:type="spellEnd"/>
      <w:r w:rsidRPr="00D06C37">
        <w:t>, 2021 QCCA 1768.</w:t>
      </w:r>
    </w:p>
  </w:footnote>
  <w:footnote w:id="10">
    <w:p w14:paraId="4A5284BD" w14:textId="514EB1B4" w:rsidR="008E1FBE" w:rsidRPr="00BF73B9" w:rsidRDefault="008E1FBE" w:rsidP="0012455D">
      <w:pPr>
        <w:pStyle w:val="Notedebasdepage"/>
        <w:rPr>
          <w:lang w:val="fr-CA"/>
        </w:rPr>
      </w:pPr>
      <w:r w:rsidRPr="00D06C37">
        <w:rPr>
          <w:rStyle w:val="Appelnotedebasdep"/>
          <w:lang w:val="en-CA"/>
        </w:rPr>
        <w:footnoteRef/>
      </w:r>
      <w:r w:rsidRPr="00BF73B9">
        <w:rPr>
          <w:lang w:val="fr-CA"/>
        </w:rPr>
        <w:t xml:space="preserve"> </w:t>
      </w:r>
      <w:r w:rsidRPr="00BF73B9">
        <w:rPr>
          <w:lang w:val="fr-CA"/>
        </w:rPr>
        <w:tab/>
      </w:r>
      <w:r w:rsidRPr="00BF73B9">
        <w:rPr>
          <w:i/>
          <w:lang w:val="fr-CA"/>
        </w:rPr>
        <w:t>Séguin c. R.</w:t>
      </w:r>
      <w:r w:rsidRPr="00BF73B9">
        <w:rPr>
          <w:lang w:val="fr-CA"/>
        </w:rPr>
        <w:t xml:space="preserve">, 2021 QCCA 195; </w:t>
      </w:r>
      <w:r w:rsidRPr="00BF73B9">
        <w:rPr>
          <w:i/>
          <w:lang w:val="fr-CA"/>
        </w:rPr>
        <w:t>R. c. Binet</w:t>
      </w:r>
      <w:r w:rsidRPr="00BF73B9">
        <w:rPr>
          <w:lang w:val="fr-CA"/>
        </w:rPr>
        <w:t xml:space="preserve">, 2019 QCCA 669. </w:t>
      </w:r>
      <w:r w:rsidR="006264B1" w:rsidRPr="00BF73B9">
        <w:rPr>
          <w:lang w:val="fr-CA"/>
        </w:rPr>
        <w:t xml:space="preserve">See </w:t>
      </w:r>
      <w:proofErr w:type="spellStart"/>
      <w:r w:rsidR="006264B1" w:rsidRPr="00BF73B9">
        <w:rPr>
          <w:lang w:val="fr-CA"/>
        </w:rPr>
        <w:t>also</w:t>
      </w:r>
      <w:proofErr w:type="spellEnd"/>
      <w:r w:rsidR="006264B1" w:rsidRPr="00BF73B9">
        <w:rPr>
          <w:lang w:val="fr-CA"/>
        </w:rPr>
        <w:t xml:space="preserve">, for </w:t>
      </w:r>
      <w:proofErr w:type="spellStart"/>
      <w:r w:rsidR="006264B1" w:rsidRPr="00BF73B9">
        <w:rPr>
          <w:lang w:val="fr-CA"/>
        </w:rPr>
        <w:t>example</w:t>
      </w:r>
      <w:proofErr w:type="spellEnd"/>
      <w:r w:rsidRPr="00BF73B9">
        <w:rPr>
          <w:lang w:val="fr-CA"/>
        </w:rPr>
        <w:t xml:space="preserve">, </w:t>
      </w:r>
      <w:proofErr w:type="spellStart"/>
      <w:r w:rsidRPr="00BF73B9">
        <w:rPr>
          <w:i/>
          <w:lang w:val="fr-CA"/>
        </w:rPr>
        <w:t>Obodzinski</w:t>
      </w:r>
      <w:proofErr w:type="spellEnd"/>
      <w:r w:rsidRPr="00BF73B9">
        <w:rPr>
          <w:i/>
          <w:lang w:val="fr-CA"/>
        </w:rPr>
        <w:t xml:space="preserve"> </w:t>
      </w:r>
      <w:r w:rsidR="00B81823">
        <w:rPr>
          <w:i/>
          <w:lang w:val="fr-CA"/>
        </w:rPr>
        <w:t>c</w:t>
      </w:r>
      <w:r w:rsidRPr="00BF73B9">
        <w:rPr>
          <w:i/>
          <w:lang w:val="fr-CA"/>
        </w:rPr>
        <w:t>. R.</w:t>
      </w:r>
      <w:r w:rsidRPr="00BF73B9">
        <w:rPr>
          <w:lang w:val="fr-CA"/>
        </w:rPr>
        <w:t xml:space="preserve">, 2021 QCCA 1395; </w:t>
      </w:r>
      <w:r w:rsidRPr="00BF73B9">
        <w:rPr>
          <w:i/>
          <w:lang w:val="fr-CA"/>
        </w:rPr>
        <w:t>Baptiste</w:t>
      </w:r>
      <w:r w:rsidRPr="00BF73B9">
        <w:rPr>
          <w:lang w:val="fr-CA"/>
        </w:rPr>
        <w:t xml:space="preserve"> </w:t>
      </w:r>
      <w:r w:rsidR="00B81823">
        <w:rPr>
          <w:i/>
          <w:iCs/>
          <w:lang w:val="fr-CA"/>
        </w:rPr>
        <w:t>c</w:t>
      </w:r>
      <w:r w:rsidRPr="00BF73B9">
        <w:rPr>
          <w:i/>
          <w:iCs/>
          <w:lang w:val="fr-CA"/>
        </w:rPr>
        <w:t>. R.</w:t>
      </w:r>
      <w:r w:rsidRPr="00BF73B9">
        <w:rPr>
          <w:lang w:val="fr-CA"/>
        </w:rPr>
        <w:t xml:space="preserve">, 2021 QCCA 1064; </w:t>
      </w:r>
      <w:r w:rsidRPr="00BF73B9">
        <w:rPr>
          <w:i/>
          <w:lang w:val="fr-CA"/>
        </w:rPr>
        <w:t>Gallien</w:t>
      </w:r>
      <w:r w:rsidRPr="00BF73B9">
        <w:rPr>
          <w:lang w:val="fr-CA"/>
        </w:rPr>
        <w:t xml:space="preserve"> </w:t>
      </w:r>
      <w:r w:rsidRPr="00BF73B9">
        <w:rPr>
          <w:i/>
          <w:iCs/>
          <w:lang w:val="fr-CA"/>
        </w:rPr>
        <w:t>c.</w:t>
      </w:r>
      <w:r w:rsidRPr="00BF73B9">
        <w:rPr>
          <w:lang w:val="fr-CA"/>
        </w:rPr>
        <w:t xml:space="preserve"> </w:t>
      </w:r>
      <w:r w:rsidRPr="00BF73B9">
        <w:rPr>
          <w:i/>
          <w:lang w:val="fr-CA"/>
        </w:rPr>
        <w:t>R.</w:t>
      </w:r>
      <w:r w:rsidRPr="00BF73B9">
        <w:rPr>
          <w:lang w:val="fr-CA"/>
        </w:rPr>
        <w:t xml:space="preserve">, 2021 QCCA 1026; </w:t>
      </w:r>
      <w:r w:rsidRPr="00BF73B9">
        <w:rPr>
          <w:i/>
          <w:lang w:val="fr-CA"/>
        </w:rPr>
        <w:t xml:space="preserve">Wheeler </w:t>
      </w:r>
      <w:r w:rsidR="00B81823">
        <w:rPr>
          <w:i/>
          <w:lang w:val="fr-CA"/>
        </w:rPr>
        <w:t>c</w:t>
      </w:r>
      <w:r w:rsidRPr="00BF73B9">
        <w:rPr>
          <w:i/>
          <w:lang w:val="fr-CA"/>
        </w:rPr>
        <w:t>.</w:t>
      </w:r>
      <w:r w:rsidRPr="00BF73B9">
        <w:rPr>
          <w:lang w:val="fr-CA"/>
        </w:rPr>
        <w:t xml:space="preserve"> </w:t>
      </w:r>
      <w:r w:rsidRPr="00BF73B9">
        <w:rPr>
          <w:i/>
          <w:iCs/>
          <w:lang w:val="fr-CA"/>
        </w:rPr>
        <w:t>R.</w:t>
      </w:r>
      <w:r w:rsidRPr="00BF73B9">
        <w:rPr>
          <w:lang w:val="fr-CA"/>
        </w:rPr>
        <w:t xml:space="preserve">, 2021 QCCA 1752; </w:t>
      </w:r>
      <w:r w:rsidRPr="00BF73B9">
        <w:rPr>
          <w:i/>
          <w:lang w:val="fr-CA"/>
        </w:rPr>
        <w:t>Bellemare</w:t>
      </w:r>
      <w:r w:rsidRPr="00BF73B9">
        <w:rPr>
          <w:lang w:val="fr-CA"/>
        </w:rPr>
        <w:t xml:space="preserve"> </w:t>
      </w:r>
      <w:r w:rsidRPr="00BF73B9">
        <w:rPr>
          <w:i/>
          <w:iCs/>
          <w:lang w:val="fr-CA"/>
        </w:rPr>
        <w:t>c.</w:t>
      </w:r>
      <w:r w:rsidRPr="00BF73B9">
        <w:rPr>
          <w:lang w:val="fr-CA"/>
        </w:rPr>
        <w:t xml:space="preserve"> </w:t>
      </w:r>
      <w:r w:rsidRPr="00BF73B9">
        <w:rPr>
          <w:i/>
          <w:lang w:val="fr-CA"/>
        </w:rPr>
        <w:t>R.</w:t>
      </w:r>
      <w:r w:rsidRPr="00BF73B9">
        <w:rPr>
          <w:lang w:val="fr-CA"/>
        </w:rPr>
        <w:t xml:space="preserve">, 2019 QCCA 1021; </w:t>
      </w:r>
      <w:r w:rsidRPr="00BF73B9">
        <w:rPr>
          <w:i/>
          <w:lang w:val="fr-CA"/>
        </w:rPr>
        <w:t>LSJPA</w:t>
      </w:r>
      <w:r w:rsidRPr="00D06C37">
        <w:rPr>
          <w:i/>
        </w:rPr>
        <w:sym w:font="Symbol" w:char="F02D"/>
      </w:r>
      <w:r w:rsidRPr="00BF73B9">
        <w:rPr>
          <w:i/>
          <w:lang w:val="fr-CA"/>
        </w:rPr>
        <w:t>1824</w:t>
      </w:r>
      <w:r w:rsidRPr="00BF73B9">
        <w:rPr>
          <w:lang w:val="fr-CA"/>
        </w:rPr>
        <w:t xml:space="preserve">, 2018 QCCA 1450; </w:t>
      </w:r>
      <w:proofErr w:type="spellStart"/>
      <w:r w:rsidRPr="00BF73B9">
        <w:rPr>
          <w:i/>
          <w:lang w:val="fr-CA"/>
        </w:rPr>
        <w:t>Flocari</w:t>
      </w:r>
      <w:proofErr w:type="spellEnd"/>
      <w:r w:rsidRPr="00BF73B9">
        <w:rPr>
          <w:lang w:val="fr-CA"/>
        </w:rPr>
        <w:t xml:space="preserve"> </w:t>
      </w:r>
      <w:r w:rsidRPr="00BF73B9">
        <w:rPr>
          <w:i/>
          <w:iCs/>
          <w:lang w:val="fr-CA"/>
        </w:rPr>
        <w:t>c.</w:t>
      </w:r>
      <w:r w:rsidRPr="00BF73B9">
        <w:rPr>
          <w:lang w:val="fr-CA"/>
        </w:rPr>
        <w:t xml:space="preserve"> </w:t>
      </w:r>
      <w:r w:rsidRPr="00BF73B9">
        <w:rPr>
          <w:i/>
          <w:iCs/>
          <w:lang w:val="fr-CA"/>
        </w:rPr>
        <w:t>R.</w:t>
      </w:r>
      <w:r w:rsidRPr="00BF73B9">
        <w:rPr>
          <w:lang w:val="fr-CA"/>
        </w:rPr>
        <w:t>, 2018 QCCA 554.</w:t>
      </w:r>
    </w:p>
  </w:footnote>
  <w:footnote w:id="11">
    <w:p w14:paraId="5ABB114A" w14:textId="530430DD" w:rsidR="008E1FBE" w:rsidRPr="00D06C37" w:rsidRDefault="008E1FBE" w:rsidP="0012455D">
      <w:pPr>
        <w:pStyle w:val="Notedebasdepage"/>
      </w:pPr>
      <w:r w:rsidRPr="00D06C37">
        <w:rPr>
          <w:rStyle w:val="Appelnotedebasdep"/>
          <w:lang w:val="en-CA"/>
        </w:rPr>
        <w:footnoteRef/>
      </w:r>
      <w:r w:rsidRPr="00D06C37">
        <w:t xml:space="preserve"> </w:t>
      </w:r>
      <w:r w:rsidRPr="00D06C37">
        <w:tab/>
      </w:r>
      <w:r w:rsidRPr="00D06C37">
        <w:rPr>
          <w:i/>
        </w:rPr>
        <w:t>Baptiste</w:t>
      </w:r>
      <w:r w:rsidRPr="00D06C37">
        <w:t xml:space="preserve"> </w:t>
      </w:r>
      <w:r w:rsidR="00B81823">
        <w:rPr>
          <w:i/>
          <w:iCs/>
        </w:rPr>
        <w:t>c</w:t>
      </w:r>
      <w:r w:rsidR="009A4074">
        <w:rPr>
          <w:i/>
          <w:iCs/>
        </w:rPr>
        <w:t>.</w:t>
      </w:r>
      <w:r w:rsidRPr="00D06C37">
        <w:t xml:space="preserve"> </w:t>
      </w:r>
      <w:r w:rsidRPr="00D06C37">
        <w:rPr>
          <w:i/>
        </w:rPr>
        <w:t>R.</w:t>
      </w:r>
      <w:r w:rsidRPr="00D06C37">
        <w:t>, 2021 QCCA 1064.</w:t>
      </w:r>
    </w:p>
  </w:footnote>
  <w:footnote w:id="12">
    <w:p w14:paraId="55931A6D" w14:textId="62D36C65" w:rsidR="008E1FBE" w:rsidRPr="00D06C37" w:rsidRDefault="008E1FBE" w:rsidP="0012455D">
      <w:pPr>
        <w:pStyle w:val="Notedebasdepage"/>
      </w:pPr>
      <w:r w:rsidRPr="00D06C37">
        <w:rPr>
          <w:rStyle w:val="Appelnotedebasdep"/>
          <w:lang w:val="en-CA"/>
        </w:rPr>
        <w:footnoteRef/>
      </w:r>
      <w:r w:rsidRPr="00D06C37">
        <w:t xml:space="preserve"> </w:t>
      </w:r>
      <w:r w:rsidRPr="00D06C37">
        <w:tab/>
      </w:r>
      <w:bookmarkStart w:id="37" w:name="_Hlk121316682"/>
      <w:r w:rsidRPr="00D06C37">
        <w:rPr>
          <w:i/>
          <w:iCs/>
        </w:rPr>
        <w:t xml:space="preserve">R. v. </w:t>
      </w:r>
      <w:r w:rsidRPr="00D06C37">
        <w:rPr>
          <w:i/>
        </w:rPr>
        <w:t>Anthony-Cook</w:t>
      </w:r>
      <w:r w:rsidRPr="00D06C37">
        <w:t>, 2016 SCC 43</w:t>
      </w:r>
      <w:bookmarkEnd w:id="37"/>
      <w:r w:rsidRPr="00D06C37">
        <w:t xml:space="preserve"> at para. 42.</w:t>
      </w:r>
    </w:p>
  </w:footnote>
  <w:footnote w:id="13">
    <w:p w14:paraId="07699993" w14:textId="63F23DEC" w:rsidR="008E1FBE" w:rsidRPr="00BF73B9" w:rsidRDefault="008E1FBE" w:rsidP="0012455D">
      <w:pPr>
        <w:pStyle w:val="Notedebasdepage"/>
        <w:rPr>
          <w:lang w:val="fr-CA"/>
        </w:rPr>
      </w:pPr>
      <w:r w:rsidRPr="00D06C37">
        <w:rPr>
          <w:rStyle w:val="Appelnotedebasdep"/>
          <w:lang w:val="en-CA"/>
        </w:rPr>
        <w:footnoteRef/>
      </w:r>
      <w:r w:rsidRPr="00D06C37">
        <w:t xml:space="preserve"> </w:t>
      </w:r>
      <w:r w:rsidRPr="00D06C37">
        <w:tab/>
      </w:r>
      <w:r w:rsidRPr="00D06C37">
        <w:rPr>
          <w:i/>
          <w:iCs/>
        </w:rPr>
        <w:t xml:space="preserve">R. v. </w:t>
      </w:r>
      <w:r w:rsidRPr="00D06C37">
        <w:rPr>
          <w:i/>
        </w:rPr>
        <w:t>Anthony-Cook</w:t>
      </w:r>
      <w:r w:rsidRPr="00D06C37">
        <w:t xml:space="preserve">, 2016 SCC 43 at para. </w:t>
      </w:r>
      <w:r w:rsidRPr="00BF73B9">
        <w:rPr>
          <w:lang w:val="fr-CA"/>
        </w:rPr>
        <w:t>47.</w:t>
      </w:r>
    </w:p>
  </w:footnote>
  <w:footnote w:id="14">
    <w:p w14:paraId="793544EF" w14:textId="1750FC41" w:rsidR="008E1FBE" w:rsidRPr="00BF73B9" w:rsidRDefault="008E1FBE" w:rsidP="0012455D">
      <w:pPr>
        <w:pStyle w:val="Notedebasdepage"/>
        <w:rPr>
          <w:lang w:val="fr-CA"/>
        </w:rPr>
      </w:pPr>
      <w:r w:rsidRPr="00D06C37">
        <w:rPr>
          <w:rStyle w:val="Appelnotedebasdep"/>
          <w:lang w:val="en-CA"/>
        </w:rPr>
        <w:footnoteRef/>
      </w:r>
      <w:r w:rsidRPr="00BF73B9">
        <w:rPr>
          <w:lang w:val="fr-CA"/>
        </w:rPr>
        <w:t xml:space="preserve"> </w:t>
      </w:r>
      <w:r w:rsidRPr="00BF73B9">
        <w:rPr>
          <w:lang w:val="fr-CA"/>
        </w:rPr>
        <w:tab/>
      </w:r>
      <w:r w:rsidRPr="00BF73B9">
        <w:rPr>
          <w:i/>
          <w:lang w:val="fr-CA"/>
        </w:rPr>
        <w:t>Séguin</w:t>
      </w:r>
      <w:r w:rsidRPr="00BF73B9">
        <w:rPr>
          <w:lang w:val="fr-CA"/>
        </w:rPr>
        <w:t xml:space="preserve"> </w:t>
      </w:r>
      <w:r w:rsidRPr="00BF73B9">
        <w:rPr>
          <w:i/>
          <w:iCs/>
          <w:lang w:val="fr-CA"/>
        </w:rPr>
        <w:t>c.</w:t>
      </w:r>
      <w:r w:rsidRPr="00BF73B9">
        <w:rPr>
          <w:lang w:val="fr-CA"/>
        </w:rPr>
        <w:t xml:space="preserve"> </w:t>
      </w:r>
      <w:r w:rsidRPr="00BF73B9">
        <w:rPr>
          <w:i/>
          <w:lang w:val="fr-CA"/>
        </w:rPr>
        <w:t>R.</w:t>
      </w:r>
      <w:r w:rsidRPr="00BF73B9">
        <w:rPr>
          <w:lang w:val="fr-CA"/>
        </w:rPr>
        <w:t>, 2021 QCCA 195 at paras. 23</w:t>
      </w:r>
      <w:r w:rsidR="006F1334">
        <w:rPr>
          <w:lang w:val="fr-CA"/>
        </w:rPr>
        <w:t>–</w:t>
      </w:r>
      <w:r w:rsidRPr="00BF73B9">
        <w:rPr>
          <w:lang w:val="fr-CA"/>
        </w:rPr>
        <w:t xml:space="preserve">24; </w:t>
      </w:r>
      <w:r w:rsidRPr="00BF73B9">
        <w:rPr>
          <w:i/>
          <w:lang w:val="fr-CA"/>
        </w:rPr>
        <w:t>R.</w:t>
      </w:r>
      <w:r w:rsidRPr="00BF73B9">
        <w:rPr>
          <w:lang w:val="fr-CA"/>
        </w:rPr>
        <w:t xml:space="preserve"> </w:t>
      </w:r>
      <w:r w:rsidRPr="00BF73B9">
        <w:rPr>
          <w:i/>
          <w:iCs/>
          <w:lang w:val="fr-CA"/>
        </w:rPr>
        <w:t>c.</w:t>
      </w:r>
      <w:r w:rsidRPr="00BF73B9">
        <w:rPr>
          <w:lang w:val="fr-CA"/>
        </w:rPr>
        <w:t xml:space="preserve"> </w:t>
      </w:r>
      <w:r w:rsidRPr="00BF73B9">
        <w:rPr>
          <w:i/>
          <w:lang w:val="fr-CA"/>
        </w:rPr>
        <w:t>Primeau</w:t>
      </w:r>
      <w:r w:rsidRPr="00BF73B9">
        <w:rPr>
          <w:lang w:val="fr-CA"/>
        </w:rPr>
        <w:t>, 2021 QCCA 1768</w:t>
      </w:r>
      <w:r w:rsidR="00B81823">
        <w:rPr>
          <w:lang w:val="fr-CA"/>
        </w:rPr>
        <w:t xml:space="preserve"> </w:t>
      </w:r>
      <w:r w:rsidRPr="00BF73B9">
        <w:rPr>
          <w:lang w:val="fr-CA"/>
        </w:rPr>
        <w:t>at paras. 27</w:t>
      </w:r>
      <w:r w:rsidR="007B3089">
        <w:rPr>
          <w:lang w:val="fr-CA"/>
        </w:rPr>
        <w:t>–</w:t>
      </w:r>
      <w:r w:rsidRPr="00BF73B9">
        <w:rPr>
          <w:lang w:val="fr-CA"/>
        </w:rPr>
        <w:t xml:space="preserve">28; </w:t>
      </w:r>
      <w:r w:rsidRPr="00BF73B9">
        <w:rPr>
          <w:lang w:val="fr-CA"/>
        </w:rPr>
        <w:br/>
      </w:r>
      <w:r w:rsidRPr="00BF73B9">
        <w:rPr>
          <w:i/>
          <w:lang w:val="fr-CA"/>
        </w:rPr>
        <w:t>R.</w:t>
      </w:r>
      <w:r w:rsidRPr="00BF73B9">
        <w:rPr>
          <w:lang w:val="fr-CA"/>
        </w:rPr>
        <w:t xml:space="preserve"> </w:t>
      </w:r>
      <w:r w:rsidRPr="00BF73B9">
        <w:rPr>
          <w:i/>
          <w:iCs/>
          <w:lang w:val="fr-CA"/>
        </w:rPr>
        <w:t>c.</w:t>
      </w:r>
      <w:r w:rsidRPr="00BF73B9">
        <w:rPr>
          <w:lang w:val="fr-CA"/>
        </w:rPr>
        <w:t xml:space="preserve"> </w:t>
      </w:r>
      <w:r w:rsidRPr="00BF73B9">
        <w:rPr>
          <w:i/>
          <w:lang w:val="fr-CA"/>
        </w:rPr>
        <w:t>Binet</w:t>
      </w:r>
      <w:r w:rsidRPr="00BF73B9">
        <w:rPr>
          <w:lang w:val="fr-CA"/>
        </w:rPr>
        <w:t xml:space="preserve">, 2019 QCCA 669 at para. 20. </w:t>
      </w:r>
    </w:p>
  </w:footnote>
  <w:footnote w:id="15">
    <w:p w14:paraId="3448558D" w14:textId="507F2584" w:rsidR="00BF73B9" w:rsidRPr="00324A11" w:rsidRDefault="00BF73B9" w:rsidP="00BF73B9">
      <w:pPr>
        <w:pStyle w:val="Notedebasdepage"/>
        <w:rPr>
          <w:lang w:val="fr-CA"/>
        </w:rPr>
      </w:pPr>
      <w:r>
        <w:rPr>
          <w:rStyle w:val="Appelnotedebasdep"/>
        </w:rPr>
        <w:footnoteRef/>
      </w:r>
      <w:r w:rsidRPr="00324A11">
        <w:rPr>
          <w:lang w:val="fr-CA"/>
        </w:rPr>
        <w:t xml:space="preserve"> </w:t>
      </w:r>
      <w:r w:rsidRPr="00324A11">
        <w:rPr>
          <w:lang w:val="fr-CA"/>
        </w:rPr>
        <w:tab/>
      </w:r>
      <w:r w:rsidRPr="00324A11">
        <w:rPr>
          <w:i/>
          <w:lang w:val="fr-CA"/>
        </w:rPr>
        <w:t>R.</w:t>
      </w:r>
      <w:r w:rsidRPr="00324A11">
        <w:rPr>
          <w:lang w:val="fr-CA"/>
        </w:rPr>
        <w:t xml:space="preserve"> </w:t>
      </w:r>
      <w:r w:rsidR="00EA70C4" w:rsidRPr="001335CE">
        <w:rPr>
          <w:i/>
          <w:iCs/>
          <w:lang w:val="fr-CA"/>
        </w:rPr>
        <w:t>v</w:t>
      </w:r>
      <w:r w:rsidRPr="001335CE">
        <w:rPr>
          <w:i/>
          <w:iCs/>
          <w:lang w:val="fr-CA"/>
        </w:rPr>
        <w:t>.</w:t>
      </w:r>
      <w:r w:rsidRPr="00324A11">
        <w:rPr>
          <w:lang w:val="fr-CA"/>
        </w:rPr>
        <w:t xml:space="preserve"> </w:t>
      </w:r>
      <w:r w:rsidRPr="00324A11">
        <w:rPr>
          <w:i/>
          <w:lang w:val="fr-CA"/>
        </w:rPr>
        <w:t>Lacasse</w:t>
      </w:r>
      <w:r w:rsidRPr="00324A11">
        <w:rPr>
          <w:lang w:val="fr-CA"/>
        </w:rPr>
        <w:t>, 2015 SCC 64.</w:t>
      </w:r>
    </w:p>
  </w:footnote>
  <w:footnote w:id="16">
    <w:p w14:paraId="5606DCE3" w14:textId="77777777" w:rsidR="00BF73B9" w:rsidRPr="00BF73B9" w:rsidRDefault="00BF73B9" w:rsidP="00BF73B9">
      <w:pPr>
        <w:pStyle w:val="Notedebasdepage"/>
      </w:pPr>
      <w:r>
        <w:rPr>
          <w:rStyle w:val="Appelnotedebasdep"/>
        </w:rPr>
        <w:footnoteRef/>
      </w:r>
      <w:r w:rsidRPr="00BF73B9">
        <w:t xml:space="preserve"> </w:t>
      </w:r>
      <w:r w:rsidRPr="00BF73B9">
        <w:tab/>
      </w:r>
      <w:r w:rsidRPr="00BF73B9">
        <w:rPr>
          <w:i/>
        </w:rPr>
        <w:t>R. v. Anthony-Cook</w:t>
      </w:r>
      <w:r w:rsidRPr="00BF73B9">
        <w:t xml:space="preserve">, 2016 SCC 43, [2016] 2 S.C.R. 204 </w:t>
      </w:r>
      <w:r w:rsidRPr="00BF73B9">
        <w:rPr>
          <w:rFonts w:cs="Arial"/>
        </w:rPr>
        <w:t>[</w:t>
      </w:r>
      <w:r w:rsidRPr="00BF73B9">
        <w:rPr>
          <w:i/>
        </w:rPr>
        <w:t>Anthony-Cook</w:t>
      </w:r>
      <w:r w:rsidRPr="00BF73B9">
        <w:rPr>
          <w:rFonts w:cs="Arial"/>
        </w:rPr>
        <w:t>]</w:t>
      </w:r>
      <w:r w:rsidRPr="00BF73B9">
        <w:t>.</w:t>
      </w:r>
    </w:p>
  </w:footnote>
  <w:footnote w:id="17">
    <w:p w14:paraId="6054C20F" w14:textId="72CE4D62" w:rsidR="00BF73B9" w:rsidRPr="00BF73B9" w:rsidRDefault="00BF73B9" w:rsidP="00BF73B9">
      <w:pPr>
        <w:pStyle w:val="Notedebasdepage"/>
      </w:pPr>
      <w:r>
        <w:rPr>
          <w:rStyle w:val="Appelnotedebasdep"/>
        </w:rPr>
        <w:footnoteRef/>
      </w:r>
      <w:r w:rsidRPr="00BF73B9">
        <w:t xml:space="preserve"> </w:t>
      </w:r>
      <w:r w:rsidRPr="00BF73B9">
        <w:tab/>
      </w:r>
      <w:r w:rsidRPr="00BF73B9">
        <w:rPr>
          <w:i/>
        </w:rPr>
        <w:t xml:space="preserve">R. v. </w:t>
      </w:r>
      <w:proofErr w:type="spellStart"/>
      <w:r w:rsidRPr="00BF73B9">
        <w:rPr>
          <w:i/>
        </w:rPr>
        <w:t>Nahanee</w:t>
      </w:r>
      <w:proofErr w:type="spellEnd"/>
      <w:r w:rsidRPr="00BF73B9">
        <w:t xml:space="preserve">, 2022 SCC 37 at para. 1 </w:t>
      </w:r>
      <w:r w:rsidRPr="00BF73B9">
        <w:rPr>
          <w:rFonts w:cs="Arial"/>
        </w:rPr>
        <w:t>[</w:t>
      </w:r>
      <w:proofErr w:type="spellStart"/>
      <w:r w:rsidRPr="00BF73B9">
        <w:rPr>
          <w:i/>
        </w:rPr>
        <w:t>Nahanee</w:t>
      </w:r>
      <w:proofErr w:type="spellEnd"/>
      <w:r w:rsidRPr="00BF73B9">
        <w:rPr>
          <w:rFonts w:cs="Arial"/>
        </w:rPr>
        <w:t>]</w:t>
      </w:r>
      <w:r w:rsidRPr="00BF73B9">
        <w:t>.</w:t>
      </w:r>
    </w:p>
  </w:footnote>
  <w:footnote w:id="18">
    <w:p w14:paraId="2EA5B23C" w14:textId="25C8039B" w:rsidR="00BF73B9" w:rsidRPr="00BF73B9" w:rsidRDefault="00BF73B9" w:rsidP="00BF73B9">
      <w:pPr>
        <w:pStyle w:val="Notedebasdepage"/>
      </w:pPr>
      <w:r>
        <w:rPr>
          <w:rStyle w:val="Appelnotedebasdep"/>
        </w:rPr>
        <w:footnoteRef/>
      </w:r>
      <w:r w:rsidRPr="00BF73B9">
        <w:t xml:space="preserve"> </w:t>
      </w:r>
      <w:r w:rsidRPr="00BF73B9">
        <w:tab/>
      </w:r>
      <w:r w:rsidRPr="00BF73B9">
        <w:rPr>
          <w:i/>
        </w:rPr>
        <w:t>Anthony-Cook</w:t>
      </w:r>
      <w:r w:rsidRPr="00BF73B9">
        <w:t xml:space="preserve">, </w:t>
      </w:r>
      <w:r w:rsidRPr="00BF73B9">
        <w:rPr>
          <w:i/>
          <w:iCs/>
        </w:rPr>
        <w:t>supra</w:t>
      </w:r>
      <w:r w:rsidRPr="00BF73B9">
        <w:t xml:space="preserve"> </w:t>
      </w:r>
      <w:r w:rsidR="001D6ED4">
        <w:t>n</w:t>
      </w:r>
      <w:r w:rsidRPr="00BF73B9">
        <w:t>ote</w:t>
      </w:r>
      <w:r w:rsidR="00F169E2">
        <w:t xml:space="preserve"> 16</w:t>
      </w:r>
      <w:r w:rsidRPr="00BF73B9">
        <w:t xml:space="preserve"> at para. 44.</w:t>
      </w:r>
    </w:p>
  </w:footnote>
  <w:footnote w:id="19">
    <w:p w14:paraId="25B37A25" w14:textId="053F08AF" w:rsidR="00BF73B9" w:rsidRPr="00BF73B9" w:rsidRDefault="00BF73B9" w:rsidP="00BF73B9">
      <w:pPr>
        <w:pStyle w:val="Notedebasdepage"/>
      </w:pPr>
      <w:r>
        <w:rPr>
          <w:rStyle w:val="Appelnotedebasdep"/>
        </w:rPr>
        <w:footnoteRef/>
      </w:r>
      <w:r w:rsidRPr="00BF73B9">
        <w:t xml:space="preserve"> </w:t>
      </w:r>
      <w:r w:rsidRPr="00BF73B9">
        <w:tab/>
      </w:r>
      <w:r w:rsidRPr="00BF73B9">
        <w:rPr>
          <w:i/>
        </w:rPr>
        <w:t>I</w:t>
      </w:r>
      <w:r w:rsidR="00C644D7">
        <w:rPr>
          <w:i/>
        </w:rPr>
        <w:t>bi</w:t>
      </w:r>
      <w:r w:rsidRPr="00BF73B9">
        <w:rPr>
          <w:i/>
        </w:rPr>
        <w:t>d.</w:t>
      </w:r>
      <w:r w:rsidRPr="00BF73B9">
        <w:t xml:space="preserve"> at para. 40.</w:t>
      </w:r>
    </w:p>
  </w:footnote>
  <w:footnote w:id="20">
    <w:p w14:paraId="7161A8D1" w14:textId="3550A612" w:rsidR="00BF73B9" w:rsidRPr="00BF73B9" w:rsidRDefault="00BF73B9" w:rsidP="00BF73B9">
      <w:pPr>
        <w:pStyle w:val="Notedebasdepage"/>
      </w:pPr>
      <w:r>
        <w:rPr>
          <w:rStyle w:val="Appelnotedebasdep"/>
        </w:rPr>
        <w:footnoteRef/>
      </w:r>
      <w:r w:rsidRPr="00BF73B9">
        <w:t xml:space="preserve"> </w:t>
      </w:r>
      <w:r w:rsidRPr="00BF73B9">
        <w:tab/>
      </w:r>
      <w:proofErr w:type="spellStart"/>
      <w:r w:rsidRPr="00BF73B9">
        <w:rPr>
          <w:i/>
        </w:rPr>
        <w:t>Nahanee</w:t>
      </w:r>
      <w:proofErr w:type="spellEnd"/>
      <w:r w:rsidRPr="00BF73B9">
        <w:t xml:space="preserve">, </w:t>
      </w:r>
      <w:r w:rsidRPr="00BF73B9">
        <w:rPr>
          <w:i/>
        </w:rPr>
        <w:t>supra</w:t>
      </w:r>
      <w:r w:rsidRPr="00BF73B9">
        <w:t xml:space="preserve"> </w:t>
      </w:r>
      <w:r w:rsidR="00C644D7">
        <w:t>n</w:t>
      </w:r>
      <w:r w:rsidRPr="00BF73B9">
        <w:t>ote</w:t>
      </w:r>
      <w:r w:rsidR="00F169E2">
        <w:t xml:space="preserve"> 17</w:t>
      </w:r>
      <w:r w:rsidRPr="00BF73B9">
        <w:t xml:space="preserve"> at para. 26.</w:t>
      </w:r>
    </w:p>
  </w:footnote>
  <w:footnote w:id="21">
    <w:p w14:paraId="4A964FCA" w14:textId="71FFD4FB" w:rsidR="00BF73B9" w:rsidRPr="00392FE1" w:rsidRDefault="00BF73B9" w:rsidP="00BF73B9">
      <w:pPr>
        <w:pStyle w:val="Notedebasdepage"/>
      </w:pPr>
      <w:r>
        <w:rPr>
          <w:rStyle w:val="Appelnotedebasdep"/>
        </w:rPr>
        <w:footnoteRef/>
      </w:r>
      <w:r w:rsidRPr="00BF73B9">
        <w:t xml:space="preserve"> </w:t>
      </w:r>
      <w:r w:rsidRPr="00BF73B9">
        <w:tab/>
      </w:r>
      <w:r w:rsidRPr="00BF73B9">
        <w:rPr>
          <w:i/>
        </w:rPr>
        <w:t>I</w:t>
      </w:r>
      <w:r w:rsidR="00C644D7">
        <w:rPr>
          <w:i/>
        </w:rPr>
        <w:t>bi</w:t>
      </w:r>
      <w:r w:rsidRPr="00BF73B9">
        <w:rPr>
          <w:i/>
        </w:rPr>
        <w:t>d.</w:t>
      </w:r>
      <w:r w:rsidRPr="00BF73B9">
        <w:t xml:space="preserve"> at para. </w:t>
      </w:r>
      <w:r w:rsidRPr="00392FE1">
        <w:t>30.</w:t>
      </w:r>
    </w:p>
  </w:footnote>
  <w:footnote w:id="22">
    <w:p w14:paraId="037FC796" w14:textId="77777777" w:rsidR="00BF73B9" w:rsidRPr="00392FE1" w:rsidRDefault="00BF73B9" w:rsidP="00BF73B9">
      <w:pPr>
        <w:pStyle w:val="Notedebasdepage"/>
      </w:pPr>
      <w:r>
        <w:rPr>
          <w:rStyle w:val="Appelnotedebasdep"/>
        </w:rPr>
        <w:footnoteRef/>
      </w:r>
      <w:r w:rsidRPr="00392FE1">
        <w:t xml:space="preserve"> </w:t>
      </w:r>
      <w:r w:rsidRPr="00392FE1">
        <w:tab/>
      </w:r>
      <w:r w:rsidRPr="00392FE1">
        <w:rPr>
          <w:i/>
        </w:rPr>
        <w:t xml:space="preserve">R. </w:t>
      </w:r>
      <w:r w:rsidRPr="00392FE1">
        <w:rPr>
          <w:iCs/>
        </w:rPr>
        <w:t>c.</w:t>
      </w:r>
      <w:r w:rsidRPr="00392FE1">
        <w:rPr>
          <w:i/>
        </w:rPr>
        <w:t xml:space="preserve"> </w:t>
      </w:r>
      <w:proofErr w:type="spellStart"/>
      <w:r w:rsidRPr="00392FE1">
        <w:rPr>
          <w:i/>
        </w:rPr>
        <w:t>Primeau</w:t>
      </w:r>
      <w:proofErr w:type="spellEnd"/>
      <w:r w:rsidRPr="00392FE1">
        <w:t xml:space="preserve">, 2021 QCCA 1768; </w:t>
      </w:r>
      <w:proofErr w:type="spellStart"/>
      <w:r w:rsidRPr="00392FE1">
        <w:rPr>
          <w:i/>
        </w:rPr>
        <w:t>Séguin</w:t>
      </w:r>
      <w:proofErr w:type="spellEnd"/>
      <w:r w:rsidRPr="00392FE1">
        <w:rPr>
          <w:i/>
        </w:rPr>
        <w:t xml:space="preserve"> c. R.</w:t>
      </w:r>
      <w:r w:rsidRPr="00392FE1">
        <w:t xml:space="preserve">, 2021 QCCA 195; </w:t>
      </w:r>
      <w:r w:rsidRPr="00392FE1">
        <w:rPr>
          <w:i/>
        </w:rPr>
        <w:t>R. c</w:t>
      </w:r>
      <w:r w:rsidRPr="00392FE1">
        <w:rPr>
          <w:iCs/>
        </w:rPr>
        <w:t>.</w:t>
      </w:r>
      <w:r w:rsidRPr="00392FE1">
        <w:rPr>
          <w:i/>
        </w:rPr>
        <w:t xml:space="preserve"> Binet</w:t>
      </w:r>
      <w:r w:rsidRPr="00392FE1">
        <w:t>, 2019 QCCA 669.</w:t>
      </w:r>
    </w:p>
  </w:footnote>
  <w:footnote w:id="23">
    <w:p w14:paraId="581878BE" w14:textId="0B81D80F" w:rsidR="00BF73B9" w:rsidRPr="00BF73B9" w:rsidRDefault="00BF73B9" w:rsidP="00BF73B9">
      <w:pPr>
        <w:pStyle w:val="Notedebasdepage"/>
      </w:pPr>
      <w:r>
        <w:rPr>
          <w:rStyle w:val="Appelnotedebasdep"/>
        </w:rPr>
        <w:footnoteRef/>
      </w:r>
      <w:r w:rsidRPr="00BF73B9">
        <w:t xml:space="preserve"> </w:t>
      </w:r>
      <w:r w:rsidRPr="00BF73B9">
        <w:tab/>
      </w:r>
      <w:r w:rsidRPr="00BF73B9">
        <w:rPr>
          <w:i/>
        </w:rPr>
        <w:t>Anthony-Cook</w:t>
      </w:r>
      <w:r w:rsidRPr="00BF73B9">
        <w:t xml:space="preserve">, </w:t>
      </w:r>
      <w:r w:rsidRPr="00BF73B9">
        <w:rPr>
          <w:i/>
          <w:iCs/>
        </w:rPr>
        <w:t>supra</w:t>
      </w:r>
      <w:r w:rsidR="00B61C2A">
        <w:t xml:space="preserve"> n</w:t>
      </w:r>
      <w:r w:rsidRPr="00BF73B9">
        <w:t>ote</w:t>
      </w:r>
      <w:r w:rsidR="00B53C55">
        <w:t xml:space="preserve"> 16</w:t>
      </w:r>
      <w:r w:rsidRPr="00BF73B9">
        <w:t xml:space="preserve"> at para. 3.</w:t>
      </w:r>
    </w:p>
  </w:footnote>
  <w:footnote w:id="24">
    <w:p w14:paraId="3DDCF427" w14:textId="57086E73" w:rsidR="00BF73B9" w:rsidRPr="00BF73B9" w:rsidRDefault="00BF73B9" w:rsidP="00BF73B9">
      <w:pPr>
        <w:pStyle w:val="Notedebasdepage"/>
      </w:pPr>
      <w:r>
        <w:rPr>
          <w:rStyle w:val="Appelnotedebasdep"/>
        </w:rPr>
        <w:footnoteRef/>
      </w:r>
      <w:r w:rsidRPr="00D14662">
        <w:t xml:space="preserve"> </w:t>
      </w:r>
      <w:r w:rsidRPr="00D14662">
        <w:tab/>
      </w:r>
      <w:proofErr w:type="spellStart"/>
      <w:r w:rsidRPr="00D14662">
        <w:rPr>
          <w:i/>
        </w:rPr>
        <w:t>Nahanee</w:t>
      </w:r>
      <w:proofErr w:type="spellEnd"/>
      <w:r w:rsidRPr="00D14662">
        <w:t xml:space="preserve">, </w:t>
      </w:r>
      <w:r w:rsidRPr="00D14662">
        <w:rPr>
          <w:i/>
        </w:rPr>
        <w:t>supra</w:t>
      </w:r>
      <w:r w:rsidR="00B61C2A" w:rsidRPr="00D14662">
        <w:t xml:space="preserve"> n</w:t>
      </w:r>
      <w:r w:rsidRPr="00D14662">
        <w:t>ote</w:t>
      </w:r>
      <w:r w:rsidR="00B53C55" w:rsidRPr="00D14662">
        <w:t xml:space="preserve"> 17</w:t>
      </w:r>
      <w:r w:rsidR="00D14662" w:rsidRPr="00D14662">
        <w:t xml:space="preserve"> a</w:t>
      </w:r>
      <w:r w:rsidRPr="00D14662">
        <w:t xml:space="preserve">t para. </w:t>
      </w:r>
      <w:r w:rsidRPr="00BF73B9">
        <w:t>1.</w:t>
      </w:r>
    </w:p>
  </w:footnote>
  <w:footnote w:id="25">
    <w:p w14:paraId="608F61EB" w14:textId="72A295D6" w:rsidR="00BF73B9" w:rsidRPr="00BF73B9" w:rsidRDefault="00BF73B9" w:rsidP="00BF73B9">
      <w:pPr>
        <w:pStyle w:val="Notedebasdepage"/>
      </w:pPr>
      <w:r>
        <w:rPr>
          <w:rStyle w:val="Appelnotedebasdep"/>
        </w:rPr>
        <w:footnoteRef/>
      </w:r>
      <w:r w:rsidRPr="00BF73B9">
        <w:t xml:space="preserve"> </w:t>
      </w:r>
      <w:r w:rsidRPr="00BF73B9">
        <w:tab/>
      </w:r>
      <w:r w:rsidRPr="00BF73B9">
        <w:rPr>
          <w:i/>
          <w:iCs/>
        </w:rPr>
        <w:t>I</w:t>
      </w:r>
      <w:r w:rsidR="00B61C2A">
        <w:rPr>
          <w:i/>
          <w:iCs/>
        </w:rPr>
        <w:t>bi</w:t>
      </w:r>
      <w:r w:rsidRPr="00BF73B9">
        <w:rPr>
          <w:i/>
          <w:iCs/>
        </w:rPr>
        <w:t>d.</w:t>
      </w:r>
      <w:r w:rsidRPr="00BF73B9">
        <w:t xml:space="preserve"> at para. 30.</w:t>
      </w:r>
    </w:p>
  </w:footnote>
  <w:footnote w:id="26">
    <w:p w14:paraId="77AC67D5" w14:textId="5CD5C114" w:rsidR="00BF73B9" w:rsidRPr="00BF73B9" w:rsidRDefault="00BF73B9" w:rsidP="00BF73B9">
      <w:pPr>
        <w:pStyle w:val="Notedebasdepage"/>
      </w:pPr>
      <w:r>
        <w:rPr>
          <w:rStyle w:val="Appelnotedebasdep"/>
        </w:rPr>
        <w:footnoteRef/>
      </w:r>
      <w:r w:rsidRPr="00BF73B9">
        <w:t xml:space="preserve"> </w:t>
      </w:r>
      <w:r w:rsidRPr="00BF73B9">
        <w:tab/>
        <w:t>Judgment under appeal at para</w:t>
      </w:r>
      <w:r w:rsidR="00B53C55">
        <w:t>s</w:t>
      </w:r>
      <w:r w:rsidRPr="00BF73B9">
        <w:t>. 47</w:t>
      </w:r>
      <w:r w:rsidR="00B61C2A">
        <w:t>–</w:t>
      </w:r>
      <w:r w:rsidRPr="00BF73B9">
        <w:t>51.</w:t>
      </w:r>
    </w:p>
  </w:footnote>
  <w:footnote w:id="27">
    <w:p w14:paraId="2C185310" w14:textId="0F5D1534" w:rsidR="00BF73B9" w:rsidRPr="00BF73B9" w:rsidRDefault="00BF73B9" w:rsidP="00BF73B9">
      <w:pPr>
        <w:pStyle w:val="Notedebasdepage"/>
      </w:pPr>
      <w:r>
        <w:rPr>
          <w:rStyle w:val="Appelnotedebasdep"/>
        </w:rPr>
        <w:footnoteRef/>
      </w:r>
      <w:r w:rsidRPr="00BF73B9">
        <w:t xml:space="preserve"> </w:t>
      </w:r>
      <w:r w:rsidRPr="00BF73B9">
        <w:tab/>
      </w:r>
      <w:r w:rsidRPr="00BF73B9">
        <w:rPr>
          <w:i/>
          <w:iCs/>
        </w:rPr>
        <w:t>I</w:t>
      </w:r>
      <w:r w:rsidR="00B338A6">
        <w:rPr>
          <w:i/>
          <w:iCs/>
        </w:rPr>
        <w:t>bi</w:t>
      </w:r>
      <w:r w:rsidRPr="00BF73B9">
        <w:rPr>
          <w:i/>
          <w:iCs/>
        </w:rPr>
        <w:t>d.</w:t>
      </w:r>
      <w:r w:rsidRPr="00BF73B9">
        <w:t xml:space="preserve"> at para. 72.</w:t>
      </w:r>
    </w:p>
  </w:footnote>
  <w:footnote w:id="28">
    <w:p w14:paraId="3C3749E1" w14:textId="010325D0" w:rsidR="00BF73B9" w:rsidRPr="00392FE1" w:rsidRDefault="00BF73B9" w:rsidP="00BF73B9">
      <w:pPr>
        <w:pStyle w:val="Notedebasdepage"/>
        <w:rPr>
          <w:lang w:val="fr-CA"/>
        </w:rPr>
      </w:pPr>
      <w:r>
        <w:rPr>
          <w:rStyle w:val="Appelnotedebasdep"/>
        </w:rPr>
        <w:footnoteRef/>
      </w:r>
      <w:r w:rsidRPr="00BF73B9">
        <w:t xml:space="preserve"> </w:t>
      </w:r>
      <w:r w:rsidRPr="00BF73B9">
        <w:tab/>
      </w:r>
      <w:r w:rsidRPr="00BF73B9">
        <w:rPr>
          <w:i/>
          <w:iCs/>
        </w:rPr>
        <w:t>I</w:t>
      </w:r>
      <w:r w:rsidR="00B338A6">
        <w:rPr>
          <w:i/>
          <w:iCs/>
        </w:rPr>
        <w:t>bi</w:t>
      </w:r>
      <w:r w:rsidRPr="00BF73B9">
        <w:rPr>
          <w:i/>
          <w:iCs/>
        </w:rPr>
        <w:t>d.</w:t>
      </w:r>
      <w:r w:rsidRPr="00BF73B9">
        <w:t xml:space="preserve"> at para. </w:t>
      </w:r>
      <w:r w:rsidRPr="00392FE1">
        <w:rPr>
          <w:lang w:val="fr-CA"/>
        </w:rPr>
        <w:t>80.</w:t>
      </w:r>
    </w:p>
  </w:footnote>
  <w:footnote w:id="29">
    <w:p w14:paraId="301A1801" w14:textId="70CE5FB2" w:rsidR="00BF73B9" w:rsidRPr="00BF73B9" w:rsidRDefault="00BF73B9" w:rsidP="00BF73B9">
      <w:pPr>
        <w:pStyle w:val="Notedebasdepage"/>
        <w:ind w:left="357" w:hanging="357"/>
      </w:pPr>
      <w:r>
        <w:rPr>
          <w:rStyle w:val="Appelnotedebasdep"/>
        </w:rPr>
        <w:footnoteRef/>
      </w:r>
      <w:r w:rsidRPr="00392FE1">
        <w:rPr>
          <w:lang w:val="fr-CA"/>
        </w:rPr>
        <w:t xml:space="preserve"> </w:t>
      </w:r>
      <w:r w:rsidRPr="00392FE1">
        <w:rPr>
          <w:lang w:val="fr-CA"/>
        </w:rPr>
        <w:tab/>
      </w:r>
      <w:r w:rsidRPr="00392FE1">
        <w:rPr>
          <w:i/>
          <w:lang w:val="fr-CA"/>
        </w:rPr>
        <w:t>Séguin c. R.</w:t>
      </w:r>
      <w:r w:rsidRPr="00392FE1">
        <w:rPr>
          <w:lang w:val="fr-CA"/>
        </w:rPr>
        <w:t xml:space="preserve">, 2021 QCCA 195 at para. </w:t>
      </w:r>
      <w:r w:rsidRPr="00BF73B9">
        <w:t>24.</w:t>
      </w:r>
    </w:p>
  </w:footnote>
  <w:footnote w:id="30">
    <w:p w14:paraId="74179AFA" w14:textId="383A2647" w:rsidR="00BF73B9" w:rsidRPr="00BF73B9" w:rsidRDefault="00BF73B9" w:rsidP="00BF73B9">
      <w:pPr>
        <w:pStyle w:val="Notedebasdepage"/>
      </w:pPr>
      <w:r>
        <w:rPr>
          <w:rStyle w:val="Appelnotedebasdep"/>
        </w:rPr>
        <w:footnoteRef/>
      </w:r>
      <w:r w:rsidRPr="00BF73B9">
        <w:t xml:space="preserve"> </w:t>
      </w:r>
      <w:r w:rsidRPr="00BF73B9">
        <w:tab/>
        <w:t>Judgment under appeal at para. 81.</w:t>
      </w:r>
    </w:p>
  </w:footnote>
  <w:footnote w:id="31">
    <w:p w14:paraId="48A16700" w14:textId="5AA09523" w:rsidR="00BF73B9" w:rsidRPr="00BF73B9" w:rsidRDefault="00BF73B9" w:rsidP="00BF73B9">
      <w:pPr>
        <w:pStyle w:val="Notedebasdepage"/>
      </w:pPr>
      <w:r>
        <w:rPr>
          <w:rStyle w:val="Appelnotedebasdep"/>
        </w:rPr>
        <w:footnoteRef/>
      </w:r>
      <w:r w:rsidRPr="00BF73B9">
        <w:t xml:space="preserve"> </w:t>
      </w:r>
      <w:r w:rsidRPr="00BF73B9">
        <w:tab/>
      </w:r>
      <w:r w:rsidRPr="00BF73B9">
        <w:rPr>
          <w:i/>
        </w:rPr>
        <w:t>Anthony-Cook</w:t>
      </w:r>
      <w:r w:rsidRPr="00BF73B9">
        <w:t xml:space="preserve">, </w:t>
      </w:r>
      <w:r w:rsidRPr="00BF73B9">
        <w:rPr>
          <w:i/>
          <w:iCs/>
        </w:rPr>
        <w:t>supra</w:t>
      </w:r>
      <w:r w:rsidR="00D213FD">
        <w:t xml:space="preserve"> n</w:t>
      </w:r>
      <w:r w:rsidRPr="00BF73B9">
        <w:t>ote</w:t>
      </w:r>
      <w:r w:rsidR="000B72EE">
        <w:t xml:space="preserve"> 16</w:t>
      </w:r>
      <w:r w:rsidRPr="00BF73B9">
        <w:t xml:space="preserve"> at para. 47; </w:t>
      </w:r>
      <w:proofErr w:type="spellStart"/>
      <w:r w:rsidRPr="00BF73B9">
        <w:rPr>
          <w:i/>
        </w:rPr>
        <w:t>Nahanee</w:t>
      </w:r>
      <w:proofErr w:type="spellEnd"/>
      <w:r w:rsidRPr="00BF73B9">
        <w:t xml:space="preserve">, </w:t>
      </w:r>
      <w:r w:rsidRPr="00BF73B9">
        <w:rPr>
          <w:i/>
        </w:rPr>
        <w:t>supra</w:t>
      </w:r>
      <w:r w:rsidR="00D213FD">
        <w:t xml:space="preserve"> n</w:t>
      </w:r>
      <w:r w:rsidRPr="00BF73B9">
        <w:t>ote</w:t>
      </w:r>
      <w:r w:rsidR="000B72EE">
        <w:t xml:space="preserve"> 17</w:t>
      </w:r>
      <w:r w:rsidRPr="00BF73B9">
        <w:t xml:space="preserve"> at para. 30.</w:t>
      </w:r>
    </w:p>
  </w:footnote>
  <w:footnote w:id="32">
    <w:p w14:paraId="72F94057" w14:textId="024683A8" w:rsidR="00BF73B9" w:rsidRPr="00B90201" w:rsidRDefault="00BF73B9" w:rsidP="00BF73B9">
      <w:pPr>
        <w:pStyle w:val="Notedebasdepage"/>
      </w:pPr>
      <w:r>
        <w:rPr>
          <w:rStyle w:val="Appelnotedebasdep"/>
        </w:rPr>
        <w:footnoteRef/>
      </w:r>
      <w:r w:rsidRPr="00BF73B9">
        <w:t xml:space="preserve"> </w:t>
      </w:r>
      <w:r w:rsidRPr="00BF73B9">
        <w:tab/>
      </w:r>
      <w:r w:rsidRPr="00BF73B9">
        <w:rPr>
          <w:i/>
        </w:rPr>
        <w:t>Anthony-Cook</w:t>
      </w:r>
      <w:r w:rsidRPr="00BF73B9">
        <w:t xml:space="preserve">, </w:t>
      </w:r>
      <w:r w:rsidRPr="00BF73B9">
        <w:rPr>
          <w:i/>
          <w:iCs/>
        </w:rPr>
        <w:t>supra</w:t>
      </w:r>
      <w:r w:rsidR="00D213FD">
        <w:t xml:space="preserve"> n</w:t>
      </w:r>
      <w:r w:rsidRPr="00BF73B9">
        <w:t>ote</w:t>
      </w:r>
      <w:r w:rsidR="000B72EE">
        <w:t xml:space="preserve"> 16</w:t>
      </w:r>
      <w:r w:rsidRPr="00BF73B9">
        <w:t xml:space="preserve"> at para. </w:t>
      </w:r>
      <w:r w:rsidRPr="00B90201">
        <w:t>5.</w:t>
      </w:r>
    </w:p>
  </w:footnote>
  <w:footnote w:id="33">
    <w:p w14:paraId="2A1A343E" w14:textId="763F49FF" w:rsidR="00B90201" w:rsidRPr="00B90201" w:rsidRDefault="00B90201" w:rsidP="00B90201">
      <w:pPr>
        <w:pStyle w:val="Notedebasdepage"/>
      </w:pPr>
      <w:r>
        <w:rPr>
          <w:rStyle w:val="Appelnotedebasdep"/>
        </w:rPr>
        <w:footnoteRef/>
      </w:r>
      <w:r w:rsidRPr="00B90201">
        <w:t xml:space="preserve"> </w:t>
      </w:r>
      <w:r w:rsidRPr="00B90201">
        <w:tab/>
        <w:t xml:space="preserve">See, on this subject: </w:t>
      </w:r>
      <w:r w:rsidRPr="00B90201">
        <w:rPr>
          <w:i/>
          <w:iCs/>
        </w:rPr>
        <w:t>Montour</w:t>
      </w:r>
      <w:r w:rsidRPr="00B90201">
        <w:t xml:space="preserve"> </w:t>
      </w:r>
      <w:r w:rsidRPr="001335CE">
        <w:rPr>
          <w:i/>
          <w:iCs/>
        </w:rPr>
        <w:t xml:space="preserve">c. </w:t>
      </w:r>
      <w:r w:rsidRPr="00B90201">
        <w:rPr>
          <w:i/>
          <w:iCs/>
        </w:rPr>
        <w:t>R.</w:t>
      </w:r>
      <w:r w:rsidRPr="00B90201">
        <w:t>, 2020 QCCA 1648 at paras. 72</w:t>
      </w:r>
      <w:r w:rsidR="00764961">
        <w:t>–</w:t>
      </w:r>
      <w:r w:rsidRPr="00B90201">
        <w:t xml:space="preserve">73; </w:t>
      </w:r>
      <w:r w:rsidRPr="00B90201">
        <w:rPr>
          <w:i/>
          <w:iCs/>
        </w:rPr>
        <w:t>R.</w:t>
      </w:r>
      <w:r w:rsidRPr="00B90201">
        <w:t xml:space="preserve"> </w:t>
      </w:r>
      <w:r w:rsidRPr="001335CE">
        <w:rPr>
          <w:i/>
          <w:iCs/>
        </w:rPr>
        <w:t>c.</w:t>
      </w:r>
      <w:r w:rsidRPr="00B90201">
        <w:t xml:space="preserve"> </w:t>
      </w:r>
      <w:r w:rsidRPr="00B90201">
        <w:rPr>
          <w:i/>
          <w:iCs/>
        </w:rPr>
        <w:t>Dubé</w:t>
      </w:r>
      <w:r w:rsidRPr="00B90201">
        <w:t>, 2021 QCCA 1143 at paras. 36 and 52</w:t>
      </w:r>
      <w:r w:rsidR="00764961">
        <w:t>–</w:t>
      </w:r>
      <w:r w:rsidRPr="00B90201">
        <w:t xml:space="preserve">53; </w:t>
      </w:r>
      <w:r w:rsidRPr="00B90201">
        <w:rPr>
          <w:i/>
          <w:iCs/>
        </w:rPr>
        <w:t>Vera Camacho</w:t>
      </w:r>
      <w:r w:rsidRPr="00B90201">
        <w:t xml:space="preserve"> </w:t>
      </w:r>
      <w:r w:rsidRPr="001335CE">
        <w:rPr>
          <w:i/>
          <w:iCs/>
        </w:rPr>
        <w:t>c.</w:t>
      </w:r>
      <w:r w:rsidRPr="00B90201">
        <w:t xml:space="preserve"> </w:t>
      </w:r>
      <w:r w:rsidRPr="00B90201">
        <w:rPr>
          <w:i/>
          <w:iCs/>
        </w:rPr>
        <w:t>R.</w:t>
      </w:r>
      <w:r w:rsidRPr="00B90201">
        <w:t>, 2021 QCCA 683, at paras. 25</w:t>
      </w:r>
      <w:r w:rsidR="00764961">
        <w:t>–</w:t>
      </w:r>
      <w:r w:rsidRPr="00B90201">
        <w:t>26 and 31</w:t>
      </w:r>
      <w:r w:rsidR="00764961">
        <w:t>–</w:t>
      </w:r>
      <w:r w:rsidRPr="00B90201">
        <w:t>32.</w:t>
      </w:r>
    </w:p>
  </w:footnote>
  <w:footnote w:id="34">
    <w:p w14:paraId="4A5301FE" w14:textId="7506A86E" w:rsidR="00B90201" w:rsidRPr="00B90201" w:rsidRDefault="00B90201" w:rsidP="00B90201">
      <w:pPr>
        <w:pStyle w:val="Notedebasdepage"/>
      </w:pPr>
      <w:r>
        <w:rPr>
          <w:rStyle w:val="Appelnotedebasdep"/>
        </w:rPr>
        <w:footnoteRef/>
      </w:r>
      <w:r w:rsidRPr="00B90201">
        <w:t xml:space="preserve"> </w:t>
      </w:r>
      <w:r w:rsidRPr="00B90201">
        <w:tab/>
        <w:t>Judgment under appeal at para. 80.</w:t>
      </w:r>
    </w:p>
  </w:footnote>
  <w:footnote w:id="35">
    <w:p w14:paraId="6D805472" w14:textId="1B787A46" w:rsidR="00B90201" w:rsidRPr="00B90201" w:rsidRDefault="00B90201" w:rsidP="00B90201">
      <w:pPr>
        <w:pStyle w:val="Notedebasdepage"/>
      </w:pPr>
      <w:r>
        <w:rPr>
          <w:rStyle w:val="Appelnotedebasdep"/>
        </w:rPr>
        <w:footnoteRef/>
      </w:r>
      <w:r w:rsidRPr="00B90201">
        <w:t xml:space="preserve"> </w:t>
      </w:r>
      <w:r w:rsidRPr="00B90201">
        <w:tab/>
      </w:r>
      <w:r w:rsidRPr="00B90201">
        <w:rPr>
          <w:i/>
          <w:iCs/>
        </w:rPr>
        <w:t>I</w:t>
      </w:r>
      <w:r w:rsidR="00764961">
        <w:rPr>
          <w:i/>
          <w:iCs/>
        </w:rPr>
        <w:t>bi</w:t>
      </w:r>
      <w:r w:rsidRPr="00B90201">
        <w:rPr>
          <w:i/>
          <w:iCs/>
        </w:rPr>
        <w:t>d.</w:t>
      </w:r>
      <w:r w:rsidRPr="00B90201">
        <w:t xml:space="preserve"> at paras. 12 and 80.</w:t>
      </w:r>
    </w:p>
  </w:footnote>
  <w:footnote w:id="36">
    <w:p w14:paraId="3FB02C0B" w14:textId="0C4B3559" w:rsidR="008E1FBE" w:rsidRPr="00664F47" w:rsidRDefault="008E1FBE" w:rsidP="00806062">
      <w:pPr>
        <w:pStyle w:val="Notedebasdepage"/>
      </w:pPr>
      <w:r w:rsidRPr="00D06C37">
        <w:rPr>
          <w:rStyle w:val="Appelnotedebasdep"/>
          <w:lang w:val="en-CA"/>
        </w:rPr>
        <w:footnoteRef/>
      </w:r>
      <w:r w:rsidRPr="00664F47">
        <w:t xml:space="preserve"> </w:t>
      </w:r>
      <w:r w:rsidRPr="00664F47">
        <w:tab/>
      </w:r>
      <w:r w:rsidR="00664F47" w:rsidRPr="00664F47">
        <w:t>Hearing of November 12, 2020</w:t>
      </w:r>
      <w:r w:rsidRPr="00664F47">
        <w:t>.</w:t>
      </w:r>
    </w:p>
  </w:footnote>
  <w:footnote w:id="37">
    <w:p w14:paraId="64967C0F" w14:textId="77F7A213" w:rsidR="008E1FBE" w:rsidRPr="00D06C37" w:rsidRDefault="008E1FBE" w:rsidP="00806062">
      <w:pPr>
        <w:pStyle w:val="Notedebasdepage"/>
      </w:pPr>
      <w:r w:rsidRPr="00D06C37">
        <w:rPr>
          <w:rStyle w:val="Appelnotedebasdep"/>
          <w:lang w:val="en-CA"/>
        </w:rPr>
        <w:footnoteRef/>
      </w:r>
      <w:r w:rsidRPr="00D06C37">
        <w:t xml:space="preserve"> </w:t>
      </w:r>
      <w:r w:rsidRPr="00D06C37">
        <w:tab/>
      </w:r>
      <w:r w:rsidR="00664F47" w:rsidRPr="00664F47">
        <w:t xml:space="preserve">Judgment under appeal at para. </w:t>
      </w:r>
      <w:r w:rsidR="00664F47" w:rsidRPr="00F12FD5">
        <w:t>80</w:t>
      </w:r>
      <w:r w:rsidRPr="00D06C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A752" w14:textId="63F19D1D" w:rsidR="008E1FBE" w:rsidRDefault="008E1FBE" w:rsidP="0010369B">
    <w:pPr>
      <w:tabs>
        <w:tab w:val="center" w:pos="4709"/>
        <w:tab w:val="right" w:pos="9360"/>
      </w:tabs>
      <w:spacing w:after="240" w:line="360" w:lineRule="auto"/>
      <w:ind w:right="524"/>
    </w:pPr>
    <w:r>
      <w:t>500-10-007465-204</w:t>
    </w:r>
    <w:r w:rsidRPr="007462D6">
      <w:t xml:space="preserve"> </w:t>
    </w:r>
    <w:r>
      <w:tab/>
    </w:r>
    <w:r>
      <w:tab/>
      <w:t xml:space="preserve">PAGE: </w:t>
    </w: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FBB5" w14:textId="71BF1AE7" w:rsidR="008E1FBE" w:rsidRDefault="008E1FBE" w:rsidP="0010369B">
    <w:pPr>
      <w:tabs>
        <w:tab w:val="center" w:pos="4709"/>
        <w:tab w:val="right" w:pos="9360"/>
      </w:tabs>
      <w:spacing w:after="240" w:line="360" w:lineRule="auto"/>
      <w:ind w:right="524"/>
    </w:pPr>
    <w:bookmarkStart w:id="48" w:name="EntDossier"/>
    <w:r>
      <w:t>500-10-007465-204</w:t>
    </w:r>
    <w:bookmarkEnd w:id="48"/>
    <w:r w:rsidRPr="007462D6">
      <w:t xml:space="preserve"> </w:t>
    </w:r>
    <w:r>
      <w:tab/>
    </w:r>
    <w:r>
      <w:tab/>
      <w:t xml:space="preserve">PAGE: </w:t>
    </w:r>
    <w:r>
      <w:fldChar w:fldCharType="begin"/>
    </w:r>
    <w:r>
      <w:instrText xml:space="preserve"> PAGE </w:instrText>
    </w:r>
    <w:r>
      <w:fldChar w:fldCharType="separate"/>
    </w:r>
    <w:r>
      <w:rPr>
        <w:noProof/>
      </w:rPr>
      <w:t>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621CC"/>
    <w:multiLevelType w:val="hybridMultilevel"/>
    <w:tmpl w:val="0E94C2D8"/>
    <w:lvl w:ilvl="0" w:tplc="8C18EF3C">
      <w:start w:val="1"/>
      <w:numFmt w:val="upperLetter"/>
      <w:pStyle w:val="Partie2Question"/>
      <w:lvlText w:val="%1."/>
      <w:lvlJc w:val="left"/>
      <w:pPr>
        <w:ind w:left="720" w:hanging="360"/>
      </w:pPr>
      <w:rPr>
        <w:rFonts w:hint="default"/>
        <w:b w:val="0"/>
        <w:bCs/>
      </w:rPr>
    </w:lvl>
    <w:lvl w:ilvl="1" w:tplc="0C0C0019" w:tentative="1">
      <w:start w:val="1"/>
      <w:numFmt w:val="lowerLetter"/>
      <w:lvlText w:val="%2."/>
      <w:lvlJc w:val="left"/>
      <w:pPr>
        <w:ind w:left="1440" w:hanging="360"/>
      </w:pPr>
    </w:lvl>
    <w:lvl w:ilvl="2" w:tplc="6EE4A0E0">
      <w:start w:val="1"/>
      <w:numFmt w:val="lowerRoman"/>
      <w:pStyle w:val="Partie2SousQuestions"/>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7156195"/>
    <w:multiLevelType w:val="hybridMultilevel"/>
    <w:tmpl w:val="5B66DFB6"/>
    <w:lvl w:ilvl="0" w:tplc="BEE4BB0C">
      <w:numFmt w:val="bullet"/>
      <w:lvlText w:val="•"/>
      <w:lvlJc w:val="left"/>
      <w:pPr>
        <w:ind w:left="1800" w:hanging="360"/>
      </w:pPr>
      <w:rPr>
        <w:rFonts w:ascii="Arial" w:eastAsia="Times New Roman"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2" w15:restartNumberingAfterBreak="0">
    <w:nsid w:val="09DC744F"/>
    <w:multiLevelType w:val="hybridMultilevel"/>
    <w:tmpl w:val="F0C083E2"/>
    <w:lvl w:ilvl="0" w:tplc="B0D4308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600" w:hanging="360"/>
      </w:pPr>
      <w:rPr>
        <w:rFonts w:ascii="Courier New" w:hAnsi="Courier New" w:cs="Courier New" w:hint="default"/>
      </w:rPr>
    </w:lvl>
    <w:lvl w:ilvl="2" w:tplc="0C0C0005" w:tentative="1">
      <w:start w:val="1"/>
      <w:numFmt w:val="bullet"/>
      <w:lvlText w:val=""/>
      <w:lvlJc w:val="left"/>
      <w:pPr>
        <w:ind w:left="1320" w:hanging="360"/>
      </w:pPr>
      <w:rPr>
        <w:rFonts w:ascii="Wingdings" w:hAnsi="Wingdings" w:hint="default"/>
      </w:rPr>
    </w:lvl>
    <w:lvl w:ilvl="3" w:tplc="0C0C0001" w:tentative="1">
      <w:start w:val="1"/>
      <w:numFmt w:val="bullet"/>
      <w:lvlText w:val=""/>
      <w:lvlJc w:val="left"/>
      <w:pPr>
        <w:ind w:left="2040" w:hanging="360"/>
      </w:pPr>
      <w:rPr>
        <w:rFonts w:ascii="Symbol" w:hAnsi="Symbol" w:hint="default"/>
      </w:rPr>
    </w:lvl>
    <w:lvl w:ilvl="4" w:tplc="0C0C0003" w:tentative="1">
      <w:start w:val="1"/>
      <w:numFmt w:val="bullet"/>
      <w:lvlText w:val="o"/>
      <w:lvlJc w:val="left"/>
      <w:pPr>
        <w:ind w:left="2760" w:hanging="360"/>
      </w:pPr>
      <w:rPr>
        <w:rFonts w:ascii="Courier New" w:hAnsi="Courier New" w:cs="Courier New" w:hint="default"/>
      </w:rPr>
    </w:lvl>
    <w:lvl w:ilvl="5" w:tplc="0C0C0005" w:tentative="1">
      <w:start w:val="1"/>
      <w:numFmt w:val="bullet"/>
      <w:lvlText w:val=""/>
      <w:lvlJc w:val="left"/>
      <w:pPr>
        <w:ind w:left="3480" w:hanging="360"/>
      </w:pPr>
      <w:rPr>
        <w:rFonts w:ascii="Wingdings" w:hAnsi="Wingdings" w:hint="default"/>
      </w:rPr>
    </w:lvl>
    <w:lvl w:ilvl="6" w:tplc="0C0C0001" w:tentative="1">
      <w:start w:val="1"/>
      <w:numFmt w:val="bullet"/>
      <w:lvlText w:val=""/>
      <w:lvlJc w:val="left"/>
      <w:pPr>
        <w:ind w:left="4200" w:hanging="360"/>
      </w:pPr>
      <w:rPr>
        <w:rFonts w:ascii="Symbol" w:hAnsi="Symbol" w:hint="default"/>
      </w:rPr>
    </w:lvl>
    <w:lvl w:ilvl="7" w:tplc="0C0C0003" w:tentative="1">
      <w:start w:val="1"/>
      <w:numFmt w:val="bullet"/>
      <w:lvlText w:val="o"/>
      <w:lvlJc w:val="left"/>
      <w:pPr>
        <w:ind w:left="4920" w:hanging="360"/>
      </w:pPr>
      <w:rPr>
        <w:rFonts w:ascii="Courier New" w:hAnsi="Courier New" w:cs="Courier New" w:hint="default"/>
      </w:rPr>
    </w:lvl>
    <w:lvl w:ilvl="8" w:tplc="0C0C0005" w:tentative="1">
      <w:start w:val="1"/>
      <w:numFmt w:val="bullet"/>
      <w:lvlText w:val=""/>
      <w:lvlJc w:val="left"/>
      <w:pPr>
        <w:ind w:left="5640" w:hanging="360"/>
      </w:pPr>
      <w:rPr>
        <w:rFonts w:ascii="Wingdings" w:hAnsi="Wingdings" w:hint="default"/>
      </w:rPr>
    </w:lvl>
  </w:abstractNum>
  <w:abstractNum w:abstractNumId="13"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09E461A"/>
    <w:multiLevelType w:val="hybridMultilevel"/>
    <w:tmpl w:val="67BAB22E"/>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2E9154F"/>
    <w:multiLevelType w:val="hybridMultilevel"/>
    <w:tmpl w:val="8E5610C8"/>
    <w:lvl w:ilvl="0" w:tplc="9850E29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65401812">
    <w:abstractNumId w:val="15"/>
  </w:num>
  <w:num w:numId="2" w16cid:durableId="279189555">
    <w:abstractNumId w:val="15"/>
  </w:num>
  <w:num w:numId="3" w16cid:durableId="1940335821">
    <w:abstractNumId w:val="15"/>
  </w:num>
  <w:num w:numId="4" w16cid:durableId="1328437116">
    <w:abstractNumId w:val="8"/>
  </w:num>
  <w:num w:numId="5" w16cid:durableId="40372171">
    <w:abstractNumId w:val="3"/>
  </w:num>
  <w:num w:numId="6" w16cid:durableId="334654353">
    <w:abstractNumId w:val="2"/>
  </w:num>
  <w:num w:numId="7" w16cid:durableId="583496970">
    <w:abstractNumId w:val="1"/>
  </w:num>
  <w:num w:numId="8" w16cid:durableId="1864126449">
    <w:abstractNumId w:val="0"/>
  </w:num>
  <w:num w:numId="9" w16cid:durableId="388071171">
    <w:abstractNumId w:val="9"/>
  </w:num>
  <w:num w:numId="10" w16cid:durableId="2007055181">
    <w:abstractNumId w:val="7"/>
  </w:num>
  <w:num w:numId="11" w16cid:durableId="433785851">
    <w:abstractNumId w:val="6"/>
  </w:num>
  <w:num w:numId="12" w16cid:durableId="351683359">
    <w:abstractNumId w:val="5"/>
  </w:num>
  <w:num w:numId="13" w16cid:durableId="325937691">
    <w:abstractNumId w:val="4"/>
  </w:num>
  <w:num w:numId="14" w16cid:durableId="967319298">
    <w:abstractNumId w:val="15"/>
  </w:num>
  <w:num w:numId="15" w16cid:durableId="838422867">
    <w:abstractNumId w:val="15"/>
  </w:num>
  <w:num w:numId="16" w16cid:durableId="1778334109">
    <w:abstractNumId w:val="15"/>
  </w:num>
  <w:num w:numId="17" w16cid:durableId="2045520923">
    <w:abstractNumId w:val="14"/>
  </w:num>
  <w:num w:numId="18" w16cid:durableId="1561207693">
    <w:abstractNumId w:val="13"/>
  </w:num>
  <w:num w:numId="19" w16cid:durableId="430931618">
    <w:abstractNumId w:val="12"/>
  </w:num>
  <w:num w:numId="20" w16cid:durableId="1617179558">
    <w:abstractNumId w:val="10"/>
  </w:num>
  <w:num w:numId="21" w16cid:durableId="205457768">
    <w:abstractNumId w:val="11"/>
  </w:num>
  <w:num w:numId="22" w16cid:durableId="1828550555">
    <w:abstractNumId w:val="17"/>
  </w:num>
  <w:num w:numId="23" w16cid:durableId="454295751">
    <w:abstractNumId w:val="16"/>
  </w:num>
  <w:num w:numId="24" w16cid:durableId="11037503">
    <w:abstractNumId w:val="13"/>
  </w:num>
  <w:num w:numId="25" w16cid:durableId="1642074317">
    <w:abstractNumId w:val="13"/>
  </w:num>
  <w:num w:numId="26" w16cid:durableId="567888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NBChoix" w:val="3"/>
    <w:docVar w:name="MotifJuge1" w:val="MOTIFS DU JUGE"/>
    <w:docVar w:name="MotifJuge2" w:val="MOTIFS DU JUGE"/>
    <w:docVar w:name="MotifJuge3" w:val="MOTIFS DU JUGE"/>
    <w:docVar w:name="NomFamJuge1" w:val="GAGNON"/>
    <w:docVar w:name="NomFamJuge2" w:val="HEALY"/>
    <w:docVar w:name="NomFamJuge3" w:val="BACHAND"/>
    <w:docVar w:name="NomFamJuge4" w:val="MAILHOT"/>
    <w:docVar w:name="NomFamJuge5" w:val="BAUDOUIN"/>
    <w:docVar w:name="QteJuge1" w:val=", J.C.A."/>
    <w:docVar w:name="QteJuge2" w:val=", J.C.A."/>
    <w:docVar w:name="QteJuge3" w:val=", J.C.A."/>
    <w:docVar w:name="stPremiereFois" w:val="Non"/>
  </w:docVars>
  <w:rsids>
    <w:rsidRoot w:val="00DA3A77"/>
    <w:rsid w:val="00000FAC"/>
    <w:rsid w:val="00004495"/>
    <w:rsid w:val="0001027F"/>
    <w:rsid w:val="000131E1"/>
    <w:rsid w:val="000136D0"/>
    <w:rsid w:val="00030644"/>
    <w:rsid w:val="00031B28"/>
    <w:rsid w:val="0003313A"/>
    <w:rsid w:val="00042BAF"/>
    <w:rsid w:val="00042D49"/>
    <w:rsid w:val="0004394C"/>
    <w:rsid w:val="00044701"/>
    <w:rsid w:val="0004507D"/>
    <w:rsid w:val="0005216A"/>
    <w:rsid w:val="00053691"/>
    <w:rsid w:val="00077669"/>
    <w:rsid w:val="00081093"/>
    <w:rsid w:val="00081D2D"/>
    <w:rsid w:val="000912A7"/>
    <w:rsid w:val="000945F6"/>
    <w:rsid w:val="0009593C"/>
    <w:rsid w:val="000A131C"/>
    <w:rsid w:val="000A2885"/>
    <w:rsid w:val="000A3FD0"/>
    <w:rsid w:val="000A43BE"/>
    <w:rsid w:val="000A5FA1"/>
    <w:rsid w:val="000A7516"/>
    <w:rsid w:val="000B42AF"/>
    <w:rsid w:val="000B49F5"/>
    <w:rsid w:val="000B72EE"/>
    <w:rsid w:val="000C1218"/>
    <w:rsid w:val="000D192E"/>
    <w:rsid w:val="000D27FE"/>
    <w:rsid w:val="000D7DE5"/>
    <w:rsid w:val="000E174F"/>
    <w:rsid w:val="000E492E"/>
    <w:rsid w:val="000F02B8"/>
    <w:rsid w:val="000F0C88"/>
    <w:rsid w:val="000F34BE"/>
    <w:rsid w:val="000F3B1A"/>
    <w:rsid w:val="0010369B"/>
    <w:rsid w:val="00110356"/>
    <w:rsid w:val="00110B53"/>
    <w:rsid w:val="00111111"/>
    <w:rsid w:val="00112321"/>
    <w:rsid w:val="00117914"/>
    <w:rsid w:val="00123805"/>
    <w:rsid w:val="0012455D"/>
    <w:rsid w:val="0013028C"/>
    <w:rsid w:val="001335CE"/>
    <w:rsid w:val="00142BCA"/>
    <w:rsid w:val="00146B4D"/>
    <w:rsid w:val="0014750D"/>
    <w:rsid w:val="00152C6C"/>
    <w:rsid w:val="0015610F"/>
    <w:rsid w:val="00160B31"/>
    <w:rsid w:val="0016245D"/>
    <w:rsid w:val="001652FC"/>
    <w:rsid w:val="00167091"/>
    <w:rsid w:val="00172EE6"/>
    <w:rsid w:val="00181F56"/>
    <w:rsid w:val="00184542"/>
    <w:rsid w:val="00186BB3"/>
    <w:rsid w:val="00190FA7"/>
    <w:rsid w:val="00191388"/>
    <w:rsid w:val="00195EB6"/>
    <w:rsid w:val="001972F2"/>
    <w:rsid w:val="001B35FE"/>
    <w:rsid w:val="001B5AF0"/>
    <w:rsid w:val="001B5E89"/>
    <w:rsid w:val="001B6DAA"/>
    <w:rsid w:val="001D39C4"/>
    <w:rsid w:val="001D6ED4"/>
    <w:rsid w:val="001D73FF"/>
    <w:rsid w:val="001D77BA"/>
    <w:rsid w:val="001F0D75"/>
    <w:rsid w:val="001F4037"/>
    <w:rsid w:val="001F58B0"/>
    <w:rsid w:val="001F7431"/>
    <w:rsid w:val="0020161E"/>
    <w:rsid w:val="0020311E"/>
    <w:rsid w:val="00204873"/>
    <w:rsid w:val="00204EB4"/>
    <w:rsid w:val="00205DC4"/>
    <w:rsid w:val="0021325E"/>
    <w:rsid w:val="0021548E"/>
    <w:rsid w:val="002210E0"/>
    <w:rsid w:val="00226CDA"/>
    <w:rsid w:val="00227211"/>
    <w:rsid w:val="002273F5"/>
    <w:rsid w:val="00230EBD"/>
    <w:rsid w:val="002348AE"/>
    <w:rsid w:val="002401BB"/>
    <w:rsid w:val="00240366"/>
    <w:rsid w:val="0024093B"/>
    <w:rsid w:val="0024748D"/>
    <w:rsid w:val="002613E6"/>
    <w:rsid w:val="00273E0B"/>
    <w:rsid w:val="00277202"/>
    <w:rsid w:val="00281253"/>
    <w:rsid w:val="00282FDD"/>
    <w:rsid w:val="00283450"/>
    <w:rsid w:val="00287FFB"/>
    <w:rsid w:val="002969D5"/>
    <w:rsid w:val="0029727E"/>
    <w:rsid w:val="00297E73"/>
    <w:rsid w:val="002A0CBE"/>
    <w:rsid w:val="002A7E5F"/>
    <w:rsid w:val="002B363B"/>
    <w:rsid w:val="002B4A07"/>
    <w:rsid w:val="002C4107"/>
    <w:rsid w:val="002D14EF"/>
    <w:rsid w:val="002E07CE"/>
    <w:rsid w:val="002E1F0E"/>
    <w:rsid w:val="002E1FB7"/>
    <w:rsid w:val="002E229C"/>
    <w:rsid w:val="002E346B"/>
    <w:rsid w:val="002E50F6"/>
    <w:rsid w:val="002E51F1"/>
    <w:rsid w:val="002E6F7C"/>
    <w:rsid w:val="002F1350"/>
    <w:rsid w:val="002F1922"/>
    <w:rsid w:val="002F50CF"/>
    <w:rsid w:val="002F6136"/>
    <w:rsid w:val="002F639C"/>
    <w:rsid w:val="00303D89"/>
    <w:rsid w:val="00313C4D"/>
    <w:rsid w:val="00316607"/>
    <w:rsid w:val="0032118E"/>
    <w:rsid w:val="003218FC"/>
    <w:rsid w:val="00322DE0"/>
    <w:rsid w:val="00323510"/>
    <w:rsid w:val="0032363D"/>
    <w:rsid w:val="00324A11"/>
    <w:rsid w:val="00325618"/>
    <w:rsid w:val="0032691E"/>
    <w:rsid w:val="003305D1"/>
    <w:rsid w:val="00330973"/>
    <w:rsid w:val="0033190E"/>
    <w:rsid w:val="00332A9B"/>
    <w:rsid w:val="00334A51"/>
    <w:rsid w:val="003400E7"/>
    <w:rsid w:val="00344DA5"/>
    <w:rsid w:val="00345694"/>
    <w:rsid w:val="00347D77"/>
    <w:rsid w:val="00351933"/>
    <w:rsid w:val="00353DDC"/>
    <w:rsid w:val="00355ADF"/>
    <w:rsid w:val="00361325"/>
    <w:rsid w:val="0036223D"/>
    <w:rsid w:val="00364372"/>
    <w:rsid w:val="0036480B"/>
    <w:rsid w:val="00370294"/>
    <w:rsid w:val="00371318"/>
    <w:rsid w:val="0037171B"/>
    <w:rsid w:val="003746EE"/>
    <w:rsid w:val="00374888"/>
    <w:rsid w:val="00374E40"/>
    <w:rsid w:val="00376DE2"/>
    <w:rsid w:val="00386087"/>
    <w:rsid w:val="00386D43"/>
    <w:rsid w:val="003875B8"/>
    <w:rsid w:val="00390954"/>
    <w:rsid w:val="00392FE1"/>
    <w:rsid w:val="0039763F"/>
    <w:rsid w:val="003A5E16"/>
    <w:rsid w:val="003B27A6"/>
    <w:rsid w:val="003C0D31"/>
    <w:rsid w:val="003C4363"/>
    <w:rsid w:val="003C5392"/>
    <w:rsid w:val="003C5EA3"/>
    <w:rsid w:val="003D0190"/>
    <w:rsid w:val="003D487D"/>
    <w:rsid w:val="003E3239"/>
    <w:rsid w:val="003E3E3C"/>
    <w:rsid w:val="003F47F7"/>
    <w:rsid w:val="003F4B67"/>
    <w:rsid w:val="004024E2"/>
    <w:rsid w:val="0040412F"/>
    <w:rsid w:val="004154FF"/>
    <w:rsid w:val="00423DF1"/>
    <w:rsid w:val="00424AC0"/>
    <w:rsid w:val="00424D1E"/>
    <w:rsid w:val="00430C58"/>
    <w:rsid w:val="004331C4"/>
    <w:rsid w:val="0043428F"/>
    <w:rsid w:val="0043564D"/>
    <w:rsid w:val="0043723D"/>
    <w:rsid w:val="0043772F"/>
    <w:rsid w:val="00441C25"/>
    <w:rsid w:val="0044250B"/>
    <w:rsid w:val="00442FC3"/>
    <w:rsid w:val="00446452"/>
    <w:rsid w:val="00450B69"/>
    <w:rsid w:val="00450C44"/>
    <w:rsid w:val="00451BA9"/>
    <w:rsid w:val="00451E00"/>
    <w:rsid w:val="00456331"/>
    <w:rsid w:val="00456A4E"/>
    <w:rsid w:val="00461105"/>
    <w:rsid w:val="00462172"/>
    <w:rsid w:val="0046380A"/>
    <w:rsid w:val="00463AB9"/>
    <w:rsid w:val="004679BD"/>
    <w:rsid w:val="00472DC8"/>
    <w:rsid w:val="00474A79"/>
    <w:rsid w:val="00476C02"/>
    <w:rsid w:val="004776A3"/>
    <w:rsid w:val="004802EC"/>
    <w:rsid w:val="00480D2A"/>
    <w:rsid w:val="00483CD5"/>
    <w:rsid w:val="004A0428"/>
    <w:rsid w:val="004A112E"/>
    <w:rsid w:val="004A29F1"/>
    <w:rsid w:val="004A40CD"/>
    <w:rsid w:val="004A6641"/>
    <w:rsid w:val="004B19ED"/>
    <w:rsid w:val="004B1E94"/>
    <w:rsid w:val="004B33FF"/>
    <w:rsid w:val="004B6C38"/>
    <w:rsid w:val="004C10F8"/>
    <w:rsid w:val="004C4B88"/>
    <w:rsid w:val="004C6CF5"/>
    <w:rsid w:val="004C715F"/>
    <w:rsid w:val="004D2BD0"/>
    <w:rsid w:val="004D2F69"/>
    <w:rsid w:val="004D684A"/>
    <w:rsid w:val="004D6B38"/>
    <w:rsid w:val="004D747A"/>
    <w:rsid w:val="004E4FBA"/>
    <w:rsid w:val="004F01CF"/>
    <w:rsid w:val="004F16DB"/>
    <w:rsid w:val="004F5D84"/>
    <w:rsid w:val="004F7C55"/>
    <w:rsid w:val="0050044A"/>
    <w:rsid w:val="00506373"/>
    <w:rsid w:val="00511BBB"/>
    <w:rsid w:val="005131F1"/>
    <w:rsid w:val="0051484F"/>
    <w:rsid w:val="005167AF"/>
    <w:rsid w:val="00516B3E"/>
    <w:rsid w:val="005227C6"/>
    <w:rsid w:val="005243D2"/>
    <w:rsid w:val="005247A3"/>
    <w:rsid w:val="005262C9"/>
    <w:rsid w:val="005313F5"/>
    <w:rsid w:val="00531D70"/>
    <w:rsid w:val="005406A0"/>
    <w:rsid w:val="0054134F"/>
    <w:rsid w:val="0054148F"/>
    <w:rsid w:val="00543FB7"/>
    <w:rsid w:val="0056471E"/>
    <w:rsid w:val="00566BF6"/>
    <w:rsid w:val="00567285"/>
    <w:rsid w:val="00580B3D"/>
    <w:rsid w:val="00580DDA"/>
    <w:rsid w:val="00583434"/>
    <w:rsid w:val="0058349F"/>
    <w:rsid w:val="00587C35"/>
    <w:rsid w:val="00591545"/>
    <w:rsid w:val="00596AAB"/>
    <w:rsid w:val="00597D4F"/>
    <w:rsid w:val="005A0EF2"/>
    <w:rsid w:val="005A5AF7"/>
    <w:rsid w:val="005A6714"/>
    <w:rsid w:val="005A69E5"/>
    <w:rsid w:val="005A78BF"/>
    <w:rsid w:val="005B081B"/>
    <w:rsid w:val="005B6B4C"/>
    <w:rsid w:val="005C0353"/>
    <w:rsid w:val="005C09FC"/>
    <w:rsid w:val="005C7516"/>
    <w:rsid w:val="005D1522"/>
    <w:rsid w:val="005D6B61"/>
    <w:rsid w:val="005E73BA"/>
    <w:rsid w:val="005E7D13"/>
    <w:rsid w:val="005F121A"/>
    <w:rsid w:val="005F5F5F"/>
    <w:rsid w:val="005F7613"/>
    <w:rsid w:val="00601703"/>
    <w:rsid w:val="0060729F"/>
    <w:rsid w:val="00611850"/>
    <w:rsid w:val="00613483"/>
    <w:rsid w:val="00617E1C"/>
    <w:rsid w:val="006211DD"/>
    <w:rsid w:val="00622FB4"/>
    <w:rsid w:val="00623A4A"/>
    <w:rsid w:val="00624770"/>
    <w:rsid w:val="0062478D"/>
    <w:rsid w:val="00624AA8"/>
    <w:rsid w:val="006264B1"/>
    <w:rsid w:val="00630219"/>
    <w:rsid w:val="00631D9F"/>
    <w:rsid w:val="006416A4"/>
    <w:rsid w:val="0064250B"/>
    <w:rsid w:val="00643C81"/>
    <w:rsid w:val="00647464"/>
    <w:rsid w:val="00650AAC"/>
    <w:rsid w:val="00661081"/>
    <w:rsid w:val="0066271F"/>
    <w:rsid w:val="00662EA6"/>
    <w:rsid w:val="00664F47"/>
    <w:rsid w:val="006719FD"/>
    <w:rsid w:val="006722F5"/>
    <w:rsid w:val="0067558D"/>
    <w:rsid w:val="00676B95"/>
    <w:rsid w:val="006771BE"/>
    <w:rsid w:val="0068057B"/>
    <w:rsid w:val="006826AA"/>
    <w:rsid w:val="0068356A"/>
    <w:rsid w:val="00684911"/>
    <w:rsid w:val="006866F5"/>
    <w:rsid w:val="006928FE"/>
    <w:rsid w:val="006949D1"/>
    <w:rsid w:val="00695897"/>
    <w:rsid w:val="006A0DB0"/>
    <w:rsid w:val="006A299D"/>
    <w:rsid w:val="006A49AF"/>
    <w:rsid w:val="006A6629"/>
    <w:rsid w:val="006A665C"/>
    <w:rsid w:val="006B4441"/>
    <w:rsid w:val="006B66ED"/>
    <w:rsid w:val="006C2415"/>
    <w:rsid w:val="006C2BD8"/>
    <w:rsid w:val="006C4C84"/>
    <w:rsid w:val="006C7289"/>
    <w:rsid w:val="006D47E4"/>
    <w:rsid w:val="006D5ED9"/>
    <w:rsid w:val="006D6072"/>
    <w:rsid w:val="006D6264"/>
    <w:rsid w:val="006E09B9"/>
    <w:rsid w:val="006E2068"/>
    <w:rsid w:val="006E4B01"/>
    <w:rsid w:val="006E6B96"/>
    <w:rsid w:val="006E7E4D"/>
    <w:rsid w:val="006E7E99"/>
    <w:rsid w:val="006F1334"/>
    <w:rsid w:val="006F1F52"/>
    <w:rsid w:val="006F777B"/>
    <w:rsid w:val="00702B90"/>
    <w:rsid w:val="007036A0"/>
    <w:rsid w:val="0070556D"/>
    <w:rsid w:val="00706BC0"/>
    <w:rsid w:val="00710FBA"/>
    <w:rsid w:val="00713E8D"/>
    <w:rsid w:val="00715E61"/>
    <w:rsid w:val="007205D7"/>
    <w:rsid w:val="00724A2C"/>
    <w:rsid w:val="00730F2B"/>
    <w:rsid w:val="0073544F"/>
    <w:rsid w:val="00740A17"/>
    <w:rsid w:val="00742DC5"/>
    <w:rsid w:val="00744CB2"/>
    <w:rsid w:val="007462D6"/>
    <w:rsid w:val="0074738B"/>
    <w:rsid w:val="007509E0"/>
    <w:rsid w:val="007526C5"/>
    <w:rsid w:val="007566E7"/>
    <w:rsid w:val="007572DC"/>
    <w:rsid w:val="0076062E"/>
    <w:rsid w:val="00764961"/>
    <w:rsid w:val="00770714"/>
    <w:rsid w:val="007708CB"/>
    <w:rsid w:val="00780275"/>
    <w:rsid w:val="00782D98"/>
    <w:rsid w:val="007844D5"/>
    <w:rsid w:val="00785C12"/>
    <w:rsid w:val="007929C8"/>
    <w:rsid w:val="007953F3"/>
    <w:rsid w:val="00796770"/>
    <w:rsid w:val="007A7803"/>
    <w:rsid w:val="007B011A"/>
    <w:rsid w:val="007B061E"/>
    <w:rsid w:val="007B09CF"/>
    <w:rsid w:val="007B3089"/>
    <w:rsid w:val="007B3114"/>
    <w:rsid w:val="007B48D5"/>
    <w:rsid w:val="007B770B"/>
    <w:rsid w:val="007C0EC3"/>
    <w:rsid w:val="007C1509"/>
    <w:rsid w:val="007C2CD1"/>
    <w:rsid w:val="007C3E10"/>
    <w:rsid w:val="007C43B5"/>
    <w:rsid w:val="007C6ABC"/>
    <w:rsid w:val="007D087C"/>
    <w:rsid w:val="007E1BFD"/>
    <w:rsid w:val="007E33E4"/>
    <w:rsid w:val="007E4CC9"/>
    <w:rsid w:val="007F0E82"/>
    <w:rsid w:val="007F2B60"/>
    <w:rsid w:val="007F69CA"/>
    <w:rsid w:val="00800103"/>
    <w:rsid w:val="00800D23"/>
    <w:rsid w:val="008051F4"/>
    <w:rsid w:val="00806062"/>
    <w:rsid w:val="00806293"/>
    <w:rsid w:val="00810B33"/>
    <w:rsid w:val="008146A9"/>
    <w:rsid w:val="008158F9"/>
    <w:rsid w:val="00815A71"/>
    <w:rsid w:val="00816273"/>
    <w:rsid w:val="0082174F"/>
    <w:rsid w:val="00824727"/>
    <w:rsid w:val="00824D83"/>
    <w:rsid w:val="0082581C"/>
    <w:rsid w:val="0082717B"/>
    <w:rsid w:val="00827B04"/>
    <w:rsid w:val="0083032E"/>
    <w:rsid w:val="00831976"/>
    <w:rsid w:val="008354D1"/>
    <w:rsid w:val="0083645A"/>
    <w:rsid w:val="00836E68"/>
    <w:rsid w:val="008402DB"/>
    <w:rsid w:val="00841907"/>
    <w:rsid w:val="00851F65"/>
    <w:rsid w:val="00854A97"/>
    <w:rsid w:val="008574CD"/>
    <w:rsid w:val="0086036A"/>
    <w:rsid w:val="00860A7C"/>
    <w:rsid w:val="0086334B"/>
    <w:rsid w:val="008642DB"/>
    <w:rsid w:val="008652D8"/>
    <w:rsid w:val="008653A3"/>
    <w:rsid w:val="008657A2"/>
    <w:rsid w:val="00866645"/>
    <w:rsid w:val="00867B9B"/>
    <w:rsid w:val="008778F8"/>
    <w:rsid w:val="00882210"/>
    <w:rsid w:val="00884BC2"/>
    <w:rsid w:val="00890AB0"/>
    <w:rsid w:val="00896DE1"/>
    <w:rsid w:val="008A4BB7"/>
    <w:rsid w:val="008A4EC0"/>
    <w:rsid w:val="008A6185"/>
    <w:rsid w:val="008B4471"/>
    <w:rsid w:val="008B7C5C"/>
    <w:rsid w:val="008C1E02"/>
    <w:rsid w:val="008C1FE9"/>
    <w:rsid w:val="008C7392"/>
    <w:rsid w:val="008C7DCE"/>
    <w:rsid w:val="008D18FC"/>
    <w:rsid w:val="008D398B"/>
    <w:rsid w:val="008D7E48"/>
    <w:rsid w:val="008D7E49"/>
    <w:rsid w:val="008E06C3"/>
    <w:rsid w:val="008E1FBE"/>
    <w:rsid w:val="008E48F6"/>
    <w:rsid w:val="008E5A7C"/>
    <w:rsid w:val="008F08A6"/>
    <w:rsid w:val="008F19FB"/>
    <w:rsid w:val="008F364A"/>
    <w:rsid w:val="008F375D"/>
    <w:rsid w:val="008F3F53"/>
    <w:rsid w:val="008F55F3"/>
    <w:rsid w:val="009021BF"/>
    <w:rsid w:val="0090657E"/>
    <w:rsid w:val="00913E03"/>
    <w:rsid w:val="00913E51"/>
    <w:rsid w:val="0091620A"/>
    <w:rsid w:val="009229E9"/>
    <w:rsid w:val="00926953"/>
    <w:rsid w:val="00926DC2"/>
    <w:rsid w:val="0093148F"/>
    <w:rsid w:val="009326F2"/>
    <w:rsid w:val="00932703"/>
    <w:rsid w:val="00932CBC"/>
    <w:rsid w:val="00936469"/>
    <w:rsid w:val="009400B7"/>
    <w:rsid w:val="00941C9F"/>
    <w:rsid w:val="00945009"/>
    <w:rsid w:val="009473BB"/>
    <w:rsid w:val="009543C8"/>
    <w:rsid w:val="00954DC2"/>
    <w:rsid w:val="009555D4"/>
    <w:rsid w:val="00956509"/>
    <w:rsid w:val="00957B92"/>
    <w:rsid w:val="00960AE7"/>
    <w:rsid w:val="00963295"/>
    <w:rsid w:val="00970966"/>
    <w:rsid w:val="00974442"/>
    <w:rsid w:val="00974BA1"/>
    <w:rsid w:val="009769F6"/>
    <w:rsid w:val="00980108"/>
    <w:rsid w:val="00980396"/>
    <w:rsid w:val="00986E12"/>
    <w:rsid w:val="0099128E"/>
    <w:rsid w:val="00996BB1"/>
    <w:rsid w:val="009A2FDD"/>
    <w:rsid w:val="009A4074"/>
    <w:rsid w:val="009A5847"/>
    <w:rsid w:val="009A71EE"/>
    <w:rsid w:val="009B02C4"/>
    <w:rsid w:val="009B0C59"/>
    <w:rsid w:val="009C4A47"/>
    <w:rsid w:val="009C7F81"/>
    <w:rsid w:val="009D05CF"/>
    <w:rsid w:val="009D09F9"/>
    <w:rsid w:val="009D5C80"/>
    <w:rsid w:val="009D6B68"/>
    <w:rsid w:val="009E0516"/>
    <w:rsid w:val="009F013A"/>
    <w:rsid w:val="009F1F69"/>
    <w:rsid w:val="009F6006"/>
    <w:rsid w:val="009F63BC"/>
    <w:rsid w:val="009F78BD"/>
    <w:rsid w:val="00A02FC4"/>
    <w:rsid w:val="00A058BF"/>
    <w:rsid w:val="00A05F23"/>
    <w:rsid w:val="00A13B2C"/>
    <w:rsid w:val="00A150CC"/>
    <w:rsid w:val="00A1526F"/>
    <w:rsid w:val="00A159BB"/>
    <w:rsid w:val="00A16191"/>
    <w:rsid w:val="00A17266"/>
    <w:rsid w:val="00A20830"/>
    <w:rsid w:val="00A23BF4"/>
    <w:rsid w:val="00A254E0"/>
    <w:rsid w:val="00A2593B"/>
    <w:rsid w:val="00A260E4"/>
    <w:rsid w:val="00A34E05"/>
    <w:rsid w:val="00A4029E"/>
    <w:rsid w:val="00A4050F"/>
    <w:rsid w:val="00A43D8B"/>
    <w:rsid w:val="00A43E5B"/>
    <w:rsid w:val="00A454F1"/>
    <w:rsid w:val="00A53469"/>
    <w:rsid w:val="00A543CC"/>
    <w:rsid w:val="00A55DC7"/>
    <w:rsid w:val="00A609C3"/>
    <w:rsid w:val="00A623D6"/>
    <w:rsid w:val="00A7251A"/>
    <w:rsid w:val="00A750B2"/>
    <w:rsid w:val="00A8050C"/>
    <w:rsid w:val="00A82181"/>
    <w:rsid w:val="00A920E8"/>
    <w:rsid w:val="00A935DE"/>
    <w:rsid w:val="00A93CFF"/>
    <w:rsid w:val="00AA17CB"/>
    <w:rsid w:val="00AB3463"/>
    <w:rsid w:val="00AB7DD2"/>
    <w:rsid w:val="00AC064C"/>
    <w:rsid w:val="00AC080C"/>
    <w:rsid w:val="00AC125C"/>
    <w:rsid w:val="00AC4F59"/>
    <w:rsid w:val="00AD0B65"/>
    <w:rsid w:val="00AD3A9D"/>
    <w:rsid w:val="00AD4BBF"/>
    <w:rsid w:val="00AD6CD1"/>
    <w:rsid w:val="00AD6E4E"/>
    <w:rsid w:val="00AE237D"/>
    <w:rsid w:val="00AE7E14"/>
    <w:rsid w:val="00AF0395"/>
    <w:rsid w:val="00AF0C7C"/>
    <w:rsid w:val="00AF4CB1"/>
    <w:rsid w:val="00AF53F6"/>
    <w:rsid w:val="00B0098C"/>
    <w:rsid w:val="00B00B95"/>
    <w:rsid w:val="00B016C9"/>
    <w:rsid w:val="00B01D86"/>
    <w:rsid w:val="00B02C38"/>
    <w:rsid w:val="00B03F00"/>
    <w:rsid w:val="00B07E4E"/>
    <w:rsid w:val="00B11FD1"/>
    <w:rsid w:val="00B137E9"/>
    <w:rsid w:val="00B142E2"/>
    <w:rsid w:val="00B14EC9"/>
    <w:rsid w:val="00B15625"/>
    <w:rsid w:val="00B15DF5"/>
    <w:rsid w:val="00B15ECB"/>
    <w:rsid w:val="00B20CF8"/>
    <w:rsid w:val="00B22762"/>
    <w:rsid w:val="00B2562E"/>
    <w:rsid w:val="00B26CF9"/>
    <w:rsid w:val="00B30EA2"/>
    <w:rsid w:val="00B338A6"/>
    <w:rsid w:val="00B36AD2"/>
    <w:rsid w:val="00B36ED3"/>
    <w:rsid w:val="00B44C64"/>
    <w:rsid w:val="00B513C9"/>
    <w:rsid w:val="00B53C55"/>
    <w:rsid w:val="00B56EF4"/>
    <w:rsid w:val="00B61C2A"/>
    <w:rsid w:val="00B65ABF"/>
    <w:rsid w:val="00B70485"/>
    <w:rsid w:val="00B7221A"/>
    <w:rsid w:val="00B73D48"/>
    <w:rsid w:val="00B8120D"/>
    <w:rsid w:val="00B81823"/>
    <w:rsid w:val="00B82A13"/>
    <w:rsid w:val="00B83313"/>
    <w:rsid w:val="00B842B2"/>
    <w:rsid w:val="00B90201"/>
    <w:rsid w:val="00B95607"/>
    <w:rsid w:val="00B95F03"/>
    <w:rsid w:val="00BA15AB"/>
    <w:rsid w:val="00BC5440"/>
    <w:rsid w:val="00BD3DB2"/>
    <w:rsid w:val="00BE382E"/>
    <w:rsid w:val="00BF1008"/>
    <w:rsid w:val="00BF4815"/>
    <w:rsid w:val="00BF6E44"/>
    <w:rsid w:val="00BF73B9"/>
    <w:rsid w:val="00C017DF"/>
    <w:rsid w:val="00C01856"/>
    <w:rsid w:val="00C02AF8"/>
    <w:rsid w:val="00C07F9D"/>
    <w:rsid w:val="00C10694"/>
    <w:rsid w:val="00C13FFC"/>
    <w:rsid w:val="00C147C2"/>
    <w:rsid w:val="00C16293"/>
    <w:rsid w:val="00C17E01"/>
    <w:rsid w:val="00C25658"/>
    <w:rsid w:val="00C31AC4"/>
    <w:rsid w:val="00C31E89"/>
    <w:rsid w:val="00C33B26"/>
    <w:rsid w:val="00C409BE"/>
    <w:rsid w:val="00C41594"/>
    <w:rsid w:val="00C423CA"/>
    <w:rsid w:val="00C43C0D"/>
    <w:rsid w:val="00C507C2"/>
    <w:rsid w:val="00C56E35"/>
    <w:rsid w:val="00C644C0"/>
    <w:rsid w:val="00C644D7"/>
    <w:rsid w:val="00C652ED"/>
    <w:rsid w:val="00C65B84"/>
    <w:rsid w:val="00C66947"/>
    <w:rsid w:val="00C6787E"/>
    <w:rsid w:val="00C70786"/>
    <w:rsid w:val="00C744F8"/>
    <w:rsid w:val="00C75355"/>
    <w:rsid w:val="00C76AEF"/>
    <w:rsid w:val="00C7793C"/>
    <w:rsid w:val="00C77A95"/>
    <w:rsid w:val="00C85895"/>
    <w:rsid w:val="00C87044"/>
    <w:rsid w:val="00C874CA"/>
    <w:rsid w:val="00C939A8"/>
    <w:rsid w:val="00C95FF5"/>
    <w:rsid w:val="00C97145"/>
    <w:rsid w:val="00CA3E52"/>
    <w:rsid w:val="00CA4815"/>
    <w:rsid w:val="00CA64DD"/>
    <w:rsid w:val="00CB31DA"/>
    <w:rsid w:val="00CB5D45"/>
    <w:rsid w:val="00CB6F21"/>
    <w:rsid w:val="00CB6FEA"/>
    <w:rsid w:val="00CC0353"/>
    <w:rsid w:val="00CC531C"/>
    <w:rsid w:val="00CD26A6"/>
    <w:rsid w:val="00CE0F5D"/>
    <w:rsid w:val="00CE26DE"/>
    <w:rsid w:val="00CE4B46"/>
    <w:rsid w:val="00CE61DA"/>
    <w:rsid w:val="00CF7293"/>
    <w:rsid w:val="00CF7E49"/>
    <w:rsid w:val="00D010FD"/>
    <w:rsid w:val="00D02812"/>
    <w:rsid w:val="00D06C37"/>
    <w:rsid w:val="00D072F0"/>
    <w:rsid w:val="00D1049A"/>
    <w:rsid w:val="00D10D8C"/>
    <w:rsid w:val="00D1414F"/>
    <w:rsid w:val="00D142D8"/>
    <w:rsid w:val="00D14662"/>
    <w:rsid w:val="00D14C5F"/>
    <w:rsid w:val="00D15C99"/>
    <w:rsid w:val="00D20056"/>
    <w:rsid w:val="00D213FD"/>
    <w:rsid w:val="00D25093"/>
    <w:rsid w:val="00D25970"/>
    <w:rsid w:val="00D260CC"/>
    <w:rsid w:val="00D31EFE"/>
    <w:rsid w:val="00D36C34"/>
    <w:rsid w:val="00D4347B"/>
    <w:rsid w:val="00D45C40"/>
    <w:rsid w:val="00D5193E"/>
    <w:rsid w:val="00D55289"/>
    <w:rsid w:val="00D573A0"/>
    <w:rsid w:val="00D618FA"/>
    <w:rsid w:val="00D64F15"/>
    <w:rsid w:val="00D65178"/>
    <w:rsid w:val="00D65639"/>
    <w:rsid w:val="00D70BFB"/>
    <w:rsid w:val="00D76B03"/>
    <w:rsid w:val="00D80B9B"/>
    <w:rsid w:val="00D8362C"/>
    <w:rsid w:val="00D91A3F"/>
    <w:rsid w:val="00D92358"/>
    <w:rsid w:val="00D96987"/>
    <w:rsid w:val="00DA0C61"/>
    <w:rsid w:val="00DA3A77"/>
    <w:rsid w:val="00DA7142"/>
    <w:rsid w:val="00DB1759"/>
    <w:rsid w:val="00DB2119"/>
    <w:rsid w:val="00DB38DF"/>
    <w:rsid w:val="00DB560C"/>
    <w:rsid w:val="00DC05BC"/>
    <w:rsid w:val="00DC48C2"/>
    <w:rsid w:val="00DC5544"/>
    <w:rsid w:val="00DD01A0"/>
    <w:rsid w:val="00DD3A24"/>
    <w:rsid w:val="00DE2822"/>
    <w:rsid w:val="00DE36B3"/>
    <w:rsid w:val="00DE6351"/>
    <w:rsid w:val="00DF23C2"/>
    <w:rsid w:val="00DF3516"/>
    <w:rsid w:val="00DF42C6"/>
    <w:rsid w:val="00DF46E8"/>
    <w:rsid w:val="00DF5633"/>
    <w:rsid w:val="00E021B5"/>
    <w:rsid w:val="00E02C6D"/>
    <w:rsid w:val="00E03C07"/>
    <w:rsid w:val="00E06D56"/>
    <w:rsid w:val="00E1241B"/>
    <w:rsid w:val="00E20B26"/>
    <w:rsid w:val="00E20E3C"/>
    <w:rsid w:val="00E26844"/>
    <w:rsid w:val="00E27C72"/>
    <w:rsid w:val="00E32941"/>
    <w:rsid w:val="00E32C54"/>
    <w:rsid w:val="00E36290"/>
    <w:rsid w:val="00E3724A"/>
    <w:rsid w:val="00E41A06"/>
    <w:rsid w:val="00E441C6"/>
    <w:rsid w:val="00E45A50"/>
    <w:rsid w:val="00E47ACD"/>
    <w:rsid w:val="00E5574B"/>
    <w:rsid w:val="00E576A1"/>
    <w:rsid w:val="00E61A48"/>
    <w:rsid w:val="00E67C79"/>
    <w:rsid w:val="00E73D3F"/>
    <w:rsid w:val="00E766E5"/>
    <w:rsid w:val="00E76907"/>
    <w:rsid w:val="00E81E61"/>
    <w:rsid w:val="00E848B4"/>
    <w:rsid w:val="00E90407"/>
    <w:rsid w:val="00E91417"/>
    <w:rsid w:val="00E92CEC"/>
    <w:rsid w:val="00E94329"/>
    <w:rsid w:val="00E94C88"/>
    <w:rsid w:val="00EA0259"/>
    <w:rsid w:val="00EA2146"/>
    <w:rsid w:val="00EA70C4"/>
    <w:rsid w:val="00EB1377"/>
    <w:rsid w:val="00EB2006"/>
    <w:rsid w:val="00EB2332"/>
    <w:rsid w:val="00EB3E8B"/>
    <w:rsid w:val="00EB4D7F"/>
    <w:rsid w:val="00EB5793"/>
    <w:rsid w:val="00EC1181"/>
    <w:rsid w:val="00EC1E33"/>
    <w:rsid w:val="00EC218B"/>
    <w:rsid w:val="00EC4813"/>
    <w:rsid w:val="00EC4E76"/>
    <w:rsid w:val="00EC57A5"/>
    <w:rsid w:val="00EC60A4"/>
    <w:rsid w:val="00ED11A0"/>
    <w:rsid w:val="00ED2C12"/>
    <w:rsid w:val="00ED34F3"/>
    <w:rsid w:val="00ED4A5D"/>
    <w:rsid w:val="00ED57DD"/>
    <w:rsid w:val="00ED678F"/>
    <w:rsid w:val="00EE150E"/>
    <w:rsid w:val="00EE18BB"/>
    <w:rsid w:val="00EE6B54"/>
    <w:rsid w:val="00EE6F15"/>
    <w:rsid w:val="00EF00CA"/>
    <w:rsid w:val="00EF674F"/>
    <w:rsid w:val="00F0061F"/>
    <w:rsid w:val="00F03F2C"/>
    <w:rsid w:val="00F07022"/>
    <w:rsid w:val="00F1119E"/>
    <w:rsid w:val="00F169E2"/>
    <w:rsid w:val="00F22A48"/>
    <w:rsid w:val="00F33E30"/>
    <w:rsid w:val="00F3452A"/>
    <w:rsid w:val="00F34CC3"/>
    <w:rsid w:val="00F34F73"/>
    <w:rsid w:val="00F359E5"/>
    <w:rsid w:val="00F35A34"/>
    <w:rsid w:val="00F35BE4"/>
    <w:rsid w:val="00F35E17"/>
    <w:rsid w:val="00F40077"/>
    <w:rsid w:val="00F40882"/>
    <w:rsid w:val="00F43559"/>
    <w:rsid w:val="00F438BD"/>
    <w:rsid w:val="00F44D5E"/>
    <w:rsid w:val="00F45B4E"/>
    <w:rsid w:val="00F502AE"/>
    <w:rsid w:val="00F52365"/>
    <w:rsid w:val="00F55459"/>
    <w:rsid w:val="00F5789B"/>
    <w:rsid w:val="00F75AAB"/>
    <w:rsid w:val="00F75C76"/>
    <w:rsid w:val="00F768B7"/>
    <w:rsid w:val="00F80ACD"/>
    <w:rsid w:val="00F819EB"/>
    <w:rsid w:val="00F82E82"/>
    <w:rsid w:val="00F83AA5"/>
    <w:rsid w:val="00F86A7D"/>
    <w:rsid w:val="00F86C3E"/>
    <w:rsid w:val="00F90558"/>
    <w:rsid w:val="00F9209D"/>
    <w:rsid w:val="00F95CA5"/>
    <w:rsid w:val="00FA1719"/>
    <w:rsid w:val="00FA2928"/>
    <w:rsid w:val="00FA30B4"/>
    <w:rsid w:val="00FB4111"/>
    <w:rsid w:val="00FB4790"/>
    <w:rsid w:val="00FB7C0C"/>
    <w:rsid w:val="00FC7016"/>
    <w:rsid w:val="00FC717D"/>
    <w:rsid w:val="00FC720B"/>
    <w:rsid w:val="00FE3FE9"/>
    <w:rsid w:val="00FE3FEB"/>
    <w:rsid w:val="00FE470B"/>
    <w:rsid w:val="00FE4AD3"/>
    <w:rsid w:val="00FE6A10"/>
    <w:rsid w:val="00FF039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E98CE"/>
  <w15:chartTrackingRefBased/>
  <w15:docId w15:val="{4E9C397A-0985-48DD-83B6-E8E5D2D2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val="en-CA"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 Char Char,Char Char,ft,Footnote text,ft2,fn,Char,Nota de rodapé,Char Char Char Char Char,Footnote Text Char Char Char Char Char,Footnote Text Char Char Char Char,Footnote reference,FA Fu,ft Char Ch,Footnotes,Footnote ak"/>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fr,Ref,de nota al pie,Char Char6 Char Char Char Char Char Char Char Char Char Char Char Char,Char6 Char Char Char Char Char Char Char Char Char Char Char Char Char,Footnote"/>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aliases w:val="Char Char Char Car,Char Char Car,ft Car,Footnote text Car,ft2 Car,fn Car,Char Car,Nota de rodapé Car,Char Char Char Char Char Car,Footnote Text Char Char Char Char Char Car,Footnote Text Char Char Char Char Car,FA Fu Car"/>
    <w:link w:val="Notedebasdepage"/>
    <w:rsid w:val="0012455D"/>
    <w:rPr>
      <w:rFonts w:ascii="Arial" w:hAnsi="Arial"/>
      <w:lang w:eastAsia="fr-FR"/>
    </w:rPr>
  </w:style>
  <w:style w:type="paragraph" w:customStyle="1" w:styleId="Partie2Question">
    <w:name w:val="Partie2_Question"/>
    <w:basedOn w:val="Normal"/>
    <w:qFormat/>
    <w:rsid w:val="0012455D"/>
    <w:pPr>
      <w:numPr>
        <w:numId w:val="20"/>
      </w:numPr>
      <w:tabs>
        <w:tab w:val="left" w:pos="1134"/>
      </w:tabs>
      <w:spacing w:before="240" w:line="264" w:lineRule="auto"/>
      <w:ind w:left="709" w:firstLine="0"/>
      <w:jc w:val="both"/>
    </w:pPr>
    <w:rPr>
      <w:rFonts w:eastAsiaTheme="minorHAnsi" w:cstheme="minorBidi"/>
      <w:szCs w:val="22"/>
      <w:lang w:eastAsia="en-US"/>
    </w:rPr>
  </w:style>
  <w:style w:type="paragraph" w:customStyle="1" w:styleId="Partie2SousQuestions">
    <w:name w:val="Partie2_SousQuestions"/>
    <w:basedOn w:val="Normal"/>
    <w:qFormat/>
    <w:rsid w:val="0012455D"/>
    <w:pPr>
      <w:numPr>
        <w:ilvl w:val="2"/>
        <w:numId w:val="20"/>
      </w:numPr>
      <w:spacing w:before="220" w:line="360" w:lineRule="auto"/>
      <w:ind w:left="1701" w:hanging="181"/>
      <w:jc w:val="both"/>
    </w:pPr>
    <w:rPr>
      <w:rFonts w:eastAsiaTheme="minorHAnsi" w:cstheme="minorBidi"/>
      <w:i/>
      <w:szCs w:val="22"/>
      <w:lang w:eastAsia="en-US"/>
    </w:rPr>
  </w:style>
  <w:style w:type="character" w:customStyle="1" w:styleId="ParagrapheCar">
    <w:name w:val="Paragraphe Car"/>
    <w:link w:val="Paragraphe"/>
    <w:qFormat/>
    <w:locked/>
    <w:rsid w:val="0012455D"/>
    <w:rPr>
      <w:rFonts w:ascii="Arial" w:hAnsi="Arial"/>
      <w:kern w:val="28"/>
      <w:sz w:val="24"/>
      <w:lang w:eastAsia="fr-FR"/>
    </w:rPr>
  </w:style>
  <w:style w:type="character" w:styleId="Hyperlien">
    <w:name w:val="Hyperlink"/>
    <w:basedOn w:val="Policepardfaut"/>
    <w:uiPriority w:val="99"/>
    <w:semiHidden/>
    <w:unhideWhenUsed/>
    <w:rsid w:val="0012455D"/>
    <w:rPr>
      <w:color w:val="0000FF"/>
      <w:u w:val="single"/>
    </w:rPr>
  </w:style>
  <w:style w:type="paragraph" w:styleId="Rvision">
    <w:name w:val="Revision"/>
    <w:hidden/>
    <w:uiPriority w:val="99"/>
    <w:semiHidden/>
    <w:rsid w:val="00E94C88"/>
    <w:rPr>
      <w:rFonts w:ascii="Arial" w:hAnsi="Arial"/>
      <w:sz w:val="24"/>
      <w:lang w:val="en-CA" w:eastAsia="fr-FR"/>
    </w:rPr>
  </w:style>
  <w:style w:type="character" w:styleId="Marquedecommentaire">
    <w:name w:val="annotation reference"/>
    <w:basedOn w:val="Policepardfaut"/>
    <w:uiPriority w:val="99"/>
    <w:semiHidden/>
    <w:unhideWhenUsed/>
    <w:rsid w:val="009555D4"/>
    <w:rPr>
      <w:sz w:val="16"/>
      <w:szCs w:val="16"/>
    </w:rPr>
  </w:style>
  <w:style w:type="paragraph" w:styleId="Commentaire">
    <w:name w:val="annotation text"/>
    <w:basedOn w:val="Normal"/>
    <w:link w:val="CommentaireCar"/>
    <w:uiPriority w:val="99"/>
    <w:semiHidden/>
    <w:unhideWhenUsed/>
    <w:rsid w:val="009555D4"/>
    <w:pPr>
      <w:spacing w:line="240" w:lineRule="auto"/>
    </w:pPr>
    <w:rPr>
      <w:sz w:val="20"/>
    </w:rPr>
  </w:style>
  <w:style w:type="character" w:customStyle="1" w:styleId="CommentaireCar">
    <w:name w:val="Commentaire Car"/>
    <w:basedOn w:val="Policepardfaut"/>
    <w:link w:val="Commentaire"/>
    <w:uiPriority w:val="99"/>
    <w:semiHidden/>
    <w:rsid w:val="009555D4"/>
    <w:rPr>
      <w:rFonts w:ascii="Arial" w:hAnsi="Arial"/>
      <w:lang w:val="en-CA" w:eastAsia="fr-FR"/>
    </w:rPr>
  </w:style>
  <w:style w:type="paragraph" w:styleId="Objetducommentaire">
    <w:name w:val="annotation subject"/>
    <w:basedOn w:val="Commentaire"/>
    <w:next w:val="Commentaire"/>
    <w:link w:val="ObjetducommentaireCar"/>
    <w:uiPriority w:val="99"/>
    <w:semiHidden/>
    <w:unhideWhenUsed/>
    <w:rsid w:val="009555D4"/>
    <w:rPr>
      <w:b/>
      <w:bCs/>
    </w:rPr>
  </w:style>
  <w:style w:type="character" w:customStyle="1" w:styleId="ObjetducommentaireCar">
    <w:name w:val="Objet du commentaire Car"/>
    <w:basedOn w:val="CommentaireCar"/>
    <w:link w:val="Objetducommentaire"/>
    <w:uiPriority w:val="99"/>
    <w:semiHidden/>
    <w:rsid w:val="009555D4"/>
    <w:rPr>
      <w:rFonts w:ascii="Arial" w:hAnsi="Arial"/>
      <w:b/>
      <w:bCs/>
      <w:lang w:val="en-CA" w:eastAsia="fr-FR"/>
    </w:rPr>
  </w:style>
  <w:style w:type="character" w:styleId="lev">
    <w:name w:val="Strong"/>
    <w:basedOn w:val="Policepardfaut"/>
    <w:uiPriority w:val="22"/>
    <w:qFormat/>
    <w:rsid w:val="00450B69"/>
    <w:rPr>
      <w:b/>
      <w:bCs/>
    </w:rPr>
  </w:style>
  <w:style w:type="character" w:styleId="Lienvisit">
    <w:name w:val="FollowedHyperlink"/>
    <w:basedOn w:val="Policepardfaut"/>
    <w:uiPriority w:val="99"/>
    <w:semiHidden/>
    <w:unhideWhenUsed/>
    <w:rsid w:val="000F0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Gabarits_SOQUIJ\Gabarits_SOQUIJ%20CA\CAFra-VERSION%20aout.%202021.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9A46-681C-4D02-A529-0E6069EC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CAFra-VERSION aout. 2021</Template>
  <TotalTime>320</TotalTime>
  <Pages>27</Pages>
  <Words>9428</Words>
  <Characters>51856</Characters>
  <Application>Microsoft Office Word</Application>
  <DocSecurity>0</DocSecurity>
  <Lines>432</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de jugement pour la cour d'appel</vt:lpstr>
      <vt:lpstr>Gabarit de jugement pour la cour d'appel</vt:lpstr>
    </vt:vector>
  </TitlesOfParts>
  <Manager>Patrice Tardif</Manager>
  <Company>MJQ</Company>
  <LinksUpToDate>false</LinksUpToDate>
  <CharactersWithSpaces>61162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Myriam Infantino</dc:creator>
  <cp:keywords/>
  <dc:description/>
  <cp:lastModifiedBy>trad-rev</cp:lastModifiedBy>
  <cp:revision>57</cp:revision>
  <cp:lastPrinted>2023-04-10T15:21:00Z</cp:lastPrinted>
  <dcterms:created xsi:type="dcterms:W3CDTF">2023-07-11T20:51:00Z</dcterms:created>
  <dcterms:modified xsi:type="dcterms:W3CDTF">2023-09-26T15:07:00Z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